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7E0D0">
      <w:pPr>
        <w:jc w:val="center"/>
        <w:rPr>
          <w:rFonts w:ascii="Times New Roman" w:hAnsi="Times New Roman" w:eastAsia="宋体" w:cs="Times New Roman"/>
          <w:b/>
          <w:bCs/>
          <w:sz w:val="30"/>
          <w:szCs w:val="30"/>
        </w:rPr>
      </w:pPr>
      <w:r>
        <w:rPr>
          <w:rFonts w:ascii="Times New Roman" w:hAnsi="Times New Roman" w:eastAsia="宋体" w:cs="Times New Roman"/>
          <w:b/>
          <w:bCs/>
          <w:sz w:val="30"/>
          <w:szCs w:val="30"/>
        </w:rPr>
        <w:t>Study on Carbon Emissions during the Construction Phase of Steel Slag Asphalt Pavement</w:t>
      </w:r>
    </w:p>
    <w:p w14:paraId="0D91597D">
      <w:pPr>
        <w:pStyle w:val="14"/>
        <w:jc w:val="center"/>
        <w:rPr>
          <w:rFonts w:ascii="Times New Roman" w:hAnsi="Times New Roman" w:eastAsia="宋体"/>
          <w:color w:val="auto"/>
          <w:kern w:val="2"/>
          <w:sz w:val="21"/>
          <w:lang w:eastAsia="zh-CN"/>
        </w:rPr>
      </w:pPr>
    </w:p>
    <w:p w14:paraId="706DBF55">
      <w:pPr>
        <w:pStyle w:val="14"/>
        <w:jc w:val="center"/>
        <w:rPr>
          <w:rFonts w:ascii="Times New Roman" w:hAnsi="Times New Roman" w:eastAsia="宋体"/>
          <w:color w:val="auto"/>
          <w:kern w:val="2"/>
          <w:sz w:val="21"/>
          <w:lang w:eastAsia="zh-CN"/>
        </w:rPr>
      </w:pPr>
    </w:p>
    <w:p w14:paraId="5079C10E">
      <w:pPr>
        <w:pStyle w:val="7"/>
        <w:widowControl/>
        <w:spacing w:before="144" w:beforeAutospacing="0" w:afterAutospacing="0"/>
        <w:jc w:val="both"/>
        <w:textAlignment w:val="baseline"/>
        <w:rPr>
          <w:rFonts w:ascii="Times New Roman" w:hAnsi="Times New Roman" w:eastAsia="宋体"/>
          <w:kern w:val="2"/>
          <w:sz w:val="21"/>
        </w:rPr>
      </w:pPr>
      <w:r>
        <w:rPr>
          <w:rFonts w:hint="eastAsia" w:ascii="Times New Roman" w:hAnsi="Times New Roman" w:eastAsia="宋体"/>
          <w:kern w:val="2"/>
          <w:sz w:val="21"/>
        </w:rPr>
        <w:t>Abstract: Against the backdrop of the increasing scarcity of natural mineral aggregates and the underutilization of excessive steel slag resources, extensive research has confirmed the applicability of steel slag as a road aggregate and its favorable pavement performance properties. However, systematic quantitative assessments of steel slag asphalt pavement (SSAP) across multiple dimensions, including environmental and economic benefits, remain relatively limited. Among SSAP with 100% replacement of coarse aggregates by steel slag, the material production stage exhibits the lowest energy consumption and carbon emissions; this is followed by SSAP with a 60% steel slag replacement ratio, while conventional asphalt pavement (CAP) with 0% replacement demonstrates the highest values. When the transportation distance for natural aggregates is 180 km and for steel slag is 60 km, SSAP with 100% steel slag replacement shows the minimal energy consumption and carbon emissions during the transportation stage, whereas CAP with 0% replacement records the highest. Notably, this relationship reverses in the construction stage. The total carbon emissions generated during the construction period for SSAP with steel slag replacement ratios of 0%, 60%, and 100% are 142,841.16 kg, 122,775.15 kg, and 119,220.11 kg, respectively. Specifically, CAP (0% replacement) exhibits the maximum total energy consumption and carbon emissions during construction, while SSAP with 100% steel slag replacement presents the minimum values. These results demonstrate that replacing natural aggregates with steel slag can effectively reduce energy consumption and carbon emissions during the construction of asphalt pavements.</w:t>
      </w:r>
    </w:p>
    <w:p w14:paraId="69F01ACA">
      <w:pPr>
        <w:rPr>
          <w:rFonts w:ascii="Times New Roman" w:hAnsi="Times New Roman" w:eastAsia="宋体" w:cs="Times New Roman"/>
        </w:rPr>
      </w:pPr>
      <w:r>
        <w:rPr>
          <w:rFonts w:hint="eastAsia" w:ascii="Times New Roman" w:hAnsi="Times New Roman" w:eastAsia="宋体" w:cs="Times New Roman"/>
          <w:b/>
          <w:bCs/>
        </w:rPr>
        <w:t>Keywords:</w:t>
      </w:r>
      <w:r>
        <w:rPr>
          <w:rFonts w:hint="eastAsia" w:ascii="Times New Roman" w:hAnsi="Times New Roman" w:eastAsia="宋体" w:cs="Times New Roman"/>
        </w:rPr>
        <w:t xml:space="preserve"> </w:t>
      </w:r>
      <w:r>
        <w:rPr>
          <w:rFonts w:ascii="Times New Roman" w:hAnsi="Times New Roman" w:eastAsia="宋体" w:cs="Times New Roman"/>
        </w:rPr>
        <w:t>Steel slag asphalt pavement surface course</w:t>
      </w:r>
      <w:r>
        <w:rPr>
          <w:rFonts w:hint="eastAsia" w:ascii="Times New Roman" w:hAnsi="Times New Roman" w:eastAsia="宋体" w:cs="Times New Roman"/>
        </w:rPr>
        <w:t xml:space="preserve">, </w:t>
      </w:r>
      <w:r>
        <w:rPr>
          <w:rFonts w:ascii="Times New Roman" w:hAnsi="Times New Roman" w:eastAsia="宋体" w:cs="Times New Roman"/>
        </w:rPr>
        <w:t>Life cycle</w:t>
      </w:r>
      <w:r>
        <w:rPr>
          <w:rFonts w:hint="eastAsia" w:ascii="Times New Roman" w:hAnsi="Times New Roman" w:eastAsia="宋体" w:cs="Times New Roman"/>
        </w:rPr>
        <w:t xml:space="preserve">, </w:t>
      </w:r>
      <w:r>
        <w:rPr>
          <w:rFonts w:ascii="Times New Roman" w:hAnsi="Times New Roman" w:eastAsia="宋体" w:cs="Times New Roman"/>
        </w:rPr>
        <w:t>Energy consumption</w:t>
      </w:r>
      <w:r>
        <w:rPr>
          <w:rFonts w:hint="eastAsia" w:ascii="Times New Roman" w:hAnsi="Times New Roman" w:eastAsia="宋体" w:cs="Times New Roman"/>
        </w:rPr>
        <w:t xml:space="preserve">, </w:t>
      </w:r>
      <w:r>
        <w:rPr>
          <w:rFonts w:ascii="Times New Roman" w:hAnsi="Times New Roman" w:eastAsia="宋体" w:cs="Times New Roman"/>
        </w:rPr>
        <w:t>Carbon emissions</w:t>
      </w:r>
      <w:r>
        <w:rPr>
          <w:rFonts w:hint="eastAsia" w:ascii="Times New Roman" w:hAnsi="Times New Roman" w:eastAsia="宋体" w:cs="Times New Roman"/>
        </w:rPr>
        <w:t>.</w:t>
      </w:r>
    </w:p>
    <w:p w14:paraId="3B409605">
      <w:pPr>
        <w:rPr>
          <w:rFonts w:ascii="Times New Roman" w:hAnsi="Times New Roman" w:eastAsia="宋体" w:cs="Times New Roman"/>
          <w:b/>
          <w:bCs/>
        </w:rPr>
      </w:pPr>
      <w:r>
        <w:rPr>
          <w:rFonts w:ascii="Times New Roman" w:hAnsi="Times New Roman" w:eastAsia="宋体" w:cs="Times New Roman"/>
          <w:b/>
          <w:bCs/>
        </w:rPr>
        <w:t>1 Introduction</w:t>
      </w:r>
    </w:p>
    <w:p w14:paraId="37C8011A">
      <w:pPr>
        <w:pStyle w:val="7"/>
        <w:widowControl/>
        <w:spacing w:beforeAutospacing="0" w:afterAutospacing="0"/>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With the continuous expansion of transportation infrastructure, annual demand for natural mineral resources has been rising, while reserves of these non-renewable resources have been progressively depleting. Natural stone materials, sand and gravel aggregates—critical components in road construction—have suffered severe overexploitation, leading to acute resource depletion [18]. This trend has intensified the urgent shortage of high-quality mineral resources in regions, while mining areas face mounting pressure from growing construction demands, necessitating the exploration of new alternative materials to alleviate resource strain.</w:t>
      </w:r>
    </w:p>
    <w:p w14:paraId="0EDF20A2">
      <w:pPr>
        <w:pStyle w:val="7"/>
        <w:widowControl/>
        <w:spacing w:beforeAutospacing="0" w:afterAutospacing="0"/>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Steel slag, an industrial by-product, currently has a utilization rate below 30%. The majority of unutilized steel slag is often simply stockpiled near steel plants [19]. As a by-product of steel refining processes, steel slag, after appropriate treatment and processing, exhibits favorable physical-mechanical properties and chemical stability. Experimental validations have confirmed that its pavement performance indicators meet high-standard requirements, making it suitable for surface layer construction of high-grade roads.</w:t>
      </w:r>
    </w:p>
    <w:p w14:paraId="20F3A6B1">
      <w:pPr>
        <w:pStyle w:val="7"/>
        <w:widowControl/>
        <w:spacing w:beforeAutospacing="0" w:afterAutospacing="0"/>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Since the 1990s, the life cycle assessment (LCA) methodology was first introduced into road engineering. Finnish scholars pioneered its application in conducting comparative analyses of pavement environmental impacts. Since then, the scope of LCA application in road engineering has expanded continuously, with research depth also deepening. Current primary strategies for LCA implementation in road engineering by international researchers include three main approaches: construction process-based life cycle analysis [</w:t>
      </w:r>
      <w:r>
        <w:rPr>
          <w:rFonts w:hint="eastAsia" w:ascii="Times New Roman" w:hAnsi="Times New Roman" w:eastAsia="宋体"/>
          <w:kern w:val="2"/>
          <w:sz w:val="21"/>
        </w:rPr>
        <w:t>1</w:t>
      </w:r>
      <w:r>
        <w:rPr>
          <w:rFonts w:ascii="Times New Roman" w:hAnsi="Times New Roman" w:eastAsia="宋体"/>
          <w:kern w:val="2"/>
          <w:sz w:val="21"/>
        </w:rPr>
        <w:t>–</w:t>
      </w:r>
      <w:r>
        <w:rPr>
          <w:rFonts w:hint="eastAsia" w:ascii="Times New Roman" w:hAnsi="Times New Roman" w:eastAsia="宋体"/>
          <w:kern w:val="2"/>
          <w:sz w:val="21"/>
        </w:rPr>
        <w:t>7</w:t>
      </w:r>
      <w:r>
        <w:rPr>
          <w:rFonts w:ascii="Times New Roman" w:hAnsi="Times New Roman" w:eastAsia="宋体"/>
          <w:kern w:val="2"/>
          <w:sz w:val="21"/>
        </w:rPr>
        <w:t>], economic input-output model-based life cycle analysis [</w:t>
      </w:r>
      <w:r>
        <w:rPr>
          <w:rFonts w:hint="eastAsia" w:ascii="Times New Roman" w:hAnsi="Times New Roman" w:eastAsia="宋体"/>
          <w:kern w:val="2"/>
          <w:sz w:val="21"/>
        </w:rPr>
        <w:t>8</w:t>
      </w:r>
      <w:r>
        <w:rPr>
          <w:rFonts w:ascii="Times New Roman" w:hAnsi="Times New Roman" w:eastAsia="宋体"/>
          <w:kern w:val="2"/>
          <w:sz w:val="21"/>
        </w:rPr>
        <w:t>], and comprehensive life cycle analysis [</w:t>
      </w:r>
      <w:r>
        <w:rPr>
          <w:rFonts w:hint="eastAsia" w:ascii="Times New Roman" w:hAnsi="Times New Roman" w:eastAsia="宋体"/>
          <w:kern w:val="2"/>
          <w:sz w:val="21"/>
        </w:rPr>
        <w:t>9</w:t>
      </w:r>
      <w:r>
        <w:rPr>
          <w:rFonts w:ascii="Times New Roman" w:hAnsi="Times New Roman" w:eastAsia="宋体"/>
          <w:kern w:val="2"/>
          <w:sz w:val="21"/>
        </w:rPr>
        <w:t>–</w:t>
      </w:r>
      <w:r>
        <w:rPr>
          <w:rFonts w:hint="eastAsia" w:ascii="Times New Roman" w:hAnsi="Times New Roman" w:eastAsia="宋体"/>
          <w:kern w:val="2"/>
          <w:sz w:val="21"/>
        </w:rPr>
        <w:t>13</w:t>
      </w:r>
      <w:r>
        <w:rPr>
          <w:rFonts w:ascii="Times New Roman" w:hAnsi="Times New Roman" w:eastAsia="宋体"/>
          <w:kern w:val="2"/>
          <w:sz w:val="21"/>
        </w:rPr>
        <w:t>]. Anastasiou et al. [</w:t>
      </w:r>
      <w:r>
        <w:rPr>
          <w:rFonts w:hint="eastAsia" w:ascii="Times New Roman" w:hAnsi="Times New Roman" w:eastAsia="宋体"/>
          <w:kern w:val="2"/>
          <w:sz w:val="21"/>
        </w:rPr>
        <w:t>14</w:t>
      </w:r>
      <w:r>
        <w:rPr>
          <w:rFonts w:ascii="Times New Roman" w:hAnsi="Times New Roman" w:eastAsia="宋体"/>
          <w:kern w:val="2"/>
          <w:sz w:val="21"/>
        </w:rPr>
        <w:t>] revealed that in Greece, substituting cement with fly ash and aggregates with steel slag in concrete pavement materials can effectively reduce CO₂ emissions. Through sensitivity analysis of alternative material transportation distances, they found that steel slag only achieves emission reduction effects within short-distance transportation ranges. Additionally, interactions between road pavements and vehicles (e.g., rolling resistance) significantly influence environmental impacts during the use phase. Akbarian et al. [</w:t>
      </w:r>
      <w:r>
        <w:rPr>
          <w:rFonts w:hint="eastAsia" w:ascii="Times New Roman" w:hAnsi="Times New Roman" w:eastAsia="宋体"/>
          <w:kern w:val="2"/>
          <w:sz w:val="21"/>
        </w:rPr>
        <w:t>15</w:t>
      </w:r>
      <w:r>
        <w:rPr>
          <w:rFonts w:ascii="Times New Roman" w:hAnsi="Times New Roman" w:eastAsia="宋体"/>
          <w:kern w:val="2"/>
          <w:sz w:val="21"/>
        </w:rPr>
        <w:t>] further indicated that pavement conditions—including roughness, texture, and deformation under load—can affect vehicle operational carbon emissions to a certain extent. Huang et al. [</w:t>
      </w:r>
      <w:r>
        <w:rPr>
          <w:rFonts w:hint="eastAsia" w:ascii="Times New Roman" w:hAnsi="Times New Roman" w:eastAsia="宋体"/>
          <w:kern w:val="2"/>
          <w:sz w:val="21"/>
        </w:rPr>
        <w:t>16</w:t>
      </w:r>
      <w:r>
        <w:rPr>
          <w:rFonts w:ascii="Times New Roman" w:hAnsi="Times New Roman" w:eastAsia="宋体"/>
          <w:kern w:val="2"/>
          <w:sz w:val="21"/>
        </w:rPr>
        <w:t>] conducted a quantitative analysis of environmental impacts from a highway maintenance project in the UK, showing that due to the long service life of pavements, energy consumption and CO₂ emissions from transportation dominate. Thus, in future pavement LCA studies, environmental impacts such as traffic congestion caused by road renovations should not be overlooked. Pontarollo John et al. [</w:t>
      </w:r>
      <w:r>
        <w:rPr>
          <w:rFonts w:hint="eastAsia" w:ascii="Times New Roman" w:hAnsi="Times New Roman" w:eastAsia="宋体"/>
          <w:kern w:val="2"/>
          <w:sz w:val="21"/>
        </w:rPr>
        <w:t>17</w:t>
      </w:r>
      <w:r>
        <w:rPr>
          <w:rFonts w:ascii="Times New Roman" w:hAnsi="Times New Roman" w:eastAsia="宋体"/>
          <w:kern w:val="2"/>
          <w:sz w:val="21"/>
        </w:rPr>
        <w:t>], based on life cycle theory, explored the trade-off between costs and environmental impacts in highway engineering construction. By analyzing skid resistance, macro-textural properties, and financial investment data of different pavement materials in Australia and New Zealand, they emphasized that decision-making should not solely pursue the lowest cost.</w:t>
      </w:r>
    </w:p>
    <w:p w14:paraId="3E4EA4D9">
      <w:pPr>
        <w:rPr>
          <w:rFonts w:ascii="Times New Roman" w:hAnsi="Times New Roman" w:eastAsia="宋体" w:cs="Times New Roman"/>
          <w:b/>
          <w:bCs/>
        </w:rPr>
      </w:pPr>
      <w:r>
        <w:rPr>
          <w:rFonts w:ascii="Times New Roman" w:hAnsi="Times New Roman" w:eastAsia="宋体" w:cs="Times New Roman"/>
          <w:b/>
          <w:bCs/>
        </w:rPr>
        <w:t>2. Life Cycle Assessment (LCA) Methodology</w:t>
      </w:r>
    </w:p>
    <w:p w14:paraId="6A16FCC9">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Life cycle assessment (LCA), as a scientific tool for quantifying the environmental impacts of product systems, essentially tracks the flow of materials and energy across the entire lifecycle—"resource extraction-production-processing-transportation-use-disposal"—to precisely account for environmental burdens at each stage and identify pathways for improvement [20]. With the global dissemination of the ISO 14040 standard, LCA has transcended its initial application in industrial product evaluation, deeply integrating into macro-decision-making fields such as infrastructure development and energy strategy. Notably, in addressing the challenge of carbon neutrality, LCA constructs a full-life cycle carbon accounting model spanning "raw material production-construction-operation-maintenance-recycling," enabling precise localization of carbon emission impacts across road engineering stages .</w:t>
      </w:r>
    </w:p>
    <w:p w14:paraId="0EEC90B3">
      <w:pPr>
        <w:rPr>
          <w:rFonts w:ascii="Times New Roman" w:hAnsi="Times New Roman" w:eastAsia="宋体" w:cs="Times New Roman"/>
          <w:b/>
          <w:bCs/>
        </w:rPr>
      </w:pPr>
      <w:r>
        <w:rPr>
          <w:rFonts w:ascii="Times New Roman" w:hAnsi="Times New Roman" w:eastAsia="宋体" w:cs="Times New Roman"/>
          <w:b/>
          <w:bCs/>
        </w:rPr>
        <w:t>2.1 Goal and Scope Definition</w:t>
      </w:r>
    </w:p>
    <w:p w14:paraId="2477E92A">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This study focuses on a case of a 4-lane bidirectional expressway, defining a 1 km single-directional two-lane pavement (7.5 m wide, excluding hard shoulders, with two 3.75 m lanes) as 1 functional unit. Given the focus on the surface layer of steel slag asphalt pavement (SSAP), the surface course thickness is specified as 18 cm, composed of (from top to bottom): a 4 cm SMA-13 layer, a 6 cm AC-20 layer, and an 8 cm AC-25 layer. Three pavement structures are selected, with all schemes using limestone as fine aggregates:</w:t>
      </w:r>
    </w:p>
    <w:p w14:paraId="2738A456">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Scheme 1: Conventional asphalt pavement with 0% steel slag substitution for coarse aggregates;</w:t>
      </w:r>
    </w:p>
    <w:p w14:paraId="430533EF">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Scheme 2: Asphalt pavement with 60% steel slag substitution for coarse aggregates;</w:t>
      </w:r>
    </w:p>
    <w:p w14:paraId="39A6369C">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Scheme 3: Asphalt pavement with 100% steel slag substitution for coarse aggregates.</w:t>
      </w:r>
    </w:p>
    <w:p w14:paraId="4115D2BE">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p>
    <w:p w14:paraId="01E440CD">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RESULT &amp; DISCUSSIONS</w:t>
      </w:r>
    </w:p>
    <w:p w14:paraId="36B92B29">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p>
    <w:p w14:paraId="3889CFE5">
      <w:pPr>
        <w:rPr>
          <w:rFonts w:ascii="Times New Roman" w:hAnsi="Times New Roman" w:eastAsia="宋体" w:cs="Times New Roman"/>
          <w:b/>
          <w:bCs/>
        </w:rPr>
      </w:pPr>
      <w:r>
        <w:rPr>
          <w:rFonts w:ascii="Times New Roman" w:hAnsi="Times New Roman" w:eastAsia="宋体" w:cs="Times New Roman"/>
          <w:b/>
          <w:bCs/>
        </w:rPr>
        <w:t>2.2 Inventory Analysis</w:t>
      </w:r>
    </w:p>
    <w:p w14:paraId="19F95A23">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Common methods for inventory analysis include the process-based method, economic input-output (EIO) method, and hybrid method. This study adopts the process-based approach, dividing the LCA of asphalt pavements into three primary unit processes: raw material production, transportation, and construction, with further tracing of upstream sub-processes. The inventory is established primarily based on industry standards such as the Budget Quota for Highway Engineeringand Cost Quota for Highway Engineering Machinery Shifts, supplemented by field survey data.</w:t>
      </w:r>
    </w:p>
    <w:p w14:paraId="0E03B14E">
      <w:pPr>
        <w:rPr>
          <w:rFonts w:ascii="Times New Roman" w:hAnsi="Times New Roman" w:eastAsia="宋体" w:cs="Times New Roman"/>
          <w:b/>
          <w:bCs/>
        </w:rPr>
      </w:pPr>
      <w:r>
        <w:rPr>
          <w:rFonts w:ascii="Times New Roman" w:hAnsi="Times New Roman" w:eastAsia="宋体" w:cs="Times New Roman"/>
          <w:b/>
          <w:bCs/>
        </w:rPr>
        <w:t>2.3 Life Cycle Impact Assessment</w:t>
      </w:r>
    </w:p>
    <w:p w14:paraId="3EB5C6D7">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The core task of life cycle impact assessment is to transform energy consumption and emission data into intuitive environmental impact metrics (e.g., primary energy consumption, global warming potential [GWP]) using characterization factors. Since crude oil, raw coal, and natural gas are primary fossil energy sources, their calorific values are directly used as energy consumption characterization factors. Characterization systematically categorizes various emissions into distinct environmental impact types using specific characterization factors. Focusing on the most relevant environmental impact type for SSAP—global warming—the assessment quantifies greenhouse gases (GHGs) by converting CH₄ and N₂O into CO₂-equivalent (CO₂-eq) using characterization factors, with CO₂ as the reference substance. The influence factors and characterization factors for CO₂, CH₄, and N₂O are obtained from the National Greenhouse Gas Emission Factor Database.</w:t>
      </w:r>
    </w:p>
    <w:p w14:paraId="5E9A0736">
      <w:pPr>
        <w:jc w:val="center"/>
        <w:rPr>
          <w:rFonts w:ascii="Times New Roman" w:hAnsi="Times New Roman" w:eastAsia="宋体" w:cs="Times New Roman"/>
          <w:b/>
          <w:bCs/>
        </w:rPr>
      </w:pPr>
      <w:r>
        <w:rPr>
          <w:rFonts w:hint="eastAsia" w:ascii="Times New Roman" w:hAnsi="Times New Roman" w:cs="Times New Roman"/>
          <w:position w:val="-14"/>
        </w:rPr>
        <w:object>
          <v:shape id="_x0000_i1025" o:spt="75" type="#_x0000_t75" style="height:16.75pt;width:162.4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56138C0A">
      <w:pPr>
        <w:rPr>
          <w:rFonts w:ascii="Times New Roman" w:hAnsi="Times New Roman" w:eastAsia="宋体" w:cs="Times New Roman"/>
          <w:b/>
          <w:bCs/>
        </w:rPr>
      </w:pPr>
      <w:r>
        <w:rPr>
          <w:rFonts w:ascii="Times New Roman" w:hAnsi="Times New Roman" w:eastAsia="宋体" w:cs="Times New Roman"/>
          <w:b/>
          <w:bCs/>
        </w:rPr>
        <w:t>3. Carbon Emission Inventory for Steel Slag Asphalt Pavement Construction</w:t>
      </w:r>
    </w:p>
    <w:p w14:paraId="46F04B47">
      <w:pPr>
        <w:rPr>
          <w:rFonts w:ascii="Times New Roman" w:hAnsi="Times New Roman" w:eastAsia="宋体" w:cs="Times New Roman"/>
          <w:b/>
          <w:bCs/>
        </w:rPr>
      </w:pPr>
      <w:r>
        <w:rPr>
          <w:rFonts w:ascii="Times New Roman" w:hAnsi="Times New Roman" w:eastAsia="宋体" w:cs="Times New Roman"/>
          <w:b/>
          <w:bCs/>
        </w:rPr>
        <w:t>3.1 Carbon Emission Inventory for Raw Material Production Stage</w:t>
      </w:r>
    </w:p>
    <w:p w14:paraId="0B84AF00">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The primary raw materials for steel slag asphalt pavement include steel slag, mineral aggregates, and asphalt. The unit energy consumption and carbon emission data for producing mineral aggregates were sourced from Lian Ruiyu at Chang'an University. Production data for asphalt were obtained from a subsidiary of Sinopec [</w:t>
      </w:r>
      <w:r>
        <w:rPr>
          <w:rFonts w:hint="eastAsia" w:ascii="Times New Roman" w:hAnsi="Times New Roman" w:eastAsia="宋体"/>
          <w:kern w:val="2"/>
          <w:sz w:val="21"/>
        </w:rPr>
        <w:t>2</w:t>
      </w:r>
      <w:r>
        <w:rPr>
          <w:rFonts w:ascii="Times New Roman" w:hAnsi="Times New Roman" w:eastAsia="宋体"/>
          <w:kern w:val="2"/>
          <w:sz w:val="21"/>
        </w:rPr>
        <w:t>2]. The energy consumption and carbon emissions associated with the secondary processing of steel slag were determined as 17.89 MJ and 3.01 kg CO₂-eq, respectively. The carbon emissions generated from the production of raw materials are summarized in Table 1</w:t>
      </w:r>
    </w:p>
    <w:p w14:paraId="7C3A3C0F">
      <w:pPr>
        <w:jc w:val="center"/>
      </w:pPr>
      <w:r>
        <w:rPr>
          <w:rFonts w:hint="eastAsia" w:ascii="Times New Roman" w:hAnsi="Times New Roman" w:cs="Times New Roman"/>
          <w:b/>
          <w:bCs/>
          <w:szCs w:val="21"/>
        </w:rPr>
        <w:t xml:space="preserve">Table </w:t>
      </w:r>
      <w:r>
        <w:rPr>
          <w:rFonts w:ascii="Times New Roman" w:hAnsi="Times New Roman" w:cs="Times New Roman"/>
          <w:b/>
          <w:bCs/>
          <w:szCs w:val="21"/>
        </w:rPr>
        <w:t>1 </w:t>
      </w:r>
      <w:r>
        <w:rPr>
          <w:rFonts w:hint="eastAsia" w:ascii="Times New Roman" w:hAnsi="Times New Roman" w:cs="Times New Roman"/>
          <w:b/>
          <w:bCs/>
          <w:szCs w:val="21"/>
        </w:rPr>
        <w:t xml:space="preserve"> carbon emission inventory in raw material materialization stage</w:t>
      </w:r>
    </w:p>
    <w:tbl>
      <w:tblPr>
        <w:tblStyle w:val="9"/>
        <w:tblW w:w="9071"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4"/>
        <w:gridCol w:w="2282"/>
        <w:gridCol w:w="2282"/>
        <w:gridCol w:w="2284"/>
        <w:gridCol w:w="9"/>
      </w:tblGrid>
      <w:tr w14:paraId="3FC887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14" w:type="dxa"/>
            <w:vMerge w:val="restart"/>
            <w:vAlign w:val="center"/>
          </w:tcPr>
          <w:p w14:paraId="611EF9F7">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Material Type</w:t>
            </w:r>
          </w:p>
        </w:tc>
        <w:tc>
          <w:tcPr>
            <w:tcW w:w="2282" w:type="dxa"/>
            <w:vAlign w:val="center"/>
          </w:tcPr>
          <w:p w14:paraId="7C6875EF">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Scheme 1</w:t>
            </w:r>
          </w:p>
        </w:tc>
        <w:tc>
          <w:tcPr>
            <w:tcW w:w="2282" w:type="dxa"/>
            <w:vAlign w:val="center"/>
          </w:tcPr>
          <w:p w14:paraId="4E813FAB">
            <w:pPr>
              <w:jc w:val="center"/>
              <w:rPr>
                <w:rFonts w:ascii="Times New Roman" w:hAnsi="Times New Roman" w:eastAsia="宋体" w:cs="Times New Roman"/>
                <w:szCs w:val="21"/>
              </w:rPr>
            </w:pPr>
            <w:r>
              <w:rPr>
                <w:rFonts w:ascii="Times New Roman" w:hAnsi="Times New Roman" w:eastAsia="Segoe UI" w:cs="Times New Roman"/>
                <w:color w:val="000000"/>
                <w:spacing w:val="-2"/>
                <w:szCs w:val="21"/>
                <w:shd w:val="clear" w:color="auto" w:fill="FFFFFF"/>
              </w:rPr>
              <w:t xml:space="preserve">Scheme </w:t>
            </w:r>
            <w:r>
              <w:rPr>
                <w:rFonts w:ascii="Times New Roman" w:hAnsi="Times New Roman" w:eastAsia="宋体" w:cs="Times New Roman"/>
                <w:color w:val="000000"/>
                <w:spacing w:val="-2"/>
                <w:szCs w:val="21"/>
                <w:shd w:val="clear" w:color="auto" w:fill="FFFFFF"/>
              </w:rPr>
              <w:t>2</w:t>
            </w:r>
          </w:p>
        </w:tc>
        <w:tc>
          <w:tcPr>
            <w:tcW w:w="2293" w:type="dxa"/>
            <w:gridSpan w:val="2"/>
            <w:vAlign w:val="center"/>
          </w:tcPr>
          <w:p w14:paraId="4F74680D">
            <w:pPr>
              <w:jc w:val="center"/>
              <w:rPr>
                <w:rFonts w:ascii="Times New Roman" w:hAnsi="Times New Roman" w:eastAsia="宋体" w:cs="Times New Roman"/>
                <w:szCs w:val="21"/>
              </w:rPr>
            </w:pPr>
            <w:r>
              <w:rPr>
                <w:rFonts w:ascii="Times New Roman" w:hAnsi="Times New Roman" w:eastAsia="Segoe UI" w:cs="Times New Roman"/>
                <w:color w:val="000000"/>
                <w:spacing w:val="-2"/>
                <w:szCs w:val="21"/>
                <w:shd w:val="clear" w:color="auto" w:fill="FFFFFF"/>
              </w:rPr>
              <w:t xml:space="preserve">Scheme </w:t>
            </w:r>
            <w:r>
              <w:rPr>
                <w:rFonts w:ascii="Times New Roman" w:hAnsi="Times New Roman" w:eastAsia="宋体" w:cs="Times New Roman"/>
                <w:color w:val="000000"/>
                <w:spacing w:val="-2"/>
                <w:szCs w:val="21"/>
                <w:shd w:val="clear" w:color="auto" w:fill="FFFFFF"/>
              </w:rPr>
              <w:t>3</w:t>
            </w:r>
          </w:p>
        </w:tc>
      </w:tr>
      <w:tr w14:paraId="758513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jc w:val="center"/>
        </w:trPr>
        <w:tc>
          <w:tcPr>
            <w:tcW w:w="2214" w:type="dxa"/>
            <w:vMerge w:val="continue"/>
            <w:vAlign w:val="center"/>
          </w:tcPr>
          <w:p w14:paraId="0B125FD8">
            <w:pPr>
              <w:jc w:val="center"/>
              <w:rPr>
                <w:rFonts w:ascii="Times New Roman" w:hAnsi="Times New Roman" w:cs="Times New Roman"/>
                <w:szCs w:val="21"/>
              </w:rPr>
            </w:pPr>
          </w:p>
        </w:tc>
        <w:tc>
          <w:tcPr>
            <w:tcW w:w="2282" w:type="dxa"/>
            <w:vAlign w:val="center"/>
          </w:tcPr>
          <w:p w14:paraId="5AF39A6A">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 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c>
          <w:tcPr>
            <w:tcW w:w="2282" w:type="dxa"/>
            <w:vAlign w:val="center"/>
          </w:tcPr>
          <w:p w14:paraId="4E77B025">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 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c>
          <w:tcPr>
            <w:tcW w:w="2284" w:type="dxa"/>
            <w:tcBorders>
              <w:bottom w:val="single" w:color="auto" w:sz="8" w:space="0"/>
            </w:tcBorders>
            <w:vAlign w:val="center"/>
          </w:tcPr>
          <w:p w14:paraId="60AD5AE6">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 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r>
      <w:tr w14:paraId="2F8727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4" w:type="dxa"/>
            <w:tcBorders>
              <w:top w:val="single" w:color="auto" w:sz="8" w:space="0"/>
              <w:tl2br w:val="nil"/>
              <w:tr2bl w:val="nil"/>
            </w:tcBorders>
            <w:vAlign w:val="center"/>
          </w:tcPr>
          <w:p w14:paraId="0D3BB035">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Steel Slag</w:t>
            </w:r>
          </w:p>
        </w:tc>
        <w:tc>
          <w:tcPr>
            <w:tcW w:w="2282" w:type="dxa"/>
            <w:tcBorders>
              <w:top w:val="single" w:color="auto" w:sz="8" w:space="0"/>
              <w:tl2br w:val="nil"/>
              <w:tr2bl w:val="nil"/>
            </w:tcBorders>
            <w:vAlign w:val="center"/>
          </w:tcPr>
          <w:p w14:paraId="45E3A537">
            <w:pPr>
              <w:jc w:val="center"/>
              <w:rPr>
                <w:rFonts w:ascii="Times New Roman" w:hAnsi="Times New Roman" w:cs="Times New Roman"/>
                <w:szCs w:val="21"/>
              </w:rPr>
            </w:pPr>
            <w:r>
              <w:rPr>
                <w:rFonts w:ascii="Times New Roman" w:hAnsi="Times New Roman" w:cs="Times New Roman"/>
                <w:szCs w:val="21"/>
              </w:rPr>
              <w:t>—</w:t>
            </w:r>
          </w:p>
        </w:tc>
        <w:tc>
          <w:tcPr>
            <w:tcW w:w="2282" w:type="dxa"/>
            <w:tcBorders>
              <w:top w:val="single" w:color="auto" w:sz="8" w:space="0"/>
              <w:tl2br w:val="nil"/>
              <w:tr2bl w:val="nil"/>
            </w:tcBorders>
            <w:vAlign w:val="center"/>
          </w:tcPr>
          <w:p w14:paraId="4945FF27">
            <w:pPr>
              <w:jc w:val="center"/>
              <w:rPr>
                <w:rFonts w:ascii="Times New Roman" w:hAnsi="Times New Roman" w:cs="Times New Roman"/>
                <w:szCs w:val="21"/>
              </w:rPr>
            </w:pPr>
            <w:r>
              <w:rPr>
                <w:rFonts w:ascii="Times New Roman" w:hAnsi="Times New Roman" w:cs="Times New Roman"/>
                <w:szCs w:val="21"/>
              </w:rPr>
              <w:t xml:space="preserve">5318.20 </w:t>
            </w:r>
          </w:p>
        </w:tc>
        <w:tc>
          <w:tcPr>
            <w:tcW w:w="2284" w:type="dxa"/>
            <w:tcBorders>
              <w:top w:val="single" w:color="auto" w:sz="8" w:space="0"/>
              <w:tl2br w:val="nil"/>
              <w:tr2bl w:val="nil"/>
            </w:tcBorders>
            <w:vAlign w:val="center"/>
          </w:tcPr>
          <w:p w14:paraId="1D5A62A5">
            <w:pPr>
              <w:jc w:val="center"/>
              <w:rPr>
                <w:rFonts w:ascii="Times New Roman" w:hAnsi="Times New Roman" w:cs="Times New Roman"/>
                <w:szCs w:val="21"/>
              </w:rPr>
            </w:pPr>
            <w:r>
              <w:rPr>
                <w:rFonts w:ascii="Times New Roman" w:hAnsi="Times New Roman" w:cs="Times New Roman"/>
                <w:szCs w:val="21"/>
              </w:rPr>
              <w:t xml:space="preserve">6726.29 </w:t>
            </w:r>
          </w:p>
        </w:tc>
      </w:tr>
      <w:tr w14:paraId="0E1145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4" w:type="dxa"/>
            <w:tcBorders>
              <w:tl2br w:val="nil"/>
              <w:tr2bl w:val="nil"/>
            </w:tcBorders>
            <w:vAlign w:val="center"/>
          </w:tcPr>
          <w:p w14:paraId="6F110D8B">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Limestone </w:t>
            </w:r>
          </w:p>
        </w:tc>
        <w:tc>
          <w:tcPr>
            <w:tcW w:w="2282" w:type="dxa"/>
            <w:tcBorders>
              <w:tl2br w:val="nil"/>
              <w:tr2bl w:val="nil"/>
            </w:tcBorders>
            <w:vAlign w:val="center"/>
          </w:tcPr>
          <w:p w14:paraId="7C41798A">
            <w:pPr>
              <w:jc w:val="center"/>
              <w:rPr>
                <w:rFonts w:ascii="Times New Roman" w:hAnsi="Times New Roman" w:cs="Times New Roman"/>
                <w:szCs w:val="21"/>
              </w:rPr>
            </w:pPr>
            <w:r>
              <w:rPr>
                <w:rFonts w:ascii="Times New Roman" w:hAnsi="Times New Roman" w:cs="Times New Roman"/>
                <w:szCs w:val="21"/>
              </w:rPr>
              <w:t xml:space="preserve">16654.87 </w:t>
            </w:r>
          </w:p>
        </w:tc>
        <w:tc>
          <w:tcPr>
            <w:tcW w:w="2282" w:type="dxa"/>
            <w:tcBorders>
              <w:tl2br w:val="nil"/>
              <w:tr2bl w:val="nil"/>
            </w:tcBorders>
            <w:vAlign w:val="center"/>
          </w:tcPr>
          <w:p w14:paraId="76E0A0A2">
            <w:pPr>
              <w:jc w:val="center"/>
              <w:rPr>
                <w:rFonts w:ascii="Times New Roman" w:hAnsi="Times New Roman" w:cs="Times New Roman"/>
                <w:szCs w:val="21"/>
              </w:rPr>
            </w:pPr>
            <w:r>
              <w:rPr>
                <w:rFonts w:ascii="Times New Roman" w:hAnsi="Times New Roman" w:cs="Times New Roman"/>
                <w:szCs w:val="21"/>
              </w:rPr>
              <w:t xml:space="preserve">8203.80 </w:t>
            </w:r>
          </w:p>
        </w:tc>
        <w:tc>
          <w:tcPr>
            <w:tcW w:w="2284" w:type="dxa"/>
            <w:tcBorders>
              <w:tl2br w:val="nil"/>
              <w:tr2bl w:val="nil"/>
            </w:tcBorders>
            <w:vAlign w:val="center"/>
          </w:tcPr>
          <w:p w14:paraId="227F70A6">
            <w:pPr>
              <w:jc w:val="center"/>
              <w:rPr>
                <w:rFonts w:ascii="Times New Roman" w:hAnsi="Times New Roman" w:cs="Times New Roman"/>
                <w:szCs w:val="21"/>
              </w:rPr>
            </w:pPr>
            <w:r>
              <w:rPr>
                <w:rFonts w:ascii="Times New Roman" w:hAnsi="Times New Roman" w:cs="Times New Roman"/>
                <w:szCs w:val="21"/>
              </w:rPr>
              <w:t xml:space="preserve">6775.26 </w:t>
            </w:r>
          </w:p>
        </w:tc>
      </w:tr>
      <w:tr w14:paraId="130BCF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4" w:type="dxa"/>
            <w:tcBorders>
              <w:tl2br w:val="nil"/>
              <w:tr2bl w:val="nil"/>
            </w:tcBorders>
            <w:vAlign w:val="center"/>
          </w:tcPr>
          <w:p w14:paraId="479B9EBE">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Basalt</w:t>
            </w:r>
          </w:p>
        </w:tc>
        <w:tc>
          <w:tcPr>
            <w:tcW w:w="2282" w:type="dxa"/>
            <w:tcBorders>
              <w:tl2br w:val="nil"/>
              <w:tr2bl w:val="nil"/>
            </w:tcBorders>
            <w:vAlign w:val="center"/>
          </w:tcPr>
          <w:p w14:paraId="3825B2B8">
            <w:pPr>
              <w:jc w:val="center"/>
              <w:rPr>
                <w:rFonts w:ascii="Times New Roman" w:hAnsi="Times New Roman" w:cs="Times New Roman"/>
                <w:szCs w:val="21"/>
              </w:rPr>
            </w:pPr>
            <w:r>
              <w:rPr>
                <w:rFonts w:ascii="Times New Roman" w:hAnsi="Times New Roman" w:cs="Times New Roman"/>
                <w:szCs w:val="21"/>
              </w:rPr>
              <w:t xml:space="preserve">3865.71 </w:t>
            </w:r>
          </w:p>
        </w:tc>
        <w:tc>
          <w:tcPr>
            <w:tcW w:w="2282" w:type="dxa"/>
            <w:tcBorders>
              <w:tl2br w:val="nil"/>
              <w:tr2bl w:val="nil"/>
            </w:tcBorders>
            <w:vAlign w:val="center"/>
          </w:tcPr>
          <w:p w14:paraId="19461290">
            <w:pPr>
              <w:jc w:val="center"/>
              <w:rPr>
                <w:rFonts w:ascii="Times New Roman" w:hAnsi="Times New Roman" w:cs="Times New Roman"/>
                <w:szCs w:val="21"/>
              </w:rPr>
            </w:pPr>
            <w:r>
              <w:rPr>
                <w:rFonts w:ascii="Times New Roman" w:hAnsi="Times New Roman" w:cs="Times New Roman"/>
                <w:szCs w:val="21"/>
              </w:rPr>
              <w:t xml:space="preserve">1526.51 </w:t>
            </w:r>
          </w:p>
        </w:tc>
        <w:tc>
          <w:tcPr>
            <w:tcW w:w="2284" w:type="dxa"/>
            <w:tcBorders>
              <w:tl2br w:val="nil"/>
              <w:tr2bl w:val="nil"/>
            </w:tcBorders>
            <w:vAlign w:val="center"/>
          </w:tcPr>
          <w:p w14:paraId="3042F05C">
            <w:pPr>
              <w:jc w:val="center"/>
              <w:rPr>
                <w:rFonts w:ascii="Times New Roman" w:hAnsi="Times New Roman" w:cs="Times New Roman"/>
                <w:szCs w:val="21"/>
              </w:rPr>
            </w:pPr>
            <w:r>
              <w:rPr>
                <w:rFonts w:ascii="Times New Roman" w:hAnsi="Times New Roman" w:cs="Times New Roman"/>
                <w:szCs w:val="21"/>
              </w:rPr>
              <w:t>—</w:t>
            </w:r>
          </w:p>
        </w:tc>
      </w:tr>
      <w:tr w14:paraId="4BD1E3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4" w:type="dxa"/>
            <w:tcBorders>
              <w:tl2br w:val="nil"/>
              <w:tr2bl w:val="nil"/>
            </w:tcBorders>
            <w:vAlign w:val="center"/>
          </w:tcPr>
          <w:p w14:paraId="471C29DE">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Mineral Filler</w:t>
            </w:r>
          </w:p>
        </w:tc>
        <w:tc>
          <w:tcPr>
            <w:tcW w:w="2282" w:type="dxa"/>
            <w:tcBorders>
              <w:tl2br w:val="nil"/>
              <w:tr2bl w:val="nil"/>
            </w:tcBorders>
            <w:vAlign w:val="center"/>
          </w:tcPr>
          <w:p w14:paraId="1E7EF747">
            <w:pPr>
              <w:jc w:val="center"/>
              <w:rPr>
                <w:rFonts w:ascii="Times New Roman" w:hAnsi="Times New Roman" w:cs="Times New Roman"/>
                <w:szCs w:val="21"/>
              </w:rPr>
            </w:pPr>
            <w:r>
              <w:rPr>
                <w:rFonts w:ascii="Times New Roman" w:hAnsi="Times New Roman" w:cs="Times New Roman"/>
                <w:szCs w:val="21"/>
              </w:rPr>
              <w:t xml:space="preserve">1291.11 </w:t>
            </w:r>
          </w:p>
        </w:tc>
        <w:tc>
          <w:tcPr>
            <w:tcW w:w="2282" w:type="dxa"/>
            <w:tcBorders>
              <w:tl2br w:val="nil"/>
              <w:tr2bl w:val="nil"/>
            </w:tcBorders>
            <w:vAlign w:val="center"/>
          </w:tcPr>
          <w:p w14:paraId="07E1192A">
            <w:pPr>
              <w:jc w:val="center"/>
              <w:rPr>
                <w:rFonts w:ascii="Times New Roman" w:hAnsi="Times New Roman" w:cs="Times New Roman"/>
                <w:szCs w:val="21"/>
              </w:rPr>
            </w:pPr>
            <w:r>
              <w:rPr>
                <w:rFonts w:ascii="Times New Roman" w:hAnsi="Times New Roman" w:cs="Times New Roman"/>
                <w:szCs w:val="21"/>
              </w:rPr>
              <w:t xml:space="preserve">1298.37 </w:t>
            </w:r>
          </w:p>
        </w:tc>
        <w:tc>
          <w:tcPr>
            <w:tcW w:w="2284" w:type="dxa"/>
            <w:tcBorders>
              <w:tl2br w:val="nil"/>
              <w:tr2bl w:val="nil"/>
            </w:tcBorders>
            <w:vAlign w:val="center"/>
          </w:tcPr>
          <w:p w14:paraId="618F26D7">
            <w:pPr>
              <w:jc w:val="center"/>
              <w:rPr>
                <w:rFonts w:ascii="Times New Roman" w:hAnsi="Times New Roman" w:cs="Times New Roman"/>
                <w:szCs w:val="21"/>
              </w:rPr>
            </w:pPr>
            <w:r>
              <w:rPr>
                <w:rFonts w:ascii="Times New Roman" w:hAnsi="Times New Roman" w:cs="Times New Roman"/>
                <w:szCs w:val="21"/>
              </w:rPr>
              <w:t xml:space="preserve">1505.59 </w:t>
            </w:r>
          </w:p>
        </w:tc>
      </w:tr>
      <w:tr w14:paraId="1D2C1C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4" w:type="dxa"/>
            <w:tcBorders>
              <w:tl2br w:val="nil"/>
              <w:tr2bl w:val="nil"/>
            </w:tcBorders>
            <w:vAlign w:val="center"/>
          </w:tcPr>
          <w:p w14:paraId="4E24519A">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 70# A Asphalt </w:t>
            </w:r>
          </w:p>
        </w:tc>
        <w:tc>
          <w:tcPr>
            <w:tcW w:w="2282" w:type="dxa"/>
            <w:tcBorders>
              <w:tl2br w:val="nil"/>
              <w:tr2bl w:val="nil"/>
            </w:tcBorders>
            <w:vAlign w:val="center"/>
          </w:tcPr>
          <w:p w14:paraId="625B61FA">
            <w:pPr>
              <w:jc w:val="center"/>
              <w:rPr>
                <w:rFonts w:ascii="Times New Roman" w:hAnsi="Times New Roman" w:cs="Times New Roman"/>
                <w:szCs w:val="21"/>
              </w:rPr>
            </w:pPr>
            <w:r>
              <w:rPr>
                <w:rFonts w:ascii="Times New Roman" w:hAnsi="Times New Roman" w:cs="Times New Roman"/>
                <w:szCs w:val="21"/>
              </w:rPr>
              <w:t xml:space="preserve">9706.72 </w:t>
            </w:r>
          </w:p>
        </w:tc>
        <w:tc>
          <w:tcPr>
            <w:tcW w:w="2282" w:type="dxa"/>
            <w:tcBorders>
              <w:tl2br w:val="nil"/>
              <w:tr2bl w:val="nil"/>
            </w:tcBorders>
            <w:vAlign w:val="center"/>
          </w:tcPr>
          <w:p w14:paraId="66CA9646">
            <w:pPr>
              <w:jc w:val="center"/>
              <w:rPr>
                <w:rFonts w:ascii="Times New Roman" w:hAnsi="Times New Roman" w:cs="Times New Roman"/>
                <w:szCs w:val="21"/>
              </w:rPr>
            </w:pPr>
            <w:r>
              <w:rPr>
                <w:rFonts w:ascii="Times New Roman" w:hAnsi="Times New Roman" w:cs="Times New Roman"/>
                <w:szCs w:val="21"/>
              </w:rPr>
              <w:t xml:space="preserve">10266.51 </w:t>
            </w:r>
          </w:p>
        </w:tc>
        <w:tc>
          <w:tcPr>
            <w:tcW w:w="2284" w:type="dxa"/>
            <w:tcBorders>
              <w:tl2br w:val="nil"/>
              <w:tr2bl w:val="nil"/>
            </w:tcBorders>
            <w:vAlign w:val="center"/>
          </w:tcPr>
          <w:p w14:paraId="04F3EF33">
            <w:pPr>
              <w:jc w:val="center"/>
              <w:rPr>
                <w:rFonts w:ascii="Times New Roman" w:hAnsi="Times New Roman" w:cs="Times New Roman"/>
                <w:szCs w:val="21"/>
              </w:rPr>
            </w:pPr>
            <w:r>
              <w:rPr>
                <w:rFonts w:ascii="Times New Roman" w:hAnsi="Times New Roman" w:cs="Times New Roman"/>
                <w:szCs w:val="21"/>
              </w:rPr>
              <w:t xml:space="preserve">12069.55 </w:t>
            </w:r>
          </w:p>
        </w:tc>
      </w:tr>
      <w:tr w14:paraId="67CFA16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4" w:type="dxa"/>
            <w:tcBorders>
              <w:tl2br w:val="nil"/>
              <w:tr2bl w:val="nil"/>
            </w:tcBorders>
            <w:vAlign w:val="center"/>
          </w:tcPr>
          <w:p w14:paraId="40610F38">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SBS-Modified Asphalt</w:t>
            </w:r>
          </w:p>
        </w:tc>
        <w:tc>
          <w:tcPr>
            <w:tcW w:w="2282" w:type="dxa"/>
            <w:tcBorders>
              <w:tl2br w:val="nil"/>
              <w:tr2bl w:val="nil"/>
            </w:tcBorders>
            <w:vAlign w:val="center"/>
          </w:tcPr>
          <w:p w14:paraId="6691B41A">
            <w:pPr>
              <w:jc w:val="center"/>
              <w:rPr>
                <w:rFonts w:ascii="Times New Roman" w:hAnsi="Times New Roman" w:cs="Times New Roman"/>
                <w:szCs w:val="21"/>
              </w:rPr>
            </w:pPr>
            <w:r>
              <w:rPr>
                <w:rFonts w:ascii="Times New Roman" w:hAnsi="Times New Roman" w:cs="Times New Roman"/>
                <w:szCs w:val="21"/>
              </w:rPr>
              <w:t xml:space="preserve">7821.37 </w:t>
            </w:r>
          </w:p>
        </w:tc>
        <w:tc>
          <w:tcPr>
            <w:tcW w:w="2282" w:type="dxa"/>
            <w:tcBorders>
              <w:tl2br w:val="nil"/>
              <w:tr2bl w:val="nil"/>
            </w:tcBorders>
            <w:vAlign w:val="center"/>
          </w:tcPr>
          <w:p w14:paraId="7EB744B3">
            <w:pPr>
              <w:jc w:val="center"/>
              <w:rPr>
                <w:rFonts w:ascii="Times New Roman" w:hAnsi="Times New Roman" w:cs="Times New Roman"/>
                <w:szCs w:val="21"/>
              </w:rPr>
            </w:pPr>
            <w:r>
              <w:rPr>
                <w:rFonts w:ascii="Times New Roman" w:hAnsi="Times New Roman" w:cs="Times New Roman"/>
                <w:szCs w:val="21"/>
              </w:rPr>
              <w:t xml:space="preserve">8695.72 </w:t>
            </w:r>
          </w:p>
        </w:tc>
        <w:tc>
          <w:tcPr>
            <w:tcW w:w="2284" w:type="dxa"/>
            <w:tcBorders>
              <w:tl2br w:val="nil"/>
              <w:tr2bl w:val="nil"/>
            </w:tcBorders>
            <w:vAlign w:val="center"/>
          </w:tcPr>
          <w:p w14:paraId="57D37F83">
            <w:pPr>
              <w:jc w:val="center"/>
              <w:rPr>
                <w:rFonts w:ascii="Times New Roman" w:hAnsi="Times New Roman" w:cs="Times New Roman"/>
                <w:szCs w:val="21"/>
              </w:rPr>
            </w:pPr>
            <w:r>
              <w:rPr>
                <w:rFonts w:ascii="Times New Roman" w:hAnsi="Times New Roman" w:cs="Times New Roman"/>
                <w:szCs w:val="21"/>
              </w:rPr>
              <w:t>9097.44</w:t>
            </w:r>
          </w:p>
        </w:tc>
      </w:tr>
      <w:tr w14:paraId="5DA8DD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4" w:type="dxa"/>
            <w:tcBorders>
              <w:tl2br w:val="nil"/>
              <w:tr2bl w:val="nil"/>
            </w:tcBorders>
            <w:vAlign w:val="center"/>
          </w:tcPr>
          <w:p w14:paraId="2370AE76">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Total</w:t>
            </w:r>
          </w:p>
        </w:tc>
        <w:tc>
          <w:tcPr>
            <w:tcW w:w="2282" w:type="dxa"/>
            <w:tcBorders>
              <w:tl2br w:val="nil"/>
              <w:tr2bl w:val="nil"/>
            </w:tcBorders>
            <w:vAlign w:val="center"/>
          </w:tcPr>
          <w:p w14:paraId="34E1B2DE">
            <w:pPr>
              <w:jc w:val="center"/>
              <w:rPr>
                <w:rFonts w:ascii="Times New Roman" w:hAnsi="Times New Roman" w:cs="Times New Roman"/>
                <w:szCs w:val="21"/>
              </w:rPr>
            </w:pPr>
            <w:r>
              <w:rPr>
                <w:rFonts w:ascii="Times New Roman" w:hAnsi="Times New Roman" w:cs="Times New Roman"/>
                <w:szCs w:val="21"/>
              </w:rPr>
              <w:t xml:space="preserve">39339.77 </w:t>
            </w:r>
          </w:p>
        </w:tc>
        <w:tc>
          <w:tcPr>
            <w:tcW w:w="2282" w:type="dxa"/>
            <w:tcBorders>
              <w:tl2br w:val="nil"/>
              <w:tr2bl w:val="nil"/>
            </w:tcBorders>
            <w:vAlign w:val="center"/>
          </w:tcPr>
          <w:p w14:paraId="5197CBDC">
            <w:pPr>
              <w:jc w:val="center"/>
              <w:rPr>
                <w:rFonts w:ascii="Times New Roman" w:hAnsi="Times New Roman" w:cs="Times New Roman"/>
                <w:szCs w:val="21"/>
              </w:rPr>
            </w:pPr>
            <w:r>
              <w:rPr>
                <w:rFonts w:ascii="Times New Roman" w:hAnsi="Times New Roman" w:cs="Times New Roman"/>
                <w:szCs w:val="21"/>
              </w:rPr>
              <w:t xml:space="preserve">35538.39 </w:t>
            </w:r>
          </w:p>
        </w:tc>
        <w:tc>
          <w:tcPr>
            <w:tcW w:w="2284" w:type="dxa"/>
            <w:tcBorders>
              <w:tl2br w:val="nil"/>
              <w:tr2bl w:val="nil"/>
            </w:tcBorders>
            <w:vAlign w:val="center"/>
          </w:tcPr>
          <w:p w14:paraId="47748F43">
            <w:pPr>
              <w:jc w:val="center"/>
              <w:rPr>
                <w:rFonts w:ascii="Times New Roman" w:hAnsi="Times New Roman" w:cs="Times New Roman"/>
                <w:szCs w:val="21"/>
              </w:rPr>
            </w:pPr>
            <w:r>
              <w:rPr>
                <w:rFonts w:ascii="Times New Roman" w:hAnsi="Times New Roman" w:cs="Times New Roman"/>
                <w:szCs w:val="21"/>
              </w:rPr>
              <w:t xml:space="preserve">36288.81 </w:t>
            </w:r>
          </w:p>
        </w:tc>
      </w:tr>
    </w:tbl>
    <w:p w14:paraId="3236E72B">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As indicated in Table 1, the carbon emissions for Scheme 1 during the raw material production stage are 39,339.77 kg CO₂-eq, representing 1.10 times and 1.08 times those of Schemes 2 and 3, respectively. The primary sources of these emissions are asphalt and aggregate. In Scheme 1, aggregate and asphalt contribute 52.17% and 44.55% of the total carbon emissions, respectively. For Scheme 2, these values are 42.61% (aggregate) and 53.71% (asphalt), while Scheme 3 shows contributions of 37.32% (aggregate) and 58.52% (asphalt).</w:t>
      </w:r>
    </w:p>
    <w:p w14:paraId="7F4F235A">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The carbon emissions from aggregate in Scheme 1 are 36.36 times and 51.99 times higher than those in Schemes 2 and 3, respectively. Conversely, emissions from asphalt in Scheme 1 are 8.18 times and 17.19 times lower than in Schemes 2 and 3. This phenomenon occurs because increased steel slag incorporation replaces conventional aggregate, thereby reducing its contribution to the total production-stage emissions. However, higher steel slag content necessitates greater asphalt usage. As asphalt is a high-carbon, energy-intensive material, its increased proportion elevates the overall impact. This also explains why Scheme 2, despite incorporating less steel slag than Scheme 3, exhibits lower production-stage carbon emissions than Scheme 3.</w:t>
      </w:r>
    </w:p>
    <w:p w14:paraId="1A0C1F85">
      <w:pPr>
        <w:pStyle w:val="7"/>
        <w:widowControl/>
        <w:shd w:val="clear" w:color="auto" w:fill="FFFFFF"/>
        <w:spacing w:beforeAutospacing="0" w:afterAutospacing="0"/>
        <w:rPr>
          <w:rFonts w:ascii="Times New Roman" w:hAnsi="Times New Roman" w:eastAsia="宋体"/>
          <w:b/>
          <w:bCs/>
          <w:kern w:val="2"/>
          <w:sz w:val="21"/>
        </w:rPr>
      </w:pPr>
      <w:r>
        <w:rPr>
          <w:rFonts w:ascii="Times New Roman" w:hAnsi="Times New Roman" w:eastAsia="宋体"/>
          <w:b/>
          <w:bCs/>
          <w:kern w:val="2"/>
          <w:sz w:val="21"/>
        </w:rPr>
        <w:t>3.2 Carbon Emission Inventory for Raw Material Production Stage</w:t>
      </w:r>
    </w:p>
    <w:p w14:paraId="5E21F37A">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The following transportation distances are assumed:Limestone and basalt to asphalt mixing plant: 180 km</w:t>
      </w:r>
      <w:r>
        <w:rPr>
          <w:rFonts w:hint="eastAsia" w:ascii="Times New Roman" w:hAnsi="Times New Roman" w:eastAsia="宋体"/>
          <w:kern w:val="2"/>
          <w:sz w:val="21"/>
        </w:rPr>
        <w:t>,</w:t>
      </w:r>
      <w:r>
        <w:rPr>
          <w:rFonts w:ascii="Times New Roman" w:hAnsi="Times New Roman" w:eastAsia="宋体"/>
          <w:kern w:val="2"/>
          <w:sz w:val="21"/>
        </w:rPr>
        <w:t>Steel slag to asphalt mixing plant: 60 km</w:t>
      </w:r>
      <w:r>
        <w:rPr>
          <w:rFonts w:hint="eastAsia" w:ascii="Times New Roman" w:hAnsi="Times New Roman" w:eastAsia="宋体"/>
          <w:kern w:val="2"/>
          <w:sz w:val="21"/>
        </w:rPr>
        <w:t>,</w:t>
      </w:r>
      <w:r>
        <w:rPr>
          <w:rFonts w:ascii="Times New Roman" w:hAnsi="Times New Roman" w:eastAsia="宋体"/>
          <w:kern w:val="2"/>
          <w:sz w:val="21"/>
        </w:rPr>
        <w:t>Mineral filler to asphalt mixing plant: 50 km</w:t>
      </w:r>
      <w:r>
        <w:rPr>
          <w:rFonts w:hint="eastAsia" w:ascii="Times New Roman" w:hAnsi="Times New Roman" w:eastAsia="宋体"/>
          <w:kern w:val="2"/>
          <w:sz w:val="21"/>
        </w:rPr>
        <w:t>,</w:t>
      </w:r>
      <w:r>
        <w:rPr>
          <w:rFonts w:ascii="Times New Roman" w:hAnsi="Times New Roman" w:eastAsia="宋体"/>
          <w:kern w:val="2"/>
          <w:sz w:val="21"/>
        </w:rPr>
        <w:t>Asphalt mixing plant to construction site: 15 km</w:t>
      </w:r>
      <w:r>
        <w:rPr>
          <w:rFonts w:hint="eastAsia" w:ascii="Times New Roman" w:hAnsi="Times New Roman" w:eastAsia="宋体"/>
          <w:kern w:val="2"/>
          <w:sz w:val="21"/>
        </w:rPr>
        <w:t>,</w:t>
      </w:r>
      <w:r>
        <w:rPr>
          <w:rFonts w:ascii="Times New Roman" w:hAnsi="Times New Roman" w:eastAsia="宋体"/>
          <w:kern w:val="2"/>
          <w:sz w:val="21"/>
        </w:rPr>
        <w:t>Petroleum asphalt and SBS modified asphalt to asphalt mixing plant: 20 km</w:t>
      </w:r>
      <w:r>
        <w:rPr>
          <w:rFonts w:hint="eastAsia" w:ascii="Times New Roman" w:hAnsi="Times New Roman" w:eastAsia="宋体"/>
          <w:kern w:val="2"/>
          <w:sz w:val="21"/>
        </w:rPr>
        <w:t>,</w:t>
      </w:r>
      <w:r>
        <w:rPr>
          <w:rFonts w:ascii="Times New Roman" w:hAnsi="Times New Roman" w:eastAsia="宋体"/>
          <w:kern w:val="2"/>
          <w:sz w:val="21"/>
        </w:rPr>
        <w:t>The calculated carbon emissions for the transportation stage are detailed in Table 2.</w:t>
      </w:r>
    </w:p>
    <w:p w14:paraId="57867812">
      <w:pPr>
        <w:jc w:val="center"/>
        <w:rPr>
          <w:rFonts w:ascii="Times New Roman" w:hAnsi="Times New Roman" w:eastAsia="宋体" w:cs="Times New Roman"/>
          <w:b/>
          <w:szCs w:val="21"/>
        </w:rPr>
      </w:pPr>
      <w:r>
        <w:rPr>
          <w:rFonts w:ascii="Times New Roman" w:hAnsi="Times New Roman" w:eastAsia="宋体" w:cs="Times New Roman"/>
          <w:b/>
          <w:szCs w:val="21"/>
        </w:rPr>
        <w:t>Table 2  Carbon Emissions Inventory Generated in the Transportation Stage</w:t>
      </w:r>
    </w:p>
    <w:tbl>
      <w:tblPr>
        <w:tblStyle w:val="9"/>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0"/>
        <w:gridCol w:w="1886"/>
        <w:gridCol w:w="1886"/>
        <w:gridCol w:w="1886"/>
      </w:tblGrid>
      <w:tr w14:paraId="58C520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bottom w:val="single" w:color="auto" w:sz="8" w:space="0"/>
              <w:tl2br w:val="nil"/>
              <w:tr2bl w:val="nil"/>
            </w:tcBorders>
            <w:vAlign w:val="center"/>
          </w:tcPr>
          <w:p w14:paraId="5CB921D4">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Material Type</w:t>
            </w:r>
          </w:p>
        </w:tc>
        <w:tc>
          <w:tcPr>
            <w:tcW w:w="0" w:type="auto"/>
            <w:tcBorders>
              <w:bottom w:val="single" w:color="auto" w:sz="8" w:space="0"/>
              <w:tl2br w:val="nil"/>
              <w:tr2bl w:val="nil"/>
            </w:tcBorders>
            <w:vAlign w:val="center"/>
          </w:tcPr>
          <w:p w14:paraId="4553B34F">
            <w:pPr>
              <w:jc w:val="center"/>
              <w:rPr>
                <w:rFonts w:ascii="Times New Roman" w:hAnsi="Times New Roman" w:eastAsia="Segoe UI"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Scheme 1</w:t>
            </w:r>
          </w:p>
          <w:p w14:paraId="3712A9C1">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c>
          <w:tcPr>
            <w:tcW w:w="0" w:type="auto"/>
            <w:tcBorders>
              <w:bottom w:val="single" w:color="auto" w:sz="8" w:space="0"/>
              <w:tl2br w:val="nil"/>
              <w:tr2bl w:val="nil"/>
            </w:tcBorders>
            <w:vAlign w:val="center"/>
          </w:tcPr>
          <w:p w14:paraId="62071299">
            <w:pPr>
              <w:jc w:val="center"/>
              <w:rPr>
                <w:rFonts w:ascii="Times New Roman" w:hAnsi="Times New Roman" w:eastAsia="宋体"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 xml:space="preserve">Scheme </w:t>
            </w:r>
            <w:r>
              <w:rPr>
                <w:rFonts w:ascii="Times New Roman" w:hAnsi="Times New Roman" w:eastAsia="宋体" w:cs="Times New Roman"/>
                <w:color w:val="000000"/>
                <w:spacing w:val="-2"/>
                <w:szCs w:val="21"/>
                <w:shd w:val="clear" w:color="auto" w:fill="FFFFFF"/>
              </w:rPr>
              <w:t>2</w:t>
            </w:r>
          </w:p>
          <w:p w14:paraId="44616E58">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c>
          <w:tcPr>
            <w:tcW w:w="0" w:type="auto"/>
            <w:tcBorders>
              <w:bottom w:val="single" w:color="auto" w:sz="8" w:space="0"/>
              <w:tl2br w:val="nil"/>
              <w:tr2bl w:val="nil"/>
            </w:tcBorders>
            <w:vAlign w:val="center"/>
          </w:tcPr>
          <w:p w14:paraId="68D2FBFC">
            <w:pPr>
              <w:jc w:val="center"/>
              <w:rPr>
                <w:rFonts w:ascii="Times New Roman" w:hAnsi="Times New Roman" w:eastAsia="宋体"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 xml:space="preserve">Scheme </w:t>
            </w:r>
            <w:r>
              <w:rPr>
                <w:rFonts w:ascii="Times New Roman" w:hAnsi="Times New Roman" w:eastAsia="宋体" w:cs="Times New Roman"/>
                <w:color w:val="000000"/>
                <w:spacing w:val="-2"/>
                <w:szCs w:val="21"/>
                <w:shd w:val="clear" w:color="auto" w:fill="FFFFFF"/>
              </w:rPr>
              <w:t>3</w:t>
            </w:r>
          </w:p>
          <w:p w14:paraId="0119E079">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r>
      <w:tr w14:paraId="232C865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8" w:space="0"/>
            </w:tcBorders>
            <w:vAlign w:val="center"/>
          </w:tcPr>
          <w:p w14:paraId="1D8EF84E">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Steel Slag</w:t>
            </w:r>
          </w:p>
        </w:tc>
        <w:tc>
          <w:tcPr>
            <w:tcW w:w="0" w:type="auto"/>
            <w:tcBorders>
              <w:top w:val="single" w:color="auto" w:sz="8" w:space="0"/>
            </w:tcBorders>
            <w:vAlign w:val="center"/>
          </w:tcPr>
          <w:p w14:paraId="10D89358">
            <w:pPr>
              <w:jc w:val="center"/>
              <w:rPr>
                <w:rFonts w:ascii="Times New Roman" w:hAnsi="Times New Roman" w:cs="Times New Roman"/>
                <w:szCs w:val="21"/>
              </w:rPr>
            </w:pPr>
            <w:r>
              <w:rPr>
                <w:rFonts w:ascii="Times New Roman" w:hAnsi="Times New Roman" w:cs="Times New Roman"/>
                <w:szCs w:val="21"/>
              </w:rPr>
              <w:t>—</w:t>
            </w:r>
          </w:p>
        </w:tc>
        <w:tc>
          <w:tcPr>
            <w:tcW w:w="0" w:type="auto"/>
            <w:tcBorders>
              <w:top w:val="single" w:color="auto" w:sz="8" w:space="0"/>
            </w:tcBorders>
            <w:vAlign w:val="center"/>
          </w:tcPr>
          <w:p w14:paraId="5F9943A0">
            <w:pPr>
              <w:jc w:val="center"/>
              <w:rPr>
                <w:rFonts w:ascii="Times New Roman" w:hAnsi="Times New Roman" w:cs="Times New Roman"/>
                <w:szCs w:val="21"/>
              </w:rPr>
            </w:pPr>
            <w:r>
              <w:rPr>
                <w:rFonts w:ascii="Times New Roman" w:hAnsi="Times New Roman" w:cs="Times New Roman"/>
                <w:szCs w:val="21"/>
              </w:rPr>
              <w:t>11138.92</w:t>
            </w:r>
          </w:p>
        </w:tc>
        <w:tc>
          <w:tcPr>
            <w:tcW w:w="0" w:type="auto"/>
            <w:tcBorders>
              <w:top w:val="single" w:color="auto" w:sz="8" w:space="0"/>
            </w:tcBorders>
            <w:vAlign w:val="center"/>
          </w:tcPr>
          <w:p w14:paraId="15C434DC">
            <w:pPr>
              <w:jc w:val="center"/>
              <w:rPr>
                <w:rFonts w:ascii="Times New Roman" w:hAnsi="Times New Roman" w:cs="Times New Roman"/>
                <w:szCs w:val="21"/>
              </w:rPr>
            </w:pPr>
            <w:r>
              <w:rPr>
                <w:rFonts w:ascii="Times New Roman" w:hAnsi="Times New Roman" w:cs="Times New Roman"/>
                <w:szCs w:val="21"/>
              </w:rPr>
              <w:t>14088.15</w:t>
            </w:r>
          </w:p>
        </w:tc>
      </w:tr>
      <w:tr w14:paraId="4BE9FEC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Align w:val="center"/>
          </w:tcPr>
          <w:p w14:paraId="7E2A3D5F">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Limestone </w:t>
            </w:r>
          </w:p>
        </w:tc>
        <w:tc>
          <w:tcPr>
            <w:tcW w:w="0" w:type="auto"/>
            <w:vMerge w:val="restart"/>
            <w:vAlign w:val="center"/>
          </w:tcPr>
          <w:p w14:paraId="35816531">
            <w:pPr>
              <w:jc w:val="center"/>
              <w:rPr>
                <w:rFonts w:ascii="Times New Roman" w:hAnsi="Times New Roman" w:cs="Times New Roman"/>
                <w:szCs w:val="21"/>
              </w:rPr>
            </w:pPr>
            <w:r>
              <w:rPr>
                <w:rFonts w:ascii="Times New Roman" w:hAnsi="Times New Roman" w:cs="Times New Roman"/>
                <w:szCs w:val="21"/>
              </w:rPr>
              <w:t>58184.27</w:t>
            </w:r>
          </w:p>
        </w:tc>
        <w:tc>
          <w:tcPr>
            <w:tcW w:w="0" w:type="auto"/>
            <w:vMerge w:val="restart"/>
            <w:vAlign w:val="center"/>
          </w:tcPr>
          <w:p w14:paraId="4013D00F">
            <w:pPr>
              <w:jc w:val="center"/>
              <w:rPr>
                <w:rFonts w:ascii="Times New Roman" w:hAnsi="Times New Roman" w:cs="Times New Roman"/>
                <w:szCs w:val="21"/>
              </w:rPr>
            </w:pPr>
            <w:r>
              <w:rPr>
                <w:rFonts w:ascii="Times New Roman" w:hAnsi="Times New Roman" w:cs="Times New Roman"/>
                <w:szCs w:val="21"/>
              </w:rPr>
              <w:t>27632.56</w:t>
            </w:r>
          </w:p>
        </w:tc>
        <w:tc>
          <w:tcPr>
            <w:tcW w:w="0" w:type="auto"/>
            <w:vMerge w:val="restart"/>
            <w:vAlign w:val="center"/>
          </w:tcPr>
          <w:p w14:paraId="53219F52">
            <w:pPr>
              <w:jc w:val="center"/>
              <w:rPr>
                <w:rFonts w:ascii="Times New Roman" w:hAnsi="Times New Roman" w:cs="Times New Roman"/>
                <w:szCs w:val="21"/>
              </w:rPr>
            </w:pPr>
            <w:r>
              <w:rPr>
                <w:rFonts w:ascii="Times New Roman" w:hAnsi="Times New Roman" w:cs="Times New Roman"/>
                <w:szCs w:val="21"/>
              </w:rPr>
              <w:t>19390.28</w:t>
            </w:r>
          </w:p>
        </w:tc>
      </w:tr>
      <w:tr w14:paraId="0B9945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Align w:val="center"/>
          </w:tcPr>
          <w:p w14:paraId="6ADF1684">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Basalt</w:t>
            </w:r>
          </w:p>
        </w:tc>
        <w:tc>
          <w:tcPr>
            <w:tcW w:w="0" w:type="auto"/>
            <w:vMerge w:val="continue"/>
            <w:vAlign w:val="center"/>
          </w:tcPr>
          <w:p w14:paraId="0B6FAF15">
            <w:pPr>
              <w:jc w:val="center"/>
              <w:rPr>
                <w:rFonts w:ascii="Times New Roman" w:hAnsi="Times New Roman" w:cs="Times New Roman"/>
                <w:szCs w:val="21"/>
              </w:rPr>
            </w:pPr>
          </w:p>
        </w:tc>
        <w:tc>
          <w:tcPr>
            <w:tcW w:w="0" w:type="auto"/>
            <w:vMerge w:val="continue"/>
            <w:vAlign w:val="center"/>
          </w:tcPr>
          <w:p w14:paraId="569C661C">
            <w:pPr>
              <w:jc w:val="center"/>
              <w:rPr>
                <w:rFonts w:ascii="Times New Roman" w:hAnsi="Times New Roman" w:cs="Times New Roman"/>
                <w:szCs w:val="21"/>
              </w:rPr>
            </w:pPr>
          </w:p>
        </w:tc>
        <w:tc>
          <w:tcPr>
            <w:tcW w:w="0" w:type="auto"/>
            <w:vMerge w:val="continue"/>
            <w:vAlign w:val="center"/>
          </w:tcPr>
          <w:p w14:paraId="490623D4">
            <w:pPr>
              <w:jc w:val="center"/>
              <w:rPr>
                <w:rFonts w:ascii="Times New Roman" w:hAnsi="Times New Roman" w:cs="Times New Roman"/>
                <w:szCs w:val="21"/>
              </w:rPr>
            </w:pPr>
          </w:p>
        </w:tc>
      </w:tr>
      <w:tr w14:paraId="25BB56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Align w:val="center"/>
          </w:tcPr>
          <w:p w14:paraId="12185FE9">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Mineral Filler</w:t>
            </w:r>
          </w:p>
        </w:tc>
        <w:tc>
          <w:tcPr>
            <w:tcW w:w="0" w:type="auto"/>
            <w:vAlign w:val="center"/>
          </w:tcPr>
          <w:p w14:paraId="4C242039">
            <w:pPr>
              <w:jc w:val="center"/>
              <w:rPr>
                <w:rFonts w:ascii="Times New Roman" w:hAnsi="Times New Roman" w:cs="Times New Roman"/>
                <w:szCs w:val="21"/>
              </w:rPr>
            </w:pPr>
            <w:r>
              <w:rPr>
                <w:rFonts w:ascii="Times New Roman" w:hAnsi="Times New Roman" w:cs="Times New Roman"/>
                <w:szCs w:val="21"/>
              </w:rPr>
              <w:t>2087.86</w:t>
            </w:r>
          </w:p>
        </w:tc>
        <w:tc>
          <w:tcPr>
            <w:tcW w:w="0" w:type="auto"/>
            <w:vAlign w:val="center"/>
          </w:tcPr>
          <w:p w14:paraId="20F4F57D">
            <w:pPr>
              <w:jc w:val="center"/>
              <w:rPr>
                <w:rFonts w:ascii="Times New Roman" w:hAnsi="Times New Roman" w:cs="Times New Roman"/>
                <w:szCs w:val="21"/>
              </w:rPr>
            </w:pPr>
            <w:r>
              <w:rPr>
                <w:rFonts w:ascii="Times New Roman" w:hAnsi="Times New Roman" w:cs="Times New Roman"/>
                <w:szCs w:val="21"/>
              </w:rPr>
              <w:t>2470.34</w:t>
            </w:r>
          </w:p>
        </w:tc>
        <w:tc>
          <w:tcPr>
            <w:tcW w:w="0" w:type="auto"/>
            <w:vAlign w:val="center"/>
          </w:tcPr>
          <w:p w14:paraId="707A7A86">
            <w:pPr>
              <w:jc w:val="center"/>
              <w:rPr>
                <w:rFonts w:ascii="Times New Roman" w:hAnsi="Times New Roman" w:cs="Times New Roman"/>
                <w:szCs w:val="21"/>
              </w:rPr>
            </w:pPr>
            <w:r>
              <w:rPr>
                <w:rFonts w:ascii="Times New Roman" w:hAnsi="Times New Roman" w:cs="Times New Roman"/>
                <w:szCs w:val="21"/>
              </w:rPr>
              <w:t>2337.04</w:t>
            </w:r>
          </w:p>
        </w:tc>
      </w:tr>
      <w:tr w14:paraId="6D21FB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Align w:val="center"/>
          </w:tcPr>
          <w:p w14:paraId="1EFCB995">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Asphalt</w:t>
            </w:r>
            <w:r>
              <w:rPr>
                <w:rFonts w:ascii="Times New Roman" w:hAnsi="Times New Roman" w:eastAsia="宋体" w:cs="Times New Roman"/>
                <w:color w:val="000000"/>
                <w:spacing w:val="-2"/>
                <w:szCs w:val="21"/>
                <w:shd w:val="clear" w:color="auto" w:fill="FFFFFF"/>
              </w:rPr>
              <w:t>(</w:t>
            </w:r>
            <w:r>
              <w:rPr>
                <w:rFonts w:ascii="Times New Roman" w:hAnsi="Times New Roman" w:eastAsia="Segoe UI" w:cs="Times New Roman"/>
                <w:color w:val="000000"/>
                <w:spacing w:val="-2"/>
                <w:szCs w:val="21"/>
                <w:shd w:val="clear" w:color="auto" w:fill="FFFFFF"/>
              </w:rPr>
              <w:t>70# A Asphalt </w:t>
            </w:r>
            <w:r>
              <w:rPr>
                <w:rFonts w:ascii="Times New Roman" w:hAnsi="Times New Roman" w:cs="Times New Roman"/>
                <w:szCs w:val="21"/>
              </w:rPr>
              <w:t>/</w:t>
            </w:r>
            <w:r>
              <w:rPr>
                <w:rFonts w:ascii="Times New Roman" w:hAnsi="Times New Roman" w:eastAsia="Segoe UI" w:cs="Times New Roman"/>
                <w:color w:val="000000"/>
                <w:spacing w:val="-2"/>
                <w:szCs w:val="21"/>
                <w:shd w:val="clear" w:color="auto" w:fill="FFFFFF"/>
              </w:rPr>
              <w:t>SBS-Modified Asphalt </w:t>
            </w:r>
            <w:r>
              <w:rPr>
                <w:rFonts w:ascii="Times New Roman" w:hAnsi="Times New Roman" w:cs="Times New Roman"/>
                <w:szCs w:val="21"/>
              </w:rPr>
              <w:t>)</w:t>
            </w:r>
          </w:p>
        </w:tc>
        <w:tc>
          <w:tcPr>
            <w:tcW w:w="0" w:type="auto"/>
            <w:vAlign w:val="center"/>
          </w:tcPr>
          <w:p w14:paraId="60683FD3">
            <w:pPr>
              <w:jc w:val="center"/>
              <w:rPr>
                <w:rFonts w:ascii="Times New Roman" w:hAnsi="Times New Roman" w:cs="Times New Roman"/>
                <w:szCs w:val="21"/>
              </w:rPr>
            </w:pPr>
            <w:r>
              <w:rPr>
                <w:rFonts w:ascii="Times New Roman" w:hAnsi="Times New Roman" w:cs="Times New Roman"/>
                <w:szCs w:val="21"/>
              </w:rPr>
              <w:t>964.68</w:t>
            </w:r>
          </w:p>
        </w:tc>
        <w:tc>
          <w:tcPr>
            <w:tcW w:w="0" w:type="auto"/>
            <w:vAlign w:val="center"/>
          </w:tcPr>
          <w:p w14:paraId="1A65726C">
            <w:pPr>
              <w:jc w:val="center"/>
              <w:rPr>
                <w:rFonts w:ascii="Times New Roman" w:hAnsi="Times New Roman" w:cs="Times New Roman"/>
                <w:szCs w:val="21"/>
              </w:rPr>
            </w:pPr>
            <w:r>
              <w:rPr>
                <w:rFonts w:ascii="Times New Roman" w:hAnsi="Times New Roman" w:cs="Times New Roman"/>
                <w:szCs w:val="21"/>
              </w:rPr>
              <w:t>1034.57</w:t>
            </w:r>
          </w:p>
        </w:tc>
        <w:tc>
          <w:tcPr>
            <w:tcW w:w="0" w:type="auto"/>
            <w:vAlign w:val="center"/>
          </w:tcPr>
          <w:p w14:paraId="40E35ADF">
            <w:pPr>
              <w:jc w:val="center"/>
              <w:rPr>
                <w:rFonts w:ascii="Times New Roman" w:hAnsi="Times New Roman" w:cs="Times New Roman"/>
                <w:szCs w:val="21"/>
              </w:rPr>
            </w:pPr>
            <w:r>
              <w:rPr>
                <w:rFonts w:ascii="Times New Roman" w:hAnsi="Times New Roman" w:cs="Times New Roman"/>
                <w:szCs w:val="21"/>
              </w:rPr>
              <w:t>1184.25</w:t>
            </w:r>
          </w:p>
        </w:tc>
      </w:tr>
      <w:tr w14:paraId="77D1E3B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vAlign w:val="center"/>
          </w:tcPr>
          <w:p w14:paraId="4BB4531B">
            <w:pPr>
              <w:jc w:val="center"/>
              <w:rPr>
                <w:rFonts w:ascii="Times New Roman" w:hAnsi="Times New Roman" w:cs="Times New Roman"/>
                <w:szCs w:val="21"/>
              </w:rPr>
            </w:pPr>
            <w:r>
              <w:rPr>
                <w:rFonts w:ascii="Times New Roman" w:hAnsi="Times New Roman" w:cs="Times New Roman"/>
                <w:szCs w:val="21"/>
              </w:rPr>
              <w:t>bituminous mixture</w:t>
            </w:r>
          </w:p>
        </w:tc>
        <w:tc>
          <w:tcPr>
            <w:tcW w:w="0" w:type="auto"/>
            <w:vAlign w:val="center"/>
          </w:tcPr>
          <w:p w14:paraId="5FE521A0">
            <w:pPr>
              <w:jc w:val="center"/>
              <w:rPr>
                <w:rFonts w:ascii="Times New Roman" w:hAnsi="Times New Roman" w:cs="Times New Roman"/>
                <w:szCs w:val="21"/>
              </w:rPr>
            </w:pPr>
            <w:r>
              <w:rPr>
                <w:rFonts w:ascii="Times New Roman" w:hAnsi="Times New Roman" w:cs="Times New Roman"/>
                <w:szCs w:val="21"/>
              </w:rPr>
              <w:t>5492.41</w:t>
            </w:r>
          </w:p>
        </w:tc>
        <w:tc>
          <w:tcPr>
            <w:tcW w:w="0" w:type="auto"/>
            <w:vAlign w:val="center"/>
          </w:tcPr>
          <w:p w14:paraId="7447E9C3">
            <w:pPr>
              <w:jc w:val="center"/>
              <w:rPr>
                <w:rFonts w:ascii="Times New Roman" w:hAnsi="Times New Roman" w:cs="Times New Roman"/>
                <w:szCs w:val="21"/>
              </w:rPr>
            </w:pPr>
            <w:r>
              <w:rPr>
                <w:rFonts w:ascii="Times New Roman" w:hAnsi="Times New Roman" w:cs="Times New Roman"/>
                <w:szCs w:val="21"/>
              </w:rPr>
              <w:t>5852.62</w:t>
            </w:r>
          </w:p>
        </w:tc>
        <w:tc>
          <w:tcPr>
            <w:tcW w:w="0" w:type="auto"/>
            <w:vAlign w:val="center"/>
          </w:tcPr>
          <w:p w14:paraId="05DFDA99">
            <w:pPr>
              <w:jc w:val="center"/>
              <w:rPr>
                <w:rFonts w:ascii="Times New Roman" w:hAnsi="Times New Roman" w:cs="Times New Roman"/>
                <w:szCs w:val="21"/>
              </w:rPr>
            </w:pPr>
            <w:r>
              <w:rPr>
                <w:rFonts w:ascii="Times New Roman" w:hAnsi="Times New Roman" w:cs="Times New Roman"/>
                <w:szCs w:val="21"/>
              </w:rPr>
              <w:t>5938.54</w:t>
            </w:r>
          </w:p>
        </w:tc>
      </w:tr>
      <w:tr w14:paraId="6D7B63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bottom w:val="single" w:color="auto" w:sz="8" w:space="0"/>
            </w:tcBorders>
            <w:vAlign w:val="center"/>
          </w:tcPr>
          <w:p w14:paraId="4A18DB69">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Total</w:t>
            </w:r>
          </w:p>
        </w:tc>
        <w:tc>
          <w:tcPr>
            <w:tcW w:w="0" w:type="auto"/>
            <w:tcBorders>
              <w:bottom w:val="single" w:color="auto" w:sz="8" w:space="0"/>
            </w:tcBorders>
            <w:vAlign w:val="center"/>
          </w:tcPr>
          <w:p w14:paraId="36A62A61">
            <w:pPr>
              <w:jc w:val="center"/>
              <w:rPr>
                <w:rFonts w:ascii="Times New Roman" w:hAnsi="Times New Roman" w:cs="Times New Roman"/>
                <w:szCs w:val="21"/>
              </w:rPr>
            </w:pPr>
            <w:r>
              <w:rPr>
                <w:rFonts w:ascii="Times New Roman" w:hAnsi="Times New Roman" w:cs="Times New Roman"/>
                <w:szCs w:val="21"/>
              </w:rPr>
              <w:t>66729.21</w:t>
            </w:r>
          </w:p>
        </w:tc>
        <w:tc>
          <w:tcPr>
            <w:tcW w:w="0" w:type="auto"/>
            <w:tcBorders>
              <w:bottom w:val="single" w:color="auto" w:sz="8" w:space="0"/>
            </w:tcBorders>
            <w:vAlign w:val="center"/>
          </w:tcPr>
          <w:p w14:paraId="1FB49FE9">
            <w:pPr>
              <w:jc w:val="center"/>
              <w:rPr>
                <w:rFonts w:ascii="Times New Roman" w:hAnsi="Times New Roman" w:cs="Times New Roman"/>
                <w:szCs w:val="21"/>
              </w:rPr>
            </w:pPr>
            <w:r>
              <w:rPr>
                <w:rFonts w:ascii="Times New Roman" w:hAnsi="Times New Roman" w:cs="Times New Roman"/>
                <w:szCs w:val="21"/>
              </w:rPr>
              <w:t>48129.01</w:t>
            </w:r>
          </w:p>
        </w:tc>
        <w:tc>
          <w:tcPr>
            <w:tcW w:w="0" w:type="auto"/>
            <w:tcBorders>
              <w:bottom w:val="single" w:color="auto" w:sz="8" w:space="0"/>
            </w:tcBorders>
            <w:vAlign w:val="center"/>
          </w:tcPr>
          <w:p w14:paraId="6F676ADC">
            <w:pPr>
              <w:jc w:val="center"/>
              <w:rPr>
                <w:rFonts w:ascii="Times New Roman" w:hAnsi="Times New Roman" w:cs="Times New Roman"/>
                <w:szCs w:val="21"/>
              </w:rPr>
            </w:pPr>
            <w:r>
              <w:rPr>
                <w:rFonts w:ascii="Times New Roman" w:hAnsi="Times New Roman" w:cs="Times New Roman"/>
                <w:szCs w:val="21"/>
              </w:rPr>
              <w:t>43123.07</w:t>
            </w:r>
          </w:p>
        </w:tc>
      </w:tr>
    </w:tbl>
    <w:p w14:paraId="31967700">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As shown in Table 2, the proportions of energy consumption and carbon emissions from transporting various materials to the total energy consumption and total carbon emissions are identical across the three schemes. This is because the transportation distances and energy consumption for each material are consistent among the three scenarios, leading to the same proportion of energy consumption and carbon emissions per material. Among all materials, aggregate transportation accounts for the largest share of energy consumption and carbon emissions in each scheme, with proportions of 87.19%, 80.55%, and 77.91%, respectively. The corresponding energy consumption values are 897,650.90 MJ, 647,438.41 MJ, and 577,611.88 MJ, and the carbon emissions are 66,729.21 kg, 48,129.01 kg, and 43,123.07 kg. Specifically, the energy consumption and carbon emissions from aggregate transportation in Scheme 1 are 1.39 times and 1.55 times those in Scheme 2 and Scheme 3, respectively. This discrepancy arises because the transportation distance of natural aggregates is three times that of steel slag. The underlying assumption is that as steel slag replaces natural aggregates, the overall weight of aggregates, asphalt, and asphalt mixtures increases, requiring more machinery shifts for transportation. Consequently, energy consumption, carbon emissions, and costs naturally rise, diminishing the advantages of steel slag in terms of low energy consumption, low emissions, and low cost.</w:t>
      </w:r>
    </w:p>
    <w:p w14:paraId="746013A3">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For asphalt, mineral powder, and asphalt mixture transportation, their proportions of energy consumption and carbon emissions gradually increase. This is because higher steel slag content necessitates greater quantities of asphalt and mineral powder, significantly increasing the total weight of asphalt mixtures. Despite the shorter transportation distance for steel slag, the overall reduction in transportation energy consumption due to the increased proportion of steel slag leads to a gradual rise in the relative contribution of asphalt, mineral powder, and asphalt mixture transportation to total energy consumption and carbon emissions.</w:t>
      </w:r>
    </w:p>
    <w:p w14:paraId="24DE4FD9">
      <w:pPr>
        <w:pStyle w:val="7"/>
        <w:widowControl/>
        <w:shd w:val="clear" w:color="auto" w:fill="FFFFFF"/>
        <w:spacing w:beforeAutospacing="0" w:afterAutospacing="0"/>
        <w:rPr>
          <w:rFonts w:ascii="Times New Roman" w:hAnsi="Times New Roman" w:eastAsia="宋体"/>
          <w:b/>
          <w:bCs/>
          <w:kern w:val="2"/>
          <w:sz w:val="21"/>
        </w:rPr>
      </w:pPr>
      <w:r>
        <w:rPr>
          <w:rFonts w:ascii="Times New Roman" w:hAnsi="Times New Roman" w:eastAsia="宋体"/>
          <w:b/>
          <w:bCs/>
          <w:kern w:val="2"/>
          <w:sz w:val="21"/>
        </w:rPr>
        <w:t>3.3 Carbon Emission Inventory for the Construction Stage</w:t>
      </w:r>
    </w:p>
    <w:p w14:paraId="7FAA0694">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Due to differences in steel slag content, the density of steel slag asphalt mixtures varies, resulting in distinct energy consumption and carbon emissions during material loading, mixing, and other construction processes. Based on the inventory analysis of loaders and mixing equipment for steel slag asphalt mixtures with different content levels in previous sections, the energy consumption and carbon emissions per functional unit are presented in Table 3</w:t>
      </w:r>
    </w:p>
    <w:p w14:paraId="38CB584C">
      <w:pPr>
        <w:jc w:val="center"/>
        <w:rPr>
          <w:rFonts w:ascii="Times New Roman" w:hAnsi="Times New Roman" w:cs="Times New Roman"/>
          <w:b/>
          <w:bCs/>
          <w:szCs w:val="21"/>
        </w:rPr>
      </w:pPr>
      <w:r>
        <w:rPr>
          <w:rFonts w:hint="eastAsia" w:ascii="Times New Roman" w:hAnsi="Times New Roman" w:cs="Times New Roman"/>
          <w:b/>
          <w:bCs/>
          <w:szCs w:val="21"/>
        </w:rPr>
        <w:t>Table 3</w:t>
      </w:r>
      <w:r>
        <w:rPr>
          <w:rFonts w:ascii="Times New Roman" w:hAnsi="Times New Roman" w:cs="Times New Roman"/>
          <w:b/>
          <w:bCs/>
          <w:szCs w:val="21"/>
        </w:rPr>
        <w:t xml:space="preserve"> </w:t>
      </w:r>
      <w:r>
        <w:rPr>
          <w:rFonts w:hint="eastAsia" w:ascii="Times New Roman" w:hAnsi="Times New Roman" w:cs="Times New Roman"/>
          <w:b/>
          <w:bCs/>
          <w:szCs w:val="21"/>
        </w:rPr>
        <w:t>Carbon Emissions Inventory in the Construction Stage</w:t>
      </w:r>
    </w:p>
    <w:tbl>
      <w:tblPr>
        <w:tblStyle w:val="9"/>
        <w:tblW w:w="9053"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1"/>
        <w:gridCol w:w="2298"/>
        <w:gridCol w:w="2262"/>
        <w:gridCol w:w="2282"/>
      </w:tblGrid>
      <w:tr w14:paraId="43D1E6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211" w:type="dxa"/>
            <w:vAlign w:val="center"/>
          </w:tcPr>
          <w:p w14:paraId="6C073140">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Process Stages </w:t>
            </w:r>
          </w:p>
        </w:tc>
        <w:tc>
          <w:tcPr>
            <w:tcW w:w="2298" w:type="dxa"/>
            <w:vAlign w:val="center"/>
          </w:tcPr>
          <w:p w14:paraId="6AF955B0">
            <w:pPr>
              <w:jc w:val="center"/>
              <w:rPr>
                <w:rFonts w:ascii="Times New Roman" w:hAnsi="Times New Roman" w:eastAsia="Segoe UI"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Scheme 1</w:t>
            </w:r>
          </w:p>
          <w:p w14:paraId="7A594170">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c>
          <w:tcPr>
            <w:tcW w:w="2262" w:type="dxa"/>
            <w:vAlign w:val="center"/>
          </w:tcPr>
          <w:p w14:paraId="4D30534F">
            <w:pPr>
              <w:jc w:val="center"/>
              <w:rPr>
                <w:rFonts w:ascii="Times New Roman" w:hAnsi="Times New Roman" w:eastAsia="宋体"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 xml:space="preserve">Scheme </w:t>
            </w:r>
            <w:r>
              <w:rPr>
                <w:rFonts w:ascii="Times New Roman" w:hAnsi="Times New Roman" w:eastAsia="宋体" w:cs="Times New Roman"/>
                <w:color w:val="000000"/>
                <w:spacing w:val="-2"/>
                <w:szCs w:val="21"/>
                <w:shd w:val="clear" w:color="auto" w:fill="FFFFFF"/>
              </w:rPr>
              <w:t>2</w:t>
            </w:r>
          </w:p>
          <w:p w14:paraId="51F8CDA6">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c>
          <w:tcPr>
            <w:tcW w:w="2282" w:type="dxa"/>
            <w:tcBorders>
              <w:bottom w:val="single" w:color="auto" w:sz="8" w:space="0"/>
            </w:tcBorders>
            <w:vAlign w:val="center"/>
          </w:tcPr>
          <w:p w14:paraId="50F62BE0">
            <w:pPr>
              <w:jc w:val="center"/>
              <w:rPr>
                <w:rFonts w:ascii="Times New Roman" w:hAnsi="Times New Roman" w:eastAsia="宋体"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 xml:space="preserve">Scheme </w:t>
            </w:r>
            <w:r>
              <w:rPr>
                <w:rFonts w:ascii="Times New Roman" w:hAnsi="Times New Roman" w:eastAsia="宋体" w:cs="Times New Roman"/>
                <w:color w:val="000000"/>
                <w:spacing w:val="-2"/>
                <w:szCs w:val="21"/>
                <w:shd w:val="clear" w:color="auto" w:fill="FFFFFF"/>
              </w:rPr>
              <w:t>3</w:t>
            </w:r>
          </w:p>
          <w:p w14:paraId="0EFE10A9">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r>
      <w:tr w14:paraId="067A44E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11" w:type="dxa"/>
            <w:tcBorders>
              <w:top w:val="single" w:color="auto" w:sz="8" w:space="0"/>
              <w:tl2br w:val="nil"/>
              <w:tr2bl w:val="nil"/>
            </w:tcBorders>
            <w:vAlign w:val="center"/>
          </w:tcPr>
          <w:p w14:paraId="6685BFA7">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Material Loading </w:t>
            </w:r>
          </w:p>
        </w:tc>
        <w:tc>
          <w:tcPr>
            <w:tcW w:w="2298" w:type="dxa"/>
            <w:tcBorders>
              <w:top w:val="single" w:color="auto" w:sz="8" w:space="0"/>
              <w:tl2br w:val="nil"/>
              <w:tr2bl w:val="nil"/>
            </w:tcBorders>
            <w:vAlign w:val="center"/>
          </w:tcPr>
          <w:p w14:paraId="3416581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1351.09 </w:t>
            </w:r>
          </w:p>
        </w:tc>
        <w:tc>
          <w:tcPr>
            <w:tcW w:w="2262" w:type="dxa"/>
            <w:tcBorders>
              <w:top w:val="single" w:color="auto" w:sz="8" w:space="0"/>
              <w:tl2br w:val="nil"/>
              <w:tr2bl w:val="nil"/>
            </w:tcBorders>
            <w:vAlign w:val="center"/>
          </w:tcPr>
          <w:p w14:paraId="583F2055">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1460.20 </w:t>
            </w:r>
          </w:p>
        </w:tc>
        <w:tc>
          <w:tcPr>
            <w:tcW w:w="2282" w:type="dxa"/>
            <w:tcBorders>
              <w:top w:val="single" w:color="auto" w:sz="8" w:space="0"/>
              <w:tl2br w:val="nil"/>
              <w:tr2bl w:val="nil"/>
            </w:tcBorders>
            <w:vAlign w:val="center"/>
          </w:tcPr>
          <w:p w14:paraId="08C847E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1490.36 </w:t>
            </w:r>
          </w:p>
        </w:tc>
      </w:tr>
      <w:tr w14:paraId="5AFDC3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11" w:type="dxa"/>
            <w:tcBorders>
              <w:tl2br w:val="nil"/>
              <w:tr2bl w:val="nil"/>
            </w:tcBorders>
            <w:vAlign w:val="center"/>
          </w:tcPr>
          <w:p w14:paraId="1BB2144F">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Mixing</w:t>
            </w:r>
          </w:p>
        </w:tc>
        <w:tc>
          <w:tcPr>
            <w:tcW w:w="2298" w:type="dxa"/>
            <w:tcBorders>
              <w:tl2br w:val="nil"/>
              <w:tr2bl w:val="nil"/>
            </w:tcBorders>
            <w:vAlign w:val="center"/>
          </w:tcPr>
          <w:p w14:paraId="19C1CBA1">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27507.30 </w:t>
            </w:r>
          </w:p>
        </w:tc>
        <w:tc>
          <w:tcPr>
            <w:tcW w:w="2262" w:type="dxa"/>
            <w:tcBorders>
              <w:tl2br w:val="nil"/>
              <w:tr2bl w:val="nil"/>
            </w:tcBorders>
            <w:vAlign w:val="center"/>
          </w:tcPr>
          <w:p w14:paraId="3AADAA6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29733.74 </w:t>
            </w:r>
          </w:p>
        </w:tc>
        <w:tc>
          <w:tcPr>
            <w:tcW w:w="2282" w:type="dxa"/>
            <w:tcBorders>
              <w:tl2br w:val="nil"/>
              <w:tr2bl w:val="nil"/>
            </w:tcBorders>
            <w:vAlign w:val="center"/>
          </w:tcPr>
          <w:p w14:paraId="336F96ED">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30404.07 </w:t>
            </w:r>
          </w:p>
        </w:tc>
      </w:tr>
      <w:tr w14:paraId="0B34C1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11" w:type="dxa"/>
            <w:tcBorders>
              <w:tl2br w:val="nil"/>
              <w:tr2bl w:val="nil"/>
            </w:tcBorders>
            <w:vAlign w:val="center"/>
          </w:tcPr>
          <w:p w14:paraId="544521E4">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 Paving</w:t>
            </w:r>
          </w:p>
        </w:tc>
        <w:tc>
          <w:tcPr>
            <w:tcW w:w="2298" w:type="dxa"/>
            <w:tcBorders>
              <w:tl2br w:val="nil"/>
              <w:tr2bl w:val="nil"/>
            </w:tcBorders>
            <w:vAlign w:val="center"/>
          </w:tcPr>
          <w:p w14:paraId="7B31FDD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284.57 </w:t>
            </w:r>
          </w:p>
        </w:tc>
        <w:tc>
          <w:tcPr>
            <w:tcW w:w="2262" w:type="dxa"/>
            <w:tcBorders>
              <w:tl2br w:val="nil"/>
              <w:tr2bl w:val="nil"/>
            </w:tcBorders>
            <w:vAlign w:val="center"/>
          </w:tcPr>
          <w:p w14:paraId="47E4356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284.57 </w:t>
            </w:r>
          </w:p>
        </w:tc>
        <w:tc>
          <w:tcPr>
            <w:tcW w:w="2282" w:type="dxa"/>
            <w:tcBorders>
              <w:tl2br w:val="nil"/>
              <w:tr2bl w:val="nil"/>
            </w:tcBorders>
            <w:vAlign w:val="center"/>
          </w:tcPr>
          <w:p w14:paraId="18E102C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284.57 </w:t>
            </w:r>
          </w:p>
        </w:tc>
      </w:tr>
      <w:tr w14:paraId="075E89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11" w:type="dxa"/>
            <w:tcBorders>
              <w:tl2br w:val="nil"/>
              <w:tr2bl w:val="nil"/>
            </w:tcBorders>
            <w:vAlign w:val="center"/>
          </w:tcPr>
          <w:p w14:paraId="01EEFA61">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Compaction</w:t>
            </w:r>
          </w:p>
        </w:tc>
        <w:tc>
          <w:tcPr>
            <w:tcW w:w="2298" w:type="dxa"/>
            <w:tcBorders>
              <w:tl2br w:val="nil"/>
              <w:tr2bl w:val="nil"/>
            </w:tcBorders>
            <w:vAlign w:val="center"/>
          </w:tcPr>
          <w:p w14:paraId="4808104A">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7629.23</w:t>
            </w:r>
          </w:p>
        </w:tc>
        <w:tc>
          <w:tcPr>
            <w:tcW w:w="2262" w:type="dxa"/>
            <w:tcBorders>
              <w:tl2br w:val="nil"/>
              <w:tr2bl w:val="nil"/>
            </w:tcBorders>
            <w:vAlign w:val="center"/>
          </w:tcPr>
          <w:p w14:paraId="7865B170">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7629.23</w:t>
            </w:r>
          </w:p>
        </w:tc>
        <w:tc>
          <w:tcPr>
            <w:tcW w:w="2282" w:type="dxa"/>
            <w:tcBorders>
              <w:tl2br w:val="nil"/>
              <w:tr2bl w:val="nil"/>
            </w:tcBorders>
            <w:vAlign w:val="center"/>
          </w:tcPr>
          <w:p w14:paraId="7054FC43">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7629.23</w:t>
            </w:r>
          </w:p>
        </w:tc>
      </w:tr>
      <w:tr w14:paraId="36ADD0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11" w:type="dxa"/>
            <w:tcBorders>
              <w:tl2br w:val="nil"/>
              <w:tr2bl w:val="nil"/>
            </w:tcBorders>
            <w:vAlign w:val="center"/>
          </w:tcPr>
          <w:p w14:paraId="50D97A3A">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Total</w:t>
            </w:r>
          </w:p>
        </w:tc>
        <w:tc>
          <w:tcPr>
            <w:tcW w:w="2298" w:type="dxa"/>
            <w:tcBorders>
              <w:tl2br w:val="nil"/>
              <w:tr2bl w:val="nil"/>
            </w:tcBorders>
            <w:vAlign w:val="center"/>
          </w:tcPr>
          <w:p w14:paraId="4232ED78">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36772.19 </w:t>
            </w:r>
          </w:p>
        </w:tc>
        <w:tc>
          <w:tcPr>
            <w:tcW w:w="2262" w:type="dxa"/>
            <w:tcBorders>
              <w:tl2br w:val="nil"/>
              <w:tr2bl w:val="nil"/>
            </w:tcBorders>
            <w:vAlign w:val="center"/>
          </w:tcPr>
          <w:p w14:paraId="36CCEBBC">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39107.75 </w:t>
            </w:r>
          </w:p>
        </w:tc>
        <w:tc>
          <w:tcPr>
            <w:tcW w:w="2282" w:type="dxa"/>
            <w:tcBorders>
              <w:tl2br w:val="nil"/>
              <w:tr2bl w:val="nil"/>
            </w:tcBorders>
            <w:vAlign w:val="center"/>
          </w:tcPr>
          <w:p w14:paraId="6E7C6EA6">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39808.23 </w:t>
            </w:r>
          </w:p>
        </w:tc>
      </w:tr>
    </w:tbl>
    <w:p w14:paraId="4536548B">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As shown in Table 3, the mixing and compaction processes are the two key factors influencing the total carbon emissions during the construction stage of both conventional and steel slag asphalt pavements (SSAP). Among these, the mixing process generates the highest carbon emissions, with values of 27,507.30 kg, 29,733.74 kg, and 30,404.07 kg for the three schemes, respectively. The energy consumption and carbon emissions of Scheme 2 and Scheme 3 are 1.06 times and 1.08 times those of Scheme 1, respectively. This phenomenon arises because as the steel slag content increases, the density of the steel slag asphalt mixture rises, requiring more energy for mixing compared to conventional asphalt mixtures, thereby resulting in higher carbon emissions than Scheme 1.</w:t>
      </w:r>
    </w:p>
    <w:p w14:paraId="505636E8">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Carbon emissions from the material loading process exhibit a gradual incremental trend, with values of 1,351.09 kg, 1,460.20 kg, and 1,490.36 kg. This is primarily attributed to the progressively increasing density of the steel slag asphalt mixture across Schemes 1 to 3, leading to greater total weight of the mixture in Scheme 3 compared to Scheme 2, and Scheme 2 compared to Scheme 1. Consequently, under loaders with equivalent capacity, the energy consumed during material loading increases stepwise, naturally leading to a gradual rise in carbon emissions.</w:t>
      </w:r>
    </w:p>
    <w:p w14:paraId="16853707">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Regarding the paving and compaction processes, the carbon emissions for all three schemes are identical, yet their proportional contributions differ. This discrepancy stems from the varying total carbon emissions across the construction stages of the three schemes, meaning the impact of paving and compaction on the overall construction stage carbon footprint differs among the schemes.</w:t>
      </w:r>
    </w:p>
    <w:p w14:paraId="0F9CCBBB">
      <w:pPr>
        <w:pStyle w:val="7"/>
        <w:widowControl/>
        <w:shd w:val="clear" w:color="auto" w:fill="FFFFFF"/>
        <w:spacing w:beforeAutospacing="0" w:afterAutospacing="0"/>
        <w:rPr>
          <w:rFonts w:ascii="Times New Roman" w:hAnsi="Times New Roman" w:eastAsia="宋体"/>
          <w:b/>
          <w:bCs/>
          <w:kern w:val="2"/>
          <w:sz w:val="21"/>
        </w:rPr>
      </w:pPr>
      <w:r>
        <w:rPr>
          <w:rFonts w:ascii="Times New Roman" w:hAnsi="Times New Roman" w:eastAsia="宋体"/>
          <w:b/>
          <w:bCs/>
          <w:kern w:val="2"/>
          <w:sz w:val="21"/>
        </w:rPr>
        <w:t>3.</w:t>
      </w:r>
      <w:r>
        <w:rPr>
          <w:rFonts w:hint="eastAsia" w:ascii="Times New Roman" w:hAnsi="Times New Roman" w:eastAsia="宋体"/>
          <w:b/>
          <w:bCs/>
          <w:kern w:val="2"/>
          <w:sz w:val="21"/>
        </w:rPr>
        <w:t>4</w:t>
      </w:r>
      <w:r>
        <w:rPr>
          <w:rFonts w:ascii="Times New Roman" w:hAnsi="Times New Roman" w:eastAsia="宋体"/>
          <w:b/>
          <w:bCs/>
          <w:kern w:val="2"/>
          <w:sz w:val="21"/>
        </w:rPr>
        <w:t>Carbon Emission Inventory for the Construction Period of Steel Slag Asphalt Pavement</w:t>
      </w:r>
    </w:p>
    <w:p w14:paraId="0D4083A7">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Based on the above calculations, the carbon emission inventory for the construction period of steel slag asphalt pavement is presented in Table 4.</w:t>
      </w:r>
    </w:p>
    <w:p w14:paraId="7F07526A">
      <w:pPr>
        <w:jc w:val="center"/>
        <w:rPr>
          <w:rFonts w:ascii="Times New Roman" w:hAnsi="Times New Roman" w:eastAsia="宋体" w:cs="Times New Roman"/>
          <w:b/>
          <w:szCs w:val="21"/>
        </w:rPr>
      </w:pPr>
      <w:r>
        <w:rPr>
          <w:rFonts w:hint="eastAsia" w:ascii="Times New Roman" w:hAnsi="Times New Roman" w:eastAsia="宋体" w:cs="Times New Roman"/>
          <w:b/>
          <w:szCs w:val="21"/>
        </w:rPr>
        <w:t xml:space="preserve">Table 4 Carbon emission inventory of steel slag asphalt pavement construction </w:t>
      </w:r>
    </w:p>
    <w:p w14:paraId="56F1A7EA">
      <w:pPr>
        <w:jc w:val="center"/>
        <w:rPr>
          <w:rFonts w:ascii="Times New Roman" w:hAnsi="Times New Roman" w:eastAsia="宋体" w:cs="Times New Roman"/>
          <w:b/>
          <w:szCs w:val="21"/>
        </w:rPr>
      </w:pPr>
      <w:r>
        <w:rPr>
          <w:rFonts w:hint="eastAsia" w:ascii="Times New Roman" w:hAnsi="Times New Roman" w:eastAsia="宋体" w:cs="Times New Roman"/>
          <w:b/>
          <w:szCs w:val="21"/>
        </w:rPr>
        <w:t>under different mixing proportions</w:t>
      </w:r>
    </w:p>
    <w:tbl>
      <w:tblPr>
        <w:tblStyle w:val="9"/>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338"/>
        <w:gridCol w:w="2338"/>
        <w:gridCol w:w="2340"/>
      </w:tblGrid>
      <w:tr w14:paraId="4EDE2C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221" w:type="pct"/>
            <w:vAlign w:val="center"/>
          </w:tcPr>
          <w:p w14:paraId="0FC39C25">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Life Cycle Stages</w:t>
            </w:r>
          </w:p>
        </w:tc>
        <w:tc>
          <w:tcPr>
            <w:tcW w:w="1259" w:type="pct"/>
            <w:vAlign w:val="center"/>
          </w:tcPr>
          <w:p w14:paraId="5E49ECA4">
            <w:pPr>
              <w:jc w:val="center"/>
              <w:rPr>
                <w:rFonts w:ascii="Times New Roman" w:hAnsi="Times New Roman" w:eastAsia="Segoe UI"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Scheme 1</w:t>
            </w:r>
          </w:p>
          <w:p w14:paraId="55082811">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c>
          <w:tcPr>
            <w:tcW w:w="1259" w:type="pct"/>
            <w:vAlign w:val="center"/>
          </w:tcPr>
          <w:p w14:paraId="34F601DF">
            <w:pPr>
              <w:jc w:val="center"/>
              <w:rPr>
                <w:rFonts w:ascii="Times New Roman" w:hAnsi="Times New Roman" w:eastAsia="宋体"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 xml:space="preserve">Scheme </w:t>
            </w:r>
            <w:r>
              <w:rPr>
                <w:rFonts w:ascii="Times New Roman" w:hAnsi="Times New Roman" w:eastAsia="宋体" w:cs="Times New Roman"/>
                <w:color w:val="000000"/>
                <w:spacing w:val="-2"/>
                <w:szCs w:val="21"/>
                <w:shd w:val="clear" w:color="auto" w:fill="FFFFFF"/>
              </w:rPr>
              <w:t>2</w:t>
            </w:r>
          </w:p>
          <w:p w14:paraId="5CB29EDA">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c>
          <w:tcPr>
            <w:tcW w:w="1260" w:type="pct"/>
            <w:tcBorders>
              <w:bottom w:val="single" w:color="auto" w:sz="8" w:space="0"/>
            </w:tcBorders>
            <w:vAlign w:val="center"/>
          </w:tcPr>
          <w:p w14:paraId="4B84FF0A">
            <w:pPr>
              <w:jc w:val="center"/>
              <w:rPr>
                <w:rFonts w:ascii="Times New Roman" w:hAnsi="Times New Roman" w:eastAsia="宋体" w:cs="Times New Roman"/>
                <w:color w:val="000000"/>
                <w:spacing w:val="-2"/>
                <w:szCs w:val="21"/>
                <w:shd w:val="clear" w:color="auto" w:fill="FFFFFF"/>
              </w:rPr>
            </w:pPr>
            <w:r>
              <w:rPr>
                <w:rFonts w:ascii="Times New Roman" w:hAnsi="Times New Roman" w:eastAsia="Segoe UI" w:cs="Times New Roman"/>
                <w:color w:val="000000"/>
                <w:spacing w:val="-2"/>
                <w:szCs w:val="21"/>
                <w:shd w:val="clear" w:color="auto" w:fill="FFFFFF"/>
              </w:rPr>
              <w:t xml:space="preserve">Scheme </w:t>
            </w:r>
            <w:r>
              <w:rPr>
                <w:rFonts w:ascii="Times New Roman" w:hAnsi="Times New Roman" w:eastAsia="宋体" w:cs="Times New Roman"/>
                <w:color w:val="000000"/>
                <w:spacing w:val="-2"/>
                <w:szCs w:val="21"/>
                <w:shd w:val="clear" w:color="auto" w:fill="FFFFFF"/>
              </w:rPr>
              <w:t>3</w:t>
            </w:r>
          </w:p>
          <w:p w14:paraId="48390769">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Carbon</w:t>
            </w:r>
            <w:r>
              <w:rPr>
                <w:rFonts w:ascii="Times New Roman" w:hAnsi="Times New Roman" w:eastAsia="宋体" w:cs="Times New Roman"/>
                <w:color w:val="000000"/>
                <w:spacing w:val="-2"/>
                <w:szCs w:val="21"/>
                <w:shd w:val="clear" w:color="auto" w:fill="FFFFFF"/>
              </w:rPr>
              <w:t xml:space="preserve"> </w:t>
            </w:r>
            <w:r>
              <w:rPr>
                <w:rFonts w:ascii="Times New Roman" w:hAnsi="Times New Roman" w:eastAsia="Segoe UI" w:cs="Times New Roman"/>
                <w:color w:val="000000"/>
                <w:spacing w:val="-2"/>
                <w:szCs w:val="21"/>
                <w:shd w:val="clear" w:color="auto" w:fill="FFFFFF"/>
              </w:rPr>
              <w:t>Emissions</w:t>
            </w:r>
            <w:r>
              <w:rPr>
                <w:rFonts w:ascii="Times New Roman" w:hAnsi="Times New Roman" w:eastAsia="宋体" w:cs="Times New Roman"/>
                <w:color w:val="000000"/>
                <w:kern w:val="0"/>
                <w:szCs w:val="21"/>
                <w:lang w:bidi="ar"/>
              </w:rPr>
              <w:t>(</w:t>
            </w:r>
            <w:r>
              <w:rPr>
                <w:rFonts w:ascii="Times New Roman" w:hAnsi="Times New Roman" w:cs="Times New Roman"/>
                <w:szCs w:val="21"/>
              </w:rPr>
              <w:t>kg</w:t>
            </w:r>
            <w:r>
              <w:rPr>
                <w:rFonts w:ascii="Times New Roman" w:hAnsi="Times New Roman" w:eastAsia="宋体" w:cs="Times New Roman"/>
                <w:color w:val="000000"/>
                <w:kern w:val="0"/>
                <w:szCs w:val="21"/>
                <w:lang w:bidi="ar"/>
              </w:rPr>
              <w:t>)</w:t>
            </w:r>
          </w:p>
        </w:tc>
      </w:tr>
      <w:tr w14:paraId="4F3896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21" w:type="pct"/>
            <w:tcBorders>
              <w:top w:val="single" w:color="auto" w:sz="8" w:space="0"/>
              <w:tl2br w:val="nil"/>
              <w:tr2bl w:val="nil"/>
            </w:tcBorders>
            <w:vAlign w:val="center"/>
          </w:tcPr>
          <w:p w14:paraId="3C6780EA">
            <w:pPr>
              <w:adjustRightInd w:val="0"/>
              <w:snapToGrid w:val="0"/>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 Raw Material Production</w:t>
            </w:r>
          </w:p>
        </w:tc>
        <w:tc>
          <w:tcPr>
            <w:tcW w:w="1259" w:type="pct"/>
            <w:tcBorders>
              <w:top w:val="single" w:color="auto" w:sz="8" w:space="0"/>
              <w:tl2br w:val="nil"/>
              <w:tr2bl w:val="nil"/>
            </w:tcBorders>
            <w:vAlign w:val="center"/>
          </w:tcPr>
          <w:p w14:paraId="69C96F91">
            <w:pPr>
              <w:jc w:val="center"/>
              <w:rPr>
                <w:rFonts w:ascii="Times New Roman" w:hAnsi="Times New Roman" w:cs="Times New Roman"/>
                <w:szCs w:val="21"/>
              </w:rPr>
            </w:pPr>
            <w:r>
              <w:rPr>
                <w:rFonts w:ascii="Times New Roman" w:hAnsi="Times New Roman" w:cs="Times New Roman"/>
                <w:szCs w:val="21"/>
              </w:rPr>
              <w:t xml:space="preserve">39339.77 </w:t>
            </w:r>
          </w:p>
        </w:tc>
        <w:tc>
          <w:tcPr>
            <w:tcW w:w="1259" w:type="pct"/>
            <w:tcBorders>
              <w:top w:val="single" w:color="auto" w:sz="8" w:space="0"/>
              <w:tl2br w:val="nil"/>
              <w:tr2bl w:val="nil"/>
            </w:tcBorders>
            <w:vAlign w:val="center"/>
          </w:tcPr>
          <w:p w14:paraId="6FC9F05B">
            <w:pPr>
              <w:jc w:val="center"/>
              <w:rPr>
                <w:rFonts w:ascii="Times New Roman" w:hAnsi="Times New Roman" w:cs="Times New Roman"/>
                <w:szCs w:val="21"/>
              </w:rPr>
            </w:pPr>
            <w:r>
              <w:rPr>
                <w:rFonts w:ascii="Times New Roman" w:hAnsi="Times New Roman" w:cs="Times New Roman"/>
                <w:szCs w:val="21"/>
              </w:rPr>
              <w:t xml:space="preserve">35538.39 </w:t>
            </w:r>
          </w:p>
        </w:tc>
        <w:tc>
          <w:tcPr>
            <w:tcW w:w="1260" w:type="pct"/>
            <w:tcBorders>
              <w:top w:val="single" w:color="auto" w:sz="8" w:space="0"/>
              <w:tl2br w:val="nil"/>
              <w:tr2bl w:val="nil"/>
            </w:tcBorders>
            <w:vAlign w:val="center"/>
          </w:tcPr>
          <w:p w14:paraId="3116B55E">
            <w:pPr>
              <w:jc w:val="center"/>
              <w:rPr>
                <w:rFonts w:ascii="Times New Roman" w:hAnsi="Times New Roman" w:cs="Times New Roman"/>
                <w:szCs w:val="21"/>
              </w:rPr>
            </w:pPr>
            <w:r>
              <w:rPr>
                <w:rFonts w:ascii="Times New Roman" w:hAnsi="Times New Roman" w:cs="Times New Roman"/>
                <w:szCs w:val="21"/>
              </w:rPr>
              <w:t xml:space="preserve">36288.81 </w:t>
            </w:r>
          </w:p>
        </w:tc>
      </w:tr>
      <w:tr w14:paraId="532B9C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21" w:type="pct"/>
            <w:tcBorders>
              <w:tl2br w:val="nil"/>
              <w:tr2bl w:val="nil"/>
            </w:tcBorders>
            <w:vAlign w:val="center"/>
          </w:tcPr>
          <w:p w14:paraId="48F6D91B">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Transportation </w:t>
            </w:r>
          </w:p>
        </w:tc>
        <w:tc>
          <w:tcPr>
            <w:tcW w:w="1259" w:type="pct"/>
            <w:tcBorders>
              <w:tl2br w:val="nil"/>
              <w:tr2bl w:val="nil"/>
            </w:tcBorders>
            <w:vAlign w:val="center"/>
          </w:tcPr>
          <w:p w14:paraId="40F3B301">
            <w:pPr>
              <w:jc w:val="center"/>
              <w:rPr>
                <w:rFonts w:ascii="Times New Roman" w:hAnsi="Times New Roman" w:cs="Times New Roman"/>
                <w:szCs w:val="21"/>
              </w:rPr>
            </w:pPr>
            <w:r>
              <w:rPr>
                <w:rFonts w:ascii="Times New Roman" w:hAnsi="Times New Roman" w:cs="Times New Roman"/>
                <w:szCs w:val="21"/>
              </w:rPr>
              <w:t xml:space="preserve">66729.21 </w:t>
            </w:r>
          </w:p>
        </w:tc>
        <w:tc>
          <w:tcPr>
            <w:tcW w:w="1259" w:type="pct"/>
            <w:tcBorders>
              <w:tl2br w:val="nil"/>
              <w:tr2bl w:val="nil"/>
            </w:tcBorders>
            <w:vAlign w:val="center"/>
          </w:tcPr>
          <w:p w14:paraId="6027112B">
            <w:pPr>
              <w:jc w:val="center"/>
              <w:rPr>
                <w:rFonts w:ascii="Times New Roman" w:hAnsi="Times New Roman" w:cs="Times New Roman"/>
                <w:szCs w:val="21"/>
              </w:rPr>
            </w:pPr>
            <w:r>
              <w:rPr>
                <w:rFonts w:ascii="Times New Roman" w:hAnsi="Times New Roman" w:cs="Times New Roman"/>
                <w:szCs w:val="21"/>
              </w:rPr>
              <w:t xml:space="preserve">48129.01 </w:t>
            </w:r>
          </w:p>
        </w:tc>
        <w:tc>
          <w:tcPr>
            <w:tcW w:w="1260" w:type="pct"/>
            <w:tcBorders>
              <w:tl2br w:val="nil"/>
              <w:tr2bl w:val="nil"/>
            </w:tcBorders>
            <w:vAlign w:val="center"/>
          </w:tcPr>
          <w:p w14:paraId="55CA765C">
            <w:pPr>
              <w:jc w:val="center"/>
              <w:rPr>
                <w:rFonts w:ascii="Times New Roman" w:hAnsi="Times New Roman" w:cs="Times New Roman"/>
                <w:szCs w:val="21"/>
              </w:rPr>
            </w:pPr>
            <w:r>
              <w:rPr>
                <w:rFonts w:ascii="Times New Roman" w:hAnsi="Times New Roman" w:cs="Times New Roman"/>
                <w:szCs w:val="21"/>
              </w:rPr>
              <w:t xml:space="preserve">43123.07 </w:t>
            </w:r>
          </w:p>
        </w:tc>
      </w:tr>
      <w:tr w14:paraId="3581A77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21" w:type="pct"/>
            <w:tcBorders>
              <w:tl2br w:val="nil"/>
              <w:tr2bl w:val="nil"/>
            </w:tcBorders>
            <w:vAlign w:val="center"/>
          </w:tcPr>
          <w:p w14:paraId="4B12AA95">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Construction</w:t>
            </w:r>
          </w:p>
        </w:tc>
        <w:tc>
          <w:tcPr>
            <w:tcW w:w="1259" w:type="pct"/>
            <w:tcBorders>
              <w:tl2br w:val="nil"/>
              <w:tr2bl w:val="nil"/>
            </w:tcBorders>
            <w:vAlign w:val="center"/>
          </w:tcPr>
          <w:p w14:paraId="2627003B">
            <w:pPr>
              <w:jc w:val="center"/>
              <w:rPr>
                <w:rFonts w:ascii="Times New Roman" w:hAnsi="Times New Roman" w:cs="Times New Roman"/>
                <w:szCs w:val="21"/>
              </w:rPr>
            </w:pPr>
            <w:r>
              <w:rPr>
                <w:rFonts w:ascii="Times New Roman" w:hAnsi="Times New Roman" w:cs="Times New Roman"/>
                <w:szCs w:val="21"/>
              </w:rPr>
              <w:t xml:space="preserve">36772.19 </w:t>
            </w:r>
          </w:p>
        </w:tc>
        <w:tc>
          <w:tcPr>
            <w:tcW w:w="1259" w:type="pct"/>
            <w:tcBorders>
              <w:tl2br w:val="nil"/>
              <w:tr2bl w:val="nil"/>
            </w:tcBorders>
            <w:vAlign w:val="center"/>
          </w:tcPr>
          <w:p w14:paraId="414092B4">
            <w:pPr>
              <w:jc w:val="center"/>
              <w:rPr>
                <w:rFonts w:ascii="Times New Roman" w:hAnsi="Times New Roman" w:cs="Times New Roman"/>
                <w:szCs w:val="21"/>
              </w:rPr>
            </w:pPr>
            <w:r>
              <w:rPr>
                <w:rFonts w:ascii="Times New Roman" w:hAnsi="Times New Roman" w:cs="Times New Roman"/>
                <w:szCs w:val="21"/>
              </w:rPr>
              <w:t xml:space="preserve">39107.75 </w:t>
            </w:r>
          </w:p>
        </w:tc>
        <w:tc>
          <w:tcPr>
            <w:tcW w:w="1260" w:type="pct"/>
            <w:tcBorders>
              <w:tl2br w:val="nil"/>
              <w:tr2bl w:val="nil"/>
            </w:tcBorders>
            <w:vAlign w:val="center"/>
          </w:tcPr>
          <w:p w14:paraId="6548D0DD">
            <w:pPr>
              <w:jc w:val="center"/>
              <w:rPr>
                <w:rFonts w:ascii="Times New Roman" w:hAnsi="Times New Roman" w:cs="Times New Roman"/>
                <w:szCs w:val="21"/>
              </w:rPr>
            </w:pPr>
            <w:r>
              <w:rPr>
                <w:rFonts w:ascii="Times New Roman" w:hAnsi="Times New Roman" w:cs="Times New Roman"/>
                <w:szCs w:val="21"/>
              </w:rPr>
              <w:t xml:space="preserve">39808.23 </w:t>
            </w:r>
          </w:p>
        </w:tc>
      </w:tr>
      <w:tr w14:paraId="62F7B9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21" w:type="pct"/>
            <w:tcBorders>
              <w:tl2br w:val="nil"/>
              <w:tr2bl w:val="nil"/>
            </w:tcBorders>
            <w:vAlign w:val="center"/>
          </w:tcPr>
          <w:p w14:paraId="4A018F3D">
            <w:pPr>
              <w:jc w:val="center"/>
              <w:rPr>
                <w:rFonts w:ascii="Times New Roman" w:hAnsi="Times New Roman" w:cs="Times New Roman"/>
                <w:szCs w:val="21"/>
              </w:rPr>
            </w:pPr>
            <w:r>
              <w:rPr>
                <w:rFonts w:ascii="Times New Roman" w:hAnsi="Times New Roman" w:eastAsia="Segoe UI" w:cs="Times New Roman"/>
                <w:color w:val="000000"/>
                <w:spacing w:val="-2"/>
                <w:szCs w:val="21"/>
                <w:shd w:val="clear" w:color="auto" w:fill="FFFFFF"/>
              </w:rPr>
              <w:t>Total</w:t>
            </w:r>
          </w:p>
        </w:tc>
        <w:tc>
          <w:tcPr>
            <w:tcW w:w="1259" w:type="pct"/>
            <w:tcBorders>
              <w:tl2br w:val="nil"/>
              <w:tr2bl w:val="nil"/>
            </w:tcBorders>
            <w:vAlign w:val="center"/>
          </w:tcPr>
          <w:p w14:paraId="38E0F44C">
            <w:pPr>
              <w:jc w:val="center"/>
              <w:rPr>
                <w:rFonts w:ascii="Times New Roman" w:hAnsi="Times New Roman" w:cs="Times New Roman"/>
                <w:szCs w:val="21"/>
              </w:rPr>
            </w:pPr>
            <w:r>
              <w:rPr>
                <w:rFonts w:ascii="Times New Roman" w:hAnsi="Times New Roman" w:cs="Times New Roman"/>
                <w:szCs w:val="21"/>
              </w:rPr>
              <w:t>142841.16</w:t>
            </w:r>
          </w:p>
        </w:tc>
        <w:tc>
          <w:tcPr>
            <w:tcW w:w="1259" w:type="pct"/>
            <w:tcBorders>
              <w:tl2br w:val="nil"/>
              <w:tr2bl w:val="nil"/>
            </w:tcBorders>
            <w:vAlign w:val="center"/>
          </w:tcPr>
          <w:p w14:paraId="2908D8FC">
            <w:pPr>
              <w:jc w:val="center"/>
              <w:rPr>
                <w:rFonts w:ascii="Times New Roman" w:hAnsi="Times New Roman" w:cs="Times New Roman"/>
                <w:szCs w:val="21"/>
              </w:rPr>
            </w:pPr>
            <w:r>
              <w:rPr>
                <w:rFonts w:ascii="Times New Roman" w:hAnsi="Times New Roman" w:cs="Times New Roman"/>
                <w:szCs w:val="21"/>
              </w:rPr>
              <w:t>122775.15</w:t>
            </w:r>
          </w:p>
        </w:tc>
        <w:tc>
          <w:tcPr>
            <w:tcW w:w="1260" w:type="pct"/>
            <w:tcBorders>
              <w:tl2br w:val="nil"/>
              <w:tr2bl w:val="nil"/>
            </w:tcBorders>
            <w:vAlign w:val="center"/>
          </w:tcPr>
          <w:p w14:paraId="5378F910">
            <w:pPr>
              <w:jc w:val="center"/>
              <w:rPr>
                <w:rFonts w:ascii="Times New Roman" w:hAnsi="Times New Roman" w:cs="Times New Roman"/>
                <w:szCs w:val="21"/>
              </w:rPr>
            </w:pPr>
            <w:r>
              <w:rPr>
                <w:rFonts w:ascii="Times New Roman" w:hAnsi="Times New Roman" w:cs="Times New Roman"/>
                <w:szCs w:val="21"/>
              </w:rPr>
              <w:t>119220.11</w:t>
            </w:r>
          </w:p>
        </w:tc>
      </w:tr>
    </w:tbl>
    <w:p w14:paraId="549513EF">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As presented in Table 4, the total carbon emissions for Schemes 1, 2, and 3 are 142,841.16 kg, 122,775.15 kg, and 119,220.11 kg CO₂-eq, respectively. In Scheme 1 (conventional asphalt pavement), the transportation stage contributes most significantly to carbon emissions, followed by the raw material production stage, with the construction and demolition stages having the least impact. While the transportation stage remains the dominant emission source in Schemes 2 and 3 (steel slag asphalt pavements), the construction stage emerges as the secondary contributor, followed by raw material production, and finally demolition. This shift is primarily attributable to the substantial carbon emissions generated during the mixing process. Notably, carbon emissions increase correspondingly with the rising bulk specific gravity of the steel slag asphalt mixture.</w:t>
      </w:r>
    </w:p>
    <w:p w14:paraId="762A91E3">
      <w:pPr>
        <w:pStyle w:val="7"/>
        <w:widowControl/>
        <w:shd w:val="clear" w:color="auto" w:fill="FFFFFF"/>
        <w:spacing w:beforeAutospacing="0" w:afterAutospacing="0" w:line="20" w:lineRule="atLeast"/>
        <w:ind w:firstLine="420" w:firstLineChars="200"/>
        <w:jc w:val="both"/>
        <w:textAlignment w:val="baseline"/>
        <w:rPr>
          <w:rFonts w:ascii="Segoe UI" w:hAnsi="Segoe UI" w:eastAsia="Segoe UI" w:cs="Segoe UI"/>
          <w:sz w:val="19"/>
          <w:szCs w:val="19"/>
        </w:rPr>
      </w:pPr>
      <w:r>
        <w:rPr>
          <w:rFonts w:ascii="Times New Roman" w:hAnsi="Times New Roman" w:eastAsia="宋体"/>
          <w:kern w:val="2"/>
          <w:sz w:val="21"/>
        </w:rPr>
        <w:t>In summary, the transportation stage dominates carbon emissions in conventional asphalt pavement (Scheme 1), followed by raw material production, with construction having the smallest contribution. However, as steel slag incorporation increases (Schemes 2 &amp; 3), the relative contribution of both raw material production and the construction stage to the total carbon emissions of steel slag asphalt pavement becomes increasingly prominent, while the proportion attributed to transportation diminishes. Crucially, within the overall carbon footprint, the construction stage exerts a greater influence than the raw material production stage in steel slag asphalt systems.</w:t>
      </w:r>
    </w:p>
    <w:p w14:paraId="5A2B980A">
      <w:pPr>
        <w:rPr>
          <w:rFonts w:ascii="Times New Roman" w:hAnsi="Times New Roman" w:eastAsia="宋体" w:cs="Times New Roman"/>
          <w:b/>
          <w:bCs/>
        </w:rPr>
      </w:pPr>
      <w:r>
        <w:rPr>
          <w:rFonts w:ascii="Times New Roman" w:hAnsi="Times New Roman" w:eastAsia="宋体" w:cs="Times New Roman"/>
          <w:b/>
          <w:bCs/>
        </w:rPr>
        <w:t>4 Conclusions</w:t>
      </w:r>
    </w:p>
    <w:p w14:paraId="5574AB19">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(1) This study establishes the research background and significance of environmental impact assessment for steel slag asphalt pavement (SSAP), analyzes the applicability of life cycle assessment (LCA) theory in quantifying the environmental effects of SSAP, and clarifies the research objectives and system boundaries. The research objective is to systematically compare the quantitative differences in environmental impacts among asphalt pavements with varying steel slag contents using LCA. The system boundary encompasses the complete life cycle of SSAP, specifically divided into three stages: raw material production, transportation, and construction.</w:t>
      </w:r>
    </w:p>
    <w:p w14:paraId="77D4B465">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(2) Based on the structural parameters of conventional asphalt pavement surface layers, three pavement schemes were designed with steel slag substitution ratios for coarse aggregates of 0%, 60%, and 100%. Results from the raw material production stage indicate that the carbon emissions of Scheme 2 (60% substitution) and Scheme 3 (100% substitution) are reduced by 26.67% and 34.20% respectively compared to Scheme 1 (0% substitution). The total carbon emissions of Scheme 1 amount to 39,339.77 kg, which are 1.10 times and 1.08 times those of Scheme 2 and Scheme 3, respectively. This demonstrates that replacing natural aggregates with steel slag reduces carbon emissions during the raw material production stage.</w:t>
      </w:r>
    </w:p>
    <w:p w14:paraId="3619907C">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(3) Transportation stage calculations reveal that due to the natural aggregate transportation distance of 180 km and steel slag transportation distance of 60 km, the carbon emissions of Scheme 1 are 1.39 times and 1.55 times those of Scheme 2 and Scheme 3, respectively. Therefore, when the transportation distance of natural aggregates far exceeds that of steel slag, higher steel slag substitution ratios result in lower energy consumption and carbon emissions during the transportation stage of SSAP, yielding better energy conservation and emission reduction effects.</w:t>
      </w:r>
    </w:p>
    <w:p w14:paraId="0DC8C063">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(4) Construction and demolition stage calculations show that the carbon emissions during the construction stage for Scheme 1, Scheme 2, and Scheme 3 are 27,507.30 kg, 29,733.74 kg, and 30,404.07 kg, respectively. Specifically, the carbon emissions of Scheme 2 and Scheme 3 are 1.06 times and 1.08 times those of Scheme 1. Additionally, the mixing process accounts for 73.28%, 74.56%, and 74.92% of the total carbon emissions in the construction stage for Scheme 1, Scheme 2, and Scheme 3, respectively, indicating that the mixing process dominates the construction stage in terms of carbon emissions.</w:t>
      </w:r>
    </w:p>
    <w:p w14:paraId="6989598C">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r>
        <w:rPr>
          <w:rFonts w:ascii="Times New Roman" w:hAnsi="Times New Roman" w:eastAsia="宋体"/>
          <w:kern w:val="2"/>
          <w:sz w:val="21"/>
        </w:rPr>
        <w:t>(5) The total carbon emissions during the construction period for the three SSAP schemes (Scheme 1: 0% steel slag substitution; Scheme 2: 60% substitution; Scheme 3: 100% substitution) are 142,841.16 kg, 122,775.15 kg, and 119,220.11 kg, respectively. These results confirm that conventional asphalt pavement (Scheme 1) exhibits the highest total carbon emissions during construction, while SSAP with 100% steel slag substitution (Scheme 3) has the lowest. Thus, replacing natural aggregates with steel slag effectively reduces carbon emissions during the construction of asphalt pavements.</w:t>
      </w:r>
    </w:p>
    <w:p w14:paraId="15E56B81">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p>
    <w:p w14:paraId="1F122F00">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p>
    <w:p w14:paraId="76C2EF66">
      <w:pPr>
        <w:widowControl/>
        <w:spacing w:after="200" w:line="276" w:lineRule="auto"/>
        <w:outlineLvl w:val="0"/>
        <w:rPr>
          <w:rFonts w:ascii="Arial" w:hAnsi="Arial" w:eastAsia="Times New Roman" w:cs="Arial"/>
          <w:kern w:val="0"/>
          <w:sz w:val="22"/>
          <w:szCs w:val="22"/>
          <w:lang w:val="en-GB" w:eastAsia="en-GB"/>
        </w:rPr>
      </w:pPr>
      <w:r>
        <w:rPr>
          <w:rFonts w:ascii="Arial" w:hAnsi="Arial" w:eastAsia="Times New Roman" w:cs="Arial"/>
          <w:b/>
          <w:bCs/>
          <w:kern w:val="0"/>
          <w:sz w:val="22"/>
          <w:szCs w:val="22"/>
          <w:lang w:val="en-GB" w:eastAsia="en-GB"/>
        </w:rPr>
        <w:t>COMPETING INTERESTS DISCLAIMER:</w:t>
      </w:r>
    </w:p>
    <w:p w14:paraId="2F671CC8">
      <w:pPr>
        <w:widowControl/>
        <w:spacing w:after="200" w:line="276" w:lineRule="auto"/>
        <w:jc w:val="left"/>
        <w:rPr>
          <w:rFonts w:ascii="Calibri" w:hAnsi="Calibri" w:eastAsia="Times New Roman" w:cs="Times New Roman"/>
          <w:kern w:val="0"/>
          <w:sz w:val="22"/>
          <w:szCs w:val="22"/>
          <w:lang w:val="en-GB" w:eastAsia="en-GB"/>
        </w:rPr>
      </w:pPr>
      <w:r>
        <w:rPr>
          <w:rFonts w:ascii="Calibri" w:hAnsi="Calibri" w:eastAsia="Times New Roman"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8081CCC">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p>
    <w:p w14:paraId="1FA3480B">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p>
    <w:p w14:paraId="6BFB7732">
      <w:pPr>
        <w:rPr>
          <w:highlight w:val="yellow"/>
        </w:rPr>
      </w:pPr>
      <w:r>
        <w:rPr>
          <w:highlight w:val="yellow"/>
        </w:rPr>
        <w:t>Disclaimer (Artificial intelligence)</w:t>
      </w:r>
    </w:p>
    <w:p w14:paraId="2918BC71">
      <w:pPr>
        <w:rPr>
          <w:highlight w:val="yellow"/>
        </w:rPr>
      </w:pPr>
    </w:p>
    <w:p w14:paraId="3501F785">
      <w:pPr>
        <w:rPr>
          <w:highlight w:val="yellow"/>
        </w:rPr>
      </w:pPr>
      <w:r>
        <w:rPr>
          <w:highlight w:val="yellow"/>
        </w:rPr>
        <w:t xml:space="preserve">Option 1: </w:t>
      </w:r>
    </w:p>
    <w:p w14:paraId="27817333">
      <w:pPr>
        <w:rPr>
          <w:highlight w:val="yellow"/>
        </w:rPr>
      </w:pPr>
    </w:p>
    <w:p w14:paraId="2C2D22C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A9AF491">
      <w:pPr>
        <w:rPr>
          <w:highlight w:val="yellow"/>
        </w:rPr>
      </w:pPr>
    </w:p>
    <w:p w14:paraId="05A55032">
      <w:pPr>
        <w:rPr>
          <w:highlight w:val="yellow"/>
        </w:rPr>
      </w:pPr>
      <w:r>
        <w:rPr>
          <w:highlight w:val="yellow"/>
        </w:rPr>
        <w:t xml:space="preserve">Option 2: </w:t>
      </w:r>
    </w:p>
    <w:p w14:paraId="320248C2">
      <w:pPr>
        <w:rPr>
          <w:highlight w:val="yellow"/>
        </w:rPr>
      </w:pPr>
    </w:p>
    <w:p w14:paraId="1CAE15F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8D7640">
      <w:pPr>
        <w:rPr>
          <w:highlight w:val="yellow"/>
        </w:rPr>
      </w:pPr>
    </w:p>
    <w:p w14:paraId="16FE6712">
      <w:pPr>
        <w:rPr>
          <w:highlight w:val="yellow"/>
        </w:rPr>
      </w:pPr>
      <w:r>
        <w:rPr>
          <w:highlight w:val="yellow"/>
        </w:rPr>
        <w:t>Details of the AI usage are given below:</w:t>
      </w:r>
    </w:p>
    <w:p w14:paraId="38C4CDA5">
      <w:pPr>
        <w:rPr>
          <w:highlight w:val="yellow"/>
        </w:rPr>
      </w:pPr>
      <w:r>
        <w:rPr>
          <w:highlight w:val="yellow"/>
        </w:rPr>
        <w:t>1.</w:t>
      </w:r>
    </w:p>
    <w:p w14:paraId="7111FDF1">
      <w:pPr>
        <w:rPr>
          <w:highlight w:val="yellow"/>
        </w:rPr>
      </w:pPr>
      <w:r>
        <w:rPr>
          <w:highlight w:val="yellow"/>
        </w:rPr>
        <w:t>2.</w:t>
      </w:r>
    </w:p>
    <w:p w14:paraId="5A47FFEF">
      <w:r>
        <w:rPr>
          <w:highlight w:val="yellow"/>
        </w:rPr>
        <w:t>3.</w:t>
      </w:r>
    </w:p>
    <w:p w14:paraId="2EA43113">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p>
    <w:p w14:paraId="4B840FB5">
      <w:pPr>
        <w:pStyle w:val="7"/>
        <w:widowControl/>
        <w:shd w:val="clear" w:color="auto" w:fill="FFFFFF"/>
        <w:spacing w:beforeAutospacing="0" w:afterAutospacing="0" w:line="20" w:lineRule="atLeast"/>
        <w:ind w:firstLine="420" w:firstLineChars="200"/>
        <w:jc w:val="both"/>
        <w:textAlignment w:val="baseline"/>
        <w:rPr>
          <w:rFonts w:ascii="Times New Roman" w:hAnsi="Times New Roman" w:eastAsia="宋体"/>
          <w:kern w:val="2"/>
          <w:sz w:val="21"/>
        </w:rPr>
      </w:pPr>
    </w:p>
    <w:p w14:paraId="553D49EB">
      <w:pPr>
        <w:keepNext/>
        <w:keepLines/>
        <w:spacing w:line="360" w:lineRule="auto"/>
        <w:outlineLvl w:val="0"/>
        <w:rPr>
          <w:rFonts w:ascii="Times New Roman" w:hAnsi="Times New Roman" w:eastAsia="宋体" w:cs="Times New Roman"/>
          <w:b/>
          <w:kern w:val="44"/>
          <w:sz w:val="24"/>
        </w:rPr>
      </w:pPr>
      <w:r>
        <w:rPr>
          <w:rFonts w:hint="eastAsia" w:ascii="Times New Roman" w:hAnsi="Times New Roman" w:eastAsia="宋体" w:cs="Times New Roman"/>
          <w:b/>
          <w:kern w:val="44"/>
          <w:sz w:val="24"/>
        </w:rPr>
        <w:t>5</w:t>
      </w:r>
      <w:r>
        <w:rPr>
          <w:rFonts w:ascii="Times New Roman" w:hAnsi="Times New Roman" w:eastAsia="宋体" w:cs="Times New Roman"/>
          <w:b/>
          <w:kern w:val="44"/>
          <w:sz w:val="24"/>
        </w:rPr>
        <w:t xml:space="preserve"> References</w:t>
      </w:r>
    </w:p>
    <w:p w14:paraId="2B499217">
      <w:pPr>
        <w:numPr>
          <w:ilvl w:val="0"/>
          <w:numId w:val="1"/>
        </w:numPr>
        <w:rPr>
          <w:rFonts w:ascii="Times New Roman" w:hAnsi="Times New Roman" w:cs="Times New Roman"/>
          <w:szCs w:val="21"/>
        </w:rPr>
      </w:pPr>
      <w:bookmarkStart w:id="0" w:name="_Ref5225"/>
      <w:r>
        <w:rPr>
          <w:rFonts w:ascii="Times New Roman" w:hAnsi="Times New Roman" w:cs="Times New Roman"/>
          <w:szCs w:val="21"/>
        </w:rPr>
        <w:t xml:space="preserve">Häkkinen, T. and Mäkelä, K., Environmental Impact of Concrete and Asphalt Pavements, in Environment- al adaption of concrete. Technical Research Center of Finland. Research Notes 1752. 1996. </w:t>
      </w:r>
      <w:bookmarkEnd w:id="0"/>
    </w:p>
    <w:p w14:paraId="40764E67">
      <w:pPr>
        <w:numPr>
          <w:ilvl w:val="0"/>
          <w:numId w:val="1"/>
        </w:numPr>
        <w:rPr>
          <w:rFonts w:ascii="Times New Roman" w:hAnsi="Times New Roman" w:cs="Times New Roman"/>
          <w:szCs w:val="21"/>
        </w:rPr>
      </w:pPr>
      <w:bookmarkStart w:id="1" w:name="_Ref5232"/>
      <w:r>
        <w:rPr>
          <w:rFonts w:ascii="Times New Roman" w:hAnsi="Times New Roman" w:cs="Times New Roman"/>
          <w:szCs w:val="21"/>
        </w:rPr>
        <w:t xml:space="preserve">Mroueh, U.M., Eskola, P., Laine-Ylijoki, J., Wellman, K., Mäkelä, E., Juvankoski, M., and Ruotoistenmäki, A., Life cycle assessment of road construction. Finnish National Road Administration. Finnra Reports 17/2000. 2000. </w:t>
      </w:r>
      <w:bookmarkEnd w:id="1"/>
    </w:p>
    <w:p w14:paraId="15AA9B4A">
      <w:pPr>
        <w:numPr>
          <w:ilvl w:val="0"/>
          <w:numId w:val="1"/>
        </w:numPr>
        <w:rPr>
          <w:rFonts w:ascii="Times New Roman" w:hAnsi="Times New Roman" w:cs="Times New Roman"/>
          <w:szCs w:val="21"/>
        </w:rPr>
      </w:pPr>
      <w:bookmarkStart w:id="2" w:name="_Ref5235"/>
      <w:r>
        <w:rPr>
          <w:rFonts w:ascii="Times New Roman" w:hAnsi="Times New Roman" w:cs="Times New Roman"/>
          <w:szCs w:val="21"/>
        </w:rPr>
        <w:t>Stripple, H., Life Cycle Inventory of Asphalt Pavements. IVL Swedish Environmental Research Institute Ltd. 2001.</w:t>
      </w:r>
      <w:bookmarkEnd w:id="2"/>
    </w:p>
    <w:p w14:paraId="4D141F81">
      <w:pPr>
        <w:numPr>
          <w:ilvl w:val="0"/>
          <w:numId w:val="1"/>
        </w:numPr>
        <w:rPr>
          <w:rFonts w:ascii="Times New Roman" w:hAnsi="Times New Roman" w:cs="Times New Roman"/>
          <w:szCs w:val="21"/>
        </w:rPr>
      </w:pPr>
      <w:bookmarkStart w:id="3" w:name="_Ref5241"/>
      <w:r>
        <w:rPr>
          <w:rFonts w:ascii="Times New Roman" w:hAnsi="Times New Roman" w:cs="Times New Roman"/>
          <w:szCs w:val="21"/>
        </w:rPr>
        <w:t xml:space="preserve">Nisbet, M.A., Marceau, M.L., VanGeem, M.G., and Gajda, J., Environmental Life Cycle Inventory of Portland Cement Concrete and Asphalt Concrete Pavements. Portland Cement Association. PCA R&amp;D Serial No. 2489. 2001. </w:t>
      </w:r>
      <w:bookmarkEnd w:id="3"/>
    </w:p>
    <w:p w14:paraId="1809657E">
      <w:pPr>
        <w:numPr>
          <w:ilvl w:val="0"/>
          <w:numId w:val="1"/>
        </w:numPr>
        <w:rPr>
          <w:rFonts w:ascii="Times New Roman" w:hAnsi="Times New Roman" w:cs="Times New Roman"/>
          <w:szCs w:val="21"/>
        </w:rPr>
      </w:pPr>
      <w:bookmarkStart w:id="4" w:name="_Ref5245"/>
      <w:r>
        <w:rPr>
          <w:rFonts w:ascii="Times New Roman" w:hAnsi="Times New Roman" w:cs="Times New Roman"/>
          <w:szCs w:val="21"/>
        </w:rPr>
        <w:t>Zapata, P. and Gambatese, J.A., Energy Consumption of Asphalt and Reinforced Concrete Pavement Materials and Construction. Journal of Infrastructure Systems. Vol. 11, No. 1, pp. 9-20. 2005.</w:t>
      </w:r>
      <w:bookmarkEnd w:id="4"/>
    </w:p>
    <w:p w14:paraId="3B874D25">
      <w:pPr>
        <w:numPr>
          <w:ilvl w:val="0"/>
          <w:numId w:val="1"/>
        </w:numPr>
        <w:rPr>
          <w:rFonts w:ascii="Times New Roman" w:hAnsi="Times New Roman" w:cs="Times New Roman"/>
          <w:szCs w:val="21"/>
        </w:rPr>
      </w:pPr>
      <w:bookmarkStart w:id="5" w:name="_Ref5251"/>
      <w:r>
        <w:rPr>
          <w:rFonts w:ascii="Times New Roman" w:hAnsi="Times New Roman" w:cs="Times New Roman"/>
          <w:szCs w:val="21"/>
        </w:rPr>
        <w:t>International Organization for Standardization, Environmental Management-Life Cycle Assessment- Requirement and Guidelines. ISO 14044: 2006(E). 2006.</w:t>
      </w:r>
      <w:bookmarkEnd w:id="5"/>
    </w:p>
    <w:p w14:paraId="50A74B06">
      <w:pPr>
        <w:numPr>
          <w:ilvl w:val="0"/>
          <w:numId w:val="1"/>
        </w:numPr>
        <w:rPr>
          <w:rFonts w:ascii="Times New Roman" w:hAnsi="Times New Roman" w:cs="Times New Roman"/>
          <w:szCs w:val="21"/>
        </w:rPr>
      </w:pPr>
      <w:bookmarkStart w:id="6" w:name="_Ref5254"/>
      <w:r>
        <w:rPr>
          <w:rFonts w:ascii="Times New Roman" w:hAnsi="Times New Roman" w:cs="Times New Roman"/>
          <w:szCs w:val="21"/>
        </w:rPr>
        <w:t xml:space="preserve">Ting Wang, In-Sung Lee, Alissa Kendall, et al. Life cycle energy consumption and GHG emission from pavement rehabilitation with different rolling resistance[J]. Journal of Cleaner Production, 2012, 33(2012): 86-96. </w:t>
      </w:r>
      <w:bookmarkEnd w:id="6"/>
    </w:p>
    <w:p w14:paraId="3CF60311">
      <w:pPr>
        <w:numPr>
          <w:ilvl w:val="0"/>
          <w:numId w:val="1"/>
        </w:numPr>
        <w:rPr>
          <w:rFonts w:ascii="Times New Roman" w:hAnsi="Times New Roman" w:cs="Times New Roman"/>
          <w:szCs w:val="21"/>
        </w:rPr>
      </w:pPr>
      <w:bookmarkStart w:id="7" w:name="_Ref5287"/>
      <w:r>
        <w:rPr>
          <w:rFonts w:ascii="Times New Roman" w:hAnsi="Times New Roman" w:cs="Times New Roman"/>
          <w:szCs w:val="21"/>
        </w:rPr>
        <w:t xml:space="preserve">Horvath, A. and Hendrickson, C., Comparison of Environmental Implications of Asphalt and Steel-Reinforced Concrete Pavements. Transportation Research Record. Vol. 1626, pp. 105-113. 1998. </w:t>
      </w:r>
      <w:bookmarkEnd w:id="7"/>
    </w:p>
    <w:p w14:paraId="44E06D81">
      <w:pPr>
        <w:numPr>
          <w:ilvl w:val="0"/>
          <w:numId w:val="1"/>
        </w:numPr>
        <w:rPr>
          <w:rFonts w:ascii="Times New Roman" w:hAnsi="Times New Roman" w:cs="Times New Roman"/>
          <w:szCs w:val="21"/>
        </w:rPr>
      </w:pPr>
      <w:bookmarkStart w:id="8" w:name="_Ref5369"/>
      <w:r>
        <w:rPr>
          <w:rFonts w:ascii="Times New Roman" w:hAnsi="Times New Roman" w:cs="Times New Roman"/>
          <w:szCs w:val="21"/>
        </w:rPr>
        <w:t xml:space="preserve">Park, K., Hwang, Y., Seo, S., and Seo, H., Quantitative Assessment of Environmental Impacts on Life Cycle of Highways. Journal of Construction Engineering and Management. Vol. 129, No. 1, pp. 25-31. 2003. </w:t>
      </w:r>
      <w:bookmarkEnd w:id="8"/>
    </w:p>
    <w:p w14:paraId="70D5CEE5">
      <w:pPr>
        <w:numPr>
          <w:ilvl w:val="0"/>
          <w:numId w:val="1"/>
        </w:numPr>
        <w:rPr>
          <w:rFonts w:ascii="Times New Roman" w:hAnsi="Times New Roman" w:cs="Times New Roman"/>
          <w:szCs w:val="21"/>
        </w:rPr>
      </w:pPr>
      <w:bookmarkStart w:id="9" w:name="_Ref5375"/>
      <w:r>
        <w:rPr>
          <w:rFonts w:ascii="Times New Roman" w:hAnsi="Times New Roman" w:cs="Times New Roman"/>
          <w:szCs w:val="21"/>
        </w:rPr>
        <w:t xml:space="preserve">Treloar, G.J., Love, P.E.D., and Crawford, R.H., Hybrid Life-Cycle Inventory for Road Construction and Use. Journal of Construction Engineering and Management. Vol. 130, No. 1, pp. 43-49. 2004. </w:t>
      </w:r>
      <w:bookmarkEnd w:id="9"/>
    </w:p>
    <w:p w14:paraId="556F09A5">
      <w:pPr>
        <w:numPr>
          <w:ilvl w:val="0"/>
          <w:numId w:val="1"/>
        </w:numPr>
        <w:rPr>
          <w:rFonts w:ascii="Times New Roman" w:hAnsi="Times New Roman" w:cs="Times New Roman"/>
          <w:szCs w:val="21"/>
        </w:rPr>
      </w:pPr>
      <w:bookmarkStart w:id="10" w:name="_Ref5379"/>
      <w:r>
        <w:rPr>
          <w:rFonts w:ascii="Times New Roman" w:hAnsi="Times New Roman" w:cs="Times New Roman"/>
          <w:szCs w:val="21"/>
        </w:rPr>
        <w:t xml:space="preserve">H. Zhang, M.D. Lepech, G.A. Keoleian, et al. Dynamic Life-Cycle Modeling of Pavement Overlay Systems: Capturing the Impacts of Users, Construction, and Roadway Deterioration[J]. Journal of Infrastructure Systems, 2010, 16(4): 299-309. </w:t>
      </w:r>
      <w:bookmarkEnd w:id="10"/>
    </w:p>
    <w:p w14:paraId="1FD1F2DC">
      <w:pPr>
        <w:numPr>
          <w:ilvl w:val="0"/>
          <w:numId w:val="1"/>
        </w:numPr>
        <w:rPr>
          <w:rFonts w:ascii="Times New Roman" w:hAnsi="Times New Roman" w:cs="Times New Roman"/>
          <w:szCs w:val="21"/>
        </w:rPr>
      </w:pPr>
      <w:bookmarkStart w:id="11" w:name="_Ref5385"/>
      <w:r>
        <w:rPr>
          <w:rFonts w:ascii="Times New Roman" w:hAnsi="Times New Roman" w:cs="Times New Roman"/>
          <w:szCs w:val="21"/>
        </w:rPr>
        <w:t>D. Cass, A. Mukherjee. Calculation of Greenhouse Gas Emissions for Highway Construction Operations by Using a Hybrid Life-Cycle Assessment Approach: Case Study for Pavement Operations[J]. Journal of Construction Engineering and Management, 2011, 137</w:t>
      </w:r>
      <w:bookmarkStart w:id="12" w:name="OLE_LINK1"/>
      <w:r>
        <w:rPr>
          <w:rFonts w:ascii="Times New Roman" w:hAnsi="Times New Roman" w:cs="Times New Roman"/>
          <w:szCs w:val="21"/>
        </w:rPr>
        <w:t>(11)</w:t>
      </w:r>
      <w:bookmarkEnd w:id="12"/>
      <w:r>
        <w:rPr>
          <w:rFonts w:ascii="Times New Roman" w:hAnsi="Times New Roman" w:cs="Times New Roman"/>
          <w:szCs w:val="21"/>
        </w:rPr>
        <w:t xml:space="preserve">: 1015-1025. </w:t>
      </w:r>
      <w:bookmarkEnd w:id="11"/>
    </w:p>
    <w:p w14:paraId="545E9552">
      <w:pPr>
        <w:numPr>
          <w:ilvl w:val="0"/>
          <w:numId w:val="1"/>
        </w:numPr>
        <w:rPr>
          <w:rFonts w:ascii="Times New Roman" w:hAnsi="Times New Roman" w:cs="Times New Roman"/>
          <w:szCs w:val="21"/>
        </w:rPr>
      </w:pPr>
      <w:bookmarkStart w:id="13" w:name="_Ref5392"/>
      <w:r>
        <w:rPr>
          <w:rFonts w:ascii="Times New Roman" w:hAnsi="Times New Roman" w:cs="Times New Roman"/>
          <w:szCs w:val="21"/>
          <w:lang w:val="es-US"/>
        </w:rPr>
        <w:t xml:space="preserve">Qazi Aurangzeb, Imad L. Al-Qadi. </w:t>
      </w:r>
      <w:r>
        <w:rPr>
          <w:rFonts w:ascii="Times New Roman" w:hAnsi="Times New Roman" w:cs="Times New Roman"/>
          <w:szCs w:val="21"/>
        </w:rPr>
        <w:t xml:space="preserve">Hybrid life cycle assessment for asphalt mixtures with high RAP content. Resources[J]. Resources, Conservation and Recycling, 2014, Volume 83: 77-86. </w:t>
      </w:r>
      <w:bookmarkEnd w:id="13"/>
    </w:p>
    <w:p w14:paraId="4B935BDB">
      <w:pPr>
        <w:numPr>
          <w:ilvl w:val="0"/>
          <w:numId w:val="1"/>
        </w:numPr>
        <w:rPr>
          <w:rFonts w:ascii="Times New Roman" w:hAnsi="Times New Roman" w:cs="Times New Roman"/>
          <w:szCs w:val="21"/>
        </w:rPr>
      </w:pPr>
      <w:bookmarkStart w:id="14" w:name="_Ref5480"/>
      <w:r>
        <w:rPr>
          <w:rFonts w:ascii="Times New Roman" w:hAnsi="Times New Roman" w:cs="Times New Roman"/>
          <w:szCs w:val="21"/>
        </w:rPr>
        <w:t>Anastasiou E K, Liapis A, Papayianni I. Comparative life cycle assessment of concrete road pavements using industrial by-products as alternative materials[J]. Resources Conservation and Recycling, 2015, 101: 1-8.</w:t>
      </w:r>
      <w:bookmarkEnd w:id="14"/>
    </w:p>
    <w:p w14:paraId="6F37BE11">
      <w:pPr>
        <w:numPr>
          <w:ilvl w:val="0"/>
          <w:numId w:val="1"/>
        </w:numPr>
        <w:rPr>
          <w:rFonts w:ascii="Times New Roman" w:hAnsi="Times New Roman" w:cs="Times New Roman"/>
          <w:szCs w:val="21"/>
        </w:rPr>
      </w:pPr>
      <w:bookmarkStart w:id="15" w:name="_Ref5526"/>
      <w:r>
        <w:rPr>
          <w:rFonts w:ascii="Times New Roman" w:hAnsi="Times New Roman" w:cs="Times New Roman"/>
          <w:szCs w:val="21"/>
          <w:lang w:val="es-US"/>
        </w:rPr>
        <w:t xml:space="preserve">Mehdi Akbarian, Seyed Sina Moeini-Ardakani, Franz Josef Ulmet al. </w:t>
      </w:r>
      <w:r>
        <w:rPr>
          <w:rFonts w:ascii="Times New Roman" w:hAnsi="Times New Roman" w:cs="Times New Roman"/>
          <w:szCs w:val="21"/>
        </w:rPr>
        <w:t xml:space="preserve">Mechanistic Approach to Pavement-Vehicle Interaction and Its Impact on Life-Cycle Assessment[J]. Transportation Research Record Journal of the Transportation Research Board. 2012. 2306(-1): 171-179. </w:t>
      </w:r>
      <w:bookmarkEnd w:id="15"/>
    </w:p>
    <w:p w14:paraId="48838664">
      <w:pPr>
        <w:numPr>
          <w:ilvl w:val="0"/>
          <w:numId w:val="1"/>
        </w:numPr>
        <w:rPr>
          <w:rFonts w:ascii="Times New Roman" w:hAnsi="Times New Roman" w:cs="Times New Roman"/>
          <w:szCs w:val="21"/>
        </w:rPr>
      </w:pPr>
      <w:bookmarkStart w:id="16" w:name="_Ref5561"/>
      <w:r>
        <w:rPr>
          <w:rFonts w:ascii="Times New Roman" w:hAnsi="Times New Roman" w:cs="Times New Roman"/>
          <w:szCs w:val="21"/>
        </w:rPr>
        <w:t>Huang Y, Bird R, Bell M. A comparative study of the emissions by road maintenance works and the disrupted traffic using life cycle assessment and micro-simulation[J]. Transportation Research Part D, 2009, 14: 197-204.</w:t>
      </w:r>
      <w:bookmarkEnd w:id="16"/>
    </w:p>
    <w:p w14:paraId="78C779AD">
      <w:pPr>
        <w:numPr>
          <w:ilvl w:val="0"/>
          <w:numId w:val="1"/>
        </w:numPr>
        <w:rPr>
          <w:rFonts w:ascii="Times New Roman" w:hAnsi="Times New Roman" w:cs="Times New Roman"/>
          <w:szCs w:val="21"/>
        </w:rPr>
      </w:pPr>
      <w:bookmarkStart w:id="17" w:name="_Ref5601"/>
      <w:r>
        <w:rPr>
          <w:rFonts w:ascii="Times New Roman" w:hAnsi="Times New Roman" w:cs="Times New Roman"/>
          <w:szCs w:val="21"/>
        </w:rPr>
        <w:t>Pontarollo John,Hooton Douglas,Byer Philip. Environmental  life-cycle  cost  analysis  of asphalt and concrete pavements[M], 2007.</w:t>
      </w:r>
      <w:bookmarkEnd w:id="17"/>
    </w:p>
    <w:p w14:paraId="56469B81">
      <w:pPr>
        <w:numPr>
          <w:ilvl w:val="0"/>
          <w:numId w:val="1"/>
        </w:numPr>
        <w:rPr>
          <w:rFonts w:ascii="Times New Roman" w:hAnsi="Times New Roman" w:cs="Times New Roman"/>
          <w:szCs w:val="21"/>
        </w:rPr>
      </w:pPr>
      <w:r>
        <w:rPr>
          <w:rFonts w:ascii="Times New Roman" w:hAnsi="Times New Roman" w:cs="Times New Roman"/>
          <w:szCs w:val="21"/>
        </w:rPr>
        <w:t>Michaux, S. P. (2021). The mining of minerals and the limits to growth. </w:t>
      </w:r>
      <w:r>
        <w:rPr>
          <w:rFonts w:ascii="Times New Roman" w:hAnsi="Times New Roman" w:cs="Times New Roman"/>
          <w:i/>
          <w:iCs/>
          <w:szCs w:val="21"/>
        </w:rPr>
        <w:t>Geological Survey of Finland: Espoo, Finland</w:t>
      </w:r>
      <w:r>
        <w:rPr>
          <w:rFonts w:ascii="Times New Roman" w:hAnsi="Times New Roman" w:cs="Times New Roman"/>
          <w:szCs w:val="21"/>
        </w:rPr>
        <w:t>.</w:t>
      </w:r>
    </w:p>
    <w:p w14:paraId="6B665806">
      <w:pPr>
        <w:numPr>
          <w:ilvl w:val="0"/>
          <w:numId w:val="1"/>
        </w:numPr>
        <w:rPr>
          <w:rFonts w:ascii="Times New Roman" w:hAnsi="Times New Roman" w:cs="Times New Roman"/>
          <w:szCs w:val="21"/>
        </w:rPr>
      </w:pPr>
      <w:r>
        <w:rPr>
          <w:rFonts w:ascii="Times New Roman" w:hAnsi="Times New Roman" w:cs="Times New Roman"/>
          <w:szCs w:val="21"/>
        </w:rPr>
        <w:t>Kumar, P., &amp; Shukla, S. (2023). Utilization of steel slag waste as construction material: A review. </w:t>
      </w:r>
      <w:r>
        <w:rPr>
          <w:rFonts w:ascii="Times New Roman" w:hAnsi="Times New Roman" w:cs="Times New Roman"/>
          <w:i/>
          <w:iCs/>
          <w:szCs w:val="21"/>
        </w:rPr>
        <w:t>Materials Today: Proceedings</w:t>
      </w:r>
      <w:r>
        <w:rPr>
          <w:rFonts w:ascii="Times New Roman" w:hAnsi="Times New Roman" w:cs="Times New Roman"/>
          <w:szCs w:val="21"/>
        </w:rPr>
        <w:t>, </w:t>
      </w:r>
      <w:r>
        <w:rPr>
          <w:rFonts w:ascii="Times New Roman" w:hAnsi="Times New Roman" w:cs="Times New Roman"/>
          <w:i/>
          <w:iCs/>
          <w:szCs w:val="21"/>
        </w:rPr>
        <w:t>78</w:t>
      </w:r>
      <w:r>
        <w:rPr>
          <w:rFonts w:ascii="Times New Roman" w:hAnsi="Times New Roman" w:cs="Times New Roman"/>
          <w:szCs w:val="21"/>
        </w:rPr>
        <w:t>, 145-152.</w:t>
      </w:r>
    </w:p>
    <w:p w14:paraId="7EEF4702">
      <w:pPr>
        <w:numPr>
          <w:ilvl w:val="0"/>
          <w:numId w:val="1"/>
        </w:numPr>
        <w:rPr>
          <w:rFonts w:ascii="Times New Roman" w:hAnsi="Times New Roman" w:cs="Times New Roman"/>
          <w:szCs w:val="21"/>
        </w:rPr>
      </w:pPr>
      <w:r>
        <w:rPr>
          <w:rFonts w:ascii="Times New Roman" w:hAnsi="Times New Roman" w:cs="Times New Roman"/>
          <w:szCs w:val="21"/>
        </w:rPr>
        <w:t>Moutik, B., Summerscales, J., Graham-Jones, J., &amp; Pemberton, R. (2023). Life cycle assessment research trends and implications: a bibliometric analysis. </w:t>
      </w:r>
      <w:r>
        <w:rPr>
          <w:rFonts w:ascii="Times New Roman" w:hAnsi="Times New Roman" w:cs="Times New Roman"/>
          <w:i/>
          <w:iCs/>
          <w:szCs w:val="21"/>
        </w:rPr>
        <w:t>Sustainability</w:t>
      </w:r>
      <w:r>
        <w:rPr>
          <w:rFonts w:ascii="Times New Roman" w:hAnsi="Times New Roman" w:cs="Times New Roman"/>
          <w:szCs w:val="21"/>
        </w:rPr>
        <w:t>, </w:t>
      </w:r>
      <w:r>
        <w:rPr>
          <w:rFonts w:ascii="Times New Roman" w:hAnsi="Times New Roman" w:cs="Times New Roman"/>
          <w:i/>
          <w:iCs/>
          <w:szCs w:val="21"/>
        </w:rPr>
        <w:t>15</w:t>
      </w:r>
      <w:r>
        <w:rPr>
          <w:rFonts w:ascii="Times New Roman" w:hAnsi="Times New Roman" w:cs="Times New Roman"/>
          <w:szCs w:val="21"/>
        </w:rPr>
        <w:t>(18), 13408.</w:t>
      </w:r>
    </w:p>
    <w:p w14:paraId="2BC17F7C">
      <w:pPr>
        <w:numPr>
          <w:ilvl w:val="0"/>
          <w:numId w:val="1"/>
        </w:numPr>
        <w:rPr>
          <w:rFonts w:ascii="Times New Roman" w:hAnsi="Times New Roman" w:cs="Times New Roman"/>
          <w:szCs w:val="21"/>
          <w:highlight w:val="yellow"/>
          <w:lang w:val="en-GB"/>
        </w:rPr>
      </w:pPr>
      <w:r>
        <w:rPr>
          <w:rFonts w:ascii="Times New Roman" w:hAnsi="Times New Roman" w:cs="Times New Roman"/>
          <w:szCs w:val="21"/>
          <w:highlight w:val="yellow"/>
          <w:lang w:val="en-GB"/>
        </w:rPr>
        <w:t>Loi, S. S., Subramaniam, S. K., &amp; Xusheng, H. (2022, January). Carbon footprint assessment of steel slag asphalt pavement in Singapore. In Road and Airfield Pavement Technology: Proceedings of 12th International Conference on Road and Airfield Pavement Technology, 2021 (pp. 771-779). Cham: Springer International Publishing.</w:t>
      </w:r>
    </w:p>
    <w:p w14:paraId="00B42B3C">
      <w:pPr>
        <w:numPr>
          <w:ilvl w:val="0"/>
          <w:numId w:val="1"/>
        </w:numPr>
        <w:rPr>
          <w:rFonts w:ascii="Times New Roman" w:hAnsi="Times New Roman" w:cs="Times New Roman"/>
          <w:szCs w:val="21"/>
          <w:highlight w:val="yellow"/>
          <w:lang w:val="en-GB"/>
        </w:rPr>
      </w:pPr>
      <w:r>
        <w:rPr>
          <w:rFonts w:ascii="Times New Roman" w:hAnsi="Times New Roman" w:cs="Times New Roman"/>
          <w:szCs w:val="21"/>
          <w:highlight w:val="yellow"/>
          <w:lang w:val="en-GB"/>
        </w:rPr>
        <w:t>Zhang, F., Wang, D., Falchetto, A. C., &amp; Cao, Y. (2024). Microwave deicing properties and carbon emissions assessment of asphalt mixtures containing steel slag towards resource conservation and waste reuse. Science of the Total Environment, 912, 169189.</w:t>
      </w:r>
    </w:p>
    <w:p w14:paraId="08B9EE67">
      <w:pPr>
        <w:numPr>
          <w:numId w:val="0"/>
        </w:numPr>
        <w:ind w:leftChars="0"/>
        <w:rPr>
          <w:rFonts w:ascii="Times New Roman" w:hAnsi="Times New Roman" w:cs="Times New Roman"/>
          <w:szCs w:val="21"/>
        </w:rPr>
      </w:pPr>
    </w:p>
    <w:p w14:paraId="681B9413">
      <w:pPr>
        <w:rPr>
          <w:sz w:val="20"/>
          <w:szCs w:val="20"/>
          <w:lang w:val="en-GB"/>
        </w:rPr>
      </w:pPr>
    </w:p>
    <w:p w14:paraId="06F7CCFB">
      <w:pPr>
        <w:rPr>
          <w:rFonts w:ascii="Times New Roman" w:hAnsi="Times New Roman" w:eastAsia="楷体" w:cs="Times New Roman"/>
          <w:b/>
          <w:bCs/>
          <w:sz w:val="28"/>
          <w:szCs w:val="36"/>
        </w:rPr>
      </w:pPr>
      <w:bookmarkStart w:id="18" w:name="_GoBack"/>
      <w:bookmarkEnd w:id="18"/>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CB5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EB8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9C5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1B59">
    <w:pPr>
      <w:pStyle w:val="6"/>
    </w:pPr>
    <w:r>
      <w:pict>
        <v:shape id="PowerPlusWaterMarkObject1386647017" o:spid="_x0000_s2051" o:spt="136" type="#_x0000_t136" style="position:absolute;left:0pt;height:100.95pt;width:538.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0003">
    <w:pPr>
      <w:pStyle w:val="6"/>
    </w:pPr>
    <w:r>
      <w:pict>
        <v:shape id="PowerPlusWaterMarkObject1386647016" o:spid="_x0000_s2050" o:spt="136" type="#_x0000_t136" style="position:absolute;left:0pt;height:100.95pt;width:538.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68C9">
    <w:pPr>
      <w:pStyle w:val="6"/>
    </w:pPr>
    <w:r>
      <w:pict>
        <v:shape id="PowerPlusWaterMarkObject1386647015" o:spid="_x0000_s2049" o:spt="136" type="#_x0000_t136" style="position:absolute;left:0pt;height:100.95pt;width:538.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0584C"/>
    <w:multiLevelType w:val="singleLevel"/>
    <w:tmpl w:val="6FB0584C"/>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IyMTAzNzE2NbAwMjFT0lEKTi0uzszPAykwrAUAm28C2iwAAAA="/>
  </w:docVars>
  <w:rsids>
    <w:rsidRoot w:val="4A222E79"/>
    <w:rsid w:val="00063C8D"/>
    <w:rsid w:val="001F60B8"/>
    <w:rsid w:val="00274573"/>
    <w:rsid w:val="003071D7"/>
    <w:rsid w:val="00341538"/>
    <w:rsid w:val="0038467F"/>
    <w:rsid w:val="004A4A10"/>
    <w:rsid w:val="00614182"/>
    <w:rsid w:val="00662E61"/>
    <w:rsid w:val="006C6F6C"/>
    <w:rsid w:val="00713921"/>
    <w:rsid w:val="00815897"/>
    <w:rsid w:val="008C6516"/>
    <w:rsid w:val="00945A86"/>
    <w:rsid w:val="00A854FE"/>
    <w:rsid w:val="00B92745"/>
    <w:rsid w:val="00C3135F"/>
    <w:rsid w:val="00CF3B6E"/>
    <w:rsid w:val="00D311F4"/>
    <w:rsid w:val="00DE3BBA"/>
    <w:rsid w:val="00E34606"/>
    <w:rsid w:val="2C74287C"/>
    <w:rsid w:val="4A222E79"/>
    <w:rsid w:val="6CAE595E"/>
    <w:rsid w:val="749A29F7"/>
    <w:rsid w:val="7DCA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qFormat/>
    <w:uiPriority w:val="0"/>
    <w:pPr>
      <w:tabs>
        <w:tab w:val="center" w:pos="4680"/>
        <w:tab w:val="right" w:pos="9360"/>
      </w:tabs>
    </w:pPr>
  </w:style>
  <w:style w:type="paragraph" w:styleId="6">
    <w:name w:val="header"/>
    <w:basedOn w:val="1"/>
    <w:link w:val="16"/>
    <w:qFormat/>
    <w:uiPriority w:val="0"/>
    <w:pPr>
      <w:tabs>
        <w:tab w:val="center" w:pos="4680"/>
        <w:tab w:val="right" w:pos="9360"/>
      </w:tabs>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26E5" w:themeColor="hyperlink"/>
      <w:u w:val="single"/>
      <w14:textFill>
        <w14:solidFill>
          <w14:schemeClr w14:val="hlink"/>
        </w14:solidFill>
      </w14:textFill>
    </w:rPr>
  </w:style>
  <w:style w:type="paragraph" w:customStyle="1" w:styleId="14">
    <w:name w:val="Default"/>
    <w:qFormat/>
    <w:uiPriority w:val="0"/>
    <w:pPr>
      <w:widowControl w:val="0"/>
      <w:autoSpaceDE w:val="0"/>
      <w:autoSpaceDN w:val="0"/>
      <w:adjustRightInd w:val="0"/>
    </w:pPr>
    <w:rPr>
      <w:rFonts w:ascii="Calibri" w:hAnsi="Calibri" w:eastAsia="Calibri" w:cs="Times New Roman"/>
      <w:color w:val="000000"/>
      <w:sz w:val="24"/>
      <w:szCs w:val="24"/>
      <w:lang w:val="en-US" w:eastAsia="en-US" w:bidi="ar-SA"/>
    </w:r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Header Char"/>
    <w:basedOn w:val="10"/>
    <w:link w:val="6"/>
    <w:qFormat/>
    <w:uiPriority w:val="0"/>
    <w:rPr>
      <w:rFonts w:asciiTheme="minorHAnsi" w:hAnsiTheme="minorHAnsi" w:eastAsiaTheme="minorEastAsia" w:cstheme="minorBidi"/>
      <w:kern w:val="2"/>
      <w:sz w:val="21"/>
      <w:szCs w:val="24"/>
      <w:lang w:eastAsia="zh-CN"/>
    </w:rPr>
  </w:style>
  <w:style w:type="character" w:customStyle="1" w:styleId="17">
    <w:name w:val="Footer Char"/>
    <w:basedOn w:val="10"/>
    <w:link w:val="5"/>
    <w:qFormat/>
    <w:uiPriority w:val="0"/>
    <w:rPr>
      <w:rFonts w:asciiTheme="minorHAnsi" w:hAnsiTheme="minorHAnsi" w:eastAsiaTheme="minorEastAsia" w:cstheme="minorBidi"/>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2512</Words>
  <Characters>15557</Characters>
  <Lines>189</Lines>
  <Paragraphs>53</Paragraphs>
  <TotalTime>0</TotalTime>
  <ScaleCrop>false</ScaleCrop>
  <LinksUpToDate>false</LinksUpToDate>
  <CharactersWithSpaces>17962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2025-08-19T08:14:00Z</dcterms:created>
  <dc:creator>浮名半生</dc:creator>
  <cp:lastModifiedBy>浮名半生</cp:lastModifiedBy>
  <dcterms:modified xsi:type="dcterms:W3CDTF">2025-09-18T13:10:58Z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72A83879C4FB40958DAA7FD9B0BAB518_11</vt:lpwstr>
  </property>
  <property fmtid="{D5CDD505-2E9C-101B-9397-08002B2CF9AE}" pid="4" name="KSOTemplateDocerSaveRecord">
    <vt:lpwstr>eyJoZGlkIjoiYjJkMmJlNjMwM2E0MWY3NjA5ZWExN2ViN2QwZjk2YWUiLCJ1c2VySWQiOiI2NzgwMTc4NjMifQ==</vt:lpwstr>
  </property>
  <property fmtid="{D5CDD505-2E9C-101B-9397-08002B2CF9AE}" pid="5" name="GrammarlyDocumentId">
    <vt:lpwstr>8e492674-c628-49ac-a333-b3a7388e33b0</vt:lpwstr>
  </property>
</Properties>
</file>