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403" w:rsidRDefault="00305B71">
      <w:pPr>
        <w:ind w:firstLineChars="200" w:firstLine="560"/>
        <w:jc w:val="center"/>
        <w:rPr>
          <w:rFonts w:eastAsia="楷体" w:cs="Times New Roman"/>
          <w:b/>
          <w:bCs/>
          <w:kern w:val="2"/>
          <w:sz w:val="28"/>
          <w:szCs w:val="36"/>
        </w:rPr>
      </w:pPr>
      <w:r>
        <w:rPr>
          <w:rFonts w:eastAsia="楷体" w:cs="Times New Roman"/>
          <w:b/>
          <w:bCs/>
          <w:kern w:val="2"/>
          <w:sz w:val="28"/>
          <w:szCs w:val="36"/>
        </w:rPr>
        <w:t>Study on the performance of the steel slag base stabilized by multiple solid waste geopolymer</w:t>
      </w:r>
    </w:p>
    <w:p w:rsidR="007C2403" w:rsidRDefault="00305B71">
      <w:pPr>
        <w:ind w:firstLineChars="200" w:firstLine="480"/>
        <w:jc w:val="center"/>
        <w:rPr>
          <w:rFonts w:eastAsia="SimSun" w:cs="Times New Roman"/>
          <w:i/>
          <w:iCs/>
          <w:kern w:val="2"/>
          <w:sz w:val="24"/>
          <w:szCs w:val="24"/>
        </w:rPr>
      </w:pPr>
      <w:bookmarkStart w:id="0" w:name="_Hlk208674700"/>
      <w:r>
        <w:rPr>
          <w:rFonts w:eastAsia="SimSun" w:cs="Times New Roman"/>
          <w:i/>
          <w:iCs/>
          <w:kern w:val="2"/>
          <w:sz w:val="24"/>
          <w:szCs w:val="24"/>
        </w:rPr>
        <w:t xml:space="preserve"> </w:t>
      </w:r>
    </w:p>
    <w:p w:rsidR="007C2403" w:rsidRDefault="007C2403">
      <w:pPr>
        <w:ind w:firstLineChars="200" w:firstLine="480"/>
        <w:jc w:val="center"/>
        <w:rPr>
          <w:rFonts w:eastAsia="SimSun" w:cs="Times New Roman"/>
          <w:i/>
          <w:iCs/>
          <w:kern w:val="2"/>
          <w:sz w:val="24"/>
          <w:szCs w:val="24"/>
        </w:rPr>
      </w:pPr>
    </w:p>
    <w:bookmarkEnd w:id="0"/>
    <w:p w:rsidR="007C2403" w:rsidRDefault="007C2403">
      <w:pPr>
        <w:ind w:firstLineChars="200" w:firstLine="480"/>
        <w:jc w:val="center"/>
        <w:rPr>
          <w:rFonts w:eastAsia="SimSun" w:cs="Times New Roman"/>
          <w:i/>
          <w:iCs/>
          <w:kern w:val="2"/>
          <w:sz w:val="24"/>
          <w:szCs w:val="24"/>
        </w:rPr>
      </w:pPr>
    </w:p>
    <w:p w:rsidR="007C2403" w:rsidRDefault="007C2403">
      <w:pPr>
        <w:ind w:firstLineChars="200" w:firstLine="300"/>
        <w:jc w:val="center"/>
        <w:rPr>
          <w:rFonts w:eastAsia="SimSun" w:cs="Times New Roman"/>
          <w:i/>
          <w:iCs/>
          <w:kern w:val="2"/>
          <w:sz w:val="15"/>
          <w:szCs w:val="15"/>
        </w:rPr>
      </w:pPr>
    </w:p>
    <w:p w:rsidR="007C2403" w:rsidRDefault="00305B71">
      <w:pPr>
        <w:rPr>
          <w:rFonts w:eastAsia="SimSun" w:cs="Times New Roman"/>
          <w:kern w:val="2"/>
          <w:sz w:val="18"/>
          <w:szCs w:val="18"/>
        </w:rPr>
      </w:pPr>
      <w:r>
        <w:rPr>
          <w:rFonts w:eastAsia="SimSun" w:cs="Times New Roman"/>
          <w:b/>
          <w:bCs/>
          <w:sz w:val="18"/>
          <w:szCs w:val="18"/>
        </w:rPr>
        <w:t>Abstract:</w:t>
      </w:r>
      <w:r>
        <w:rPr>
          <w:rFonts w:eastAsia="SimSun" w:cs="Times New Roman"/>
          <w:b/>
          <w:bCs/>
          <w:kern w:val="2"/>
          <w:sz w:val="18"/>
          <w:szCs w:val="18"/>
        </w:rPr>
        <w:t xml:space="preserve"> </w:t>
      </w:r>
      <w:r>
        <w:rPr>
          <w:rFonts w:eastAsia="SimSun" w:cs="Times New Roman" w:hint="eastAsia"/>
          <w:kern w:val="2"/>
          <w:sz w:val="18"/>
          <w:szCs w:val="18"/>
        </w:rPr>
        <w:t>With the deepening of the concept of sustainable development, cement-stabilized macadam</w:t>
      </w:r>
      <w:r>
        <w:rPr>
          <w:rFonts w:eastAsia="SimSun" w:cs="Times New Roman" w:hint="eastAsia"/>
          <w:kern w:val="2"/>
          <w:sz w:val="18"/>
          <w:szCs w:val="18"/>
        </w:rPr>
        <w:t>—</w:t>
      </w:r>
      <w:r>
        <w:rPr>
          <w:rFonts w:eastAsia="SimSun" w:cs="Times New Roman" w:hint="eastAsia"/>
          <w:kern w:val="2"/>
          <w:sz w:val="18"/>
          <w:szCs w:val="18"/>
        </w:rPr>
        <w:t>a traditional road base material</w:t>
      </w:r>
      <w:r>
        <w:rPr>
          <w:rFonts w:eastAsia="SimSun" w:cs="Times New Roman" w:hint="eastAsia"/>
          <w:kern w:val="2"/>
          <w:sz w:val="18"/>
          <w:szCs w:val="18"/>
        </w:rPr>
        <w:t>—</w:t>
      </w:r>
      <w:r>
        <w:rPr>
          <w:rFonts w:eastAsia="SimSun" w:cs="Times New Roman" w:hint="eastAsia"/>
          <w:kern w:val="2"/>
          <w:sz w:val="18"/>
          <w:szCs w:val="18"/>
        </w:rPr>
        <w:t>faces increasing demand for improvement due to its high resource consumption, significant environmental pollution, and poor shrinkage performance. Steel slag, an important solid waste product of the steel industry, accumulates in large quantities, resulting in resource waste and environmental pollution. Conventional cement-stabilized steel slag base materials suffer from drawbacks such as high carbon emissions and poor volumetric stability. In this context, geopolymers emerge as an environmentally friendly alternative starting from the raw material level. This study proposes the use of three solid waste materials</w:t>
      </w:r>
      <w:r>
        <w:rPr>
          <w:rFonts w:eastAsia="SimSun" w:cs="Times New Roman" w:hint="eastAsia"/>
          <w:kern w:val="2"/>
          <w:sz w:val="18"/>
          <w:szCs w:val="18"/>
        </w:rPr>
        <w:t>—</w:t>
      </w:r>
      <w:r>
        <w:rPr>
          <w:rFonts w:eastAsia="SimSun" w:cs="Times New Roman" w:hint="eastAsia"/>
          <w:kern w:val="2"/>
          <w:sz w:val="18"/>
          <w:szCs w:val="18"/>
        </w:rPr>
        <w:t>fly ash, ground granulated blast furnace slag (GGBS), and red mud</w:t>
      </w:r>
      <w:r>
        <w:rPr>
          <w:rFonts w:eastAsia="SimSun" w:cs="Times New Roman" w:hint="eastAsia"/>
          <w:kern w:val="2"/>
          <w:sz w:val="18"/>
          <w:szCs w:val="18"/>
        </w:rPr>
        <w:t>—</w:t>
      </w:r>
      <w:r>
        <w:rPr>
          <w:rFonts w:eastAsia="SimSun" w:cs="Times New Roman" w:hint="eastAsia"/>
          <w:kern w:val="2"/>
          <w:sz w:val="18"/>
          <w:szCs w:val="18"/>
        </w:rPr>
        <w:t>in combination with an alkali activator to enhance the performance of geopolymer-stabilized steel slag as a road base material. These industrial solid wastes serve as cementitious materials replacing traditional cement, while steel slag is introduced as a substitute for natural aggregates. A series of laboratory tests, including compressive strength tests, splitting tensile tests, drying shrinkage tests, and freeze-thaw cycle tests, was conducted to comprehensively evaluate the pavement performance of the geopolymer-stabilized steel slag mixture. The aim is to achieve the dual objectives of solid waste recycling and the development of low-carbon road materials. The results indicate that the geopolymer-stabilized steel slag mixture meets the specifications required for road base materials. Geopolymers show promise as a replacement for cement, with steel slag serving as the base aggregate, forming a new type of green semi-rigid base material.</w:t>
      </w:r>
    </w:p>
    <w:p w:rsidR="007C2403" w:rsidRDefault="00305B71">
      <w:pPr>
        <w:spacing w:line="300" w:lineRule="auto"/>
        <w:rPr>
          <w:b/>
          <w:bCs/>
          <w:sz w:val="24"/>
          <w:szCs w:val="24"/>
        </w:rPr>
      </w:pPr>
      <w:r>
        <w:rPr>
          <w:rFonts w:eastAsia="SimSun" w:cs="Times New Roman"/>
          <w:b/>
          <w:bCs/>
          <w:sz w:val="18"/>
          <w:szCs w:val="18"/>
        </w:rPr>
        <w:t>Keywords</w:t>
      </w:r>
      <w:r>
        <w:rPr>
          <w:rFonts w:eastAsia="SimSun" w:cs="Times New Roman" w:hint="eastAsia"/>
          <w:b/>
          <w:bCs/>
          <w:sz w:val="18"/>
          <w:szCs w:val="18"/>
        </w:rPr>
        <w:t>: Semi-rigid base; Geopolymer; Steel slag; Mechanical properties; Durability.</w:t>
      </w:r>
    </w:p>
    <w:p w:rsidR="007C2403" w:rsidRDefault="007C2403">
      <w:pPr>
        <w:spacing w:line="300" w:lineRule="auto"/>
        <w:ind w:firstLineChars="200" w:firstLine="480"/>
        <w:rPr>
          <w:sz w:val="24"/>
          <w:szCs w:val="24"/>
        </w:rPr>
      </w:pPr>
    </w:p>
    <w:p w:rsidR="007C2403" w:rsidRDefault="007C2403">
      <w:pPr>
        <w:spacing w:line="300" w:lineRule="auto"/>
        <w:ind w:firstLineChars="200" w:firstLine="480"/>
        <w:rPr>
          <w:sz w:val="24"/>
          <w:szCs w:val="24"/>
        </w:rPr>
      </w:pPr>
    </w:p>
    <w:p w:rsidR="007C2403" w:rsidRDefault="007C2403">
      <w:pPr>
        <w:spacing w:line="300" w:lineRule="auto"/>
        <w:ind w:firstLineChars="200" w:firstLine="480"/>
        <w:rPr>
          <w:rFonts w:ascii="SimSun" w:eastAsia="SimSun" w:hAnsi="SimSun" w:cs="SimSun"/>
          <w:sz w:val="24"/>
          <w:szCs w:val="24"/>
        </w:rPr>
        <w:sectPr w:rsidR="007C24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7C2403" w:rsidRDefault="00305B71">
      <w:pPr>
        <w:pStyle w:val="ListParagraph"/>
        <w:numPr>
          <w:ilvl w:val="0"/>
          <w:numId w:val="1"/>
        </w:numPr>
        <w:ind w:firstLineChars="0"/>
        <w:rPr>
          <w:rFonts w:eastAsia="SimSun" w:cs="Times New Roman"/>
          <w:b/>
          <w:bCs/>
          <w:kern w:val="2"/>
          <w:sz w:val="28"/>
          <w:szCs w:val="28"/>
        </w:rPr>
      </w:pPr>
      <w:r>
        <w:rPr>
          <w:rFonts w:eastAsia="SimSun" w:cs="Times New Roman"/>
          <w:b/>
          <w:bCs/>
          <w:kern w:val="2"/>
          <w:sz w:val="28"/>
          <w:szCs w:val="28"/>
        </w:rPr>
        <w:lastRenderedPageBreak/>
        <w:t>Introduction</w:t>
      </w:r>
    </w:p>
    <w:p w:rsidR="007C2403" w:rsidRDefault="00305B71">
      <w:pPr>
        <w:ind w:firstLineChars="200" w:firstLine="420"/>
        <w:rPr>
          <w:rFonts w:eastAsia="SimSun" w:cs="Times New Roman"/>
          <w:kern w:val="2"/>
        </w:rPr>
      </w:pPr>
      <w:r>
        <w:rPr>
          <w:rFonts w:eastAsia="SimSun" w:cs="Times New Roman"/>
          <w:kern w:val="2"/>
        </w:rPr>
        <w:t>The rapid development of the steel and power industries has led to the generation of large amounts of solid waste. Data from 2024 show that China’s annual steel slag production has exceeded 120 million tons, yet its comprehensive utilization rate has remained below 30% for a long time. Massive stockpiling not only occupies land resources but also poses a risk of base course structure cracking due to the expansion characteristic of free calcium oxide (f-</w:t>
      </w:r>
      <w:proofErr w:type="spellStart"/>
      <w:r>
        <w:rPr>
          <w:rFonts w:eastAsia="SimSun" w:cs="Times New Roman"/>
          <w:kern w:val="2"/>
        </w:rPr>
        <w:t>CaO</w:t>
      </w:r>
      <w:proofErr w:type="spellEnd"/>
      <w:r>
        <w:rPr>
          <w:rFonts w:eastAsia="SimSun" w:cs="Times New Roman"/>
          <w:kern w:val="2"/>
        </w:rPr>
        <w:t>) upon contact with water</w:t>
      </w:r>
      <w:r>
        <w:rPr>
          <w:rFonts w:eastAsia="SimSun" w:cs="Times New Roman"/>
          <w:kern w:val="2"/>
          <w:vertAlign w:val="superscript"/>
        </w:rPr>
        <w:fldChar w:fldCharType="begin"/>
      </w:r>
      <w:r>
        <w:rPr>
          <w:rFonts w:eastAsia="SimSun" w:cs="Times New Roman"/>
          <w:kern w:val="2"/>
          <w:vertAlign w:val="superscript"/>
        </w:rPr>
        <w:instrText xml:space="preserve"> REF _Ref13297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[1]</w:t>
      </w:r>
      <w:r>
        <w:rPr>
          <w:rFonts w:eastAsia="SimSun" w:cs="Times New Roman"/>
          <w:kern w:val="2"/>
          <w:vertAlign w:val="superscript"/>
        </w:rPr>
        <w:fldChar w:fldCharType="end"/>
      </w:r>
      <w:r>
        <w:rPr>
          <w:rFonts w:eastAsia="SimSun" w:cs="Times New Roman"/>
          <w:kern w:val="2"/>
        </w:rPr>
        <w:t>. At the same time, the large-scale utilization of other solid wastes such as fly ash, red mud, and blast furnace slag also faces severe challenges. Annual fly ash emissions exceed 600 million tons. Although its utilization rate is relatively high (about 70%), the disposal of low-activity Class C fly ash remains difficult. Red mud, a by-product of alumina production with an annual output of about 100 million tons, has a comprehensive utilization rate of less than 5% due to its high alkalinity and potential radioactivity</w:t>
      </w:r>
      <w:r>
        <w:rPr>
          <w:rFonts w:eastAsia="SimSun" w:cs="Times New Roman"/>
          <w:kern w:val="2"/>
          <w:vertAlign w:val="superscript"/>
        </w:rPr>
        <w:fldChar w:fldCharType="begin"/>
      </w:r>
      <w:r>
        <w:rPr>
          <w:rFonts w:eastAsia="SimSun" w:cs="Times New Roman"/>
          <w:kern w:val="2"/>
          <w:vertAlign w:val="superscript"/>
        </w:rPr>
        <w:instrText xml:space="preserve"> REF _Ref13333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[2]</w:t>
      </w:r>
      <w:r>
        <w:rPr>
          <w:rFonts w:eastAsia="SimSun" w:cs="Times New Roman"/>
          <w:kern w:val="2"/>
          <w:vertAlign w:val="superscript"/>
        </w:rPr>
        <w:fldChar w:fldCharType="end"/>
      </w:r>
      <w:r>
        <w:rPr>
          <w:rFonts w:eastAsia="SimSun" w:cs="Times New Roman"/>
          <w:kern w:val="2"/>
        </w:rPr>
        <w:t>. Heavy metal ions contained in these solid wastes can easily contaminate soil and groundwater through leaching by rainwater. According to TCLP test results, the concentration of Cr in the leachate of untreated steel slag can reach 15 mg/L, far exceeding the Class III groundwater standard limit of 0.05 mg/L</w:t>
      </w:r>
      <w:r>
        <w:rPr>
          <w:rFonts w:eastAsia="SimSun" w:cs="Times New Roman"/>
          <w:kern w:val="2"/>
          <w:vertAlign w:val="superscript"/>
        </w:rPr>
        <w:fldChar w:fldCharType="begin"/>
      </w:r>
      <w:r>
        <w:rPr>
          <w:rFonts w:eastAsia="SimSun" w:cs="Times New Roman"/>
          <w:kern w:val="2"/>
          <w:vertAlign w:val="superscript"/>
        </w:rPr>
        <w:instrText xml:space="preserve"> REF _Ref13369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[3]</w:t>
      </w:r>
      <w:r>
        <w:rPr>
          <w:rFonts w:eastAsia="SimSun" w:cs="Times New Roman"/>
          <w:kern w:val="2"/>
          <w:vertAlign w:val="superscript"/>
        </w:rPr>
        <w:fldChar w:fldCharType="end"/>
      </w:r>
      <w:r>
        <w:rPr>
          <w:rFonts w:eastAsia="SimSun" w:cs="Times New Roman"/>
          <w:kern w:val="2"/>
          <w:vertAlign w:val="superscript"/>
        </w:rPr>
        <w:t>.</w:t>
      </w:r>
    </w:p>
    <w:p w:rsidR="007C2403" w:rsidRDefault="00305B71">
      <w:pPr>
        <w:ind w:firstLineChars="200" w:firstLine="420"/>
        <w:rPr>
          <w:rFonts w:eastAsia="SimSun" w:cs="Times New Roman"/>
          <w:kern w:val="2"/>
        </w:rPr>
      </w:pPr>
      <w:r>
        <w:rPr>
          <w:rFonts w:eastAsia="SimSun" w:cs="Times New Roman"/>
          <w:kern w:val="2"/>
        </w:rPr>
        <w:t>In the field of road engineering, cement-stabilized aggregate (CSA) represents a traditional base course material. However, the production of each ton of cement emits approximately 0.81 tons of CO₂, and its ability to inhibit the hydration expansion of free calcium oxide (f-</w:t>
      </w:r>
      <w:proofErr w:type="spellStart"/>
      <w:r>
        <w:rPr>
          <w:rFonts w:eastAsia="SimSun" w:cs="Times New Roman"/>
          <w:kern w:val="2"/>
        </w:rPr>
        <w:t>CaO</w:t>
      </w:r>
      <w:proofErr w:type="spellEnd"/>
      <w:r>
        <w:rPr>
          <w:rFonts w:eastAsia="SimSun" w:cs="Times New Roman"/>
          <w:kern w:val="2"/>
        </w:rPr>
        <w:t>) in steel slag is limited, often leading to base course cracking</w:t>
      </w:r>
      <w:r>
        <w:rPr>
          <w:rFonts w:eastAsia="SimSun" w:cs="Times New Roman"/>
          <w:kern w:val="2"/>
          <w:vertAlign w:val="superscript"/>
        </w:rPr>
        <w:fldChar w:fldCharType="begin"/>
      </w:r>
      <w:r>
        <w:rPr>
          <w:rFonts w:eastAsia="SimSun" w:cs="Times New Roman"/>
          <w:kern w:val="2"/>
          <w:vertAlign w:val="superscript"/>
        </w:rPr>
        <w:instrText xml:space="preserve"> REF _Ref13431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[4]</w:t>
      </w:r>
      <w:r>
        <w:rPr>
          <w:rFonts w:eastAsia="SimSun" w:cs="Times New Roman"/>
          <w:kern w:val="2"/>
          <w:vertAlign w:val="superscript"/>
        </w:rPr>
        <w:fldChar w:fldCharType="end"/>
      </w:r>
      <w:r>
        <w:rPr>
          <w:rFonts w:eastAsia="SimSun" w:cs="Times New Roman"/>
          <w:kern w:val="2"/>
        </w:rPr>
        <w:t>. Geopolymer, a three-dimensional network cementitious material formed through the polymerization of aluminosilicate materials under alkaline conditions, offers advantages such as low carbon emissions (50–70% reduction compared to cement), strong corrosion resistance, and exceptional effectiveness in immobilizing heavy metals. This makes it an ideal binding medium for stabilizing steel slag</w:t>
      </w:r>
      <w:r>
        <w:rPr>
          <w:rFonts w:eastAsia="SimSun" w:cs="Times New Roman"/>
          <w:kern w:val="2"/>
          <w:vertAlign w:val="superscript"/>
        </w:rPr>
        <w:fldChar w:fldCharType="begin"/>
      </w:r>
      <w:r>
        <w:rPr>
          <w:rFonts w:eastAsia="SimSun" w:cs="Times New Roman"/>
          <w:kern w:val="2"/>
          <w:vertAlign w:val="superscript"/>
        </w:rPr>
        <w:instrText xml:space="preserve"> REF _Ref13480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[5]</w:t>
      </w:r>
      <w:r>
        <w:rPr>
          <w:rFonts w:eastAsia="SimSun" w:cs="Times New Roman"/>
          <w:kern w:val="2"/>
          <w:vertAlign w:val="superscript"/>
        </w:rPr>
        <w:fldChar w:fldCharType="end"/>
      </w:r>
      <w:r>
        <w:rPr>
          <w:rFonts w:eastAsia="SimSun" w:cs="Times New Roman"/>
          <w:kern w:val="2"/>
          <w:vertAlign w:val="superscript"/>
        </w:rPr>
        <w:t>.</w:t>
      </w:r>
      <w:r>
        <w:rPr>
          <w:rFonts w:eastAsia="SimSun" w:cs="Times New Roman"/>
          <w:kern w:val="2"/>
        </w:rPr>
        <w:t xml:space="preserve"> Steel slag outperforms conventional crushed stone in several physical indicators, including crushing value, abrasion value, and soundness. Its unique porous structure endows it with excellent bonding capacity in base course materials, meeting the performance requirements specified in relevant standards</w:t>
      </w:r>
      <w:r>
        <w:rPr>
          <w:rFonts w:eastAsia="SimSun" w:cs="Times New Roman"/>
          <w:kern w:val="2"/>
          <w:vertAlign w:val="superscript"/>
        </w:rPr>
        <w:fldChar w:fldCharType="begin"/>
      </w:r>
      <w:r>
        <w:rPr>
          <w:rFonts w:eastAsia="SimSun" w:cs="Times New Roman"/>
          <w:kern w:val="2"/>
          <w:vertAlign w:val="superscript"/>
        </w:rPr>
        <w:instrText xml:space="preserve"> REF _Ref13526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[6]</w:t>
      </w:r>
      <w:r>
        <w:rPr>
          <w:rFonts w:eastAsia="SimSun" w:cs="Times New Roman"/>
          <w:kern w:val="2"/>
          <w:vertAlign w:val="superscript"/>
        </w:rPr>
        <w:fldChar w:fldCharType="end"/>
      </w:r>
      <w:r>
        <w:rPr>
          <w:rFonts w:eastAsia="SimSun" w:cs="Times New Roman"/>
          <w:kern w:val="2"/>
        </w:rPr>
        <w:t>. Furthermore, the distinct chemical composition of steel slag includes reactive components that can undergo chemical reactions with water or cementitious materials. These reactions generate substances that fill pores and enhance bonding, thereby improving the strength of the base course material</w:t>
      </w:r>
      <w:r>
        <w:rPr>
          <w:rFonts w:eastAsia="SimSun" w:cs="Times New Roman"/>
          <w:kern w:val="2"/>
          <w:vertAlign w:val="superscript"/>
        </w:rPr>
        <w:fldChar w:fldCharType="begin"/>
      </w:r>
      <w:r>
        <w:rPr>
          <w:rFonts w:eastAsia="SimSun" w:cs="Times New Roman"/>
          <w:kern w:val="2"/>
          <w:vertAlign w:val="superscript"/>
        </w:rPr>
        <w:instrText xml:space="preserve"> REF _Ref13558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[7]</w:t>
      </w:r>
      <w:r>
        <w:rPr>
          <w:rFonts w:eastAsia="SimSun" w:cs="Times New Roman"/>
          <w:kern w:val="2"/>
          <w:vertAlign w:val="superscript"/>
        </w:rPr>
        <w:fldChar w:fldCharType="end"/>
      </w:r>
      <w:r>
        <w:rPr>
          <w:rFonts w:eastAsia="SimSun" w:cs="Times New Roman"/>
          <w:kern w:val="2"/>
        </w:rPr>
        <w:t>. Therefore, the widespread application of steel slag in pavement base and surface courses would not only facilitate effective waste utilization but also contribute to land conservation and soil and water environmental protection.</w:t>
      </w:r>
    </w:p>
    <w:p w:rsidR="007C2403" w:rsidRDefault="00305B71">
      <w:pPr>
        <w:ind w:firstLineChars="200" w:firstLine="420"/>
        <w:rPr>
          <w:rFonts w:eastAsia="SimSun" w:cs="Times New Roman"/>
          <w:kern w:val="2"/>
        </w:rPr>
      </w:pPr>
      <w:r>
        <w:rPr>
          <w:rFonts w:eastAsia="SimSun" w:cs="Times New Roman"/>
          <w:kern w:val="2"/>
        </w:rPr>
        <w:t>It is feasible to utilize geopolymer as a substitute for cement as a cementitious material, combined with steel slag, to produce a stabilization material suitable for road base courses</w:t>
      </w:r>
      <w:r>
        <w:rPr>
          <w:rFonts w:eastAsia="SimSun" w:cs="Times New Roman"/>
          <w:kern w:val="2"/>
          <w:vertAlign w:val="superscript"/>
        </w:rPr>
        <w:fldChar w:fldCharType="begin"/>
      </w:r>
      <w:r>
        <w:rPr>
          <w:rFonts w:eastAsia="SimSun" w:cs="Times New Roman"/>
          <w:kern w:val="2"/>
          <w:vertAlign w:val="superscript"/>
        </w:rPr>
        <w:instrText xml:space="preserve"> REF _Ref13614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[8]</w:t>
      </w:r>
      <w:r>
        <w:rPr>
          <w:rFonts w:eastAsia="SimSun" w:cs="Times New Roman"/>
          <w:kern w:val="2"/>
          <w:vertAlign w:val="superscript"/>
        </w:rPr>
        <w:fldChar w:fldCharType="end"/>
      </w:r>
      <w:r>
        <w:rPr>
          <w:rFonts w:eastAsia="SimSun" w:cs="Times New Roman"/>
          <w:kern w:val="2"/>
        </w:rPr>
        <w:t>. Currently, research on utilizing multi-solid waste to prepare geopolymers, particularly employing steel slag as a replacement for crushed aggregate in road base courses, remains insufficient both domestically and internationally, and is still in the exploratory stage. In view of this, this study will systematically investigate the mechanical properties and durability of a road base course employing geopolymer-stabilized steel slag. This research is expected to promote the large-scale synergistic utilization of multi-source solid waste in road base construction, providing support for sustainable development in the field of road engineering</w:t>
      </w:r>
      <w:r>
        <w:rPr>
          <w:rFonts w:eastAsia="SimSun" w:cs="Times New Roman"/>
          <w:kern w:val="2"/>
          <w:vertAlign w:val="superscript"/>
        </w:rPr>
        <w:fldChar w:fldCharType="begin"/>
      </w:r>
      <w:r>
        <w:rPr>
          <w:rFonts w:eastAsia="SimSun" w:cs="Times New Roman"/>
          <w:kern w:val="2"/>
          <w:vertAlign w:val="superscript"/>
        </w:rPr>
        <w:instrText xml:space="preserve"> REF _Ref13650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[9]</w:t>
      </w:r>
      <w:r>
        <w:rPr>
          <w:rFonts w:eastAsia="SimSun" w:cs="Times New Roman"/>
          <w:kern w:val="2"/>
          <w:vertAlign w:val="superscript"/>
        </w:rPr>
        <w:fldChar w:fldCharType="end"/>
      </w:r>
      <w:r>
        <w:rPr>
          <w:rFonts w:eastAsia="SimSun" w:cs="Times New Roman"/>
          <w:kern w:val="2"/>
          <w:vertAlign w:val="superscript"/>
        </w:rPr>
        <w:t>.</w:t>
      </w:r>
    </w:p>
    <w:p w:rsidR="007C2403" w:rsidRDefault="007C2403">
      <w:pPr>
        <w:spacing w:line="300" w:lineRule="auto"/>
        <w:ind w:firstLineChars="200" w:firstLine="480"/>
        <w:rPr>
          <w:rFonts w:ascii="SimSun" w:eastAsia="SimSun" w:hAnsi="SimSun" w:cs="SimSun"/>
          <w:sz w:val="24"/>
          <w:szCs w:val="24"/>
        </w:rPr>
      </w:pPr>
    </w:p>
    <w:p w:rsidR="007C2403" w:rsidRDefault="007C2403">
      <w:pPr>
        <w:spacing w:line="300" w:lineRule="auto"/>
        <w:ind w:firstLineChars="200" w:firstLine="480"/>
        <w:rPr>
          <w:rFonts w:ascii="SimSun" w:eastAsia="SimSun" w:hAnsi="SimSun" w:cs="SimSun"/>
          <w:sz w:val="24"/>
          <w:szCs w:val="24"/>
        </w:rPr>
        <w:sectPr w:rsidR="007C2403">
          <w:pgSz w:w="11906" w:h="16838"/>
          <w:pgMar w:top="1440" w:right="1800" w:bottom="1440" w:left="1800" w:header="851" w:footer="992" w:gutter="0"/>
          <w:cols w:space="425"/>
          <w:docGrid w:type="lines" w:linePitch="312"/>
        </w:sectPr>
      </w:pPr>
    </w:p>
    <w:p w:rsidR="007C2403" w:rsidRDefault="00305B71">
      <w:pPr>
        <w:rPr>
          <w:rFonts w:eastAsia="SimSun" w:cs="Times New Roman"/>
          <w:b/>
          <w:bCs/>
          <w:kern w:val="2"/>
          <w:sz w:val="28"/>
          <w:szCs w:val="28"/>
        </w:rPr>
      </w:pPr>
      <w:r>
        <w:rPr>
          <w:rFonts w:eastAsia="SimSun" w:cs="Times New Roman"/>
          <w:b/>
          <w:bCs/>
          <w:kern w:val="2"/>
          <w:sz w:val="28"/>
          <w:szCs w:val="28"/>
        </w:rPr>
        <w:lastRenderedPageBreak/>
        <w:t>METHODLOGY</w:t>
      </w:r>
    </w:p>
    <w:p w:rsidR="007C2403" w:rsidRDefault="007C2403">
      <w:pPr>
        <w:rPr>
          <w:rFonts w:eastAsia="SimSun" w:cs="Times New Roman"/>
          <w:b/>
          <w:bCs/>
          <w:kern w:val="2"/>
          <w:sz w:val="28"/>
          <w:szCs w:val="28"/>
        </w:rPr>
      </w:pPr>
    </w:p>
    <w:p w:rsidR="007C2403" w:rsidRDefault="00305B71">
      <w:pPr>
        <w:rPr>
          <w:rFonts w:eastAsia="SimSun" w:cs="Times New Roman"/>
          <w:b/>
          <w:bCs/>
          <w:kern w:val="2"/>
          <w:sz w:val="28"/>
          <w:szCs w:val="28"/>
        </w:rPr>
      </w:pPr>
      <w:r>
        <w:rPr>
          <w:rFonts w:eastAsia="SimSun" w:cs="Times New Roman" w:hint="eastAsia"/>
          <w:b/>
          <w:bCs/>
          <w:kern w:val="2"/>
          <w:sz w:val="28"/>
          <w:szCs w:val="28"/>
        </w:rPr>
        <w:t>2</w:t>
      </w:r>
      <w:r>
        <w:rPr>
          <w:rFonts w:eastAsia="SimSun" w:cs="Times New Roman"/>
          <w:b/>
          <w:bCs/>
          <w:kern w:val="2"/>
          <w:sz w:val="28"/>
          <w:szCs w:val="28"/>
        </w:rPr>
        <w:t xml:space="preserve"> Raw material detection and mix proportion design</w:t>
      </w:r>
    </w:p>
    <w:p w:rsidR="007C2403" w:rsidRDefault="00305B71">
      <w:pPr>
        <w:rPr>
          <w:rFonts w:eastAsia="SimSun" w:cs="Times New Roman"/>
          <w:b/>
          <w:bCs/>
          <w:kern w:val="2"/>
        </w:rPr>
      </w:pPr>
      <w:r>
        <w:rPr>
          <w:rFonts w:eastAsia="SimSun" w:cs="Times New Roman" w:hint="eastAsia"/>
          <w:b/>
          <w:bCs/>
          <w:kern w:val="2"/>
        </w:rPr>
        <w:t>1.1Geopolymer raw materials</w:t>
      </w:r>
    </w:p>
    <w:p w:rsidR="007C2403" w:rsidRDefault="00305B71">
      <w:pPr>
        <w:ind w:firstLineChars="200" w:firstLine="420"/>
        <w:rPr>
          <w:rFonts w:eastAsia="SimSun" w:cs="Times New Roman"/>
          <w:kern w:val="2"/>
        </w:rPr>
      </w:pPr>
      <w:r>
        <w:rPr>
          <w:rFonts w:eastAsia="SimSun" w:cs="Times New Roman" w:hint="eastAsia"/>
          <w:kern w:val="2"/>
        </w:rPr>
        <w:t xml:space="preserve">The Grade II low-calcium fly ash (FA) used in the experiment was produced by a company in Henan Province. It appeared as a gray powder with a fineness of 47 </w:t>
      </w:r>
      <w:r>
        <w:rPr>
          <w:rFonts w:eastAsia="SimSun" w:cs="Times New Roman" w:hint="eastAsia"/>
          <w:kern w:val="2"/>
        </w:rPr>
        <w:t>μ</w:t>
      </w:r>
      <w:r>
        <w:rPr>
          <w:rFonts w:eastAsia="SimSun" w:cs="Times New Roman" w:hint="eastAsia"/>
          <w:kern w:val="2"/>
        </w:rPr>
        <w:t>m and a residue of 26.8% on a square-hole sieve. The slag was S95-grade ground granulated blast furnace slag (GGBFS) with a specific surface area of 416 m</w:t>
      </w:r>
      <w:r>
        <w:rPr>
          <w:rFonts w:eastAsia="SimSun" w:cs="Times New Roman" w:hint="eastAsia"/>
          <w:kern w:val="2"/>
        </w:rPr>
        <w:t>²</w:t>
      </w:r>
      <w:r>
        <w:rPr>
          <w:rFonts w:eastAsia="SimSun" w:cs="Times New Roman" w:hint="eastAsia"/>
          <w:kern w:val="2"/>
        </w:rPr>
        <w:t>/kg and a density of 3.1 g/cm</w:t>
      </w:r>
      <w:r>
        <w:rPr>
          <w:rFonts w:eastAsia="SimSun" w:cs="Times New Roman" w:hint="eastAsia"/>
          <w:kern w:val="2"/>
        </w:rPr>
        <w:t>³</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_Ref13692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[10]</w:t>
      </w:r>
      <w:r>
        <w:rPr>
          <w:rFonts w:eastAsia="SimSun" w:cs="Times New Roman" w:hint="eastAsia"/>
          <w:kern w:val="2"/>
          <w:vertAlign w:val="superscript"/>
        </w:rPr>
        <w:fldChar w:fldCharType="end"/>
      </w:r>
      <w:r>
        <w:rPr>
          <w:rFonts w:eastAsia="SimSun" w:cs="Times New Roman" w:hint="eastAsia"/>
          <w:kern w:val="2"/>
        </w:rPr>
        <w:t xml:space="preserve">. The red mud was obtained from </w:t>
      </w:r>
      <w:proofErr w:type="spellStart"/>
      <w:r>
        <w:rPr>
          <w:rFonts w:eastAsia="SimSun" w:cs="Times New Roman" w:hint="eastAsia"/>
          <w:kern w:val="2"/>
        </w:rPr>
        <w:t>Zhongzhou</w:t>
      </w:r>
      <w:proofErr w:type="spellEnd"/>
      <w:r>
        <w:rPr>
          <w:rFonts w:eastAsia="SimSun" w:cs="Times New Roman" w:hint="eastAsia"/>
          <w:kern w:val="2"/>
        </w:rPr>
        <w:t xml:space="preserve"> Aluminum Plant Co., Ltd. in Henan. After drying, ball milling, and sieving, its density was measured as 3.05 g/cm</w:t>
      </w:r>
      <w:r>
        <w:rPr>
          <w:rFonts w:eastAsia="SimSun" w:cs="Times New Roman" w:hint="eastAsia"/>
          <w:kern w:val="2"/>
        </w:rPr>
        <w:t>³</w:t>
      </w:r>
      <w:r>
        <w:rPr>
          <w:rFonts w:eastAsia="SimSun" w:cs="Times New Roman" w:hint="eastAsia"/>
          <w:kern w:val="2"/>
        </w:rPr>
        <w:t xml:space="preserve"> with a specific surface area of 625 m</w:t>
      </w:r>
      <w:r>
        <w:rPr>
          <w:rFonts w:eastAsia="SimSun" w:cs="Times New Roman" w:hint="eastAsia"/>
          <w:kern w:val="2"/>
        </w:rPr>
        <w:t>²</w:t>
      </w:r>
      <w:r>
        <w:rPr>
          <w:rFonts w:eastAsia="SimSun" w:cs="Times New Roman" w:hint="eastAsia"/>
          <w:kern w:val="2"/>
        </w:rPr>
        <w:t>/</w:t>
      </w:r>
      <w:proofErr w:type="spellStart"/>
      <w:r>
        <w:rPr>
          <w:rFonts w:eastAsia="SimSun" w:cs="Times New Roman" w:hint="eastAsia"/>
          <w:kern w:val="2"/>
        </w:rPr>
        <w:t>kg.X</w:t>
      </w:r>
      <w:proofErr w:type="spellEnd"/>
      <w:r>
        <w:rPr>
          <w:rFonts w:eastAsia="SimSun" w:cs="Times New Roman" w:hint="eastAsia"/>
          <w:kern w:val="2"/>
        </w:rPr>
        <w:t>-ray fluorescence (XRF) analysis was employed to determine the composition proportions of the fly ash, GGBFS, and red mud. Among these, the contents of SiO</w:t>
      </w:r>
      <w:r>
        <w:rPr>
          <w:rFonts w:eastAsia="SimSun" w:cs="Times New Roman" w:hint="eastAsia"/>
          <w:kern w:val="2"/>
          <w:vertAlign w:val="subscript"/>
        </w:rPr>
        <w:t>2</w:t>
      </w:r>
      <w:r>
        <w:rPr>
          <w:rFonts w:eastAsia="SimSun" w:cs="Times New Roman" w:hint="eastAsia"/>
          <w:kern w:val="2"/>
        </w:rPr>
        <w:t>, Al</w:t>
      </w:r>
      <w:r>
        <w:rPr>
          <w:rFonts w:eastAsia="SimSun" w:cs="Times New Roman" w:hint="eastAsia"/>
          <w:kern w:val="2"/>
          <w:vertAlign w:val="subscript"/>
        </w:rPr>
        <w:t>2</w:t>
      </w:r>
      <w:r>
        <w:rPr>
          <w:rFonts w:eastAsia="SimSun" w:cs="Times New Roman" w:hint="eastAsia"/>
          <w:kern w:val="2"/>
        </w:rPr>
        <w:t>O</w:t>
      </w:r>
      <w:r>
        <w:rPr>
          <w:rFonts w:eastAsia="SimSun" w:cs="Times New Roman" w:hint="eastAsia"/>
          <w:kern w:val="2"/>
          <w:vertAlign w:val="subscript"/>
        </w:rPr>
        <w:t>3</w:t>
      </w:r>
      <w:r>
        <w:rPr>
          <w:rFonts w:eastAsia="SimSun" w:cs="Times New Roman" w:hint="eastAsia"/>
          <w:kern w:val="2"/>
        </w:rPr>
        <w:t xml:space="preserve">, and </w:t>
      </w:r>
      <w:proofErr w:type="spellStart"/>
      <w:r>
        <w:rPr>
          <w:rFonts w:eastAsia="SimSun" w:cs="Times New Roman" w:hint="eastAsia"/>
          <w:kern w:val="2"/>
        </w:rPr>
        <w:t>CaO</w:t>
      </w:r>
      <w:proofErr w:type="spellEnd"/>
      <w:r>
        <w:rPr>
          <w:rFonts w:eastAsia="SimSun" w:cs="Times New Roman" w:hint="eastAsia"/>
          <w:kern w:val="2"/>
        </w:rPr>
        <w:t xml:space="preserve"> are particularly critical indicators affecting the performance of the geopolymer</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_Ref13777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[11]</w:t>
      </w:r>
      <w:r>
        <w:rPr>
          <w:rFonts w:eastAsia="SimSun" w:cs="Times New Roman" w:hint="eastAsia"/>
          <w:kern w:val="2"/>
          <w:vertAlign w:val="superscript"/>
        </w:rPr>
        <w:fldChar w:fldCharType="end"/>
      </w:r>
      <w:r>
        <w:rPr>
          <w:rFonts w:eastAsia="SimSun" w:cs="Times New Roman" w:hint="eastAsia"/>
          <w:kern w:val="2"/>
        </w:rPr>
        <w:t>. The main chemical compositions of the fly ash, slag, and red mud are presented in Table 1.</w:t>
      </w:r>
    </w:p>
    <w:p w:rsidR="007C2403" w:rsidRDefault="00305B71">
      <w:pPr>
        <w:pStyle w:val="a"/>
        <w:kinsoku w:val="0"/>
        <w:wordWrap w:val="0"/>
        <w:overflowPunct w:val="0"/>
        <w:spacing w:beforeLines="50" w:before="156"/>
      </w:pPr>
      <w:r>
        <w:t>Table 1: Main chemical compositions of fly ash, slag, and red mud</w:t>
      </w:r>
    </w:p>
    <w:tbl>
      <w:tblPr>
        <w:tblStyle w:val="TableGrid"/>
        <w:tblW w:w="4994"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1"/>
        <w:gridCol w:w="695"/>
        <w:gridCol w:w="695"/>
        <w:gridCol w:w="695"/>
        <w:gridCol w:w="695"/>
        <w:gridCol w:w="695"/>
        <w:gridCol w:w="695"/>
        <w:gridCol w:w="695"/>
        <w:gridCol w:w="695"/>
        <w:gridCol w:w="701"/>
      </w:tblGrid>
      <w:tr w:rsidR="007C2403">
        <w:trPr>
          <w:jc w:val="center"/>
        </w:trPr>
        <w:tc>
          <w:tcPr>
            <w:tcW w:w="1321" w:type="pct"/>
            <w:tcBorders>
              <w:bottom w:val="single" w:sz="6" w:space="0" w:color="auto"/>
            </w:tcBorders>
            <w:vAlign w:val="center"/>
          </w:tcPr>
          <w:p w:rsidR="007C2403" w:rsidRDefault="00305B71">
            <w:pPr>
              <w:spacing w:line="300" w:lineRule="auto"/>
              <w:contextualSpacing/>
              <w:jc w:val="center"/>
              <w:rPr>
                <w:rFonts w:eastAsia="SimSun" w:cs="Times New Roman"/>
                <w:color w:val="000000" w:themeColor="text1"/>
              </w:rPr>
            </w:pPr>
            <w:r>
              <w:rPr>
                <w:rFonts w:eastAsia="SimSun" w:cs="Times New Roman"/>
                <w:color w:val="000000" w:themeColor="text1"/>
              </w:rPr>
              <w:t>Chemical</w:t>
            </w:r>
            <w:r>
              <w:rPr>
                <w:rFonts w:eastAsia="SimSun" w:cs="Times New Roman" w:hint="eastAsia"/>
                <w:color w:val="000000" w:themeColor="text1"/>
              </w:rPr>
              <w:t xml:space="preserve"> </w:t>
            </w:r>
            <w:r>
              <w:rPr>
                <w:rFonts w:eastAsia="SimSun" w:cs="Times New Roman"/>
                <w:color w:val="000000" w:themeColor="text1"/>
              </w:rPr>
              <w:t>composition</w:t>
            </w:r>
            <w:r>
              <w:rPr>
                <w:rFonts w:eastAsia="SimSun" w:cs="Times New Roman" w:hint="eastAsia"/>
                <w:color w:val="000000" w:themeColor="text1"/>
              </w:rPr>
              <w:t xml:space="preserve"> </w:t>
            </w:r>
            <w:r>
              <w:rPr>
                <w:rFonts w:eastAsia="SimSun" w:cs="Times New Roman"/>
                <w:color w:val="000000" w:themeColor="text1"/>
              </w:rPr>
              <w:t>content</w:t>
            </w:r>
            <w:r>
              <w:rPr>
                <w:rFonts w:eastAsia="SimSun" w:cs="Times New Roman" w:hint="eastAsia"/>
                <w:color w:val="000000" w:themeColor="text1"/>
              </w:rPr>
              <w:t xml:space="preserve"> </w:t>
            </w:r>
            <w:r>
              <w:rPr>
                <w:rFonts w:eastAsia="SimSun" w:cs="Times New Roman"/>
                <w:color w:val="000000" w:themeColor="text1"/>
              </w:rPr>
              <w:t>(wt.%)</w:t>
            </w:r>
          </w:p>
        </w:tc>
        <w:tc>
          <w:tcPr>
            <w:tcW w:w="408" w:type="pct"/>
            <w:tcBorders>
              <w:bottom w:val="single" w:sz="6" w:space="0" w:color="auto"/>
            </w:tcBorders>
            <w:vAlign w:val="center"/>
          </w:tcPr>
          <w:p w:rsidR="007C2403" w:rsidRDefault="00305B71">
            <w:pPr>
              <w:spacing w:line="300" w:lineRule="auto"/>
              <w:contextualSpacing/>
              <w:jc w:val="center"/>
              <w:rPr>
                <w:rFonts w:eastAsia="SimSun" w:cs="Times New Roman"/>
                <w:color w:val="000000" w:themeColor="text1"/>
              </w:rPr>
            </w:pPr>
            <w:r>
              <w:rPr>
                <w:rFonts w:eastAsia="SimSun" w:cs="Times New Roman"/>
                <w:color w:val="000000" w:themeColor="text1"/>
              </w:rPr>
              <w:t>SiO</w:t>
            </w:r>
            <w:r>
              <w:rPr>
                <w:rFonts w:eastAsia="SimSun" w:cs="Times New Roman"/>
                <w:color w:val="000000" w:themeColor="text1"/>
                <w:vertAlign w:val="subscript"/>
              </w:rPr>
              <w:t>2</w:t>
            </w:r>
          </w:p>
        </w:tc>
        <w:tc>
          <w:tcPr>
            <w:tcW w:w="408" w:type="pct"/>
            <w:tcBorders>
              <w:bottom w:val="single" w:sz="6" w:space="0" w:color="auto"/>
            </w:tcBorders>
            <w:vAlign w:val="center"/>
          </w:tcPr>
          <w:p w:rsidR="007C2403" w:rsidRDefault="00305B71">
            <w:pPr>
              <w:spacing w:line="300" w:lineRule="auto"/>
              <w:contextualSpacing/>
              <w:jc w:val="center"/>
              <w:rPr>
                <w:rFonts w:eastAsia="SimSun" w:cs="Times New Roman"/>
                <w:color w:val="000000" w:themeColor="text1"/>
              </w:rPr>
            </w:pPr>
            <w:r>
              <w:rPr>
                <w:rFonts w:eastAsia="SimSun" w:cs="Times New Roman"/>
                <w:color w:val="000000" w:themeColor="text1"/>
                <w:sz w:val="20"/>
                <w:szCs w:val="20"/>
              </w:rPr>
              <w:t>Al</w:t>
            </w:r>
            <w:r>
              <w:rPr>
                <w:rFonts w:eastAsia="SimSun" w:cs="Times New Roman"/>
                <w:color w:val="000000" w:themeColor="text1"/>
                <w:sz w:val="20"/>
                <w:szCs w:val="20"/>
                <w:vertAlign w:val="subscript"/>
              </w:rPr>
              <w:t>2</w:t>
            </w:r>
            <w:r>
              <w:rPr>
                <w:rFonts w:eastAsia="SimSun" w:cs="Times New Roman"/>
                <w:color w:val="000000" w:themeColor="text1"/>
                <w:sz w:val="20"/>
                <w:szCs w:val="20"/>
              </w:rPr>
              <w:t>O</w:t>
            </w:r>
            <w:r>
              <w:rPr>
                <w:rFonts w:eastAsia="SimSun" w:cs="Times New Roman"/>
                <w:color w:val="000000" w:themeColor="text1"/>
                <w:sz w:val="20"/>
                <w:szCs w:val="20"/>
                <w:vertAlign w:val="subscript"/>
              </w:rPr>
              <w:t>3</w:t>
            </w:r>
          </w:p>
        </w:tc>
        <w:tc>
          <w:tcPr>
            <w:tcW w:w="408" w:type="pct"/>
            <w:tcBorders>
              <w:bottom w:val="single" w:sz="6" w:space="0" w:color="auto"/>
            </w:tcBorders>
            <w:vAlign w:val="center"/>
          </w:tcPr>
          <w:p w:rsidR="007C2403" w:rsidRDefault="00305B71">
            <w:pPr>
              <w:spacing w:line="300" w:lineRule="auto"/>
              <w:contextualSpacing/>
              <w:jc w:val="center"/>
              <w:rPr>
                <w:rFonts w:eastAsia="SimSun" w:cs="Times New Roman"/>
                <w:color w:val="000000" w:themeColor="text1"/>
              </w:rPr>
            </w:pPr>
            <w:proofErr w:type="spellStart"/>
            <w:r>
              <w:rPr>
                <w:rFonts w:cs="Times New Roman" w:hint="eastAsia"/>
                <w:color w:val="000000" w:themeColor="text1"/>
              </w:rPr>
              <w:t>CaO</w:t>
            </w:r>
            <w:proofErr w:type="spellEnd"/>
          </w:p>
        </w:tc>
        <w:tc>
          <w:tcPr>
            <w:tcW w:w="408" w:type="pct"/>
            <w:tcBorders>
              <w:bottom w:val="single" w:sz="6" w:space="0" w:color="auto"/>
            </w:tcBorders>
            <w:vAlign w:val="center"/>
          </w:tcPr>
          <w:p w:rsidR="007C2403" w:rsidRDefault="00305B71">
            <w:pPr>
              <w:spacing w:line="300" w:lineRule="auto"/>
              <w:contextualSpacing/>
              <w:jc w:val="center"/>
              <w:rPr>
                <w:rFonts w:eastAsia="SimSun" w:cs="Times New Roman"/>
                <w:color w:val="000000" w:themeColor="text1"/>
              </w:rPr>
            </w:pPr>
            <w:r>
              <w:rPr>
                <w:rFonts w:eastAsia="SimSun" w:cs="Times New Roman"/>
                <w:color w:val="000000" w:themeColor="text1"/>
                <w:sz w:val="20"/>
                <w:szCs w:val="20"/>
              </w:rPr>
              <w:t>Fe</w:t>
            </w:r>
            <w:r>
              <w:rPr>
                <w:rFonts w:eastAsia="SimSun" w:cs="Times New Roman"/>
                <w:color w:val="000000" w:themeColor="text1"/>
                <w:sz w:val="20"/>
                <w:szCs w:val="20"/>
                <w:vertAlign w:val="subscript"/>
              </w:rPr>
              <w:t>2</w:t>
            </w:r>
            <w:r>
              <w:rPr>
                <w:rFonts w:eastAsia="SimSun" w:cs="Times New Roman"/>
                <w:color w:val="000000" w:themeColor="text1"/>
                <w:sz w:val="20"/>
                <w:szCs w:val="20"/>
              </w:rPr>
              <w:t>O</w:t>
            </w:r>
            <w:r>
              <w:rPr>
                <w:rFonts w:eastAsia="SimSun" w:cs="Times New Roman"/>
                <w:color w:val="000000" w:themeColor="text1"/>
                <w:sz w:val="20"/>
                <w:szCs w:val="20"/>
                <w:vertAlign w:val="subscript"/>
              </w:rPr>
              <w:t>3</w:t>
            </w:r>
          </w:p>
        </w:tc>
        <w:tc>
          <w:tcPr>
            <w:tcW w:w="408" w:type="pct"/>
            <w:tcBorders>
              <w:bottom w:val="single" w:sz="6" w:space="0" w:color="auto"/>
            </w:tcBorders>
            <w:vAlign w:val="center"/>
          </w:tcPr>
          <w:p w:rsidR="007C2403" w:rsidRDefault="00305B71">
            <w:pPr>
              <w:spacing w:line="300" w:lineRule="auto"/>
              <w:contextualSpacing/>
              <w:jc w:val="center"/>
              <w:rPr>
                <w:rFonts w:cs="Times New Roman"/>
                <w:color w:val="000000" w:themeColor="text1"/>
              </w:rPr>
            </w:pPr>
            <w:r>
              <w:rPr>
                <w:rFonts w:cs="Times New Roman" w:hint="eastAsia"/>
                <w:color w:val="000000" w:themeColor="text1"/>
              </w:rPr>
              <w:t>Mg</w:t>
            </w:r>
            <w:r>
              <w:rPr>
                <w:rFonts w:eastAsia="SimSun" w:cs="Times New Roman"/>
                <w:color w:val="000000" w:themeColor="text1"/>
              </w:rPr>
              <w:t>O</w:t>
            </w:r>
          </w:p>
        </w:tc>
        <w:tc>
          <w:tcPr>
            <w:tcW w:w="408" w:type="pct"/>
            <w:tcBorders>
              <w:bottom w:val="single" w:sz="6" w:space="0" w:color="auto"/>
            </w:tcBorders>
            <w:vAlign w:val="center"/>
          </w:tcPr>
          <w:p w:rsidR="007C2403" w:rsidRDefault="00305B71">
            <w:pPr>
              <w:spacing w:line="300" w:lineRule="auto"/>
              <w:contextualSpacing/>
              <w:jc w:val="center"/>
              <w:rPr>
                <w:rFonts w:eastAsia="SimSun" w:cs="Times New Roman"/>
                <w:color w:val="000000" w:themeColor="text1"/>
              </w:rPr>
            </w:pPr>
            <w:r>
              <w:rPr>
                <w:rFonts w:cs="Times New Roman" w:hint="eastAsia"/>
                <w:color w:val="000000" w:themeColor="text1"/>
              </w:rPr>
              <w:t>Na</w:t>
            </w:r>
            <w:r>
              <w:rPr>
                <w:rFonts w:cs="Times New Roman" w:hint="eastAsia"/>
                <w:color w:val="000000" w:themeColor="text1"/>
                <w:vertAlign w:val="subscript"/>
              </w:rPr>
              <w:t>2</w:t>
            </w:r>
            <w:r>
              <w:rPr>
                <w:rFonts w:cs="Times New Roman" w:hint="eastAsia"/>
                <w:color w:val="000000" w:themeColor="text1"/>
              </w:rPr>
              <w:t>O</w:t>
            </w:r>
          </w:p>
        </w:tc>
        <w:tc>
          <w:tcPr>
            <w:tcW w:w="408" w:type="pct"/>
            <w:tcBorders>
              <w:bottom w:val="single" w:sz="6" w:space="0" w:color="auto"/>
            </w:tcBorders>
            <w:vAlign w:val="center"/>
          </w:tcPr>
          <w:p w:rsidR="007C2403" w:rsidRDefault="00305B71">
            <w:pPr>
              <w:spacing w:line="300" w:lineRule="auto"/>
              <w:contextualSpacing/>
              <w:jc w:val="center"/>
              <w:rPr>
                <w:rFonts w:eastAsia="SimSun" w:cs="Times New Roman"/>
                <w:color w:val="000000" w:themeColor="text1"/>
              </w:rPr>
            </w:pPr>
            <w:r>
              <w:rPr>
                <w:rFonts w:eastAsia="SimSun" w:cs="Times New Roman"/>
                <w:color w:val="000000" w:themeColor="text1"/>
              </w:rPr>
              <w:t>K</w:t>
            </w:r>
            <w:r>
              <w:rPr>
                <w:rFonts w:eastAsia="SimSun" w:cs="Times New Roman"/>
                <w:color w:val="000000" w:themeColor="text1"/>
                <w:vertAlign w:val="subscript"/>
              </w:rPr>
              <w:t>2</w:t>
            </w:r>
            <w:r>
              <w:rPr>
                <w:rFonts w:eastAsia="SimSun" w:cs="Times New Roman"/>
                <w:color w:val="000000" w:themeColor="text1"/>
              </w:rPr>
              <w:t>O</w:t>
            </w:r>
          </w:p>
        </w:tc>
        <w:tc>
          <w:tcPr>
            <w:tcW w:w="408" w:type="pct"/>
            <w:tcBorders>
              <w:bottom w:val="single" w:sz="6" w:space="0" w:color="auto"/>
            </w:tcBorders>
            <w:vAlign w:val="center"/>
          </w:tcPr>
          <w:p w:rsidR="007C2403" w:rsidRDefault="00305B71">
            <w:pPr>
              <w:spacing w:line="300" w:lineRule="auto"/>
              <w:contextualSpacing/>
              <w:jc w:val="center"/>
              <w:rPr>
                <w:rFonts w:eastAsia="SimSun" w:cs="Times New Roman"/>
                <w:color w:val="000000" w:themeColor="text1"/>
              </w:rPr>
            </w:pPr>
            <w:r>
              <w:rPr>
                <w:rFonts w:cs="Times New Roman" w:hint="eastAsia"/>
                <w:color w:val="000000" w:themeColor="text1"/>
              </w:rPr>
              <w:t>SO</w:t>
            </w:r>
            <w:r>
              <w:rPr>
                <w:rFonts w:cs="Times New Roman" w:hint="eastAsia"/>
                <w:color w:val="000000" w:themeColor="text1"/>
                <w:vertAlign w:val="subscript"/>
              </w:rPr>
              <w:t>3</w:t>
            </w:r>
          </w:p>
        </w:tc>
        <w:tc>
          <w:tcPr>
            <w:tcW w:w="412" w:type="pct"/>
            <w:tcBorders>
              <w:bottom w:val="single" w:sz="6" w:space="0" w:color="auto"/>
            </w:tcBorders>
            <w:vAlign w:val="center"/>
          </w:tcPr>
          <w:p w:rsidR="007C2403" w:rsidRDefault="00305B71">
            <w:pPr>
              <w:spacing w:line="300" w:lineRule="auto"/>
              <w:contextualSpacing/>
              <w:jc w:val="center"/>
              <w:rPr>
                <w:rFonts w:eastAsia="SimSun" w:cs="Times New Roman"/>
                <w:color w:val="000000" w:themeColor="text1"/>
              </w:rPr>
            </w:pPr>
            <w:r>
              <w:rPr>
                <w:rFonts w:cs="Times New Roman" w:hint="eastAsia"/>
                <w:color w:val="000000" w:themeColor="text1"/>
              </w:rPr>
              <w:t>Loss</w:t>
            </w:r>
          </w:p>
        </w:tc>
      </w:tr>
      <w:tr w:rsidR="007C2403">
        <w:trPr>
          <w:jc w:val="center"/>
        </w:trPr>
        <w:tc>
          <w:tcPr>
            <w:tcW w:w="1321" w:type="pct"/>
            <w:tcBorders>
              <w:top w:val="single" w:sz="6" w:space="0" w:color="auto"/>
            </w:tcBorders>
          </w:tcPr>
          <w:p w:rsidR="007C2403" w:rsidRDefault="00305B71">
            <w:pPr>
              <w:spacing w:line="300" w:lineRule="auto"/>
              <w:contextualSpacing/>
              <w:jc w:val="center"/>
              <w:rPr>
                <w:rFonts w:eastAsia="SimSun" w:cs="Times New Roman"/>
                <w:color w:val="000000" w:themeColor="text1"/>
              </w:rPr>
            </w:pPr>
            <w:proofErr w:type="spellStart"/>
            <w:r>
              <w:rPr>
                <w:rFonts w:cs="Times New Roman" w:hint="eastAsia"/>
                <w:color w:val="000000" w:themeColor="text1"/>
              </w:rPr>
              <w:t>Flyash</w:t>
            </w:r>
            <w:proofErr w:type="spellEnd"/>
          </w:p>
        </w:tc>
        <w:tc>
          <w:tcPr>
            <w:tcW w:w="408" w:type="pct"/>
            <w:tcBorders>
              <w:top w:val="single" w:sz="6" w:space="0" w:color="auto"/>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55.2</w:t>
            </w:r>
          </w:p>
        </w:tc>
        <w:tc>
          <w:tcPr>
            <w:tcW w:w="408" w:type="pct"/>
            <w:tcBorders>
              <w:top w:val="single" w:sz="6" w:space="0" w:color="auto"/>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27.5</w:t>
            </w:r>
          </w:p>
        </w:tc>
        <w:tc>
          <w:tcPr>
            <w:tcW w:w="408" w:type="pct"/>
            <w:tcBorders>
              <w:top w:val="single" w:sz="6" w:space="0" w:color="auto"/>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3.87</w:t>
            </w:r>
          </w:p>
        </w:tc>
        <w:tc>
          <w:tcPr>
            <w:tcW w:w="408" w:type="pct"/>
            <w:tcBorders>
              <w:top w:val="single" w:sz="6" w:space="0" w:color="auto"/>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4.86</w:t>
            </w:r>
          </w:p>
        </w:tc>
        <w:tc>
          <w:tcPr>
            <w:tcW w:w="408" w:type="pct"/>
            <w:tcBorders>
              <w:top w:val="single" w:sz="6" w:space="0" w:color="auto"/>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0.59</w:t>
            </w:r>
          </w:p>
        </w:tc>
        <w:tc>
          <w:tcPr>
            <w:tcW w:w="408" w:type="pct"/>
            <w:tcBorders>
              <w:top w:val="single" w:sz="6" w:space="0" w:color="auto"/>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0.75</w:t>
            </w:r>
          </w:p>
        </w:tc>
        <w:tc>
          <w:tcPr>
            <w:tcW w:w="408" w:type="pct"/>
            <w:tcBorders>
              <w:top w:val="single" w:sz="6" w:space="0" w:color="auto"/>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2.83</w:t>
            </w:r>
          </w:p>
        </w:tc>
        <w:tc>
          <w:tcPr>
            <w:tcW w:w="408" w:type="pct"/>
            <w:tcBorders>
              <w:top w:val="single" w:sz="6" w:space="0" w:color="auto"/>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1.43</w:t>
            </w:r>
          </w:p>
        </w:tc>
        <w:tc>
          <w:tcPr>
            <w:tcW w:w="412" w:type="pct"/>
            <w:tcBorders>
              <w:top w:val="single" w:sz="6" w:space="0" w:color="auto"/>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2.97</w:t>
            </w:r>
          </w:p>
        </w:tc>
      </w:tr>
      <w:tr w:rsidR="007C2403">
        <w:trPr>
          <w:jc w:val="center"/>
        </w:trPr>
        <w:tc>
          <w:tcPr>
            <w:tcW w:w="1321" w:type="pct"/>
            <w:tcBorders>
              <w:tl2br w:val="nil"/>
              <w:tr2bl w:val="nil"/>
            </w:tcBorders>
          </w:tcPr>
          <w:p w:rsidR="007C2403" w:rsidRDefault="00305B71">
            <w:pPr>
              <w:spacing w:line="300" w:lineRule="auto"/>
              <w:contextualSpacing/>
              <w:jc w:val="center"/>
              <w:rPr>
                <w:rFonts w:eastAsia="SimSun" w:cs="Times New Roman"/>
                <w:color w:val="000000" w:themeColor="text1"/>
              </w:rPr>
            </w:pPr>
            <w:r>
              <w:rPr>
                <w:rFonts w:cs="Times New Roman" w:hint="eastAsia"/>
                <w:color w:val="000000" w:themeColor="text1"/>
              </w:rPr>
              <w:t>Slag powder</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26.5</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19.4</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35.3</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0.61</w:t>
            </w:r>
          </w:p>
        </w:tc>
        <w:tc>
          <w:tcPr>
            <w:tcW w:w="408" w:type="pct"/>
            <w:tcBorders>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8.9</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1.75</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1.43</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0.83</w:t>
            </w:r>
          </w:p>
        </w:tc>
        <w:tc>
          <w:tcPr>
            <w:tcW w:w="412" w:type="pct"/>
            <w:tcBorders>
              <w:tl2br w:val="nil"/>
              <w:tr2bl w:val="nil"/>
            </w:tcBorders>
            <w:vAlign w:val="center"/>
          </w:tcPr>
          <w:p w:rsidR="007C2403" w:rsidRDefault="00305B71">
            <w:pPr>
              <w:widowControl/>
              <w:jc w:val="center"/>
              <w:textAlignment w:val="center"/>
              <w:rPr>
                <w:rFonts w:eastAsia="SimSun" w:cs="Times New Roman"/>
                <w:color w:val="000000" w:themeColor="text1"/>
              </w:rPr>
            </w:pPr>
            <w:r>
              <w:rPr>
                <w:rFonts w:eastAsia="SimSun" w:cs="Times New Roman"/>
                <w:color w:val="000000"/>
                <w:lang w:bidi="ar"/>
              </w:rPr>
              <w:t>5.28</w:t>
            </w:r>
          </w:p>
        </w:tc>
      </w:tr>
      <w:tr w:rsidR="007C2403">
        <w:trPr>
          <w:jc w:val="center"/>
        </w:trPr>
        <w:tc>
          <w:tcPr>
            <w:tcW w:w="1321" w:type="pct"/>
            <w:tcBorders>
              <w:tl2br w:val="nil"/>
              <w:tr2bl w:val="nil"/>
            </w:tcBorders>
          </w:tcPr>
          <w:p w:rsidR="007C2403" w:rsidRDefault="00305B71">
            <w:pPr>
              <w:spacing w:line="300" w:lineRule="auto"/>
              <w:contextualSpacing/>
              <w:jc w:val="center"/>
              <w:rPr>
                <w:rFonts w:cs="Times New Roman"/>
                <w:color w:val="000000" w:themeColor="text1"/>
              </w:rPr>
            </w:pPr>
            <w:r>
              <w:rPr>
                <w:rFonts w:cs="Times New Roman" w:hint="eastAsia"/>
                <w:color w:val="000000" w:themeColor="text1"/>
              </w:rPr>
              <w:t>Red mud</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lang w:bidi="ar"/>
              </w:rPr>
            </w:pPr>
            <w:r>
              <w:rPr>
                <w:rFonts w:eastAsia="SimSun" w:cs="Times New Roman"/>
                <w:color w:val="000000"/>
                <w:lang w:bidi="ar"/>
              </w:rPr>
              <w:t>16.55</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lang w:bidi="ar"/>
              </w:rPr>
            </w:pPr>
            <w:r>
              <w:rPr>
                <w:rFonts w:eastAsia="SimSun" w:cs="Times New Roman"/>
                <w:color w:val="000000"/>
                <w:lang w:bidi="ar"/>
              </w:rPr>
              <w:t>22.53</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lang w:bidi="ar"/>
              </w:rPr>
            </w:pPr>
            <w:r>
              <w:rPr>
                <w:rFonts w:eastAsia="SimSun" w:cs="Times New Roman"/>
                <w:color w:val="000000"/>
                <w:lang w:bidi="ar"/>
              </w:rPr>
              <w:t>14.38</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lang w:bidi="ar"/>
              </w:rPr>
            </w:pPr>
            <w:r>
              <w:rPr>
                <w:rFonts w:eastAsia="SimSun" w:cs="Times New Roman"/>
                <w:color w:val="000000"/>
                <w:lang w:bidi="ar"/>
              </w:rPr>
              <w:t>33.36</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lang w:bidi="ar"/>
              </w:rPr>
            </w:pPr>
            <w:r>
              <w:rPr>
                <w:rFonts w:eastAsia="SimSun" w:cs="Times New Roman"/>
                <w:color w:val="000000"/>
                <w:lang w:bidi="ar"/>
              </w:rPr>
              <w:t>0.52</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lang w:bidi="ar"/>
              </w:rPr>
            </w:pPr>
            <w:r>
              <w:rPr>
                <w:rFonts w:eastAsia="SimSun" w:cs="Times New Roman"/>
                <w:color w:val="000000"/>
                <w:lang w:bidi="ar"/>
              </w:rPr>
              <w:t>8.17</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lang w:bidi="ar"/>
              </w:rPr>
            </w:pPr>
            <w:r>
              <w:rPr>
                <w:rFonts w:eastAsia="SimSun" w:cs="Times New Roman"/>
                <w:color w:val="000000"/>
                <w:lang w:bidi="ar"/>
              </w:rPr>
              <w:t>0.34</w:t>
            </w:r>
          </w:p>
        </w:tc>
        <w:tc>
          <w:tcPr>
            <w:tcW w:w="408" w:type="pct"/>
            <w:tcBorders>
              <w:tl2br w:val="nil"/>
              <w:tr2bl w:val="nil"/>
            </w:tcBorders>
            <w:vAlign w:val="center"/>
          </w:tcPr>
          <w:p w:rsidR="007C2403" w:rsidRDefault="00305B71">
            <w:pPr>
              <w:widowControl/>
              <w:jc w:val="center"/>
              <w:textAlignment w:val="center"/>
              <w:rPr>
                <w:rFonts w:eastAsia="SimSun" w:cs="Times New Roman"/>
                <w:color w:val="000000"/>
                <w:lang w:bidi="ar"/>
              </w:rPr>
            </w:pPr>
            <w:r>
              <w:rPr>
                <w:rFonts w:eastAsia="SimSun" w:cs="Times New Roman"/>
                <w:color w:val="000000"/>
                <w:lang w:bidi="ar"/>
              </w:rPr>
              <w:t>0.89</w:t>
            </w:r>
          </w:p>
        </w:tc>
        <w:tc>
          <w:tcPr>
            <w:tcW w:w="412" w:type="pct"/>
            <w:tcBorders>
              <w:tl2br w:val="nil"/>
              <w:tr2bl w:val="nil"/>
            </w:tcBorders>
            <w:vAlign w:val="center"/>
          </w:tcPr>
          <w:p w:rsidR="007C2403" w:rsidRDefault="00305B71">
            <w:pPr>
              <w:widowControl/>
              <w:jc w:val="center"/>
              <w:textAlignment w:val="center"/>
              <w:rPr>
                <w:rFonts w:eastAsia="SimSun" w:cs="Times New Roman"/>
                <w:color w:val="000000"/>
                <w:lang w:bidi="ar"/>
              </w:rPr>
            </w:pPr>
            <w:r>
              <w:rPr>
                <w:rFonts w:eastAsia="SimSun" w:cs="Times New Roman"/>
                <w:color w:val="000000"/>
                <w:lang w:bidi="ar"/>
              </w:rPr>
              <w:t>3.26</w:t>
            </w:r>
          </w:p>
        </w:tc>
      </w:tr>
    </w:tbl>
    <w:p w:rsidR="007C2403" w:rsidRDefault="00305B71">
      <w:pPr>
        <w:ind w:firstLineChars="200" w:firstLine="420"/>
        <w:rPr>
          <w:rFonts w:eastAsia="SimSun" w:cs="Times New Roman"/>
          <w:kern w:val="2"/>
        </w:rPr>
      </w:pPr>
      <w:r>
        <w:rPr>
          <w:rFonts w:eastAsia="SimSun" w:cs="Times New Roman"/>
          <w:kern w:val="2"/>
        </w:rPr>
        <w:t xml:space="preserve">The steel slag was sourced from a large steel plant in Hebei Province, with a specific surface area of 487 m²/kg and a density of 3.12 g/cm³. Its main components include oxides such as iron oxide, aluminum oxide, and silicon oxide, along with oxides of certain metallic elements </w:t>
      </w:r>
      <w:r>
        <w:rPr>
          <w:rFonts w:eastAsia="SimSun" w:cs="Times New Roman"/>
          <w:kern w:val="2"/>
          <w:vertAlign w:val="superscript"/>
        </w:rPr>
        <w:fldChar w:fldCharType="begin"/>
      </w:r>
      <w:r>
        <w:rPr>
          <w:rFonts w:eastAsia="SimSun" w:cs="Times New Roman"/>
          <w:kern w:val="2"/>
          <w:vertAlign w:val="superscript"/>
        </w:rPr>
        <w:instrText xml:space="preserve"> REF _Ref13823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[12]</w:t>
      </w:r>
      <w:r>
        <w:rPr>
          <w:rFonts w:eastAsia="SimSun" w:cs="Times New Roman"/>
          <w:kern w:val="2"/>
          <w:vertAlign w:val="superscript"/>
        </w:rPr>
        <w:fldChar w:fldCharType="end"/>
      </w:r>
      <w:r>
        <w:rPr>
          <w:rFonts w:eastAsia="SimSun" w:cs="Times New Roman"/>
          <w:kern w:val="2"/>
        </w:rPr>
        <w:t xml:space="preserve">. Additionally, the slag may contain certain impurities such as silt and sand, as well as eroded furnace lining materials from the steelmaking process. The presence of these impurities can influence the chemical composition and properties of the steel slag. As a by-product generated during steel production, steel slag requires subsequent treatment and disposal </w:t>
      </w:r>
      <w:r>
        <w:rPr>
          <w:rFonts w:eastAsia="SimSun" w:cs="Times New Roman"/>
          <w:kern w:val="2"/>
          <w:vertAlign w:val="superscript"/>
        </w:rPr>
        <w:fldChar w:fldCharType="begin"/>
      </w:r>
      <w:r>
        <w:rPr>
          <w:rFonts w:eastAsia="SimSun" w:cs="Times New Roman"/>
          <w:kern w:val="2"/>
          <w:vertAlign w:val="superscript"/>
        </w:rPr>
        <w:instrText xml:space="preserve"> REF _Ref13862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[13]</w:t>
      </w:r>
      <w:r>
        <w:rPr>
          <w:rFonts w:eastAsia="SimSun" w:cs="Times New Roman"/>
          <w:kern w:val="2"/>
          <w:vertAlign w:val="superscript"/>
        </w:rPr>
        <w:fldChar w:fldCharType="end"/>
      </w:r>
      <w:r>
        <w:rPr>
          <w:rFonts w:eastAsia="SimSun" w:cs="Times New Roman"/>
          <w:kern w:val="2"/>
          <w:vertAlign w:val="superscript"/>
        </w:rPr>
        <w:t>.</w:t>
      </w:r>
      <w:r>
        <w:rPr>
          <w:rFonts w:eastAsia="SimSun" w:cs="Times New Roman"/>
          <w:kern w:val="2"/>
        </w:rPr>
        <w:t xml:space="preserve"> The main chemical composition of the steel slag is presented in Table 2.</w:t>
      </w:r>
    </w:p>
    <w:p w:rsidR="007C2403" w:rsidRDefault="00305B71">
      <w:pPr>
        <w:pStyle w:val="a"/>
        <w:spacing w:beforeLines="50" w:before="156"/>
      </w:pPr>
      <w:r>
        <w:t xml:space="preserve">Table </w:t>
      </w:r>
      <w:r>
        <w:rPr>
          <w:rFonts w:hint="eastAsia"/>
        </w:rPr>
        <w:t xml:space="preserve">2: </w:t>
      </w:r>
      <w:r>
        <w:t>The main chemical composition of steel slag</w:t>
      </w:r>
    </w:p>
    <w:tbl>
      <w:tblPr>
        <w:tblW w:w="4995" w:type="pct"/>
        <w:jc w:val="center"/>
        <w:tblBorders>
          <w:top w:val="single" w:sz="12" w:space="0" w:color="auto"/>
          <w:bottom w:val="single" w:sz="12"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1766"/>
        <w:gridCol w:w="606"/>
        <w:gridCol w:w="742"/>
        <w:gridCol w:w="742"/>
        <w:gridCol w:w="671"/>
        <w:gridCol w:w="592"/>
        <w:gridCol w:w="700"/>
        <w:gridCol w:w="573"/>
        <w:gridCol w:w="620"/>
        <w:gridCol w:w="672"/>
        <w:gridCol w:w="674"/>
      </w:tblGrid>
      <w:tr w:rsidR="007C2403">
        <w:trPr>
          <w:cantSplit/>
          <w:trHeight w:hRule="exact" w:val="660"/>
          <w:jc w:val="center"/>
        </w:trPr>
        <w:tc>
          <w:tcPr>
            <w:tcW w:w="1055" w:type="pct"/>
            <w:tcBorders>
              <w:top w:val="single" w:sz="12" w:space="0" w:color="auto"/>
              <w:left w:val="nil"/>
              <w:bottom w:val="single" w:sz="6" w:space="0" w:color="auto"/>
              <w:right w:val="nil"/>
            </w:tcBorders>
            <w:vAlign w:val="center"/>
          </w:tcPr>
          <w:p w:rsidR="007C2403" w:rsidRDefault="00305B71">
            <w:pPr>
              <w:spacing w:line="300" w:lineRule="auto"/>
              <w:contextualSpacing/>
              <w:jc w:val="center"/>
              <w:rPr>
                <w:rFonts w:eastAsia="SimSun" w:cs="Times New Roman"/>
                <w:color w:val="000000" w:themeColor="text1"/>
                <w:sz w:val="16"/>
                <w:szCs w:val="16"/>
              </w:rPr>
            </w:pPr>
            <w:r>
              <w:rPr>
                <w:rFonts w:eastAsia="SimSun" w:cs="Times New Roman"/>
                <w:color w:val="000000" w:themeColor="text1"/>
                <w:sz w:val="16"/>
                <w:szCs w:val="16"/>
              </w:rPr>
              <w:t>Chemical composition content</w:t>
            </w:r>
          </w:p>
          <w:p w:rsidR="007C2403" w:rsidRDefault="00305B71">
            <w:pPr>
              <w:adjustRightInd w:val="0"/>
              <w:snapToGrid w:val="0"/>
              <w:spacing w:line="300" w:lineRule="auto"/>
              <w:jc w:val="center"/>
              <w:rPr>
                <w:rFonts w:eastAsia="SimSun" w:cs="Times New Roman"/>
                <w:bCs/>
                <w:color w:val="000000" w:themeColor="text1"/>
                <w:szCs w:val="22"/>
              </w:rPr>
            </w:pPr>
            <w:r>
              <w:rPr>
                <w:rFonts w:eastAsia="SimSun" w:cs="Times New Roman"/>
                <w:color w:val="000000" w:themeColor="text1"/>
              </w:rPr>
              <w:t>(wt.%)</w:t>
            </w:r>
          </w:p>
        </w:tc>
        <w:tc>
          <w:tcPr>
            <w:tcW w:w="362" w:type="pct"/>
            <w:tcBorders>
              <w:top w:val="single" w:sz="12" w:space="0" w:color="auto"/>
              <w:left w:val="nil"/>
              <w:bottom w:val="single" w:sz="6" w:space="0" w:color="auto"/>
              <w:right w:val="nil"/>
            </w:tcBorders>
            <w:vAlign w:val="center"/>
          </w:tcPr>
          <w:p w:rsidR="007C2403" w:rsidRDefault="00305B71">
            <w:pPr>
              <w:spacing w:line="300" w:lineRule="auto"/>
              <w:contextualSpacing/>
              <w:jc w:val="center"/>
              <w:rPr>
                <w:rFonts w:eastAsia="SimSun" w:cs="Times New Roman"/>
                <w:bCs/>
                <w:color w:val="000000" w:themeColor="text1"/>
                <w:szCs w:val="22"/>
              </w:rPr>
            </w:pPr>
            <w:r>
              <w:rPr>
                <w:rFonts w:eastAsia="SimSun" w:cs="Times New Roman"/>
                <w:color w:val="000000" w:themeColor="text1"/>
              </w:rPr>
              <w:t>SiO</w:t>
            </w:r>
            <w:r>
              <w:rPr>
                <w:rFonts w:eastAsia="SimSun" w:cs="Times New Roman"/>
                <w:color w:val="000000" w:themeColor="text1"/>
                <w:vertAlign w:val="subscript"/>
              </w:rPr>
              <w:t>2</w:t>
            </w:r>
          </w:p>
        </w:tc>
        <w:tc>
          <w:tcPr>
            <w:tcW w:w="443" w:type="pct"/>
            <w:tcBorders>
              <w:top w:val="single" w:sz="12" w:space="0" w:color="auto"/>
              <w:left w:val="nil"/>
              <w:bottom w:val="single" w:sz="6" w:space="0" w:color="auto"/>
              <w:right w:val="nil"/>
            </w:tcBorders>
            <w:vAlign w:val="center"/>
          </w:tcPr>
          <w:p w:rsidR="007C2403" w:rsidRDefault="00305B71">
            <w:pPr>
              <w:spacing w:line="300" w:lineRule="auto"/>
              <w:contextualSpacing/>
              <w:jc w:val="center"/>
              <w:rPr>
                <w:rFonts w:eastAsia="SimSun" w:cs="Times New Roman"/>
                <w:bCs/>
                <w:color w:val="000000" w:themeColor="text1"/>
                <w:szCs w:val="22"/>
              </w:rPr>
            </w:pPr>
            <w:r>
              <w:rPr>
                <w:rFonts w:eastAsia="SimSun" w:cs="Times New Roman"/>
                <w:color w:val="000000" w:themeColor="text1"/>
              </w:rPr>
              <w:t>Al</w:t>
            </w:r>
            <w:r>
              <w:rPr>
                <w:rFonts w:eastAsia="SimSun" w:cs="Times New Roman"/>
                <w:color w:val="000000" w:themeColor="text1"/>
                <w:vertAlign w:val="subscript"/>
              </w:rPr>
              <w:t>2</w:t>
            </w:r>
            <w:r>
              <w:rPr>
                <w:rFonts w:eastAsia="SimSun" w:cs="Times New Roman"/>
                <w:color w:val="000000" w:themeColor="text1"/>
              </w:rPr>
              <w:t>O</w:t>
            </w:r>
            <w:r>
              <w:rPr>
                <w:rFonts w:eastAsia="SimSun" w:cs="Times New Roman"/>
                <w:color w:val="000000" w:themeColor="text1"/>
                <w:vertAlign w:val="subscript"/>
              </w:rPr>
              <w:t>3</w:t>
            </w:r>
          </w:p>
        </w:tc>
        <w:tc>
          <w:tcPr>
            <w:tcW w:w="443"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eastAsia="SimSun" w:cs="Times New Roman"/>
                <w:bCs/>
                <w:color w:val="000000" w:themeColor="text1"/>
                <w:szCs w:val="22"/>
              </w:rPr>
            </w:pPr>
            <w:r>
              <w:rPr>
                <w:rFonts w:eastAsia="SimSun" w:cs="Times New Roman"/>
                <w:color w:val="000000" w:themeColor="text1"/>
              </w:rPr>
              <w:t>Fe</w:t>
            </w:r>
            <w:r>
              <w:rPr>
                <w:rFonts w:eastAsia="SimSun" w:cs="Times New Roman"/>
                <w:color w:val="000000" w:themeColor="text1"/>
                <w:vertAlign w:val="subscript"/>
              </w:rPr>
              <w:t>2</w:t>
            </w:r>
            <w:r>
              <w:rPr>
                <w:rFonts w:eastAsia="SimSun" w:cs="Times New Roman"/>
                <w:color w:val="000000" w:themeColor="text1"/>
              </w:rPr>
              <w:t>O</w:t>
            </w:r>
            <w:r>
              <w:rPr>
                <w:rFonts w:eastAsia="SimSun" w:cs="Times New Roman"/>
                <w:color w:val="000000" w:themeColor="text1"/>
                <w:vertAlign w:val="subscript"/>
              </w:rPr>
              <w:t>3</w:t>
            </w:r>
          </w:p>
        </w:tc>
        <w:tc>
          <w:tcPr>
            <w:tcW w:w="401"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eastAsia="SimSun" w:cs="Times New Roman"/>
                <w:bCs/>
                <w:color w:val="000000" w:themeColor="text1"/>
                <w:szCs w:val="22"/>
              </w:rPr>
            </w:pPr>
            <w:r>
              <w:rPr>
                <w:rFonts w:cs="Times New Roman"/>
                <w:bCs/>
                <w:color w:val="000000" w:themeColor="text1"/>
                <w:szCs w:val="22"/>
              </w:rPr>
              <w:t>MgO</w:t>
            </w:r>
          </w:p>
        </w:tc>
        <w:tc>
          <w:tcPr>
            <w:tcW w:w="354"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eastAsia="SimSun" w:cs="Times New Roman"/>
                <w:bCs/>
                <w:color w:val="000000" w:themeColor="text1"/>
                <w:szCs w:val="22"/>
              </w:rPr>
            </w:pPr>
            <w:proofErr w:type="spellStart"/>
            <w:r>
              <w:rPr>
                <w:rFonts w:cs="Times New Roman" w:hint="eastAsia"/>
                <w:color w:val="000000" w:themeColor="text1"/>
              </w:rPr>
              <w:t>CaO</w:t>
            </w:r>
            <w:proofErr w:type="spellEnd"/>
          </w:p>
        </w:tc>
        <w:tc>
          <w:tcPr>
            <w:tcW w:w="419"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eastAsia="SimSun" w:cs="Times New Roman"/>
                <w:bCs/>
                <w:color w:val="000000" w:themeColor="text1"/>
                <w:szCs w:val="22"/>
              </w:rPr>
            </w:pPr>
            <w:r>
              <w:rPr>
                <w:rFonts w:cs="Times New Roman" w:hint="eastAsia"/>
                <w:color w:val="000000" w:themeColor="text1"/>
              </w:rPr>
              <w:t>Na</w:t>
            </w:r>
            <w:r>
              <w:rPr>
                <w:rFonts w:cs="Times New Roman" w:hint="eastAsia"/>
                <w:color w:val="000000" w:themeColor="text1"/>
                <w:vertAlign w:val="subscript"/>
              </w:rPr>
              <w:t>2</w:t>
            </w:r>
            <w:r>
              <w:rPr>
                <w:rFonts w:cs="Times New Roman" w:hint="eastAsia"/>
                <w:color w:val="000000" w:themeColor="text1"/>
              </w:rPr>
              <w:t>O</w:t>
            </w:r>
          </w:p>
        </w:tc>
        <w:tc>
          <w:tcPr>
            <w:tcW w:w="343"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eastAsia="SimSun" w:cs="Times New Roman"/>
                <w:bCs/>
                <w:color w:val="000000" w:themeColor="text1"/>
                <w:szCs w:val="22"/>
              </w:rPr>
            </w:pPr>
            <w:r>
              <w:rPr>
                <w:rFonts w:eastAsia="SimSun" w:cs="Times New Roman"/>
                <w:color w:val="000000" w:themeColor="text1"/>
              </w:rPr>
              <w:t>K</w:t>
            </w:r>
            <w:r>
              <w:rPr>
                <w:rFonts w:eastAsia="SimSun" w:cs="Times New Roman"/>
                <w:color w:val="000000" w:themeColor="text1"/>
                <w:vertAlign w:val="subscript"/>
              </w:rPr>
              <w:t>2</w:t>
            </w:r>
            <w:r>
              <w:rPr>
                <w:rFonts w:eastAsia="SimSun" w:cs="Times New Roman"/>
                <w:color w:val="000000" w:themeColor="text1"/>
              </w:rPr>
              <w:t>O</w:t>
            </w:r>
          </w:p>
        </w:tc>
        <w:tc>
          <w:tcPr>
            <w:tcW w:w="371"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TiO</w:t>
            </w:r>
            <w:r>
              <w:rPr>
                <w:rFonts w:cs="Times New Roman" w:hint="eastAsia"/>
                <w:bCs/>
                <w:color w:val="000000" w:themeColor="text1"/>
                <w:szCs w:val="22"/>
                <w:vertAlign w:val="subscript"/>
              </w:rPr>
              <w:t>2</w:t>
            </w:r>
          </w:p>
        </w:tc>
        <w:tc>
          <w:tcPr>
            <w:tcW w:w="402"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cs="Times New Roman"/>
                <w:bCs/>
                <w:color w:val="000000" w:themeColor="text1"/>
                <w:szCs w:val="22"/>
              </w:rPr>
            </w:pPr>
            <w:proofErr w:type="spellStart"/>
            <w:r>
              <w:rPr>
                <w:rFonts w:cs="Times New Roman"/>
                <w:bCs/>
                <w:color w:val="000000" w:themeColor="text1"/>
                <w:szCs w:val="22"/>
              </w:rPr>
              <w:t>M</w:t>
            </w:r>
            <w:r>
              <w:rPr>
                <w:rFonts w:cs="Times New Roman" w:hint="eastAsia"/>
                <w:bCs/>
                <w:color w:val="000000" w:themeColor="text1"/>
                <w:szCs w:val="22"/>
              </w:rPr>
              <w:t>n</w:t>
            </w:r>
            <w:r>
              <w:rPr>
                <w:rFonts w:cs="Times New Roman"/>
                <w:bCs/>
                <w:color w:val="000000" w:themeColor="text1"/>
                <w:szCs w:val="22"/>
              </w:rPr>
              <w:t>O</w:t>
            </w:r>
            <w:proofErr w:type="spellEnd"/>
          </w:p>
        </w:tc>
        <w:tc>
          <w:tcPr>
            <w:tcW w:w="403"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cs="Times New Roman"/>
                <w:bCs/>
                <w:color w:val="000000" w:themeColor="text1"/>
                <w:szCs w:val="22"/>
              </w:rPr>
            </w:pPr>
            <w:r>
              <w:rPr>
                <w:rFonts w:cs="Times New Roman"/>
                <w:bCs/>
                <w:color w:val="000000" w:themeColor="text1"/>
                <w:szCs w:val="22"/>
              </w:rPr>
              <w:t>LOI</w:t>
            </w:r>
          </w:p>
        </w:tc>
      </w:tr>
      <w:tr w:rsidR="007C2403">
        <w:trPr>
          <w:trHeight w:hRule="exact" w:val="507"/>
          <w:jc w:val="center"/>
        </w:trPr>
        <w:tc>
          <w:tcPr>
            <w:tcW w:w="1055" w:type="pct"/>
            <w:tcBorders>
              <w:top w:val="nil"/>
              <w:left w:val="nil"/>
              <w:bottom w:val="single" w:sz="12" w:space="0" w:color="auto"/>
              <w:right w:val="nil"/>
            </w:tcBorders>
            <w:vAlign w:val="center"/>
          </w:tcPr>
          <w:p w:rsidR="007C2403" w:rsidRDefault="00305B71">
            <w:pPr>
              <w:adjustRightInd w:val="0"/>
              <w:snapToGrid w:val="0"/>
              <w:spacing w:line="300" w:lineRule="auto"/>
              <w:jc w:val="center"/>
              <w:rPr>
                <w:rFonts w:cs="Times New Roman"/>
                <w:bCs/>
                <w:color w:val="000000" w:themeColor="text1"/>
                <w:szCs w:val="22"/>
              </w:rPr>
            </w:pPr>
            <w:r>
              <w:rPr>
                <w:rFonts w:cs="Times New Roman"/>
                <w:bCs/>
                <w:color w:val="000000" w:themeColor="text1"/>
                <w:szCs w:val="22"/>
              </w:rPr>
              <w:t>steel slag</w:t>
            </w:r>
          </w:p>
        </w:tc>
        <w:tc>
          <w:tcPr>
            <w:tcW w:w="362" w:type="pct"/>
            <w:tcBorders>
              <w:top w:val="nil"/>
              <w:left w:val="nil"/>
              <w:bottom w:val="single" w:sz="12" w:space="0" w:color="auto"/>
              <w:right w:val="nil"/>
            </w:tcBorders>
            <w:vAlign w:val="center"/>
          </w:tcPr>
          <w:p w:rsidR="007C2403" w:rsidRDefault="00305B71">
            <w:pPr>
              <w:jc w:val="center"/>
              <w:rPr>
                <w:rFonts w:eastAsia="Times New Roman" w:cs="Times New Roman"/>
                <w:color w:val="000000"/>
                <w:szCs w:val="24"/>
              </w:rPr>
            </w:pPr>
            <w:r>
              <w:rPr>
                <w:rFonts w:eastAsia="Times New Roman" w:cs="Times New Roman"/>
                <w:color w:val="000000"/>
                <w:szCs w:val="24"/>
              </w:rPr>
              <w:t>26.04</w:t>
            </w:r>
          </w:p>
        </w:tc>
        <w:tc>
          <w:tcPr>
            <w:tcW w:w="443" w:type="pct"/>
            <w:tcBorders>
              <w:top w:val="nil"/>
              <w:left w:val="nil"/>
              <w:bottom w:val="single" w:sz="12" w:space="0" w:color="auto"/>
              <w:right w:val="nil"/>
            </w:tcBorders>
            <w:vAlign w:val="center"/>
          </w:tcPr>
          <w:p w:rsidR="007C2403" w:rsidRDefault="00305B71">
            <w:pPr>
              <w:jc w:val="center"/>
              <w:rPr>
                <w:rFonts w:eastAsia="Times New Roman" w:cs="Times New Roman"/>
                <w:color w:val="000000"/>
                <w:szCs w:val="24"/>
              </w:rPr>
            </w:pPr>
            <w:r>
              <w:rPr>
                <w:rFonts w:eastAsia="Times New Roman" w:cs="Times New Roman"/>
                <w:color w:val="000000"/>
                <w:szCs w:val="24"/>
              </w:rPr>
              <w:t>4.47</w:t>
            </w:r>
          </w:p>
        </w:tc>
        <w:tc>
          <w:tcPr>
            <w:tcW w:w="443" w:type="pct"/>
            <w:tcBorders>
              <w:top w:val="nil"/>
              <w:left w:val="nil"/>
              <w:bottom w:val="single" w:sz="12" w:space="0" w:color="auto"/>
              <w:right w:val="nil"/>
            </w:tcBorders>
            <w:vAlign w:val="center"/>
          </w:tcPr>
          <w:p w:rsidR="007C2403" w:rsidRDefault="00305B71">
            <w:pPr>
              <w:jc w:val="center"/>
              <w:rPr>
                <w:rFonts w:eastAsia="Times New Roman" w:cs="Times New Roman"/>
                <w:color w:val="000000"/>
                <w:szCs w:val="24"/>
              </w:rPr>
            </w:pPr>
            <w:r>
              <w:rPr>
                <w:rFonts w:eastAsia="Times New Roman" w:cs="Times New Roman"/>
                <w:color w:val="000000"/>
                <w:szCs w:val="24"/>
              </w:rPr>
              <w:t>27.36</w:t>
            </w:r>
          </w:p>
        </w:tc>
        <w:tc>
          <w:tcPr>
            <w:tcW w:w="401" w:type="pct"/>
            <w:tcBorders>
              <w:top w:val="nil"/>
              <w:left w:val="nil"/>
              <w:bottom w:val="single" w:sz="12" w:space="0" w:color="auto"/>
              <w:right w:val="nil"/>
            </w:tcBorders>
            <w:vAlign w:val="center"/>
          </w:tcPr>
          <w:p w:rsidR="007C2403" w:rsidRDefault="00305B71">
            <w:pPr>
              <w:jc w:val="center"/>
              <w:rPr>
                <w:rFonts w:eastAsia="Times New Roman" w:cs="Times New Roman"/>
                <w:color w:val="000000"/>
                <w:szCs w:val="24"/>
              </w:rPr>
            </w:pPr>
            <w:r>
              <w:rPr>
                <w:rFonts w:eastAsia="Times New Roman" w:cs="Times New Roman"/>
                <w:color w:val="000000"/>
                <w:szCs w:val="24"/>
              </w:rPr>
              <w:t>6.45</w:t>
            </w:r>
          </w:p>
        </w:tc>
        <w:tc>
          <w:tcPr>
            <w:tcW w:w="354" w:type="pct"/>
            <w:tcBorders>
              <w:top w:val="nil"/>
              <w:left w:val="nil"/>
              <w:bottom w:val="single" w:sz="12" w:space="0" w:color="auto"/>
              <w:right w:val="nil"/>
            </w:tcBorders>
            <w:vAlign w:val="center"/>
          </w:tcPr>
          <w:p w:rsidR="007C2403" w:rsidRDefault="00305B71">
            <w:pPr>
              <w:jc w:val="center"/>
              <w:rPr>
                <w:rFonts w:eastAsia="Times New Roman" w:cs="Times New Roman"/>
                <w:color w:val="000000"/>
                <w:szCs w:val="24"/>
              </w:rPr>
            </w:pPr>
            <w:r>
              <w:rPr>
                <w:rFonts w:eastAsia="Times New Roman" w:cs="Times New Roman"/>
                <w:color w:val="000000"/>
                <w:szCs w:val="24"/>
              </w:rPr>
              <w:t>28.87</w:t>
            </w:r>
          </w:p>
        </w:tc>
        <w:tc>
          <w:tcPr>
            <w:tcW w:w="419" w:type="pct"/>
            <w:tcBorders>
              <w:top w:val="nil"/>
              <w:left w:val="nil"/>
              <w:bottom w:val="single" w:sz="12" w:space="0" w:color="auto"/>
              <w:right w:val="nil"/>
            </w:tcBorders>
            <w:vAlign w:val="center"/>
          </w:tcPr>
          <w:p w:rsidR="007C2403" w:rsidRDefault="00305B71">
            <w:pPr>
              <w:jc w:val="center"/>
              <w:rPr>
                <w:rFonts w:eastAsia="Times New Roman" w:cs="Times New Roman"/>
                <w:color w:val="000000"/>
                <w:szCs w:val="24"/>
              </w:rPr>
            </w:pPr>
            <w:r>
              <w:rPr>
                <w:rFonts w:eastAsia="Times New Roman" w:cs="Times New Roman"/>
                <w:color w:val="000000"/>
                <w:szCs w:val="24"/>
              </w:rPr>
              <w:t>0.12</w:t>
            </w:r>
          </w:p>
        </w:tc>
        <w:tc>
          <w:tcPr>
            <w:tcW w:w="343" w:type="pct"/>
            <w:tcBorders>
              <w:top w:val="nil"/>
              <w:left w:val="nil"/>
              <w:bottom w:val="single" w:sz="12" w:space="0" w:color="auto"/>
              <w:right w:val="nil"/>
            </w:tcBorders>
            <w:vAlign w:val="center"/>
          </w:tcPr>
          <w:p w:rsidR="007C2403" w:rsidRDefault="00305B71">
            <w:pPr>
              <w:jc w:val="center"/>
              <w:rPr>
                <w:rFonts w:eastAsia="Times New Roman" w:cs="Times New Roman"/>
                <w:color w:val="000000"/>
                <w:szCs w:val="24"/>
              </w:rPr>
            </w:pPr>
            <w:r>
              <w:rPr>
                <w:rFonts w:eastAsia="Times New Roman" w:cs="Times New Roman"/>
                <w:color w:val="000000"/>
                <w:szCs w:val="24"/>
              </w:rPr>
              <w:t>0.11</w:t>
            </w:r>
          </w:p>
        </w:tc>
        <w:tc>
          <w:tcPr>
            <w:tcW w:w="371" w:type="pct"/>
            <w:tcBorders>
              <w:top w:val="nil"/>
              <w:left w:val="nil"/>
              <w:bottom w:val="single" w:sz="12" w:space="0" w:color="auto"/>
              <w:right w:val="nil"/>
            </w:tcBorders>
            <w:vAlign w:val="center"/>
          </w:tcPr>
          <w:p w:rsidR="007C2403" w:rsidRDefault="00305B71">
            <w:pPr>
              <w:jc w:val="center"/>
              <w:rPr>
                <w:rFonts w:eastAsia="Times New Roman" w:cs="Times New Roman"/>
                <w:color w:val="000000"/>
                <w:szCs w:val="24"/>
              </w:rPr>
            </w:pPr>
            <w:r>
              <w:rPr>
                <w:rFonts w:eastAsia="Times New Roman" w:cs="Times New Roman"/>
                <w:color w:val="000000"/>
                <w:szCs w:val="24"/>
              </w:rPr>
              <w:t>0.69</w:t>
            </w:r>
          </w:p>
        </w:tc>
        <w:tc>
          <w:tcPr>
            <w:tcW w:w="402" w:type="pct"/>
            <w:tcBorders>
              <w:top w:val="nil"/>
              <w:left w:val="nil"/>
              <w:bottom w:val="single" w:sz="12" w:space="0" w:color="auto"/>
              <w:right w:val="nil"/>
            </w:tcBorders>
            <w:vAlign w:val="center"/>
          </w:tcPr>
          <w:p w:rsidR="007C2403" w:rsidRDefault="00305B71">
            <w:pPr>
              <w:jc w:val="center"/>
              <w:rPr>
                <w:rFonts w:eastAsia="Times New Roman" w:cs="Times New Roman"/>
                <w:color w:val="000000"/>
                <w:szCs w:val="24"/>
              </w:rPr>
            </w:pPr>
            <w:r>
              <w:rPr>
                <w:rFonts w:eastAsia="Times New Roman" w:cs="Times New Roman"/>
                <w:color w:val="000000"/>
                <w:szCs w:val="24"/>
              </w:rPr>
              <w:t>5.55</w:t>
            </w:r>
          </w:p>
        </w:tc>
        <w:tc>
          <w:tcPr>
            <w:tcW w:w="403" w:type="pct"/>
            <w:tcBorders>
              <w:top w:val="nil"/>
              <w:left w:val="nil"/>
              <w:bottom w:val="single" w:sz="12" w:space="0" w:color="auto"/>
              <w:right w:val="nil"/>
            </w:tcBorders>
            <w:vAlign w:val="center"/>
          </w:tcPr>
          <w:p w:rsidR="007C2403" w:rsidRDefault="00305B71">
            <w:pPr>
              <w:jc w:val="center"/>
              <w:rPr>
                <w:rFonts w:cs="Times New Roman"/>
                <w:color w:val="000000"/>
                <w:sz w:val="22"/>
                <w:szCs w:val="24"/>
              </w:rPr>
            </w:pPr>
            <w:r>
              <w:rPr>
                <w:rFonts w:cs="Times New Roman"/>
                <w:color w:val="000000"/>
                <w:sz w:val="22"/>
                <w:szCs w:val="24"/>
              </w:rPr>
              <w:t>0.34</w:t>
            </w:r>
          </w:p>
        </w:tc>
      </w:tr>
    </w:tbl>
    <w:p w:rsidR="007C2403" w:rsidRDefault="00305B71">
      <w:pPr>
        <w:rPr>
          <w:rFonts w:eastAsia="SimSun" w:cs="Times New Roman"/>
          <w:b/>
          <w:bCs/>
          <w:kern w:val="2"/>
        </w:rPr>
      </w:pPr>
      <w:r>
        <w:rPr>
          <w:rFonts w:eastAsia="SimSun" w:cs="Times New Roman" w:hint="eastAsia"/>
          <w:b/>
          <w:bCs/>
          <w:kern w:val="2"/>
        </w:rPr>
        <w:t>1.2Alkali activator</w:t>
      </w:r>
    </w:p>
    <w:p w:rsidR="007C2403" w:rsidRDefault="00305B71">
      <w:pPr>
        <w:ind w:firstLineChars="200" w:firstLine="420"/>
        <w:rPr>
          <w:rFonts w:eastAsia="SimSun" w:cs="Times New Roman"/>
          <w:kern w:val="2"/>
        </w:rPr>
      </w:pPr>
      <w:r>
        <w:rPr>
          <w:rFonts w:eastAsia="SimSun" w:cs="Times New Roman"/>
          <w:kern w:val="2"/>
        </w:rPr>
        <w:t>Alkali activators are critical components in the preparation of geopolymers. Commonly used alkali activators include sodium hydroxide (NaOH), potassium hydroxide (KOH), and sodium silicate (</w:t>
      </w:r>
      <w:proofErr w:type="spellStart"/>
      <w:r>
        <w:rPr>
          <w:rFonts w:eastAsia="SimSun" w:cs="Times New Roman"/>
          <w:kern w:val="2"/>
        </w:rPr>
        <w:t>Na₂SiO</w:t>
      </w:r>
      <w:proofErr w:type="spellEnd"/>
      <w:r>
        <w:rPr>
          <w:rFonts w:eastAsia="SimSun" w:cs="Times New Roman"/>
          <w:kern w:val="2"/>
        </w:rPr>
        <w:t xml:space="preserve">₃, water glass). Although strong alkalis such as NaOH and KOH can be used as single-component activators, their environmental corrosiveness and potential safety hazards in engineering applications have led to the widespread adoption of composite alkali activation </w:t>
      </w:r>
      <w:r>
        <w:rPr>
          <w:rFonts w:eastAsia="SimSun" w:cs="Times New Roman"/>
          <w:kern w:val="2"/>
        </w:rPr>
        <w:lastRenderedPageBreak/>
        <w:t>systems in practice—for instance, mixed solutions of NaOH and sodium silicate (</w:t>
      </w:r>
      <w:proofErr w:type="spellStart"/>
      <w:r>
        <w:rPr>
          <w:rFonts w:eastAsia="SimSun" w:cs="Times New Roman"/>
          <w:kern w:val="2"/>
        </w:rPr>
        <w:t>Na₂SiO</w:t>
      </w:r>
      <w:proofErr w:type="spellEnd"/>
      <w:r>
        <w:rPr>
          <w:rFonts w:eastAsia="SimSun" w:cs="Times New Roman"/>
          <w:kern w:val="2"/>
        </w:rPr>
        <w:t>₃)</w:t>
      </w:r>
      <w:r>
        <w:rPr>
          <w:rFonts w:eastAsia="SimSun" w:cs="Times New Roman"/>
          <w:kern w:val="2"/>
          <w:vertAlign w:val="superscript"/>
        </w:rPr>
        <w:t xml:space="preserve"> </w:t>
      </w:r>
      <w:r>
        <w:rPr>
          <w:rFonts w:eastAsia="SimSun" w:cs="Times New Roman"/>
          <w:kern w:val="2"/>
          <w:vertAlign w:val="superscript"/>
        </w:rPr>
        <w:fldChar w:fldCharType="begin"/>
      </w:r>
      <w:r>
        <w:rPr>
          <w:rFonts w:eastAsia="SimSun" w:cs="Times New Roman"/>
          <w:kern w:val="2"/>
          <w:vertAlign w:val="superscript"/>
        </w:rPr>
        <w:instrText xml:space="preserve"> REF _Ref13918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[14]</w:t>
      </w:r>
      <w:r>
        <w:rPr>
          <w:rFonts w:eastAsia="SimSun" w:cs="Times New Roman"/>
          <w:kern w:val="2"/>
          <w:vertAlign w:val="superscript"/>
        </w:rPr>
        <w:fldChar w:fldCharType="end"/>
      </w:r>
      <w:r>
        <w:rPr>
          <w:rFonts w:eastAsia="SimSun" w:cs="Times New Roman"/>
          <w:kern w:val="2"/>
          <w:vertAlign w:val="superscript"/>
        </w:rPr>
        <w:t>.</w:t>
      </w:r>
    </w:p>
    <w:p w:rsidR="007C2403" w:rsidRDefault="00305B71">
      <w:pPr>
        <w:rPr>
          <w:rFonts w:eastAsia="SimSun" w:cs="Times New Roman"/>
          <w:kern w:val="2"/>
        </w:rPr>
      </w:pPr>
      <w:r>
        <w:rPr>
          <w:rFonts w:eastAsia="SimSun" w:cs="Times New Roman"/>
          <w:kern w:val="2"/>
        </w:rPr>
        <w:t xml:space="preserve">Sodium silicate, as an activator with controllable reactivity, offers both cost-effectiveness and environmental friendliness. In particular, by adjusting its modulus (molar ratio of </w:t>
      </w:r>
      <w:proofErr w:type="spellStart"/>
      <w:r>
        <w:rPr>
          <w:rFonts w:eastAsia="SimSun" w:cs="Times New Roman"/>
          <w:kern w:val="2"/>
        </w:rPr>
        <w:t>SiO</w:t>
      </w:r>
      <w:proofErr w:type="spellEnd"/>
      <w:r>
        <w:rPr>
          <w:rFonts w:eastAsia="SimSun" w:cs="Times New Roman"/>
          <w:kern w:val="2"/>
        </w:rPr>
        <w:t xml:space="preserve">₂ to </w:t>
      </w:r>
      <w:proofErr w:type="spellStart"/>
      <w:r>
        <w:rPr>
          <w:rFonts w:eastAsia="SimSun" w:cs="Times New Roman"/>
          <w:kern w:val="2"/>
        </w:rPr>
        <w:t>Na₂O</w:t>
      </w:r>
      <w:proofErr w:type="spellEnd"/>
      <w:r>
        <w:rPr>
          <w:rFonts w:eastAsia="SimSun" w:cs="Times New Roman"/>
          <w:kern w:val="2"/>
        </w:rPr>
        <w:t>), the rates of the depolymerization and polycondensation reactions can be precisely regulated.</w:t>
      </w:r>
    </w:p>
    <w:p w:rsidR="007C2403" w:rsidRDefault="00305B71">
      <w:pPr>
        <w:ind w:firstLineChars="200" w:firstLine="420"/>
        <w:rPr>
          <w:rFonts w:eastAsia="SimSun" w:cs="Times New Roman"/>
          <w:kern w:val="2"/>
        </w:rPr>
      </w:pPr>
      <w:r>
        <w:rPr>
          <w:rFonts w:eastAsia="SimSun" w:cs="Times New Roman"/>
          <w:kern w:val="2"/>
        </w:rPr>
        <w:t xml:space="preserve">In this study, a composite activator consisting of sodium hydroxide and sodium silicate was selected to ensure the effective progression of the </w:t>
      </w:r>
      <w:proofErr w:type="spellStart"/>
      <w:r>
        <w:rPr>
          <w:rFonts w:eastAsia="SimSun" w:cs="Times New Roman"/>
          <w:kern w:val="2"/>
        </w:rPr>
        <w:t>geopolymerization</w:t>
      </w:r>
      <w:proofErr w:type="spellEnd"/>
      <w:r>
        <w:rPr>
          <w:rFonts w:eastAsia="SimSun" w:cs="Times New Roman"/>
          <w:kern w:val="2"/>
        </w:rPr>
        <w:t xml:space="preserve"> reaction while minimizing adverse environmental impacts. The sodium silicate had a modulus of 3.38 and a density of 1.410g/cm³. The sodium hydroxide used to adjust the modulus of the sodium silicate was in granular form with analytical purity. The main chemical composition of the sodium silicate is detailed in Table 3.</w:t>
      </w:r>
    </w:p>
    <w:p w:rsidR="007C2403" w:rsidRDefault="00305B71">
      <w:pPr>
        <w:pStyle w:val="a"/>
        <w:spacing w:beforeLines="50" w:before="156"/>
      </w:pPr>
      <w:r>
        <w:t xml:space="preserve">Table </w:t>
      </w:r>
      <w:proofErr w:type="gramStart"/>
      <w:r>
        <w:t>3  Chemical</w:t>
      </w:r>
      <w:proofErr w:type="gramEnd"/>
      <w:r>
        <w:t xml:space="preserve"> composition parameters of water glass</w:t>
      </w:r>
    </w:p>
    <w:tbl>
      <w:tblPr>
        <w:tblW w:w="4998" w:type="pct"/>
        <w:jc w:val="center"/>
        <w:tblBorders>
          <w:top w:val="single" w:sz="12" w:space="0" w:color="auto"/>
          <w:bottom w:val="single" w:sz="12"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928"/>
        <w:gridCol w:w="1182"/>
        <w:gridCol w:w="1166"/>
        <w:gridCol w:w="957"/>
        <w:gridCol w:w="1065"/>
        <w:gridCol w:w="1065"/>
      </w:tblGrid>
      <w:tr w:rsidR="007C2403">
        <w:trPr>
          <w:cantSplit/>
          <w:trHeight w:hRule="exact" w:val="660"/>
          <w:jc w:val="center"/>
        </w:trPr>
        <w:tc>
          <w:tcPr>
            <w:tcW w:w="1750"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eastAsia="SimSun" w:cs="Times New Roman"/>
                <w:color w:val="000000" w:themeColor="text1"/>
              </w:rPr>
            </w:pPr>
            <w:r>
              <w:rPr>
                <w:rFonts w:eastAsia="SimSun" w:cs="Times New Roman"/>
                <w:color w:val="000000" w:themeColor="text1"/>
              </w:rPr>
              <w:t xml:space="preserve">Chemical composition content </w:t>
            </w:r>
          </w:p>
          <w:p w:rsidR="007C2403" w:rsidRDefault="00305B71">
            <w:pPr>
              <w:adjustRightInd w:val="0"/>
              <w:snapToGrid w:val="0"/>
              <w:spacing w:line="300" w:lineRule="auto"/>
              <w:jc w:val="center"/>
              <w:rPr>
                <w:rFonts w:eastAsia="SimSun" w:cs="Times New Roman"/>
                <w:bCs/>
                <w:color w:val="000000" w:themeColor="text1"/>
                <w:szCs w:val="22"/>
              </w:rPr>
            </w:pPr>
            <w:proofErr w:type="gramStart"/>
            <w:r>
              <w:rPr>
                <w:rFonts w:eastAsia="SimSun" w:cs="Times New Roman"/>
                <w:color w:val="000000" w:themeColor="text1"/>
              </w:rPr>
              <w:t>( wt.</w:t>
            </w:r>
            <w:proofErr w:type="gramEnd"/>
            <w:r>
              <w:rPr>
                <w:rFonts w:eastAsia="SimSun" w:cs="Times New Roman"/>
                <w:color w:val="000000" w:themeColor="text1"/>
              </w:rPr>
              <w:t xml:space="preserve"> % )</w:t>
            </w:r>
          </w:p>
        </w:tc>
        <w:tc>
          <w:tcPr>
            <w:tcW w:w="706" w:type="pct"/>
            <w:tcBorders>
              <w:top w:val="single" w:sz="12" w:space="0" w:color="auto"/>
              <w:left w:val="nil"/>
              <w:bottom w:val="single" w:sz="6" w:space="0" w:color="auto"/>
              <w:right w:val="nil"/>
            </w:tcBorders>
            <w:vAlign w:val="center"/>
          </w:tcPr>
          <w:p w:rsidR="007C2403" w:rsidRDefault="00305B71">
            <w:pPr>
              <w:spacing w:line="300" w:lineRule="auto"/>
              <w:contextualSpacing/>
              <w:jc w:val="center"/>
              <w:rPr>
                <w:rFonts w:eastAsia="SimSun" w:cs="Times New Roman"/>
                <w:bCs/>
                <w:color w:val="000000" w:themeColor="text1"/>
                <w:szCs w:val="22"/>
              </w:rPr>
            </w:pPr>
            <w:r>
              <w:rPr>
                <w:rFonts w:eastAsia="SimSun" w:cs="Times New Roman"/>
                <w:color w:val="000000" w:themeColor="text1"/>
              </w:rPr>
              <w:t>SiO</w:t>
            </w:r>
            <w:r>
              <w:rPr>
                <w:rFonts w:eastAsia="SimSun" w:cs="Times New Roman"/>
                <w:color w:val="000000" w:themeColor="text1"/>
                <w:vertAlign w:val="subscript"/>
              </w:rPr>
              <w:t>2</w:t>
            </w:r>
          </w:p>
        </w:tc>
        <w:tc>
          <w:tcPr>
            <w:tcW w:w="696"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eastAsia="SimSun" w:cs="Times New Roman"/>
                <w:bCs/>
                <w:color w:val="000000" w:themeColor="text1"/>
                <w:szCs w:val="22"/>
              </w:rPr>
            </w:pPr>
            <w:r>
              <w:rPr>
                <w:rFonts w:cs="Times New Roman" w:hint="eastAsia"/>
                <w:color w:val="000000" w:themeColor="text1"/>
              </w:rPr>
              <w:t>Na</w:t>
            </w:r>
            <w:r>
              <w:rPr>
                <w:rFonts w:cs="Times New Roman" w:hint="eastAsia"/>
                <w:color w:val="000000" w:themeColor="text1"/>
                <w:vertAlign w:val="subscript"/>
              </w:rPr>
              <w:t>2</w:t>
            </w:r>
            <w:r>
              <w:rPr>
                <w:rFonts w:cs="Times New Roman" w:hint="eastAsia"/>
                <w:color w:val="000000" w:themeColor="text1"/>
              </w:rPr>
              <w:t>O</w:t>
            </w:r>
          </w:p>
        </w:tc>
        <w:tc>
          <w:tcPr>
            <w:tcW w:w="572"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eastAsia="SimSun" w:cs="Times New Roman"/>
                <w:bCs/>
                <w:color w:val="000000" w:themeColor="text1"/>
                <w:szCs w:val="22"/>
              </w:rPr>
            </w:pPr>
            <w:r>
              <w:rPr>
                <w:rFonts w:eastAsia="SimSun" w:cs="Times New Roman" w:hint="eastAsia"/>
                <w:color w:val="000000" w:themeColor="text1"/>
              </w:rPr>
              <w:t>H</w:t>
            </w:r>
            <w:r>
              <w:rPr>
                <w:rFonts w:eastAsia="SimSun" w:cs="Times New Roman"/>
                <w:color w:val="000000" w:themeColor="text1"/>
                <w:vertAlign w:val="subscript"/>
              </w:rPr>
              <w:t>2</w:t>
            </w:r>
            <w:r>
              <w:rPr>
                <w:rFonts w:eastAsia="SimSun" w:cs="Times New Roman"/>
                <w:color w:val="000000" w:themeColor="text1"/>
              </w:rPr>
              <w:t>O</w:t>
            </w:r>
          </w:p>
        </w:tc>
        <w:tc>
          <w:tcPr>
            <w:tcW w:w="636"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杂质</w:t>
            </w:r>
          </w:p>
        </w:tc>
        <w:tc>
          <w:tcPr>
            <w:tcW w:w="636" w:type="pct"/>
            <w:tcBorders>
              <w:top w:val="single" w:sz="12" w:space="0" w:color="auto"/>
              <w:left w:val="nil"/>
              <w:bottom w:val="single" w:sz="6" w:space="0" w:color="auto"/>
              <w:right w:val="nil"/>
            </w:tcBorders>
            <w:vAlign w:val="center"/>
          </w:tcPr>
          <w:p w:rsidR="007C2403" w:rsidRDefault="00305B71">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模数</w:t>
            </w:r>
          </w:p>
        </w:tc>
      </w:tr>
      <w:tr w:rsidR="007C2403">
        <w:trPr>
          <w:trHeight w:hRule="exact" w:val="507"/>
          <w:jc w:val="center"/>
        </w:trPr>
        <w:tc>
          <w:tcPr>
            <w:tcW w:w="1750" w:type="pct"/>
            <w:tcBorders>
              <w:top w:val="nil"/>
              <w:left w:val="nil"/>
              <w:bottom w:val="single" w:sz="12" w:space="0" w:color="auto"/>
              <w:right w:val="nil"/>
            </w:tcBorders>
            <w:vAlign w:val="center"/>
          </w:tcPr>
          <w:p w:rsidR="007C2403" w:rsidRDefault="00305B71">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water glass</w:t>
            </w:r>
          </w:p>
        </w:tc>
        <w:tc>
          <w:tcPr>
            <w:tcW w:w="706" w:type="pct"/>
            <w:tcBorders>
              <w:top w:val="nil"/>
              <w:left w:val="nil"/>
              <w:bottom w:val="single" w:sz="12" w:space="0" w:color="auto"/>
              <w:right w:val="nil"/>
            </w:tcBorders>
            <w:vAlign w:val="center"/>
          </w:tcPr>
          <w:p w:rsidR="007C2403" w:rsidRDefault="00305B71">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26.42</w:t>
            </w:r>
          </w:p>
        </w:tc>
        <w:tc>
          <w:tcPr>
            <w:tcW w:w="696" w:type="pct"/>
            <w:tcBorders>
              <w:top w:val="nil"/>
              <w:left w:val="nil"/>
              <w:bottom w:val="single" w:sz="12" w:space="0" w:color="auto"/>
              <w:right w:val="nil"/>
            </w:tcBorders>
            <w:vAlign w:val="center"/>
          </w:tcPr>
          <w:p w:rsidR="007C2403" w:rsidRDefault="00305B71">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7.54</w:t>
            </w:r>
          </w:p>
        </w:tc>
        <w:tc>
          <w:tcPr>
            <w:tcW w:w="572" w:type="pct"/>
            <w:tcBorders>
              <w:top w:val="nil"/>
              <w:left w:val="nil"/>
              <w:bottom w:val="single" w:sz="12" w:space="0" w:color="auto"/>
              <w:right w:val="nil"/>
            </w:tcBorders>
            <w:vAlign w:val="center"/>
          </w:tcPr>
          <w:p w:rsidR="007C2403" w:rsidRDefault="00305B71">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58.63</w:t>
            </w:r>
          </w:p>
        </w:tc>
        <w:tc>
          <w:tcPr>
            <w:tcW w:w="636" w:type="pct"/>
            <w:tcBorders>
              <w:top w:val="nil"/>
              <w:left w:val="nil"/>
              <w:bottom w:val="single" w:sz="12" w:space="0" w:color="auto"/>
              <w:right w:val="nil"/>
            </w:tcBorders>
            <w:vAlign w:val="center"/>
          </w:tcPr>
          <w:p w:rsidR="007C2403" w:rsidRDefault="00305B71">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7.41</w:t>
            </w:r>
          </w:p>
        </w:tc>
        <w:tc>
          <w:tcPr>
            <w:tcW w:w="636" w:type="pct"/>
            <w:tcBorders>
              <w:top w:val="nil"/>
              <w:left w:val="nil"/>
              <w:bottom w:val="single" w:sz="12" w:space="0" w:color="auto"/>
              <w:right w:val="nil"/>
            </w:tcBorders>
            <w:vAlign w:val="center"/>
          </w:tcPr>
          <w:p w:rsidR="007C2403" w:rsidRDefault="00305B71">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3.38</w:t>
            </w:r>
          </w:p>
        </w:tc>
      </w:tr>
    </w:tbl>
    <w:p w:rsidR="007C2403" w:rsidRDefault="00305B71">
      <w:pPr>
        <w:rPr>
          <w:rFonts w:eastAsia="SimSun" w:cs="Times New Roman"/>
          <w:b/>
          <w:bCs/>
          <w:kern w:val="2"/>
        </w:rPr>
      </w:pPr>
      <w:r>
        <w:rPr>
          <w:rFonts w:eastAsia="SimSun" w:cs="Times New Roman" w:hint="eastAsia"/>
          <w:b/>
          <w:bCs/>
          <w:kern w:val="2"/>
        </w:rPr>
        <w:t>1.3Mixing ratio design of multi-element solid waste geopolymer</w:t>
      </w:r>
    </w:p>
    <w:p w:rsidR="007C2403" w:rsidRDefault="00305B71">
      <w:pPr>
        <w:ind w:firstLineChars="200" w:firstLine="420"/>
        <w:rPr>
          <w:rFonts w:eastAsia="SimSun" w:cs="Times New Roman"/>
          <w:kern w:val="2"/>
        </w:rPr>
      </w:pPr>
      <w:r>
        <w:rPr>
          <w:rFonts w:eastAsia="SimSun" w:cs="Times New Roman" w:hint="eastAsia"/>
          <w:kern w:val="2"/>
        </w:rPr>
        <w:t xml:space="preserve">The mix proportion design of the geopolymer in this study followed the standard requirements of </w:t>
      </w:r>
      <w:r>
        <w:rPr>
          <w:rFonts w:eastAsia="SimSun" w:cs="Times New Roman" w:hint="eastAsia"/>
          <w:kern w:val="2"/>
        </w:rPr>
        <w:t>《</w:t>
      </w:r>
      <w:r>
        <w:rPr>
          <w:rFonts w:eastAsia="SimSun" w:cs="Times New Roman" w:hint="eastAsia"/>
          <w:kern w:val="2"/>
        </w:rPr>
        <w:t xml:space="preserve">Methods of testing cement-Determination of strength (ISO </w:t>
      </w:r>
      <w:proofErr w:type="gramStart"/>
      <w:r>
        <w:rPr>
          <w:rFonts w:eastAsia="SimSun" w:cs="Times New Roman" w:hint="eastAsia"/>
          <w:kern w:val="2"/>
        </w:rPr>
        <w:t>method)</w:t>
      </w:r>
      <w:r>
        <w:rPr>
          <w:rFonts w:eastAsia="SimSun" w:cs="Times New Roman" w:hint="eastAsia"/>
          <w:kern w:val="2"/>
        </w:rPr>
        <w:t>》</w:t>
      </w:r>
      <w:proofErr w:type="gramEnd"/>
      <w:r>
        <w:rPr>
          <w:rFonts w:eastAsia="SimSun" w:cs="Times New Roman" w:hint="eastAsia"/>
          <w:kern w:val="2"/>
        </w:rPr>
        <w:t>GB/T 17671-2021</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_Ref13989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[18]</w:t>
      </w:r>
      <w:r>
        <w:rPr>
          <w:rFonts w:eastAsia="SimSun" w:cs="Times New Roman" w:hint="eastAsia"/>
          <w:kern w:val="2"/>
          <w:vertAlign w:val="superscript"/>
        </w:rPr>
        <w:fldChar w:fldCharType="end"/>
      </w:r>
      <w:r>
        <w:rPr>
          <w:rFonts w:eastAsia="SimSun" w:cs="Times New Roman" w:hint="eastAsia"/>
          <w:kern w:val="2"/>
          <w:vertAlign w:val="superscript"/>
        </w:rPr>
        <w:t>.</w:t>
      </w:r>
      <w:r>
        <w:rPr>
          <w:rFonts w:eastAsia="SimSun" w:cs="Times New Roman" w:hint="eastAsia"/>
          <w:kern w:val="2"/>
        </w:rPr>
        <w:t xml:space="preserve"> Fly ash, ground granulated blast furnace slag (GGBFS), and red mud were used as raw materials, with a mass ratio of 40:30:20 for the geopolymer paste components. Considering the significant influence of alkali activator dosage on the properties of the geopolymer, an excessively low dosage is unfavorable for the hydration reaction and the development of geopolymer strength. Although a high alkali activator concentration can enhance the adhesiveness of the geopolymer paste, it reduces its fluidity and adversely affects the compactness of the internal structure. Therefore, the alkali activator dosage was set at 25%.</w:t>
      </w:r>
    </w:p>
    <w:p w:rsidR="007C2403" w:rsidRDefault="00305B71">
      <w:pPr>
        <w:ind w:firstLineChars="200" w:firstLine="420"/>
        <w:rPr>
          <w:rFonts w:eastAsia="SimSun" w:cs="Times New Roman"/>
          <w:kern w:val="2"/>
        </w:rPr>
      </w:pPr>
      <w:r>
        <w:rPr>
          <w:rFonts w:eastAsia="SimSun" w:cs="Times New Roman"/>
          <w:kern w:val="2"/>
        </w:rPr>
        <w:t>The fly ash, ground granulated blast furnace slag (GGBFS), and red mud were dried at 105 °C for 24 hours to remove excess moisture. After drying, the moisture content of all raw materials was reduced to below 1%. The water-to-binder ratio in the experiment was fixed at 0.4. The specific amounts of materials used in the test were as follows: fly ash 180 g, GGBFS 135 g, red mud 90 g, standard sand 1350 g, sodium silicate 80 g, and water 185 g. Geopolymer and cement mortar specimens were prepared and cured for 3, 7, and 28 days, after which flexural strength and compressive strength tests were conducted.</w:t>
      </w:r>
    </w:p>
    <w:p w:rsidR="007C2403" w:rsidRDefault="00305B71">
      <w:pPr>
        <w:rPr>
          <w:rFonts w:eastAsia="SimSun" w:cs="Times New Roman"/>
          <w:b/>
          <w:bCs/>
          <w:kern w:val="2"/>
        </w:rPr>
      </w:pPr>
      <w:r>
        <w:rPr>
          <w:rFonts w:eastAsia="SimSun" w:cs="Times New Roman" w:hint="eastAsia"/>
          <w:b/>
          <w:bCs/>
          <w:kern w:val="2"/>
        </w:rPr>
        <w:t>1.4Modulus adjustment of water glass</w:t>
      </w:r>
    </w:p>
    <w:p w:rsidR="007C2403" w:rsidRDefault="00305B71">
      <w:pPr>
        <w:wordWrap w:val="0"/>
        <w:ind w:firstLineChars="200" w:firstLine="420"/>
        <w:rPr>
          <w:rFonts w:eastAsia="SimSun" w:cs="Times New Roman"/>
          <w:kern w:val="2"/>
        </w:rPr>
      </w:pPr>
      <w:r>
        <w:rPr>
          <w:rFonts w:eastAsia="SimSun" w:cs="Times New Roman" w:hint="eastAsia"/>
          <w:kern w:val="2"/>
        </w:rPr>
        <w:t>Numerous technical indicators are used to evaluate the performance of sodium silicate binders, one of the most important being the modulus. The modulus significantly affects the viscosity, curing rate, and bonding strength of the sodium silicate binder. The primary purpose of using a NaOH solution to reduce the modulus of sodium silicate is to adjust its physical and chemical properties, enabling it to more effectively participate in the depolymerization-polycondensation reaction with fly ash and ground granulated blast furnace slag</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_Ref14107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[15]</w:t>
      </w:r>
      <w:r>
        <w:rPr>
          <w:rFonts w:eastAsia="SimSun" w:cs="Times New Roman" w:hint="eastAsia"/>
          <w:kern w:val="2"/>
          <w:vertAlign w:val="superscript"/>
        </w:rPr>
        <w:fldChar w:fldCharType="end"/>
      </w:r>
    </w:p>
    <w:p w:rsidR="007C2403" w:rsidRDefault="00305B71">
      <w:pPr>
        <w:wordWrap w:val="0"/>
        <w:ind w:firstLineChars="200" w:firstLine="420"/>
        <w:rPr>
          <w:rFonts w:eastAsia="SimSun" w:cs="Times New Roman"/>
          <w:kern w:val="2"/>
        </w:rPr>
      </w:pPr>
      <w:r>
        <w:rPr>
          <w:rFonts w:eastAsia="SimSun" w:cs="Times New Roman"/>
          <w:kern w:val="2"/>
        </w:rPr>
        <w:t>The modulus of sodium silicate refers to the molar ratio of silicon dioxide (</w:t>
      </w:r>
      <w:proofErr w:type="spellStart"/>
      <w:r>
        <w:rPr>
          <w:rFonts w:eastAsia="SimSun" w:cs="Times New Roman"/>
          <w:kern w:val="2"/>
        </w:rPr>
        <w:t>SiO</w:t>
      </w:r>
      <w:proofErr w:type="spellEnd"/>
      <w:r>
        <w:rPr>
          <w:rFonts w:eastAsia="SimSun" w:cs="Times New Roman"/>
          <w:kern w:val="2"/>
        </w:rPr>
        <w:t>₂) to sodium oxide (</w:t>
      </w:r>
      <w:proofErr w:type="spellStart"/>
      <w:r>
        <w:rPr>
          <w:rFonts w:eastAsia="SimSun" w:cs="Times New Roman"/>
          <w:kern w:val="2"/>
        </w:rPr>
        <w:t>Na₂O</w:t>
      </w:r>
      <w:proofErr w:type="spellEnd"/>
      <w:r>
        <w:rPr>
          <w:rFonts w:eastAsia="SimSun" w:cs="Times New Roman"/>
          <w:kern w:val="2"/>
        </w:rPr>
        <w:t xml:space="preserve">) in the solution, commonly denoted as *m*. The </w:t>
      </w:r>
      <w:proofErr w:type="spellStart"/>
      <w:r>
        <w:rPr>
          <w:rFonts w:eastAsia="SimSun" w:cs="Times New Roman"/>
          <w:kern w:val="2"/>
        </w:rPr>
        <w:t>Na₂SiO</w:t>
      </w:r>
      <w:proofErr w:type="spellEnd"/>
      <w:r>
        <w:rPr>
          <w:rFonts w:eastAsia="SimSun" w:cs="Times New Roman"/>
          <w:kern w:val="2"/>
        </w:rPr>
        <w:t>₃ solution used in this study had an initial modulus of 3.38, with a sodium oxide (</w:t>
      </w:r>
      <w:proofErr w:type="spellStart"/>
      <w:r>
        <w:rPr>
          <w:rFonts w:eastAsia="SimSun" w:cs="Times New Roman"/>
          <w:kern w:val="2"/>
        </w:rPr>
        <w:t>Na₂O</w:t>
      </w:r>
      <w:proofErr w:type="spellEnd"/>
      <w:r>
        <w:rPr>
          <w:rFonts w:eastAsia="SimSun" w:cs="Times New Roman"/>
          <w:kern w:val="2"/>
        </w:rPr>
        <w:t>) content of 7.54% and a silicon dioxide (</w:t>
      </w:r>
      <w:proofErr w:type="spellStart"/>
      <w:r>
        <w:rPr>
          <w:rFonts w:eastAsia="SimSun" w:cs="Times New Roman"/>
          <w:kern w:val="2"/>
        </w:rPr>
        <w:t>SiO</w:t>
      </w:r>
      <w:proofErr w:type="spellEnd"/>
      <w:r>
        <w:rPr>
          <w:rFonts w:eastAsia="SimSun" w:cs="Times New Roman"/>
          <w:kern w:val="2"/>
        </w:rPr>
        <w:t>₂) content of 26.42%. The modulus was adjusted by addin</w:t>
      </w:r>
      <w:r>
        <w:rPr>
          <w:rFonts w:eastAsia="SimSun" w:cs="Times New Roman"/>
          <w:kern w:val="2"/>
        </w:rPr>
        <w:lastRenderedPageBreak/>
        <w:t>g NaOH, and in this experiment, the target modulus of the sodium silicate solution was set to 1.4.</w:t>
      </w:r>
    </w:p>
    <w:p w:rsidR="007C2403" w:rsidRDefault="00305B71">
      <w:pPr>
        <w:wordWrap w:val="0"/>
        <w:ind w:firstLineChars="200" w:firstLine="420"/>
        <w:rPr>
          <w:rFonts w:eastAsia="SimSun" w:cs="Times New Roman"/>
          <w:kern w:val="2"/>
        </w:rPr>
      </w:pPr>
      <w:r>
        <w:rPr>
          <w:rFonts w:eastAsia="SimSun" w:cs="Times New Roman"/>
          <w:kern w:val="2"/>
        </w:rPr>
        <w:t xml:space="preserve">The amounts of substance of </w:t>
      </w:r>
      <w:proofErr w:type="spellStart"/>
      <w:r>
        <w:rPr>
          <w:rFonts w:eastAsia="SimSun" w:cs="Times New Roman"/>
          <w:kern w:val="2"/>
        </w:rPr>
        <w:t>SiO</w:t>
      </w:r>
      <w:proofErr w:type="spellEnd"/>
      <w:r>
        <w:rPr>
          <w:rFonts w:eastAsia="SimSun" w:cs="Times New Roman"/>
          <w:kern w:val="2"/>
        </w:rPr>
        <w:t xml:space="preserve">₂ and </w:t>
      </w:r>
      <w:proofErr w:type="spellStart"/>
      <w:r>
        <w:rPr>
          <w:rFonts w:eastAsia="SimSun" w:cs="Times New Roman"/>
          <w:kern w:val="2"/>
        </w:rPr>
        <w:t>Na₂O</w:t>
      </w:r>
      <w:proofErr w:type="spellEnd"/>
      <w:r>
        <w:rPr>
          <w:rFonts w:eastAsia="SimSun" w:cs="Times New Roman"/>
          <w:kern w:val="2"/>
        </w:rPr>
        <w:t xml:space="preserve"> per 100 g of sodium silicate can be calculated using Equation (2-1) and Equation (2-2), respectively:</w:t>
      </w:r>
    </w:p>
    <w:tbl>
      <w:tblPr>
        <w:tblStyle w:val="TableGrid"/>
        <w:tblW w:w="0" w:type="auto"/>
        <w:tblInd w:w="120" w:type="dxa"/>
        <w:tblLayout w:type="fixed"/>
        <w:tblLook w:val="04A0" w:firstRow="1" w:lastRow="0" w:firstColumn="1" w:lastColumn="0" w:noHBand="0" w:noVBand="1"/>
      </w:tblPr>
      <w:tblGrid>
        <w:gridCol w:w="1530"/>
        <w:gridCol w:w="5700"/>
        <w:gridCol w:w="1830"/>
      </w:tblGrid>
      <w:tr w:rsidR="007C2403">
        <w:tc>
          <w:tcPr>
            <w:tcW w:w="1530" w:type="dxa"/>
            <w:tcBorders>
              <w:top w:val="nil"/>
              <w:left w:val="nil"/>
              <w:bottom w:val="nil"/>
              <w:right w:val="nil"/>
            </w:tcBorders>
          </w:tcPr>
          <w:p w:rsidR="007C2403" w:rsidRDefault="007C2403">
            <w:pPr>
              <w:spacing w:line="300" w:lineRule="auto"/>
              <w:ind w:firstLineChars="200" w:firstLine="480"/>
              <w:rPr>
                <w:rFonts w:cs="Times New Roman"/>
                <w:sz w:val="24"/>
                <w:szCs w:val="24"/>
              </w:rPr>
            </w:pPr>
          </w:p>
        </w:tc>
        <w:tc>
          <w:tcPr>
            <w:tcW w:w="5700" w:type="dxa"/>
            <w:tcBorders>
              <w:top w:val="nil"/>
              <w:left w:val="nil"/>
              <w:bottom w:val="nil"/>
              <w:right w:val="nil"/>
            </w:tcBorders>
          </w:tcPr>
          <w:p w:rsidR="007C2403" w:rsidRDefault="00305B71">
            <w:pPr>
              <w:spacing w:line="300" w:lineRule="auto"/>
              <w:ind w:firstLineChars="200" w:firstLine="480"/>
              <w:rPr>
                <w:rFonts w:cs="Times New Roman"/>
                <w:sz w:val="24"/>
                <w:szCs w:val="24"/>
              </w:rPr>
            </w:pPr>
            <w:r>
              <w:rPr>
                <w:rFonts w:cs="Times New Roman"/>
                <w:position w:val="-30"/>
                <w:sz w:val="24"/>
                <w:szCs w:val="24"/>
              </w:rPr>
              <w:object w:dxaOrig="3965" w:dyaOrig="673" w14:anchorId="06F4F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1pt;height:33.7pt" o:ole="">
                  <v:imagedata r:id="rId14" o:title=""/>
                </v:shape>
                <o:OLEObject Type="Embed" ProgID="Equation.3" ShapeID="_x0000_i1025" DrawAspect="Content" ObjectID="_1819890431" r:id="rId15"/>
              </w:object>
            </w:r>
          </w:p>
        </w:tc>
        <w:tc>
          <w:tcPr>
            <w:tcW w:w="1830" w:type="dxa"/>
            <w:tcBorders>
              <w:top w:val="nil"/>
              <w:left w:val="nil"/>
              <w:bottom w:val="nil"/>
              <w:right w:val="nil"/>
            </w:tcBorders>
            <w:vAlign w:val="center"/>
          </w:tcPr>
          <w:p w:rsidR="007C2403" w:rsidRDefault="00305B71">
            <w:pPr>
              <w:spacing w:line="300" w:lineRule="auto"/>
              <w:ind w:firstLineChars="200" w:firstLine="480"/>
              <w:rPr>
                <w:rFonts w:cs="Times New Roman"/>
                <w:sz w:val="24"/>
                <w:szCs w:val="24"/>
              </w:rPr>
            </w:pPr>
            <w:r>
              <w:rPr>
                <w:rFonts w:cs="Times New Roman"/>
                <w:sz w:val="24"/>
                <w:szCs w:val="24"/>
              </w:rPr>
              <w:t>（</w:t>
            </w:r>
            <w:r>
              <w:rPr>
                <w:rFonts w:cs="Times New Roman" w:hint="eastAsia"/>
                <w:sz w:val="24"/>
                <w:szCs w:val="24"/>
              </w:rPr>
              <w:t>2</w:t>
            </w:r>
            <w:r>
              <w:rPr>
                <w:rFonts w:cs="Times New Roman"/>
                <w:sz w:val="24"/>
                <w:szCs w:val="24"/>
              </w:rPr>
              <w:t>-</w:t>
            </w:r>
            <w:r>
              <w:rPr>
                <w:rFonts w:cs="Times New Roman" w:hint="eastAsia"/>
                <w:sz w:val="24"/>
                <w:szCs w:val="24"/>
              </w:rPr>
              <w:t>1</w:t>
            </w:r>
            <w:r>
              <w:rPr>
                <w:rFonts w:cs="Times New Roman"/>
                <w:sz w:val="24"/>
                <w:szCs w:val="24"/>
              </w:rPr>
              <w:t>）</w:t>
            </w:r>
          </w:p>
        </w:tc>
      </w:tr>
      <w:tr w:rsidR="007C2403">
        <w:tc>
          <w:tcPr>
            <w:tcW w:w="1530" w:type="dxa"/>
            <w:tcBorders>
              <w:top w:val="nil"/>
              <w:left w:val="nil"/>
              <w:bottom w:val="nil"/>
              <w:right w:val="nil"/>
            </w:tcBorders>
          </w:tcPr>
          <w:p w:rsidR="007C2403" w:rsidRDefault="007C2403">
            <w:pPr>
              <w:spacing w:line="300" w:lineRule="auto"/>
              <w:ind w:firstLineChars="200" w:firstLine="480"/>
              <w:rPr>
                <w:rFonts w:cs="Times New Roman"/>
                <w:sz w:val="24"/>
                <w:szCs w:val="24"/>
              </w:rPr>
            </w:pPr>
          </w:p>
        </w:tc>
        <w:tc>
          <w:tcPr>
            <w:tcW w:w="5700" w:type="dxa"/>
            <w:tcBorders>
              <w:top w:val="nil"/>
              <w:left w:val="nil"/>
              <w:bottom w:val="nil"/>
              <w:right w:val="nil"/>
            </w:tcBorders>
          </w:tcPr>
          <w:p w:rsidR="007C2403" w:rsidRDefault="00305B71">
            <w:pPr>
              <w:spacing w:line="300" w:lineRule="auto"/>
              <w:ind w:firstLineChars="200" w:firstLine="480"/>
              <w:rPr>
                <w:rFonts w:cs="Times New Roman"/>
                <w:sz w:val="24"/>
                <w:szCs w:val="24"/>
              </w:rPr>
            </w:pPr>
            <w:r>
              <w:rPr>
                <w:rFonts w:cs="Times New Roman"/>
                <w:sz w:val="24"/>
                <w:szCs w:val="24"/>
              </w:rPr>
              <w:object w:dxaOrig="3778" w:dyaOrig="673" w14:anchorId="2470A9E3">
                <v:shape id="_x0000_i1026" type="#_x0000_t75" style="width:188.55pt;height:33.7pt" o:ole="">
                  <v:imagedata r:id="rId16" o:title=""/>
                </v:shape>
                <o:OLEObject Type="Embed" ProgID="Equation.3" ShapeID="_x0000_i1026" DrawAspect="Content" ObjectID="_1819890432" r:id="rId17"/>
              </w:object>
            </w:r>
          </w:p>
        </w:tc>
        <w:tc>
          <w:tcPr>
            <w:tcW w:w="1830" w:type="dxa"/>
            <w:tcBorders>
              <w:top w:val="nil"/>
              <w:left w:val="nil"/>
              <w:bottom w:val="nil"/>
              <w:right w:val="nil"/>
            </w:tcBorders>
            <w:vAlign w:val="center"/>
          </w:tcPr>
          <w:p w:rsidR="007C2403" w:rsidRDefault="00305B71">
            <w:pPr>
              <w:spacing w:line="300" w:lineRule="auto"/>
              <w:ind w:firstLineChars="200" w:firstLine="480"/>
              <w:rPr>
                <w:rFonts w:cs="Times New Roman"/>
                <w:sz w:val="24"/>
                <w:szCs w:val="24"/>
              </w:rPr>
            </w:pPr>
            <w:r>
              <w:rPr>
                <w:rFonts w:cs="Times New Roman"/>
                <w:sz w:val="24"/>
                <w:szCs w:val="24"/>
              </w:rPr>
              <w:t>（</w:t>
            </w:r>
            <w:r>
              <w:rPr>
                <w:rFonts w:cs="Times New Roman" w:hint="eastAsia"/>
                <w:sz w:val="24"/>
                <w:szCs w:val="24"/>
              </w:rPr>
              <w:t>2</w:t>
            </w:r>
            <w:r>
              <w:rPr>
                <w:rFonts w:cs="Times New Roman"/>
                <w:sz w:val="24"/>
                <w:szCs w:val="24"/>
              </w:rPr>
              <w:t>-</w:t>
            </w:r>
            <w:r>
              <w:rPr>
                <w:rFonts w:cs="Times New Roman" w:hint="eastAsia"/>
                <w:sz w:val="24"/>
                <w:szCs w:val="24"/>
              </w:rPr>
              <w:t>2</w:t>
            </w:r>
            <w:r>
              <w:rPr>
                <w:rFonts w:cs="Times New Roman"/>
                <w:sz w:val="24"/>
                <w:szCs w:val="24"/>
              </w:rPr>
              <w:t>）</w:t>
            </w:r>
          </w:p>
        </w:tc>
      </w:tr>
    </w:tbl>
    <w:p w:rsidR="007C2403" w:rsidRDefault="00305B71">
      <w:pPr>
        <w:wordWrap w:val="0"/>
        <w:ind w:firstLineChars="200" w:firstLine="420"/>
        <w:rPr>
          <w:rFonts w:eastAsia="SimSun" w:cs="Times New Roman"/>
          <w:kern w:val="2"/>
        </w:rPr>
      </w:pPr>
      <w:r>
        <w:rPr>
          <w:rFonts w:eastAsia="SimSun" w:cs="Times New Roman"/>
          <w:kern w:val="2"/>
        </w:rPr>
        <w:t xml:space="preserve">Assuming the </w:t>
      </w:r>
      <w:proofErr w:type="spellStart"/>
      <w:r>
        <w:rPr>
          <w:rFonts w:eastAsia="SimSun" w:cs="Times New Roman"/>
          <w:kern w:val="2"/>
        </w:rPr>
        <w:t>SiO</w:t>
      </w:r>
      <w:proofErr w:type="spellEnd"/>
      <w:r>
        <w:rPr>
          <w:rFonts w:eastAsia="SimSun" w:cs="Times New Roman"/>
          <w:kern w:val="2"/>
        </w:rPr>
        <w:t>₂</w:t>
      </w:r>
      <w:r>
        <w:rPr>
          <w:rFonts w:eastAsia="SimSun" w:cs="Times New Roman" w:hint="eastAsia"/>
          <w:kern w:val="2"/>
        </w:rPr>
        <w:t xml:space="preserve"> </w:t>
      </w:r>
      <w:r>
        <w:rPr>
          <w:rFonts w:eastAsia="SimSun" w:cs="Times New Roman"/>
          <w:kern w:val="2"/>
        </w:rPr>
        <w:t xml:space="preserve">content remains unchanged, when the target modulus of sodium silicate </w:t>
      </w:r>
      <w:proofErr w:type="spellStart"/>
      <w:r>
        <w:rPr>
          <w:rFonts w:eastAsia="SimSun" w:cs="Times New Roman"/>
          <w:kern w:val="2"/>
        </w:rPr>
        <w:t>Ms</w:t>
      </w:r>
      <w:proofErr w:type="spellEnd"/>
      <w:r>
        <w:rPr>
          <w:rFonts w:eastAsia="SimSun" w:cs="Times New Roman"/>
          <w:kern w:val="2"/>
        </w:rPr>
        <w:t xml:space="preserve">=1.4, the amount of substance of </w:t>
      </w:r>
      <w:proofErr w:type="spellStart"/>
      <w:r>
        <w:rPr>
          <w:rFonts w:eastAsia="SimSun" w:cs="Times New Roman"/>
          <w:kern w:val="2"/>
        </w:rPr>
        <w:t>Na₂O</w:t>
      </w:r>
      <w:proofErr w:type="spellEnd"/>
      <w:r>
        <w:rPr>
          <w:rFonts w:eastAsia="SimSun" w:cs="Times New Roman"/>
          <w:kern w:val="2"/>
        </w:rPr>
        <w:t xml:space="preserve"> required should be: 0.44 / 1.4 =0.314mol.</w:t>
      </w:r>
    </w:p>
    <w:p w:rsidR="007C2403" w:rsidRDefault="00305B71">
      <w:pPr>
        <w:wordWrap w:val="0"/>
        <w:rPr>
          <w:rFonts w:eastAsia="SimSun" w:cs="Times New Roman"/>
          <w:kern w:val="2"/>
        </w:rPr>
      </w:pPr>
      <w:r>
        <w:rPr>
          <w:rFonts w:eastAsia="SimSun" w:cs="Times New Roman"/>
          <w:kern w:val="2"/>
        </w:rPr>
        <w:t xml:space="preserve">Therefore, the amount of </w:t>
      </w:r>
      <w:proofErr w:type="spellStart"/>
      <w:r>
        <w:rPr>
          <w:rFonts w:eastAsia="SimSun" w:cs="Times New Roman"/>
          <w:kern w:val="2"/>
        </w:rPr>
        <w:t>Na₂O</w:t>
      </w:r>
      <w:proofErr w:type="spellEnd"/>
      <w:r>
        <w:rPr>
          <w:rFonts w:eastAsia="SimSun" w:cs="Times New Roman"/>
          <w:kern w:val="2"/>
        </w:rPr>
        <w:t xml:space="preserve"> that needs to be added is:0.314-0.122=</w:t>
      </w:r>
      <w:proofErr w:type="gramStart"/>
      <w:r>
        <w:rPr>
          <w:rFonts w:eastAsia="SimSun" w:cs="Times New Roman"/>
          <w:kern w:val="2"/>
        </w:rPr>
        <w:t>0.192mol.Let</w:t>
      </w:r>
      <w:proofErr w:type="gramEnd"/>
      <w:r>
        <w:rPr>
          <w:rFonts w:eastAsia="SimSun" w:cs="Times New Roman"/>
          <w:kern w:val="2"/>
        </w:rPr>
        <w:t xml:space="preserve"> *x* be the mass (in grams) of NaOH that needs to be added. Based on the chemical equation:</w:t>
      </w:r>
    </w:p>
    <w:p w:rsidR="007C2403" w:rsidRDefault="00305B71">
      <w:pPr>
        <w:wordWrap w:val="0"/>
        <w:rPr>
          <w:rFonts w:eastAsia="SimSun" w:cs="Times New Roman"/>
          <w:kern w:val="2"/>
        </w:rPr>
      </w:pPr>
      <w:r>
        <w:rPr>
          <w:rFonts w:eastAsia="SimSun" w:cs="Times New Roman"/>
          <w:kern w:val="2"/>
        </w:rPr>
        <w:t>2NaOH=</w:t>
      </w:r>
      <w:proofErr w:type="spellStart"/>
      <w:r>
        <w:rPr>
          <w:rFonts w:eastAsia="SimSun" w:cs="Times New Roman"/>
          <w:kern w:val="2"/>
        </w:rPr>
        <w:t>Na₂O+H₂O</w:t>
      </w:r>
      <w:proofErr w:type="spellEnd"/>
      <w:r>
        <w:rPr>
          <w:rFonts w:eastAsia="SimSun" w:cs="Times New Roman"/>
          <w:kern w:val="2"/>
        </w:rPr>
        <w:t>, the mass of NaOH required to prepare 100 g of sodium silicate with a modulus of 1.4 is calculated as: as:0.192×2×40 =15.36g.</w:t>
      </w:r>
    </w:p>
    <w:p w:rsidR="007C2403" w:rsidRDefault="00305B71">
      <w:pPr>
        <w:rPr>
          <w:rFonts w:eastAsia="SimSun" w:cs="Times New Roman"/>
          <w:b/>
          <w:bCs/>
          <w:kern w:val="2"/>
        </w:rPr>
      </w:pPr>
      <w:r>
        <w:rPr>
          <w:rFonts w:eastAsia="SimSun" w:cs="Times New Roman" w:hint="eastAsia"/>
          <w:b/>
          <w:bCs/>
          <w:kern w:val="2"/>
        </w:rPr>
        <w:t>1.5 Design of the mix proportion of steel slag stabilized by multiple solid waste geopolymer</w:t>
      </w:r>
    </w:p>
    <w:p w:rsidR="007C2403" w:rsidRDefault="00305B71">
      <w:pPr>
        <w:wordWrap w:val="0"/>
        <w:ind w:firstLineChars="200" w:firstLine="420"/>
        <w:rPr>
          <w:rFonts w:eastAsia="SimSun" w:cs="Times New Roman"/>
          <w:kern w:val="2"/>
        </w:rPr>
      </w:pPr>
      <w:bookmarkStart w:id="1" w:name="_Ref24377"/>
      <w:r>
        <w:rPr>
          <w:rFonts w:eastAsia="SimSun" w:cs="Times New Roman" w:hint="eastAsia"/>
          <w:kern w:val="2"/>
        </w:rPr>
        <w:t xml:space="preserve">This study utilizes geopolymer as a substitute for cement to stabilize aggregate materials for road base courses. The mix gradation was designed in accordance with the recommended gradation range for cement-stabilized graded crushed stone C-B-2 (suitable for base courses of highways, first-class roads, as well as secondary and lower-class roads) specified in the </w:t>
      </w:r>
      <w:r>
        <w:rPr>
          <w:rFonts w:eastAsia="SimSun" w:cs="Times New Roman" w:hint="eastAsia"/>
          <w:kern w:val="2"/>
        </w:rPr>
        <w:t>《</w:t>
      </w:r>
      <w:r>
        <w:rPr>
          <w:rFonts w:eastAsia="SimSun" w:cs="Times New Roman" w:hint="eastAsia"/>
          <w:kern w:val="2"/>
        </w:rPr>
        <w:t xml:space="preserve">Technical Guidelines for Construction of Highway </w:t>
      </w:r>
      <w:proofErr w:type="spellStart"/>
      <w:r>
        <w:rPr>
          <w:rFonts w:eastAsia="SimSun" w:cs="Times New Roman" w:hint="eastAsia"/>
          <w:kern w:val="2"/>
        </w:rPr>
        <w:t>Roadbase</w:t>
      </w:r>
      <w:proofErr w:type="spellEnd"/>
      <w:r>
        <w:rPr>
          <w:rFonts w:eastAsia="SimSun" w:cs="Times New Roman" w:hint="eastAsia"/>
          <w:kern w:val="2"/>
        </w:rPr>
        <w:t>》</w:t>
      </w:r>
      <w:r>
        <w:rPr>
          <w:rFonts w:eastAsia="SimSun" w:cs="Times New Roman" w:hint="eastAsia"/>
          <w:kern w:val="2"/>
        </w:rPr>
        <w:t>JTG/T F20-2015</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_Ref14261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[19]</w:t>
      </w:r>
      <w:r>
        <w:rPr>
          <w:rFonts w:eastAsia="SimSun" w:cs="Times New Roman" w:hint="eastAsia"/>
          <w:kern w:val="2"/>
          <w:vertAlign w:val="superscript"/>
        </w:rPr>
        <w:fldChar w:fldCharType="end"/>
      </w:r>
      <w:r>
        <w:rPr>
          <w:rFonts w:eastAsia="SimSun" w:cs="Times New Roman" w:hint="eastAsia"/>
          <w:kern w:val="2"/>
        </w:rPr>
        <w:t>.To adhere to the principle of a single variable, the gradation of the aggregate in all mixtures was designed using the median values of the recommended gradation range. The specific recommended gradation range is provided in Table 4 and illustrated in Figure 1.</w:t>
      </w:r>
    </w:p>
    <w:bookmarkEnd w:id="1"/>
    <w:p w:rsidR="007C2403" w:rsidRDefault="00305B71">
      <w:pPr>
        <w:pStyle w:val="a"/>
        <w:kinsoku w:val="0"/>
        <w:wordWrap w:val="0"/>
        <w:overflowPunct w:val="0"/>
        <w:spacing w:beforeLines="50" w:before="156"/>
      </w:pPr>
      <w:r>
        <w:t xml:space="preserve">Table </w:t>
      </w:r>
      <w:r>
        <w:rPr>
          <w:rFonts w:hint="eastAsia"/>
        </w:rPr>
        <w:t>4</w:t>
      </w:r>
      <w:r>
        <w:t>: The recommended gradation range of C-B-2 cement stabilized macadam</w:t>
      </w:r>
    </w:p>
    <w:tbl>
      <w:tblPr>
        <w:tblStyle w:val="TableGrid"/>
        <w:tblW w:w="5015"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3"/>
        <w:gridCol w:w="592"/>
        <w:gridCol w:w="592"/>
        <w:gridCol w:w="592"/>
        <w:gridCol w:w="592"/>
        <w:gridCol w:w="592"/>
        <w:gridCol w:w="592"/>
        <w:gridCol w:w="592"/>
        <w:gridCol w:w="592"/>
        <w:gridCol w:w="592"/>
        <w:gridCol w:w="592"/>
        <w:gridCol w:w="595"/>
      </w:tblGrid>
      <w:tr w:rsidR="007C2403">
        <w:trPr>
          <w:trHeight w:val="850"/>
        </w:trPr>
        <w:tc>
          <w:tcPr>
            <w:tcW w:w="1188" w:type="pct"/>
            <w:tcBorders>
              <w:bottom w:val="single" w:sz="6" w:space="0" w:color="auto"/>
            </w:tcBorders>
            <w:vAlign w:val="center"/>
          </w:tcPr>
          <w:p w:rsidR="007C2403" w:rsidRDefault="00305B71">
            <w:pPr>
              <w:jc w:val="center"/>
              <w:rPr>
                <w:rFonts w:eastAsia="SimSun" w:cs="Times New Roman"/>
                <w:color w:val="000000"/>
                <w:kern w:val="2"/>
                <w:sz w:val="24"/>
                <w:szCs w:val="22"/>
              </w:rPr>
            </w:pPr>
            <w:r>
              <w:rPr>
                <w:rFonts w:eastAsia="SimSun" w:cs="Times New Roman"/>
                <w:color w:val="000000"/>
                <w:kern w:val="2"/>
              </w:rPr>
              <w:t xml:space="preserve">Sieve size </w:t>
            </w:r>
            <w:proofErr w:type="gramStart"/>
            <w:r>
              <w:rPr>
                <w:rFonts w:eastAsia="SimSun" w:cs="Times New Roman"/>
                <w:color w:val="000000"/>
                <w:kern w:val="2"/>
              </w:rPr>
              <w:t>( mm</w:t>
            </w:r>
            <w:proofErr w:type="gramEnd"/>
            <w:r>
              <w:rPr>
                <w:rFonts w:eastAsia="SimSun" w:cs="Times New Roman"/>
                <w:color w:val="000000"/>
                <w:kern w:val="2"/>
              </w:rPr>
              <w:t xml:space="preserve"> )</w:t>
            </w:r>
          </w:p>
        </w:tc>
        <w:tc>
          <w:tcPr>
            <w:tcW w:w="346" w:type="pct"/>
            <w:tcBorders>
              <w:bottom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19</w:t>
            </w:r>
          </w:p>
        </w:tc>
        <w:tc>
          <w:tcPr>
            <w:tcW w:w="346" w:type="pct"/>
            <w:tcBorders>
              <w:bottom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16</w:t>
            </w:r>
          </w:p>
        </w:tc>
        <w:tc>
          <w:tcPr>
            <w:tcW w:w="346" w:type="pct"/>
            <w:tcBorders>
              <w:bottom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13.2</w:t>
            </w:r>
          </w:p>
        </w:tc>
        <w:tc>
          <w:tcPr>
            <w:tcW w:w="346" w:type="pct"/>
            <w:tcBorders>
              <w:bottom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9.5</w:t>
            </w:r>
          </w:p>
        </w:tc>
        <w:tc>
          <w:tcPr>
            <w:tcW w:w="346" w:type="pct"/>
            <w:tcBorders>
              <w:bottom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4.75</w:t>
            </w:r>
          </w:p>
        </w:tc>
        <w:tc>
          <w:tcPr>
            <w:tcW w:w="346" w:type="pct"/>
            <w:tcBorders>
              <w:bottom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2.36</w:t>
            </w:r>
          </w:p>
        </w:tc>
        <w:tc>
          <w:tcPr>
            <w:tcW w:w="346" w:type="pct"/>
            <w:tcBorders>
              <w:bottom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1.18</w:t>
            </w:r>
          </w:p>
        </w:tc>
        <w:tc>
          <w:tcPr>
            <w:tcW w:w="346" w:type="pct"/>
            <w:tcBorders>
              <w:bottom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0.6</w:t>
            </w:r>
          </w:p>
        </w:tc>
        <w:tc>
          <w:tcPr>
            <w:tcW w:w="346" w:type="pct"/>
            <w:tcBorders>
              <w:bottom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0.3</w:t>
            </w:r>
          </w:p>
        </w:tc>
        <w:tc>
          <w:tcPr>
            <w:tcW w:w="346" w:type="pct"/>
            <w:tcBorders>
              <w:bottom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0.15</w:t>
            </w:r>
          </w:p>
        </w:tc>
        <w:tc>
          <w:tcPr>
            <w:tcW w:w="348" w:type="pct"/>
            <w:tcBorders>
              <w:bottom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0.075</w:t>
            </w:r>
          </w:p>
        </w:tc>
      </w:tr>
      <w:tr w:rsidR="007C2403">
        <w:trPr>
          <w:trHeight w:val="850"/>
        </w:trPr>
        <w:tc>
          <w:tcPr>
            <w:tcW w:w="1188" w:type="pct"/>
            <w:tcBorders>
              <w:top w:val="single" w:sz="6" w:space="0" w:color="auto"/>
            </w:tcBorders>
            <w:vAlign w:val="center"/>
          </w:tcPr>
          <w:p w:rsidR="007C2403" w:rsidRDefault="00305B71">
            <w:pPr>
              <w:jc w:val="center"/>
              <w:rPr>
                <w:rFonts w:eastAsia="SimSun" w:cs="Times New Roman"/>
                <w:color w:val="000000"/>
                <w:kern w:val="2"/>
                <w:sz w:val="24"/>
                <w:szCs w:val="22"/>
              </w:rPr>
            </w:pPr>
            <w:r>
              <w:rPr>
                <w:rFonts w:eastAsia="SimSun" w:cs="Times New Roman"/>
                <w:color w:val="000000"/>
                <w:kern w:val="2"/>
              </w:rPr>
              <w:t xml:space="preserve">Upper limit of gradation </w:t>
            </w:r>
            <w:proofErr w:type="gramStart"/>
            <w:r>
              <w:rPr>
                <w:rFonts w:eastAsia="SimSun" w:cs="Times New Roman"/>
                <w:color w:val="000000"/>
                <w:kern w:val="2"/>
              </w:rPr>
              <w:t>( %</w:t>
            </w:r>
            <w:proofErr w:type="gramEnd"/>
            <w:r>
              <w:rPr>
                <w:rFonts w:eastAsia="SimSun" w:cs="Times New Roman"/>
                <w:color w:val="000000"/>
                <w:kern w:val="2"/>
              </w:rPr>
              <w:t xml:space="preserve"> )</w:t>
            </w:r>
          </w:p>
        </w:tc>
        <w:tc>
          <w:tcPr>
            <w:tcW w:w="346" w:type="pct"/>
            <w:tcBorders>
              <w:top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100</w:t>
            </w:r>
          </w:p>
        </w:tc>
        <w:tc>
          <w:tcPr>
            <w:tcW w:w="346" w:type="pct"/>
            <w:tcBorders>
              <w:top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93</w:t>
            </w:r>
          </w:p>
        </w:tc>
        <w:tc>
          <w:tcPr>
            <w:tcW w:w="346" w:type="pct"/>
            <w:tcBorders>
              <w:top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86</w:t>
            </w:r>
          </w:p>
        </w:tc>
        <w:tc>
          <w:tcPr>
            <w:tcW w:w="346" w:type="pct"/>
            <w:tcBorders>
              <w:top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72</w:t>
            </w:r>
          </w:p>
        </w:tc>
        <w:tc>
          <w:tcPr>
            <w:tcW w:w="346" w:type="pct"/>
            <w:tcBorders>
              <w:top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45</w:t>
            </w:r>
          </w:p>
        </w:tc>
        <w:tc>
          <w:tcPr>
            <w:tcW w:w="346" w:type="pct"/>
            <w:tcBorders>
              <w:top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31</w:t>
            </w:r>
          </w:p>
        </w:tc>
        <w:tc>
          <w:tcPr>
            <w:tcW w:w="346" w:type="pct"/>
            <w:tcBorders>
              <w:top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22</w:t>
            </w:r>
          </w:p>
        </w:tc>
        <w:tc>
          <w:tcPr>
            <w:tcW w:w="346" w:type="pct"/>
            <w:tcBorders>
              <w:top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15</w:t>
            </w:r>
          </w:p>
        </w:tc>
        <w:tc>
          <w:tcPr>
            <w:tcW w:w="346" w:type="pct"/>
            <w:tcBorders>
              <w:top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10</w:t>
            </w:r>
          </w:p>
        </w:tc>
        <w:tc>
          <w:tcPr>
            <w:tcW w:w="346" w:type="pct"/>
            <w:tcBorders>
              <w:top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7</w:t>
            </w:r>
          </w:p>
        </w:tc>
        <w:tc>
          <w:tcPr>
            <w:tcW w:w="348" w:type="pct"/>
            <w:tcBorders>
              <w:top w:val="single" w:sz="6" w:space="0" w:color="auto"/>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3</w:t>
            </w:r>
          </w:p>
        </w:tc>
      </w:tr>
      <w:tr w:rsidR="007C2403">
        <w:trPr>
          <w:trHeight w:val="850"/>
        </w:trPr>
        <w:tc>
          <w:tcPr>
            <w:tcW w:w="1188"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color w:val="000000"/>
                <w:kern w:val="2"/>
              </w:rPr>
              <w:t xml:space="preserve">Lower limit of </w:t>
            </w:r>
            <w:proofErr w:type="gramStart"/>
            <w:r>
              <w:rPr>
                <w:rFonts w:eastAsia="SimSun" w:cs="Times New Roman"/>
                <w:color w:val="000000"/>
                <w:kern w:val="2"/>
              </w:rPr>
              <w:t>gradation( %</w:t>
            </w:r>
            <w:proofErr w:type="gramEnd"/>
            <w:r>
              <w:rPr>
                <w:rFonts w:eastAsia="SimSun" w:cs="Times New Roman"/>
                <w:color w:val="000000"/>
                <w:kern w:val="2"/>
              </w:rPr>
              <w:t xml:space="preserve"> )</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100</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88</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76</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59</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35</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22</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13</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8</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5</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3</w:t>
            </w:r>
          </w:p>
        </w:tc>
        <w:tc>
          <w:tcPr>
            <w:tcW w:w="348"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2</w:t>
            </w:r>
          </w:p>
        </w:tc>
      </w:tr>
      <w:tr w:rsidR="007C2403">
        <w:trPr>
          <w:trHeight w:val="850"/>
        </w:trPr>
        <w:tc>
          <w:tcPr>
            <w:tcW w:w="1188"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color w:val="000000"/>
                <w:kern w:val="2"/>
              </w:rPr>
              <w:t xml:space="preserve">Gradation median </w:t>
            </w:r>
            <w:proofErr w:type="gramStart"/>
            <w:r>
              <w:rPr>
                <w:rFonts w:eastAsia="SimSun" w:cs="Times New Roman"/>
                <w:color w:val="000000"/>
                <w:kern w:val="2"/>
              </w:rPr>
              <w:t>( %</w:t>
            </w:r>
            <w:proofErr w:type="gramEnd"/>
            <w:r>
              <w:rPr>
                <w:rFonts w:eastAsia="SimSun" w:cs="Times New Roman"/>
                <w:color w:val="000000"/>
                <w:kern w:val="2"/>
              </w:rPr>
              <w:t xml:space="preserve"> )</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100</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9</w:t>
            </w:r>
            <w:r>
              <w:rPr>
                <w:rFonts w:cs="Times New Roman" w:hint="eastAsia"/>
                <w:color w:val="000000"/>
                <w:kern w:val="2"/>
              </w:rPr>
              <w:t>1</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81</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6</w:t>
            </w:r>
            <w:r>
              <w:rPr>
                <w:rFonts w:cs="Times New Roman" w:hint="eastAsia"/>
                <w:color w:val="000000"/>
                <w:kern w:val="2"/>
              </w:rPr>
              <w:t>6</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40</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2</w:t>
            </w:r>
            <w:r>
              <w:rPr>
                <w:rFonts w:cs="Times New Roman" w:hint="eastAsia"/>
                <w:color w:val="000000"/>
                <w:kern w:val="2"/>
              </w:rPr>
              <w:t>7</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1</w:t>
            </w:r>
            <w:r>
              <w:rPr>
                <w:rFonts w:cs="Times New Roman" w:hint="eastAsia"/>
                <w:color w:val="000000"/>
                <w:kern w:val="2"/>
              </w:rPr>
              <w:t>8</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1</w:t>
            </w:r>
            <w:r>
              <w:rPr>
                <w:rFonts w:cs="Times New Roman" w:hint="eastAsia"/>
                <w:color w:val="000000"/>
                <w:kern w:val="2"/>
              </w:rPr>
              <w:t>2</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cs="Times New Roman" w:hint="eastAsia"/>
                <w:color w:val="000000"/>
                <w:kern w:val="2"/>
              </w:rPr>
              <w:t>8</w:t>
            </w:r>
          </w:p>
        </w:tc>
        <w:tc>
          <w:tcPr>
            <w:tcW w:w="346" w:type="pct"/>
            <w:tcBorders>
              <w:tl2br w:val="nil"/>
              <w:tr2bl w:val="nil"/>
            </w:tcBorders>
            <w:vAlign w:val="center"/>
          </w:tcPr>
          <w:p w:rsidR="007C2403" w:rsidRDefault="00305B71">
            <w:pPr>
              <w:jc w:val="center"/>
              <w:rPr>
                <w:rFonts w:eastAsia="SimSun" w:cs="Times New Roman"/>
                <w:color w:val="000000"/>
                <w:kern w:val="2"/>
              </w:rPr>
            </w:pPr>
            <w:r>
              <w:rPr>
                <w:rFonts w:eastAsia="SimSun" w:cs="Times New Roman" w:hint="eastAsia"/>
                <w:color w:val="000000"/>
                <w:kern w:val="2"/>
              </w:rPr>
              <w:t>5</w:t>
            </w:r>
          </w:p>
        </w:tc>
        <w:tc>
          <w:tcPr>
            <w:tcW w:w="348" w:type="pct"/>
            <w:tcBorders>
              <w:tl2br w:val="nil"/>
              <w:tr2bl w:val="nil"/>
            </w:tcBorders>
            <w:vAlign w:val="center"/>
          </w:tcPr>
          <w:p w:rsidR="007C2403" w:rsidRDefault="00305B71">
            <w:pPr>
              <w:jc w:val="center"/>
              <w:rPr>
                <w:rFonts w:eastAsia="SimSun" w:cs="Times New Roman"/>
                <w:color w:val="000000"/>
                <w:kern w:val="2"/>
              </w:rPr>
            </w:pPr>
            <w:r>
              <w:rPr>
                <w:rFonts w:cs="Times New Roman" w:hint="eastAsia"/>
                <w:color w:val="000000"/>
                <w:kern w:val="2"/>
              </w:rPr>
              <w:t>3</w:t>
            </w:r>
          </w:p>
        </w:tc>
      </w:tr>
    </w:tbl>
    <w:p w:rsidR="007C2403" w:rsidRDefault="00305B71">
      <w:pPr>
        <w:jc w:val="center"/>
        <w:rPr>
          <w:rFonts w:cs="Times New Roman"/>
          <w:color w:val="000000" w:themeColor="text1"/>
        </w:rPr>
      </w:pPr>
      <w:r>
        <w:rPr>
          <w:rFonts w:cs="Times New Roman"/>
          <w:noProof/>
          <w:color w:val="000000" w:themeColor="text1"/>
          <w:lang w:eastAsia="en-US"/>
        </w:rPr>
        <w:lastRenderedPageBreak/>
        <w:drawing>
          <wp:inline distT="0" distB="0" distL="114300" distR="114300">
            <wp:extent cx="4044950" cy="2879725"/>
            <wp:effectExtent l="4445" t="4445" r="15875" b="7620"/>
            <wp:docPr id="5" name="图表 5" descr="7b0a202020202263686172745265734964223a202232303437313431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2" w:name="_Ref24472"/>
    </w:p>
    <w:bookmarkEnd w:id="2"/>
    <w:p w:rsidR="007C2403" w:rsidRDefault="00305B71">
      <w:pPr>
        <w:pStyle w:val="Caption"/>
        <w:kinsoku w:val="0"/>
        <w:wordWrap w:val="0"/>
        <w:overflowPunct w:val="0"/>
        <w:spacing w:beforeLines="50" w:before="156"/>
        <w:jc w:val="center"/>
      </w:pPr>
      <w:r>
        <w:t>Fig</w:t>
      </w:r>
      <w:r>
        <w:rPr>
          <w:rFonts w:hint="eastAsia"/>
        </w:rPr>
        <w:t>.</w:t>
      </w:r>
      <w:r>
        <w:t xml:space="preserve"> </w:t>
      </w:r>
      <w:r>
        <w:rPr>
          <w:rFonts w:hint="eastAsia"/>
        </w:rPr>
        <w:t>1</w:t>
      </w:r>
      <w:r>
        <w:t xml:space="preserve"> Grain-size distribution curve</w:t>
      </w:r>
    </w:p>
    <w:p w:rsidR="007C2403" w:rsidRDefault="00305B71">
      <w:pPr>
        <w:rPr>
          <w:rFonts w:eastAsia="SimSun" w:cs="Times New Roman"/>
          <w:b/>
          <w:bCs/>
          <w:kern w:val="2"/>
        </w:rPr>
      </w:pPr>
      <w:r>
        <w:rPr>
          <w:rFonts w:eastAsia="SimSun" w:cs="Times New Roman" w:hint="eastAsia"/>
          <w:b/>
          <w:bCs/>
          <w:kern w:val="2"/>
        </w:rPr>
        <w:t>1.6 Preparation method of multi-component solid waste geopolymer mortar specimen</w:t>
      </w:r>
    </w:p>
    <w:p w:rsidR="007C2403" w:rsidRDefault="00305B71">
      <w:pPr>
        <w:wordWrap w:val="0"/>
        <w:ind w:firstLineChars="200" w:firstLine="420"/>
        <w:rPr>
          <w:rFonts w:eastAsia="SimSun" w:cs="Times New Roman"/>
          <w:kern w:val="2"/>
        </w:rPr>
      </w:pPr>
      <w:r>
        <w:rPr>
          <w:rFonts w:eastAsia="SimSun" w:cs="Times New Roman" w:hint="eastAsia"/>
          <w:kern w:val="2"/>
        </w:rPr>
        <w:t>The preparation procedure for geopolymer mortar specimens is as follows:</w:t>
      </w:r>
    </w:p>
    <w:p w:rsidR="007C2403" w:rsidRDefault="00305B71">
      <w:pPr>
        <w:wordWrap w:val="0"/>
        <w:ind w:firstLineChars="200" w:firstLine="420"/>
        <w:rPr>
          <w:rFonts w:eastAsia="SimSun" w:cs="Times New Roman"/>
          <w:kern w:val="2"/>
        </w:rPr>
      </w:pPr>
      <w:r>
        <w:rPr>
          <w:rFonts w:eastAsia="SimSun" w:cs="Times New Roman" w:hint="eastAsia"/>
          <w:kern w:val="2"/>
        </w:rPr>
        <w:t>(1) After cooling the NaOH solution to 20</w:t>
      </w:r>
      <w:r>
        <w:rPr>
          <w:rFonts w:eastAsia="SimSun" w:cs="Times New Roman" w:hint="eastAsia"/>
          <w:kern w:val="2"/>
        </w:rPr>
        <w:t> °</w:t>
      </w:r>
      <w:r>
        <w:rPr>
          <w:rFonts w:eastAsia="SimSun" w:cs="Times New Roman" w:hint="eastAsia"/>
          <w:kern w:val="2"/>
        </w:rPr>
        <w:t>C, mix it with the Na</w:t>
      </w:r>
      <w:r>
        <w:rPr>
          <w:rFonts w:eastAsia="SimSun" w:cs="Times New Roman" w:hint="eastAsia"/>
          <w:kern w:val="2"/>
        </w:rPr>
        <w:t>₂</w:t>
      </w:r>
      <w:proofErr w:type="spellStart"/>
      <w:r>
        <w:rPr>
          <w:rFonts w:eastAsia="SimSun" w:cs="Times New Roman" w:hint="eastAsia"/>
          <w:kern w:val="2"/>
        </w:rPr>
        <w:t>SiO</w:t>
      </w:r>
      <w:proofErr w:type="spellEnd"/>
      <w:r>
        <w:rPr>
          <w:rFonts w:eastAsia="SimSun" w:cs="Times New Roman" w:hint="eastAsia"/>
          <w:kern w:val="2"/>
        </w:rPr>
        <w:t>₃</w:t>
      </w:r>
      <w:r>
        <w:rPr>
          <w:rFonts w:eastAsia="SimSun" w:cs="Times New Roman" w:hint="eastAsia"/>
          <w:kern w:val="2"/>
        </w:rPr>
        <w:t>solution. Stir slowly at room temperature for 3 minutes, then let the mixture stand and cool to 20</w:t>
      </w:r>
      <w:r>
        <w:rPr>
          <w:rFonts w:eastAsia="SimSun" w:cs="Times New Roman" w:hint="eastAsia"/>
          <w:kern w:val="2"/>
        </w:rPr>
        <w:t> °</w:t>
      </w:r>
      <w:r>
        <w:rPr>
          <w:rFonts w:eastAsia="SimSun" w:cs="Times New Roman" w:hint="eastAsia"/>
          <w:kern w:val="2"/>
        </w:rPr>
        <w:t>C before bottling and storing.</w:t>
      </w:r>
    </w:p>
    <w:p w:rsidR="007C2403" w:rsidRDefault="00305B71">
      <w:pPr>
        <w:wordWrap w:val="0"/>
        <w:ind w:firstLineChars="200" w:firstLine="420"/>
        <w:rPr>
          <w:rFonts w:eastAsia="SimSun" w:cs="Times New Roman"/>
          <w:kern w:val="2"/>
        </w:rPr>
      </w:pPr>
      <w:r>
        <w:rPr>
          <w:rFonts w:eastAsia="SimSun" w:cs="Times New Roman" w:hint="eastAsia"/>
          <w:kern w:val="2"/>
        </w:rPr>
        <w:t>(2) Pour the prepared alkali activator solution into a mixing pot, add a specified amount of water, and stir for 1 minute. Then weigh the corresponding masses of fly ash, ground granulated blast furnace slag (GGBFS), and red mud, mix them uniformly, add them to the mixing pot, and incorporate the corresponding mass of standard sand. Mix thoroughly until uniform, then cool to room temperature.</w:t>
      </w:r>
    </w:p>
    <w:p w:rsidR="007C2403" w:rsidRDefault="00305B71">
      <w:pPr>
        <w:wordWrap w:val="0"/>
        <w:ind w:firstLineChars="200" w:firstLine="420"/>
        <w:rPr>
          <w:rFonts w:eastAsia="SimSun" w:cs="Times New Roman"/>
          <w:kern w:val="2"/>
        </w:rPr>
      </w:pPr>
      <w:r>
        <w:rPr>
          <w:rFonts w:eastAsia="SimSun" w:cs="Times New Roman" w:hint="eastAsia"/>
          <w:kern w:val="2"/>
        </w:rPr>
        <w:t>(3) Secure the mixing pot firmly. Pour the uniformly dry-mixed fly ash and GGBFS into the cleaned mixing pot. Immediately after adding water and the alkali solution, start the mixer</w:t>
      </w:r>
      <w:r>
        <w:rPr>
          <w:rFonts w:eastAsia="SimSun" w:cs="Times New Roman" w:hint="eastAsia"/>
          <w:kern w:val="2"/>
        </w:rPr>
        <w:t>—</w:t>
      </w:r>
      <w:r>
        <w:rPr>
          <w:rFonts w:eastAsia="SimSun" w:cs="Times New Roman" w:hint="eastAsia"/>
          <w:kern w:val="2"/>
        </w:rPr>
        <w:t>first at low speed for 2 minutes, then at high speed for 2 minutes.</w:t>
      </w:r>
    </w:p>
    <w:p w:rsidR="007C2403" w:rsidRDefault="00305B71">
      <w:pPr>
        <w:wordWrap w:val="0"/>
        <w:ind w:firstLineChars="200" w:firstLine="420"/>
        <w:rPr>
          <w:rFonts w:eastAsia="SimSun" w:cs="Times New Roman"/>
          <w:kern w:val="2"/>
        </w:rPr>
      </w:pPr>
      <w:r>
        <w:rPr>
          <w:rFonts w:eastAsia="SimSun" w:cs="Times New Roman" w:hint="eastAsia"/>
          <w:kern w:val="2"/>
        </w:rPr>
        <w:t>(4) Pour the mixture into the molds in two layers. After leveling the surface, secure the mold on a vibrating table and vibrate for 60 times. Once vibration is complete, use a steel scraper to remove excess geopolymer mortar above the mold surface, and wrap the mold with a layer of plastic film. Then place the specimens in a curing chamber for 24 hours before demolding. Subsequently, transfer them to a standard curing chamber and continue curing until the specified ages for strength testing.</w:t>
      </w:r>
    </w:p>
    <w:p w:rsidR="007C2403" w:rsidRDefault="00305B71">
      <w:pPr>
        <w:rPr>
          <w:rFonts w:eastAsia="SimSun" w:cs="Times New Roman"/>
          <w:b/>
          <w:bCs/>
          <w:kern w:val="2"/>
        </w:rPr>
      </w:pPr>
      <w:r>
        <w:rPr>
          <w:rFonts w:eastAsia="SimSun" w:cs="Times New Roman" w:hint="eastAsia"/>
          <w:b/>
          <w:bCs/>
          <w:kern w:val="2"/>
        </w:rPr>
        <w:t>1.7 Multi-element solid waste geopolymer stabilized gravel specimen</w:t>
      </w:r>
    </w:p>
    <w:p w:rsidR="007C2403" w:rsidRDefault="00305B71">
      <w:pPr>
        <w:wordWrap w:val="0"/>
        <w:ind w:firstLineChars="200" w:firstLine="420"/>
        <w:rPr>
          <w:rFonts w:eastAsia="SimSun" w:cs="Times New Roman"/>
          <w:kern w:val="2"/>
        </w:rPr>
      </w:pPr>
      <w:r>
        <w:rPr>
          <w:rFonts w:eastAsia="SimSun" w:cs="Times New Roman" w:hint="eastAsia"/>
          <w:kern w:val="2"/>
        </w:rPr>
        <w:t>Based on the mix design parameters for the geopolymer-stabilized aggregate, the designed geopolymer content was set at 5%, and the proportions of the various aggregates were as follows:1# (9.5</w:t>
      </w:r>
      <w:r>
        <w:rPr>
          <w:rFonts w:eastAsia="SimSun" w:cs="Times New Roman" w:hint="eastAsia"/>
          <w:kern w:val="2"/>
        </w:rPr>
        <w:t>–</w:t>
      </w:r>
      <w:r>
        <w:rPr>
          <w:rFonts w:eastAsia="SimSun" w:cs="Times New Roman" w:hint="eastAsia"/>
          <w:kern w:val="2"/>
        </w:rPr>
        <w:t>19 mm): 2# (4.75</w:t>
      </w:r>
      <w:r>
        <w:rPr>
          <w:rFonts w:eastAsia="SimSun" w:cs="Times New Roman" w:hint="eastAsia"/>
          <w:kern w:val="2"/>
        </w:rPr>
        <w:t>–</w:t>
      </w:r>
      <w:r>
        <w:rPr>
          <w:rFonts w:eastAsia="SimSun" w:cs="Times New Roman" w:hint="eastAsia"/>
          <w:kern w:val="2"/>
        </w:rPr>
        <w:t>9.5 mm) : 3# (2.36</w:t>
      </w:r>
      <w:r>
        <w:rPr>
          <w:rFonts w:eastAsia="SimSun" w:cs="Times New Roman" w:hint="eastAsia"/>
          <w:kern w:val="2"/>
        </w:rPr>
        <w:t>–</w:t>
      </w:r>
      <w:r>
        <w:rPr>
          <w:rFonts w:eastAsia="SimSun" w:cs="Times New Roman" w:hint="eastAsia"/>
          <w:kern w:val="2"/>
        </w:rPr>
        <w:t>4.75 mm): 4# (0</w:t>
      </w:r>
      <w:r>
        <w:rPr>
          <w:rFonts w:eastAsia="SimSun" w:cs="Times New Roman" w:hint="eastAsia"/>
          <w:kern w:val="2"/>
        </w:rPr>
        <w:t>–</w:t>
      </w:r>
      <w:r>
        <w:rPr>
          <w:rFonts w:eastAsia="SimSun" w:cs="Times New Roman" w:hint="eastAsia"/>
          <w:kern w:val="2"/>
        </w:rPr>
        <w:t xml:space="preserve">2.36 mm) = 38: 29 : 21: 12. Similarly, the control mixture was prepared using the same proportions and masses of aggregate and geopolymer, and corresponding specimens were fabricated following the same procedure. All test specimens were prepared in accordance with the </w:t>
      </w:r>
      <w:r>
        <w:rPr>
          <w:rFonts w:eastAsia="SimSun" w:cs="Times New Roman" w:hint="eastAsia"/>
          <w:kern w:val="2"/>
        </w:rPr>
        <w:t>《</w:t>
      </w:r>
      <w:r>
        <w:rPr>
          <w:rFonts w:eastAsia="SimSun" w:cs="Times New Roman" w:hint="eastAsia"/>
          <w:kern w:val="2"/>
        </w:rPr>
        <w:t>Test Methods of Materials Stabilized with Inorganic Binders for Highway Engineering</w:t>
      </w:r>
      <w:r>
        <w:rPr>
          <w:rFonts w:eastAsia="SimSun" w:cs="Times New Roman" w:hint="eastAsia"/>
          <w:kern w:val="2"/>
        </w:rPr>
        <w:t>》</w:t>
      </w:r>
      <w:r>
        <w:rPr>
          <w:rFonts w:eastAsia="SimSun" w:cs="Times New Roman" w:hint="eastAsia"/>
          <w:kern w:val="2"/>
        </w:rPr>
        <w:t xml:space="preserve">JTG </w:t>
      </w:r>
      <w:r>
        <w:rPr>
          <w:rFonts w:eastAsia="SimSun" w:cs="Times New Roman" w:hint="eastAsia"/>
          <w:kern w:val="2"/>
        </w:rPr>
        <w:t>》</w:t>
      </w:r>
      <w:r>
        <w:rPr>
          <w:rFonts w:eastAsia="SimSun" w:cs="Times New Roman" w:hint="eastAsia"/>
          <w:kern w:val="2"/>
        </w:rPr>
        <w:t xml:space="preserve"> JTG 3441-2024</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_Ref13650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[9]</w:t>
      </w:r>
      <w:r>
        <w:rPr>
          <w:rFonts w:eastAsia="SimSun" w:cs="Times New Roman" w:hint="eastAsia"/>
          <w:kern w:val="2"/>
          <w:vertAlign w:val="superscript"/>
        </w:rPr>
        <w:fldChar w:fldCharType="end"/>
      </w:r>
      <w:r>
        <w:rPr>
          <w:rFonts w:eastAsia="SimSun" w:cs="Times New Roman" w:hint="eastAsia"/>
          <w:kern w:val="2"/>
        </w:rPr>
        <w:t xml:space="preserve">. For example, for a total aggregate mass of 5000 g, the amounts </w:t>
      </w:r>
      <w:r>
        <w:rPr>
          <w:rFonts w:eastAsia="SimSun" w:cs="Times New Roman" w:hint="eastAsia"/>
          <w:kern w:val="2"/>
        </w:rPr>
        <w:lastRenderedPageBreak/>
        <w:t>for each fraction were as follows:9.5-19mm:1900g,4.75-9.5mm: 1450 g,2.36-4.75mm:1050g,0-2.36 mm: 600 g</w:t>
      </w:r>
    </w:p>
    <w:p w:rsidR="007C2403" w:rsidRDefault="00305B71">
      <w:pPr>
        <w:rPr>
          <w:rFonts w:eastAsia="SimSun" w:cs="Times New Roman"/>
          <w:b/>
          <w:bCs/>
          <w:kern w:val="2"/>
        </w:rPr>
      </w:pPr>
      <w:r>
        <w:rPr>
          <w:rFonts w:eastAsia="SimSun" w:cs="Times New Roman" w:hint="eastAsia"/>
          <w:b/>
          <w:bCs/>
          <w:kern w:val="2"/>
        </w:rPr>
        <w:t>1.8 Moisture-density test</w:t>
      </w:r>
    </w:p>
    <w:p w:rsidR="007C2403" w:rsidRDefault="00305B71">
      <w:pPr>
        <w:wordWrap w:val="0"/>
        <w:ind w:firstLineChars="200" w:firstLine="420"/>
        <w:rPr>
          <w:rFonts w:eastAsia="SimSun" w:cs="Times New Roman"/>
          <w:kern w:val="2"/>
        </w:rPr>
      </w:pPr>
      <w:bookmarkStart w:id="3" w:name="_Ref24320"/>
      <w:r>
        <w:rPr>
          <w:rFonts w:eastAsia="SimSun" w:cs="Times New Roman" w:hint="eastAsia"/>
          <w:kern w:val="2"/>
        </w:rPr>
        <w:t xml:space="preserve">The compaction test is a crucial method for evaluating the </w:t>
      </w:r>
      <w:proofErr w:type="spellStart"/>
      <w:r>
        <w:rPr>
          <w:rFonts w:eastAsia="SimSun" w:cs="Times New Roman" w:hint="eastAsia"/>
          <w:kern w:val="2"/>
        </w:rPr>
        <w:t>compactability</w:t>
      </w:r>
      <w:proofErr w:type="spellEnd"/>
      <w:r>
        <w:rPr>
          <w:rFonts w:eastAsia="SimSun" w:cs="Times New Roman" w:hint="eastAsia"/>
          <w:kern w:val="2"/>
        </w:rPr>
        <w:t xml:space="preserve"> of base course materials. Its purpose is to determine the optimum moisture content (OMC) and maximum dry density (MDD) of the material, thereby understanding its performance under different moisture contents and compaction levels. This provides reliable theoretical indicators for field compaction quality and ensures engineering reliability. In this study, the heavy compaction</w:t>
      </w:r>
      <w:r>
        <w:rPr>
          <w:rFonts w:eastAsia="SimSun" w:cs="Times New Roman" w:hint="eastAsia"/>
          <w:kern w:val="2"/>
        </w:rPr>
        <w:t>—</w:t>
      </w:r>
      <w:r>
        <w:rPr>
          <w:rFonts w:eastAsia="SimSun" w:cs="Times New Roman" w:hint="eastAsia"/>
          <w:kern w:val="2"/>
        </w:rPr>
        <w:t>Method C was selected to conduct the test on the geopolymer-stabilized aggregate</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_Ref14600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[16]</w:t>
      </w:r>
      <w:r>
        <w:rPr>
          <w:rFonts w:eastAsia="SimSun" w:cs="Times New Roman" w:hint="eastAsia"/>
          <w:kern w:val="2"/>
          <w:vertAlign w:val="superscript"/>
        </w:rPr>
        <w:fldChar w:fldCharType="end"/>
      </w:r>
      <w:r>
        <w:rPr>
          <w:rFonts w:eastAsia="SimSun" w:cs="Times New Roman" w:hint="eastAsia"/>
          <w:kern w:val="2"/>
        </w:rPr>
        <w:t>. Using 5% as the median value and adjusting in 1% intervals, five moisture content groups were designed: 3%, 4%, 5%, 6%, and 7%. According to the designed mix proportion, the geopolymer-stabilized aggregate (approximately 5000 g) was mixed and placed in three layers into the large compaction mold of an electronic compaction apparatus. Each layer was compacted with 94 blows using a heavy compaction hammer. The optimum moisture content and maximum dry density of the inorganic binder-stabilized material are shown in Table 5 below.</w:t>
      </w:r>
    </w:p>
    <w:bookmarkEnd w:id="3"/>
    <w:p w:rsidR="007C2403" w:rsidRDefault="00305B71">
      <w:pPr>
        <w:pStyle w:val="a"/>
        <w:spacing w:beforeLines="50" w:before="156"/>
      </w:pPr>
      <w:r>
        <w:t xml:space="preserve">Table </w:t>
      </w:r>
      <w:r>
        <w:rPr>
          <w:rFonts w:hint="eastAsia"/>
        </w:rPr>
        <w:t>5.</w:t>
      </w:r>
      <w:r>
        <w:t xml:space="preserve"> </w:t>
      </w:r>
      <w:r>
        <w:rPr>
          <w:bCs/>
        </w:rPr>
        <w:t>Compaction test results</w:t>
      </w:r>
    </w:p>
    <w:tbl>
      <w:tblPr>
        <w:tblStyle w:val="TableGrid"/>
        <w:tblW w:w="4998"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19"/>
        <w:gridCol w:w="2735"/>
        <w:gridCol w:w="733"/>
        <w:gridCol w:w="733"/>
        <w:gridCol w:w="733"/>
        <w:gridCol w:w="733"/>
        <w:gridCol w:w="733"/>
      </w:tblGrid>
      <w:tr w:rsidR="007C2403">
        <w:trPr>
          <w:trHeight w:val="567"/>
        </w:trPr>
        <w:tc>
          <w:tcPr>
            <w:tcW w:w="1244" w:type="pct"/>
            <w:vMerge w:val="restart"/>
            <w:tcBorders>
              <w:top w:val="single" w:sz="12" w:space="0" w:color="auto"/>
            </w:tcBorders>
            <w:vAlign w:val="center"/>
          </w:tcPr>
          <w:p w:rsidR="007C2403" w:rsidRDefault="00305B71">
            <w:pPr>
              <w:pStyle w:val="a0"/>
              <w:jc w:val="center"/>
              <w:rPr>
                <w:color w:val="000000" w:themeColor="text1"/>
              </w:rPr>
            </w:pPr>
            <w:r>
              <w:rPr>
                <w:rFonts w:hint="eastAsia"/>
              </w:rPr>
              <w:t>Multiple solid waste</w:t>
            </w:r>
          </w:p>
        </w:tc>
        <w:tc>
          <w:tcPr>
            <w:tcW w:w="1604" w:type="pct"/>
            <w:tcBorders>
              <w:top w:val="single" w:sz="12" w:space="0" w:color="auto"/>
            </w:tcBorders>
            <w:vAlign w:val="center"/>
          </w:tcPr>
          <w:p w:rsidR="007C2403" w:rsidRDefault="00305B71">
            <w:pPr>
              <w:pStyle w:val="a0"/>
              <w:jc w:val="center"/>
              <w:rPr>
                <w:color w:val="000000" w:themeColor="text1"/>
              </w:rPr>
            </w:pPr>
            <w:r>
              <w:rPr>
                <w:rFonts w:cs="Times New Roman" w:hint="eastAsia"/>
                <w:color w:val="000000" w:themeColor="text1"/>
              </w:rPr>
              <w:t>moisture content</w:t>
            </w:r>
            <w:r>
              <w:rPr>
                <w:rFonts w:cs="Times New Roman"/>
                <w:color w:val="000000" w:themeColor="text1"/>
              </w:rPr>
              <w:t>（</w:t>
            </w:r>
            <w:r>
              <w:rPr>
                <w:rFonts w:cs="Times New Roman"/>
                <w:color w:val="000000" w:themeColor="text1"/>
              </w:rPr>
              <w:t>%</w:t>
            </w:r>
            <w:r>
              <w:rPr>
                <w:rFonts w:cs="Times New Roman"/>
                <w:color w:val="000000" w:themeColor="text1"/>
              </w:rPr>
              <w:t>）</w:t>
            </w:r>
          </w:p>
        </w:tc>
        <w:tc>
          <w:tcPr>
            <w:tcW w:w="430" w:type="pct"/>
            <w:tcBorders>
              <w:top w:val="single" w:sz="12" w:space="0" w:color="auto"/>
            </w:tcBorders>
            <w:vAlign w:val="center"/>
          </w:tcPr>
          <w:p w:rsidR="007C2403" w:rsidRDefault="00305B71">
            <w:pPr>
              <w:pStyle w:val="a0"/>
              <w:jc w:val="center"/>
              <w:rPr>
                <w:color w:val="000000" w:themeColor="text1"/>
              </w:rPr>
            </w:pPr>
            <w:r>
              <w:rPr>
                <w:rFonts w:cs="Times New Roman" w:hint="eastAsia"/>
                <w:color w:val="000000" w:themeColor="text1"/>
              </w:rPr>
              <w:t>3</w:t>
            </w:r>
            <w:r>
              <w:rPr>
                <w:rFonts w:cs="Times New Roman"/>
                <w:color w:val="000000" w:themeColor="text1"/>
              </w:rPr>
              <w:t>.</w:t>
            </w:r>
            <w:r>
              <w:rPr>
                <w:rFonts w:cs="Times New Roman" w:hint="eastAsia"/>
                <w:color w:val="000000" w:themeColor="text1"/>
              </w:rPr>
              <w:t>6</w:t>
            </w:r>
          </w:p>
        </w:tc>
        <w:tc>
          <w:tcPr>
            <w:tcW w:w="430" w:type="pct"/>
            <w:tcBorders>
              <w:top w:val="single" w:sz="12" w:space="0" w:color="auto"/>
            </w:tcBorders>
            <w:vAlign w:val="center"/>
          </w:tcPr>
          <w:p w:rsidR="007C2403" w:rsidRDefault="00305B71">
            <w:pPr>
              <w:pStyle w:val="a0"/>
              <w:jc w:val="center"/>
              <w:rPr>
                <w:color w:val="000000" w:themeColor="text1"/>
              </w:rPr>
            </w:pPr>
            <w:r>
              <w:rPr>
                <w:rFonts w:cs="Times New Roman" w:hint="eastAsia"/>
                <w:color w:val="000000" w:themeColor="text1"/>
              </w:rPr>
              <w:t>4.5</w:t>
            </w:r>
          </w:p>
        </w:tc>
        <w:tc>
          <w:tcPr>
            <w:tcW w:w="430" w:type="pct"/>
            <w:tcBorders>
              <w:top w:val="single" w:sz="12" w:space="0" w:color="auto"/>
            </w:tcBorders>
            <w:vAlign w:val="center"/>
          </w:tcPr>
          <w:p w:rsidR="007C2403" w:rsidRDefault="00305B71">
            <w:pPr>
              <w:pStyle w:val="a0"/>
              <w:jc w:val="center"/>
              <w:rPr>
                <w:color w:val="000000" w:themeColor="text1"/>
              </w:rPr>
            </w:pPr>
            <w:r>
              <w:rPr>
                <w:rFonts w:cs="Times New Roman" w:hint="eastAsia"/>
                <w:color w:val="000000" w:themeColor="text1"/>
              </w:rPr>
              <w:t>5.6</w:t>
            </w:r>
          </w:p>
        </w:tc>
        <w:tc>
          <w:tcPr>
            <w:tcW w:w="430" w:type="pct"/>
            <w:tcBorders>
              <w:top w:val="single" w:sz="12" w:space="0" w:color="auto"/>
            </w:tcBorders>
            <w:vAlign w:val="center"/>
          </w:tcPr>
          <w:p w:rsidR="007C2403" w:rsidRDefault="00305B71">
            <w:pPr>
              <w:pStyle w:val="a0"/>
              <w:jc w:val="center"/>
              <w:rPr>
                <w:color w:val="000000" w:themeColor="text1"/>
              </w:rPr>
            </w:pPr>
            <w:r>
              <w:rPr>
                <w:rFonts w:cs="Times New Roman" w:hint="eastAsia"/>
                <w:color w:val="000000" w:themeColor="text1"/>
              </w:rPr>
              <w:t>6.2</w:t>
            </w:r>
          </w:p>
        </w:tc>
        <w:tc>
          <w:tcPr>
            <w:tcW w:w="430" w:type="pct"/>
            <w:tcBorders>
              <w:top w:val="single" w:sz="12" w:space="0" w:color="auto"/>
            </w:tcBorders>
            <w:vAlign w:val="center"/>
          </w:tcPr>
          <w:p w:rsidR="007C2403" w:rsidRDefault="00305B71">
            <w:pPr>
              <w:pStyle w:val="a0"/>
              <w:jc w:val="center"/>
              <w:rPr>
                <w:color w:val="000000" w:themeColor="text1"/>
              </w:rPr>
            </w:pPr>
            <w:r>
              <w:rPr>
                <w:rFonts w:cs="Times New Roman"/>
                <w:color w:val="000000" w:themeColor="text1"/>
              </w:rPr>
              <w:t>6.</w:t>
            </w:r>
            <w:r>
              <w:rPr>
                <w:rFonts w:cs="Times New Roman" w:hint="eastAsia"/>
                <w:color w:val="000000" w:themeColor="text1"/>
              </w:rPr>
              <w:t>7</w:t>
            </w:r>
          </w:p>
        </w:tc>
      </w:tr>
      <w:tr w:rsidR="007C2403">
        <w:trPr>
          <w:trHeight w:val="567"/>
        </w:trPr>
        <w:tc>
          <w:tcPr>
            <w:tcW w:w="1244" w:type="pct"/>
            <w:vMerge/>
            <w:vAlign w:val="center"/>
          </w:tcPr>
          <w:p w:rsidR="007C2403" w:rsidRDefault="007C2403">
            <w:pPr>
              <w:pStyle w:val="a0"/>
              <w:jc w:val="center"/>
              <w:rPr>
                <w:color w:val="000000" w:themeColor="text1"/>
              </w:rPr>
            </w:pPr>
          </w:p>
        </w:tc>
        <w:tc>
          <w:tcPr>
            <w:tcW w:w="1604" w:type="pct"/>
            <w:vAlign w:val="center"/>
          </w:tcPr>
          <w:p w:rsidR="007C2403" w:rsidRDefault="00305B71">
            <w:pPr>
              <w:pStyle w:val="a0"/>
              <w:jc w:val="center"/>
              <w:rPr>
                <w:color w:val="000000" w:themeColor="text1"/>
              </w:rPr>
            </w:pPr>
            <w:r>
              <w:rPr>
                <w:rFonts w:cs="Times New Roman"/>
                <w:color w:val="000000" w:themeColor="text1"/>
              </w:rPr>
              <w:t>dry density</w:t>
            </w:r>
            <w:r>
              <w:rPr>
                <w:rFonts w:cs="Times New Roman"/>
                <w:color w:val="000000" w:themeColor="text1"/>
              </w:rPr>
              <w:t>（</w:t>
            </w:r>
            <w:r>
              <w:rPr>
                <w:rFonts w:cs="Times New Roman"/>
                <w:color w:val="000000" w:themeColor="text1"/>
              </w:rPr>
              <w:t>g/cm</w:t>
            </w:r>
            <w:r>
              <w:rPr>
                <w:rFonts w:cs="Times New Roman"/>
                <w:color w:val="000000" w:themeColor="text1"/>
                <w:vertAlign w:val="superscript"/>
              </w:rPr>
              <w:t>3</w:t>
            </w:r>
            <w:r>
              <w:rPr>
                <w:rFonts w:cs="Times New Roman"/>
                <w:color w:val="000000" w:themeColor="text1"/>
              </w:rPr>
              <w:t>）</w:t>
            </w:r>
          </w:p>
        </w:tc>
        <w:tc>
          <w:tcPr>
            <w:tcW w:w="430" w:type="pct"/>
            <w:vAlign w:val="center"/>
          </w:tcPr>
          <w:p w:rsidR="007C2403" w:rsidRDefault="00305B71">
            <w:pPr>
              <w:pStyle w:val="a0"/>
              <w:jc w:val="center"/>
              <w:rPr>
                <w:color w:val="000000" w:themeColor="text1"/>
              </w:rPr>
            </w:pPr>
            <w:r>
              <w:rPr>
                <w:rFonts w:cs="Times New Roman"/>
                <w:color w:val="000000" w:themeColor="text1"/>
              </w:rPr>
              <w:t>2.2</w:t>
            </w:r>
            <w:r>
              <w:rPr>
                <w:rFonts w:cs="Times New Roman" w:hint="eastAsia"/>
                <w:color w:val="000000" w:themeColor="text1"/>
              </w:rPr>
              <w:t>8</w:t>
            </w:r>
          </w:p>
        </w:tc>
        <w:tc>
          <w:tcPr>
            <w:tcW w:w="430" w:type="pct"/>
            <w:vAlign w:val="center"/>
          </w:tcPr>
          <w:p w:rsidR="007C2403" w:rsidRDefault="00305B71">
            <w:pPr>
              <w:pStyle w:val="a0"/>
              <w:jc w:val="center"/>
              <w:rPr>
                <w:color w:val="000000" w:themeColor="text1"/>
              </w:rPr>
            </w:pPr>
            <w:r>
              <w:rPr>
                <w:rFonts w:cs="Times New Roman"/>
                <w:color w:val="000000" w:themeColor="text1"/>
              </w:rPr>
              <w:t>2.3</w:t>
            </w:r>
            <w:r>
              <w:rPr>
                <w:rFonts w:cs="Times New Roman" w:hint="eastAsia"/>
                <w:color w:val="000000" w:themeColor="text1"/>
              </w:rPr>
              <w:t>4</w:t>
            </w:r>
          </w:p>
        </w:tc>
        <w:tc>
          <w:tcPr>
            <w:tcW w:w="430" w:type="pct"/>
            <w:vAlign w:val="center"/>
          </w:tcPr>
          <w:p w:rsidR="007C2403" w:rsidRDefault="00305B71">
            <w:pPr>
              <w:pStyle w:val="a0"/>
              <w:jc w:val="center"/>
              <w:rPr>
                <w:color w:val="000000" w:themeColor="text1"/>
              </w:rPr>
            </w:pPr>
            <w:r>
              <w:rPr>
                <w:rFonts w:cs="Times New Roman"/>
                <w:color w:val="000000" w:themeColor="text1"/>
              </w:rPr>
              <w:t>2.4</w:t>
            </w:r>
            <w:r>
              <w:rPr>
                <w:rFonts w:cs="Times New Roman" w:hint="eastAsia"/>
                <w:color w:val="000000" w:themeColor="text1"/>
              </w:rPr>
              <w:t>8</w:t>
            </w:r>
          </w:p>
        </w:tc>
        <w:tc>
          <w:tcPr>
            <w:tcW w:w="430" w:type="pct"/>
            <w:vAlign w:val="center"/>
          </w:tcPr>
          <w:p w:rsidR="007C2403" w:rsidRDefault="00305B71">
            <w:pPr>
              <w:pStyle w:val="a0"/>
              <w:jc w:val="center"/>
              <w:rPr>
                <w:color w:val="000000" w:themeColor="text1"/>
              </w:rPr>
            </w:pPr>
            <w:r>
              <w:rPr>
                <w:rFonts w:cs="Times New Roman"/>
                <w:color w:val="000000" w:themeColor="text1"/>
              </w:rPr>
              <w:t>2.</w:t>
            </w:r>
            <w:r>
              <w:rPr>
                <w:rFonts w:cs="Times New Roman" w:hint="eastAsia"/>
                <w:color w:val="000000" w:themeColor="text1"/>
              </w:rPr>
              <w:t>39</w:t>
            </w:r>
          </w:p>
        </w:tc>
        <w:tc>
          <w:tcPr>
            <w:tcW w:w="430" w:type="pct"/>
            <w:vAlign w:val="center"/>
          </w:tcPr>
          <w:p w:rsidR="007C2403" w:rsidRDefault="00305B71">
            <w:pPr>
              <w:pStyle w:val="a0"/>
              <w:jc w:val="center"/>
              <w:rPr>
                <w:color w:val="000000" w:themeColor="text1"/>
              </w:rPr>
            </w:pPr>
            <w:r>
              <w:rPr>
                <w:rFonts w:cs="Times New Roman"/>
                <w:color w:val="000000" w:themeColor="text1"/>
              </w:rPr>
              <w:t>2.</w:t>
            </w:r>
            <w:r>
              <w:rPr>
                <w:rFonts w:cs="Times New Roman" w:hint="eastAsia"/>
                <w:color w:val="000000" w:themeColor="text1"/>
              </w:rPr>
              <w:t>31</w:t>
            </w:r>
          </w:p>
        </w:tc>
      </w:tr>
      <w:tr w:rsidR="007C2403">
        <w:trPr>
          <w:trHeight w:val="567"/>
        </w:trPr>
        <w:tc>
          <w:tcPr>
            <w:tcW w:w="1244" w:type="pct"/>
            <w:vMerge w:val="restart"/>
            <w:tcBorders>
              <w:tl2br w:val="nil"/>
              <w:tr2bl w:val="nil"/>
            </w:tcBorders>
            <w:vAlign w:val="center"/>
          </w:tcPr>
          <w:p w:rsidR="007C2403" w:rsidRDefault="00305B71">
            <w:pPr>
              <w:pStyle w:val="a0"/>
              <w:jc w:val="center"/>
              <w:rPr>
                <w:color w:val="000000" w:themeColor="text1"/>
              </w:rPr>
            </w:pPr>
            <w:r>
              <w:rPr>
                <w:rFonts w:cs="Times New Roman" w:hint="eastAsia"/>
                <w:color w:val="000000" w:themeColor="text1"/>
              </w:rPr>
              <w:t>100 % steel slag replacement</w:t>
            </w:r>
          </w:p>
        </w:tc>
        <w:tc>
          <w:tcPr>
            <w:tcW w:w="2734" w:type="dxa"/>
            <w:tcBorders>
              <w:tl2br w:val="nil"/>
              <w:tr2bl w:val="nil"/>
            </w:tcBorders>
            <w:vAlign w:val="center"/>
          </w:tcPr>
          <w:p w:rsidR="007C2403" w:rsidRDefault="00305B71">
            <w:pPr>
              <w:pStyle w:val="a0"/>
              <w:jc w:val="center"/>
              <w:rPr>
                <w:color w:val="000000" w:themeColor="text1"/>
              </w:rPr>
            </w:pPr>
            <w:r>
              <w:rPr>
                <w:rFonts w:cs="Times New Roman" w:hint="eastAsia"/>
                <w:color w:val="000000" w:themeColor="text1"/>
              </w:rPr>
              <w:t>moisture content</w:t>
            </w:r>
            <w:r>
              <w:rPr>
                <w:rFonts w:cs="Times New Roman"/>
                <w:color w:val="000000" w:themeColor="text1"/>
              </w:rPr>
              <w:t>（</w:t>
            </w:r>
            <w:r>
              <w:rPr>
                <w:rFonts w:cs="Times New Roman"/>
                <w:color w:val="000000" w:themeColor="text1"/>
              </w:rPr>
              <w:t>%</w:t>
            </w:r>
            <w:r>
              <w:rPr>
                <w:rFonts w:cs="Times New Roman"/>
                <w:color w:val="000000" w:themeColor="text1"/>
              </w:rPr>
              <w:t>）</w:t>
            </w:r>
          </w:p>
        </w:tc>
        <w:tc>
          <w:tcPr>
            <w:tcW w:w="430" w:type="pct"/>
            <w:tcBorders>
              <w:tl2br w:val="nil"/>
              <w:tr2bl w:val="nil"/>
            </w:tcBorders>
            <w:vAlign w:val="center"/>
          </w:tcPr>
          <w:p w:rsidR="007C2403" w:rsidRDefault="00305B71">
            <w:pPr>
              <w:pStyle w:val="a0"/>
              <w:jc w:val="center"/>
              <w:rPr>
                <w:color w:val="000000" w:themeColor="text1"/>
              </w:rPr>
            </w:pPr>
            <w:r>
              <w:rPr>
                <w:rFonts w:cs="Times New Roman" w:hint="eastAsia"/>
                <w:color w:val="000000" w:themeColor="text1"/>
              </w:rPr>
              <w:t>3</w:t>
            </w:r>
            <w:r>
              <w:rPr>
                <w:rFonts w:cs="Times New Roman"/>
                <w:color w:val="000000" w:themeColor="text1"/>
              </w:rPr>
              <w:t>.</w:t>
            </w:r>
            <w:r>
              <w:rPr>
                <w:rFonts w:cs="Times New Roman" w:hint="eastAsia"/>
                <w:color w:val="000000" w:themeColor="text1"/>
              </w:rPr>
              <w:t>9</w:t>
            </w:r>
          </w:p>
        </w:tc>
        <w:tc>
          <w:tcPr>
            <w:tcW w:w="430" w:type="pct"/>
            <w:tcBorders>
              <w:tl2br w:val="nil"/>
              <w:tr2bl w:val="nil"/>
            </w:tcBorders>
            <w:vAlign w:val="center"/>
          </w:tcPr>
          <w:p w:rsidR="007C2403" w:rsidRDefault="00305B71">
            <w:pPr>
              <w:pStyle w:val="a0"/>
              <w:jc w:val="center"/>
              <w:rPr>
                <w:color w:val="000000" w:themeColor="text1"/>
              </w:rPr>
            </w:pPr>
            <w:r>
              <w:rPr>
                <w:rFonts w:cs="Times New Roman" w:hint="eastAsia"/>
                <w:color w:val="000000" w:themeColor="text1"/>
              </w:rPr>
              <w:t>4</w:t>
            </w:r>
            <w:r>
              <w:rPr>
                <w:rFonts w:cs="Times New Roman"/>
                <w:color w:val="000000" w:themeColor="text1"/>
              </w:rPr>
              <w:t>.</w:t>
            </w:r>
            <w:r>
              <w:rPr>
                <w:rFonts w:cs="Times New Roman" w:hint="eastAsia"/>
                <w:color w:val="000000" w:themeColor="text1"/>
              </w:rPr>
              <w:t>8</w:t>
            </w:r>
          </w:p>
        </w:tc>
        <w:tc>
          <w:tcPr>
            <w:tcW w:w="430" w:type="pct"/>
            <w:tcBorders>
              <w:tl2br w:val="nil"/>
              <w:tr2bl w:val="nil"/>
            </w:tcBorders>
            <w:vAlign w:val="center"/>
          </w:tcPr>
          <w:p w:rsidR="007C2403" w:rsidRDefault="00305B71">
            <w:pPr>
              <w:pStyle w:val="a0"/>
              <w:jc w:val="center"/>
              <w:rPr>
                <w:color w:val="000000" w:themeColor="text1"/>
              </w:rPr>
            </w:pPr>
            <w:r>
              <w:rPr>
                <w:rFonts w:cs="Times New Roman" w:hint="eastAsia"/>
                <w:color w:val="000000" w:themeColor="text1"/>
              </w:rPr>
              <w:t>6.1</w:t>
            </w:r>
          </w:p>
        </w:tc>
        <w:tc>
          <w:tcPr>
            <w:tcW w:w="430" w:type="pct"/>
            <w:tcBorders>
              <w:tl2br w:val="nil"/>
              <w:tr2bl w:val="nil"/>
            </w:tcBorders>
            <w:vAlign w:val="center"/>
          </w:tcPr>
          <w:p w:rsidR="007C2403" w:rsidRDefault="00305B71">
            <w:pPr>
              <w:pStyle w:val="a0"/>
              <w:jc w:val="center"/>
              <w:rPr>
                <w:color w:val="000000" w:themeColor="text1"/>
              </w:rPr>
            </w:pPr>
            <w:r>
              <w:rPr>
                <w:rFonts w:cs="Times New Roman"/>
                <w:color w:val="000000" w:themeColor="text1"/>
              </w:rPr>
              <w:t>6.</w:t>
            </w:r>
            <w:r>
              <w:rPr>
                <w:rFonts w:cs="Times New Roman" w:hint="eastAsia"/>
                <w:color w:val="000000" w:themeColor="text1"/>
              </w:rPr>
              <w:t>6</w:t>
            </w:r>
          </w:p>
        </w:tc>
        <w:tc>
          <w:tcPr>
            <w:tcW w:w="430" w:type="pct"/>
            <w:tcBorders>
              <w:tl2br w:val="nil"/>
              <w:tr2bl w:val="nil"/>
            </w:tcBorders>
            <w:vAlign w:val="center"/>
          </w:tcPr>
          <w:p w:rsidR="007C2403" w:rsidRDefault="00305B71">
            <w:pPr>
              <w:pStyle w:val="a0"/>
              <w:jc w:val="center"/>
              <w:rPr>
                <w:color w:val="000000" w:themeColor="text1"/>
              </w:rPr>
            </w:pPr>
            <w:r>
              <w:rPr>
                <w:rFonts w:cs="Times New Roman" w:hint="eastAsia"/>
                <w:color w:val="000000" w:themeColor="text1"/>
              </w:rPr>
              <w:t>7.4</w:t>
            </w:r>
          </w:p>
        </w:tc>
      </w:tr>
      <w:tr w:rsidR="007C2403">
        <w:trPr>
          <w:trHeight w:val="567"/>
        </w:trPr>
        <w:tc>
          <w:tcPr>
            <w:tcW w:w="1244" w:type="pct"/>
            <w:vMerge/>
            <w:tcBorders>
              <w:tl2br w:val="nil"/>
              <w:tr2bl w:val="nil"/>
            </w:tcBorders>
            <w:vAlign w:val="center"/>
          </w:tcPr>
          <w:p w:rsidR="007C2403" w:rsidRDefault="007C2403">
            <w:pPr>
              <w:pStyle w:val="a0"/>
              <w:jc w:val="center"/>
              <w:rPr>
                <w:color w:val="000000" w:themeColor="text1"/>
              </w:rPr>
            </w:pPr>
          </w:p>
        </w:tc>
        <w:tc>
          <w:tcPr>
            <w:tcW w:w="2734" w:type="dxa"/>
            <w:tcBorders>
              <w:tl2br w:val="nil"/>
              <w:tr2bl w:val="nil"/>
            </w:tcBorders>
            <w:vAlign w:val="center"/>
          </w:tcPr>
          <w:p w:rsidR="007C2403" w:rsidRDefault="00305B71">
            <w:pPr>
              <w:pStyle w:val="a0"/>
              <w:jc w:val="center"/>
              <w:rPr>
                <w:color w:val="000000" w:themeColor="text1"/>
              </w:rPr>
            </w:pPr>
            <w:r>
              <w:rPr>
                <w:rFonts w:cs="Times New Roman"/>
                <w:color w:val="000000" w:themeColor="text1"/>
              </w:rPr>
              <w:t>dry density</w:t>
            </w:r>
            <w:r>
              <w:rPr>
                <w:rFonts w:cs="Times New Roman"/>
                <w:color w:val="000000" w:themeColor="text1"/>
              </w:rPr>
              <w:t>（</w:t>
            </w:r>
            <w:r>
              <w:rPr>
                <w:rFonts w:cs="Times New Roman"/>
                <w:color w:val="000000" w:themeColor="text1"/>
              </w:rPr>
              <w:t>g/cm</w:t>
            </w:r>
            <w:r>
              <w:rPr>
                <w:rFonts w:cs="Times New Roman"/>
                <w:color w:val="000000" w:themeColor="text1"/>
                <w:vertAlign w:val="superscript"/>
              </w:rPr>
              <w:t>3</w:t>
            </w:r>
            <w:r>
              <w:rPr>
                <w:rFonts w:cs="Times New Roman"/>
                <w:color w:val="000000" w:themeColor="text1"/>
              </w:rPr>
              <w:t>）</w:t>
            </w:r>
          </w:p>
        </w:tc>
        <w:tc>
          <w:tcPr>
            <w:tcW w:w="430" w:type="pct"/>
            <w:tcBorders>
              <w:tl2br w:val="nil"/>
              <w:tr2bl w:val="nil"/>
            </w:tcBorders>
            <w:vAlign w:val="center"/>
          </w:tcPr>
          <w:p w:rsidR="007C2403" w:rsidRDefault="00305B71">
            <w:pPr>
              <w:pStyle w:val="a0"/>
              <w:jc w:val="center"/>
              <w:rPr>
                <w:color w:val="000000" w:themeColor="text1"/>
              </w:rPr>
            </w:pPr>
            <w:r>
              <w:rPr>
                <w:rFonts w:cs="Times New Roman"/>
                <w:color w:val="000000" w:themeColor="text1"/>
              </w:rPr>
              <w:t>2.</w:t>
            </w:r>
            <w:r>
              <w:rPr>
                <w:rFonts w:cs="Times New Roman" w:hint="eastAsia"/>
                <w:color w:val="000000" w:themeColor="text1"/>
              </w:rPr>
              <w:t>41</w:t>
            </w:r>
          </w:p>
        </w:tc>
        <w:tc>
          <w:tcPr>
            <w:tcW w:w="430" w:type="pct"/>
            <w:tcBorders>
              <w:tl2br w:val="nil"/>
              <w:tr2bl w:val="nil"/>
            </w:tcBorders>
            <w:vAlign w:val="center"/>
          </w:tcPr>
          <w:p w:rsidR="007C2403" w:rsidRDefault="00305B71">
            <w:pPr>
              <w:pStyle w:val="a0"/>
              <w:jc w:val="center"/>
              <w:rPr>
                <w:color w:val="000000" w:themeColor="text1"/>
              </w:rPr>
            </w:pPr>
            <w:r>
              <w:rPr>
                <w:rFonts w:cs="Times New Roman"/>
                <w:color w:val="000000" w:themeColor="text1"/>
              </w:rPr>
              <w:t>2.5</w:t>
            </w:r>
            <w:r>
              <w:rPr>
                <w:rFonts w:cs="Times New Roman" w:hint="eastAsia"/>
                <w:color w:val="000000" w:themeColor="text1"/>
              </w:rPr>
              <w:t>1</w:t>
            </w:r>
          </w:p>
        </w:tc>
        <w:tc>
          <w:tcPr>
            <w:tcW w:w="430" w:type="pct"/>
            <w:tcBorders>
              <w:tl2br w:val="nil"/>
              <w:tr2bl w:val="nil"/>
            </w:tcBorders>
            <w:vAlign w:val="center"/>
          </w:tcPr>
          <w:p w:rsidR="007C2403" w:rsidRDefault="00305B71">
            <w:pPr>
              <w:pStyle w:val="a0"/>
              <w:jc w:val="center"/>
              <w:rPr>
                <w:color w:val="000000" w:themeColor="text1"/>
              </w:rPr>
            </w:pPr>
            <w:r>
              <w:rPr>
                <w:rFonts w:cs="Times New Roman"/>
                <w:color w:val="000000" w:themeColor="text1"/>
              </w:rPr>
              <w:t>2.</w:t>
            </w:r>
            <w:r>
              <w:rPr>
                <w:rFonts w:cs="Times New Roman" w:hint="eastAsia"/>
                <w:color w:val="000000" w:themeColor="text1"/>
              </w:rPr>
              <w:t>59</w:t>
            </w:r>
          </w:p>
        </w:tc>
        <w:tc>
          <w:tcPr>
            <w:tcW w:w="430" w:type="pct"/>
            <w:tcBorders>
              <w:tl2br w:val="nil"/>
              <w:tr2bl w:val="nil"/>
            </w:tcBorders>
            <w:vAlign w:val="center"/>
          </w:tcPr>
          <w:p w:rsidR="007C2403" w:rsidRDefault="00305B71">
            <w:pPr>
              <w:pStyle w:val="a0"/>
              <w:jc w:val="center"/>
              <w:rPr>
                <w:color w:val="000000" w:themeColor="text1"/>
              </w:rPr>
            </w:pPr>
            <w:r>
              <w:rPr>
                <w:rFonts w:cs="Times New Roman"/>
                <w:color w:val="000000" w:themeColor="text1"/>
              </w:rPr>
              <w:t>2.</w:t>
            </w:r>
            <w:r>
              <w:rPr>
                <w:rFonts w:cs="Times New Roman" w:hint="eastAsia"/>
                <w:color w:val="000000" w:themeColor="text1"/>
              </w:rPr>
              <w:t>48</w:t>
            </w:r>
          </w:p>
        </w:tc>
        <w:tc>
          <w:tcPr>
            <w:tcW w:w="430" w:type="pct"/>
            <w:tcBorders>
              <w:tl2br w:val="nil"/>
              <w:tr2bl w:val="nil"/>
            </w:tcBorders>
            <w:vAlign w:val="center"/>
          </w:tcPr>
          <w:p w:rsidR="007C2403" w:rsidRDefault="00305B71">
            <w:pPr>
              <w:pStyle w:val="a0"/>
              <w:jc w:val="center"/>
              <w:rPr>
                <w:color w:val="000000" w:themeColor="text1"/>
              </w:rPr>
            </w:pPr>
            <w:r>
              <w:rPr>
                <w:rFonts w:cs="Times New Roman"/>
                <w:color w:val="000000" w:themeColor="text1"/>
              </w:rPr>
              <w:t>2.</w:t>
            </w:r>
            <w:r>
              <w:rPr>
                <w:rFonts w:cs="Times New Roman" w:hint="eastAsia"/>
                <w:color w:val="000000" w:themeColor="text1"/>
              </w:rPr>
              <w:t>43</w:t>
            </w:r>
          </w:p>
        </w:tc>
      </w:tr>
    </w:tbl>
    <w:p w:rsidR="007C2403" w:rsidRDefault="00305B71">
      <w:pPr>
        <w:wordWrap w:val="0"/>
        <w:ind w:firstLineChars="200" w:firstLine="420"/>
        <w:rPr>
          <w:rFonts w:eastAsia="SimSun" w:cs="Times New Roman"/>
          <w:kern w:val="2"/>
        </w:rPr>
      </w:pPr>
      <w:r>
        <w:rPr>
          <w:rFonts w:eastAsia="SimSun" w:cs="Times New Roman" w:hint="eastAsia"/>
          <w:kern w:val="2"/>
        </w:rPr>
        <w:t>As can be seen from Tables 1 to 5, the optimum moisture content (OMC) of the crushed stone with 5% geopolymer content is 5.6%, and the maximum dry density (MDD) is 2.48 g/cm</w:t>
      </w:r>
      <w:r>
        <w:rPr>
          <w:rFonts w:eastAsia="SimSun" w:cs="Times New Roman" w:hint="eastAsia"/>
          <w:kern w:val="2"/>
        </w:rPr>
        <w:t>³</w:t>
      </w:r>
      <w:r>
        <w:rPr>
          <w:rFonts w:eastAsia="SimSun" w:cs="Times New Roman" w:hint="eastAsia"/>
          <w:kern w:val="2"/>
        </w:rPr>
        <w:t>. For the steel slag stabilized with 5% geopolymer, the OMC is 6.1% and the MDD is 2.59 g/cm</w:t>
      </w:r>
      <w:r>
        <w:rPr>
          <w:rFonts w:eastAsia="SimSun" w:cs="Times New Roman" w:hint="eastAsia"/>
          <w:kern w:val="2"/>
        </w:rPr>
        <w:t>³</w:t>
      </w:r>
      <w:r>
        <w:rPr>
          <w:rFonts w:eastAsia="SimSun" w:cs="Times New Roman" w:hint="eastAsia"/>
          <w:kern w:val="2"/>
        </w:rPr>
        <w:t>. Under the same binder content and gradation conditions, the OMC and MDD of the geopolymer-stabilized crushed stone are both lower than those of the geopolymer-stabilized steel slag. This is because the incorporation of steel slag significantly affects the density and moisture characteristics of the base course material. The porous nature of steel slag requires more water to participate in the reaction, and its inherently higher density leads to a gradual increase in the dry density of the mixture. In the chemical reaction of the geopolymer, aluminosilicate materials readily undergo depolymerization-polycondensation with the geopolymer, forming a denser structure. As a result, the maximum dry density of the geopolymer-stabilized steel slag is further enhanced.</w:t>
      </w:r>
    </w:p>
    <w:p w:rsidR="007C2403" w:rsidRDefault="007C2403">
      <w:pPr>
        <w:wordWrap w:val="0"/>
        <w:ind w:firstLineChars="200" w:firstLine="420"/>
        <w:rPr>
          <w:rFonts w:eastAsia="SimSun" w:cs="Times New Roman"/>
          <w:kern w:val="2"/>
        </w:rPr>
      </w:pPr>
    </w:p>
    <w:p w:rsidR="007C2403" w:rsidRDefault="007C2403">
      <w:pPr>
        <w:wordWrap w:val="0"/>
        <w:ind w:firstLineChars="200" w:firstLine="420"/>
        <w:rPr>
          <w:rFonts w:eastAsia="SimSun" w:cs="Times New Roman"/>
          <w:kern w:val="2"/>
        </w:rPr>
      </w:pPr>
    </w:p>
    <w:p w:rsidR="007C2403" w:rsidRDefault="00305B71">
      <w:pPr>
        <w:wordWrap w:val="0"/>
        <w:ind w:firstLineChars="200" w:firstLine="562"/>
        <w:jc w:val="left"/>
        <w:rPr>
          <w:rFonts w:cs="Times New Roman"/>
          <w:b/>
          <w:bCs/>
          <w:sz w:val="36"/>
          <w:szCs w:val="36"/>
        </w:rPr>
      </w:pPr>
      <w:r>
        <w:rPr>
          <w:rFonts w:eastAsia="SimSun" w:cs="Times New Roman"/>
          <w:b/>
          <w:bCs/>
          <w:kern w:val="2"/>
          <w:sz w:val="28"/>
          <w:szCs w:val="28"/>
        </w:rPr>
        <w:t>Result &amp; discussion</w:t>
      </w:r>
    </w:p>
    <w:p w:rsidR="007C2403" w:rsidRDefault="00305B71">
      <w:pPr>
        <w:pStyle w:val="ListParagraph"/>
        <w:ind w:firstLineChars="0" w:firstLine="0"/>
        <w:rPr>
          <w:rFonts w:eastAsia="SimSun" w:cs="Times New Roman"/>
          <w:b/>
          <w:bCs/>
          <w:kern w:val="2"/>
          <w:sz w:val="28"/>
          <w:szCs w:val="28"/>
        </w:rPr>
      </w:pPr>
      <w:r>
        <w:rPr>
          <w:rFonts w:eastAsia="SimSun" w:cs="Times New Roman" w:hint="eastAsia"/>
          <w:b/>
          <w:bCs/>
          <w:kern w:val="2"/>
          <w:sz w:val="28"/>
          <w:szCs w:val="28"/>
        </w:rPr>
        <w:t xml:space="preserve">2 </w:t>
      </w:r>
      <w:proofErr w:type="spellStart"/>
      <w:r>
        <w:rPr>
          <w:rFonts w:eastAsia="SimSun" w:cs="Times New Roman" w:hint="eastAsia"/>
          <w:b/>
          <w:bCs/>
          <w:kern w:val="2"/>
          <w:sz w:val="28"/>
          <w:szCs w:val="28"/>
        </w:rPr>
        <w:t>Aest</w:t>
      </w:r>
      <w:proofErr w:type="spellEnd"/>
      <w:r>
        <w:rPr>
          <w:rFonts w:eastAsia="SimSun" w:cs="Times New Roman" w:hint="eastAsia"/>
          <w:b/>
          <w:bCs/>
          <w:kern w:val="2"/>
          <w:sz w:val="28"/>
          <w:szCs w:val="28"/>
        </w:rPr>
        <w:t xml:space="preserve"> result analysis</w:t>
      </w:r>
    </w:p>
    <w:p w:rsidR="007C2403" w:rsidRDefault="00305B71">
      <w:pPr>
        <w:rPr>
          <w:rFonts w:eastAsia="SimSun" w:cs="Times New Roman"/>
          <w:b/>
          <w:bCs/>
          <w:kern w:val="2"/>
        </w:rPr>
      </w:pPr>
      <w:r>
        <w:rPr>
          <w:rFonts w:eastAsia="SimSun" w:cs="Times New Roman" w:hint="eastAsia"/>
          <w:b/>
          <w:bCs/>
          <w:kern w:val="2"/>
        </w:rPr>
        <w:t>2.1Mortar strength test</w:t>
      </w:r>
    </w:p>
    <w:p w:rsidR="007C2403" w:rsidRDefault="00305B71">
      <w:pPr>
        <w:wordWrap w:val="0"/>
        <w:ind w:firstLineChars="200" w:firstLine="420"/>
        <w:rPr>
          <w:rFonts w:eastAsia="SimSun" w:cs="Times New Roman"/>
          <w:kern w:val="2"/>
        </w:rPr>
      </w:pPr>
      <w:r>
        <w:rPr>
          <w:rFonts w:eastAsia="SimSun" w:cs="Times New Roman"/>
          <w:kern w:val="2"/>
        </w:rPr>
        <w:lastRenderedPageBreak/>
        <w:t>Strength comparative tests were conducted on geopolymer mortar specimens and cement mortar specimens cured for 3, 7, and 28 days. The geopolymer was activated using an alkali activator with a sodium silicate modulus of 1.4, with a multi-solid-waste mixture of</w:t>
      </w:r>
      <w:r>
        <w:rPr>
          <w:rFonts w:eastAsia="SimSun" w:cs="Times New Roman" w:hint="eastAsia"/>
          <w:kern w:val="2"/>
        </w:rPr>
        <w:t xml:space="preserve"> </w:t>
      </w:r>
      <w:r>
        <w:rPr>
          <w:rFonts w:eastAsia="SimSun" w:cs="Times New Roman"/>
          <w:kern w:val="2"/>
        </w:rPr>
        <w:t>fly ash, ground granulated blast furnace slag, and red mud as the cementitious materials. For the control group, specimens were prepared using P·O 42.5 ordinary Portland cement. The aim was to investigate the feasibility and performance advantages of geopolymer cementitious materials in base course applications. Prior to testing, all instruments and equipment were rigorously inspected to ensure normal operation of the universal testing machine, stability of the control system, and accuracy of the data acquisition system. During specimen placement, care was taken to ensure the smooth surface faced upward and the specimen was properly aligned to avoid measurement errors caused by eccentric loading. After starting the testing machine, continuous loading was applied until specimen failure occurred. The maximum load value and failure mode were recorded, and the compressive and flexural strengths were calculated accordingly. The strength testing process is illustrated in Figure 2, and the experimental data are summarized in Table 6, including the average strength values of each group of specimens at different ages for subsequent comparative analysis and discussion.</w:t>
      </w:r>
    </w:p>
    <w:p w:rsidR="007C2403" w:rsidRDefault="007C2403">
      <w:pPr>
        <w:wordWrap w:val="0"/>
        <w:ind w:firstLineChars="200" w:firstLine="420"/>
        <w:rPr>
          <w:rFonts w:eastAsia="SimSun" w:cs="Times New Roman"/>
          <w:kern w:val="2"/>
        </w:rPr>
      </w:pPr>
    </w:p>
    <w:p w:rsidR="007C2403" w:rsidRDefault="00305B71">
      <w:pPr>
        <w:pStyle w:val="NormalIndent"/>
        <w:jc w:val="center"/>
        <w:rPr>
          <w:color w:val="000000" w:themeColor="text1"/>
        </w:rPr>
      </w:pPr>
      <w:r>
        <w:rPr>
          <w:noProof/>
          <w:color w:val="000000" w:themeColor="text1"/>
          <w:lang w:eastAsia="en-US"/>
        </w:rPr>
        <w:drawing>
          <wp:inline distT="0" distB="0" distL="114300" distR="114300">
            <wp:extent cx="3310255" cy="2480310"/>
            <wp:effectExtent l="0" t="0" r="635" b="6350"/>
            <wp:docPr id="11" name="图片 11" descr="微信图片_2023070701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707014623"/>
                    <pic:cNvPicPr>
                      <a:picLocks noChangeAspect="1"/>
                    </pic:cNvPicPr>
                  </pic:nvPicPr>
                  <pic:blipFill>
                    <a:blip r:embed="rId19"/>
                    <a:stretch>
                      <a:fillRect/>
                    </a:stretch>
                  </pic:blipFill>
                  <pic:spPr>
                    <a:xfrm>
                      <a:off x="0" y="0"/>
                      <a:ext cx="3310255" cy="2480310"/>
                    </a:xfrm>
                    <a:prstGeom prst="rect">
                      <a:avLst/>
                    </a:prstGeom>
                  </pic:spPr>
                </pic:pic>
              </a:graphicData>
            </a:graphic>
          </wp:inline>
        </w:drawing>
      </w:r>
    </w:p>
    <w:p w:rsidR="007C2403" w:rsidRDefault="00305B71">
      <w:pPr>
        <w:pStyle w:val="a"/>
        <w:spacing w:beforeLines="50" w:before="156"/>
      </w:pPr>
      <w:r>
        <w:t xml:space="preserve">Fig. </w:t>
      </w:r>
      <w:proofErr w:type="gramStart"/>
      <w:r>
        <w:t>2  Geopolymer</w:t>
      </w:r>
      <w:proofErr w:type="gramEnd"/>
      <w:r>
        <w:t xml:space="preserve"> strength test</w:t>
      </w:r>
    </w:p>
    <w:p w:rsidR="007C2403" w:rsidRDefault="00305B71">
      <w:pPr>
        <w:pStyle w:val="a"/>
        <w:spacing w:beforeLines="50" w:before="156"/>
      </w:pPr>
      <w:r>
        <w:t xml:space="preserve">Table </w:t>
      </w:r>
      <w:r>
        <w:rPr>
          <w:rFonts w:hint="eastAsia"/>
        </w:rPr>
        <w:t>6</w:t>
      </w:r>
      <w:r>
        <w:t>: Test results of geopolymer and cement strength at different ages</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8"/>
        <w:gridCol w:w="949"/>
        <w:gridCol w:w="1023"/>
        <w:gridCol w:w="1023"/>
        <w:gridCol w:w="1253"/>
        <w:gridCol w:w="1253"/>
        <w:gridCol w:w="1253"/>
      </w:tblGrid>
      <w:tr w:rsidR="007C2403">
        <w:trPr>
          <w:trHeight w:val="1099"/>
        </w:trPr>
        <w:tc>
          <w:tcPr>
            <w:tcW w:w="1036" w:type="pct"/>
            <w:tcBorders>
              <w:bottom w:val="single" w:sz="6" w:space="0" w:color="auto"/>
            </w:tcBorders>
            <w:vAlign w:val="center"/>
          </w:tcPr>
          <w:p w:rsidR="007C2403" w:rsidRDefault="00305B71">
            <w:pPr>
              <w:spacing w:line="360" w:lineRule="auto"/>
              <w:jc w:val="center"/>
              <w:rPr>
                <w:rFonts w:eastAsia="SimSun" w:cs="Times New Roman"/>
              </w:rPr>
            </w:pPr>
            <w:r>
              <w:rPr>
                <w:rFonts w:eastAsia="SimSun" w:cs="Times New Roman" w:hint="eastAsia"/>
              </w:rPr>
              <w:t>Material Type</w:t>
            </w:r>
          </w:p>
        </w:tc>
        <w:tc>
          <w:tcPr>
            <w:tcW w:w="556" w:type="pct"/>
            <w:tcBorders>
              <w:bottom w:val="single" w:sz="6" w:space="0" w:color="auto"/>
            </w:tcBorders>
            <w:vAlign w:val="center"/>
          </w:tcPr>
          <w:p w:rsidR="007C2403" w:rsidRDefault="00305B71">
            <w:pPr>
              <w:jc w:val="center"/>
              <w:rPr>
                <w:rFonts w:eastAsia="SimSun" w:cs="Times New Roman"/>
              </w:rPr>
            </w:pPr>
            <w:r>
              <w:rPr>
                <w:rFonts w:cs="Times New Roman" w:hint="eastAsia"/>
                <w:color w:val="000000" w:themeColor="text1"/>
              </w:rPr>
              <w:t>3-day flexural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600" w:type="pct"/>
            <w:tcBorders>
              <w:bottom w:val="single" w:sz="6" w:space="0" w:color="auto"/>
            </w:tcBorders>
            <w:vAlign w:val="center"/>
          </w:tcPr>
          <w:p w:rsidR="007C2403" w:rsidRDefault="00305B71">
            <w:pPr>
              <w:jc w:val="center"/>
              <w:rPr>
                <w:rFonts w:eastAsia="SimSun" w:cs="Times New Roman"/>
              </w:rPr>
            </w:pPr>
            <w:r>
              <w:rPr>
                <w:rFonts w:cs="Times New Roman" w:hint="eastAsia"/>
                <w:color w:val="000000" w:themeColor="text1"/>
              </w:rPr>
              <w:t>7-day flexural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600" w:type="pct"/>
            <w:tcBorders>
              <w:bottom w:val="single" w:sz="6" w:space="0" w:color="auto"/>
            </w:tcBorders>
            <w:vAlign w:val="center"/>
          </w:tcPr>
          <w:p w:rsidR="007C2403" w:rsidRDefault="00305B71">
            <w:pPr>
              <w:jc w:val="center"/>
              <w:rPr>
                <w:rFonts w:eastAsia="SimSun" w:cs="Times New Roman"/>
              </w:rPr>
            </w:pPr>
            <w:r>
              <w:rPr>
                <w:rFonts w:cs="Times New Roman" w:hint="eastAsia"/>
                <w:color w:val="000000" w:themeColor="text1"/>
              </w:rPr>
              <w:t>28-day flexural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735" w:type="pct"/>
            <w:tcBorders>
              <w:bottom w:val="single" w:sz="6" w:space="0" w:color="auto"/>
            </w:tcBorders>
            <w:vAlign w:val="center"/>
          </w:tcPr>
          <w:p w:rsidR="007C2403" w:rsidRDefault="00305B71">
            <w:pPr>
              <w:jc w:val="center"/>
              <w:rPr>
                <w:rFonts w:cs="Times New Roman"/>
              </w:rPr>
            </w:pPr>
            <w:r>
              <w:rPr>
                <w:rFonts w:cs="Times New Roman" w:hint="eastAsia"/>
                <w:color w:val="000000" w:themeColor="text1"/>
              </w:rPr>
              <w:t>3-day compressive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735" w:type="pct"/>
            <w:tcBorders>
              <w:bottom w:val="single" w:sz="6" w:space="0" w:color="auto"/>
            </w:tcBorders>
            <w:vAlign w:val="center"/>
          </w:tcPr>
          <w:p w:rsidR="007C2403" w:rsidRDefault="00305B71">
            <w:pPr>
              <w:jc w:val="center"/>
              <w:rPr>
                <w:rFonts w:cs="Times New Roman"/>
              </w:rPr>
            </w:pPr>
            <w:r>
              <w:rPr>
                <w:rFonts w:cs="Times New Roman" w:hint="eastAsia"/>
                <w:color w:val="000000" w:themeColor="text1"/>
              </w:rPr>
              <w:t>7-day compressive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735" w:type="pct"/>
            <w:tcBorders>
              <w:bottom w:val="single" w:sz="6" w:space="0" w:color="auto"/>
            </w:tcBorders>
            <w:vAlign w:val="center"/>
          </w:tcPr>
          <w:p w:rsidR="007C2403" w:rsidRDefault="00305B71">
            <w:pPr>
              <w:jc w:val="center"/>
              <w:rPr>
                <w:rFonts w:cs="Times New Roman"/>
              </w:rPr>
            </w:pPr>
            <w:r>
              <w:rPr>
                <w:rFonts w:cs="Times New Roman" w:hint="eastAsia"/>
                <w:color w:val="000000" w:themeColor="text1"/>
              </w:rPr>
              <w:t>28-day compressive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r>
      <w:tr w:rsidR="007C2403">
        <w:trPr>
          <w:trHeight w:val="936"/>
        </w:trPr>
        <w:tc>
          <w:tcPr>
            <w:tcW w:w="1036" w:type="pct"/>
            <w:tcBorders>
              <w:top w:val="single" w:sz="6" w:space="0" w:color="auto"/>
            </w:tcBorders>
            <w:vAlign w:val="center"/>
          </w:tcPr>
          <w:p w:rsidR="007C2403" w:rsidRDefault="00305B71">
            <w:pPr>
              <w:spacing w:line="360" w:lineRule="auto"/>
              <w:jc w:val="center"/>
              <w:rPr>
                <w:rFonts w:cs="Times New Roman"/>
              </w:rPr>
            </w:pPr>
            <w:r>
              <w:rPr>
                <w:rFonts w:cs="Times New Roman" w:hint="eastAsia"/>
              </w:rPr>
              <w:t>Multi-solid-waste geopolymer mortar specimen</w:t>
            </w:r>
          </w:p>
        </w:tc>
        <w:tc>
          <w:tcPr>
            <w:tcW w:w="556" w:type="pct"/>
            <w:tcBorders>
              <w:top w:val="single" w:sz="6" w:space="0" w:color="auto"/>
            </w:tcBorders>
            <w:vAlign w:val="center"/>
          </w:tcPr>
          <w:p w:rsidR="007C2403" w:rsidRDefault="00305B71">
            <w:pPr>
              <w:spacing w:line="360" w:lineRule="auto"/>
              <w:jc w:val="center"/>
              <w:rPr>
                <w:rFonts w:eastAsia="SimSun" w:cs="Times New Roman"/>
              </w:rPr>
            </w:pPr>
            <w:r>
              <w:rPr>
                <w:rFonts w:cs="Times New Roman" w:hint="eastAsia"/>
              </w:rPr>
              <w:t>5.3</w:t>
            </w:r>
          </w:p>
        </w:tc>
        <w:tc>
          <w:tcPr>
            <w:tcW w:w="600" w:type="pct"/>
            <w:tcBorders>
              <w:top w:val="single" w:sz="6" w:space="0" w:color="auto"/>
            </w:tcBorders>
            <w:vAlign w:val="center"/>
          </w:tcPr>
          <w:p w:rsidR="007C2403" w:rsidRDefault="00305B71">
            <w:pPr>
              <w:spacing w:line="360" w:lineRule="auto"/>
              <w:jc w:val="center"/>
              <w:rPr>
                <w:rFonts w:eastAsia="SimSun" w:cs="Times New Roman"/>
              </w:rPr>
            </w:pPr>
            <w:r>
              <w:rPr>
                <w:rFonts w:cs="Times New Roman" w:hint="eastAsia"/>
              </w:rPr>
              <w:t>6.8</w:t>
            </w:r>
          </w:p>
        </w:tc>
        <w:tc>
          <w:tcPr>
            <w:tcW w:w="600" w:type="pct"/>
            <w:tcBorders>
              <w:top w:val="single" w:sz="6" w:space="0" w:color="auto"/>
            </w:tcBorders>
            <w:vAlign w:val="center"/>
          </w:tcPr>
          <w:p w:rsidR="007C2403" w:rsidRDefault="00305B71">
            <w:pPr>
              <w:spacing w:line="360" w:lineRule="auto"/>
              <w:jc w:val="center"/>
              <w:rPr>
                <w:rFonts w:eastAsia="SimSun" w:cs="Times New Roman"/>
              </w:rPr>
            </w:pPr>
            <w:r>
              <w:rPr>
                <w:rFonts w:cs="Times New Roman" w:hint="eastAsia"/>
              </w:rPr>
              <w:t>9.3</w:t>
            </w:r>
          </w:p>
        </w:tc>
        <w:tc>
          <w:tcPr>
            <w:tcW w:w="735" w:type="pct"/>
            <w:tcBorders>
              <w:top w:val="single" w:sz="6" w:space="0" w:color="auto"/>
            </w:tcBorders>
            <w:vAlign w:val="center"/>
          </w:tcPr>
          <w:p w:rsidR="007C2403" w:rsidRDefault="00305B71">
            <w:pPr>
              <w:widowControl/>
              <w:spacing w:line="360" w:lineRule="auto"/>
              <w:jc w:val="center"/>
              <w:textAlignment w:val="center"/>
              <w:rPr>
                <w:rFonts w:cs="Times New Roman"/>
              </w:rPr>
            </w:pPr>
            <w:r>
              <w:rPr>
                <w:rFonts w:eastAsia="SimSun" w:cs="Times New Roman" w:hint="eastAsia"/>
                <w:color w:val="000000"/>
                <w:lang w:bidi="ar"/>
              </w:rPr>
              <w:t>28.1</w:t>
            </w:r>
          </w:p>
        </w:tc>
        <w:tc>
          <w:tcPr>
            <w:tcW w:w="735" w:type="pct"/>
            <w:tcBorders>
              <w:top w:val="single" w:sz="6" w:space="0" w:color="auto"/>
            </w:tcBorders>
            <w:vAlign w:val="center"/>
          </w:tcPr>
          <w:p w:rsidR="007C2403" w:rsidRDefault="00305B71">
            <w:pPr>
              <w:widowControl/>
              <w:spacing w:line="360" w:lineRule="auto"/>
              <w:jc w:val="center"/>
              <w:textAlignment w:val="center"/>
              <w:rPr>
                <w:rFonts w:cs="Times New Roman"/>
              </w:rPr>
            </w:pPr>
            <w:r>
              <w:rPr>
                <w:rFonts w:eastAsia="SimSun" w:cs="Times New Roman"/>
                <w:color w:val="000000"/>
                <w:lang w:bidi="ar"/>
              </w:rPr>
              <w:t>3</w:t>
            </w:r>
            <w:r>
              <w:rPr>
                <w:rFonts w:eastAsia="SimSun" w:cs="Times New Roman" w:hint="eastAsia"/>
                <w:color w:val="000000"/>
                <w:lang w:bidi="ar"/>
              </w:rPr>
              <w:t>6</w:t>
            </w:r>
            <w:r>
              <w:rPr>
                <w:rFonts w:eastAsia="SimSun" w:cs="Times New Roman"/>
                <w:color w:val="000000"/>
                <w:lang w:bidi="ar"/>
              </w:rPr>
              <w:t>.</w:t>
            </w:r>
            <w:r>
              <w:rPr>
                <w:rFonts w:eastAsia="SimSun" w:cs="Times New Roman" w:hint="eastAsia"/>
                <w:color w:val="000000"/>
                <w:lang w:bidi="ar"/>
              </w:rPr>
              <w:t>8</w:t>
            </w:r>
          </w:p>
        </w:tc>
        <w:tc>
          <w:tcPr>
            <w:tcW w:w="735" w:type="pct"/>
            <w:tcBorders>
              <w:top w:val="single" w:sz="6" w:space="0" w:color="auto"/>
            </w:tcBorders>
            <w:vAlign w:val="center"/>
          </w:tcPr>
          <w:p w:rsidR="007C2403" w:rsidRDefault="00305B71">
            <w:pPr>
              <w:widowControl/>
              <w:spacing w:line="360" w:lineRule="auto"/>
              <w:jc w:val="center"/>
              <w:textAlignment w:val="center"/>
              <w:rPr>
                <w:rFonts w:cs="Times New Roman"/>
              </w:rPr>
            </w:pPr>
            <w:r>
              <w:rPr>
                <w:rFonts w:eastAsia="SimSun" w:cs="Times New Roman"/>
                <w:color w:val="000000"/>
                <w:lang w:bidi="ar"/>
              </w:rPr>
              <w:t>4</w:t>
            </w:r>
            <w:r>
              <w:rPr>
                <w:rFonts w:eastAsia="SimSun" w:cs="Times New Roman" w:hint="eastAsia"/>
                <w:color w:val="000000"/>
                <w:lang w:bidi="ar"/>
              </w:rPr>
              <w:t>3</w:t>
            </w:r>
            <w:r>
              <w:rPr>
                <w:rFonts w:eastAsia="SimSun" w:cs="Times New Roman"/>
                <w:color w:val="000000"/>
                <w:lang w:bidi="ar"/>
              </w:rPr>
              <w:t>.</w:t>
            </w:r>
            <w:r>
              <w:rPr>
                <w:rFonts w:eastAsia="SimSun" w:cs="Times New Roman" w:hint="eastAsia"/>
                <w:color w:val="000000"/>
                <w:lang w:bidi="ar"/>
              </w:rPr>
              <w:t>7</w:t>
            </w:r>
          </w:p>
        </w:tc>
      </w:tr>
      <w:tr w:rsidR="007C2403">
        <w:trPr>
          <w:trHeight w:val="936"/>
        </w:trPr>
        <w:tc>
          <w:tcPr>
            <w:tcW w:w="1036" w:type="pct"/>
            <w:tcBorders>
              <w:tl2br w:val="nil"/>
              <w:tr2bl w:val="nil"/>
            </w:tcBorders>
            <w:vAlign w:val="center"/>
          </w:tcPr>
          <w:p w:rsidR="007C2403" w:rsidRDefault="00305B71">
            <w:pPr>
              <w:spacing w:line="360" w:lineRule="auto"/>
              <w:jc w:val="center"/>
              <w:rPr>
                <w:rFonts w:cs="Times New Roman"/>
              </w:rPr>
            </w:pPr>
            <w:r>
              <w:rPr>
                <w:rFonts w:cs="Times New Roman" w:hint="eastAsia"/>
              </w:rPr>
              <w:lastRenderedPageBreak/>
              <w:t>Geopolymer-stabilized steel slag</w:t>
            </w:r>
          </w:p>
        </w:tc>
        <w:tc>
          <w:tcPr>
            <w:tcW w:w="556" w:type="pct"/>
            <w:tcBorders>
              <w:tl2br w:val="nil"/>
              <w:tr2bl w:val="nil"/>
            </w:tcBorders>
            <w:vAlign w:val="center"/>
          </w:tcPr>
          <w:p w:rsidR="007C2403" w:rsidRDefault="00305B71">
            <w:pPr>
              <w:spacing w:line="360" w:lineRule="auto"/>
              <w:jc w:val="center"/>
              <w:rPr>
                <w:rFonts w:eastAsia="SimSun" w:cs="Times New Roman"/>
              </w:rPr>
            </w:pPr>
            <w:r>
              <w:rPr>
                <w:rFonts w:cs="Times New Roman" w:hint="eastAsia"/>
              </w:rPr>
              <w:t>4.5</w:t>
            </w:r>
          </w:p>
        </w:tc>
        <w:tc>
          <w:tcPr>
            <w:tcW w:w="600" w:type="pct"/>
            <w:tcBorders>
              <w:tl2br w:val="nil"/>
              <w:tr2bl w:val="nil"/>
            </w:tcBorders>
            <w:vAlign w:val="center"/>
          </w:tcPr>
          <w:p w:rsidR="007C2403" w:rsidRDefault="00305B71">
            <w:pPr>
              <w:spacing w:line="360" w:lineRule="auto"/>
              <w:jc w:val="center"/>
              <w:rPr>
                <w:rFonts w:eastAsia="SimSun" w:cs="Times New Roman"/>
              </w:rPr>
            </w:pPr>
            <w:r>
              <w:rPr>
                <w:rFonts w:cs="Times New Roman" w:hint="eastAsia"/>
              </w:rPr>
              <w:t>6.1</w:t>
            </w:r>
          </w:p>
        </w:tc>
        <w:tc>
          <w:tcPr>
            <w:tcW w:w="600" w:type="pct"/>
            <w:tcBorders>
              <w:tl2br w:val="nil"/>
              <w:tr2bl w:val="nil"/>
            </w:tcBorders>
            <w:vAlign w:val="center"/>
          </w:tcPr>
          <w:p w:rsidR="007C2403" w:rsidRDefault="00305B71">
            <w:pPr>
              <w:spacing w:line="360" w:lineRule="auto"/>
              <w:jc w:val="center"/>
              <w:rPr>
                <w:rFonts w:eastAsia="SimSun" w:cs="Times New Roman"/>
              </w:rPr>
            </w:pPr>
            <w:r>
              <w:rPr>
                <w:rFonts w:cs="Times New Roman" w:hint="eastAsia"/>
              </w:rPr>
              <w:t>7.8</w:t>
            </w:r>
          </w:p>
        </w:tc>
        <w:tc>
          <w:tcPr>
            <w:tcW w:w="735" w:type="pct"/>
            <w:tcBorders>
              <w:tl2br w:val="nil"/>
              <w:tr2bl w:val="nil"/>
            </w:tcBorders>
            <w:vAlign w:val="center"/>
          </w:tcPr>
          <w:p w:rsidR="007C2403" w:rsidRDefault="00305B71">
            <w:pPr>
              <w:widowControl/>
              <w:spacing w:line="360" w:lineRule="auto"/>
              <w:jc w:val="center"/>
              <w:textAlignment w:val="center"/>
              <w:rPr>
                <w:rFonts w:cs="Times New Roman"/>
              </w:rPr>
            </w:pPr>
            <w:r>
              <w:rPr>
                <w:rFonts w:eastAsia="SimSun" w:cs="Times New Roman" w:hint="eastAsia"/>
                <w:color w:val="000000"/>
                <w:lang w:bidi="ar"/>
              </w:rPr>
              <w:t>23.4</w:t>
            </w:r>
          </w:p>
        </w:tc>
        <w:tc>
          <w:tcPr>
            <w:tcW w:w="735" w:type="pct"/>
            <w:tcBorders>
              <w:tl2br w:val="nil"/>
              <w:tr2bl w:val="nil"/>
            </w:tcBorders>
            <w:vAlign w:val="center"/>
          </w:tcPr>
          <w:p w:rsidR="007C2403" w:rsidRDefault="00305B71">
            <w:pPr>
              <w:widowControl/>
              <w:spacing w:line="360" w:lineRule="auto"/>
              <w:jc w:val="center"/>
              <w:textAlignment w:val="center"/>
              <w:rPr>
                <w:rFonts w:cs="Times New Roman"/>
              </w:rPr>
            </w:pPr>
            <w:r>
              <w:rPr>
                <w:rFonts w:eastAsia="SimSun" w:cs="Times New Roman" w:hint="eastAsia"/>
                <w:color w:val="000000"/>
                <w:lang w:bidi="ar"/>
              </w:rPr>
              <w:t>33.7</w:t>
            </w:r>
          </w:p>
        </w:tc>
        <w:tc>
          <w:tcPr>
            <w:tcW w:w="735" w:type="pct"/>
            <w:tcBorders>
              <w:tl2br w:val="nil"/>
              <w:tr2bl w:val="nil"/>
            </w:tcBorders>
            <w:vAlign w:val="center"/>
          </w:tcPr>
          <w:p w:rsidR="007C2403" w:rsidRDefault="00305B71">
            <w:pPr>
              <w:widowControl/>
              <w:spacing w:line="360" w:lineRule="auto"/>
              <w:jc w:val="center"/>
              <w:textAlignment w:val="center"/>
              <w:rPr>
                <w:rFonts w:cs="Times New Roman"/>
              </w:rPr>
            </w:pPr>
            <w:r>
              <w:rPr>
                <w:rFonts w:cs="Times New Roman"/>
                <w:color w:val="000000"/>
                <w:lang w:bidi="ar"/>
              </w:rPr>
              <w:t>4</w:t>
            </w:r>
            <w:r>
              <w:rPr>
                <w:rFonts w:cs="Times New Roman" w:hint="eastAsia"/>
                <w:color w:val="000000"/>
                <w:lang w:bidi="ar"/>
              </w:rPr>
              <w:t>6</w:t>
            </w:r>
            <w:r>
              <w:rPr>
                <w:rFonts w:cs="Times New Roman"/>
                <w:color w:val="000000"/>
                <w:lang w:bidi="ar"/>
              </w:rPr>
              <w:t>.</w:t>
            </w:r>
            <w:r>
              <w:rPr>
                <w:rFonts w:cs="Times New Roman" w:hint="eastAsia"/>
                <w:color w:val="000000"/>
                <w:lang w:bidi="ar"/>
              </w:rPr>
              <w:t>2</w:t>
            </w:r>
          </w:p>
        </w:tc>
      </w:tr>
    </w:tbl>
    <w:p w:rsidR="007C2403" w:rsidRDefault="00305B71">
      <w:pPr>
        <w:wordWrap w:val="0"/>
        <w:ind w:firstLineChars="200" w:firstLine="420"/>
        <w:rPr>
          <w:rFonts w:eastAsia="SimSun" w:cs="Times New Roman"/>
          <w:kern w:val="2"/>
        </w:rPr>
      </w:pPr>
      <w:r>
        <w:rPr>
          <w:rFonts w:eastAsia="SimSun" w:cs="Times New Roman" w:hint="eastAsia"/>
          <w:kern w:val="2"/>
        </w:rPr>
        <w:t xml:space="preserve">Data analysis indicates that the early-age strength of geopolymer mortar specimens is higher than that of cement mortar specimens, which can be attributed to the faster reaction rate of </w:t>
      </w:r>
      <w:proofErr w:type="spellStart"/>
      <w:r>
        <w:rPr>
          <w:rFonts w:eastAsia="SimSun" w:cs="Times New Roman" w:hint="eastAsia"/>
          <w:kern w:val="2"/>
        </w:rPr>
        <w:t>geopolymerization</w:t>
      </w:r>
      <w:proofErr w:type="spellEnd"/>
      <w:r>
        <w:rPr>
          <w:rFonts w:eastAsia="SimSun" w:cs="Times New Roman" w:hint="eastAsia"/>
          <w:kern w:val="2"/>
        </w:rPr>
        <w:t>. In contrast, the early strength of cement mortar primarily relies on the hydration of cement clinker, which proceeds at a relatively slower pace. Although the strength development of geopolymer mortar tends to slow in later stages, it continues to increase and remains sufficient to meet design requirements. The strength growth of cement mortar, on the other hand, is more gradual and typically reaches the design strength at 28 days. After 28 days, the strength of cement mortar exceeds that of geopolymer mortar. The performance of cement mortar is more dependent on the properties of the cement itself, the water-cement ratio, and standard curing conditions. Multi-solid-waste geopolymer enables large-scale utilization of industrial solid wastes such as fly ash, slag, and red mud, thereby reducing environmental pollution. Its production process does not require high-temperature calcination, as is necessary for cement clinker, resulting in lower energy consumption and carbon emissions compared to conventional cement. This gives it significant environmental advantages</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_Ref14770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[17]</w:t>
      </w:r>
      <w:r>
        <w:rPr>
          <w:rFonts w:eastAsia="SimSun" w:cs="Times New Roman" w:hint="eastAsia"/>
          <w:kern w:val="2"/>
          <w:vertAlign w:val="superscript"/>
        </w:rPr>
        <w:fldChar w:fldCharType="end"/>
      </w:r>
      <w:r>
        <w:rPr>
          <w:rFonts w:eastAsia="SimSun" w:cs="Times New Roman" w:hint="eastAsia"/>
          <w:kern w:val="2"/>
        </w:rPr>
        <w:t>. Based on the above analysis, geopolymer cementitious materials demonstrate clear practical advantages as a substitute for cement.</w:t>
      </w:r>
    </w:p>
    <w:p w:rsidR="007C2403" w:rsidRDefault="00305B71">
      <w:pPr>
        <w:rPr>
          <w:rFonts w:eastAsia="SimSun" w:cs="Times New Roman"/>
          <w:b/>
          <w:bCs/>
          <w:kern w:val="2"/>
        </w:rPr>
      </w:pPr>
      <w:r>
        <w:rPr>
          <w:rFonts w:eastAsia="SimSun" w:cs="Times New Roman" w:hint="eastAsia"/>
          <w:b/>
          <w:bCs/>
          <w:kern w:val="2"/>
        </w:rPr>
        <w:t>2.2 Unconfined Compressive Strength Test</w:t>
      </w:r>
    </w:p>
    <w:p w:rsidR="007C2403" w:rsidRDefault="00305B71">
      <w:pPr>
        <w:wordWrap w:val="0"/>
        <w:ind w:firstLineChars="200" w:firstLine="420"/>
        <w:rPr>
          <w:rFonts w:cs="Times New Roman"/>
          <w:sz w:val="24"/>
          <w:szCs w:val="24"/>
        </w:rPr>
      </w:pPr>
      <w:r>
        <w:rPr>
          <w:rFonts w:eastAsia="SimSun" w:cs="Times New Roman" w:hint="eastAsia"/>
          <w:kern w:val="2"/>
        </w:rPr>
        <w:t>Following the specimen preparation method specified in standard JTG 3441-2024</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_Ref14819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[20]</w:t>
      </w:r>
      <w:r>
        <w:rPr>
          <w:rFonts w:eastAsia="SimSun" w:cs="Times New Roman" w:hint="eastAsia"/>
          <w:kern w:val="2"/>
          <w:vertAlign w:val="superscript"/>
        </w:rPr>
        <w:fldChar w:fldCharType="end"/>
      </w:r>
      <w:r>
        <w:rPr>
          <w:rFonts w:eastAsia="SimSun" w:cs="Times New Roman" w:hint="eastAsia"/>
          <w:kern w:val="2"/>
        </w:rPr>
        <w:t>, this study designed unconfined compressive strength tests for 7 days, 28 days, and 90 days, with geopolymer-stabilized crushed stone set as the control group. A comparative analysis of the mechanical properties of the two base course materials at different curing ages was conducted. The prepared mixture was placed into a mold measuring 150 mm in diameter</w:t>
      </w:r>
      <w:r>
        <w:rPr>
          <w:rFonts w:eastAsia="SimSun" w:cs="Times New Roman" w:hint="eastAsia"/>
          <w:kern w:val="2"/>
        </w:rPr>
        <w:t>×</w:t>
      </w:r>
      <w:r>
        <w:rPr>
          <w:rFonts w:eastAsia="SimSun" w:cs="Times New Roman" w:hint="eastAsia"/>
          <w:kern w:val="2"/>
        </w:rPr>
        <w:t>150 mm in height, with the material added in at least three separate layers. Each layer was thoroughly vibrated or compacted. The final layer was filled to approximately 2 cm below the top of the mold. A jack reaction frame system was then used to apply sufficient compression until no further volume change occurred. The pressure was maintained for 2 minutes before release. After 6 hours, the specimen was demolded using an extruder and immediately wrapped in plastic film. The wrapped specimens were subsequently cured under standard conditions at a temperature of 20</w:t>
      </w:r>
      <w:r>
        <w:rPr>
          <w:rFonts w:eastAsia="SimSun" w:cs="Times New Roman" w:hint="eastAsia"/>
          <w:kern w:val="2"/>
        </w:rPr>
        <w:t> °</w:t>
      </w:r>
      <w:r>
        <w:rPr>
          <w:rFonts w:eastAsia="SimSun" w:cs="Times New Roman" w:hint="eastAsia"/>
          <w:kern w:val="2"/>
        </w:rPr>
        <w:t>C</w:t>
      </w:r>
      <w:r>
        <w:rPr>
          <w:rFonts w:eastAsia="SimSun" w:cs="Times New Roman" w:hint="eastAsia"/>
          <w:kern w:val="2"/>
        </w:rPr>
        <w:t>±</w:t>
      </w:r>
      <w:r>
        <w:rPr>
          <w:rFonts w:eastAsia="SimSun" w:cs="Times New Roman" w:hint="eastAsia"/>
          <w:kern w:val="2"/>
        </w:rPr>
        <w:t>2</w:t>
      </w:r>
      <w:r>
        <w:rPr>
          <w:rFonts w:eastAsia="SimSun" w:cs="Times New Roman" w:hint="eastAsia"/>
          <w:kern w:val="2"/>
        </w:rPr>
        <w:t> °</w:t>
      </w:r>
      <w:r>
        <w:rPr>
          <w:rFonts w:eastAsia="SimSun" w:cs="Times New Roman" w:hint="eastAsia"/>
          <w:kern w:val="2"/>
        </w:rPr>
        <w:t xml:space="preserve">C and a relative humidity of </w:t>
      </w:r>
      <w:r>
        <w:rPr>
          <w:rFonts w:eastAsia="SimSun" w:cs="Times New Roman" w:hint="eastAsia"/>
          <w:kern w:val="2"/>
        </w:rPr>
        <w:t>≥</w:t>
      </w:r>
      <w:r>
        <w:rPr>
          <w:rFonts w:eastAsia="SimSun" w:cs="Times New Roman" w:hint="eastAsia"/>
          <w:kern w:val="2"/>
        </w:rPr>
        <w:t>95%.</w:t>
      </w:r>
      <w:r>
        <w:rPr>
          <w:rFonts w:cs="Times New Roman" w:hint="eastAsia"/>
          <w:sz w:val="24"/>
          <w:szCs w:val="24"/>
        </w:rPr>
        <w:t xml:space="preserve"> The unconfined compressive strength of the specimens was calculated using Equation (2-1):</w:t>
      </w:r>
    </w:p>
    <w:tbl>
      <w:tblPr>
        <w:tblStyle w:val="TableGrid"/>
        <w:tblW w:w="9060" w:type="dxa"/>
        <w:tblInd w:w="120" w:type="dxa"/>
        <w:tblLayout w:type="fixed"/>
        <w:tblLook w:val="04A0" w:firstRow="1" w:lastRow="0" w:firstColumn="1" w:lastColumn="0" w:noHBand="0" w:noVBand="1"/>
      </w:tblPr>
      <w:tblGrid>
        <w:gridCol w:w="1530"/>
        <w:gridCol w:w="5700"/>
        <w:gridCol w:w="1830"/>
      </w:tblGrid>
      <w:tr w:rsidR="007C2403">
        <w:tc>
          <w:tcPr>
            <w:tcW w:w="1530" w:type="dxa"/>
            <w:tcBorders>
              <w:top w:val="nil"/>
              <w:left w:val="nil"/>
              <w:bottom w:val="nil"/>
              <w:right w:val="nil"/>
            </w:tcBorders>
          </w:tcPr>
          <w:p w:rsidR="007C2403" w:rsidRDefault="007C2403">
            <w:pPr>
              <w:jc w:val="center"/>
              <w:rPr>
                <w:rFonts w:ascii="Cambria Math" w:hAnsi="Cambria Math" w:cs="Times New Roman"/>
                <w:color w:val="000000" w:themeColor="text1"/>
                <w:kern w:val="2"/>
                <w:sz w:val="24"/>
                <w:szCs w:val="22"/>
              </w:rPr>
            </w:pPr>
          </w:p>
        </w:tc>
        <w:tc>
          <w:tcPr>
            <w:tcW w:w="5700" w:type="dxa"/>
            <w:tcBorders>
              <w:top w:val="nil"/>
              <w:left w:val="nil"/>
              <w:bottom w:val="nil"/>
              <w:right w:val="nil"/>
            </w:tcBorders>
          </w:tcPr>
          <w:p w:rsidR="007C2403" w:rsidRDefault="00305B71">
            <w:pPr>
              <w:jc w:val="center"/>
              <w:rPr>
                <w:rFonts w:ascii="Cambria Math" w:hAnsi="Cambria Math" w:cs="Times New Roman"/>
                <w:color w:val="000000" w:themeColor="text1"/>
                <w:kern w:val="2"/>
                <w:sz w:val="24"/>
                <w:szCs w:val="22"/>
              </w:rPr>
            </w:pPr>
            <w:r>
              <w:rPr>
                <w:rFonts w:ascii="Cambria Math" w:hAnsi="Cambria Math" w:cs="Times New Roman"/>
                <w:color w:val="000000" w:themeColor="text1"/>
                <w:kern w:val="2"/>
                <w:position w:val="-24"/>
                <w:sz w:val="24"/>
                <w:szCs w:val="22"/>
              </w:rPr>
              <w:object w:dxaOrig="767" w:dyaOrig="617" w14:anchorId="3991DBEA">
                <v:shape id="_x0000_i1027" type="#_x0000_t75" style="width:38.3pt;height:30.4pt" o:ole="">
                  <v:imagedata r:id="rId20" o:title=""/>
                </v:shape>
                <o:OLEObject Type="Embed" ProgID="Equation.3" ShapeID="_x0000_i1027" DrawAspect="Content" ObjectID="_1819890433" r:id="rId21"/>
              </w:object>
            </w:r>
          </w:p>
        </w:tc>
        <w:tc>
          <w:tcPr>
            <w:tcW w:w="1830" w:type="dxa"/>
            <w:tcBorders>
              <w:top w:val="nil"/>
              <w:left w:val="nil"/>
              <w:bottom w:val="nil"/>
              <w:right w:val="nil"/>
            </w:tcBorders>
            <w:vAlign w:val="center"/>
          </w:tcPr>
          <w:p w:rsidR="007C2403" w:rsidRDefault="00305B71">
            <w:pPr>
              <w:jc w:val="right"/>
              <w:rPr>
                <w:rFonts w:ascii="Cambria Math" w:hAnsi="Cambria Math" w:cs="Times New Roman"/>
                <w:color w:val="000000" w:themeColor="text1"/>
                <w:kern w:val="2"/>
                <w:sz w:val="24"/>
                <w:szCs w:val="22"/>
              </w:rPr>
            </w:pPr>
            <w:r>
              <w:rPr>
                <w:rFonts w:cs="Times New Roman"/>
                <w:color w:val="000000" w:themeColor="text1"/>
                <w:kern w:val="2"/>
              </w:rPr>
              <w:t>（</w:t>
            </w:r>
            <w:r>
              <w:rPr>
                <w:rFonts w:cs="Times New Roman" w:hint="eastAsia"/>
                <w:color w:val="000000" w:themeColor="text1"/>
                <w:kern w:val="2"/>
              </w:rPr>
              <w:t>2</w:t>
            </w:r>
            <w:r>
              <w:rPr>
                <w:rFonts w:cs="Times New Roman"/>
                <w:color w:val="000000" w:themeColor="text1"/>
                <w:kern w:val="2"/>
              </w:rPr>
              <w:t>-</w:t>
            </w:r>
            <w:r>
              <w:rPr>
                <w:rFonts w:cs="Times New Roman" w:hint="eastAsia"/>
                <w:color w:val="000000" w:themeColor="text1"/>
                <w:kern w:val="2"/>
              </w:rPr>
              <w:t>1</w:t>
            </w:r>
            <w:r>
              <w:rPr>
                <w:rFonts w:cs="Times New Roman"/>
                <w:color w:val="000000" w:themeColor="text1"/>
                <w:kern w:val="2"/>
              </w:rPr>
              <w:t>）</w:t>
            </w:r>
          </w:p>
        </w:tc>
      </w:tr>
    </w:tbl>
    <w:p w:rsidR="007C2403" w:rsidRDefault="00305B71">
      <w:pPr>
        <w:spacing w:beforeLines="50" w:before="156" w:line="300" w:lineRule="auto"/>
        <w:ind w:firstLineChars="200" w:firstLine="480"/>
        <w:rPr>
          <w:rFonts w:cs="Times New Roman"/>
          <w:sz w:val="24"/>
          <w:szCs w:val="24"/>
        </w:rPr>
      </w:pPr>
      <w:r>
        <w:rPr>
          <w:rFonts w:cs="Times New Roman"/>
          <w:sz w:val="24"/>
          <w:szCs w:val="24"/>
        </w:rPr>
        <w:t xml:space="preserve">Where: </w:t>
      </w:r>
      <m:oMath>
        <m:sSub>
          <m:sSubPr>
            <m:ctrlPr>
              <w:rPr>
                <w:rFonts w:ascii="Cambria Math" w:hAnsi="Cambria Math" w:cs="Times New Roman" w:hint="eastAsia"/>
                <w:sz w:val="24"/>
                <w:szCs w:val="24"/>
              </w:rPr>
            </m:ctrlPr>
          </m:sSubPr>
          <m:e>
            <m:r>
              <m:rPr>
                <m:sty m:val="p"/>
              </m:rPr>
              <w:rPr>
                <w:rFonts w:ascii="Cambria Math" w:hAnsi="Cambria Math" w:cs="Times New Roman" w:hint="eastAsia"/>
                <w:sz w:val="24"/>
                <w:szCs w:val="24"/>
              </w:rPr>
              <m:t>R</m:t>
            </m:r>
          </m:e>
          <m:sub>
            <m:r>
              <m:rPr>
                <m:sty m:val="p"/>
              </m:rPr>
              <w:rPr>
                <w:rFonts w:ascii="Cambria Math" w:hAnsi="Cambria Math" w:cs="Times New Roman"/>
                <w:sz w:val="24"/>
                <w:szCs w:val="24"/>
              </w:rPr>
              <m:t>c</m:t>
            </m:r>
          </m:sub>
        </m:sSub>
      </m:oMath>
      <w:r>
        <w:rPr>
          <w:rFonts w:cs="Times New Roman" w:hint="eastAsia"/>
          <w:sz w:val="24"/>
          <w:szCs w:val="24"/>
        </w:rPr>
        <w:t>——</w:t>
      </w:r>
      <w:r>
        <w:rPr>
          <w:rFonts w:eastAsia="SimSun" w:cs="Times New Roman" w:hint="eastAsia"/>
          <w:kern w:val="2"/>
        </w:rPr>
        <w:t>Unconfined Compressive Strength of Specimens</w:t>
      </w:r>
      <w:r>
        <w:rPr>
          <w:rFonts w:cs="Times New Roman" w:hint="eastAsia"/>
          <w:sz w:val="24"/>
          <w:szCs w:val="24"/>
        </w:rPr>
        <w:t>（</w:t>
      </w:r>
      <w:r>
        <w:rPr>
          <w:rFonts w:cs="Times New Roman"/>
          <w:sz w:val="24"/>
          <w:szCs w:val="24"/>
        </w:rPr>
        <w:t>MPa</w:t>
      </w:r>
      <w:r>
        <w:rPr>
          <w:rFonts w:cs="Times New Roman" w:hint="eastAsia"/>
          <w:sz w:val="24"/>
          <w:szCs w:val="24"/>
        </w:rPr>
        <w:t>）；</w:t>
      </w:r>
    </w:p>
    <w:p w:rsidR="007C2403" w:rsidRDefault="00305B71">
      <w:pPr>
        <w:spacing w:beforeLines="50" w:before="156" w:line="300" w:lineRule="auto"/>
        <w:ind w:firstLineChars="200" w:firstLine="480"/>
        <w:rPr>
          <w:rFonts w:cs="Times New Roman"/>
          <w:sz w:val="24"/>
          <w:szCs w:val="24"/>
        </w:rPr>
      </w:pPr>
      <w:r>
        <w:rPr>
          <w:rFonts w:cs="Times New Roman" w:hint="eastAsia"/>
          <w:sz w:val="24"/>
          <w:szCs w:val="24"/>
        </w:rPr>
        <w:t xml:space="preserve">          </w:t>
      </w:r>
      <m:oMath>
        <m:r>
          <m:rPr>
            <m:sty m:val="p"/>
          </m:rPr>
          <w:rPr>
            <w:rFonts w:ascii="Cambria Math" w:hAnsi="Cambria Math" w:cs="Times New Roman" w:hint="eastAsia"/>
            <w:sz w:val="24"/>
            <w:szCs w:val="24"/>
          </w:rPr>
          <m:t>P</m:t>
        </m:r>
      </m:oMath>
      <w:r>
        <w:rPr>
          <w:rFonts w:cs="Times New Roman" w:hint="eastAsia"/>
          <w:sz w:val="24"/>
          <w:szCs w:val="24"/>
        </w:rPr>
        <w:t>——</w:t>
      </w:r>
      <w:r>
        <w:rPr>
          <w:rFonts w:eastAsia="SimSun" w:cs="Times New Roman" w:hint="eastAsia"/>
          <w:kern w:val="2"/>
        </w:rPr>
        <w:t>Maximum Load at Failure</w:t>
      </w:r>
      <w:r>
        <w:rPr>
          <w:rFonts w:cs="Times New Roman" w:hint="eastAsia"/>
          <w:sz w:val="24"/>
          <w:szCs w:val="24"/>
        </w:rPr>
        <w:t>（</w:t>
      </w:r>
      <w:r>
        <w:rPr>
          <w:rFonts w:cs="Times New Roman" w:hint="eastAsia"/>
          <w:sz w:val="24"/>
          <w:szCs w:val="24"/>
        </w:rPr>
        <w:t>N</w:t>
      </w:r>
      <w:r>
        <w:rPr>
          <w:rFonts w:cs="Times New Roman" w:hint="eastAsia"/>
          <w:sz w:val="24"/>
          <w:szCs w:val="24"/>
        </w:rPr>
        <w:t>）；</w:t>
      </w:r>
    </w:p>
    <w:p w:rsidR="007C2403" w:rsidRDefault="00305B71">
      <w:pPr>
        <w:spacing w:beforeLines="50" w:before="156" w:line="300" w:lineRule="auto"/>
        <w:ind w:firstLineChars="200" w:firstLine="480"/>
        <w:rPr>
          <w:rFonts w:cs="Times New Roman"/>
          <w:sz w:val="24"/>
          <w:szCs w:val="24"/>
        </w:rPr>
      </w:pPr>
      <w:r>
        <w:rPr>
          <w:rFonts w:cs="Times New Roman" w:hint="eastAsia"/>
          <w:sz w:val="24"/>
          <w:szCs w:val="24"/>
        </w:rPr>
        <w:t xml:space="preserve">          </w:t>
      </w:r>
      <m:oMath>
        <m:r>
          <m:rPr>
            <m:sty m:val="p"/>
          </m:rPr>
          <w:rPr>
            <w:rFonts w:ascii="Cambria Math" w:hAnsi="Cambria Math" w:cs="Times New Roman" w:hint="eastAsia"/>
            <w:sz w:val="24"/>
            <w:szCs w:val="24"/>
          </w:rPr>
          <m:t>A</m:t>
        </m:r>
      </m:oMath>
      <w:r>
        <w:rPr>
          <w:rFonts w:cs="Times New Roman" w:hint="eastAsia"/>
          <w:sz w:val="24"/>
          <w:szCs w:val="24"/>
        </w:rPr>
        <w:t>——</w:t>
      </w:r>
      <w:r>
        <w:rPr>
          <w:rFonts w:eastAsia="SimSun" w:cs="Times New Roman" w:hint="eastAsia"/>
          <w:kern w:val="2"/>
        </w:rPr>
        <w:t xml:space="preserve"> The sectional area of the specimen</w:t>
      </w:r>
      <w:r>
        <w:rPr>
          <w:rFonts w:cs="Times New Roman" w:hint="eastAsia"/>
          <w:sz w:val="24"/>
          <w:szCs w:val="24"/>
        </w:rPr>
        <w:t>（</w:t>
      </w:r>
      <w:r>
        <w:rPr>
          <w:rFonts w:cs="Times New Roman" w:hint="eastAsia"/>
          <w:sz w:val="24"/>
          <w:szCs w:val="24"/>
        </w:rPr>
        <w:t>mm</w:t>
      </w:r>
      <w:r>
        <w:rPr>
          <w:rFonts w:cs="Times New Roman" w:hint="eastAsia"/>
          <w:sz w:val="24"/>
          <w:szCs w:val="24"/>
          <w:vertAlign w:val="superscript"/>
        </w:rPr>
        <w:t>2</w:t>
      </w:r>
      <w:r>
        <w:rPr>
          <w:rFonts w:cs="Times New Roman" w:hint="eastAsia"/>
          <w:sz w:val="24"/>
          <w:szCs w:val="24"/>
        </w:rPr>
        <w:t>）。</w:t>
      </w:r>
    </w:p>
    <w:p w:rsidR="007C2403" w:rsidRDefault="00305B71">
      <w:pPr>
        <w:wordWrap w:val="0"/>
        <w:ind w:firstLineChars="200" w:firstLine="420"/>
        <w:rPr>
          <w:rFonts w:eastAsia="SimSun" w:cs="Times New Roman"/>
          <w:kern w:val="2"/>
        </w:rPr>
      </w:pPr>
      <w:r>
        <w:rPr>
          <w:rFonts w:eastAsia="SimSun" w:cs="Times New Roman"/>
          <w:kern w:val="2"/>
        </w:rPr>
        <w:t xml:space="preserve">During unconfined compressive strength testing, any moisture on the surface of the specimen shall be wiped off with a dry towel. The compressive strength of the specimen is then tested using a universal testing machine, with a constant loading rate of 1 mm/min </w:t>
      </w:r>
      <w:r>
        <w:rPr>
          <w:rFonts w:eastAsia="SimSun" w:cs="Times New Roman"/>
          <w:kern w:val="2"/>
        </w:rPr>
        <w:lastRenderedPageBreak/>
        <w:t>maintained throughout the experiment. The testing process is illustrated in Figure 3, and the experimental data are summarized in Table 7.</w:t>
      </w:r>
    </w:p>
    <w:tbl>
      <w:tblPr>
        <w:tblStyle w:val="TableGrid"/>
        <w:tblW w:w="499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7"/>
        <w:gridCol w:w="4462"/>
      </w:tblGrid>
      <w:tr w:rsidR="007C2403">
        <w:trPr>
          <w:trHeight w:val="2835"/>
          <w:jc w:val="center"/>
        </w:trPr>
        <w:tc>
          <w:tcPr>
            <w:tcW w:w="2381" w:type="pct"/>
            <w:tcBorders>
              <w:tl2br w:val="nil"/>
              <w:tr2bl w:val="nil"/>
            </w:tcBorders>
            <w:vAlign w:val="center"/>
          </w:tcPr>
          <w:p w:rsidR="007C2403" w:rsidRDefault="00305B71">
            <w:pPr>
              <w:spacing w:line="300" w:lineRule="auto"/>
              <w:jc w:val="center"/>
              <w:rPr>
                <w:rFonts w:cs="Times New Roman"/>
                <w:color w:val="000000" w:themeColor="text1"/>
              </w:rPr>
            </w:pPr>
            <w:r>
              <w:rPr>
                <w:rFonts w:cs="Times New Roman"/>
                <w:noProof/>
                <w:color w:val="000000" w:themeColor="text1"/>
                <w:lang w:eastAsia="en-US"/>
              </w:rPr>
              <w:drawing>
                <wp:inline distT="0" distB="0" distL="114300" distR="114300">
                  <wp:extent cx="1969135" cy="2016125"/>
                  <wp:effectExtent l="0" t="0" r="9525" b="635"/>
                  <wp:docPr id="89" name="图片 89" descr="C:/Users/76464/Desktop/实验文献及数据/论文图片/浸水.jpg浸水"/>
                  <wp:cNvGraphicFramePr/>
                  <a:graphic xmlns:a="http://schemas.openxmlformats.org/drawingml/2006/main">
                    <a:graphicData uri="http://schemas.openxmlformats.org/drawingml/2006/picture">
                      <pic:pic xmlns:pic="http://schemas.openxmlformats.org/drawingml/2006/picture">
                        <pic:nvPicPr>
                          <pic:cNvPr id="89" name="图片 89" descr="C:/Users/76464/Desktop/实验文献及数据/论文图片/浸水.jpg浸水"/>
                          <pic:cNvPicPr/>
                        </pic:nvPicPr>
                        <pic:blipFill>
                          <a:blip r:embed="rId22"/>
                          <a:srcRect t="47" b="47"/>
                          <a:stretch>
                            <a:fillRect/>
                          </a:stretch>
                        </pic:blipFill>
                        <pic:spPr>
                          <a:xfrm rot="5400000">
                            <a:off x="0" y="0"/>
                            <a:ext cx="1969135" cy="2016125"/>
                          </a:xfrm>
                          <a:prstGeom prst="rect">
                            <a:avLst/>
                          </a:prstGeom>
                        </pic:spPr>
                      </pic:pic>
                    </a:graphicData>
                  </a:graphic>
                </wp:inline>
              </w:drawing>
            </w:r>
          </w:p>
        </w:tc>
        <w:tc>
          <w:tcPr>
            <w:tcW w:w="2618" w:type="pct"/>
            <w:tcBorders>
              <w:tl2br w:val="nil"/>
              <w:tr2bl w:val="nil"/>
            </w:tcBorders>
            <w:vAlign w:val="center"/>
          </w:tcPr>
          <w:p w:rsidR="007C2403" w:rsidRDefault="00305B71">
            <w:pPr>
              <w:spacing w:line="300" w:lineRule="auto"/>
              <w:jc w:val="center"/>
              <w:rPr>
                <w:rFonts w:cs="Times New Roman"/>
                <w:color w:val="000000" w:themeColor="text1"/>
              </w:rPr>
            </w:pPr>
            <w:r>
              <w:rPr>
                <w:rFonts w:cs="Times New Roman"/>
                <w:noProof/>
                <w:color w:val="000000" w:themeColor="text1"/>
                <w:lang w:eastAsia="en-US"/>
              </w:rPr>
              <w:drawing>
                <wp:inline distT="0" distB="0" distL="114300" distR="114300">
                  <wp:extent cx="2687955" cy="2016125"/>
                  <wp:effectExtent l="0" t="0" r="8255" b="9525"/>
                  <wp:docPr id="4" name="图片 4" descr="52030965c00cceb8223632752639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2030965c00cceb8223632752639509"/>
                          <pic:cNvPicPr>
                            <a:picLocks noChangeAspect="1"/>
                          </pic:cNvPicPr>
                        </pic:nvPicPr>
                        <pic:blipFill>
                          <a:blip r:embed="rId23"/>
                          <a:stretch>
                            <a:fillRect/>
                          </a:stretch>
                        </pic:blipFill>
                        <pic:spPr>
                          <a:xfrm>
                            <a:off x="0" y="0"/>
                            <a:ext cx="2687955" cy="2016125"/>
                          </a:xfrm>
                          <a:prstGeom prst="rect">
                            <a:avLst/>
                          </a:prstGeom>
                        </pic:spPr>
                      </pic:pic>
                    </a:graphicData>
                  </a:graphic>
                </wp:inline>
              </w:drawing>
            </w:r>
          </w:p>
        </w:tc>
      </w:tr>
      <w:tr w:rsidR="007C2403">
        <w:trPr>
          <w:trHeight w:val="540"/>
          <w:jc w:val="center"/>
        </w:trPr>
        <w:tc>
          <w:tcPr>
            <w:tcW w:w="5000" w:type="pct"/>
            <w:gridSpan w:val="2"/>
            <w:tcBorders>
              <w:tl2br w:val="nil"/>
              <w:tr2bl w:val="nil"/>
            </w:tcBorders>
            <w:vAlign w:val="center"/>
          </w:tcPr>
          <w:p w:rsidR="007C2403" w:rsidRDefault="00305B71">
            <w:pPr>
              <w:pStyle w:val="a"/>
              <w:spacing w:beforeLines="0" w:before="0"/>
              <w:rPr>
                <w:b w:val="0"/>
              </w:rPr>
            </w:pPr>
            <w:r>
              <w:t xml:space="preserve">Fig. </w:t>
            </w:r>
            <w:r>
              <w:rPr>
                <w:rFonts w:hint="eastAsia"/>
              </w:rPr>
              <w:t>3</w:t>
            </w:r>
            <w:r>
              <w:t xml:space="preserve"> Unconfined compressive strength test</w:t>
            </w:r>
          </w:p>
        </w:tc>
      </w:tr>
    </w:tbl>
    <w:p w:rsidR="007C2403" w:rsidRDefault="007C2403">
      <w:pPr>
        <w:pStyle w:val="Caption"/>
        <w:adjustRightInd w:val="0"/>
        <w:snapToGrid w:val="0"/>
        <w:jc w:val="center"/>
      </w:pPr>
      <w:bookmarkStart w:id="4" w:name="_Ref24996"/>
    </w:p>
    <w:bookmarkEnd w:id="4"/>
    <w:p w:rsidR="007C2403" w:rsidRDefault="00305B71">
      <w:pPr>
        <w:pStyle w:val="a"/>
        <w:spacing w:beforeLines="0" w:before="0"/>
      </w:pPr>
      <w:r>
        <w:t xml:space="preserve">Table </w:t>
      </w:r>
      <w:r>
        <w:rPr>
          <w:rFonts w:hint="eastAsia"/>
        </w:rPr>
        <w:t>7.</w:t>
      </w:r>
      <w:r>
        <w:t xml:space="preserve"> Unconfined compressive strength of 7</w:t>
      </w:r>
      <w:r>
        <w:rPr>
          <w:rFonts w:hint="eastAsia"/>
        </w:rPr>
        <w:t xml:space="preserve"> </w:t>
      </w:r>
      <w:r>
        <w:t>d</w:t>
      </w:r>
      <w:r>
        <w:rPr>
          <w:rFonts w:hint="eastAsia"/>
        </w:rPr>
        <w:t>,</w:t>
      </w:r>
      <w:r>
        <w:t>28</w:t>
      </w:r>
      <w:r>
        <w:rPr>
          <w:rFonts w:hint="eastAsia"/>
        </w:rPr>
        <w:t xml:space="preserve"> </w:t>
      </w:r>
      <w:r>
        <w:t>d, and 90</w:t>
      </w:r>
      <w:r>
        <w:rPr>
          <w:rFonts w:hint="eastAsia"/>
        </w:rPr>
        <w:t xml:space="preserve"> </w:t>
      </w:r>
      <w:r>
        <w:t>d age</w:t>
      </w:r>
    </w:p>
    <w:tbl>
      <w:tblPr>
        <w:tblW w:w="0" w:type="auto"/>
        <w:jc w:val="center"/>
        <w:tblLayout w:type="fixed"/>
        <w:tblCellMar>
          <w:left w:w="0" w:type="dxa"/>
          <w:right w:w="0" w:type="dxa"/>
        </w:tblCellMar>
        <w:tblLook w:val="04A0" w:firstRow="1" w:lastRow="0" w:firstColumn="1" w:lastColumn="0" w:noHBand="0" w:noVBand="1"/>
      </w:tblPr>
      <w:tblGrid>
        <w:gridCol w:w="1727"/>
        <w:gridCol w:w="1138"/>
        <w:gridCol w:w="1077"/>
        <w:gridCol w:w="1181"/>
        <w:gridCol w:w="1132"/>
        <w:gridCol w:w="1132"/>
        <w:gridCol w:w="1135"/>
      </w:tblGrid>
      <w:tr w:rsidR="007C2403">
        <w:trPr>
          <w:trHeight w:val="835"/>
          <w:jc w:val="center"/>
        </w:trPr>
        <w:tc>
          <w:tcPr>
            <w:tcW w:w="1727"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kinsoku w:val="0"/>
              <w:wordWrap w:val="0"/>
              <w:overflowPunct w:val="0"/>
              <w:jc w:val="center"/>
              <w:rPr>
                <w:rFonts w:eastAsia="仿宋" w:cs="Times New Roman"/>
                <w:bCs/>
                <w:color w:val="000000" w:themeColor="text1"/>
              </w:rPr>
            </w:pPr>
            <w:r>
              <w:rPr>
                <w:rFonts w:eastAsia="SimSun" w:cs="Times New Roman" w:hint="eastAsia"/>
              </w:rPr>
              <w:t>Material Type</w:t>
            </w:r>
          </w:p>
        </w:tc>
        <w:tc>
          <w:tcPr>
            <w:tcW w:w="1138"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kinsoku w:val="0"/>
              <w:wordWrap w:val="0"/>
              <w:overflowPunct w:val="0"/>
              <w:jc w:val="center"/>
              <w:rPr>
                <w:rFonts w:cs="Times New Roman"/>
                <w:bCs/>
                <w:color w:val="000000" w:themeColor="text1"/>
              </w:rPr>
            </w:pPr>
            <w:r>
              <w:rPr>
                <w:rFonts w:cs="Times New Roman" w:hint="eastAsia"/>
                <w:color w:val="000000" w:themeColor="text1"/>
              </w:rPr>
              <w:t>7-day compressive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1077"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kinsoku w:val="0"/>
              <w:wordWrap w:val="0"/>
              <w:overflowPunct w:val="0"/>
              <w:jc w:val="center"/>
              <w:rPr>
                <w:rFonts w:cs="Times New Roman"/>
                <w:bCs/>
                <w:color w:val="000000" w:themeColor="text1"/>
              </w:rPr>
            </w:pPr>
            <w:r>
              <w:rPr>
                <w:rFonts w:cs="Times New Roman" w:hint="eastAsia"/>
                <w:color w:val="000000" w:themeColor="text1"/>
              </w:rPr>
              <w:t xml:space="preserve">7-day coefficient of </w:t>
            </w:r>
            <w:proofErr w:type="gramStart"/>
            <w:r>
              <w:rPr>
                <w:rFonts w:cs="Times New Roman" w:hint="eastAsia"/>
                <w:color w:val="000000" w:themeColor="text1"/>
              </w:rPr>
              <w:t>variation(</w:t>
            </w:r>
            <w:proofErr w:type="spellStart"/>
            <w:proofErr w:type="gramEnd"/>
            <w:r>
              <w:rPr>
                <w:rFonts w:cs="Times New Roman" w:hint="eastAsia"/>
                <w:color w:val="000000" w:themeColor="text1"/>
              </w:rPr>
              <w:t>Cv</w:t>
            </w:r>
            <w:proofErr w:type="spellEnd"/>
            <w:r>
              <w:rPr>
                <w:rFonts w:cs="Times New Roman" w:hint="eastAsia"/>
                <w:color w:val="000000" w:themeColor="text1"/>
              </w:rPr>
              <w:t>)</w:t>
            </w:r>
            <w:r>
              <w:rPr>
                <w:rFonts w:cs="Times New Roman"/>
                <w:bCs/>
                <w:color w:val="000000" w:themeColor="text1"/>
              </w:rPr>
              <w:t>%</w:t>
            </w:r>
          </w:p>
        </w:tc>
        <w:tc>
          <w:tcPr>
            <w:tcW w:w="1181"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kinsoku w:val="0"/>
              <w:wordWrap w:val="0"/>
              <w:overflowPunct w:val="0"/>
              <w:jc w:val="center"/>
              <w:rPr>
                <w:rFonts w:eastAsia="SimSun" w:cs="Times New Roman"/>
                <w:bCs/>
                <w:color w:val="000000" w:themeColor="text1"/>
              </w:rPr>
            </w:pPr>
            <w:r>
              <w:rPr>
                <w:rFonts w:cs="Times New Roman" w:hint="eastAsia"/>
                <w:color w:val="000000" w:themeColor="text1"/>
              </w:rPr>
              <w:t>28-day compressive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1132"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kinsoku w:val="0"/>
              <w:wordWrap w:val="0"/>
              <w:overflowPunct w:val="0"/>
              <w:jc w:val="center"/>
              <w:rPr>
                <w:rFonts w:eastAsia="SimSun" w:cs="Times New Roman"/>
                <w:bCs/>
                <w:color w:val="000000" w:themeColor="text1"/>
              </w:rPr>
            </w:pPr>
            <w:r>
              <w:rPr>
                <w:rFonts w:cs="Times New Roman" w:hint="eastAsia"/>
                <w:color w:val="000000" w:themeColor="text1"/>
              </w:rPr>
              <w:t>28-day coefficient of variation (</w:t>
            </w:r>
            <w:proofErr w:type="spellStart"/>
            <w:r>
              <w:rPr>
                <w:rFonts w:cs="Times New Roman" w:hint="eastAsia"/>
                <w:color w:val="000000" w:themeColor="text1"/>
              </w:rPr>
              <w:t>Cv</w:t>
            </w:r>
            <w:proofErr w:type="spellEnd"/>
            <w:r>
              <w:rPr>
                <w:rFonts w:cs="Times New Roman" w:hint="eastAsia"/>
                <w:color w:val="000000" w:themeColor="text1"/>
              </w:rPr>
              <w:t>)</w:t>
            </w:r>
            <w:r>
              <w:rPr>
                <w:rFonts w:cs="Times New Roman"/>
                <w:bCs/>
                <w:color w:val="000000" w:themeColor="text1"/>
              </w:rPr>
              <w:t>%</w:t>
            </w:r>
          </w:p>
        </w:tc>
        <w:tc>
          <w:tcPr>
            <w:tcW w:w="1132"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kinsoku w:val="0"/>
              <w:wordWrap w:val="0"/>
              <w:overflowPunct w:val="0"/>
              <w:jc w:val="center"/>
              <w:rPr>
                <w:rFonts w:cs="Times New Roman"/>
                <w:bCs/>
                <w:color w:val="000000" w:themeColor="text1"/>
              </w:rPr>
            </w:pPr>
            <w:r>
              <w:rPr>
                <w:rFonts w:cs="Times New Roman" w:hint="eastAsia"/>
                <w:color w:val="000000" w:themeColor="text1"/>
              </w:rPr>
              <w:t>90-day compressive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1135"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kinsoku w:val="0"/>
              <w:wordWrap w:val="0"/>
              <w:overflowPunct w:val="0"/>
              <w:jc w:val="center"/>
              <w:rPr>
                <w:rFonts w:cs="Times New Roman"/>
                <w:bCs/>
                <w:color w:val="000000" w:themeColor="text1"/>
              </w:rPr>
            </w:pPr>
            <w:r>
              <w:rPr>
                <w:rFonts w:cs="Times New Roman" w:hint="eastAsia"/>
                <w:color w:val="000000" w:themeColor="text1"/>
              </w:rPr>
              <w:t xml:space="preserve">90-day coefficient of </w:t>
            </w:r>
            <w:proofErr w:type="gramStart"/>
            <w:r>
              <w:rPr>
                <w:rFonts w:cs="Times New Roman" w:hint="eastAsia"/>
                <w:color w:val="000000" w:themeColor="text1"/>
              </w:rPr>
              <w:t>variation(</w:t>
            </w:r>
            <w:proofErr w:type="spellStart"/>
            <w:proofErr w:type="gramEnd"/>
            <w:r>
              <w:rPr>
                <w:rFonts w:cs="Times New Roman" w:hint="eastAsia"/>
                <w:color w:val="000000" w:themeColor="text1"/>
              </w:rPr>
              <w:t>Cv</w:t>
            </w:r>
            <w:proofErr w:type="spellEnd"/>
            <w:r>
              <w:rPr>
                <w:rFonts w:cs="Times New Roman" w:hint="eastAsia"/>
                <w:color w:val="000000" w:themeColor="text1"/>
              </w:rPr>
              <w:t>)</w:t>
            </w:r>
            <w:r>
              <w:rPr>
                <w:rFonts w:cs="Times New Roman"/>
                <w:bCs/>
                <w:color w:val="000000" w:themeColor="text1"/>
              </w:rPr>
              <w:t>%</w:t>
            </w:r>
          </w:p>
        </w:tc>
      </w:tr>
      <w:tr w:rsidR="007C2403">
        <w:trPr>
          <w:trHeight w:val="714"/>
          <w:jc w:val="center"/>
        </w:trPr>
        <w:tc>
          <w:tcPr>
            <w:tcW w:w="1727"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kinsoku w:val="0"/>
              <w:wordWrap w:val="0"/>
              <w:overflowPunct w:val="0"/>
              <w:jc w:val="center"/>
              <w:rPr>
                <w:rFonts w:eastAsia="SimSun" w:cs="Times New Roman"/>
              </w:rPr>
            </w:pPr>
            <w:r>
              <w:rPr>
                <w:rFonts w:eastAsia="SimSun" w:cs="Times New Roman" w:hint="eastAsia"/>
              </w:rPr>
              <w:t xml:space="preserve">Geopolymer-stabilized crushed </w:t>
            </w:r>
          </w:p>
          <w:p w:rsidR="007C2403" w:rsidRDefault="00305B71">
            <w:pPr>
              <w:kinsoku w:val="0"/>
              <w:wordWrap w:val="0"/>
              <w:overflowPunct w:val="0"/>
              <w:jc w:val="center"/>
              <w:rPr>
                <w:rFonts w:eastAsia="SimSun" w:cs="Times New Roman"/>
              </w:rPr>
            </w:pPr>
            <w:r>
              <w:rPr>
                <w:rFonts w:eastAsia="SimSun" w:cs="Times New Roman" w:hint="eastAsia"/>
              </w:rPr>
              <w:t>stone</w:t>
            </w:r>
          </w:p>
        </w:tc>
        <w:tc>
          <w:tcPr>
            <w:tcW w:w="1138"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widowControl/>
              <w:kinsoku w:val="0"/>
              <w:wordWrap w:val="0"/>
              <w:overflowPunct w:val="0"/>
              <w:jc w:val="center"/>
              <w:textAlignment w:val="center"/>
              <w:rPr>
                <w:rFonts w:eastAsia="SimSun" w:cs="Times New Roman"/>
                <w:bCs/>
                <w:color w:val="000000" w:themeColor="text1"/>
              </w:rPr>
            </w:pPr>
            <w:r>
              <w:rPr>
                <w:rFonts w:eastAsia="SimSun" w:cs="Times New Roman" w:hint="eastAsia"/>
                <w:color w:val="000000" w:themeColor="text1"/>
                <w:lang w:bidi="ar"/>
              </w:rPr>
              <w:t>4.17</w:t>
            </w:r>
          </w:p>
        </w:tc>
        <w:tc>
          <w:tcPr>
            <w:tcW w:w="1077"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kinsoku w:val="0"/>
              <w:wordWrap w:val="0"/>
              <w:overflowPunct w:val="0"/>
              <w:autoSpaceDE w:val="0"/>
              <w:autoSpaceDN w:val="0"/>
              <w:jc w:val="center"/>
              <w:rPr>
                <w:rFonts w:eastAsia="SimSun" w:cs="Times New Roman"/>
                <w:bCs/>
                <w:color w:val="000000" w:themeColor="text1"/>
              </w:rPr>
            </w:pPr>
            <w:r>
              <w:rPr>
                <w:rFonts w:cs="Times New Roman"/>
                <w:bCs/>
                <w:color w:val="000000" w:themeColor="text1"/>
              </w:rPr>
              <w:t>1</w:t>
            </w:r>
            <w:r>
              <w:rPr>
                <w:rFonts w:cs="Times New Roman" w:hint="eastAsia"/>
                <w:bCs/>
                <w:color w:val="000000" w:themeColor="text1"/>
              </w:rPr>
              <w:t>1</w:t>
            </w:r>
            <w:r>
              <w:rPr>
                <w:rFonts w:cs="Times New Roman"/>
                <w:bCs/>
                <w:color w:val="000000" w:themeColor="text1"/>
              </w:rPr>
              <w:t>.</w:t>
            </w:r>
            <w:r>
              <w:rPr>
                <w:rFonts w:cs="Times New Roman" w:hint="eastAsia"/>
                <w:bCs/>
                <w:color w:val="000000" w:themeColor="text1"/>
              </w:rPr>
              <w:t>6</w:t>
            </w:r>
          </w:p>
        </w:tc>
        <w:tc>
          <w:tcPr>
            <w:tcW w:w="1181"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widowControl/>
              <w:kinsoku w:val="0"/>
              <w:wordWrap w:val="0"/>
              <w:overflowPunct w:val="0"/>
              <w:jc w:val="center"/>
              <w:textAlignment w:val="center"/>
              <w:rPr>
                <w:rFonts w:cs="Times New Roman"/>
                <w:bCs/>
                <w:color w:val="000000" w:themeColor="text1"/>
              </w:rPr>
            </w:pPr>
            <w:r>
              <w:rPr>
                <w:rFonts w:eastAsia="SimSun" w:cs="Times New Roman"/>
                <w:color w:val="000000" w:themeColor="text1"/>
                <w:lang w:bidi="ar"/>
              </w:rPr>
              <w:t>4.</w:t>
            </w:r>
            <w:r>
              <w:rPr>
                <w:rFonts w:eastAsia="SimSun" w:cs="Times New Roman" w:hint="eastAsia"/>
                <w:color w:val="000000" w:themeColor="text1"/>
                <w:lang w:bidi="ar"/>
              </w:rPr>
              <w:t>54</w:t>
            </w:r>
          </w:p>
        </w:tc>
        <w:tc>
          <w:tcPr>
            <w:tcW w:w="1132"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kinsoku w:val="0"/>
              <w:wordWrap w:val="0"/>
              <w:overflowPunct w:val="0"/>
              <w:autoSpaceDE w:val="0"/>
              <w:autoSpaceDN w:val="0"/>
              <w:jc w:val="center"/>
              <w:rPr>
                <w:rFonts w:cs="Times New Roman"/>
                <w:bCs/>
                <w:color w:val="000000" w:themeColor="text1"/>
              </w:rPr>
            </w:pPr>
            <w:r>
              <w:rPr>
                <w:rFonts w:cs="Times New Roman" w:hint="eastAsia"/>
                <w:bCs/>
                <w:color w:val="000000" w:themeColor="text1"/>
              </w:rPr>
              <w:t>10.4</w:t>
            </w:r>
          </w:p>
        </w:tc>
        <w:tc>
          <w:tcPr>
            <w:tcW w:w="1132"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widowControl/>
              <w:kinsoku w:val="0"/>
              <w:wordWrap w:val="0"/>
              <w:overflowPunct w:val="0"/>
              <w:jc w:val="center"/>
              <w:textAlignment w:val="center"/>
              <w:rPr>
                <w:rFonts w:cs="Times New Roman"/>
                <w:bCs/>
                <w:color w:val="000000" w:themeColor="text1"/>
              </w:rPr>
            </w:pPr>
            <w:r>
              <w:rPr>
                <w:rFonts w:eastAsia="SimSun" w:cs="Times New Roman" w:hint="eastAsia"/>
                <w:color w:val="000000" w:themeColor="text1"/>
                <w:lang w:bidi="ar"/>
              </w:rPr>
              <w:t>4.87</w:t>
            </w:r>
          </w:p>
        </w:tc>
        <w:tc>
          <w:tcPr>
            <w:tcW w:w="1135"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kinsoku w:val="0"/>
              <w:wordWrap w:val="0"/>
              <w:overflowPunct w:val="0"/>
              <w:autoSpaceDE w:val="0"/>
              <w:autoSpaceDN w:val="0"/>
              <w:jc w:val="center"/>
              <w:rPr>
                <w:rFonts w:eastAsia="SimSun" w:cs="Times New Roman"/>
                <w:bCs/>
                <w:color w:val="000000" w:themeColor="text1"/>
              </w:rPr>
            </w:pPr>
            <w:r>
              <w:rPr>
                <w:rFonts w:cs="Times New Roman" w:hint="eastAsia"/>
                <w:bCs/>
                <w:color w:val="000000" w:themeColor="text1"/>
              </w:rPr>
              <w:t>7.9</w:t>
            </w:r>
          </w:p>
        </w:tc>
      </w:tr>
      <w:tr w:rsidR="007C2403">
        <w:trPr>
          <w:trHeight w:val="714"/>
          <w:jc w:val="center"/>
        </w:trPr>
        <w:tc>
          <w:tcPr>
            <w:tcW w:w="1727" w:type="dxa"/>
            <w:tcBorders>
              <w:top w:val="nil"/>
              <w:left w:val="nil"/>
              <w:bottom w:val="single" w:sz="12" w:space="0" w:color="auto"/>
              <w:right w:val="nil"/>
            </w:tcBorders>
            <w:tcMar>
              <w:top w:w="0" w:type="dxa"/>
              <w:left w:w="108" w:type="dxa"/>
              <w:bottom w:w="0" w:type="dxa"/>
              <w:right w:w="108" w:type="dxa"/>
            </w:tcMar>
            <w:vAlign w:val="center"/>
          </w:tcPr>
          <w:p w:rsidR="007C2403" w:rsidRDefault="00305B71">
            <w:pPr>
              <w:kinsoku w:val="0"/>
              <w:wordWrap w:val="0"/>
              <w:overflowPunct w:val="0"/>
              <w:jc w:val="center"/>
              <w:rPr>
                <w:rFonts w:eastAsia="SimSun" w:cs="Times New Roman"/>
              </w:rPr>
            </w:pPr>
            <w:r>
              <w:rPr>
                <w:rFonts w:eastAsia="SimSun" w:cs="Times New Roman"/>
              </w:rPr>
              <w:t>Geopolymer-stabilized steel slag</w:t>
            </w:r>
          </w:p>
        </w:tc>
        <w:tc>
          <w:tcPr>
            <w:tcW w:w="1138" w:type="dxa"/>
            <w:tcBorders>
              <w:top w:val="nil"/>
              <w:left w:val="nil"/>
              <w:bottom w:val="single" w:sz="12" w:space="0" w:color="auto"/>
              <w:right w:val="nil"/>
            </w:tcBorders>
            <w:tcMar>
              <w:top w:w="0" w:type="dxa"/>
              <w:left w:w="108" w:type="dxa"/>
              <w:bottom w:w="0" w:type="dxa"/>
              <w:right w:w="108" w:type="dxa"/>
            </w:tcMar>
            <w:vAlign w:val="center"/>
          </w:tcPr>
          <w:p w:rsidR="007C2403" w:rsidRDefault="00305B71">
            <w:pPr>
              <w:widowControl/>
              <w:kinsoku w:val="0"/>
              <w:wordWrap w:val="0"/>
              <w:overflowPunct w:val="0"/>
              <w:jc w:val="center"/>
              <w:textAlignment w:val="center"/>
              <w:rPr>
                <w:rFonts w:eastAsia="SimSun" w:cs="Times New Roman"/>
                <w:bCs/>
                <w:color w:val="000000" w:themeColor="text1"/>
              </w:rPr>
            </w:pPr>
            <w:r>
              <w:rPr>
                <w:rFonts w:eastAsia="SimSun" w:cs="Times New Roman" w:hint="eastAsia"/>
                <w:color w:val="000000" w:themeColor="text1"/>
                <w:lang w:bidi="ar"/>
              </w:rPr>
              <w:t>3.87</w:t>
            </w:r>
          </w:p>
        </w:tc>
        <w:tc>
          <w:tcPr>
            <w:tcW w:w="1077" w:type="dxa"/>
            <w:tcBorders>
              <w:top w:val="nil"/>
              <w:left w:val="nil"/>
              <w:bottom w:val="single" w:sz="12" w:space="0" w:color="auto"/>
              <w:right w:val="nil"/>
            </w:tcBorders>
            <w:tcMar>
              <w:top w:w="0" w:type="dxa"/>
              <w:left w:w="108" w:type="dxa"/>
              <w:bottom w:w="0" w:type="dxa"/>
              <w:right w:w="108" w:type="dxa"/>
            </w:tcMar>
            <w:vAlign w:val="center"/>
          </w:tcPr>
          <w:p w:rsidR="007C2403" w:rsidRDefault="00305B71">
            <w:pPr>
              <w:kinsoku w:val="0"/>
              <w:wordWrap w:val="0"/>
              <w:overflowPunct w:val="0"/>
              <w:autoSpaceDE w:val="0"/>
              <w:autoSpaceDN w:val="0"/>
              <w:jc w:val="center"/>
              <w:rPr>
                <w:rFonts w:eastAsia="SimSun" w:cs="Times New Roman"/>
                <w:bCs/>
                <w:color w:val="000000" w:themeColor="text1"/>
              </w:rPr>
            </w:pPr>
            <w:r>
              <w:rPr>
                <w:rFonts w:cs="Times New Roman"/>
                <w:bCs/>
                <w:color w:val="000000" w:themeColor="text1"/>
              </w:rPr>
              <w:t>1</w:t>
            </w:r>
            <w:r>
              <w:rPr>
                <w:rFonts w:cs="Times New Roman" w:hint="eastAsia"/>
                <w:bCs/>
                <w:color w:val="000000" w:themeColor="text1"/>
              </w:rPr>
              <w:t>2</w:t>
            </w:r>
            <w:r>
              <w:rPr>
                <w:rFonts w:cs="Times New Roman"/>
                <w:bCs/>
                <w:color w:val="000000" w:themeColor="text1"/>
              </w:rPr>
              <w:t>.</w:t>
            </w:r>
            <w:r>
              <w:rPr>
                <w:rFonts w:cs="Times New Roman" w:hint="eastAsia"/>
                <w:bCs/>
                <w:color w:val="000000" w:themeColor="text1"/>
              </w:rPr>
              <w:t>1</w:t>
            </w:r>
          </w:p>
        </w:tc>
        <w:tc>
          <w:tcPr>
            <w:tcW w:w="1181" w:type="dxa"/>
            <w:tcBorders>
              <w:top w:val="nil"/>
              <w:left w:val="nil"/>
              <w:bottom w:val="single" w:sz="12" w:space="0" w:color="auto"/>
              <w:right w:val="nil"/>
            </w:tcBorders>
            <w:tcMar>
              <w:top w:w="0" w:type="dxa"/>
              <w:left w:w="108" w:type="dxa"/>
              <w:bottom w:w="0" w:type="dxa"/>
              <w:right w:w="108" w:type="dxa"/>
            </w:tcMar>
            <w:vAlign w:val="center"/>
          </w:tcPr>
          <w:p w:rsidR="007C2403" w:rsidRDefault="00305B71">
            <w:pPr>
              <w:widowControl/>
              <w:kinsoku w:val="0"/>
              <w:wordWrap w:val="0"/>
              <w:overflowPunct w:val="0"/>
              <w:jc w:val="center"/>
              <w:textAlignment w:val="center"/>
              <w:rPr>
                <w:rFonts w:cs="Times New Roman"/>
                <w:bCs/>
                <w:color w:val="000000" w:themeColor="text1"/>
              </w:rPr>
            </w:pPr>
            <w:r>
              <w:rPr>
                <w:rFonts w:eastAsia="SimSun" w:cs="Times New Roman"/>
                <w:color w:val="000000" w:themeColor="text1"/>
                <w:lang w:bidi="ar"/>
              </w:rPr>
              <w:t>4.</w:t>
            </w:r>
            <w:r>
              <w:rPr>
                <w:rFonts w:eastAsia="SimSun" w:cs="Times New Roman" w:hint="eastAsia"/>
                <w:color w:val="000000" w:themeColor="text1"/>
                <w:lang w:bidi="ar"/>
              </w:rPr>
              <w:t>67</w:t>
            </w:r>
          </w:p>
        </w:tc>
        <w:tc>
          <w:tcPr>
            <w:tcW w:w="1132" w:type="dxa"/>
            <w:tcBorders>
              <w:top w:val="nil"/>
              <w:left w:val="nil"/>
              <w:bottom w:val="single" w:sz="12" w:space="0" w:color="auto"/>
              <w:right w:val="nil"/>
            </w:tcBorders>
            <w:tcMar>
              <w:top w:w="0" w:type="dxa"/>
              <w:left w:w="108" w:type="dxa"/>
              <w:bottom w:w="0" w:type="dxa"/>
              <w:right w:w="108" w:type="dxa"/>
            </w:tcMar>
            <w:vAlign w:val="center"/>
          </w:tcPr>
          <w:p w:rsidR="007C2403" w:rsidRDefault="00305B71">
            <w:pPr>
              <w:kinsoku w:val="0"/>
              <w:wordWrap w:val="0"/>
              <w:overflowPunct w:val="0"/>
              <w:autoSpaceDE w:val="0"/>
              <w:autoSpaceDN w:val="0"/>
              <w:jc w:val="center"/>
              <w:rPr>
                <w:rFonts w:cs="Times New Roman"/>
                <w:bCs/>
                <w:color w:val="000000" w:themeColor="text1"/>
              </w:rPr>
            </w:pPr>
            <w:r>
              <w:rPr>
                <w:rFonts w:cs="Times New Roman" w:hint="eastAsia"/>
                <w:bCs/>
                <w:color w:val="000000" w:themeColor="text1"/>
              </w:rPr>
              <w:t>11</w:t>
            </w:r>
            <w:r>
              <w:rPr>
                <w:rFonts w:cs="Times New Roman"/>
                <w:bCs/>
                <w:color w:val="000000" w:themeColor="text1"/>
              </w:rPr>
              <w:t>.</w:t>
            </w:r>
            <w:r>
              <w:rPr>
                <w:rFonts w:cs="Times New Roman" w:hint="eastAsia"/>
                <w:bCs/>
                <w:color w:val="000000" w:themeColor="text1"/>
              </w:rPr>
              <w:t>1</w:t>
            </w:r>
          </w:p>
        </w:tc>
        <w:tc>
          <w:tcPr>
            <w:tcW w:w="1132" w:type="dxa"/>
            <w:tcBorders>
              <w:top w:val="nil"/>
              <w:left w:val="nil"/>
              <w:bottom w:val="single" w:sz="12" w:space="0" w:color="auto"/>
              <w:right w:val="nil"/>
            </w:tcBorders>
            <w:tcMar>
              <w:top w:w="0" w:type="dxa"/>
              <w:left w:w="108" w:type="dxa"/>
              <w:bottom w:w="0" w:type="dxa"/>
              <w:right w:w="108" w:type="dxa"/>
            </w:tcMar>
            <w:vAlign w:val="center"/>
          </w:tcPr>
          <w:p w:rsidR="007C2403" w:rsidRDefault="00305B71">
            <w:pPr>
              <w:widowControl/>
              <w:kinsoku w:val="0"/>
              <w:wordWrap w:val="0"/>
              <w:overflowPunct w:val="0"/>
              <w:jc w:val="center"/>
              <w:textAlignment w:val="center"/>
              <w:rPr>
                <w:rFonts w:cs="Times New Roman"/>
                <w:bCs/>
                <w:color w:val="000000" w:themeColor="text1"/>
              </w:rPr>
            </w:pPr>
            <w:r>
              <w:rPr>
                <w:rFonts w:eastAsia="SimSun" w:cs="Times New Roman"/>
                <w:color w:val="000000" w:themeColor="text1"/>
                <w:lang w:bidi="ar"/>
              </w:rPr>
              <w:t>5.</w:t>
            </w:r>
            <w:r>
              <w:rPr>
                <w:rFonts w:eastAsia="SimSun" w:cs="Times New Roman" w:hint="eastAsia"/>
                <w:color w:val="000000" w:themeColor="text1"/>
                <w:lang w:bidi="ar"/>
              </w:rPr>
              <w:t>24</w:t>
            </w:r>
          </w:p>
        </w:tc>
        <w:tc>
          <w:tcPr>
            <w:tcW w:w="1135" w:type="dxa"/>
            <w:tcBorders>
              <w:top w:val="nil"/>
              <w:left w:val="nil"/>
              <w:bottom w:val="single" w:sz="12" w:space="0" w:color="auto"/>
              <w:right w:val="nil"/>
            </w:tcBorders>
            <w:tcMar>
              <w:top w:w="0" w:type="dxa"/>
              <w:left w:w="108" w:type="dxa"/>
              <w:bottom w:w="0" w:type="dxa"/>
              <w:right w:w="108" w:type="dxa"/>
            </w:tcMar>
            <w:vAlign w:val="center"/>
          </w:tcPr>
          <w:p w:rsidR="007C2403" w:rsidRDefault="00305B71">
            <w:pPr>
              <w:kinsoku w:val="0"/>
              <w:wordWrap w:val="0"/>
              <w:overflowPunct w:val="0"/>
              <w:autoSpaceDE w:val="0"/>
              <w:autoSpaceDN w:val="0"/>
              <w:jc w:val="center"/>
              <w:rPr>
                <w:rFonts w:eastAsia="SimSun" w:cs="Times New Roman"/>
                <w:bCs/>
                <w:color w:val="000000" w:themeColor="text1"/>
              </w:rPr>
            </w:pPr>
            <w:r>
              <w:rPr>
                <w:rFonts w:cs="Times New Roman" w:hint="eastAsia"/>
                <w:bCs/>
                <w:color w:val="000000" w:themeColor="text1"/>
              </w:rPr>
              <w:t>8</w:t>
            </w:r>
            <w:r>
              <w:rPr>
                <w:rFonts w:cs="Times New Roman"/>
                <w:bCs/>
                <w:color w:val="000000" w:themeColor="text1"/>
              </w:rPr>
              <w:t>.</w:t>
            </w:r>
            <w:r>
              <w:rPr>
                <w:rFonts w:cs="Times New Roman" w:hint="eastAsia"/>
                <w:bCs/>
                <w:color w:val="000000" w:themeColor="text1"/>
              </w:rPr>
              <w:t>4</w:t>
            </w:r>
          </w:p>
        </w:tc>
      </w:tr>
    </w:tbl>
    <w:p w:rsidR="007C2403" w:rsidRDefault="00305B71">
      <w:pPr>
        <w:wordWrap w:val="0"/>
        <w:ind w:firstLineChars="200" w:firstLine="420"/>
        <w:rPr>
          <w:rFonts w:eastAsia="SimSun" w:cs="Times New Roman"/>
          <w:kern w:val="2"/>
        </w:rPr>
      </w:pPr>
      <w:r>
        <w:rPr>
          <w:rFonts w:eastAsia="SimSun" w:cs="Times New Roman"/>
          <w:kern w:val="2"/>
        </w:rPr>
        <w:t xml:space="preserve">According to the </w:t>
      </w:r>
      <w:r>
        <w:rPr>
          <w:rFonts w:eastAsia="SimSun" w:cs="Times New Roman"/>
          <w:kern w:val="2"/>
        </w:rPr>
        <w:t>《</w:t>
      </w:r>
      <w:r>
        <w:rPr>
          <w:rFonts w:eastAsia="SimSun" w:cs="Times New Roman"/>
          <w:kern w:val="2"/>
        </w:rPr>
        <w:t xml:space="preserve">Technical Guidelines for Construction of Highway </w:t>
      </w:r>
      <w:proofErr w:type="spellStart"/>
      <w:r>
        <w:rPr>
          <w:rFonts w:eastAsia="SimSun" w:cs="Times New Roman"/>
          <w:kern w:val="2"/>
        </w:rPr>
        <w:t>Roadbases</w:t>
      </w:r>
      <w:proofErr w:type="spellEnd"/>
      <w:proofErr w:type="gramStart"/>
      <w:r>
        <w:rPr>
          <w:rFonts w:eastAsia="SimSun" w:cs="Times New Roman"/>
          <w:kern w:val="2"/>
        </w:rPr>
        <w:t>》</w:t>
      </w:r>
      <w:r>
        <w:rPr>
          <w:rFonts w:eastAsia="SimSun" w:cs="Times New Roman"/>
          <w:kern w:val="2"/>
        </w:rPr>
        <w:t>(</w:t>
      </w:r>
      <w:proofErr w:type="gramEnd"/>
      <w:r>
        <w:rPr>
          <w:rFonts w:eastAsia="SimSun" w:cs="Times New Roman"/>
          <w:kern w:val="2"/>
        </w:rPr>
        <w:t xml:space="preserve">JTG/T F20-2015), for medium and light traffic conditions on secondary and lower-class highways, the unconfined compressive strength of the base course at 7 days of curing should range between 2.0 and 4.0 </w:t>
      </w:r>
      <w:proofErr w:type="spellStart"/>
      <w:r>
        <w:rPr>
          <w:rFonts w:eastAsia="SimSun" w:cs="Times New Roman"/>
          <w:kern w:val="2"/>
        </w:rPr>
        <w:t>MPa.Analysis</w:t>
      </w:r>
      <w:proofErr w:type="spellEnd"/>
      <w:r>
        <w:rPr>
          <w:rFonts w:eastAsia="SimSun" w:cs="Times New Roman"/>
          <w:kern w:val="2"/>
        </w:rPr>
        <w:t xml:space="preserve"> of the data in Table 7 shows that the unconfined compressive strength at 7 days for all material categories meets the specification requirements. Furthermore, the coefficient of variation (</w:t>
      </w:r>
      <w:proofErr w:type="spellStart"/>
      <w:r>
        <w:rPr>
          <w:rFonts w:eastAsia="SimSun" w:cs="Times New Roman"/>
          <w:kern w:val="2"/>
        </w:rPr>
        <w:t>Cv</w:t>
      </w:r>
      <w:proofErr w:type="spellEnd"/>
      <w:r>
        <w:rPr>
          <w:rFonts w:eastAsia="SimSun" w:cs="Times New Roman"/>
          <w:kern w:val="2"/>
        </w:rPr>
        <w:t>) of the unconfined compressive strength of the base course material at 7, 28, and 90 days all satisfy the specification requirement of not exceeding 15%, indicating that the geopolymer-stabilized steel slag fully complies with the standards. The coefficient of variation for the compressive strength at 7 days is generally above 10%, reflecting a relatively high discreteness in specimen strength at this stage. This can be attributed to the rapid strength development in early ages, as well as influences from material properties and curing conditions, leading to variations in strength among specimens. However, after 28 days of curing, the coefficient of variation typically decreases to below 10%, indicating that the strength development among specimens becomes more consistent. This demonstrates that the compressive strength data tend to stabilize and homogenize over time.</w:t>
      </w:r>
    </w:p>
    <w:p w:rsidR="007C2403" w:rsidRDefault="00305B71">
      <w:pPr>
        <w:rPr>
          <w:rFonts w:eastAsia="SimSun" w:cs="Times New Roman"/>
          <w:b/>
          <w:bCs/>
          <w:kern w:val="2"/>
        </w:rPr>
      </w:pPr>
      <w:r>
        <w:rPr>
          <w:rFonts w:eastAsia="SimSun" w:cs="Times New Roman" w:hint="eastAsia"/>
          <w:b/>
          <w:bCs/>
          <w:kern w:val="2"/>
        </w:rPr>
        <w:t>2.3Splitting strength test</w:t>
      </w:r>
    </w:p>
    <w:p w:rsidR="007C2403" w:rsidRDefault="00305B71">
      <w:pPr>
        <w:wordWrap w:val="0"/>
        <w:ind w:firstLineChars="200" w:firstLine="420"/>
        <w:rPr>
          <w:rFonts w:eastAsia="SimSun" w:cs="Times New Roman"/>
          <w:kern w:val="2"/>
        </w:rPr>
      </w:pPr>
      <w:r>
        <w:rPr>
          <w:rFonts w:eastAsia="SimSun" w:cs="Times New Roman"/>
          <w:kern w:val="2"/>
        </w:rPr>
        <w:t>Cylindrical specimens with dimensions of 150 mm × 150 mm were prepared. After 9</w:t>
      </w:r>
      <w:r>
        <w:rPr>
          <w:rFonts w:eastAsia="SimSun" w:cs="Times New Roman"/>
          <w:kern w:val="2"/>
        </w:rPr>
        <w:lastRenderedPageBreak/>
        <w:t>0 days of standard curing, the specimens were immersed in a water tank one day prior to testing to simulate potential humid conditions in actual engineering applications. Before the test, the specimens were removed from the water, and any surface moisture was wiped off with a towel. They were then weighed, and the mass recorded. The diameter and height of each specimen were measured, and the average of four different directional measurements was taken as the material data. During the splitting tensile test, the specimen was placed steadily and secured between two metal rods at both ends to prevent movement. A constant loading rate of 1 mm/min was applied, and the load at failure was recorded. The experimental data are summarized in Table 8.</w:t>
      </w:r>
    </w:p>
    <w:p w:rsidR="007C2403" w:rsidRDefault="00305B71">
      <w:pPr>
        <w:pStyle w:val="a"/>
        <w:spacing w:beforeLines="50" w:before="156"/>
      </w:pPr>
      <w:r>
        <w:t xml:space="preserve">Table </w:t>
      </w:r>
      <w:r>
        <w:rPr>
          <w:rFonts w:hint="eastAsia"/>
        </w:rPr>
        <w:t xml:space="preserve">8. </w:t>
      </w:r>
      <w:r>
        <w:t>90-day age splitting test</w:t>
      </w:r>
    </w:p>
    <w:tbl>
      <w:tblPr>
        <w:tblW w:w="4998" w:type="pct"/>
        <w:jc w:val="center"/>
        <w:tblCellMar>
          <w:left w:w="0" w:type="dxa"/>
          <w:right w:w="0" w:type="dxa"/>
        </w:tblCellMar>
        <w:tblLook w:val="04A0" w:firstRow="1" w:lastRow="0" w:firstColumn="1" w:lastColumn="0" w:noHBand="0" w:noVBand="1"/>
      </w:tblPr>
      <w:tblGrid>
        <w:gridCol w:w="3087"/>
        <w:gridCol w:w="2716"/>
        <w:gridCol w:w="2716"/>
      </w:tblGrid>
      <w:tr w:rsidR="007C2403">
        <w:trPr>
          <w:trHeight w:val="624"/>
          <w:jc w:val="center"/>
        </w:trPr>
        <w:tc>
          <w:tcPr>
            <w:tcW w:w="3086"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kinsoku w:val="0"/>
              <w:wordWrap w:val="0"/>
              <w:overflowPunct w:val="0"/>
              <w:jc w:val="center"/>
              <w:rPr>
                <w:rFonts w:eastAsia="仿宋" w:cs="Times New Roman"/>
                <w:bCs/>
                <w:color w:val="000000" w:themeColor="text1"/>
              </w:rPr>
            </w:pPr>
            <w:r>
              <w:rPr>
                <w:rFonts w:eastAsia="SimSun" w:cs="Times New Roman" w:hint="eastAsia"/>
              </w:rPr>
              <w:t>Material Type</w:t>
            </w:r>
          </w:p>
        </w:tc>
        <w:tc>
          <w:tcPr>
            <w:tcW w:w="1594" w:type="pct"/>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kinsoku w:val="0"/>
              <w:wordWrap w:val="0"/>
              <w:overflowPunct w:val="0"/>
              <w:jc w:val="center"/>
              <w:rPr>
                <w:rFonts w:cs="Times New Roman"/>
                <w:bCs/>
                <w:color w:val="000000" w:themeColor="text1"/>
              </w:rPr>
            </w:pPr>
            <w:r>
              <w:rPr>
                <w:rFonts w:cs="Times New Roman" w:hint="eastAsia"/>
                <w:bCs/>
                <w:color w:val="000000" w:themeColor="text1"/>
              </w:rPr>
              <w:t xml:space="preserve">Splitting strength </w:t>
            </w:r>
            <w:proofErr w:type="gramStart"/>
            <w:r>
              <w:rPr>
                <w:rFonts w:cs="Times New Roman" w:hint="eastAsia"/>
                <w:bCs/>
                <w:color w:val="000000" w:themeColor="text1"/>
              </w:rPr>
              <w:t>( MPa</w:t>
            </w:r>
            <w:proofErr w:type="gramEnd"/>
            <w:r>
              <w:rPr>
                <w:rFonts w:cs="Times New Roman" w:hint="eastAsia"/>
                <w:bCs/>
                <w:color w:val="000000" w:themeColor="text1"/>
              </w:rPr>
              <w:t xml:space="preserve"> )</w:t>
            </w:r>
          </w:p>
        </w:tc>
        <w:tc>
          <w:tcPr>
            <w:tcW w:w="1594" w:type="pct"/>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kinsoku w:val="0"/>
              <w:wordWrap w:val="0"/>
              <w:overflowPunct w:val="0"/>
              <w:jc w:val="center"/>
              <w:rPr>
                <w:rFonts w:cs="Times New Roman"/>
                <w:bCs/>
                <w:color w:val="000000" w:themeColor="text1"/>
              </w:rPr>
            </w:pPr>
            <w:r>
              <w:rPr>
                <w:rFonts w:cs="Times New Roman"/>
                <w:bCs/>
                <w:color w:val="000000" w:themeColor="text1"/>
              </w:rPr>
              <w:t xml:space="preserve">Coefficient of </w:t>
            </w:r>
            <w:proofErr w:type="gramStart"/>
            <w:r>
              <w:rPr>
                <w:rFonts w:cs="Times New Roman"/>
                <w:bCs/>
                <w:color w:val="000000" w:themeColor="text1"/>
              </w:rPr>
              <w:t>variation(</w:t>
            </w:r>
            <w:proofErr w:type="gramEnd"/>
            <w:r>
              <w:rPr>
                <w:rFonts w:cs="Times New Roman"/>
                <w:bCs/>
                <w:color w:val="000000" w:themeColor="text1"/>
              </w:rPr>
              <w:t>%)</w:t>
            </w:r>
          </w:p>
        </w:tc>
      </w:tr>
      <w:tr w:rsidR="007C2403">
        <w:trPr>
          <w:trHeight w:val="624"/>
          <w:jc w:val="center"/>
        </w:trPr>
        <w:tc>
          <w:tcPr>
            <w:tcW w:w="3086"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kinsoku w:val="0"/>
              <w:wordWrap w:val="0"/>
              <w:overflowPunct w:val="0"/>
              <w:jc w:val="center"/>
              <w:rPr>
                <w:rFonts w:eastAsia="SimSun" w:cs="Times New Roman"/>
              </w:rPr>
            </w:pPr>
            <w:r>
              <w:rPr>
                <w:rFonts w:eastAsia="SimSun" w:cs="Times New Roman" w:hint="eastAsia"/>
              </w:rPr>
              <w:t xml:space="preserve">Geopolymer-stabilized crushed </w:t>
            </w:r>
          </w:p>
          <w:p w:rsidR="007C2403" w:rsidRDefault="00305B71">
            <w:pPr>
              <w:kinsoku w:val="0"/>
              <w:wordWrap w:val="0"/>
              <w:overflowPunct w:val="0"/>
              <w:jc w:val="center"/>
              <w:rPr>
                <w:rFonts w:cs="Times New Roman"/>
                <w:bCs/>
                <w:color w:val="000000" w:themeColor="text1"/>
              </w:rPr>
            </w:pPr>
            <w:r>
              <w:rPr>
                <w:rFonts w:eastAsia="SimSun" w:cs="Times New Roman" w:hint="eastAsia"/>
              </w:rPr>
              <w:t>stone</w:t>
            </w:r>
          </w:p>
        </w:tc>
        <w:tc>
          <w:tcPr>
            <w:tcW w:w="1594" w:type="pct"/>
            <w:tcBorders>
              <w:top w:val="single" w:sz="6" w:space="0" w:color="000000"/>
              <w:left w:val="nil"/>
              <w:bottom w:val="nil"/>
              <w:right w:val="nil"/>
            </w:tcBorders>
            <w:tcMar>
              <w:top w:w="0" w:type="dxa"/>
              <w:left w:w="108" w:type="dxa"/>
              <w:bottom w:w="0" w:type="dxa"/>
              <w:right w:w="108" w:type="dxa"/>
            </w:tcMar>
            <w:vAlign w:val="center"/>
          </w:tcPr>
          <w:p w:rsidR="007C2403" w:rsidRDefault="00305B71">
            <w:pPr>
              <w:widowControl/>
              <w:kinsoku w:val="0"/>
              <w:wordWrap w:val="0"/>
              <w:overflowPunct w:val="0"/>
              <w:jc w:val="center"/>
              <w:textAlignment w:val="center"/>
              <w:rPr>
                <w:rFonts w:eastAsia="SimSun" w:cs="Times New Roman"/>
                <w:bCs/>
                <w:color w:val="000000" w:themeColor="text1"/>
              </w:rPr>
            </w:pPr>
            <w:r>
              <w:rPr>
                <w:rFonts w:eastAsia="SimSun" w:cs="Times New Roman" w:hint="eastAsia"/>
                <w:color w:val="000000" w:themeColor="text1"/>
                <w:lang w:bidi="ar"/>
              </w:rPr>
              <w:t>0.68</w:t>
            </w:r>
          </w:p>
        </w:tc>
        <w:tc>
          <w:tcPr>
            <w:tcW w:w="1594" w:type="pct"/>
            <w:tcBorders>
              <w:top w:val="single" w:sz="6" w:space="0" w:color="000000"/>
              <w:left w:val="nil"/>
              <w:bottom w:val="nil"/>
              <w:right w:val="nil"/>
            </w:tcBorders>
            <w:tcMar>
              <w:top w:w="0" w:type="dxa"/>
              <w:left w:w="108" w:type="dxa"/>
              <w:bottom w:w="0" w:type="dxa"/>
              <w:right w:w="108" w:type="dxa"/>
            </w:tcMar>
            <w:vAlign w:val="center"/>
          </w:tcPr>
          <w:p w:rsidR="007C2403" w:rsidRDefault="00305B71">
            <w:pPr>
              <w:kinsoku w:val="0"/>
              <w:wordWrap w:val="0"/>
              <w:overflowPunct w:val="0"/>
              <w:autoSpaceDE w:val="0"/>
              <w:autoSpaceDN w:val="0"/>
              <w:jc w:val="center"/>
              <w:rPr>
                <w:rFonts w:eastAsia="SimSun" w:cs="Times New Roman"/>
                <w:bCs/>
                <w:color w:val="000000" w:themeColor="text1"/>
              </w:rPr>
            </w:pPr>
            <w:r>
              <w:rPr>
                <w:rFonts w:cs="Times New Roman" w:hint="eastAsia"/>
                <w:bCs/>
                <w:color w:val="000000" w:themeColor="text1"/>
              </w:rPr>
              <w:t>8.3</w:t>
            </w:r>
          </w:p>
        </w:tc>
      </w:tr>
      <w:tr w:rsidR="007C2403">
        <w:trPr>
          <w:trHeight w:val="624"/>
          <w:jc w:val="center"/>
        </w:trPr>
        <w:tc>
          <w:tcPr>
            <w:tcW w:w="3086" w:type="dxa"/>
            <w:tcBorders>
              <w:top w:val="nil"/>
              <w:left w:val="nil"/>
              <w:bottom w:val="single" w:sz="12" w:space="0" w:color="auto"/>
              <w:right w:val="nil"/>
            </w:tcBorders>
            <w:tcMar>
              <w:top w:w="0" w:type="dxa"/>
              <w:left w:w="108" w:type="dxa"/>
              <w:bottom w:w="0" w:type="dxa"/>
              <w:right w:w="108" w:type="dxa"/>
            </w:tcMar>
            <w:vAlign w:val="center"/>
          </w:tcPr>
          <w:p w:rsidR="007C2403" w:rsidRDefault="00305B71">
            <w:pPr>
              <w:kinsoku w:val="0"/>
              <w:wordWrap w:val="0"/>
              <w:overflowPunct w:val="0"/>
              <w:jc w:val="center"/>
              <w:rPr>
                <w:rFonts w:eastAsia="SimSun" w:cs="Times New Roman"/>
              </w:rPr>
            </w:pPr>
            <w:r>
              <w:rPr>
                <w:rFonts w:eastAsia="SimSun" w:cs="Times New Roman"/>
              </w:rPr>
              <w:t>Geopolymer-stabilized steel</w:t>
            </w:r>
          </w:p>
          <w:p w:rsidR="007C2403" w:rsidRDefault="00305B71">
            <w:pPr>
              <w:kinsoku w:val="0"/>
              <w:wordWrap w:val="0"/>
              <w:overflowPunct w:val="0"/>
              <w:jc w:val="center"/>
              <w:rPr>
                <w:rFonts w:cs="Times New Roman"/>
                <w:bCs/>
                <w:color w:val="000000" w:themeColor="text1"/>
              </w:rPr>
            </w:pPr>
            <w:r>
              <w:rPr>
                <w:rFonts w:eastAsia="SimSun" w:cs="Times New Roman"/>
              </w:rPr>
              <w:t>slag</w:t>
            </w:r>
          </w:p>
        </w:tc>
        <w:tc>
          <w:tcPr>
            <w:tcW w:w="1594" w:type="pct"/>
            <w:tcBorders>
              <w:top w:val="nil"/>
              <w:left w:val="nil"/>
              <w:bottom w:val="single" w:sz="12" w:space="0" w:color="auto"/>
              <w:right w:val="nil"/>
            </w:tcBorders>
            <w:tcMar>
              <w:top w:w="0" w:type="dxa"/>
              <w:left w:w="108" w:type="dxa"/>
              <w:bottom w:w="0" w:type="dxa"/>
              <w:right w:w="108" w:type="dxa"/>
            </w:tcMar>
            <w:vAlign w:val="center"/>
          </w:tcPr>
          <w:p w:rsidR="007C2403" w:rsidRDefault="00305B71">
            <w:pPr>
              <w:widowControl/>
              <w:kinsoku w:val="0"/>
              <w:wordWrap w:val="0"/>
              <w:overflowPunct w:val="0"/>
              <w:jc w:val="center"/>
              <w:textAlignment w:val="center"/>
              <w:rPr>
                <w:rFonts w:eastAsia="SimSun" w:cs="Times New Roman"/>
                <w:bCs/>
                <w:color w:val="000000" w:themeColor="text1"/>
              </w:rPr>
            </w:pPr>
            <w:r>
              <w:rPr>
                <w:rFonts w:eastAsia="SimSun" w:cs="Times New Roman" w:hint="eastAsia"/>
                <w:color w:val="000000" w:themeColor="text1"/>
                <w:lang w:bidi="ar"/>
              </w:rPr>
              <w:t>0.54</w:t>
            </w:r>
          </w:p>
        </w:tc>
        <w:tc>
          <w:tcPr>
            <w:tcW w:w="1594" w:type="pct"/>
            <w:tcBorders>
              <w:top w:val="nil"/>
              <w:left w:val="nil"/>
              <w:bottom w:val="single" w:sz="12" w:space="0" w:color="auto"/>
              <w:right w:val="nil"/>
            </w:tcBorders>
            <w:tcMar>
              <w:top w:w="0" w:type="dxa"/>
              <w:left w:w="108" w:type="dxa"/>
              <w:bottom w:w="0" w:type="dxa"/>
              <w:right w:w="108" w:type="dxa"/>
            </w:tcMar>
            <w:vAlign w:val="center"/>
          </w:tcPr>
          <w:p w:rsidR="007C2403" w:rsidRDefault="00305B71">
            <w:pPr>
              <w:kinsoku w:val="0"/>
              <w:wordWrap w:val="0"/>
              <w:overflowPunct w:val="0"/>
              <w:autoSpaceDE w:val="0"/>
              <w:autoSpaceDN w:val="0"/>
              <w:jc w:val="center"/>
              <w:rPr>
                <w:rFonts w:eastAsia="SimSun" w:cs="Times New Roman"/>
                <w:bCs/>
                <w:color w:val="000000" w:themeColor="text1"/>
              </w:rPr>
            </w:pPr>
            <w:r>
              <w:rPr>
                <w:rFonts w:cs="Times New Roman" w:hint="eastAsia"/>
                <w:bCs/>
                <w:color w:val="000000" w:themeColor="text1"/>
              </w:rPr>
              <w:t>6.8</w:t>
            </w:r>
          </w:p>
        </w:tc>
      </w:tr>
    </w:tbl>
    <w:p w:rsidR="007C2403" w:rsidRDefault="00305B71">
      <w:pPr>
        <w:spacing w:beforeLines="50" w:before="156" w:line="300" w:lineRule="auto"/>
        <w:ind w:firstLineChars="200" w:firstLine="480"/>
        <w:rPr>
          <w:rFonts w:cs="Times New Roman"/>
          <w:sz w:val="24"/>
          <w:szCs w:val="24"/>
        </w:rPr>
      </w:pPr>
      <w:r>
        <w:rPr>
          <w:rFonts w:cs="Times New Roman"/>
          <w:sz w:val="24"/>
          <w:szCs w:val="24"/>
        </w:rPr>
        <w:t>The splitting tensile performance of geopolymer-stabilized steel slag base course materials is significantly influenced by their constituent components, including the paste, aggregate particles, and the interfacial transition zone between the paste and aggregates. The synergistic interaction among these components plays a decisive role in determining the splitting tensile strength of the base material. Owing to their rougher surface and higher porosity, steel slag aggregates allow for better penetration of the paste, resulting in stronger bonding forces. As the paste hardens, the interfacial strength is further enhanced, thereby improving the splitting performance of the base material. The splitting tensile strength is also affected by the hydration reaction of the cementitious materials and the bonding interaction with the aggregates. The formation of C-S-H gel during the hydration of steel slag, combined with its rough surface, creates favorable conditions for strength enhancement. When the incorporation amount of steel slag reaches 100%, the splitting tensile strength of the base material decreases, reflecting the negative effect of reduced compactness. Nevertheless, the material still meets the required strength specifications.</w:t>
      </w:r>
    </w:p>
    <w:p w:rsidR="007C2403" w:rsidRDefault="00305B71">
      <w:pPr>
        <w:rPr>
          <w:rFonts w:eastAsia="SimSun" w:cs="Times New Roman"/>
          <w:b/>
          <w:bCs/>
          <w:kern w:val="2"/>
        </w:rPr>
      </w:pPr>
      <w:r>
        <w:rPr>
          <w:rFonts w:eastAsia="SimSun" w:cs="Times New Roman" w:hint="eastAsia"/>
          <w:b/>
          <w:bCs/>
          <w:kern w:val="2"/>
        </w:rPr>
        <w:t>2.4 Dry shrinkage test</w:t>
      </w:r>
    </w:p>
    <w:p w:rsidR="007C2403" w:rsidRDefault="00305B71">
      <w:pPr>
        <w:spacing w:beforeLines="50" w:before="156" w:line="300" w:lineRule="auto"/>
        <w:ind w:firstLineChars="200" w:firstLine="480"/>
        <w:rPr>
          <w:rFonts w:cs="Times New Roman"/>
          <w:sz w:val="24"/>
          <w:szCs w:val="24"/>
        </w:rPr>
      </w:pPr>
      <w:r>
        <w:rPr>
          <w:rFonts w:cs="Times New Roman"/>
          <w:sz w:val="24"/>
          <w:szCs w:val="24"/>
        </w:rPr>
        <w:t xml:space="preserve">The drying shrinkage test is designed to evaluate the drying shrinkage characteristics of inorganic binder-stabilized materials. By measuring the shrinkage deformation and water loss rate of the material, the drying shrinkage coefficient is calculated, thereby enabling the assessment of the drying shrinkage performance of different materials. The specimens were formed using static compaction. After </w:t>
      </w:r>
      <w:r>
        <w:rPr>
          <w:rFonts w:cs="Times New Roman"/>
          <w:sz w:val="24"/>
          <w:szCs w:val="24"/>
        </w:rPr>
        <w:lastRenderedPageBreak/>
        <w:t xml:space="preserve">formation, they were placed in an environment maintained at 20 °C and 60% relative humidity. Data were recorded daily until the 7th day; from then on, recordings were taken every two days. Starting from the 30th day of the experiment, data for the 60th, 90th, 120th, 150th, and 180th days were also recorded. Each time data </w:t>
      </w:r>
      <w:proofErr w:type="gramStart"/>
      <w:r>
        <w:rPr>
          <w:rFonts w:cs="Times New Roman"/>
          <w:sz w:val="24"/>
          <w:szCs w:val="24"/>
        </w:rPr>
        <w:t>were</w:t>
      </w:r>
      <w:proofErr w:type="gramEnd"/>
      <w:r>
        <w:rPr>
          <w:rFonts w:cs="Times New Roman"/>
          <w:sz w:val="24"/>
          <w:szCs w:val="24"/>
        </w:rPr>
        <w:t xml:space="preserve"> collected, the moisture content of the specimens was measured. Upon completion of the test, the specimens were oven-dried to constant mass and weighed. The testing of the specimens is shown in Figure 4, and the experimental data are summarized in Table 9.</w:t>
      </w:r>
    </w:p>
    <w:tbl>
      <w:tblPr>
        <w:tblStyle w:val="TableGrid"/>
        <w:tblW w:w="488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8"/>
      </w:tblGrid>
      <w:tr w:rsidR="007C2403">
        <w:trPr>
          <w:trHeight w:val="2835"/>
          <w:jc w:val="center"/>
        </w:trPr>
        <w:tc>
          <w:tcPr>
            <w:tcW w:w="5000" w:type="pct"/>
            <w:tcBorders>
              <w:tl2br w:val="nil"/>
              <w:tr2bl w:val="nil"/>
            </w:tcBorders>
            <w:vAlign w:val="center"/>
          </w:tcPr>
          <w:p w:rsidR="007C2403" w:rsidRDefault="00305B71">
            <w:pPr>
              <w:spacing w:line="300" w:lineRule="auto"/>
              <w:jc w:val="center"/>
              <w:rPr>
                <w:rFonts w:cs="Times New Roman"/>
                <w:color w:val="000000" w:themeColor="text1"/>
              </w:rPr>
            </w:pPr>
            <w:r>
              <w:rPr>
                <w:rFonts w:cs="Times New Roman"/>
                <w:noProof/>
                <w:color w:val="000000" w:themeColor="text1"/>
                <w:lang w:eastAsia="en-US"/>
              </w:rPr>
              <w:drawing>
                <wp:inline distT="0" distB="0" distL="0" distR="0">
                  <wp:extent cx="4779010" cy="2059305"/>
                  <wp:effectExtent l="0" t="0" r="12700" b="8255"/>
                  <wp:docPr id="13" name="图片 13" descr="C:/Users/76464/Desktop/实验文献及数据/论文图片/干缩试件.jpg干缩试件"/>
                  <wp:cNvGraphicFramePr/>
                  <a:graphic xmlns:a="http://schemas.openxmlformats.org/drawingml/2006/main">
                    <a:graphicData uri="http://schemas.openxmlformats.org/drawingml/2006/picture">
                      <pic:pic xmlns:pic="http://schemas.openxmlformats.org/drawingml/2006/picture">
                        <pic:nvPicPr>
                          <pic:cNvPr id="13" name="图片 13" descr="C:/Users/76464/Desktop/实验文献及数据/论文图片/干缩试件.jpg干缩试件"/>
                          <pic:cNvPicPr>
                            <a:picLocks noChangeArrowheads="1"/>
                          </pic:cNvPicPr>
                        </pic:nvPicPr>
                        <pic:blipFill>
                          <a:blip r:embed="rId24"/>
                          <a:srcRect t="21273" b="21273"/>
                          <a:stretch>
                            <a:fillRect/>
                          </a:stretch>
                        </pic:blipFill>
                        <pic:spPr>
                          <a:xfrm>
                            <a:off x="0" y="0"/>
                            <a:ext cx="4779010" cy="2059305"/>
                          </a:xfrm>
                          <a:prstGeom prst="rect">
                            <a:avLst/>
                          </a:prstGeom>
                          <a:noFill/>
                          <a:ln>
                            <a:noFill/>
                          </a:ln>
                        </pic:spPr>
                      </pic:pic>
                    </a:graphicData>
                  </a:graphic>
                </wp:inline>
              </w:drawing>
            </w:r>
          </w:p>
        </w:tc>
      </w:tr>
      <w:tr w:rsidR="007C2403">
        <w:trPr>
          <w:trHeight w:val="620"/>
          <w:jc w:val="center"/>
        </w:trPr>
        <w:tc>
          <w:tcPr>
            <w:tcW w:w="5000" w:type="pct"/>
            <w:tcBorders>
              <w:tl2br w:val="nil"/>
              <w:tr2bl w:val="nil"/>
            </w:tcBorders>
            <w:vAlign w:val="center"/>
          </w:tcPr>
          <w:p w:rsidR="007C2403" w:rsidRDefault="00305B71">
            <w:pPr>
              <w:pStyle w:val="Caption"/>
              <w:jc w:val="center"/>
            </w:pPr>
            <w:r>
              <w:t xml:space="preserve">Fig. </w:t>
            </w:r>
            <w:r>
              <w:rPr>
                <w:rFonts w:hint="eastAsia"/>
              </w:rPr>
              <w:t xml:space="preserve">4 </w:t>
            </w:r>
            <w:r>
              <w:t>Drying shrinkage test device and specimen</w:t>
            </w:r>
          </w:p>
        </w:tc>
      </w:tr>
    </w:tbl>
    <w:p w:rsidR="007C2403" w:rsidRDefault="00305B71">
      <w:pPr>
        <w:kinsoku w:val="0"/>
        <w:wordWrap w:val="0"/>
        <w:overflowPunct w:val="0"/>
        <w:spacing w:beforeLines="50" w:before="156" w:line="300" w:lineRule="auto"/>
        <w:jc w:val="center"/>
        <w:rPr>
          <w:rFonts w:cs="Times New Roman"/>
          <w:b/>
          <w:bCs/>
          <w:color w:val="000000" w:themeColor="text1"/>
        </w:rPr>
      </w:pPr>
      <w:r>
        <w:rPr>
          <w:rFonts w:cs="Times New Roman" w:hint="eastAsia"/>
          <w:b/>
          <w:bCs/>
          <w:color w:val="000000" w:themeColor="text1"/>
        </w:rPr>
        <w:t>Table 9 Drying shrinkage test results</w:t>
      </w:r>
    </w:p>
    <w:tbl>
      <w:tblPr>
        <w:tblStyle w:val="TableGrid"/>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3"/>
        <w:gridCol w:w="834"/>
        <w:gridCol w:w="868"/>
        <w:gridCol w:w="919"/>
        <w:gridCol w:w="922"/>
        <w:gridCol w:w="716"/>
        <w:gridCol w:w="845"/>
        <w:gridCol w:w="907"/>
        <w:gridCol w:w="869"/>
        <w:gridCol w:w="917"/>
        <w:gridCol w:w="12"/>
      </w:tblGrid>
      <w:tr w:rsidR="007C2403">
        <w:trPr>
          <w:jc w:val="center"/>
        </w:trPr>
        <w:tc>
          <w:tcPr>
            <w:tcW w:w="2496" w:type="pct"/>
            <w:gridSpan w:val="5"/>
            <w:tcBorders>
              <w:bottom w:val="nil"/>
              <w:right w:val="single" w:sz="12" w:space="0" w:color="auto"/>
            </w:tcBorders>
            <w:vAlign w:val="center"/>
          </w:tcPr>
          <w:p w:rsidR="007C2403" w:rsidRDefault="00305B71">
            <w:pPr>
              <w:pStyle w:val="a0"/>
              <w:jc w:val="center"/>
              <w:rPr>
                <w:color w:val="000000" w:themeColor="text1"/>
              </w:rPr>
            </w:pPr>
            <w:r>
              <w:rPr>
                <w:rFonts w:hint="eastAsia"/>
                <w:color w:val="000000" w:themeColor="text1"/>
              </w:rPr>
              <w:t>Geopolymer-stabilized crushed stone</w:t>
            </w:r>
          </w:p>
        </w:tc>
        <w:tc>
          <w:tcPr>
            <w:tcW w:w="2503" w:type="pct"/>
            <w:gridSpan w:val="6"/>
            <w:tcBorders>
              <w:left w:val="single" w:sz="12" w:space="0" w:color="auto"/>
            </w:tcBorders>
            <w:vAlign w:val="center"/>
          </w:tcPr>
          <w:p w:rsidR="007C2403" w:rsidRDefault="00305B71">
            <w:pPr>
              <w:pStyle w:val="a0"/>
              <w:jc w:val="center"/>
              <w:rPr>
                <w:color w:val="000000" w:themeColor="text1"/>
              </w:rPr>
            </w:pPr>
            <w:r>
              <w:rPr>
                <w:rFonts w:hint="eastAsia"/>
                <w:color w:val="000000" w:themeColor="text1"/>
              </w:rPr>
              <w:t>Geopolymer-stabilized steel slag</w:t>
            </w:r>
          </w:p>
        </w:tc>
      </w:tr>
      <w:tr w:rsidR="007C2403">
        <w:trPr>
          <w:trHeight w:val="885"/>
          <w:jc w:val="center"/>
        </w:trPr>
        <w:tc>
          <w:tcPr>
            <w:tcW w:w="418" w:type="pct"/>
            <w:tcBorders>
              <w:top w:val="nil"/>
              <w:bottom w:val="single" w:sz="8" w:space="0" w:color="auto"/>
            </w:tcBorders>
            <w:vAlign w:val="center"/>
          </w:tcPr>
          <w:p w:rsidR="007C2403" w:rsidRDefault="00305B71">
            <w:pPr>
              <w:pStyle w:val="a0"/>
              <w:jc w:val="center"/>
              <w:rPr>
                <w:color w:val="000000" w:themeColor="text1"/>
              </w:rPr>
            </w:pPr>
            <w:r>
              <w:rPr>
                <w:color w:val="000000" w:themeColor="text1"/>
              </w:rPr>
              <w:t>instar</w:t>
            </w:r>
            <w:r>
              <w:rPr>
                <w:color w:val="000000" w:themeColor="text1"/>
              </w:rPr>
              <w:t>（</w:t>
            </w:r>
            <w:r>
              <w:rPr>
                <w:color w:val="000000" w:themeColor="text1"/>
              </w:rPr>
              <w:t>d</w:t>
            </w:r>
            <w:r>
              <w:rPr>
                <w:color w:val="000000" w:themeColor="text1"/>
              </w:rPr>
              <w:t>）</w:t>
            </w:r>
          </w:p>
        </w:tc>
        <w:tc>
          <w:tcPr>
            <w:tcW w:w="489" w:type="pct"/>
            <w:tcBorders>
              <w:top w:val="nil"/>
              <w:bottom w:val="single" w:sz="8" w:space="0" w:color="auto"/>
            </w:tcBorders>
            <w:vAlign w:val="center"/>
          </w:tcPr>
          <w:p w:rsidR="007C2403" w:rsidRDefault="00305B71">
            <w:pPr>
              <w:pStyle w:val="a0"/>
              <w:jc w:val="center"/>
              <w:rPr>
                <w:color w:val="000000" w:themeColor="text1"/>
              </w:rPr>
            </w:pPr>
            <w:r>
              <w:rPr>
                <w:color w:val="000000" w:themeColor="text1"/>
              </w:rPr>
              <w:t>water loss rate</w:t>
            </w:r>
            <w:r>
              <w:rPr>
                <w:color w:val="000000" w:themeColor="text1"/>
              </w:rPr>
              <w:t>（</w:t>
            </w:r>
            <w:r>
              <w:rPr>
                <w:color w:val="000000" w:themeColor="text1"/>
              </w:rPr>
              <w:t>%</w:t>
            </w:r>
            <w:r>
              <w:rPr>
                <w:color w:val="000000" w:themeColor="text1"/>
              </w:rPr>
              <w:t>）</w:t>
            </w:r>
          </w:p>
        </w:tc>
        <w:tc>
          <w:tcPr>
            <w:tcW w:w="509" w:type="pct"/>
            <w:tcBorders>
              <w:top w:val="nil"/>
              <w:bottom w:val="single" w:sz="8" w:space="0" w:color="auto"/>
            </w:tcBorders>
            <w:vAlign w:val="center"/>
          </w:tcPr>
          <w:p w:rsidR="007C2403" w:rsidRDefault="00305B71">
            <w:pPr>
              <w:pStyle w:val="a0"/>
              <w:jc w:val="center"/>
              <w:rPr>
                <w:color w:val="000000" w:themeColor="text1"/>
              </w:rPr>
            </w:pPr>
            <w:r>
              <w:rPr>
                <w:color w:val="000000" w:themeColor="text1"/>
              </w:rPr>
              <w:t>dry shrinkage</w:t>
            </w:r>
            <w:r>
              <w:rPr>
                <w:color w:val="000000" w:themeColor="text1"/>
              </w:rPr>
              <w:t>（</w:t>
            </w:r>
            <w:r>
              <w:rPr>
                <w:color w:val="000000" w:themeColor="text1"/>
              </w:rPr>
              <w:t>mm</w:t>
            </w:r>
            <w:r>
              <w:rPr>
                <w:color w:val="000000" w:themeColor="text1"/>
              </w:rPr>
              <w:t>）</w:t>
            </w:r>
          </w:p>
        </w:tc>
        <w:tc>
          <w:tcPr>
            <w:tcW w:w="539" w:type="pct"/>
            <w:tcBorders>
              <w:top w:val="nil"/>
              <w:bottom w:val="single" w:sz="8" w:space="0" w:color="auto"/>
            </w:tcBorders>
            <w:vAlign w:val="center"/>
          </w:tcPr>
          <w:p w:rsidR="007C2403" w:rsidRDefault="00305B71">
            <w:pPr>
              <w:pStyle w:val="a0"/>
              <w:jc w:val="center"/>
              <w:rPr>
                <w:color w:val="000000" w:themeColor="text1"/>
              </w:rPr>
            </w:pPr>
            <w:r>
              <w:rPr>
                <w:color w:val="000000" w:themeColor="text1"/>
              </w:rPr>
              <w:t>dry shrinkage strain</w:t>
            </w:r>
            <w:r>
              <w:rPr>
                <w:color w:val="000000" w:themeColor="text1"/>
              </w:rPr>
              <w:t>（</w:t>
            </w:r>
            <w:r>
              <w:rPr>
                <w:color w:val="000000" w:themeColor="text1"/>
              </w:rPr>
              <w:t>10</w:t>
            </w:r>
            <w:r>
              <w:rPr>
                <w:color w:val="000000" w:themeColor="text1"/>
                <w:vertAlign w:val="superscript"/>
              </w:rPr>
              <w:t>-6</w:t>
            </w:r>
            <w:r>
              <w:rPr>
                <w:color w:val="000000" w:themeColor="text1"/>
              </w:rPr>
              <w:t>）</w:t>
            </w:r>
          </w:p>
        </w:tc>
        <w:tc>
          <w:tcPr>
            <w:tcW w:w="539" w:type="pct"/>
            <w:tcBorders>
              <w:top w:val="nil"/>
              <w:bottom w:val="single" w:sz="8" w:space="0" w:color="auto"/>
              <w:right w:val="single" w:sz="12" w:space="0" w:color="auto"/>
            </w:tcBorders>
            <w:vAlign w:val="center"/>
          </w:tcPr>
          <w:p w:rsidR="007C2403" w:rsidRDefault="00305B71">
            <w:pPr>
              <w:pStyle w:val="a0"/>
              <w:jc w:val="center"/>
              <w:rPr>
                <w:color w:val="000000" w:themeColor="text1"/>
              </w:rPr>
            </w:pPr>
            <w:r>
              <w:rPr>
                <w:color w:val="000000" w:themeColor="text1"/>
              </w:rPr>
              <w:t>coefficient of shrinkage</w:t>
            </w:r>
            <w:r>
              <w:rPr>
                <w:color w:val="000000" w:themeColor="text1"/>
              </w:rPr>
              <w:t>（</w:t>
            </w:r>
            <w:r>
              <w:rPr>
                <w:color w:val="000000" w:themeColor="text1"/>
              </w:rPr>
              <w:t>10</w:t>
            </w:r>
            <w:r>
              <w:rPr>
                <w:color w:val="000000" w:themeColor="text1"/>
                <w:vertAlign w:val="superscript"/>
              </w:rPr>
              <w:t>-6</w:t>
            </w:r>
            <w:r>
              <w:rPr>
                <w:color w:val="000000" w:themeColor="text1"/>
              </w:rPr>
              <w:t>）</w:t>
            </w:r>
          </w:p>
        </w:tc>
        <w:tc>
          <w:tcPr>
            <w:tcW w:w="717" w:type="dxa"/>
            <w:tcBorders>
              <w:left w:val="single" w:sz="12" w:space="0" w:color="auto"/>
              <w:bottom w:val="single" w:sz="6" w:space="0" w:color="auto"/>
            </w:tcBorders>
            <w:vAlign w:val="center"/>
          </w:tcPr>
          <w:p w:rsidR="007C2403" w:rsidRDefault="00305B71">
            <w:pPr>
              <w:pStyle w:val="a0"/>
              <w:jc w:val="center"/>
              <w:rPr>
                <w:color w:val="000000" w:themeColor="text1"/>
              </w:rPr>
            </w:pPr>
            <w:r>
              <w:rPr>
                <w:color w:val="000000" w:themeColor="text1"/>
              </w:rPr>
              <w:t>instar</w:t>
            </w:r>
            <w:r>
              <w:rPr>
                <w:color w:val="000000" w:themeColor="text1"/>
              </w:rPr>
              <w:t>（</w:t>
            </w:r>
            <w:r>
              <w:rPr>
                <w:color w:val="000000" w:themeColor="text1"/>
              </w:rPr>
              <w:t>d</w:t>
            </w:r>
            <w:r>
              <w:rPr>
                <w:color w:val="000000" w:themeColor="text1"/>
              </w:rPr>
              <w:t>）</w:t>
            </w:r>
          </w:p>
        </w:tc>
        <w:tc>
          <w:tcPr>
            <w:tcW w:w="846" w:type="dxa"/>
            <w:tcBorders>
              <w:bottom w:val="single" w:sz="6" w:space="0" w:color="auto"/>
            </w:tcBorders>
            <w:vAlign w:val="center"/>
          </w:tcPr>
          <w:p w:rsidR="007C2403" w:rsidRDefault="00305B71">
            <w:pPr>
              <w:pStyle w:val="a0"/>
              <w:jc w:val="center"/>
              <w:rPr>
                <w:color w:val="000000" w:themeColor="text1"/>
              </w:rPr>
            </w:pPr>
            <w:r>
              <w:rPr>
                <w:color w:val="000000" w:themeColor="text1"/>
              </w:rPr>
              <w:t>water loss rate</w:t>
            </w:r>
            <w:r>
              <w:rPr>
                <w:color w:val="000000" w:themeColor="text1"/>
              </w:rPr>
              <w:t>（</w:t>
            </w:r>
            <w:r>
              <w:rPr>
                <w:color w:val="000000" w:themeColor="text1"/>
              </w:rPr>
              <w:t>%</w:t>
            </w:r>
            <w:r>
              <w:rPr>
                <w:color w:val="000000" w:themeColor="text1"/>
              </w:rPr>
              <w:t>）</w:t>
            </w:r>
          </w:p>
        </w:tc>
        <w:tc>
          <w:tcPr>
            <w:tcW w:w="908" w:type="dxa"/>
            <w:tcBorders>
              <w:bottom w:val="single" w:sz="6" w:space="0" w:color="auto"/>
            </w:tcBorders>
            <w:vAlign w:val="center"/>
          </w:tcPr>
          <w:p w:rsidR="007C2403" w:rsidRDefault="00305B71">
            <w:pPr>
              <w:pStyle w:val="a0"/>
              <w:jc w:val="center"/>
              <w:rPr>
                <w:color w:val="000000" w:themeColor="text1"/>
              </w:rPr>
            </w:pPr>
            <w:r>
              <w:rPr>
                <w:color w:val="000000" w:themeColor="text1"/>
              </w:rPr>
              <w:t>dry shrinkage</w:t>
            </w:r>
            <w:r>
              <w:rPr>
                <w:color w:val="000000" w:themeColor="text1"/>
              </w:rPr>
              <w:t>（</w:t>
            </w:r>
            <w:r>
              <w:rPr>
                <w:color w:val="000000" w:themeColor="text1"/>
              </w:rPr>
              <w:t>mm</w:t>
            </w:r>
            <w:r>
              <w:rPr>
                <w:color w:val="000000" w:themeColor="text1"/>
              </w:rPr>
              <w:t>）</w:t>
            </w:r>
          </w:p>
        </w:tc>
        <w:tc>
          <w:tcPr>
            <w:tcW w:w="870" w:type="dxa"/>
            <w:tcBorders>
              <w:bottom w:val="single" w:sz="6" w:space="0" w:color="auto"/>
            </w:tcBorders>
            <w:vAlign w:val="center"/>
          </w:tcPr>
          <w:p w:rsidR="007C2403" w:rsidRDefault="00305B71">
            <w:pPr>
              <w:pStyle w:val="a0"/>
              <w:jc w:val="center"/>
              <w:rPr>
                <w:color w:val="000000" w:themeColor="text1"/>
              </w:rPr>
            </w:pPr>
            <w:r>
              <w:rPr>
                <w:color w:val="000000" w:themeColor="text1"/>
              </w:rPr>
              <w:t>dry shrinkage strain</w:t>
            </w:r>
            <w:r>
              <w:rPr>
                <w:color w:val="000000" w:themeColor="text1"/>
              </w:rPr>
              <w:t>（</w:t>
            </w:r>
            <w:r>
              <w:rPr>
                <w:color w:val="000000" w:themeColor="text1"/>
              </w:rPr>
              <w:t>10</w:t>
            </w:r>
            <w:r>
              <w:rPr>
                <w:color w:val="000000" w:themeColor="text1"/>
                <w:vertAlign w:val="superscript"/>
              </w:rPr>
              <w:t>-6</w:t>
            </w:r>
            <w:r>
              <w:rPr>
                <w:color w:val="000000" w:themeColor="text1"/>
              </w:rPr>
              <w:t>）</w:t>
            </w:r>
          </w:p>
        </w:tc>
        <w:tc>
          <w:tcPr>
            <w:tcW w:w="926" w:type="dxa"/>
            <w:gridSpan w:val="2"/>
            <w:tcBorders>
              <w:bottom w:val="single" w:sz="6" w:space="0" w:color="auto"/>
            </w:tcBorders>
            <w:vAlign w:val="center"/>
          </w:tcPr>
          <w:p w:rsidR="007C2403" w:rsidRDefault="00305B71">
            <w:pPr>
              <w:pStyle w:val="a0"/>
              <w:jc w:val="center"/>
              <w:rPr>
                <w:color w:val="000000" w:themeColor="text1"/>
              </w:rPr>
            </w:pPr>
            <w:r>
              <w:rPr>
                <w:color w:val="000000" w:themeColor="text1"/>
              </w:rPr>
              <w:t>coefficient of shrinkage</w:t>
            </w:r>
            <w:r>
              <w:rPr>
                <w:color w:val="000000" w:themeColor="text1"/>
              </w:rPr>
              <w:t>（</w:t>
            </w:r>
            <w:r>
              <w:rPr>
                <w:color w:val="000000" w:themeColor="text1"/>
              </w:rPr>
              <w:t>10</w:t>
            </w:r>
            <w:r>
              <w:rPr>
                <w:color w:val="000000" w:themeColor="text1"/>
                <w:vertAlign w:val="superscript"/>
              </w:rPr>
              <w:t>-6</w:t>
            </w:r>
            <w:r>
              <w:rPr>
                <w:color w:val="000000" w:themeColor="text1"/>
              </w:rPr>
              <w:t>）</w:t>
            </w:r>
          </w:p>
        </w:tc>
      </w:tr>
      <w:tr w:rsidR="007C2403">
        <w:trPr>
          <w:jc w:val="center"/>
        </w:trPr>
        <w:tc>
          <w:tcPr>
            <w:tcW w:w="418" w:type="pct"/>
            <w:tcBorders>
              <w:top w:val="single" w:sz="8" w:space="0" w:color="auto"/>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w:t>
            </w:r>
          </w:p>
        </w:tc>
        <w:tc>
          <w:tcPr>
            <w:tcW w:w="489" w:type="pct"/>
            <w:tcBorders>
              <w:top w:val="single" w:sz="8" w:space="0" w:color="auto"/>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0.56</w:t>
            </w:r>
          </w:p>
        </w:tc>
        <w:tc>
          <w:tcPr>
            <w:tcW w:w="509" w:type="pct"/>
            <w:tcBorders>
              <w:top w:val="single" w:sz="8" w:space="0" w:color="auto"/>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0.012</w:t>
            </w:r>
          </w:p>
        </w:tc>
        <w:tc>
          <w:tcPr>
            <w:tcW w:w="539" w:type="pct"/>
            <w:tcBorders>
              <w:top w:val="single" w:sz="8" w:space="0" w:color="auto"/>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31.0</w:t>
            </w:r>
          </w:p>
        </w:tc>
        <w:tc>
          <w:tcPr>
            <w:tcW w:w="539" w:type="pct"/>
            <w:tcBorders>
              <w:top w:val="single" w:sz="8" w:space="0" w:color="auto"/>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57.23</w:t>
            </w:r>
          </w:p>
        </w:tc>
        <w:tc>
          <w:tcPr>
            <w:tcW w:w="420" w:type="pct"/>
            <w:tcBorders>
              <w:top w:val="single" w:sz="6" w:space="0" w:color="auto"/>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w:t>
            </w:r>
          </w:p>
        </w:tc>
        <w:tc>
          <w:tcPr>
            <w:tcW w:w="496" w:type="pct"/>
            <w:tcBorders>
              <w:top w:val="single" w:sz="6" w:space="0" w:color="auto"/>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0.47</w:t>
            </w:r>
          </w:p>
        </w:tc>
        <w:tc>
          <w:tcPr>
            <w:tcW w:w="532" w:type="pct"/>
            <w:tcBorders>
              <w:top w:val="single" w:sz="6" w:space="0" w:color="auto"/>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0.008</w:t>
            </w:r>
          </w:p>
        </w:tc>
        <w:tc>
          <w:tcPr>
            <w:tcW w:w="510" w:type="pct"/>
            <w:tcBorders>
              <w:top w:val="single" w:sz="6" w:space="0" w:color="auto"/>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25.5</w:t>
            </w:r>
          </w:p>
        </w:tc>
        <w:tc>
          <w:tcPr>
            <w:tcW w:w="543" w:type="pct"/>
            <w:gridSpan w:val="2"/>
            <w:tcBorders>
              <w:top w:val="single" w:sz="6" w:space="0" w:color="auto"/>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50.38</w:t>
            </w:r>
          </w:p>
        </w:tc>
      </w:tr>
      <w:tr w:rsidR="007C2403">
        <w:trPr>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2</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0.77</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0.028</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69.0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92.70</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2</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0.69</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0.026</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64.5</w:t>
            </w:r>
          </w:p>
        </w:tc>
        <w:tc>
          <w:tcPr>
            <w:tcW w:w="543" w:type="pct"/>
            <w:gridSpan w:val="2"/>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96.08</w:t>
            </w:r>
          </w:p>
        </w:tc>
      </w:tr>
      <w:tr w:rsidR="007C2403">
        <w:trPr>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3</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1.04</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0.044</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110.0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109.63</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3</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0.95</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0.043</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108.5</w:t>
            </w:r>
          </w:p>
        </w:tc>
        <w:tc>
          <w:tcPr>
            <w:tcW w:w="543" w:type="pct"/>
            <w:gridSpan w:val="2"/>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117.55</w:t>
            </w:r>
          </w:p>
        </w:tc>
      </w:tr>
      <w:tr w:rsidR="007C2403">
        <w:trPr>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4</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1.27</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0.059</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148.0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121.43</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4</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1.15</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0.057</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142.0</w:t>
            </w:r>
          </w:p>
        </w:tc>
        <w:tc>
          <w:tcPr>
            <w:tcW w:w="543" w:type="pct"/>
            <w:gridSpan w:val="2"/>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126.45</w:t>
            </w:r>
          </w:p>
        </w:tc>
      </w:tr>
      <w:tr w:rsidR="007C2403">
        <w:trPr>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5</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1.51</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0.069</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173.5</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119.12</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5</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1.36</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0.064</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160.0</w:t>
            </w:r>
          </w:p>
        </w:tc>
        <w:tc>
          <w:tcPr>
            <w:tcW w:w="543" w:type="pct"/>
            <w:gridSpan w:val="2"/>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120.94</w:t>
            </w:r>
          </w:p>
        </w:tc>
      </w:tr>
      <w:tr w:rsidR="007C2403">
        <w:trPr>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6</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1.75</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0.080</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199.0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118.15</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6</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1.60</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0.072</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180.5</w:t>
            </w:r>
          </w:p>
        </w:tc>
        <w:tc>
          <w:tcPr>
            <w:tcW w:w="543" w:type="pct"/>
            <w:gridSpan w:val="2"/>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116.29</w:t>
            </w:r>
          </w:p>
        </w:tc>
      </w:tr>
      <w:tr w:rsidR="007C2403">
        <w:trPr>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7</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1.90</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0.089</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222.0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121.76</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7</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1.71</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0.078</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196.0</w:t>
            </w:r>
          </w:p>
        </w:tc>
        <w:tc>
          <w:tcPr>
            <w:tcW w:w="543" w:type="pct"/>
            <w:gridSpan w:val="2"/>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117.89</w:t>
            </w:r>
          </w:p>
        </w:tc>
      </w:tr>
      <w:tr w:rsidR="007C2403">
        <w:trPr>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9</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2.03</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0.105</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263.0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134.63</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9</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1.83</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0.095</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237.0</w:t>
            </w:r>
          </w:p>
        </w:tc>
        <w:tc>
          <w:tcPr>
            <w:tcW w:w="543" w:type="pct"/>
            <w:gridSpan w:val="2"/>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133.09</w:t>
            </w:r>
          </w:p>
        </w:tc>
      </w:tr>
      <w:tr w:rsidR="007C2403">
        <w:trPr>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11</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2.09</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0.119</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298.5</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148.41</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11</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1.88</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0.107</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267.5</w:t>
            </w:r>
          </w:p>
        </w:tc>
        <w:tc>
          <w:tcPr>
            <w:tcW w:w="543" w:type="pct"/>
            <w:gridSpan w:val="2"/>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146.34</w:t>
            </w:r>
          </w:p>
        </w:tc>
      </w:tr>
      <w:tr w:rsidR="007C2403">
        <w:trPr>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13</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2.18</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0.128</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319.0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151.83</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13</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1.95</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0.114</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286.0</w:t>
            </w:r>
          </w:p>
        </w:tc>
        <w:tc>
          <w:tcPr>
            <w:tcW w:w="543" w:type="pct"/>
            <w:gridSpan w:val="2"/>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151.23</w:t>
            </w:r>
          </w:p>
        </w:tc>
      </w:tr>
      <w:tr w:rsidR="007C2403">
        <w:trPr>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15</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2.28</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0.136</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229.5</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154.96</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15</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2.04</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0.125</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311.5</w:t>
            </w:r>
          </w:p>
        </w:tc>
        <w:tc>
          <w:tcPr>
            <w:tcW w:w="543" w:type="pct"/>
            <w:gridSpan w:val="2"/>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157.36</w:t>
            </w:r>
          </w:p>
        </w:tc>
      </w:tr>
      <w:tr w:rsidR="007C2403">
        <w:trPr>
          <w:gridAfter w:val="1"/>
          <w:wAfter w:w="5" w:type="pct"/>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17</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2.43</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0.141</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352.0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150.58</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17</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2.18</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0.130</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324.5</w:t>
            </w:r>
          </w:p>
        </w:tc>
        <w:tc>
          <w:tcPr>
            <w:tcW w:w="538"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153.04</w:t>
            </w:r>
          </w:p>
        </w:tc>
      </w:tr>
      <w:tr w:rsidR="007C2403">
        <w:trPr>
          <w:gridAfter w:val="1"/>
          <w:wAfter w:w="5" w:type="pct"/>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19</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2.50</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0.145</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362.5</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150.47</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19</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2.25</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0.136</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340.0</w:t>
            </w:r>
          </w:p>
        </w:tc>
        <w:tc>
          <w:tcPr>
            <w:tcW w:w="538"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155.92</w:t>
            </w:r>
          </w:p>
        </w:tc>
      </w:tr>
      <w:tr w:rsidR="007C2403">
        <w:trPr>
          <w:gridAfter w:val="1"/>
          <w:wAfter w:w="5" w:type="pct"/>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21</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2.64</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0.149</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372.5</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146.86</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21</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2.39</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0.142</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355.5</w:t>
            </w:r>
          </w:p>
        </w:tc>
        <w:tc>
          <w:tcPr>
            <w:tcW w:w="538"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153.17</w:t>
            </w:r>
          </w:p>
        </w:tc>
      </w:tr>
      <w:tr w:rsidR="007C2403">
        <w:trPr>
          <w:gridAfter w:val="1"/>
          <w:wAfter w:w="5" w:type="pct"/>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lastRenderedPageBreak/>
              <w:t>23</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2.74</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0.154</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385.5</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146.18</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23</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2.48</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0.147</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368.5</w:t>
            </w:r>
          </w:p>
        </w:tc>
        <w:tc>
          <w:tcPr>
            <w:tcW w:w="538"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152.79</w:t>
            </w:r>
          </w:p>
        </w:tc>
      </w:tr>
      <w:tr w:rsidR="007C2403">
        <w:trPr>
          <w:gridAfter w:val="1"/>
          <w:wAfter w:w="5" w:type="pct"/>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25</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2.91</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0.157</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393.0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140.12</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25</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2.62</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0.151</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378.5</w:t>
            </w:r>
          </w:p>
        </w:tc>
        <w:tc>
          <w:tcPr>
            <w:tcW w:w="538"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149.03</w:t>
            </w:r>
          </w:p>
        </w:tc>
      </w:tr>
      <w:tr w:rsidR="007C2403">
        <w:trPr>
          <w:gridAfter w:val="1"/>
          <w:wAfter w:w="5" w:type="pct"/>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27</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2.98</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0.162</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405.5</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141.67</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27</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2.71</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0.159</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396.5</w:t>
            </w:r>
          </w:p>
        </w:tc>
        <w:tc>
          <w:tcPr>
            <w:tcW w:w="538"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150.78</w:t>
            </w:r>
          </w:p>
        </w:tc>
      </w:tr>
      <w:tr w:rsidR="007C2403">
        <w:trPr>
          <w:gridAfter w:val="1"/>
          <w:wAfter w:w="5" w:type="pct"/>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29</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3.08</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0.166</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416.0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140.38</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29</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2.81</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0.165</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412.0</w:t>
            </w:r>
          </w:p>
        </w:tc>
        <w:tc>
          <w:tcPr>
            <w:tcW w:w="538"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150.92</w:t>
            </w:r>
          </w:p>
        </w:tc>
      </w:tr>
      <w:tr w:rsidR="007C2403">
        <w:trPr>
          <w:gridAfter w:val="1"/>
          <w:wAfter w:w="5" w:type="pct"/>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60</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3.14</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0.181</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451.5</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149.43</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60</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2.87</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0.176</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440.5</w:t>
            </w:r>
          </w:p>
        </w:tc>
        <w:tc>
          <w:tcPr>
            <w:tcW w:w="538"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157.83</w:t>
            </w:r>
          </w:p>
        </w:tc>
      </w:tr>
      <w:tr w:rsidR="007C2403">
        <w:trPr>
          <w:gridAfter w:val="1"/>
          <w:wAfter w:w="5" w:type="pct"/>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90</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3.36</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0.193</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482.0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149.29</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90</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3.20</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0.188</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471.5</w:t>
            </w:r>
          </w:p>
        </w:tc>
        <w:tc>
          <w:tcPr>
            <w:tcW w:w="538"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151.52</w:t>
            </w:r>
          </w:p>
        </w:tc>
      </w:tr>
      <w:tr w:rsidR="007C2403">
        <w:trPr>
          <w:gridAfter w:val="1"/>
          <w:wAfter w:w="5" w:type="pct"/>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120</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3.56</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0.207</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518.0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151.08</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120</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3.30</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0.202</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504.5</w:t>
            </w:r>
          </w:p>
        </w:tc>
        <w:tc>
          <w:tcPr>
            <w:tcW w:w="538"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157.72</w:t>
            </w:r>
          </w:p>
        </w:tc>
      </w:tr>
      <w:tr w:rsidR="007C2403">
        <w:trPr>
          <w:gridAfter w:val="1"/>
          <w:wAfter w:w="5" w:type="pct"/>
          <w:trHeight w:val="303"/>
          <w:jc w:val="center"/>
        </w:trPr>
        <w:tc>
          <w:tcPr>
            <w:tcW w:w="418" w:type="pct"/>
            <w:tcBorders>
              <w:top w:val="nil"/>
              <w:bottom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150</w:t>
            </w:r>
          </w:p>
        </w:tc>
        <w:tc>
          <w:tcPr>
            <w:tcW w:w="48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3.80</w:t>
            </w:r>
          </w:p>
        </w:tc>
        <w:tc>
          <w:tcPr>
            <w:tcW w:w="50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0.218</w:t>
            </w:r>
          </w:p>
        </w:tc>
        <w:tc>
          <w:tcPr>
            <w:tcW w:w="539" w:type="pct"/>
            <w:tcBorders>
              <w:top w:val="nil"/>
              <w:bottom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546.0</w:t>
            </w:r>
          </w:p>
        </w:tc>
        <w:tc>
          <w:tcPr>
            <w:tcW w:w="539" w:type="pct"/>
            <w:tcBorders>
              <w:top w:val="nil"/>
              <w:bottom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149.34</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150</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3.53</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0.214</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535.5</w:t>
            </w:r>
          </w:p>
        </w:tc>
        <w:tc>
          <w:tcPr>
            <w:tcW w:w="538"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156.15</w:t>
            </w:r>
          </w:p>
        </w:tc>
      </w:tr>
      <w:tr w:rsidR="007C2403">
        <w:trPr>
          <w:gridAfter w:val="1"/>
          <w:wAfter w:w="5" w:type="pct"/>
          <w:jc w:val="center"/>
        </w:trPr>
        <w:tc>
          <w:tcPr>
            <w:tcW w:w="418" w:type="pct"/>
            <w:tcBorders>
              <w:top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180</w:t>
            </w:r>
          </w:p>
        </w:tc>
        <w:tc>
          <w:tcPr>
            <w:tcW w:w="489" w:type="pct"/>
            <w:tcBorders>
              <w:top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3.98</w:t>
            </w:r>
          </w:p>
        </w:tc>
        <w:tc>
          <w:tcPr>
            <w:tcW w:w="509" w:type="pct"/>
            <w:tcBorders>
              <w:top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0.230</w:t>
            </w:r>
          </w:p>
        </w:tc>
        <w:tc>
          <w:tcPr>
            <w:tcW w:w="539" w:type="pct"/>
            <w:tcBorders>
              <w:top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574.0</w:t>
            </w:r>
          </w:p>
        </w:tc>
        <w:tc>
          <w:tcPr>
            <w:tcW w:w="539" w:type="pct"/>
            <w:tcBorders>
              <w:top w:val="nil"/>
              <w:right w:val="single" w:sz="12" w:space="0" w:color="auto"/>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150.10</w:t>
            </w:r>
          </w:p>
        </w:tc>
        <w:tc>
          <w:tcPr>
            <w:tcW w:w="420" w:type="pct"/>
            <w:tcBorders>
              <w:left w:val="single" w:sz="12" w:space="0" w:color="auto"/>
              <w:tl2br w:val="nil"/>
              <w:tr2bl w:val="nil"/>
            </w:tcBorders>
            <w:vAlign w:val="center"/>
          </w:tcPr>
          <w:p w:rsidR="007C2403" w:rsidRDefault="00305B71">
            <w:pPr>
              <w:widowControl/>
              <w:jc w:val="center"/>
              <w:textAlignment w:val="center"/>
              <w:rPr>
                <w:rFonts w:cs="Times New Roman"/>
                <w:color w:val="000000" w:themeColor="text1"/>
              </w:rPr>
            </w:pPr>
            <w:r>
              <w:rPr>
                <w:rFonts w:eastAsia="SimSun" w:cs="Times New Roman"/>
                <w:color w:val="000000"/>
                <w:lang w:bidi="ar"/>
              </w:rPr>
              <w:t>180</w:t>
            </w:r>
          </w:p>
        </w:tc>
        <w:tc>
          <w:tcPr>
            <w:tcW w:w="496"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3.72</w:t>
            </w:r>
          </w:p>
        </w:tc>
        <w:tc>
          <w:tcPr>
            <w:tcW w:w="532"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0.226</w:t>
            </w:r>
          </w:p>
        </w:tc>
        <w:tc>
          <w:tcPr>
            <w:tcW w:w="510"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564.0</w:t>
            </w:r>
          </w:p>
        </w:tc>
        <w:tc>
          <w:tcPr>
            <w:tcW w:w="538" w:type="pct"/>
            <w:tcBorders>
              <w:tl2br w:val="nil"/>
              <w:tr2bl w:val="nil"/>
            </w:tcBorders>
            <w:vAlign w:val="center"/>
          </w:tcPr>
          <w:p w:rsidR="007C2403" w:rsidRDefault="00305B71">
            <w:pPr>
              <w:widowControl/>
              <w:textAlignment w:val="center"/>
              <w:rPr>
                <w:rFonts w:cs="Times New Roman"/>
                <w:color w:val="000000" w:themeColor="text1"/>
              </w:rPr>
            </w:pPr>
            <w:r>
              <w:rPr>
                <w:rFonts w:eastAsia="SimSun" w:cs="Times New Roman"/>
                <w:color w:val="000000"/>
                <w:lang w:bidi="ar"/>
              </w:rPr>
              <w:t>156.21</w:t>
            </w:r>
          </w:p>
        </w:tc>
      </w:tr>
    </w:tbl>
    <w:p w:rsidR="007C2403" w:rsidRDefault="00305B71">
      <w:pPr>
        <w:spacing w:beforeLines="50" w:before="156" w:line="300" w:lineRule="auto"/>
        <w:ind w:firstLineChars="200" w:firstLine="480"/>
        <w:rPr>
          <w:rFonts w:cs="Times New Roman"/>
          <w:sz w:val="24"/>
          <w:szCs w:val="24"/>
        </w:rPr>
      </w:pPr>
      <w:r>
        <w:rPr>
          <w:rFonts w:cs="Times New Roman" w:hint="eastAsia"/>
          <w:sz w:val="24"/>
          <w:szCs w:val="24"/>
        </w:rPr>
        <w:t xml:space="preserve">As shown in Figure </w:t>
      </w:r>
      <w:r>
        <w:rPr>
          <w:rFonts w:cs="Times New Roman"/>
          <w:sz w:val="24"/>
          <w:szCs w:val="24"/>
        </w:rPr>
        <w:t>5</w:t>
      </w:r>
      <w:r>
        <w:rPr>
          <w:rFonts w:cs="Times New Roman" w:hint="eastAsia"/>
          <w:sz w:val="24"/>
          <w:szCs w:val="24"/>
        </w:rPr>
        <w:t>, the water loss ratio of both specimens increases with age and gradually stabilizes. After 7 days of curing, the water loss ratio of the geopolymer-stabilized crushed stone is 1.9%, while that of the specimen with 100% steel slag incorporation is 1.71%</w:t>
      </w:r>
      <w:r>
        <w:rPr>
          <w:rFonts w:cs="Times New Roman" w:hint="eastAsia"/>
          <w:sz w:val="24"/>
          <w:szCs w:val="24"/>
        </w:rPr>
        <w:t>—</w:t>
      </w:r>
      <w:r>
        <w:rPr>
          <w:rFonts w:cs="Times New Roman" w:hint="eastAsia"/>
          <w:sz w:val="24"/>
          <w:szCs w:val="24"/>
        </w:rPr>
        <w:t>a reduction of 10% compared to the specimen without steel slag. Beyond 7 days, the rate of increase in water loss slows down as the curing age progresses. By 90 days, the water loss ratio of the geopolymer-stabilized crushed stone reaches 3.36%, whereas with 100% steel slag incorporation, the water loss ratio at 90 days is 3.2%, representing a 4.8% reduction compared to the specimen without steel slag. Drying shrinkage is caused by water loss. The specimens with steel slag exhibit lower water loss ratios and drying shrinkage strains than those without steel slag. The hydration reaction of steel slag in the base material is the main reason for the reduction in water. The gel substances formed after hydration encapsulate the surface, and the porous nature of steel slag allows it to adsorb more water, resulting in a lower water loss ratio in steel slag-incorporated specimens. Moreover, steel slag itself exhibits micro-expansion. When incorporated into the base material, the expansion strain of steel slag increases, which can counteract the increase in shrinkage strain, thereby reducing the overall strain of the geopolymer-stabilized steel slag base material. It can be concluded that steel slag plays a role in compensating for shrinkage in geopolymer-stabilized materials.</w:t>
      </w:r>
    </w:p>
    <w:p w:rsidR="007C2403" w:rsidRDefault="007C2403">
      <w:pPr>
        <w:rPr>
          <w:rFonts w:eastAsia="SimSun" w:cs="Times New Roman"/>
          <w:b/>
          <w:bCs/>
          <w:kern w:val="2"/>
        </w:rPr>
      </w:pPr>
    </w:p>
    <w:p w:rsidR="007C2403" w:rsidRDefault="007C2403">
      <w:pPr>
        <w:rPr>
          <w:rFonts w:eastAsia="SimSun" w:cs="Times New Roman"/>
          <w:b/>
          <w:bCs/>
          <w:kern w:val="2"/>
        </w:rPr>
      </w:pPr>
    </w:p>
    <w:p w:rsidR="007C2403" w:rsidRDefault="00305B71">
      <w:pPr>
        <w:rPr>
          <w:rFonts w:eastAsia="SimSun" w:cs="Times New Roman"/>
          <w:b/>
          <w:bCs/>
          <w:kern w:val="2"/>
        </w:rPr>
      </w:pPr>
      <w:r>
        <w:rPr>
          <w:rFonts w:eastAsia="SimSun" w:cs="Times New Roman" w:hint="eastAsia"/>
          <w:b/>
          <w:bCs/>
          <w:kern w:val="2"/>
        </w:rPr>
        <w:t>2.5 Freeze-thaw cycle test</w:t>
      </w:r>
    </w:p>
    <w:p w:rsidR="007C2403" w:rsidRDefault="00305B71">
      <w:pPr>
        <w:spacing w:beforeLines="50" w:before="156" w:line="300" w:lineRule="auto"/>
        <w:ind w:firstLineChars="200" w:firstLine="480"/>
        <w:rPr>
          <w:rFonts w:cs="Times New Roman"/>
          <w:sz w:val="24"/>
          <w:szCs w:val="24"/>
        </w:rPr>
      </w:pPr>
      <w:r>
        <w:rPr>
          <w:rFonts w:cs="Times New Roman"/>
          <w:sz w:val="24"/>
          <w:szCs w:val="24"/>
        </w:rPr>
        <w:t>After undergoing freeze-thaw cycles, the specimens were subjected to compressive tests under a controlled loading rate of 1 mm/min applied by the testing machine. The frost resistance of the inorganic binder-stabilized material was evaluated by calculating the residual compressive strength ratio after freeze-thaw cycles (i.e., the frost resistance coefficient, calculated as RDC/RC). Table 10 presents the test results of specimens at 28 days of curing age after freeze-thaw cycles.</w:t>
      </w:r>
    </w:p>
    <w:p w:rsidR="007C2403" w:rsidRDefault="00305B71">
      <w:pPr>
        <w:pStyle w:val="Caption"/>
        <w:jc w:val="center"/>
      </w:pPr>
      <w:r>
        <w:lastRenderedPageBreak/>
        <w:t>Table 10. 28d age freeze-thaw cycle strength</w:t>
      </w:r>
    </w:p>
    <w:tbl>
      <w:tblPr>
        <w:tblW w:w="4994" w:type="pct"/>
        <w:jc w:val="center"/>
        <w:tblCellMar>
          <w:left w:w="0" w:type="dxa"/>
          <w:right w:w="0" w:type="dxa"/>
        </w:tblCellMar>
        <w:tblLook w:val="04A0" w:firstRow="1" w:lastRow="0" w:firstColumn="1" w:lastColumn="0" w:noHBand="0" w:noVBand="1"/>
      </w:tblPr>
      <w:tblGrid>
        <w:gridCol w:w="3110"/>
        <w:gridCol w:w="1226"/>
        <w:gridCol w:w="1474"/>
        <w:gridCol w:w="1350"/>
        <w:gridCol w:w="1352"/>
      </w:tblGrid>
      <w:tr w:rsidR="007C2403">
        <w:trPr>
          <w:trHeight w:val="684"/>
          <w:jc w:val="center"/>
        </w:trPr>
        <w:tc>
          <w:tcPr>
            <w:tcW w:w="3110"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kinsoku w:val="0"/>
              <w:wordWrap w:val="0"/>
              <w:overflowPunct w:val="0"/>
              <w:jc w:val="center"/>
              <w:rPr>
                <w:rFonts w:eastAsia="SimSun" w:cs="Times New Roman"/>
                <w:color w:val="000000" w:themeColor="text1"/>
              </w:rPr>
            </w:pPr>
            <w:r>
              <w:rPr>
                <w:rFonts w:eastAsia="SimSun" w:cs="Times New Roman" w:hint="eastAsia"/>
              </w:rPr>
              <w:t>Material Type</w:t>
            </w:r>
          </w:p>
        </w:tc>
        <w:tc>
          <w:tcPr>
            <w:tcW w:w="1226"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pStyle w:val="a0"/>
              <w:kinsoku w:val="0"/>
              <w:wordWrap w:val="0"/>
              <w:overflowPunct w:val="0"/>
              <w:jc w:val="center"/>
              <w:rPr>
                <w:rFonts w:cs="Times New Roman"/>
                <w:color w:val="000000" w:themeColor="text1"/>
              </w:rPr>
            </w:pPr>
            <w:r>
              <w:rPr>
                <w:rFonts w:cs="Times New Roman"/>
                <w:color w:val="000000" w:themeColor="text1"/>
              </w:rPr>
              <w:t>Unfreeze-thaw strength</w:t>
            </w:r>
            <w:r>
              <w:rPr>
                <w:rFonts w:cs="Times New Roman"/>
                <w:color w:val="000000" w:themeColor="text1"/>
              </w:rPr>
              <w:t>（</w:t>
            </w:r>
            <w:r>
              <w:rPr>
                <w:rFonts w:cs="Times New Roman"/>
                <w:color w:val="000000" w:themeColor="text1"/>
              </w:rPr>
              <w:t>MPa</w:t>
            </w:r>
            <w:r>
              <w:rPr>
                <w:rFonts w:cs="Times New Roman"/>
                <w:color w:val="000000" w:themeColor="text1"/>
              </w:rPr>
              <w:t>）</w:t>
            </w:r>
          </w:p>
        </w:tc>
        <w:tc>
          <w:tcPr>
            <w:tcW w:w="1474"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pStyle w:val="a0"/>
              <w:kinsoku w:val="0"/>
              <w:wordWrap w:val="0"/>
              <w:overflowPunct w:val="0"/>
              <w:jc w:val="center"/>
              <w:rPr>
                <w:rFonts w:cs="Times New Roman"/>
                <w:color w:val="000000" w:themeColor="text1"/>
              </w:rPr>
            </w:pPr>
            <w:r>
              <w:rPr>
                <w:rFonts w:cs="Times New Roman"/>
                <w:color w:val="000000" w:themeColor="text1"/>
              </w:rPr>
              <w:t>Strength after freeze-thaw</w:t>
            </w:r>
            <w:r>
              <w:rPr>
                <w:rFonts w:cs="Times New Roman"/>
                <w:color w:val="000000" w:themeColor="text1"/>
              </w:rPr>
              <w:t>（</w:t>
            </w:r>
            <w:r>
              <w:rPr>
                <w:rFonts w:cs="Times New Roman"/>
                <w:color w:val="000000" w:themeColor="text1"/>
              </w:rPr>
              <w:t>MPa</w:t>
            </w:r>
            <w:r>
              <w:rPr>
                <w:rFonts w:cs="Times New Roman"/>
                <w:color w:val="000000" w:themeColor="text1"/>
              </w:rPr>
              <w:t>）</w:t>
            </w:r>
          </w:p>
        </w:tc>
        <w:tc>
          <w:tcPr>
            <w:tcW w:w="1350"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pStyle w:val="a0"/>
              <w:kinsoku w:val="0"/>
              <w:wordWrap w:val="0"/>
              <w:overflowPunct w:val="0"/>
              <w:jc w:val="center"/>
              <w:rPr>
                <w:rFonts w:cs="Times New Roman"/>
                <w:color w:val="000000" w:themeColor="text1"/>
              </w:rPr>
            </w:pPr>
            <w:r>
              <w:rPr>
                <w:rFonts w:cs="Times New Roman" w:hint="eastAsia"/>
                <w:color w:val="000000" w:themeColor="text1"/>
              </w:rPr>
              <w:t>F</w:t>
            </w:r>
            <w:r>
              <w:rPr>
                <w:rFonts w:cs="Times New Roman"/>
                <w:color w:val="000000" w:themeColor="text1"/>
              </w:rPr>
              <w:t>rost resistance coefficient</w:t>
            </w:r>
            <w:r>
              <w:rPr>
                <w:rFonts w:cs="Times New Roman"/>
                <w:color w:val="000000" w:themeColor="text1"/>
              </w:rPr>
              <w:t>（</w:t>
            </w:r>
            <w:r>
              <w:rPr>
                <w:rFonts w:cs="Times New Roman"/>
                <w:color w:val="000000" w:themeColor="text1"/>
              </w:rPr>
              <w:t>%</w:t>
            </w:r>
            <w:r>
              <w:rPr>
                <w:rFonts w:cs="Times New Roman"/>
                <w:color w:val="000000" w:themeColor="text1"/>
              </w:rPr>
              <w:t>）</w:t>
            </w:r>
          </w:p>
        </w:tc>
        <w:tc>
          <w:tcPr>
            <w:tcW w:w="1352" w:type="dxa"/>
            <w:tcBorders>
              <w:top w:val="single" w:sz="12" w:space="0" w:color="000000"/>
              <w:left w:val="nil"/>
              <w:bottom w:val="single" w:sz="6" w:space="0" w:color="000000"/>
              <w:right w:val="nil"/>
            </w:tcBorders>
            <w:tcMar>
              <w:top w:w="0" w:type="dxa"/>
              <w:left w:w="108" w:type="dxa"/>
              <w:bottom w:w="0" w:type="dxa"/>
              <w:right w:w="108" w:type="dxa"/>
            </w:tcMar>
            <w:vAlign w:val="center"/>
          </w:tcPr>
          <w:p w:rsidR="007C2403" w:rsidRDefault="00305B71">
            <w:pPr>
              <w:pStyle w:val="a0"/>
              <w:kinsoku w:val="0"/>
              <w:wordWrap w:val="0"/>
              <w:overflowPunct w:val="0"/>
              <w:jc w:val="center"/>
              <w:rPr>
                <w:rFonts w:cs="Times New Roman"/>
                <w:color w:val="000000" w:themeColor="text1"/>
              </w:rPr>
            </w:pPr>
            <w:r>
              <w:rPr>
                <w:rFonts w:cs="Times New Roman" w:hint="eastAsia"/>
                <w:color w:val="000000" w:themeColor="text1"/>
              </w:rPr>
              <w:t>S</w:t>
            </w:r>
            <w:r>
              <w:rPr>
                <w:rFonts w:cs="Times New Roman"/>
                <w:color w:val="000000" w:themeColor="text1"/>
              </w:rPr>
              <w:t>trength</w:t>
            </w:r>
            <w:r>
              <w:rPr>
                <w:rFonts w:cs="Times New Roman" w:hint="eastAsia"/>
                <w:color w:val="000000" w:themeColor="text1"/>
              </w:rPr>
              <w:t xml:space="preserve"> </w:t>
            </w:r>
            <w:r>
              <w:rPr>
                <w:rFonts w:cs="Times New Roman"/>
                <w:color w:val="000000" w:themeColor="text1"/>
              </w:rPr>
              <w:t>loss rate</w:t>
            </w:r>
            <w:r>
              <w:rPr>
                <w:rFonts w:cs="Times New Roman"/>
                <w:color w:val="000000" w:themeColor="text1"/>
              </w:rPr>
              <w:t>（</w:t>
            </w:r>
            <w:r>
              <w:rPr>
                <w:rFonts w:cs="Times New Roman"/>
                <w:color w:val="000000" w:themeColor="text1"/>
              </w:rPr>
              <w:t>%</w:t>
            </w:r>
            <w:r>
              <w:rPr>
                <w:rFonts w:cs="Times New Roman"/>
                <w:color w:val="000000" w:themeColor="text1"/>
              </w:rPr>
              <w:t>）</w:t>
            </w:r>
          </w:p>
        </w:tc>
      </w:tr>
      <w:tr w:rsidR="007C2403">
        <w:trPr>
          <w:trHeight w:val="684"/>
          <w:jc w:val="center"/>
        </w:trPr>
        <w:tc>
          <w:tcPr>
            <w:tcW w:w="3110"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kinsoku w:val="0"/>
              <w:wordWrap w:val="0"/>
              <w:overflowPunct w:val="0"/>
              <w:jc w:val="center"/>
              <w:rPr>
                <w:rFonts w:eastAsia="SimSun" w:cs="Times New Roman"/>
              </w:rPr>
            </w:pPr>
            <w:r>
              <w:rPr>
                <w:rFonts w:eastAsia="SimSun" w:cs="Times New Roman" w:hint="eastAsia"/>
              </w:rPr>
              <w:t xml:space="preserve">Geopolymer-stabilized crushed </w:t>
            </w:r>
          </w:p>
          <w:p w:rsidR="007C2403" w:rsidRDefault="00305B71">
            <w:pPr>
              <w:kinsoku w:val="0"/>
              <w:wordWrap w:val="0"/>
              <w:overflowPunct w:val="0"/>
              <w:jc w:val="center"/>
              <w:rPr>
                <w:rFonts w:cs="Times New Roman"/>
                <w:color w:val="000000" w:themeColor="text1"/>
              </w:rPr>
            </w:pPr>
            <w:r>
              <w:rPr>
                <w:rFonts w:eastAsia="SimSun" w:cs="Times New Roman" w:hint="eastAsia"/>
              </w:rPr>
              <w:t>stone</w:t>
            </w:r>
          </w:p>
        </w:tc>
        <w:tc>
          <w:tcPr>
            <w:tcW w:w="1226"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pStyle w:val="a0"/>
              <w:kinsoku w:val="0"/>
              <w:wordWrap w:val="0"/>
              <w:overflowPunct w:val="0"/>
              <w:jc w:val="center"/>
              <w:rPr>
                <w:rFonts w:cs="Times New Roman"/>
                <w:color w:val="000000" w:themeColor="text1"/>
              </w:rPr>
            </w:pPr>
            <w:r>
              <w:rPr>
                <w:rFonts w:cs="Times New Roman"/>
                <w:color w:val="000000" w:themeColor="text1"/>
              </w:rPr>
              <w:t>4.</w:t>
            </w:r>
            <w:r>
              <w:rPr>
                <w:rFonts w:cs="Times New Roman" w:hint="eastAsia"/>
                <w:color w:val="000000" w:themeColor="text1"/>
              </w:rPr>
              <w:t>62</w:t>
            </w:r>
          </w:p>
        </w:tc>
        <w:tc>
          <w:tcPr>
            <w:tcW w:w="1474"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pStyle w:val="a0"/>
              <w:kinsoku w:val="0"/>
              <w:wordWrap w:val="0"/>
              <w:overflowPunct w:val="0"/>
              <w:jc w:val="center"/>
              <w:rPr>
                <w:rFonts w:cs="Times New Roman"/>
                <w:color w:val="000000" w:themeColor="text1"/>
              </w:rPr>
            </w:pPr>
            <w:r>
              <w:rPr>
                <w:rFonts w:cs="Times New Roman"/>
                <w:color w:val="000000" w:themeColor="text1"/>
              </w:rPr>
              <w:t>4.0</w:t>
            </w:r>
            <w:r>
              <w:rPr>
                <w:rFonts w:cs="Times New Roman" w:hint="eastAsia"/>
                <w:color w:val="000000" w:themeColor="text1"/>
              </w:rPr>
              <w:t>1</w:t>
            </w:r>
          </w:p>
        </w:tc>
        <w:tc>
          <w:tcPr>
            <w:tcW w:w="1350"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pStyle w:val="a0"/>
              <w:kinsoku w:val="0"/>
              <w:wordWrap w:val="0"/>
              <w:overflowPunct w:val="0"/>
              <w:jc w:val="center"/>
              <w:rPr>
                <w:rFonts w:cs="Times New Roman"/>
                <w:color w:val="000000" w:themeColor="text1"/>
              </w:rPr>
            </w:pPr>
            <w:r>
              <w:rPr>
                <w:rFonts w:cs="Times New Roman" w:hint="eastAsia"/>
                <w:color w:val="000000" w:themeColor="text1"/>
              </w:rPr>
              <w:t>86.79</w:t>
            </w:r>
          </w:p>
        </w:tc>
        <w:tc>
          <w:tcPr>
            <w:tcW w:w="1352" w:type="dxa"/>
            <w:tcBorders>
              <w:top w:val="single" w:sz="6" w:space="0" w:color="000000"/>
              <w:left w:val="nil"/>
              <w:bottom w:val="nil"/>
              <w:right w:val="nil"/>
            </w:tcBorders>
            <w:tcMar>
              <w:top w:w="0" w:type="dxa"/>
              <w:left w:w="108" w:type="dxa"/>
              <w:bottom w:w="0" w:type="dxa"/>
              <w:right w:w="108" w:type="dxa"/>
            </w:tcMar>
            <w:vAlign w:val="center"/>
          </w:tcPr>
          <w:p w:rsidR="007C2403" w:rsidRDefault="00305B71">
            <w:pPr>
              <w:pStyle w:val="a0"/>
              <w:kinsoku w:val="0"/>
              <w:wordWrap w:val="0"/>
              <w:overflowPunct w:val="0"/>
              <w:jc w:val="center"/>
              <w:rPr>
                <w:rFonts w:cs="Times New Roman"/>
                <w:color w:val="000000" w:themeColor="text1"/>
              </w:rPr>
            </w:pPr>
            <w:r>
              <w:rPr>
                <w:rFonts w:cs="Times New Roman" w:hint="eastAsia"/>
                <w:color w:val="000000" w:themeColor="text1"/>
              </w:rPr>
              <w:t>13.21</w:t>
            </w:r>
          </w:p>
        </w:tc>
      </w:tr>
      <w:tr w:rsidR="007C2403">
        <w:trPr>
          <w:trHeight w:val="684"/>
          <w:jc w:val="center"/>
        </w:trPr>
        <w:tc>
          <w:tcPr>
            <w:tcW w:w="3110" w:type="dxa"/>
            <w:tcBorders>
              <w:top w:val="nil"/>
              <w:left w:val="nil"/>
              <w:bottom w:val="single" w:sz="12" w:space="0" w:color="000000"/>
              <w:right w:val="nil"/>
            </w:tcBorders>
            <w:tcMar>
              <w:top w:w="0" w:type="dxa"/>
              <w:left w:w="108" w:type="dxa"/>
              <w:bottom w:w="0" w:type="dxa"/>
              <w:right w:w="108" w:type="dxa"/>
            </w:tcMar>
            <w:vAlign w:val="center"/>
          </w:tcPr>
          <w:p w:rsidR="007C2403" w:rsidRDefault="00305B71">
            <w:pPr>
              <w:kinsoku w:val="0"/>
              <w:wordWrap w:val="0"/>
              <w:overflowPunct w:val="0"/>
              <w:jc w:val="center"/>
              <w:rPr>
                <w:rFonts w:eastAsia="SimSun" w:cs="Times New Roman"/>
              </w:rPr>
            </w:pPr>
            <w:r>
              <w:rPr>
                <w:rFonts w:eastAsia="SimSun" w:cs="Times New Roman"/>
              </w:rPr>
              <w:t>Geopolymer-stabilized steel</w:t>
            </w:r>
          </w:p>
          <w:p w:rsidR="007C2403" w:rsidRDefault="00305B71">
            <w:pPr>
              <w:kinsoku w:val="0"/>
              <w:wordWrap w:val="0"/>
              <w:overflowPunct w:val="0"/>
              <w:jc w:val="center"/>
              <w:rPr>
                <w:rFonts w:cs="Times New Roman"/>
                <w:color w:val="000000" w:themeColor="text1"/>
              </w:rPr>
            </w:pPr>
            <w:r>
              <w:rPr>
                <w:rFonts w:eastAsia="SimSun" w:cs="Times New Roman"/>
              </w:rPr>
              <w:t>slag</w:t>
            </w:r>
          </w:p>
        </w:tc>
        <w:tc>
          <w:tcPr>
            <w:tcW w:w="1226" w:type="dxa"/>
            <w:tcBorders>
              <w:top w:val="nil"/>
              <w:left w:val="nil"/>
              <w:bottom w:val="single" w:sz="12" w:space="0" w:color="000000"/>
              <w:right w:val="nil"/>
            </w:tcBorders>
            <w:tcMar>
              <w:top w:w="0" w:type="dxa"/>
              <w:left w:w="108" w:type="dxa"/>
              <w:bottom w:w="0" w:type="dxa"/>
              <w:right w:w="108" w:type="dxa"/>
            </w:tcMar>
            <w:vAlign w:val="center"/>
          </w:tcPr>
          <w:p w:rsidR="007C2403" w:rsidRDefault="00305B71">
            <w:pPr>
              <w:pStyle w:val="a0"/>
              <w:kinsoku w:val="0"/>
              <w:wordWrap w:val="0"/>
              <w:overflowPunct w:val="0"/>
              <w:jc w:val="center"/>
              <w:rPr>
                <w:rFonts w:cs="Times New Roman"/>
                <w:color w:val="000000" w:themeColor="text1"/>
              </w:rPr>
            </w:pPr>
            <w:r>
              <w:rPr>
                <w:rFonts w:cs="Times New Roman"/>
                <w:color w:val="000000" w:themeColor="text1"/>
              </w:rPr>
              <w:t>4.</w:t>
            </w:r>
            <w:r>
              <w:rPr>
                <w:rFonts w:cs="Times New Roman" w:hint="eastAsia"/>
                <w:color w:val="000000" w:themeColor="text1"/>
              </w:rPr>
              <w:t>82</w:t>
            </w:r>
          </w:p>
        </w:tc>
        <w:tc>
          <w:tcPr>
            <w:tcW w:w="1474" w:type="dxa"/>
            <w:tcBorders>
              <w:top w:val="nil"/>
              <w:left w:val="nil"/>
              <w:bottom w:val="single" w:sz="12" w:space="0" w:color="000000"/>
              <w:right w:val="nil"/>
            </w:tcBorders>
            <w:tcMar>
              <w:top w:w="0" w:type="dxa"/>
              <w:left w:w="108" w:type="dxa"/>
              <w:bottom w:w="0" w:type="dxa"/>
              <w:right w:w="108" w:type="dxa"/>
            </w:tcMar>
            <w:vAlign w:val="center"/>
          </w:tcPr>
          <w:p w:rsidR="007C2403" w:rsidRDefault="00305B71">
            <w:pPr>
              <w:pStyle w:val="a0"/>
              <w:kinsoku w:val="0"/>
              <w:wordWrap w:val="0"/>
              <w:overflowPunct w:val="0"/>
              <w:jc w:val="center"/>
              <w:rPr>
                <w:rFonts w:cs="Times New Roman"/>
                <w:color w:val="000000" w:themeColor="text1"/>
              </w:rPr>
            </w:pPr>
            <w:r>
              <w:rPr>
                <w:rFonts w:cs="Times New Roman" w:hint="eastAsia"/>
                <w:color w:val="000000" w:themeColor="text1"/>
              </w:rPr>
              <w:t>3.96</w:t>
            </w:r>
          </w:p>
        </w:tc>
        <w:tc>
          <w:tcPr>
            <w:tcW w:w="1350" w:type="dxa"/>
            <w:tcBorders>
              <w:top w:val="nil"/>
              <w:left w:val="nil"/>
              <w:bottom w:val="single" w:sz="12" w:space="0" w:color="000000"/>
              <w:right w:val="nil"/>
            </w:tcBorders>
            <w:tcMar>
              <w:top w:w="0" w:type="dxa"/>
              <w:left w:w="108" w:type="dxa"/>
              <w:bottom w:w="0" w:type="dxa"/>
              <w:right w:w="108" w:type="dxa"/>
            </w:tcMar>
            <w:vAlign w:val="center"/>
          </w:tcPr>
          <w:p w:rsidR="007C2403" w:rsidRDefault="00305B71">
            <w:pPr>
              <w:pStyle w:val="a0"/>
              <w:kinsoku w:val="0"/>
              <w:wordWrap w:val="0"/>
              <w:overflowPunct w:val="0"/>
              <w:jc w:val="center"/>
              <w:rPr>
                <w:rFonts w:cs="Times New Roman"/>
                <w:color w:val="000000" w:themeColor="text1"/>
              </w:rPr>
            </w:pPr>
            <w:r>
              <w:rPr>
                <w:rFonts w:cs="Times New Roman"/>
                <w:color w:val="000000" w:themeColor="text1"/>
              </w:rPr>
              <w:t>8</w:t>
            </w:r>
            <w:r>
              <w:rPr>
                <w:rFonts w:cs="Times New Roman" w:hint="eastAsia"/>
                <w:color w:val="000000" w:themeColor="text1"/>
              </w:rPr>
              <w:t>2</w:t>
            </w:r>
            <w:r>
              <w:rPr>
                <w:rFonts w:cs="Times New Roman"/>
                <w:color w:val="000000" w:themeColor="text1"/>
              </w:rPr>
              <w:t>.</w:t>
            </w:r>
            <w:r>
              <w:rPr>
                <w:rFonts w:cs="Times New Roman" w:hint="eastAsia"/>
                <w:color w:val="000000" w:themeColor="text1"/>
              </w:rPr>
              <w:t>16</w:t>
            </w:r>
          </w:p>
        </w:tc>
        <w:tc>
          <w:tcPr>
            <w:tcW w:w="1352" w:type="dxa"/>
            <w:tcBorders>
              <w:top w:val="nil"/>
              <w:left w:val="nil"/>
              <w:bottom w:val="single" w:sz="12" w:space="0" w:color="000000"/>
              <w:right w:val="nil"/>
            </w:tcBorders>
            <w:tcMar>
              <w:top w:w="0" w:type="dxa"/>
              <w:left w:w="108" w:type="dxa"/>
              <w:bottom w:w="0" w:type="dxa"/>
              <w:right w:w="108" w:type="dxa"/>
            </w:tcMar>
            <w:vAlign w:val="center"/>
          </w:tcPr>
          <w:p w:rsidR="007C2403" w:rsidRDefault="00305B71">
            <w:pPr>
              <w:pStyle w:val="a0"/>
              <w:kinsoku w:val="0"/>
              <w:wordWrap w:val="0"/>
              <w:overflowPunct w:val="0"/>
              <w:jc w:val="center"/>
              <w:rPr>
                <w:rFonts w:cs="Times New Roman"/>
                <w:color w:val="000000" w:themeColor="text1"/>
              </w:rPr>
            </w:pPr>
            <w:r>
              <w:rPr>
                <w:rFonts w:cs="Times New Roman"/>
                <w:color w:val="000000" w:themeColor="text1"/>
              </w:rPr>
              <w:t>1</w:t>
            </w:r>
            <w:r>
              <w:rPr>
                <w:rFonts w:cs="Times New Roman" w:hint="eastAsia"/>
                <w:color w:val="000000" w:themeColor="text1"/>
              </w:rPr>
              <w:t>7</w:t>
            </w:r>
            <w:r>
              <w:rPr>
                <w:rFonts w:cs="Times New Roman"/>
                <w:color w:val="000000" w:themeColor="text1"/>
              </w:rPr>
              <w:t>.</w:t>
            </w:r>
            <w:r>
              <w:rPr>
                <w:rFonts w:cs="Times New Roman" w:hint="eastAsia"/>
                <w:color w:val="000000" w:themeColor="text1"/>
              </w:rPr>
              <w:t>84</w:t>
            </w:r>
          </w:p>
        </w:tc>
      </w:tr>
    </w:tbl>
    <w:p w:rsidR="007C2403" w:rsidRDefault="00305B71">
      <w:pPr>
        <w:spacing w:line="300" w:lineRule="auto"/>
        <w:ind w:firstLineChars="200" w:firstLine="480"/>
        <w:rPr>
          <w:rFonts w:cs="Times New Roman"/>
          <w:sz w:val="24"/>
          <w:szCs w:val="24"/>
        </w:rPr>
      </w:pPr>
      <w:r>
        <w:rPr>
          <w:rFonts w:cs="Times New Roman"/>
          <w:sz w:val="24"/>
          <w:szCs w:val="24"/>
        </w:rPr>
        <w:t>The 28-day frost resistance coefficient of the geopolymer-stabilized crushed stone is 86.79%, corresponding to a strength loss of 13.21%. When the steel slag content reaches 100%, the frost resistance coefficient decreases to 82.16%, while the strength loss increases to 17.84%. Steel slag aggregates are characterized by high porosity and water absorption. As the content of steel slag increases, the amount of water absorbed within its micro-pores also rises. Under freezing conditions, this absorbed water generates expansive stress upon ice formation, leading to a reduction in frost resistance.</w:t>
      </w:r>
    </w:p>
    <w:p w:rsidR="007C2403" w:rsidRDefault="00305B71">
      <w:pPr>
        <w:pStyle w:val="ListParagraph"/>
        <w:ind w:firstLineChars="0" w:firstLine="0"/>
        <w:rPr>
          <w:rFonts w:eastAsia="SimSun" w:cs="Times New Roman"/>
          <w:b/>
          <w:bCs/>
          <w:kern w:val="2"/>
          <w:sz w:val="28"/>
          <w:szCs w:val="28"/>
        </w:rPr>
      </w:pPr>
      <w:r>
        <w:rPr>
          <w:rFonts w:eastAsia="SimSun" w:cs="Times New Roman" w:hint="eastAsia"/>
          <w:b/>
          <w:bCs/>
          <w:kern w:val="2"/>
          <w:sz w:val="28"/>
          <w:szCs w:val="28"/>
        </w:rPr>
        <w:t>3 Conclusion</w:t>
      </w:r>
    </w:p>
    <w:p w:rsidR="007C2403" w:rsidRDefault="00305B71">
      <w:pPr>
        <w:spacing w:line="300" w:lineRule="auto"/>
        <w:ind w:firstLineChars="200" w:firstLine="480"/>
        <w:rPr>
          <w:rFonts w:cs="Times New Roman"/>
          <w:sz w:val="24"/>
          <w:szCs w:val="24"/>
        </w:rPr>
      </w:pPr>
      <w:r>
        <w:rPr>
          <w:rFonts w:cs="Times New Roman"/>
          <w:sz w:val="24"/>
          <w:szCs w:val="24"/>
        </w:rPr>
        <w:t>This study utilizes three types of waste materials—fly ash, slag, and red mud—to prepare geopolymers as a substitute for cement in cement-stabilized base courses. It investigates the influence of different material types, steel slag, and crushed stone, on the performance of base course materials through performance analysis. The mechanical properties were evaluated via mortar tests, unconfined compressive strength tests, and splitting tensile strength tests. The resistance to drying shrinkage was assessed based on the drying shrinkage rate and water loss rate, while frost resistance was evaluated using the strength loss rate, thereby exploring the durability of the base course materials.</w:t>
      </w:r>
    </w:p>
    <w:p w:rsidR="007C2403" w:rsidRDefault="00305B71">
      <w:pPr>
        <w:spacing w:line="300" w:lineRule="auto"/>
        <w:ind w:firstLineChars="200" w:firstLine="480"/>
        <w:rPr>
          <w:rFonts w:cs="Times New Roman"/>
          <w:sz w:val="24"/>
          <w:szCs w:val="24"/>
        </w:rPr>
      </w:pPr>
      <w:r>
        <w:rPr>
          <w:rFonts w:cs="Times New Roman"/>
          <w:sz w:val="24"/>
          <w:szCs w:val="24"/>
        </w:rPr>
        <w:t>The main conclusions of this study are as follows:</w:t>
      </w:r>
    </w:p>
    <w:p w:rsidR="007C2403" w:rsidRDefault="00305B71">
      <w:pPr>
        <w:spacing w:line="300" w:lineRule="auto"/>
        <w:ind w:firstLineChars="200" w:firstLine="480"/>
        <w:rPr>
          <w:rFonts w:cs="Times New Roman"/>
          <w:sz w:val="24"/>
          <w:szCs w:val="24"/>
        </w:rPr>
      </w:pPr>
      <w:r>
        <w:rPr>
          <w:rFonts w:cs="Times New Roman" w:hint="eastAsia"/>
          <w:sz w:val="24"/>
          <w:szCs w:val="24"/>
        </w:rPr>
        <w:t>1.</w:t>
      </w:r>
      <w:r>
        <w:rPr>
          <w:rFonts w:cs="Times New Roman"/>
          <w:sz w:val="24"/>
          <w:szCs w:val="24"/>
        </w:rPr>
        <w:t xml:space="preserve"> From an environmental perspective, multi-solid-waste geopolymer-stabilized steel slag, though slightly superior to geopolymer-stabilized crushed stone in terms of mechanical properties, drying shrinkage, and freeze-thaw resistance, still meets specification requirements. It incorporates recycled solid wastes and significantly reduces carbon emissions during production, not only addressing the challenge of excessive construction waste accumulation but also promoting the development of a green circular economy.</w:t>
      </w:r>
    </w:p>
    <w:p w:rsidR="007C2403" w:rsidRDefault="00305B71">
      <w:pPr>
        <w:spacing w:line="300" w:lineRule="auto"/>
        <w:ind w:firstLineChars="200" w:firstLine="480"/>
        <w:rPr>
          <w:rFonts w:cs="Times New Roman"/>
          <w:sz w:val="24"/>
          <w:szCs w:val="24"/>
        </w:rPr>
      </w:pPr>
      <w:r>
        <w:rPr>
          <w:rFonts w:cs="Times New Roman" w:hint="eastAsia"/>
          <w:sz w:val="24"/>
          <w:szCs w:val="24"/>
        </w:rPr>
        <w:t>2.</w:t>
      </w:r>
      <w:r>
        <w:rPr>
          <w:rFonts w:cs="Times New Roman"/>
          <w:sz w:val="24"/>
          <w:szCs w:val="24"/>
        </w:rPr>
        <w:t xml:space="preserve"> The preparation process of geopolymer is more complex compared to cement, and its technology is less mature, which limits its application in road base courses. </w:t>
      </w:r>
      <w:r>
        <w:rPr>
          <w:rFonts w:cs="Times New Roman"/>
          <w:sz w:val="24"/>
          <w:szCs w:val="24"/>
        </w:rPr>
        <w:lastRenderedPageBreak/>
        <w:t>However, due to its rapid early-age strength development, steel slag can be selected as an aggregate if early mechanical performance and economic efficiency are prioritized. Geopolymer-stabilized steel slag is recommended, as both steel slag and crushed stone meet the physical performance requirements of specifications, and steel slag exhibits good stability, allowing for direct utilization.</w:t>
      </w:r>
    </w:p>
    <w:p w:rsidR="007C2403" w:rsidRDefault="00305B71">
      <w:pPr>
        <w:spacing w:line="300" w:lineRule="auto"/>
        <w:ind w:firstLineChars="200" w:firstLine="480"/>
        <w:rPr>
          <w:rFonts w:cs="Times New Roman"/>
          <w:sz w:val="24"/>
          <w:szCs w:val="24"/>
        </w:rPr>
      </w:pPr>
      <w:r>
        <w:rPr>
          <w:rFonts w:cs="Times New Roman" w:hint="eastAsia"/>
          <w:sz w:val="24"/>
          <w:szCs w:val="24"/>
        </w:rPr>
        <w:t>3.</w:t>
      </w:r>
      <w:r>
        <w:rPr>
          <w:rFonts w:cs="Times New Roman"/>
          <w:sz w:val="24"/>
          <w:szCs w:val="24"/>
        </w:rPr>
        <w:t xml:space="preserve"> Geopolymer-stabilized steel slag demonstrates excellent mechanical properties. Its unconfined compressive strength at various ages is comparable to that of geopolymer-stabilized crushed stone with the same 5% binder content, fully meeting road specification requirements. However, during the hardening process of geopolymer, uneven cementation caused by the alkali activator may lead to volumetric shrinkage and resulting microcracks. It is recommended to incorporate fibers to repair or fill these microcracks.</w:t>
      </w:r>
    </w:p>
    <w:p w:rsidR="007C2403" w:rsidRDefault="00305B71">
      <w:pPr>
        <w:spacing w:line="300" w:lineRule="auto"/>
        <w:ind w:firstLineChars="200" w:firstLine="480"/>
        <w:rPr>
          <w:rFonts w:cs="Times New Roman"/>
          <w:sz w:val="24"/>
          <w:szCs w:val="24"/>
        </w:rPr>
      </w:pPr>
      <w:r>
        <w:rPr>
          <w:rFonts w:cs="Times New Roman" w:hint="eastAsia"/>
          <w:sz w:val="24"/>
          <w:szCs w:val="24"/>
        </w:rPr>
        <w:t>4.</w:t>
      </w:r>
      <w:r>
        <w:rPr>
          <w:rFonts w:cs="Times New Roman"/>
          <w:sz w:val="24"/>
          <w:szCs w:val="24"/>
        </w:rPr>
        <w:t xml:space="preserve"> Geopolymer possesses a denser microscopic structure, making it difficult for water molecules to penetrate into the interior of the geopolymer cementitious material. The incorporation of steel slag has a positive effect on the drying shrinkage performance of the base material. However, excessively high steel slag content reduces the freeze-thaw resistance of geopolymer-stabilized materials. Steel slag aggregates are inherently porous and highly absorbent. As the steel slag content increases, so does the amount of water </w:t>
      </w:r>
      <w:proofErr w:type="gramStart"/>
      <w:r>
        <w:rPr>
          <w:rFonts w:cs="Times New Roman"/>
          <w:sz w:val="24"/>
          <w:szCs w:val="24"/>
        </w:rPr>
        <w:t>absorbed</w:t>
      </w:r>
      <w:proofErr w:type="gramEnd"/>
      <w:r>
        <w:rPr>
          <w:rFonts w:cs="Times New Roman"/>
          <w:sz w:val="24"/>
          <w:szCs w:val="24"/>
        </w:rPr>
        <w:t xml:space="preserve"> within its micropores. Under freezing conditions, this water generates expansive stress due to ice formation, leading to a decrease in frost resistance.</w:t>
      </w:r>
    </w:p>
    <w:p w:rsidR="007C2403" w:rsidRDefault="007C2403">
      <w:pPr>
        <w:rPr>
          <w:rFonts w:eastAsia="SimSun" w:cs="Times New Roman"/>
          <w:b/>
          <w:color w:val="000000"/>
          <w:sz w:val="32"/>
          <w:u w:color="000000"/>
        </w:rPr>
      </w:pPr>
      <w:bookmarkStart w:id="5" w:name="_Ref4881"/>
    </w:p>
    <w:p w:rsidR="007C2403" w:rsidRDefault="007C2403">
      <w:pPr>
        <w:rPr>
          <w:rFonts w:eastAsia="SimSun" w:cs="Times New Roman"/>
          <w:b/>
          <w:color w:val="000000"/>
          <w:sz w:val="32"/>
          <w:u w:color="000000"/>
        </w:rPr>
      </w:pPr>
    </w:p>
    <w:p w:rsidR="007C2403" w:rsidRDefault="007C2403">
      <w:pPr>
        <w:rPr>
          <w:rFonts w:eastAsia="SimSun" w:cs="Times New Roman"/>
          <w:b/>
          <w:color w:val="000000"/>
          <w:sz w:val="32"/>
          <w:u w:color="000000"/>
        </w:rPr>
      </w:pPr>
    </w:p>
    <w:p w:rsidR="007C2403" w:rsidRDefault="00305B71">
      <w:pPr>
        <w:widowControl/>
        <w:spacing w:after="200" w:line="276" w:lineRule="auto"/>
        <w:outlineLvl w:val="0"/>
        <w:rPr>
          <w:rFonts w:ascii="Arial" w:eastAsia="Times New Roman" w:hAnsi="Arial" w:cs="Arial"/>
          <w:sz w:val="22"/>
          <w:szCs w:val="22"/>
          <w:lang w:val="en-GB" w:eastAsia="en-GB"/>
        </w:rPr>
      </w:pPr>
      <w:r>
        <w:rPr>
          <w:rFonts w:ascii="Arial" w:eastAsia="Times New Roman" w:hAnsi="Arial" w:cs="Arial"/>
          <w:b/>
          <w:bCs/>
          <w:sz w:val="22"/>
          <w:szCs w:val="22"/>
          <w:lang w:val="en-GB" w:eastAsia="en-GB"/>
        </w:rPr>
        <w:t>COMPETING INTERESTS DISCLAIMER:</w:t>
      </w:r>
    </w:p>
    <w:p w:rsidR="007C2403" w:rsidRDefault="00305B71">
      <w:pPr>
        <w:widowControl/>
        <w:spacing w:after="200" w:line="276" w:lineRule="auto"/>
        <w:jc w:val="left"/>
        <w:rPr>
          <w:rFonts w:ascii="Calibri" w:eastAsia="Times New Roman" w:hAnsi="Calibri" w:cs="Times New Roman"/>
          <w:sz w:val="22"/>
          <w:szCs w:val="22"/>
          <w:lang w:val="en-GB" w:eastAsia="en-GB"/>
        </w:rPr>
      </w:pPr>
      <w:r>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rsidR="007C2403" w:rsidRDefault="007C2403">
      <w:pPr>
        <w:rPr>
          <w:rFonts w:eastAsia="SimSun" w:cs="Times New Roman"/>
          <w:b/>
          <w:color w:val="000000"/>
          <w:sz w:val="32"/>
          <w:u w:color="000000"/>
        </w:rPr>
      </w:pPr>
    </w:p>
    <w:p w:rsidR="007C2403" w:rsidRDefault="007C2403">
      <w:pPr>
        <w:rPr>
          <w:rFonts w:eastAsia="SimSun" w:cs="Times New Roman"/>
          <w:b/>
          <w:color w:val="000000"/>
          <w:sz w:val="32"/>
          <w:u w:color="000000"/>
        </w:rPr>
      </w:pPr>
    </w:p>
    <w:p w:rsidR="007C2403" w:rsidRDefault="007C2403">
      <w:pPr>
        <w:rPr>
          <w:rFonts w:eastAsia="SimSun" w:cs="Times New Roman"/>
          <w:b/>
          <w:color w:val="000000"/>
          <w:sz w:val="32"/>
          <w:u w:color="000000"/>
        </w:rPr>
      </w:pPr>
    </w:p>
    <w:p w:rsidR="007C2403" w:rsidRDefault="007C2403">
      <w:pPr>
        <w:rPr>
          <w:rFonts w:eastAsia="SimSun" w:cs="Times New Roman"/>
          <w:b/>
          <w:color w:val="000000"/>
          <w:sz w:val="32"/>
          <w:u w:color="000000"/>
        </w:rPr>
      </w:pPr>
    </w:p>
    <w:p w:rsidR="007C2403" w:rsidRDefault="007C2403">
      <w:pPr>
        <w:rPr>
          <w:rFonts w:eastAsia="SimSun" w:cs="Times New Roman"/>
          <w:b/>
          <w:color w:val="000000"/>
          <w:sz w:val="32"/>
          <w:u w:color="000000"/>
        </w:rPr>
      </w:pPr>
    </w:p>
    <w:p w:rsidR="007C2403" w:rsidRDefault="007C2403">
      <w:pPr>
        <w:rPr>
          <w:rFonts w:eastAsia="SimSun" w:cs="Times New Roman"/>
          <w:b/>
          <w:color w:val="000000"/>
          <w:sz w:val="32"/>
          <w:u w:color="000000"/>
        </w:rPr>
      </w:pPr>
    </w:p>
    <w:p w:rsidR="007C2403" w:rsidRDefault="007C2403">
      <w:pPr>
        <w:rPr>
          <w:rFonts w:eastAsia="SimSun" w:cs="Times New Roman"/>
          <w:b/>
          <w:color w:val="000000"/>
          <w:sz w:val="32"/>
          <w:u w:color="000000"/>
        </w:rPr>
      </w:pPr>
    </w:p>
    <w:p w:rsidR="007C2403" w:rsidRDefault="00305B71">
      <w:pPr>
        <w:rPr>
          <w:highlight w:val="yellow"/>
        </w:rPr>
      </w:pPr>
      <w:r>
        <w:rPr>
          <w:highlight w:val="yellow"/>
        </w:rPr>
        <w:t>Disclaimer (Artificial intelligence)</w:t>
      </w:r>
    </w:p>
    <w:p w:rsidR="007C2403" w:rsidRDefault="007C2403">
      <w:pPr>
        <w:rPr>
          <w:highlight w:val="yellow"/>
        </w:rPr>
      </w:pPr>
    </w:p>
    <w:p w:rsidR="007C2403" w:rsidRDefault="00305B71">
      <w:pPr>
        <w:rPr>
          <w:highlight w:val="yellow"/>
        </w:rPr>
      </w:pPr>
      <w:r>
        <w:rPr>
          <w:highlight w:val="yellow"/>
        </w:rPr>
        <w:t xml:space="preserve">Option 1: </w:t>
      </w:r>
    </w:p>
    <w:p w:rsidR="007C2403" w:rsidRDefault="007C2403">
      <w:pPr>
        <w:rPr>
          <w:highlight w:val="yellow"/>
        </w:rPr>
      </w:pPr>
    </w:p>
    <w:p w:rsidR="007C2403" w:rsidRDefault="00305B71">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7C2403" w:rsidRDefault="007C2403">
      <w:pPr>
        <w:rPr>
          <w:highlight w:val="yellow"/>
        </w:rPr>
      </w:pPr>
    </w:p>
    <w:p w:rsidR="007C2403" w:rsidRDefault="00305B71">
      <w:pPr>
        <w:rPr>
          <w:highlight w:val="yellow"/>
        </w:rPr>
      </w:pPr>
      <w:r>
        <w:rPr>
          <w:highlight w:val="yellow"/>
        </w:rPr>
        <w:t xml:space="preserve">Option 2: </w:t>
      </w:r>
    </w:p>
    <w:p w:rsidR="007C2403" w:rsidRDefault="007C2403">
      <w:pPr>
        <w:rPr>
          <w:highlight w:val="yellow"/>
        </w:rPr>
      </w:pPr>
    </w:p>
    <w:p w:rsidR="007C2403" w:rsidRDefault="00305B71">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C2403" w:rsidRDefault="007C2403">
      <w:pPr>
        <w:rPr>
          <w:highlight w:val="yellow"/>
        </w:rPr>
      </w:pPr>
    </w:p>
    <w:p w:rsidR="007C2403" w:rsidRDefault="00305B71">
      <w:pPr>
        <w:rPr>
          <w:highlight w:val="yellow"/>
        </w:rPr>
      </w:pPr>
      <w:r>
        <w:rPr>
          <w:highlight w:val="yellow"/>
        </w:rPr>
        <w:t>Details of the AI usage are given below:</w:t>
      </w:r>
    </w:p>
    <w:p w:rsidR="007C2403" w:rsidRDefault="00305B71">
      <w:pPr>
        <w:rPr>
          <w:highlight w:val="yellow"/>
        </w:rPr>
      </w:pPr>
      <w:r>
        <w:rPr>
          <w:highlight w:val="yellow"/>
        </w:rPr>
        <w:t>1.</w:t>
      </w:r>
    </w:p>
    <w:p w:rsidR="007C2403" w:rsidRDefault="00305B71">
      <w:pPr>
        <w:rPr>
          <w:highlight w:val="yellow"/>
        </w:rPr>
      </w:pPr>
      <w:r>
        <w:rPr>
          <w:highlight w:val="yellow"/>
        </w:rPr>
        <w:t>2.</w:t>
      </w:r>
    </w:p>
    <w:p w:rsidR="007C2403" w:rsidRDefault="00305B71">
      <w:r>
        <w:rPr>
          <w:highlight w:val="yellow"/>
        </w:rPr>
        <w:t>3.</w:t>
      </w:r>
    </w:p>
    <w:p w:rsidR="007C2403" w:rsidRDefault="007C2403">
      <w:pPr>
        <w:rPr>
          <w:rFonts w:eastAsia="SimSun" w:cs="Times New Roman"/>
          <w:b/>
          <w:color w:val="000000"/>
          <w:sz w:val="32"/>
          <w:u w:color="000000"/>
        </w:rPr>
      </w:pPr>
    </w:p>
    <w:p w:rsidR="007C2403" w:rsidRDefault="00305B71">
      <w:pPr>
        <w:rPr>
          <w:rFonts w:eastAsia="SimSun" w:cs="Times New Roman"/>
          <w:b/>
          <w:color w:val="000000"/>
          <w:sz w:val="32"/>
          <w:u w:color="000000"/>
        </w:rPr>
      </w:pPr>
      <w:r>
        <w:rPr>
          <w:rFonts w:eastAsia="SimSun" w:cs="Times New Roman"/>
          <w:b/>
          <w:color w:val="000000"/>
          <w:sz w:val="32"/>
          <w:u w:color="000000"/>
        </w:rPr>
        <w:t xml:space="preserve">References </w:t>
      </w:r>
    </w:p>
    <w:p w:rsidR="007C2403" w:rsidRDefault="00305B71">
      <w:pPr>
        <w:widowControl/>
        <w:numPr>
          <w:ilvl w:val="0"/>
          <w:numId w:val="2"/>
        </w:numPr>
        <w:tabs>
          <w:tab w:val="clear" w:pos="312"/>
          <w:tab w:val="left" w:pos="420"/>
        </w:tabs>
        <w:topLinePunct/>
        <w:ind w:left="420" w:hanging="420"/>
        <w:rPr>
          <w:rFonts w:eastAsia="SimSun" w:cs="Times New Roman"/>
          <w:color w:val="000000" w:themeColor="text1"/>
          <w:kern w:val="2"/>
        </w:rPr>
      </w:pPr>
      <w:bookmarkStart w:id="6" w:name="_Ref13297"/>
      <w:bookmarkEnd w:id="5"/>
      <w:r>
        <w:rPr>
          <w:rFonts w:eastAsia="SimSun" w:cs="Times New Roman"/>
          <w:color w:val="000000" w:themeColor="text1"/>
          <w:kern w:val="2"/>
        </w:rPr>
        <w:t xml:space="preserve">Li </w:t>
      </w:r>
      <w:proofErr w:type="spellStart"/>
      <w:r>
        <w:rPr>
          <w:rFonts w:eastAsia="SimSun" w:cs="Times New Roman"/>
          <w:color w:val="000000" w:themeColor="text1"/>
          <w:kern w:val="2"/>
        </w:rPr>
        <w:t>Zhaofeng</w:t>
      </w:r>
      <w:proofErr w:type="spellEnd"/>
      <w:r>
        <w:rPr>
          <w:rFonts w:eastAsia="SimSun" w:cs="Times New Roman"/>
          <w:color w:val="000000" w:themeColor="text1"/>
          <w:kern w:val="2"/>
        </w:rPr>
        <w:t xml:space="preserve">, Liu Chao, Wang </w:t>
      </w:r>
      <w:proofErr w:type="spellStart"/>
      <w:r>
        <w:rPr>
          <w:rFonts w:eastAsia="SimSun" w:cs="Times New Roman"/>
          <w:color w:val="000000" w:themeColor="text1"/>
          <w:kern w:val="2"/>
        </w:rPr>
        <w:t>Chuan</w:t>
      </w:r>
      <w:proofErr w:type="spellEnd"/>
      <w:r>
        <w:rPr>
          <w:rFonts w:eastAsia="SimSun" w:cs="Times New Roman"/>
          <w:color w:val="000000" w:themeColor="text1"/>
          <w:kern w:val="2"/>
        </w:rPr>
        <w:t>, et al. Experimental Study on Red Mud-Blast Furnace Slag-Steel Slag Ternary System Grouting Materials[J]. Advanced Engineering Science/Engineering Science and Technology, 2021, 53(1).</w:t>
      </w:r>
      <w:bookmarkEnd w:id="6"/>
    </w:p>
    <w:p w:rsidR="007C2403" w:rsidRPr="00810CB7" w:rsidRDefault="00305B71">
      <w:pPr>
        <w:widowControl/>
        <w:numPr>
          <w:ilvl w:val="0"/>
          <w:numId w:val="2"/>
        </w:numPr>
        <w:tabs>
          <w:tab w:val="clear" w:pos="312"/>
          <w:tab w:val="left" w:pos="420"/>
        </w:tabs>
        <w:topLinePunct/>
        <w:ind w:left="420" w:hanging="420"/>
        <w:rPr>
          <w:rFonts w:eastAsia="SimSun" w:cs="Times New Roman"/>
          <w:color w:val="000000" w:themeColor="text1"/>
          <w:kern w:val="2"/>
          <w:highlight w:val="red"/>
        </w:rPr>
      </w:pPr>
      <w:bookmarkStart w:id="7" w:name="_Ref13333"/>
      <w:r>
        <w:rPr>
          <w:rFonts w:eastAsia="SimSun" w:cs="Times New Roman"/>
          <w:color w:val="000000" w:themeColor="text1"/>
          <w:kern w:val="2"/>
        </w:rPr>
        <w:t xml:space="preserve"> </w:t>
      </w:r>
      <w:bookmarkEnd w:id="7"/>
      <w:r w:rsidR="00DE051B">
        <w:rPr>
          <w:rFonts w:ascii="Arial" w:hAnsi="Arial" w:cs="Arial"/>
          <w:color w:val="222222"/>
          <w:sz w:val="20"/>
          <w:szCs w:val="20"/>
          <w:shd w:val="clear" w:color="auto" w:fill="FFFFFF"/>
        </w:rPr>
        <w:t>Li, H., Cui, C., Cai, J., Zhang, M., &amp; Sheng, Y. (2022). Utilization of steel slag in road semi-rigid base: a review. </w:t>
      </w:r>
      <w:r w:rsidR="00DE051B">
        <w:rPr>
          <w:rFonts w:ascii="Arial" w:hAnsi="Arial" w:cs="Arial"/>
          <w:i/>
          <w:iCs/>
          <w:color w:val="222222"/>
          <w:sz w:val="20"/>
          <w:szCs w:val="20"/>
          <w:shd w:val="clear" w:color="auto" w:fill="FFFFFF"/>
        </w:rPr>
        <w:t>Coatings</w:t>
      </w:r>
      <w:r w:rsidR="00DE051B">
        <w:rPr>
          <w:rFonts w:ascii="Arial" w:hAnsi="Arial" w:cs="Arial"/>
          <w:color w:val="222222"/>
          <w:sz w:val="20"/>
          <w:szCs w:val="20"/>
          <w:shd w:val="clear" w:color="auto" w:fill="FFFFFF"/>
        </w:rPr>
        <w:t>, </w:t>
      </w:r>
      <w:r w:rsidR="00DE051B">
        <w:rPr>
          <w:rFonts w:ascii="Arial" w:hAnsi="Arial" w:cs="Arial"/>
          <w:i/>
          <w:iCs/>
          <w:color w:val="222222"/>
          <w:sz w:val="20"/>
          <w:szCs w:val="20"/>
          <w:shd w:val="clear" w:color="auto" w:fill="FFFFFF"/>
        </w:rPr>
        <w:t>12</w:t>
      </w:r>
      <w:r w:rsidR="00DE051B">
        <w:rPr>
          <w:rFonts w:ascii="Arial" w:hAnsi="Arial" w:cs="Arial"/>
          <w:color w:val="222222"/>
          <w:sz w:val="20"/>
          <w:szCs w:val="20"/>
          <w:shd w:val="clear" w:color="auto" w:fill="FFFFFF"/>
        </w:rPr>
        <w:t>(7), 994.</w:t>
      </w:r>
    </w:p>
    <w:p w:rsidR="007C2403" w:rsidRDefault="00305B71">
      <w:pPr>
        <w:widowControl/>
        <w:numPr>
          <w:ilvl w:val="0"/>
          <w:numId w:val="2"/>
        </w:numPr>
        <w:tabs>
          <w:tab w:val="clear" w:pos="312"/>
          <w:tab w:val="left" w:pos="420"/>
        </w:tabs>
        <w:topLinePunct/>
        <w:ind w:left="420" w:hanging="420"/>
        <w:rPr>
          <w:rFonts w:eastAsia="SimSun" w:cs="Times New Roman"/>
          <w:color w:val="000000" w:themeColor="text1"/>
          <w:kern w:val="2"/>
        </w:rPr>
      </w:pPr>
      <w:bookmarkStart w:id="8" w:name="_Ref13369"/>
      <w:r>
        <w:rPr>
          <w:rFonts w:eastAsia="SimSun" w:cs="Times New Roman"/>
          <w:color w:val="000000" w:themeColor="text1"/>
          <w:kern w:val="2"/>
        </w:rPr>
        <w:t xml:space="preserve"> Huang Y, Yang X, Wang S, et al. Evaluating Cement Treated Aggregate Base Containing Steel Slag: Mechanical Properties, Volume Stability and Environmental Impacts[J]. Materials, 2022, 15(23): 8277-8277.</w:t>
      </w:r>
      <w:bookmarkEnd w:id="8"/>
    </w:p>
    <w:p w:rsidR="00DE051B" w:rsidRDefault="00DE051B">
      <w:pPr>
        <w:widowControl/>
        <w:numPr>
          <w:ilvl w:val="0"/>
          <w:numId w:val="2"/>
        </w:numPr>
        <w:tabs>
          <w:tab w:val="clear" w:pos="312"/>
          <w:tab w:val="left" w:pos="420"/>
        </w:tabs>
        <w:topLinePunct/>
        <w:ind w:left="420" w:hanging="420"/>
        <w:rPr>
          <w:rFonts w:eastAsia="SimSun" w:cs="Times New Roman"/>
          <w:color w:val="000000" w:themeColor="text1"/>
          <w:kern w:val="2"/>
          <w:highlight w:val="red"/>
        </w:rPr>
      </w:pPr>
      <w:bookmarkStart w:id="9" w:name="_Ref13480"/>
      <w:r>
        <w:rPr>
          <w:rFonts w:ascii="Arial" w:hAnsi="Arial" w:cs="Arial"/>
          <w:color w:val="222222"/>
          <w:sz w:val="20"/>
          <w:szCs w:val="20"/>
          <w:shd w:val="clear" w:color="auto" w:fill="FFFFFF"/>
        </w:rPr>
        <w:t>Yu, L., Wu, Y., Meng, Y., Huang, G., Li, R., &amp; Pei, J. (2023). Study on fatigue crack propagation failure in semi-rigid base. </w:t>
      </w:r>
      <w:r>
        <w:rPr>
          <w:rFonts w:ascii="Arial" w:hAnsi="Arial" w:cs="Arial"/>
          <w:i/>
          <w:iCs/>
          <w:color w:val="222222"/>
          <w:sz w:val="20"/>
          <w:szCs w:val="20"/>
          <w:shd w:val="clear" w:color="auto" w:fill="FFFFFF"/>
        </w:rPr>
        <w:t>Construction and Building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409</w:t>
      </w:r>
      <w:r>
        <w:rPr>
          <w:rFonts w:ascii="Arial" w:hAnsi="Arial" w:cs="Arial"/>
          <w:color w:val="222222"/>
          <w:sz w:val="20"/>
          <w:szCs w:val="20"/>
          <w:shd w:val="clear" w:color="auto" w:fill="FFFFFF"/>
        </w:rPr>
        <w:t>, 134007.</w:t>
      </w:r>
      <w:bookmarkEnd w:id="9"/>
    </w:p>
    <w:p w:rsidR="007C2403" w:rsidRPr="00810CB7" w:rsidRDefault="00DE051B">
      <w:pPr>
        <w:widowControl/>
        <w:numPr>
          <w:ilvl w:val="0"/>
          <w:numId w:val="2"/>
        </w:numPr>
        <w:tabs>
          <w:tab w:val="clear" w:pos="312"/>
          <w:tab w:val="left" w:pos="420"/>
        </w:tabs>
        <w:topLinePunct/>
        <w:ind w:left="420" w:hanging="420"/>
        <w:rPr>
          <w:rFonts w:eastAsia="SimSun" w:cs="Times New Roman"/>
          <w:color w:val="000000" w:themeColor="text1"/>
          <w:kern w:val="2"/>
          <w:highlight w:val="red"/>
        </w:rPr>
      </w:pPr>
      <w:r>
        <w:rPr>
          <w:rFonts w:ascii="Arial" w:hAnsi="Arial" w:cs="Arial"/>
          <w:color w:val="222222"/>
          <w:sz w:val="20"/>
          <w:szCs w:val="20"/>
          <w:shd w:val="clear" w:color="auto" w:fill="FFFFFF"/>
        </w:rPr>
        <w:t>Yu, L., Wu, Y., Meng, Y., Huang, G., Li, R., &amp; Pei, J. (2023). Study on fatigue crack propagation failure in semi-rigid base. </w:t>
      </w:r>
      <w:r>
        <w:rPr>
          <w:rFonts w:ascii="Arial" w:hAnsi="Arial" w:cs="Arial"/>
          <w:i/>
          <w:iCs/>
          <w:color w:val="222222"/>
          <w:sz w:val="20"/>
          <w:szCs w:val="20"/>
          <w:shd w:val="clear" w:color="auto" w:fill="FFFFFF"/>
        </w:rPr>
        <w:t>Construction and Building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409</w:t>
      </w:r>
      <w:r>
        <w:rPr>
          <w:rFonts w:ascii="Arial" w:hAnsi="Arial" w:cs="Arial"/>
          <w:color w:val="222222"/>
          <w:sz w:val="20"/>
          <w:szCs w:val="20"/>
          <w:shd w:val="clear" w:color="auto" w:fill="FFFFFF"/>
        </w:rPr>
        <w:t>, 134007.</w:t>
      </w:r>
    </w:p>
    <w:p w:rsidR="007C2403" w:rsidRDefault="00305B71">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0" w:name="_Ref13526"/>
      <w:r>
        <w:rPr>
          <w:rFonts w:eastAsia="SimSun" w:cs="Times New Roman"/>
          <w:color w:val="000000" w:themeColor="text1"/>
          <w:kern w:val="2"/>
        </w:rPr>
        <w:lastRenderedPageBreak/>
        <w:t xml:space="preserve">Wen Tian. Basic Properties and Early Shrinkage of Fly Ash-Slag Based Geopolymer Concrete[D]. Southwest </w:t>
      </w:r>
      <w:proofErr w:type="spellStart"/>
      <w:r>
        <w:rPr>
          <w:rFonts w:eastAsia="SimSun" w:cs="Times New Roman"/>
          <w:color w:val="000000" w:themeColor="text1"/>
          <w:kern w:val="2"/>
        </w:rPr>
        <w:t>Jiaotong</w:t>
      </w:r>
      <w:proofErr w:type="spellEnd"/>
      <w:r>
        <w:rPr>
          <w:rFonts w:eastAsia="SimSun" w:cs="Times New Roman"/>
          <w:color w:val="000000" w:themeColor="text1"/>
          <w:kern w:val="2"/>
        </w:rPr>
        <w:t xml:space="preserve"> University, 2020. </w:t>
      </w:r>
      <w:proofErr w:type="gramStart"/>
      <w:r>
        <w:rPr>
          <w:rFonts w:eastAsia="SimSun" w:cs="Times New Roman"/>
          <w:color w:val="000000" w:themeColor="text1"/>
          <w:kern w:val="2"/>
        </w:rPr>
        <w:t>DOI:10.27414/d.cnki.gxnju</w:t>
      </w:r>
      <w:proofErr w:type="gramEnd"/>
      <w:r>
        <w:rPr>
          <w:rFonts w:eastAsia="SimSun" w:cs="Times New Roman"/>
          <w:color w:val="000000" w:themeColor="text1"/>
          <w:kern w:val="2"/>
        </w:rPr>
        <w:t>.2020.000161.</w:t>
      </w:r>
      <w:bookmarkEnd w:id="10"/>
    </w:p>
    <w:p w:rsidR="00DE051B" w:rsidRDefault="00DE051B">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1" w:name="_Ref13614"/>
      <w:r>
        <w:rPr>
          <w:rFonts w:ascii="Arial" w:hAnsi="Arial" w:cs="Arial"/>
          <w:color w:val="222222"/>
          <w:sz w:val="20"/>
          <w:szCs w:val="20"/>
          <w:shd w:val="clear" w:color="auto" w:fill="FFFFFF"/>
        </w:rPr>
        <w:t>Yang, C., Jiang, Y., Li, Z., Huang, Y., &amp; Yue, J. (2025). Research on the Pavement Performance of Slag/Fly Ash-Based Geopolymer-Stabilized Soil. </w:t>
      </w:r>
      <w:r>
        <w:rPr>
          <w:rFonts w:ascii="Arial" w:hAnsi="Arial" w:cs="Arial"/>
          <w:i/>
          <w:iCs/>
          <w:color w:val="222222"/>
          <w:sz w:val="20"/>
          <w:szCs w:val="20"/>
          <w:shd w:val="clear" w:color="auto" w:fill="FFFFFF"/>
        </w:rPr>
        <w:t>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(13), 3173.</w:t>
      </w:r>
    </w:p>
    <w:p w:rsidR="007C2403" w:rsidRDefault="00305B71">
      <w:pPr>
        <w:widowControl/>
        <w:numPr>
          <w:ilvl w:val="0"/>
          <w:numId w:val="2"/>
        </w:numPr>
        <w:tabs>
          <w:tab w:val="clear" w:pos="312"/>
          <w:tab w:val="left" w:pos="420"/>
        </w:tabs>
        <w:topLinePunct/>
        <w:ind w:left="420" w:hanging="420"/>
        <w:rPr>
          <w:rFonts w:eastAsia="SimSun" w:cs="Times New Roman"/>
          <w:color w:val="000000" w:themeColor="text1"/>
          <w:kern w:val="2"/>
        </w:rPr>
      </w:pPr>
      <w:proofErr w:type="spellStart"/>
      <w:r>
        <w:rPr>
          <w:rFonts w:eastAsia="SimSun" w:cs="Times New Roman"/>
          <w:color w:val="000000" w:themeColor="text1"/>
          <w:kern w:val="2"/>
        </w:rPr>
        <w:t>Statkauskas</w:t>
      </w:r>
      <w:proofErr w:type="spellEnd"/>
      <w:r>
        <w:rPr>
          <w:rFonts w:eastAsia="SimSun" w:cs="Times New Roman"/>
          <w:color w:val="000000" w:themeColor="text1"/>
          <w:kern w:val="2"/>
        </w:rPr>
        <w:t xml:space="preserve"> M, </w:t>
      </w:r>
      <w:proofErr w:type="spellStart"/>
      <w:r>
        <w:rPr>
          <w:rFonts w:eastAsia="SimSun" w:cs="Times New Roman"/>
          <w:color w:val="000000" w:themeColor="text1"/>
          <w:kern w:val="2"/>
        </w:rPr>
        <w:t>Vaičiukynienė</w:t>
      </w:r>
      <w:proofErr w:type="spellEnd"/>
      <w:r>
        <w:rPr>
          <w:rFonts w:eastAsia="SimSun" w:cs="Times New Roman"/>
          <w:color w:val="000000" w:themeColor="text1"/>
          <w:kern w:val="2"/>
        </w:rPr>
        <w:t xml:space="preserve"> D, </w:t>
      </w:r>
      <w:proofErr w:type="spellStart"/>
      <w:r>
        <w:rPr>
          <w:rFonts w:eastAsia="SimSun" w:cs="Times New Roman"/>
          <w:color w:val="000000" w:themeColor="text1"/>
          <w:kern w:val="2"/>
        </w:rPr>
        <w:t>Grinys</w:t>
      </w:r>
      <w:proofErr w:type="spellEnd"/>
      <w:r>
        <w:rPr>
          <w:rFonts w:eastAsia="SimSun" w:cs="Times New Roman"/>
          <w:color w:val="000000" w:themeColor="text1"/>
          <w:kern w:val="2"/>
        </w:rPr>
        <w:t xml:space="preserve"> A, et al. Mechanical Properties and Microstructure of Ternary Alkali Activated System: Red Brick Waste, Metakaolin and </w:t>
      </w:r>
      <w:proofErr w:type="spellStart"/>
      <w:r>
        <w:rPr>
          <w:rFonts w:eastAsia="SimSun" w:cs="Times New Roman"/>
          <w:color w:val="000000" w:themeColor="text1"/>
          <w:kern w:val="2"/>
        </w:rPr>
        <w:t>Phosphogypsum</w:t>
      </w:r>
      <w:proofErr w:type="spellEnd"/>
      <w:r>
        <w:rPr>
          <w:rFonts w:eastAsia="SimSun" w:cs="Times New Roman"/>
          <w:color w:val="000000" w:themeColor="text1"/>
          <w:kern w:val="2"/>
        </w:rPr>
        <w:t>[J]. Construction and Building Materials, 2023, 387(5): 131648.</w:t>
      </w:r>
      <w:bookmarkEnd w:id="11"/>
    </w:p>
    <w:p w:rsidR="007C2403" w:rsidRDefault="00305B71">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2" w:name="_Ref13650"/>
      <w:r>
        <w:rPr>
          <w:rFonts w:eastAsia="SimSun" w:cs="Times New Roman"/>
          <w:color w:val="000000" w:themeColor="text1"/>
          <w:kern w:val="2"/>
        </w:rPr>
        <w:t xml:space="preserve">Chen </w:t>
      </w:r>
      <w:proofErr w:type="spellStart"/>
      <w:r>
        <w:rPr>
          <w:rFonts w:eastAsia="SimSun" w:cs="Times New Roman"/>
          <w:color w:val="000000" w:themeColor="text1"/>
          <w:kern w:val="2"/>
        </w:rPr>
        <w:t>Huiguo</w:t>
      </w:r>
      <w:proofErr w:type="spellEnd"/>
      <w:r>
        <w:rPr>
          <w:rFonts w:eastAsia="SimSun" w:cs="Times New Roman"/>
          <w:color w:val="000000" w:themeColor="text1"/>
          <w:kern w:val="2"/>
        </w:rPr>
        <w:t>, Yu Dun, Du Jiang. Orthogonal Experimental Study on Slag-Coal Ash Inorganic Polymer Cementitious Materials[J]. Fly Ash Comprehensive Utilization, 2018, (5): 38-43.</w:t>
      </w:r>
      <w:bookmarkEnd w:id="12"/>
    </w:p>
    <w:p w:rsidR="004B16B3" w:rsidRDefault="004B16B3">
      <w:pPr>
        <w:widowControl/>
        <w:numPr>
          <w:ilvl w:val="0"/>
          <w:numId w:val="2"/>
        </w:numPr>
        <w:tabs>
          <w:tab w:val="clear" w:pos="312"/>
          <w:tab w:val="left" w:pos="420"/>
        </w:tabs>
        <w:topLinePunct/>
        <w:ind w:left="420" w:hanging="420"/>
        <w:rPr>
          <w:rFonts w:eastAsia="SimSun" w:cs="Times New Roman"/>
          <w:color w:val="000000" w:themeColor="text1"/>
          <w:kern w:val="2"/>
          <w:highlight w:val="red"/>
        </w:rPr>
      </w:pPr>
      <w:bookmarkStart w:id="13" w:name="_Ref13777"/>
      <w:r>
        <w:rPr>
          <w:rFonts w:ascii="Arial" w:hAnsi="Arial" w:cs="Arial"/>
          <w:color w:val="222222"/>
          <w:sz w:val="20"/>
          <w:szCs w:val="20"/>
          <w:shd w:val="clear" w:color="auto" w:fill="FFFFFF"/>
        </w:rPr>
        <w:t xml:space="preserve">Ali, M., Kumar, A., </w:t>
      </w:r>
      <w:proofErr w:type="spellStart"/>
      <w:r>
        <w:rPr>
          <w:rFonts w:ascii="Arial" w:hAnsi="Arial" w:cs="Arial"/>
          <w:color w:val="222222"/>
          <w:sz w:val="20"/>
          <w:szCs w:val="20"/>
          <w:shd w:val="clear" w:color="auto" w:fill="FFFFFF"/>
        </w:rPr>
        <w:t>Yvaz</w:t>
      </w:r>
      <w:proofErr w:type="spellEnd"/>
      <w:r>
        <w:rPr>
          <w:rFonts w:ascii="Arial" w:hAnsi="Arial" w:cs="Arial"/>
          <w:color w:val="222222"/>
          <w:sz w:val="20"/>
          <w:szCs w:val="20"/>
          <w:shd w:val="clear" w:color="auto" w:fill="FFFFFF"/>
        </w:rPr>
        <w:t>, A., &amp; Salah, B. (2023). Central composite design application in the optimization of the effect of pumice stone on lightweight concrete properties using RSM. </w:t>
      </w:r>
      <w:r>
        <w:rPr>
          <w:rFonts w:ascii="Arial" w:hAnsi="Arial" w:cs="Arial"/>
          <w:i/>
          <w:iCs/>
          <w:color w:val="222222"/>
          <w:sz w:val="20"/>
          <w:szCs w:val="20"/>
          <w:shd w:val="clear" w:color="auto" w:fill="FFFFFF"/>
        </w:rPr>
        <w:t>Case Studies in Construction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 e01958.</w:t>
      </w:r>
      <w:r w:rsidRPr="00810CB7">
        <w:rPr>
          <w:rFonts w:eastAsia="SimSun" w:cs="Times New Roman"/>
          <w:color w:val="000000" w:themeColor="text1"/>
          <w:kern w:val="2"/>
          <w:highlight w:val="red"/>
        </w:rPr>
        <w:t xml:space="preserve"> </w:t>
      </w:r>
    </w:p>
    <w:p w:rsidR="004B16B3" w:rsidRDefault="004B16B3">
      <w:pPr>
        <w:widowControl/>
        <w:numPr>
          <w:ilvl w:val="0"/>
          <w:numId w:val="2"/>
        </w:numPr>
        <w:tabs>
          <w:tab w:val="clear" w:pos="312"/>
          <w:tab w:val="left" w:pos="420"/>
        </w:tabs>
        <w:topLinePunct/>
        <w:ind w:left="420" w:hanging="420"/>
        <w:rPr>
          <w:rFonts w:eastAsia="SimSun" w:cs="Times New Roman"/>
          <w:color w:val="000000" w:themeColor="text1"/>
          <w:kern w:val="2"/>
          <w:highlight w:val="red"/>
        </w:rPr>
      </w:pPr>
      <w:bookmarkStart w:id="14" w:name="_Ref13823"/>
      <w:bookmarkEnd w:id="13"/>
      <w:r>
        <w:rPr>
          <w:rFonts w:ascii="Arial" w:hAnsi="Arial" w:cs="Arial"/>
          <w:color w:val="222222"/>
          <w:sz w:val="20"/>
          <w:szCs w:val="20"/>
          <w:shd w:val="clear" w:color="auto" w:fill="FFFFFF"/>
        </w:rPr>
        <w:t xml:space="preserve">Wang, J., Liu, M., Wang, Y., Zhou, Z., Xu, D., Du, P., &amp; Cheng, X. (2020). Synergistic effects of </w:t>
      </w:r>
      <w:proofErr w:type="spellStart"/>
      <w:r>
        <w:rPr>
          <w:rFonts w:ascii="Arial" w:hAnsi="Arial" w:cs="Arial"/>
          <w:color w:val="222222"/>
          <w:sz w:val="20"/>
          <w:szCs w:val="20"/>
          <w:shd w:val="clear" w:color="auto" w:fill="FFFFFF"/>
        </w:rPr>
        <w:t>nano</w:t>
      </w:r>
      <w:proofErr w:type="spellEnd"/>
      <w:r>
        <w:rPr>
          <w:rFonts w:ascii="Arial" w:hAnsi="Arial" w:cs="Arial"/>
          <w:color w:val="222222"/>
          <w:sz w:val="20"/>
          <w:szCs w:val="20"/>
          <w:shd w:val="clear" w:color="auto" w:fill="FFFFFF"/>
        </w:rPr>
        <w:t>-silica and fly ash on properties of cement-based composites. </w:t>
      </w:r>
      <w:r>
        <w:rPr>
          <w:rFonts w:ascii="Arial" w:hAnsi="Arial" w:cs="Arial"/>
          <w:i/>
          <w:iCs/>
          <w:color w:val="222222"/>
          <w:sz w:val="20"/>
          <w:szCs w:val="20"/>
          <w:shd w:val="clear" w:color="auto" w:fill="FFFFFF"/>
        </w:rPr>
        <w:t>Construction and Building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262</w:t>
      </w:r>
      <w:r>
        <w:rPr>
          <w:rFonts w:ascii="Arial" w:hAnsi="Arial" w:cs="Arial"/>
          <w:color w:val="222222"/>
          <w:sz w:val="20"/>
          <w:szCs w:val="20"/>
          <w:shd w:val="clear" w:color="auto" w:fill="FFFFFF"/>
        </w:rPr>
        <w:t>, 120737.</w:t>
      </w:r>
      <w:r w:rsidRPr="00810CB7">
        <w:rPr>
          <w:rFonts w:eastAsia="SimSun" w:cs="Times New Roman"/>
          <w:color w:val="000000" w:themeColor="text1"/>
          <w:kern w:val="2"/>
          <w:highlight w:val="red"/>
        </w:rPr>
        <w:t xml:space="preserve"> </w:t>
      </w:r>
    </w:p>
    <w:p w:rsidR="004B16B3" w:rsidRDefault="004B16B3">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5" w:name="_Ref13862"/>
      <w:bookmarkEnd w:id="14"/>
      <w:r>
        <w:rPr>
          <w:rFonts w:ascii="Arial" w:hAnsi="Arial" w:cs="Arial"/>
          <w:color w:val="222222"/>
          <w:sz w:val="20"/>
          <w:szCs w:val="20"/>
          <w:shd w:val="clear" w:color="auto" w:fill="FFFFFF"/>
        </w:rPr>
        <w:t xml:space="preserve">Qi, W., </w:t>
      </w:r>
      <w:proofErr w:type="spellStart"/>
      <w:r>
        <w:rPr>
          <w:rFonts w:ascii="Arial" w:hAnsi="Arial" w:cs="Arial"/>
          <w:color w:val="222222"/>
          <w:sz w:val="20"/>
          <w:szCs w:val="20"/>
          <w:shd w:val="clear" w:color="auto" w:fill="FFFFFF"/>
        </w:rPr>
        <w:t>Duan</w:t>
      </w:r>
      <w:proofErr w:type="spellEnd"/>
      <w:r>
        <w:rPr>
          <w:rFonts w:ascii="Arial" w:hAnsi="Arial" w:cs="Arial"/>
          <w:color w:val="222222"/>
          <w:sz w:val="20"/>
          <w:szCs w:val="20"/>
          <w:shd w:val="clear" w:color="auto" w:fill="FFFFFF"/>
        </w:rPr>
        <w:t>, G., Han, Y., Zhao, Q., Huang, Y., Zhu, W., ... &amp; Zhang, J. (2024). Comparison of mechanical properties and microstructure of GGBS-based cementitious materials activated by different combined alkaline wastes. </w:t>
      </w:r>
      <w:r>
        <w:rPr>
          <w:rFonts w:ascii="Arial" w:hAnsi="Arial" w:cs="Arial"/>
          <w:i/>
          <w:iCs/>
          <w:color w:val="222222"/>
          <w:sz w:val="20"/>
          <w:szCs w:val="20"/>
          <w:shd w:val="clear" w:color="auto" w:fill="FFFFFF"/>
        </w:rPr>
        <w:t>Construction and Building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422</w:t>
      </w:r>
      <w:r>
        <w:rPr>
          <w:rFonts w:ascii="Arial" w:hAnsi="Arial" w:cs="Arial"/>
          <w:color w:val="222222"/>
          <w:sz w:val="20"/>
          <w:szCs w:val="20"/>
          <w:shd w:val="clear" w:color="auto" w:fill="FFFFFF"/>
        </w:rPr>
        <w:t>, 135784.</w:t>
      </w:r>
      <w:r>
        <w:rPr>
          <w:rFonts w:eastAsia="SimSun" w:cs="Times New Roman"/>
          <w:color w:val="000000" w:themeColor="text1"/>
          <w:kern w:val="2"/>
        </w:rPr>
        <w:t xml:space="preserve"> </w:t>
      </w:r>
    </w:p>
    <w:p w:rsidR="007C2403" w:rsidRDefault="00305B71">
      <w:pPr>
        <w:widowControl/>
        <w:numPr>
          <w:ilvl w:val="0"/>
          <w:numId w:val="2"/>
        </w:numPr>
        <w:tabs>
          <w:tab w:val="clear" w:pos="312"/>
          <w:tab w:val="left" w:pos="420"/>
        </w:tabs>
        <w:topLinePunct/>
        <w:ind w:left="420" w:hanging="420"/>
        <w:rPr>
          <w:rFonts w:eastAsia="SimSun" w:cs="Times New Roman"/>
          <w:color w:val="000000" w:themeColor="text1"/>
          <w:kern w:val="2"/>
        </w:rPr>
      </w:pPr>
      <w:proofErr w:type="spellStart"/>
      <w:r>
        <w:rPr>
          <w:rFonts w:eastAsia="SimSun" w:cs="Times New Roman"/>
          <w:color w:val="000000" w:themeColor="text1"/>
          <w:kern w:val="2"/>
        </w:rPr>
        <w:t>Xun</w:t>
      </w:r>
      <w:proofErr w:type="spellEnd"/>
      <w:r>
        <w:rPr>
          <w:rFonts w:eastAsia="SimSun" w:cs="Times New Roman"/>
          <w:color w:val="000000" w:themeColor="text1"/>
          <w:kern w:val="2"/>
        </w:rPr>
        <w:t xml:space="preserve"> </w:t>
      </w:r>
      <w:proofErr w:type="spellStart"/>
      <w:r>
        <w:rPr>
          <w:rFonts w:eastAsia="SimSun" w:cs="Times New Roman"/>
          <w:color w:val="000000" w:themeColor="text1"/>
          <w:kern w:val="2"/>
        </w:rPr>
        <w:t>Xiaowei</w:t>
      </w:r>
      <w:proofErr w:type="spellEnd"/>
      <w:r>
        <w:rPr>
          <w:rFonts w:eastAsia="SimSun" w:cs="Times New Roman"/>
          <w:color w:val="000000" w:themeColor="text1"/>
          <w:kern w:val="2"/>
        </w:rPr>
        <w:t xml:space="preserve">, Xiao </w:t>
      </w:r>
      <w:proofErr w:type="spellStart"/>
      <w:r>
        <w:rPr>
          <w:rFonts w:eastAsia="SimSun" w:cs="Times New Roman"/>
          <w:color w:val="000000" w:themeColor="text1"/>
          <w:kern w:val="2"/>
        </w:rPr>
        <w:t>Yaxiong</w:t>
      </w:r>
      <w:proofErr w:type="spellEnd"/>
      <w:r>
        <w:rPr>
          <w:rFonts w:eastAsia="SimSun" w:cs="Times New Roman"/>
          <w:color w:val="000000" w:themeColor="text1"/>
          <w:kern w:val="2"/>
        </w:rPr>
        <w:t xml:space="preserve">, Zhang </w:t>
      </w:r>
      <w:proofErr w:type="spellStart"/>
      <w:r>
        <w:rPr>
          <w:rFonts w:eastAsia="SimSun" w:cs="Times New Roman"/>
          <w:color w:val="000000" w:themeColor="text1"/>
          <w:kern w:val="2"/>
        </w:rPr>
        <w:t>Bofa</w:t>
      </w:r>
      <w:proofErr w:type="spellEnd"/>
      <w:r>
        <w:rPr>
          <w:rFonts w:eastAsia="SimSun" w:cs="Times New Roman"/>
          <w:color w:val="000000" w:themeColor="text1"/>
          <w:kern w:val="2"/>
        </w:rPr>
        <w:t>, et al. Research Progress on Reaction Mechanism, Properties and Applications of Alkali-Activated Geopolymers[J]. Multipurpose Utilization of Mineral Resources, 2023, 44(6): 83-90.</w:t>
      </w:r>
      <w:bookmarkEnd w:id="15"/>
    </w:p>
    <w:p w:rsidR="004B16B3" w:rsidRDefault="004B16B3">
      <w:pPr>
        <w:widowControl/>
        <w:numPr>
          <w:ilvl w:val="0"/>
          <w:numId w:val="2"/>
        </w:numPr>
        <w:tabs>
          <w:tab w:val="clear" w:pos="312"/>
          <w:tab w:val="left" w:pos="420"/>
        </w:tabs>
        <w:topLinePunct/>
        <w:ind w:left="420" w:hanging="420"/>
        <w:rPr>
          <w:rFonts w:eastAsia="SimSun" w:cs="Times New Roman"/>
          <w:color w:val="000000" w:themeColor="text1"/>
          <w:kern w:val="2"/>
          <w:highlight w:val="red"/>
        </w:rPr>
      </w:pPr>
      <w:bookmarkStart w:id="16" w:name="_Ref14107"/>
      <w:r>
        <w:rPr>
          <w:rFonts w:ascii="Arial" w:hAnsi="Arial" w:cs="Arial"/>
          <w:color w:val="222222"/>
          <w:sz w:val="20"/>
          <w:szCs w:val="20"/>
          <w:shd w:val="clear" w:color="auto" w:fill="FFFFFF"/>
        </w:rPr>
        <w:t>Cai, Y., Liu, Q., Wu, F., Dong, S., Zhang, Q., Wang, J., ... &amp; Yang, X. (2025). Performance Study on Preparation of Mine Backfill Materials Using Industrial Solid Waste in Combination with Construction Waste. </w:t>
      </w:r>
      <w:r>
        <w:rPr>
          <w:rFonts w:ascii="Arial" w:hAnsi="Arial" w:cs="Arial"/>
          <w:i/>
          <w:iCs/>
          <w:color w:val="222222"/>
          <w:sz w:val="20"/>
          <w:szCs w:val="20"/>
          <w:shd w:val="clear" w:color="auto" w:fill="FFFFFF"/>
        </w:rPr>
        <w:t>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(15), 3716.</w:t>
      </w:r>
      <w:r w:rsidRPr="00810CB7">
        <w:rPr>
          <w:rFonts w:eastAsia="SimSun" w:cs="Times New Roman"/>
          <w:color w:val="000000" w:themeColor="text1"/>
          <w:kern w:val="2"/>
          <w:highlight w:val="red"/>
        </w:rPr>
        <w:t xml:space="preserve"> </w:t>
      </w:r>
    </w:p>
    <w:p w:rsidR="004B16B3" w:rsidRPr="004B16B3" w:rsidRDefault="004B16B3">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7" w:name="_Ref14600"/>
      <w:bookmarkEnd w:id="16"/>
      <w:proofErr w:type="spellStart"/>
      <w:r>
        <w:rPr>
          <w:rFonts w:ascii="Arial" w:hAnsi="Arial" w:cs="Arial"/>
          <w:color w:val="222222"/>
          <w:sz w:val="20"/>
          <w:szCs w:val="20"/>
          <w:shd w:val="clear" w:color="auto" w:fill="FFFFFF"/>
        </w:rPr>
        <w:t>Chéruel</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Ftima</w:t>
      </w:r>
      <w:proofErr w:type="spellEnd"/>
      <w:r>
        <w:rPr>
          <w:rFonts w:ascii="Arial" w:hAnsi="Arial" w:cs="Arial"/>
          <w:color w:val="222222"/>
          <w:sz w:val="20"/>
          <w:szCs w:val="20"/>
          <w:shd w:val="clear" w:color="auto" w:fill="FFFFFF"/>
        </w:rPr>
        <w:t>, M. B. (2023). Unrestrained ASR volumetric expansion for mass concrete structures: Review and experimental investigation using 3d laser scanning. </w:t>
      </w:r>
      <w:r>
        <w:rPr>
          <w:rFonts w:ascii="Arial" w:hAnsi="Arial" w:cs="Arial"/>
          <w:i/>
          <w:iCs/>
          <w:color w:val="222222"/>
          <w:sz w:val="20"/>
          <w:szCs w:val="20"/>
          <w:shd w:val="clear" w:color="auto" w:fill="FFFFFF"/>
        </w:rPr>
        <w:t>Construction and Building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399</w:t>
      </w:r>
      <w:r>
        <w:rPr>
          <w:rFonts w:ascii="Arial" w:hAnsi="Arial" w:cs="Arial"/>
          <w:color w:val="222222"/>
          <w:sz w:val="20"/>
          <w:szCs w:val="20"/>
          <w:shd w:val="clear" w:color="auto" w:fill="FFFFFF"/>
        </w:rPr>
        <w:t>, 132565.</w:t>
      </w:r>
    </w:p>
    <w:p w:rsidR="007C2403" w:rsidRDefault="00305B71">
      <w:pPr>
        <w:widowControl/>
        <w:numPr>
          <w:ilvl w:val="0"/>
          <w:numId w:val="2"/>
        </w:numPr>
        <w:tabs>
          <w:tab w:val="clear" w:pos="312"/>
          <w:tab w:val="left" w:pos="420"/>
        </w:tabs>
        <w:topLinePunct/>
        <w:ind w:left="420" w:hanging="420"/>
        <w:rPr>
          <w:rFonts w:eastAsia="SimSun" w:cs="Times New Roman"/>
          <w:color w:val="000000" w:themeColor="text1"/>
          <w:kern w:val="2"/>
        </w:rPr>
      </w:pPr>
      <w:r>
        <w:rPr>
          <w:rFonts w:eastAsia="SimSun" w:cs="Times New Roman"/>
          <w:color w:val="000000" w:themeColor="text1"/>
          <w:kern w:val="2"/>
        </w:rPr>
        <w:t xml:space="preserve">Zhang Yang, Tian </w:t>
      </w:r>
      <w:proofErr w:type="spellStart"/>
      <w:r>
        <w:rPr>
          <w:rFonts w:eastAsia="SimSun" w:cs="Times New Roman"/>
          <w:color w:val="000000" w:themeColor="text1"/>
          <w:kern w:val="2"/>
        </w:rPr>
        <w:t>Shaoqiang</w:t>
      </w:r>
      <w:proofErr w:type="spellEnd"/>
      <w:r>
        <w:rPr>
          <w:rFonts w:eastAsia="SimSun" w:cs="Times New Roman"/>
          <w:color w:val="000000" w:themeColor="text1"/>
          <w:kern w:val="2"/>
        </w:rPr>
        <w:t>, Ma Tao, et al. Study on Mechanical Properties and Drying Shrinkage Characteristics of Solid Waste-Based Geopolymer Stabilized Aggregate[J]. China Journal of Highw</w:t>
      </w:r>
      <w:bookmarkStart w:id="18" w:name="_GoBack"/>
      <w:bookmarkEnd w:id="18"/>
      <w:r>
        <w:rPr>
          <w:rFonts w:eastAsia="SimSun" w:cs="Times New Roman"/>
          <w:color w:val="000000" w:themeColor="text1"/>
          <w:kern w:val="2"/>
        </w:rPr>
        <w:t xml:space="preserve">ay and Transport, 2023, 36(12): 120-130. </w:t>
      </w:r>
      <w:proofErr w:type="gramStart"/>
      <w:r>
        <w:rPr>
          <w:rFonts w:eastAsia="SimSun" w:cs="Times New Roman"/>
          <w:color w:val="000000" w:themeColor="text1"/>
          <w:kern w:val="2"/>
        </w:rPr>
        <w:t>DOI:10.19721/j.cnki</w:t>
      </w:r>
      <w:proofErr w:type="gramEnd"/>
      <w:r>
        <w:rPr>
          <w:rFonts w:eastAsia="SimSun" w:cs="Times New Roman"/>
          <w:color w:val="000000" w:themeColor="text1"/>
          <w:kern w:val="2"/>
        </w:rPr>
        <w:t>.1001-7372.2023.12.009.</w:t>
      </w:r>
      <w:bookmarkEnd w:id="17"/>
    </w:p>
    <w:p w:rsidR="007C2403" w:rsidRPr="004B16B3" w:rsidRDefault="00305B71">
      <w:pPr>
        <w:widowControl/>
        <w:numPr>
          <w:ilvl w:val="0"/>
          <w:numId w:val="2"/>
        </w:numPr>
        <w:tabs>
          <w:tab w:val="clear" w:pos="312"/>
          <w:tab w:val="left" w:pos="420"/>
        </w:tabs>
        <w:topLinePunct/>
        <w:ind w:left="420" w:hanging="420"/>
        <w:rPr>
          <w:rFonts w:eastAsia="SimSun" w:cs="Times New Roman"/>
          <w:color w:val="000000" w:themeColor="text1"/>
          <w:kern w:val="2"/>
          <w:highlight w:val="yellow"/>
        </w:rPr>
      </w:pPr>
      <w:bookmarkStart w:id="19" w:name="_Ref14770"/>
      <w:r w:rsidRPr="004B16B3">
        <w:rPr>
          <w:rFonts w:eastAsia="SimSun" w:cs="Times New Roman"/>
          <w:color w:val="000000" w:themeColor="text1"/>
          <w:kern w:val="2"/>
          <w:highlight w:val="yellow"/>
        </w:rPr>
        <w:t xml:space="preserve">Qing </w:t>
      </w:r>
      <w:proofErr w:type="spellStart"/>
      <w:r w:rsidRPr="004B16B3">
        <w:rPr>
          <w:rFonts w:eastAsia="SimSun" w:cs="Times New Roman"/>
          <w:color w:val="000000" w:themeColor="text1"/>
          <w:kern w:val="2"/>
          <w:highlight w:val="yellow"/>
        </w:rPr>
        <w:t>Sancheng</w:t>
      </w:r>
      <w:proofErr w:type="spellEnd"/>
      <w:r w:rsidRPr="004B16B3">
        <w:rPr>
          <w:rFonts w:eastAsia="SimSun" w:cs="Times New Roman"/>
          <w:color w:val="000000" w:themeColor="text1"/>
          <w:kern w:val="2"/>
          <w:highlight w:val="yellow"/>
        </w:rPr>
        <w:t xml:space="preserve">, Wang Xin, Li </w:t>
      </w:r>
      <w:proofErr w:type="spellStart"/>
      <w:r w:rsidRPr="004B16B3">
        <w:rPr>
          <w:rFonts w:eastAsia="SimSun" w:cs="Times New Roman"/>
          <w:color w:val="000000" w:themeColor="text1"/>
          <w:kern w:val="2"/>
          <w:highlight w:val="yellow"/>
        </w:rPr>
        <w:t>Wengang</w:t>
      </w:r>
      <w:proofErr w:type="spellEnd"/>
      <w:r w:rsidRPr="004B16B3">
        <w:rPr>
          <w:rFonts w:eastAsia="SimSun" w:cs="Times New Roman"/>
          <w:color w:val="000000" w:themeColor="text1"/>
          <w:kern w:val="2"/>
          <w:highlight w:val="yellow"/>
        </w:rPr>
        <w:t>, et al. Enhancing Mechanical Properties of Aluminum Ash-</w:t>
      </w:r>
      <w:proofErr w:type="spellStart"/>
      <w:r w:rsidRPr="004B16B3">
        <w:rPr>
          <w:rFonts w:eastAsia="SimSun" w:cs="Times New Roman"/>
          <w:color w:val="000000" w:themeColor="text1"/>
          <w:kern w:val="2"/>
          <w:highlight w:val="yellow"/>
        </w:rPr>
        <w:t>Phosphogypsum</w:t>
      </w:r>
      <w:proofErr w:type="spellEnd"/>
      <w:r w:rsidRPr="004B16B3">
        <w:rPr>
          <w:rFonts w:eastAsia="SimSun" w:cs="Times New Roman"/>
          <w:color w:val="000000" w:themeColor="text1"/>
          <w:kern w:val="2"/>
          <w:highlight w:val="yellow"/>
        </w:rPr>
        <w:t>-Steel Slag Powder Stabilized Steel Slag-Crushed Stone Composite Aggregate through Heat Treatment[J]. Nonferrous Metals (Extractive Metallurgy), 2024 (9).</w:t>
      </w:r>
      <w:bookmarkEnd w:id="19"/>
    </w:p>
    <w:p w:rsidR="004B16B3" w:rsidRDefault="004B16B3">
      <w:pPr>
        <w:widowControl/>
        <w:numPr>
          <w:ilvl w:val="0"/>
          <w:numId w:val="2"/>
        </w:numPr>
        <w:tabs>
          <w:tab w:val="clear" w:pos="312"/>
          <w:tab w:val="left" w:pos="420"/>
        </w:tabs>
        <w:topLinePunct/>
        <w:ind w:left="420" w:hanging="420"/>
        <w:rPr>
          <w:rFonts w:eastAsia="SimSun" w:cs="Times New Roman"/>
          <w:color w:val="000000" w:themeColor="text1"/>
          <w:kern w:val="2"/>
          <w:highlight w:val="red"/>
        </w:rPr>
      </w:pPr>
      <w:bookmarkStart w:id="20" w:name="_Ref14261"/>
      <w:r>
        <w:rPr>
          <w:rFonts w:ascii="Arial" w:hAnsi="Arial" w:cs="Arial"/>
          <w:color w:val="222222"/>
          <w:sz w:val="20"/>
          <w:szCs w:val="20"/>
          <w:shd w:val="clear" w:color="auto" w:fill="FFFFFF"/>
        </w:rPr>
        <w:t xml:space="preserve">Singh, S. B., Munjal, P., &amp; </w:t>
      </w:r>
      <w:proofErr w:type="spellStart"/>
      <w:r>
        <w:rPr>
          <w:rFonts w:ascii="Arial" w:hAnsi="Arial" w:cs="Arial"/>
          <w:color w:val="222222"/>
          <w:sz w:val="20"/>
          <w:szCs w:val="20"/>
          <w:shd w:val="clear" w:color="auto" w:fill="FFFFFF"/>
        </w:rPr>
        <w:t>Thammishetti</w:t>
      </w:r>
      <w:proofErr w:type="spellEnd"/>
      <w:r>
        <w:rPr>
          <w:rFonts w:ascii="Arial" w:hAnsi="Arial" w:cs="Arial"/>
          <w:color w:val="222222"/>
          <w:sz w:val="20"/>
          <w:szCs w:val="20"/>
          <w:shd w:val="clear" w:color="auto" w:fill="FFFFFF"/>
        </w:rPr>
        <w:t>, N. (2015). Role of water/cement ratio on strength development of cement mortar. </w:t>
      </w:r>
      <w:r>
        <w:rPr>
          <w:rFonts w:ascii="Arial" w:hAnsi="Arial" w:cs="Arial"/>
          <w:i/>
          <w:iCs/>
          <w:color w:val="222222"/>
          <w:sz w:val="20"/>
          <w:szCs w:val="20"/>
          <w:shd w:val="clear" w:color="auto" w:fill="FFFFFF"/>
        </w:rPr>
        <w:t>Journal of Building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 94-100.</w:t>
      </w:r>
      <w:r w:rsidRPr="00810CB7">
        <w:rPr>
          <w:rFonts w:eastAsia="SimSun" w:cs="Times New Roman"/>
          <w:color w:val="000000" w:themeColor="text1"/>
          <w:kern w:val="2"/>
          <w:highlight w:val="red"/>
        </w:rPr>
        <w:t xml:space="preserve"> </w:t>
      </w:r>
    </w:p>
    <w:p w:rsidR="007C2403" w:rsidRPr="004B16B3" w:rsidRDefault="00305B71">
      <w:pPr>
        <w:widowControl/>
        <w:numPr>
          <w:ilvl w:val="0"/>
          <w:numId w:val="2"/>
        </w:numPr>
        <w:tabs>
          <w:tab w:val="clear" w:pos="312"/>
          <w:tab w:val="left" w:pos="420"/>
        </w:tabs>
        <w:topLinePunct/>
        <w:ind w:left="420" w:hanging="420"/>
        <w:rPr>
          <w:rFonts w:eastAsia="SimSun" w:cs="Times New Roman"/>
          <w:color w:val="000000" w:themeColor="text1"/>
          <w:kern w:val="2"/>
          <w:highlight w:val="yellow"/>
        </w:rPr>
      </w:pPr>
      <w:r w:rsidRPr="004B16B3">
        <w:rPr>
          <w:rFonts w:eastAsia="SimSun" w:cs="Times New Roman"/>
          <w:color w:val="000000" w:themeColor="text1"/>
          <w:kern w:val="2"/>
          <w:highlight w:val="yellow"/>
        </w:rPr>
        <w:t>Test Methods of Aggregate for Highway Engineering: JTG 3432—2024[S]. Beijing: People's Communications Press, 2024.</w:t>
      </w:r>
      <w:bookmarkEnd w:id="20"/>
    </w:p>
    <w:p w:rsidR="007C2403" w:rsidRPr="004B16B3" w:rsidRDefault="00305B71">
      <w:pPr>
        <w:widowControl/>
        <w:numPr>
          <w:ilvl w:val="0"/>
          <w:numId w:val="2"/>
        </w:numPr>
        <w:tabs>
          <w:tab w:val="clear" w:pos="312"/>
          <w:tab w:val="left" w:pos="420"/>
        </w:tabs>
        <w:topLinePunct/>
        <w:ind w:left="420" w:hanging="420"/>
        <w:rPr>
          <w:rFonts w:eastAsia="SimSun" w:cs="Times New Roman"/>
          <w:color w:val="000000" w:themeColor="text1"/>
          <w:kern w:val="2"/>
          <w:highlight w:val="yellow"/>
        </w:rPr>
      </w:pPr>
      <w:bookmarkStart w:id="21" w:name="_Ref14819"/>
      <w:r w:rsidRPr="004B16B3">
        <w:rPr>
          <w:rFonts w:eastAsia="SimSun" w:cs="Times New Roman"/>
          <w:color w:val="000000" w:themeColor="text1"/>
          <w:kern w:val="2"/>
          <w:highlight w:val="yellow"/>
        </w:rPr>
        <w:t>JTG/T 3441-2024, Test Methods for Inorganic Binder Stabilized Materials in Highway Engineering[S]. Beijing: People's Communications Press, 2024.</w:t>
      </w:r>
      <w:bookmarkEnd w:id="21"/>
    </w:p>
    <w:sectPr w:rsidR="007C2403" w:rsidRPr="004B16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4A6" w:rsidRDefault="00E204A6">
      <w:r>
        <w:separator/>
      </w:r>
    </w:p>
  </w:endnote>
  <w:endnote w:type="continuationSeparator" w:id="0">
    <w:p w:rsidR="00E204A6" w:rsidRDefault="00E2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楷体">
    <w:altName w:val="Microsoft YaHei"/>
    <w:charset w:val="86"/>
    <w:family w:val="modern"/>
    <w:pitch w:val="default"/>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altName w:val="Microsoft YaHei"/>
    <w:charset w:val="86"/>
    <w:family w:val="modern"/>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03" w:rsidRDefault="007C2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03" w:rsidRDefault="007C2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03" w:rsidRDefault="007C2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4A6" w:rsidRDefault="00E204A6">
      <w:r>
        <w:separator/>
      </w:r>
    </w:p>
  </w:footnote>
  <w:footnote w:type="continuationSeparator" w:id="0">
    <w:p w:rsidR="00E204A6" w:rsidRDefault="00E20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03" w:rsidRDefault="004B16B3">
    <w:pPr>
      <w:pStyle w:val="Header"/>
    </w:pPr>
    <w:r>
      <w:pict w14:anchorId="064EF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1532" o:spid="_x0000_s2050"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03" w:rsidRDefault="004B16B3">
    <w:pPr>
      <w:pStyle w:val="Header"/>
    </w:pPr>
    <w:r>
      <w:pict w14:anchorId="58064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1533" o:spid="_x0000_s2051"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03" w:rsidRDefault="004B16B3">
    <w:pPr>
      <w:pStyle w:val="Header"/>
    </w:pPr>
    <w:r>
      <w:pict w14:anchorId="0EA90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1531" o:spid="_x0000_s2049" type="#_x0000_t136" style="position:absolute;left:0;text-align:left;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7C91B1"/>
    <w:multiLevelType w:val="singleLevel"/>
    <w:tmpl w:val="CA7C91B1"/>
    <w:lvl w:ilvl="0">
      <w:start w:val="1"/>
      <w:numFmt w:val="decimal"/>
      <w:lvlText w:val="[%1]"/>
      <w:lvlJc w:val="left"/>
      <w:pPr>
        <w:tabs>
          <w:tab w:val="left" w:pos="312"/>
        </w:tabs>
        <w:ind w:left="-60"/>
      </w:pPr>
    </w:lvl>
  </w:abstractNum>
  <w:abstractNum w:abstractNumId="1" w15:restartNumberingAfterBreak="0">
    <w:nsid w:val="29170D0E"/>
    <w:multiLevelType w:val="multilevel"/>
    <w:tmpl w:val="29170D0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wtjAxMjc0NTKwMDBW0lEKTi0uzszPAykwrAUAwiGicSwAAAA="/>
  </w:docVars>
  <w:rsids>
    <w:rsidRoot w:val="00172A27"/>
    <w:rsid w:val="00071BF3"/>
    <w:rsid w:val="000A260D"/>
    <w:rsid w:val="000C7F30"/>
    <w:rsid w:val="000E4C22"/>
    <w:rsid w:val="000F12D5"/>
    <w:rsid w:val="00172A27"/>
    <w:rsid w:val="001C6100"/>
    <w:rsid w:val="002A00C6"/>
    <w:rsid w:val="002A5391"/>
    <w:rsid w:val="002C1794"/>
    <w:rsid w:val="00305B71"/>
    <w:rsid w:val="003C7FA2"/>
    <w:rsid w:val="004B16B3"/>
    <w:rsid w:val="00560E94"/>
    <w:rsid w:val="00663A8B"/>
    <w:rsid w:val="00693E05"/>
    <w:rsid w:val="007C2403"/>
    <w:rsid w:val="007C3A6C"/>
    <w:rsid w:val="00810CB7"/>
    <w:rsid w:val="008A607F"/>
    <w:rsid w:val="00965871"/>
    <w:rsid w:val="009E243F"/>
    <w:rsid w:val="00A12305"/>
    <w:rsid w:val="00A978ED"/>
    <w:rsid w:val="00C42764"/>
    <w:rsid w:val="00CF3B6E"/>
    <w:rsid w:val="00D4506F"/>
    <w:rsid w:val="00DE051B"/>
    <w:rsid w:val="00E02546"/>
    <w:rsid w:val="00E204A6"/>
    <w:rsid w:val="00F25800"/>
    <w:rsid w:val="00F401E2"/>
    <w:rsid w:val="01E05A98"/>
    <w:rsid w:val="02847D4F"/>
    <w:rsid w:val="047D2A80"/>
    <w:rsid w:val="05B22C8B"/>
    <w:rsid w:val="05CB2A81"/>
    <w:rsid w:val="068635AE"/>
    <w:rsid w:val="07BF2502"/>
    <w:rsid w:val="08854177"/>
    <w:rsid w:val="08DA0498"/>
    <w:rsid w:val="09EA49EB"/>
    <w:rsid w:val="0B311E14"/>
    <w:rsid w:val="0BE542FB"/>
    <w:rsid w:val="0CEE7574"/>
    <w:rsid w:val="0DFB7AB5"/>
    <w:rsid w:val="10C77FA2"/>
    <w:rsid w:val="16361726"/>
    <w:rsid w:val="19E54FD5"/>
    <w:rsid w:val="1A987FDA"/>
    <w:rsid w:val="1D7236AA"/>
    <w:rsid w:val="211A4131"/>
    <w:rsid w:val="215F49F0"/>
    <w:rsid w:val="24AB0691"/>
    <w:rsid w:val="25071235"/>
    <w:rsid w:val="2522117B"/>
    <w:rsid w:val="25776DBB"/>
    <w:rsid w:val="27911757"/>
    <w:rsid w:val="287E1E87"/>
    <w:rsid w:val="288E0E9B"/>
    <w:rsid w:val="2A526DBA"/>
    <w:rsid w:val="2A77120D"/>
    <w:rsid w:val="2AAE4C3E"/>
    <w:rsid w:val="2B8E2F86"/>
    <w:rsid w:val="2BE8262B"/>
    <w:rsid w:val="2CF33680"/>
    <w:rsid w:val="2DC20F5F"/>
    <w:rsid w:val="30AD68B0"/>
    <w:rsid w:val="31F439E5"/>
    <w:rsid w:val="31F655AF"/>
    <w:rsid w:val="341964B7"/>
    <w:rsid w:val="37BE7F7A"/>
    <w:rsid w:val="393D7D2D"/>
    <w:rsid w:val="3B824ADD"/>
    <w:rsid w:val="3BAE4275"/>
    <w:rsid w:val="3BF9274A"/>
    <w:rsid w:val="3C3262C6"/>
    <w:rsid w:val="3D2734EB"/>
    <w:rsid w:val="3D9A3970"/>
    <w:rsid w:val="3E8821FB"/>
    <w:rsid w:val="3FCA54B1"/>
    <w:rsid w:val="419C0313"/>
    <w:rsid w:val="439F572A"/>
    <w:rsid w:val="44DC50C3"/>
    <w:rsid w:val="45980B4D"/>
    <w:rsid w:val="4786048C"/>
    <w:rsid w:val="47FF4E17"/>
    <w:rsid w:val="49BE7924"/>
    <w:rsid w:val="4CB810BF"/>
    <w:rsid w:val="4D192964"/>
    <w:rsid w:val="4D4C3AB1"/>
    <w:rsid w:val="4D673998"/>
    <w:rsid w:val="4F245C90"/>
    <w:rsid w:val="5097462A"/>
    <w:rsid w:val="518A40DC"/>
    <w:rsid w:val="526D3A15"/>
    <w:rsid w:val="567C2ADD"/>
    <w:rsid w:val="57DA4A56"/>
    <w:rsid w:val="59396B30"/>
    <w:rsid w:val="5ABF661A"/>
    <w:rsid w:val="5B362CF7"/>
    <w:rsid w:val="5D3B0055"/>
    <w:rsid w:val="5F17191F"/>
    <w:rsid w:val="5F6E3EFE"/>
    <w:rsid w:val="5F83407C"/>
    <w:rsid w:val="60576922"/>
    <w:rsid w:val="60903E69"/>
    <w:rsid w:val="63A43C63"/>
    <w:rsid w:val="6814614D"/>
    <w:rsid w:val="690F1835"/>
    <w:rsid w:val="69444284"/>
    <w:rsid w:val="6B5A5CE0"/>
    <w:rsid w:val="6CA90E22"/>
    <w:rsid w:val="6F834234"/>
    <w:rsid w:val="6FBE5ECF"/>
    <w:rsid w:val="718E14EE"/>
    <w:rsid w:val="72941ADE"/>
    <w:rsid w:val="732C7E59"/>
    <w:rsid w:val="79293851"/>
    <w:rsid w:val="79CA4A34"/>
    <w:rsid w:val="7EAA4A95"/>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14141A"/>
  <w15:docId w15:val="{2F4B50D2-6407-43B1-984B-9CC88ECA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eastAsiaTheme="minorEastAsia" w:cstheme="minorBidi"/>
      <w:sz w:val="21"/>
      <w:szCs w:val="21"/>
      <w:lang w:eastAsia="zh-CN"/>
    </w:rPr>
  </w:style>
  <w:style w:type="paragraph" w:styleId="Heading1">
    <w:name w:val="heading 1"/>
    <w:basedOn w:val="Normal"/>
    <w:next w:val="Normal"/>
    <w:qFormat/>
    <w:pPr>
      <w:keepNext/>
      <w:keepLines/>
      <w:spacing w:before="340" w:after="330" w:line="579" w:lineRule="auto"/>
      <w:jc w:val="center"/>
      <w:outlineLvl w:val="0"/>
    </w:pPr>
    <w:rPr>
      <w:rFonts w:eastAsia="SimSun"/>
      <w:b/>
      <w:bCs/>
      <w:kern w:val="44"/>
      <w:sz w:val="44"/>
      <w:szCs w:val="44"/>
    </w:rPr>
  </w:style>
  <w:style w:type="paragraph" w:styleId="Heading2">
    <w:name w:val="heading 2"/>
    <w:basedOn w:val="Normal"/>
    <w:next w:val="Normal"/>
    <w:unhideWhenUsed/>
    <w:qFormat/>
    <w:pPr>
      <w:keepNext/>
      <w:keepLines/>
      <w:spacing w:before="260" w:after="260" w:line="416" w:lineRule="auto"/>
      <w:jc w:val="left"/>
      <w:outlineLvl w:val="1"/>
    </w:pPr>
    <w:rPr>
      <w:rFonts w:eastAsia="SimSun"/>
      <w:b/>
      <w:sz w:val="32"/>
      <w:szCs w:val="24"/>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qFormat/>
    <w:pPr>
      <w:ind w:firstLineChars="200" w:firstLine="420"/>
    </w:pPr>
  </w:style>
  <w:style w:type="paragraph" w:styleId="Caption">
    <w:name w:val="caption"/>
    <w:basedOn w:val="Normal"/>
    <w:next w:val="Normal"/>
    <w:semiHidden/>
    <w:unhideWhenUsed/>
    <w:qFormat/>
    <w:rPr>
      <w:rFonts w:eastAsia="SimSun"/>
      <w:b/>
    </w:rPr>
  </w:style>
  <w:style w:type="paragraph" w:styleId="CommentText">
    <w:name w:val="annotation text"/>
    <w:basedOn w:val="Normal"/>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rPr>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basedOn w:val="DefaultParagraphFont"/>
    <w:qFormat/>
    <w:rPr>
      <w:color w:val="0026E5" w:themeColor="hyperlink"/>
      <w:u w:val="single"/>
    </w:rPr>
  </w:style>
  <w:style w:type="paragraph" w:customStyle="1" w:styleId="a">
    <w:name w:val="表格"/>
    <w:basedOn w:val="Normal"/>
    <w:autoRedefine/>
    <w:qFormat/>
    <w:pPr>
      <w:adjustRightInd w:val="0"/>
      <w:snapToGrid w:val="0"/>
      <w:spacing w:beforeLines="100" w:before="100" w:line="300" w:lineRule="auto"/>
      <w:contextualSpacing/>
      <w:jc w:val="center"/>
    </w:pPr>
    <w:rPr>
      <w:rFonts w:eastAsia="SimSun" w:cs="Times New Roman"/>
      <w:b/>
      <w:color w:val="000000" w:themeColor="text1"/>
    </w:rPr>
  </w:style>
  <w:style w:type="paragraph" w:customStyle="1" w:styleId="a0">
    <w:name w:val="表格内容"/>
    <w:basedOn w:val="Normal"/>
    <w:autoRedefine/>
    <w:qFormat/>
    <w:rPr>
      <w:rFonts w:eastAsia="SimSun"/>
    </w:rPr>
  </w:style>
  <w:style w:type="paragraph" w:customStyle="1" w:styleId="a1">
    <w:name w:val="图"/>
    <w:basedOn w:val="Normal"/>
    <w:autoRedefine/>
    <w:qFormat/>
    <w:pPr>
      <w:spacing w:line="300" w:lineRule="auto"/>
      <w:jc w:val="center"/>
    </w:pPr>
    <w:rPr>
      <w:rFonts w:eastAsia="SimSun" w:hint="eastAsia"/>
      <w:color w:val="000000" w:themeColor="text1"/>
    </w:rPr>
  </w:style>
  <w:style w:type="paragraph" w:styleId="ListParagraph">
    <w:name w:val="List Paragraph"/>
    <w:basedOn w:val="Normal"/>
    <w:uiPriority w:val="34"/>
    <w:qFormat/>
    <w:pPr>
      <w:ind w:firstLineChars="200"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eastAsiaTheme="minorEastAsia" w:cstheme="minorBidi"/>
      <w:sz w:val="21"/>
      <w:szCs w:val="21"/>
      <w:lang w:eastAsia="zh-CN"/>
    </w:rPr>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0A260D"/>
    <w:rPr>
      <w:rFonts w:ascii="Segoe UI" w:hAnsi="Segoe UI" w:cs="Segoe UI"/>
      <w:sz w:val="18"/>
      <w:szCs w:val="18"/>
    </w:rPr>
  </w:style>
  <w:style w:type="character" w:customStyle="1" w:styleId="BalloonTextChar">
    <w:name w:val="Balloon Text Char"/>
    <w:basedOn w:val="DefaultParagraphFont"/>
    <w:link w:val="BalloonText"/>
    <w:rsid w:val="000A260D"/>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Upper limit of gradation </c:v>
                </c:pt>
              </c:strCache>
            </c:strRef>
          </c:tx>
          <c:spPr>
            <a:ln w="12700" cap="rnd">
              <a:solidFill>
                <a:srgbClr val="5B9BD5">
                  <a:lumMod val="75000"/>
                </a:srgbClr>
              </a:solidFill>
              <a:prstDash val="sysDash"/>
              <a:round/>
              <a:headEnd w="sm" len="sm"/>
              <a:tailEnd type="oval" w="sm" len="sm"/>
            </a:ln>
            <a:effectLst/>
          </c:spPr>
          <c:marker>
            <c:symbol val="none"/>
          </c:marker>
          <c:dLbls>
            <c:delete val="1"/>
          </c:dLbls>
          <c:cat>
            <c:numRef>
              <c:f>Sheet1!$A$2:$A$12</c:f>
              <c:numCache>
                <c:formatCode>General</c:formatCode>
                <c:ptCount val="11"/>
                <c:pt idx="0">
                  <c:v>7.4999999999999997E-2</c:v>
                </c:pt>
                <c:pt idx="1">
                  <c:v>0.15</c:v>
                </c:pt>
                <c:pt idx="2">
                  <c:v>0.3</c:v>
                </c:pt>
                <c:pt idx="3">
                  <c:v>0.6</c:v>
                </c:pt>
                <c:pt idx="4">
                  <c:v>1.18</c:v>
                </c:pt>
                <c:pt idx="5">
                  <c:v>2.36</c:v>
                </c:pt>
                <c:pt idx="6">
                  <c:v>4.75</c:v>
                </c:pt>
                <c:pt idx="7">
                  <c:v>9.5</c:v>
                </c:pt>
                <c:pt idx="8">
                  <c:v>13.2</c:v>
                </c:pt>
                <c:pt idx="9">
                  <c:v>16</c:v>
                </c:pt>
                <c:pt idx="10">
                  <c:v>19</c:v>
                </c:pt>
              </c:numCache>
            </c:numRef>
          </c:cat>
          <c:val>
            <c:numRef>
              <c:f>Sheet1!$B$2:$B$12</c:f>
              <c:numCache>
                <c:formatCode>General</c:formatCode>
                <c:ptCount val="11"/>
                <c:pt idx="0">
                  <c:v>3</c:v>
                </c:pt>
                <c:pt idx="1">
                  <c:v>7</c:v>
                </c:pt>
                <c:pt idx="2">
                  <c:v>10</c:v>
                </c:pt>
                <c:pt idx="3">
                  <c:v>15</c:v>
                </c:pt>
                <c:pt idx="4">
                  <c:v>22</c:v>
                </c:pt>
                <c:pt idx="5">
                  <c:v>31</c:v>
                </c:pt>
                <c:pt idx="6">
                  <c:v>45</c:v>
                </c:pt>
                <c:pt idx="7">
                  <c:v>72</c:v>
                </c:pt>
                <c:pt idx="8">
                  <c:v>86</c:v>
                </c:pt>
                <c:pt idx="9">
                  <c:v>93</c:v>
                </c:pt>
                <c:pt idx="10">
                  <c:v>100</c:v>
                </c:pt>
              </c:numCache>
            </c:numRef>
          </c:val>
          <c:smooth val="0"/>
          <c:extLst>
            <c:ext xmlns:c16="http://schemas.microsoft.com/office/drawing/2014/chart" uri="{C3380CC4-5D6E-409C-BE32-E72D297353CC}">
              <c16:uniqueId val="{00000000-0D33-465D-A3DB-8CE212F4881E}"/>
            </c:ext>
          </c:extLst>
        </c:ser>
        <c:ser>
          <c:idx val="1"/>
          <c:order val="1"/>
          <c:tx>
            <c:strRef>
              <c:f>Sheet1!$C$1</c:f>
              <c:strCache>
                <c:ptCount val="1"/>
                <c:pt idx="0">
                  <c:v>Gradation median </c:v>
                </c:pt>
              </c:strCache>
            </c:strRef>
          </c:tx>
          <c:spPr>
            <a:ln w="12700" cap="rnd">
              <a:solidFill>
                <a:schemeClr val="accent2"/>
              </a:solidFill>
              <a:prstDash val="sysDash"/>
              <a:round/>
              <a:tailEnd type="diamond"/>
            </a:ln>
            <a:effectLst/>
          </c:spPr>
          <c:marker>
            <c:symbol val="none"/>
          </c:marker>
          <c:dLbls>
            <c:delete val="1"/>
          </c:dLbls>
          <c:cat>
            <c:numRef>
              <c:f>Sheet1!$A$2:$A$12</c:f>
              <c:numCache>
                <c:formatCode>General</c:formatCode>
                <c:ptCount val="11"/>
                <c:pt idx="0">
                  <c:v>7.4999999999999997E-2</c:v>
                </c:pt>
                <c:pt idx="1">
                  <c:v>0.15</c:v>
                </c:pt>
                <c:pt idx="2">
                  <c:v>0.3</c:v>
                </c:pt>
                <c:pt idx="3">
                  <c:v>0.6</c:v>
                </c:pt>
                <c:pt idx="4">
                  <c:v>1.18</c:v>
                </c:pt>
                <c:pt idx="5">
                  <c:v>2.36</c:v>
                </c:pt>
                <c:pt idx="6">
                  <c:v>4.75</c:v>
                </c:pt>
                <c:pt idx="7">
                  <c:v>9.5</c:v>
                </c:pt>
                <c:pt idx="8">
                  <c:v>13.2</c:v>
                </c:pt>
                <c:pt idx="9">
                  <c:v>16</c:v>
                </c:pt>
                <c:pt idx="10">
                  <c:v>19</c:v>
                </c:pt>
              </c:numCache>
            </c:numRef>
          </c:cat>
          <c:val>
            <c:numRef>
              <c:f>Sheet1!$C$2:$C$12</c:f>
              <c:numCache>
                <c:formatCode>General</c:formatCode>
                <c:ptCount val="11"/>
                <c:pt idx="0">
                  <c:v>2</c:v>
                </c:pt>
                <c:pt idx="1">
                  <c:v>3</c:v>
                </c:pt>
                <c:pt idx="2">
                  <c:v>5</c:v>
                </c:pt>
                <c:pt idx="3">
                  <c:v>8</c:v>
                </c:pt>
                <c:pt idx="4">
                  <c:v>13</c:v>
                </c:pt>
                <c:pt idx="5">
                  <c:v>22</c:v>
                </c:pt>
                <c:pt idx="6">
                  <c:v>35</c:v>
                </c:pt>
                <c:pt idx="7">
                  <c:v>59</c:v>
                </c:pt>
                <c:pt idx="8">
                  <c:v>76</c:v>
                </c:pt>
                <c:pt idx="9">
                  <c:v>88</c:v>
                </c:pt>
                <c:pt idx="10">
                  <c:v>100</c:v>
                </c:pt>
              </c:numCache>
            </c:numRef>
          </c:val>
          <c:smooth val="0"/>
          <c:extLst>
            <c:ext xmlns:c16="http://schemas.microsoft.com/office/drawing/2014/chart" uri="{C3380CC4-5D6E-409C-BE32-E72D297353CC}">
              <c16:uniqueId val="{00000001-0D33-465D-A3DB-8CE212F4881E}"/>
            </c:ext>
          </c:extLst>
        </c:ser>
        <c:ser>
          <c:idx val="2"/>
          <c:order val="2"/>
          <c:tx>
            <c:strRef>
              <c:f>Sheet1!$D$1</c:f>
              <c:strCache>
                <c:ptCount val="1"/>
                <c:pt idx="0">
                  <c:v>Lower limit of gradation</c:v>
                </c:pt>
              </c:strCache>
            </c:strRef>
          </c:tx>
          <c:spPr>
            <a:ln w="12700" cap="rnd">
              <a:solidFill>
                <a:srgbClr val="00B050"/>
              </a:solidFill>
              <a:round/>
              <a:tailEnd type="triangle"/>
            </a:ln>
            <a:effectLst/>
          </c:spPr>
          <c:marker>
            <c:symbol val="none"/>
          </c:marker>
          <c:dLbls>
            <c:delete val="1"/>
          </c:dLbls>
          <c:cat>
            <c:numRef>
              <c:f>Sheet1!$A$2:$A$12</c:f>
              <c:numCache>
                <c:formatCode>General</c:formatCode>
                <c:ptCount val="11"/>
                <c:pt idx="0">
                  <c:v>7.4999999999999997E-2</c:v>
                </c:pt>
                <c:pt idx="1">
                  <c:v>0.15</c:v>
                </c:pt>
                <c:pt idx="2">
                  <c:v>0.3</c:v>
                </c:pt>
                <c:pt idx="3">
                  <c:v>0.6</c:v>
                </c:pt>
                <c:pt idx="4">
                  <c:v>1.18</c:v>
                </c:pt>
                <c:pt idx="5">
                  <c:v>2.36</c:v>
                </c:pt>
                <c:pt idx="6">
                  <c:v>4.75</c:v>
                </c:pt>
                <c:pt idx="7">
                  <c:v>9.5</c:v>
                </c:pt>
                <c:pt idx="8">
                  <c:v>13.2</c:v>
                </c:pt>
                <c:pt idx="9">
                  <c:v>16</c:v>
                </c:pt>
                <c:pt idx="10">
                  <c:v>19</c:v>
                </c:pt>
              </c:numCache>
            </c:numRef>
          </c:cat>
          <c:val>
            <c:numRef>
              <c:f>Sheet1!$D$2:$D$12</c:f>
              <c:numCache>
                <c:formatCode>General</c:formatCode>
                <c:ptCount val="11"/>
                <c:pt idx="0">
                  <c:v>3</c:v>
                </c:pt>
                <c:pt idx="1">
                  <c:v>5</c:v>
                </c:pt>
                <c:pt idx="2">
                  <c:v>8</c:v>
                </c:pt>
                <c:pt idx="3">
                  <c:v>12</c:v>
                </c:pt>
                <c:pt idx="4">
                  <c:v>18</c:v>
                </c:pt>
                <c:pt idx="5">
                  <c:v>27</c:v>
                </c:pt>
                <c:pt idx="6">
                  <c:v>40</c:v>
                </c:pt>
                <c:pt idx="7">
                  <c:v>66</c:v>
                </c:pt>
                <c:pt idx="8">
                  <c:v>81</c:v>
                </c:pt>
                <c:pt idx="9">
                  <c:v>91</c:v>
                </c:pt>
                <c:pt idx="10">
                  <c:v>100</c:v>
                </c:pt>
              </c:numCache>
            </c:numRef>
          </c:val>
          <c:smooth val="0"/>
          <c:extLst>
            <c:ext xmlns:c16="http://schemas.microsoft.com/office/drawing/2014/chart" uri="{C3380CC4-5D6E-409C-BE32-E72D297353CC}">
              <c16:uniqueId val="{00000002-0D33-465D-A3DB-8CE212F4881E}"/>
            </c:ext>
          </c:extLst>
        </c:ser>
        <c:dLbls>
          <c:showLegendKey val="0"/>
          <c:showVal val="1"/>
          <c:showCatName val="0"/>
          <c:showSerName val="0"/>
          <c:showPercent val="0"/>
          <c:showBubbleSize val="0"/>
        </c:dLbls>
        <c:smooth val="0"/>
        <c:axId val="833342189"/>
        <c:axId val="819207825"/>
      </c:lineChart>
      <c:catAx>
        <c:axId val="83334218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819207825"/>
        <c:crosses val="autoZero"/>
        <c:auto val="1"/>
        <c:lblAlgn val="ctr"/>
        <c:lblOffset val="100"/>
        <c:noMultiLvlLbl val="0"/>
      </c:catAx>
      <c:valAx>
        <c:axId val="819207825"/>
        <c:scaling>
          <c:orientation val="minMax"/>
          <c:max val="100"/>
        </c:scaling>
        <c:delete val="0"/>
        <c:axPos val="l"/>
        <c:majorGridlines>
          <c:spPr>
            <a:ln w="9525">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833342189"/>
        <c:crosses val="autoZero"/>
        <c:crossBetween val="between"/>
        <c:majorUnit val="20"/>
      </c:valAx>
      <c:spPr>
        <a:pattFill prst="pct30">
          <a:fgClr>
            <a:srgbClr val="5B9BD5">
              <a:lumMod val="20000"/>
              <a:lumOff val="80000"/>
            </a:srgbClr>
          </a:fgClr>
          <a:bgClr>
            <a:sysClr val="window" lastClr="FFFFFF"/>
          </a:bgClr>
        </a:patt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95000"/>
                  <a:lumOff val="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6862db3f-f783-4259-be21-505156379b49}"/>
      </c:ext>
    </c:extLst>
  </c:chart>
  <c:spPr>
    <a:noFill/>
    <a:ln w="3175">
      <a:solidFill>
        <a:srgbClr val="5B9BD5"/>
      </a:solidFill>
      <a:prstDash val="solid"/>
      <a:round/>
    </a:ln>
    <a:effectLst/>
  </c:spPr>
  <c:txPr>
    <a:bodyPr/>
    <a:lstStyle/>
    <a:p>
      <a:pPr>
        <a:defRPr lang="zh-CN" b="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lt1">
            <a:lumMod val="902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6258</Words>
  <Characters>35674</Characters>
  <Application>Microsoft Office Word</Application>
  <DocSecurity>0</DocSecurity>
  <Lines>297</Lines>
  <Paragraphs>83</Paragraphs>
  <ScaleCrop>false</ScaleCrop>
  <Company/>
  <LinksUpToDate>false</LinksUpToDate>
  <CharactersWithSpaces>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孟彦周</dc:creator>
  <cp:lastModifiedBy>SDI PC New 16</cp:lastModifiedBy>
  <cp:revision>31</cp:revision>
  <dcterms:created xsi:type="dcterms:W3CDTF">2024-05-04T13:29:00Z</dcterms:created>
  <dcterms:modified xsi:type="dcterms:W3CDTF">2025-09-20T10:51:00Z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76F81D40D19B4A5494AFEA7424EF1EA4_13</vt:lpwstr>
  </property>
  <property fmtid="{D5CDD505-2E9C-101B-9397-08002B2CF9AE}" pid="3" name="KSOProductBuildVer">
    <vt:lpwstr>2052-12.1.0.21915</vt:lpwstr>
  </property>
  <property fmtid="{D5CDD505-2E9C-101B-9397-08002B2CF9AE}" pid="4" name="KSOTemplateDocerSaveRecord">
    <vt:lpwstr>eyJoZGlkIjoiYWViODAxZGNjY2FmMzkxZGMzNDQyODY3OWExZDkzZWUiLCJ1c2VySWQiOiIxNTkyMjQyMTY3In0=</vt:lpwstr>
  </property>
</Properties>
</file>