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7F83B">
      <w:pPr>
        <w:rPr>
          <w:rFonts w:ascii="Times New Roman" w:hAnsi="Times New Roman" w:cs="Times New Roman"/>
          <w:b/>
          <w:bCs/>
          <w:sz w:val="28"/>
          <w:szCs w:val="28"/>
        </w:rPr>
      </w:pPr>
      <w:r>
        <w:rPr>
          <w:rFonts w:ascii="Times New Roman" w:hAnsi="Times New Roman" w:cs="Times New Roman"/>
          <w:b/>
          <w:bCs/>
          <w:sz w:val="28"/>
          <w:szCs w:val="28"/>
        </w:rPr>
        <w:t>To Study the effectiveness of Myofascial release, Cryostretch and Kinesiotaping in adoloscents with trapizitis</w:t>
      </w:r>
    </w:p>
    <w:p w14:paraId="7AE7F8C3">
      <w:pPr>
        <w:wordWrap w:val="0"/>
        <w:jc w:val="right"/>
        <w:rPr>
          <w:rFonts w:ascii="Times New Roman" w:hAnsi="Times New Roman" w:cs="Times New Roman"/>
          <w:sz w:val="28"/>
          <w:szCs w:val="28"/>
        </w:rPr>
      </w:pPr>
    </w:p>
    <w:p w14:paraId="37450573">
      <w:pPr>
        <w:jc w:val="right"/>
        <w:rPr>
          <w:rFonts w:ascii="Times New Roman" w:hAnsi="Times New Roman" w:cs="Times New Roman"/>
          <w:sz w:val="28"/>
          <w:szCs w:val="28"/>
        </w:rPr>
      </w:pPr>
    </w:p>
    <w:p w14:paraId="6DEEE2F1">
      <w:pPr>
        <w:rPr>
          <w:rFonts w:ascii="Times New Roman" w:hAnsi="Times New Roman" w:cs="Times New Roman"/>
          <w:b/>
          <w:bCs/>
          <w:sz w:val="28"/>
          <w:szCs w:val="28"/>
        </w:rPr>
      </w:pPr>
      <w:r>
        <w:rPr>
          <w:rFonts w:ascii="Times New Roman" w:hAnsi="Times New Roman" w:cs="Times New Roman"/>
          <w:b/>
          <w:bCs/>
          <w:sz w:val="28"/>
          <w:szCs w:val="28"/>
        </w:rPr>
        <w:t>Abstract</w:t>
      </w:r>
    </w:p>
    <w:p w14:paraId="00853369">
      <w:pPr>
        <w:pStyle w:val="12"/>
        <w:rPr>
          <w:i/>
          <w:iCs/>
          <w:sz w:val="22"/>
          <w:szCs w:val="22"/>
        </w:rPr>
      </w:pPr>
      <w:r>
        <w:rPr>
          <w:rStyle w:val="13"/>
          <w:i/>
          <w:iCs/>
          <w:sz w:val="22"/>
          <w:szCs w:val="22"/>
        </w:rPr>
        <w:t>Background:</w:t>
      </w:r>
      <w:r>
        <w:rPr>
          <w:i/>
          <w:iCs/>
          <w:sz w:val="22"/>
          <w:szCs w:val="22"/>
        </w:rPr>
        <w:t xml:space="preserve"> Neck pain is one of the most frequently encountered musculoskeletal complaints, often arising from taut bands in the trapezius muscle, especially within its upper fibers. Trapezitis is a common underlying cause, typically associated with overuse, repetitive strain, and poor postural habits affecting the cervical and upper thoracic regions. Given its impact on daily functioning, effective management strategies are crucial.</w:t>
      </w:r>
    </w:p>
    <w:p w14:paraId="1112005D">
      <w:pPr>
        <w:pStyle w:val="12"/>
        <w:rPr>
          <w:i/>
          <w:iCs/>
          <w:sz w:val="22"/>
          <w:szCs w:val="22"/>
        </w:rPr>
      </w:pPr>
      <w:r>
        <w:rPr>
          <w:rStyle w:val="13"/>
          <w:i/>
          <w:iCs/>
          <w:sz w:val="22"/>
          <w:szCs w:val="22"/>
        </w:rPr>
        <w:t>Aim &amp; Objectives:</w:t>
      </w:r>
      <w:r>
        <w:rPr>
          <w:i/>
          <w:iCs/>
          <w:sz w:val="22"/>
          <w:szCs w:val="22"/>
        </w:rPr>
        <w:t xml:space="preserve"> The present study was conducted to evaluate and compare the therapeutic efficacy of three commonly used physiotherapy interventions—Myofascial Release (MFR), Cryostretch, and Kinesio Taping (KT)—in the management of trapezitis among adolescents.</w:t>
      </w:r>
    </w:p>
    <w:p w14:paraId="7AA4B29E">
      <w:pPr>
        <w:pStyle w:val="12"/>
        <w:rPr>
          <w:i/>
          <w:iCs/>
          <w:sz w:val="22"/>
          <w:szCs w:val="22"/>
        </w:rPr>
      </w:pPr>
      <w:r>
        <w:rPr>
          <w:rStyle w:val="13"/>
          <w:i/>
          <w:iCs/>
          <w:sz w:val="22"/>
          <w:szCs w:val="22"/>
        </w:rPr>
        <w:t>Materials and Methods:</w:t>
      </w:r>
      <w:r>
        <w:rPr>
          <w:i/>
          <w:iCs/>
          <w:sz w:val="22"/>
          <w:szCs w:val="22"/>
        </w:rPr>
        <w:t xml:space="preserve"> A total of 45 adolescents clinically diagnosed with trapezitis were recruited and randomly assigned into three equal groups (n=15 each). Group A received Myofascial Release, Group B received Cryostretch, and Group C underwent Kinesio Taping application. Pain intensity was assessed using the Visual Analog Scale (VAS), while cervical mobility was measured through Cervical Range of Motion (ROM). Data analysis included the calculation of mean, standard deviation, and t-values to compare outcomes among the groups.</w:t>
      </w:r>
    </w:p>
    <w:p w14:paraId="1B656401">
      <w:pPr>
        <w:pStyle w:val="12"/>
        <w:rPr>
          <w:i/>
          <w:iCs/>
          <w:sz w:val="22"/>
          <w:szCs w:val="22"/>
        </w:rPr>
      </w:pPr>
      <w:r>
        <w:rPr>
          <w:rStyle w:val="13"/>
          <w:i/>
          <w:iCs/>
          <w:sz w:val="22"/>
          <w:szCs w:val="22"/>
        </w:rPr>
        <w:t>Results:</w:t>
      </w:r>
      <w:r>
        <w:rPr>
          <w:i/>
          <w:iCs/>
          <w:sz w:val="22"/>
          <w:szCs w:val="22"/>
        </w:rPr>
        <w:t xml:space="preserve"> Statistical analysis revealed significant improvements in both pain reduction and cervical mobility across all groups. Group B (Cryostretch) demonstrated the most notable improvement in pain reduction as measured by VAS, whereas Group A (Myofascial Release) showed the greatest enhancement in cervical ROM. Group C (Kinesio Taping) also demonstrated positive but comparatively moderate effects in both parameters.</w:t>
      </w:r>
    </w:p>
    <w:p w14:paraId="1BBA3B54">
      <w:pPr>
        <w:pStyle w:val="12"/>
        <w:rPr>
          <w:i/>
          <w:iCs/>
          <w:sz w:val="22"/>
          <w:szCs w:val="22"/>
        </w:rPr>
      </w:pPr>
      <w:r>
        <w:rPr>
          <w:rStyle w:val="13"/>
          <w:i/>
          <w:iCs/>
          <w:sz w:val="22"/>
          <w:szCs w:val="22"/>
        </w:rPr>
        <w:t>Conclusion:</w:t>
      </w:r>
      <w:r>
        <w:rPr>
          <w:i/>
          <w:iCs/>
          <w:sz w:val="22"/>
          <w:szCs w:val="22"/>
        </w:rPr>
        <w:t xml:space="preserve"> The findings suggest that Cryostretch is particularly effective in reducing pain intensity, while Myofascial Release is superior in improving cervical mobility among adolescents with trapezitis. Kinesio Taping can be considered as an adjunctive intervention, though its benefits appear less pronounced compared to the other two techniques. These results highlight the importance of tailoring physiotherapeutic approaches based on the specific treatment goals—pain relief versus mobility restoration—in the management of trapezitis.</w:t>
      </w:r>
    </w:p>
    <w:p w14:paraId="5282CB7F">
      <w:pPr>
        <w:rPr>
          <w:rFonts w:ascii="Times New Roman" w:hAnsi="Times New Roman" w:eastAsia="Cambria" w:cs="Times New Roman"/>
          <w:i/>
          <w:iCs/>
          <w:color w:val="1B1B1B"/>
          <w:shd w:val="clear" w:color="auto" w:fill="FFFFFF"/>
        </w:rPr>
      </w:pPr>
    </w:p>
    <w:p w14:paraId="7EC5BA00">
      <w:pPr>
        <w:rPr>
          <w:rFonts w:ascii="Times New Roman" w:hAnsi="Times New Roman" w:eastAsia="Cambria" w:cs="Times New Roman"/>
          <w:i/>
          <w:iCs/>
          <w:color w:val="1B1B1B"/>
          <w:shd w:val="clear" w:color="auto" w:fill="FFFFFF"/>
        </w:rPr>
      </w:pPr>
      <w:r>
        <w:rPr>
          <w:rFonts w:ascii="Times New Roman" w:hAnsi="Times New Roman" w:eastAsia="Cambria" w:cs="Times New Roman"/>
          <w:b/>
          <w:bCs/>
          <w:i/>
          <w:iCs/>
          <w:color w:val="1B1B1B"/>
          <w:shd w:val="clear" w:color="auto" w:fill="FFFFFF"/>
        </w:rPr>
        <w:t xml:space="preserve">Keywords: </w:t>
      </w:r>
      <w:r>
        <w:rPr>
          <w:rFonts w:ascii="Times New Roman" w:hAnsi="Times New Roman" w:eastAsia="Cambria" w:cs="Times New Roman"/>
          <w:i/>
          <w:iCs/>
          <w:color w:val="1B1B1B"/>
          <w:shd w:val="clear" w:color="auto" w:fill="FFFFFF"/>
        </w:rPr>
        <w:t>Trapezitis, myofascial release, Cryostretch, kinesiotaping</w:t>
      </w:r>
    </w:p>
    <w:p w14:paraId="027D7D4D">
      <w:pPr>
        <w:numPr>
          <w:ilvl w:val="0"/>
          <w:numId w:val="1"/>
        </w:numPr>
        <w:rPr>
          <w:rFonts w:ascii="Times New Roman" w:hAnsi="Times New Roman" w:cs="Times New Roman"/>
          <w:b/>
          <w:bCs/>
          <w:sz w:val="28"/>
          <w:szCs w:val="28"/>
        </w:rPr>
      </w:pPr>
      <w:r>
        <w:rPr>
          <w:rFonts w:ascii="Times New Roman" w:hAnsi="Times New Roman" w:cs="Times New Roman"/>
          <w:b/>
          <w:bCs/>
          <w:sz w:val="28"/>
          <w:szCs w:val="28"/>
        </w:rPr>
        <w:t>Introduction</w:t>
      </w:r>
    </w:p>
    <w:p w14:paraId="233CAAA5">
      <w:pPr>
        <w:pStyle w:val="12"/>
      </w:pPr>
      <w:r>
        <w:t>Neck pain is one of the most frequently reported musculoskeletal complaints, affecting individuals of all ages and occupational backgrounds. This condition typically presents as discomfort or pain localized to the back of the neck and upper shoulder region. Among the many causes of neck pain, the presence of myofascial trigger points in the upper fibers of the trapezius muscle stands out as a prominent contributor. These taut bands within the muscle fibers are often painful upon palpation and can refer pain to surrounding areas, leading to functional limitations and discomfort during daily activities.</w:t>
      </w:r>
    </w:p>
    <w:p w14:paraId="696B5435">
      <w:pPr>
        <w:pStyle w:val="12"/>
      </w:pPr>
      <w:r>
        <w:t xml:space="preserve">The trapezius muscle, particularly its upper fibers, plays a critical role in connecting the cervical spine to the shoulder girdle and trunk. Its primary functions include elevating the scapula, extending the neck, and assisting in rotation and lateral flexion of the cervical spine. Given its anatomical and functional importance, any dysfunction in this muscle, such as tightness or spasm, can significantly impair neck mobility and posture. A common clinical condition associated with trapezius dysfunction is </w:t>
      </w:r>
      <w:r>
        <w:rPr>
          <w:rStyle w:val="13"/>
          <w:b w:val="0"/>
          <w:bCs w:val="0"/>
        </w:rPr>
        <w:t>trapezitis</w:t>
      </w:r>
      <w:r>
        <w:t>, a form of localized muscle inflammation and tightness that often presents with neck pain, spasms, and restricted range of motion (ROM).</w:t>
      </w:r>
    </w:p>
    <w:p w14:paraId="558A650C">
      <w:pPr>
        <w:pStyle w:val="12"/>
      </w:pPr>
      <w:r>
        <w:t>Trapezitis usually arises from mechanical overuse or poor postural habits, particularly prolonged forward head postures—common in individuals who spend extended hours in front of screens, such as office workers or students. In such cases, the upper trapezius remains in a state of chronic contraction, leading to fatigue, microtrauma, and the development of trigger points. These trigger points can cause protective muscle spasms, further limiting the cervical ROM—especially in the direction of the affected side due to the muscle’s inability to stretch adequately.</w:t>
      </w:r>
    </w:p>
    <w:p w14:paraId="39335A8E">
      <w:pPr>
        <w:pStyle w:val="12"/>
        <w:rPr>
          <w:rFonts w:hint="default" w:ascii="Times New Roman" w:hAnsi="Times New Roman" w:cs="Times New Roman"/>
          <w:lang w:val="en-US"/>
        </w:rPr>
      </w:pPr>
      <w:r>
        <w:rPr>
          <w:rFonts w:hint="default" w:cs="Times New Roman"/>
          <w:lang w:val="en-US"/>
        </w:rPr>
        <w:t>Adolescent</w:t>
      </w:r>
      <w:r>
        <w:rPr>
          <w:rFonts w:hint="default" w:ascii="Times New Roman" w:hAnsi="Times New Roman" w:cs="Times New Roman"/>
          <w:lang w:val="en-US"/>
        </w:rPr>
        <w:t xml:space="preserve"> population is also prone to trapizitis, due to prolonged screen time, poost posture and sedentary lifestyle. These days adolescents spend more time indoors; mainly working on screens. So, as a result of  physical inactivity and muscle imbalances; this population becomes prone to muscle pain and spasm. According to </w:t>
      </w:r>
      <w:r>
        <w:rPr>
          <w:rFonts w:hint="default" w:ascii="Times New Roman" w:hAnsi="Times New Roman" w:eastAsia="SimSun" w:cs="Times New Roman"/>
          <w:sz w:val="24"/>
          <w:szCs w:val="24"/>
        </w:rPr>
        <w:t>Luijcks et al. (2016)</w:t>
      </w:r>
      <w:r>
        <w:rPr>
          <w:rFonts w:hint="default" w:ascii="Times New Roman" w:hAnsi="Times New Roman" w:cs="Times New Roman"/>
          <w:sz w:val="24"/>
          <w:szCs w:val="24"/>
          <w:lang w:val="en-US"/>
        </w:rPr>
        <w:t xml:space="preserve">,spasm and trigger points in the </w:t>
      </w:r>
      <w:r>
        <w:rPr>
          <w:rFonts w:hint="default" w:ascii="Times New Roman" w:hAnsi="Times New Roman" w:eastAsia="SimSun" w:cs="Times New Roman"/>
          <w:sz w:val="24"/>
          <w:szCs w:val="24"/>
        </w:rPr>
        <w:t xml:space="preserve">trapezius muscle has been linked to psychosocial and </w:t>
      </w:r>
      <w:r>
        <w:rPr>
          <w:rFonts w:hint="default" w:ascii="Times New Roman" w:hAnsi="Times New Roman" w:cs="Times New Roman"/>
          <w:sz w:val="24"/>
          <w:szCs w:val="24"/>
          <w:lang w:val="en-US"/>
        </w:rPr>
        <w:t>emo</w:t>
      </w:r>
      <w:r>
        <w:rPr>
          <w:rFonts w:hint="default" w:cs="Times New Roman"/>
          <w:sz w:val="24"/>
          <w:szCs w:val="24"/>
          <w:lang w:val="en-US"/>
        </w:rPr>
        <w:t>t</w:t>
      </w:r>
      <w:r>
        <w:rPr>
          <w:rFonts w:hint="default" w:ascii="Times New Roman" w:hAnsi="Times New Roman" w:cs="Times New Roman"/>
          <w:sz w:val="24"/>
          <w:szCs w:val="24"/>
          <w:lang w:val="en-US"/>
        </w:rPr>
        <w:t>ional factors.</w:t>
      </w:r>
    </w:p>
    <w:p w14:paraId="39535780">
      <w:pPr>
        <w:pStyle w:val="12"/>
      </w:pPr>
      <w:r>
        <w:t xml:space="preserve">To manage trapezius-related neck pain effectively, various conservative therapeutic techniques have been developed and studied. Among the most common are </w:t>
      </w:r>
      <w:r>
        <w:rPr>
          <w:rStyle w:val="13"/>
        </w:rPr>
        <w:t>Myofascial Release (MFR)</w:t>
      </w:r>
      <w:r>
        <w:t xml:space="preserve">, </w:t>
      </w:r>
      <w:r>
        <w:rPr>
          <w:rStyle w:val="13"/>
        </w:rPr>
        <w:t>Cryo-Stretching</w:t>
      </w:r>
      <w:r>
        <w:t xml:space="preserve">, and </w:t>
      </w:r>
      <w:r>
        <w:rPr>
          <w:rStyle w:val="13"/>
        </w:rPr>
        <w:t>Kinesio Taping (KT)</w:t>
      </w:r>
      <w:r>
        <w:t>. Each technique operates through distinct physiological mechanisms to relieve pain, reduce muscle spasm, and restore functional ROM.</w:t>
      </w:r>
    </w:p>
    <w:p w14:paraId="4D5090AE">
      <w:pPr>
        <w:pStyle w:val="4"/>
        <w:rPr>
          <w:rFonts w:hint="default" w:ascii="Times New Roman" w:hAnsi="Times New Roman"/>
          <w:sz w:val="24"/>
          <w:szCs w:val="24"/>
        </w:rPr>
      </w:pPr>
      <w:r>
        <w:rPr>
          <w:rStyle w:val="13"/>
          <w:rFonts w:hint="default" w:ascii="Times New Roman" w:hAnsi="Times New Roman"/>
          <w:b/>
          <w:bCs/>
          <w:sz w:val="24"/>
          <w:szCs w:val="24"/>
        </w:rPr>
        <w:t>1. Myofascial Release (MFR)</w:t>
      </w:r>
    </w:p>
    <w:p w14:paraId="26CB527B">
      <w:pPr>
        <w:pStyle w:val="12"/>
      </w:pPr>
      <w:r>
        <w:t>Myofascial Release is a manual therapy technique aimed at alleviating restrictions within the fascial system. This method involves the application of sustained pressure and stretching to the fascial tissues using specific hand positions. In the treatment of trapezius-related pain, MFR is typically performed using deep transverse friction with the ulnar border of the therapist’s palm, followed by cross-hand stretching from the muscle’s origin to its insertion.</w:t>
      </w:r>
    </w:p>
    <w:p w14:paraId="61280868">
      <w:pPr>
        <w:pStyle w:val="12"/>
      </w:pPr>
      <w:r>
        <w:t>According to Rubi Yadav and Sunita Sharma (2024), MFR has been shown to relax tightened muscle fibers, improve local blood and lymphatic circulation, and restore the viscoelastic properties of connective tissue. These changes not only relieve pain but also reduce muscle stiffness and enhance mobility. The fascial system responds well to slow, sustained pressure, which helps to reset the abnormal tension patterns within the muscle-fascial network. This intervention is particularly beneficial for patients with myofascial trigger points, as it directly targets the source of pain and restriction.</w:t>
      </w:r>
    </w:p>
    <w:p w14:paraId="57D761CF">
      <w:pPr>
        <w:pStyle w:val="4"/>
        <w:numPr>
          <w:ilvl w:val="0"/>
          <w:numId w:val="2"/>
        </w:numPr>
        <w:rPr>
          <w:rStyle w:val="13"/>
          <w:rFonts w:hint="default" w:ascii="Times New Roman" w:hAnsi="Times New Roman"/>
          <w:b/>
          <w:bCs/>
          <w:sz w:val="24"/>
          <w:szCs w:val="24"/>
        </w:rPr>
      </w:pPr>
      <w:r>
        <w:rPr>
          <w:rStyle w:val="13"/>
          <w:rFonts w:hint="default" w:ascii="Times New Roman" w:hAnsi="Times New Roman"/>
          <w:b/>
          <w:bCs/>
          <w:sz w:val="24"/>
          <w:szCs w:val="24"/>
        </w:rPr>
        <w:t>Cryo-Stretching (Cryostretch)</w:t>
      </w:r>
    </w:p>
    <w:p w14:paraId="7CD02ED8">
      <w:pPr>
        <w:pStyle w:val="12"/>
      </w:pPr>
      <w:r>
        <w:t xml:space="preserve">Cryo-Stretching is a technique that combines cold therapy with stretching, often utilizing Proprioceptive Neuromuscular Facilitation (PNF) techniques such as the contract-relax method. The application of ice before stretching serves several physiological functions: it induces </w:t>
      </w:r>
      <w:r>
        <w:rPr>
          <w:rStyle w:val="13"/>
          <w:b w:val="0"/>
          <w:bCs w:val="0"/>
        </w:rPr>
        <w:t>vasoconstriction</w:t>
      </w:r>
      <w:r>
        <w:t xml:space="preserve">, reduces </w:t>
      </w:r>
      <w:r>
        <w:rPr>
          <w:rStyle w:val="13"/>
          <w:b w:val="0"/>
          <w:bCs w:val="0"/>
        </w:rPr>
        <w:t>local tissue metabolism</w:t>
      </w:r>
      <w:r>
        <w:t xml:space="preserve">, minimizes </w:t>
      </w:r>
      <w:r>
        <w:rPr>
          <w:rStyle w:val="13"/>
          <w:b w:val="0"/>
          <w:bCs w:val="0"/>
        </w:rPr>
        <w:t>inflammatory responses</w:t>
      </w:r>
      <w:r>
        <w:t xml:space="preserve">, and relieves </w:t>
      </w:r>
      <w:r>
        <w:rPr>
          <w:rStyle w:val="13"/>
          <w:b w:val="0"/>
          <w:bCs w:val="0"/>
        </w:rPr>
        <w:t>muscle spasms</w:t>
      </w:r>
      <w:r>
        <w:t xml:space="preserve"> by reducing nerve conduction velocity.</w:t>
      </w:r>
    </w:p>
    <w:p w14:paraId="59A1FCD8">
      <w:pPr>
        <w:pStyle w:val="12"/>
      </w:pPr>
      <w:r>
        <w:t>As noted by García-Espinoza et al. (2017), cryotherapy’s analgesic effects stem primarily from its ability to reduce the activity of nociceptors—sensory receptors that transmit pain signals. When followed by PNF stretching, the temporarily numbed muscle can be stretched more effectively and with less discomfort. This combination has been found to significantly enhance cervical ROM, especially in patients with acute or subacute neck pain. Cryostretch is especially useful in breaking the pain-spasm cycle that perpetuates muscle tightness.</w:t>
      </w:r>
    </w:p>
    <w:p w14:paraId="366DC55C">
      <w:pPr>
        <w:pStyle w:val="4"/>
        <w:rPr>
          <w:rFonts w:hint="default" w:ascii="Times New Roman" w:hAnsi="Times New Roman"/>
          <w:sz w:val="24"/>
          <w:szCs w:val="24"/>
        </w:rPr>
      </w:pPr>
      <w:r>
        <w:rPr>
          <w:rStyle w:val="13"/>
          <w:rFonts w:hint="default" w:ascii="Times New Roman" w:hAnsi="Times New Roman"/>
          <w:b/>
          <w:bCs/>
          <w:sz w:val="24"/>
          <w:szCs w:val="24"/>
        </w:rPr>
        <w:t>3. Kinesio Taping (KT)</w:t>
      </w:r>
    </w:p>
    <w:p w14:paraId="2C391A90">
      <w:pPr>
        <w:pStyle w:val="12"/>
      </w:pPr>
      <w:r>
        <w:t>Kinesio Taping is a relatively modern therapeutic intervention that involves applying a specialized elastic tape to the skin overlying affected muscles and joints. Unlike rigid taping techniques used for stabilization, KT allows full ROM while still providing support and proprioceptive feedback to the underlying tissues.</w:t>
      </w:r>
    </w:p>
    <w:p w14:paraId="25BCCC5F">
      <w:pPr>
        <w:pStyle w:val="12"/>
      </w:pPr>
      <w:r>
        <w:t>The mechanism by which KT exerts its effects is multifaceted. According to Gülcan Öztürk et al. (2016), KT helps to reduce pain and muscle spasms by slightly lifting the skin, which decreases pressure on subcutaneous nociceptors and improves microcirculation. This lifting effect also facilitates lymphatic drainage, reducing edema and inflammation. Furthermore, the tape’s tension may help correct muscle imbalances, support weak muscles, and enhance postural alignment.</w:t>
      </w:r>
    </w:p>
    <w:p w14:paraId="56F92BFB">
      <w:pPr>
        <w:pStyle w:val="12"/>
      </w:pPr>
      <w:r>
        <w:t>KT is particularly beneficial for individuals with postural neck pain or chronic trapezitis, as it can be worn continuously during daily activities. It supports the muscle without restricting movement, allowing for ongoing therapeutic benefits between clinical sessions.</w:t>
      </w:r>
    </w:p>
    <w:p w14:paraId="3019235C">
      <w:pPr>
        <w:pStyle w:val="12"/>
      </w:pPr>
    </w:p>
    <w:p w14:paraId="4F6E5ED5">
      <w:pPr>
        <w:rPr>
          <w:rFonts w:ascii="Times New Roman" w:hAnsi="Times New Roman" w:cs="Times New Roman"/>
          <w:b/>
          <w:bCs/>
          <w:sz w:val="28"/>
          <w:szCs w:val="28"/>
        </w:rPr>
      </w:pPr>
      <w:r>
        <w:rPr>
          <w:rFonts w:ascii="Times New Roman" w:hAnsi="Times New Roman" w:cs="Times New Roman"/>
          <w:b/>
          <w:bCs/>
          <w:sz w:val="28"/>
          <w:szCs w:val="28"/>
        </w:rPr>
        <w:t>1.1   Objectives</w:t>
      </w:r>
    </w:p>
    <w:p w14:paraId="5838E61F">
      <w:pPr>
        <w:numPr>
          <w:ilvl w:val="0"/>
          <w:numId w:val="3"/>
        </w:numPr>
        <w:rPr>
          <w:rFonts w:ascii="Times New Roman" w:hAnsi="Times New Roman" w:cs="Times New Roman"/>
          <w:sz w:val="24"/>
          <w:szCs w:val="24"/>
        </w:rPr>
      </w:pPr>
      <w:r>
        <w:rPr>
          <w:rFonts w:ascii="Times New Roman" w:hAnsi="Times New Roman" w:cs="Times New Roman"/>
          <w:sz w:val="24"/>
          <w:szCs w:val="24"/>
        </w:rPr>
        <w:t>To study the effectiness of myofascial release in adoloscents with trapizitis.</w:t>
      </w:r>
    </w:p>
    <w:p w14:paraId="19E11DD0">
      <w:pPr>
        <w:numPr>
          <w:ilvl w:val="0"/>
          <w:numId w:val="3"/>
        </w:numPr>
        <w:rPr>
          <w:rFonts w:ascii="Times New Roman" w:hAnsi="Times New Roman" w:cs="Times New Roman"/>
          <w:sz w:val="24"/>
          <w:szCs w:val="24"/>
        </w:rPr>
      </w:pPr>
      <w:r>
        <w:rPr>
          <w:rFonts w:ascii="Times New Roman" w:hAnsi="Times New Roman" w:cs="Times New Roman"/>
          <w:sz w:val="24"/>
          <w:szCs w:val="24"/>
        </w:rPr>
        <w:t>To identify the effectiness of cryostretch in adoloscents with trapizitis.</w:t>
      </w:r>
    </w:p>
    <w:p w14:paraId="6C417346">
      <w:pPr>
        <w:numPr>
          <w:ilvl w:val="0"/>
          <w:numId w:val="3"/>
        </w:numPr>
        <w:rPr>
          <w:rFonts w:ascii="Times New Roman" w:hAnsi="Times New Roman" w:cs="Times New Roman"/>
          <w:b/>
          <w:bCs/>
          <w:sz w:val="28"/>
          <w:szCs w:val="28"/>
        </w:rPr>
      </w:pPr>
      <w:r>
        <w:rPr>
          <w:rFonts w:ascii="Times New Roman" w:hAnsi="Times New Roman" w:cs="Times New Roman"/>
          <w:sz w:val="24"/>
          <w:szCs w:val="24"/>
        </w:rPr>
        <w:t>To analyse the efficacy of kinesiotaping in adoloscents with trapizitis.</w:t>
      </w:r>
    </w:p>
    <w:p w14:paraId="25F045E8">
      <w:pPr>
        <w:numPr>
          <w:ilvl w:val="0"/>
          <w:numId w:val="3"/>
        </w:numPr>
        <w:rPr>
          <w:rFonts w:ascii="Times New Roman" w:hAnsi="Times New Roman" w:cs="Times New Roman"/>
          <w:b/>
          <w:bCs/>
          <w:sz w:val="28"/>
          <w:szCs w:val="28"/>
        </w:rPr>
      </w:pPr>
      <w:r>
        <w:rPr>
          <w:rFonts w:ascii="Times New Roman" w:hAnsi="Times New Roman" w:cs="Times New Roman"/>
          <w:sz w:val="24"/>
          <w:szCs w:val="24"/>
        </w:rPr>
        <w:t>To compare the effectiness of Myofascial release, Cryostretch and Kinesiotaping in adoloscents with trapizitis.</w:t>
      </w:r>
    </w:p>
    <w:p w14:paraId="37DAFD41">
      <w:pPr>
        <w:pStyle w:val="17"/>
        <w:numPr>
          <w:ilvl w:val="0"/>
          <w:numId w:val="0"/>
        </w:numPr>
        <w:ind w:leftChars="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1.2  Significance of study</w:t>
      </w:r>
    </w:p>
    <w:p w14:paraId="0FA5955D">
      <w:pPr>
        <w:pStyle w:val="17"/>
        <w:numPr>
          <w:ilvl w:val="0"/>
          <w:numId w:val="0"/>
        </w:numPr>
        <w:ind w:leftChars="0"/>
        <w:rPr>
          <w:rFonts w:hint="default" w:ascii="Times New Roman" w:hAnsi="Times New Roman" w:cs="Times New Roman"/>
          <w:b/>
          <w:bCs/>
          <w:sz w:val="28"/>
          <w:szCs w:val="28"/>
          <w:lang w:val="en-US"/>
        </w:rPr>
      </w:pPr>
    </w:p>
    <w:p w14:paraId="4F8FF4E0">
      <w:pPr>
        <w:pStyle w:val="17"/>
        <w:numPr>
          <w:ilvl w:val="0"/>
          <w:numId w:val="0"/>
        </w:numPr>
        <w:ind w:leftChars="0"/>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present study compares the effect of 3 variables in management of trapizitis. Although, several studies have been conducted on management of trapizitis. But the effectiveness of myofascial release, cryostretch and kinesiotaping in adolescents with trapizitis have not been published before. Thus, the study will contribute significantly to the healthcare professionals in the timely management of trapizitis,</w:t>
      </w:r>
    </w:p>
    <w:p w14:paraId="2BAFC7CC">
      <w:pPr>
        <w:rPr>
          <w:rFonts w:ascii="Times New Roman" w:hAnsi="Times New Roman" w:cs="Times New Roman"/>
          <w:b/>
          <w:bCs/>
          <w:sz w:val="28"/>
          <w:szCs w:val="28"/>
        </w:rPr>
      </w:pPr>
    </w:p>
    <w:p w14:paraId="673277D5">
      <w:pPr>
        <w:rPr>
          <w:rFonts w:ascii="Times New Roman" w:hAnsi="Times New Roman" w:cs="Times New Roman"/>
          <w:b/>
          <w:bCs/>
          <w:sz w:val="28"/>
          <w:szCs w:val="28"/>
        </w:rPr>
      </w:pPr>
      <w:r>
        <w:rPr>
          <w:rFonts w:ascii="Times New Roman" w:hAnsi="Times New Roman" w:cs="Times New Roman"/>
          <w:b/>
          <w:bCs/>
          <w:sz w:val="28"/>
          <w:szCs w:val="28"/>
        </w:rPr>
        <w:t>Methodology</w:t>
      </w:r>
    </w:p>
    <w:p w14:paraId="0DB6AA54">
      <w:pPr>
        <w:rPr>
          <w:rFonts w:ascii="Times New Roman" w:hAnsi="Times New Roman" w:cs="Times New Roman"/>
          <w:b/>
          <w:bCs/>
          <w:sz w:val="24"/>
          <w:szCs w:val="24"/>
        </w:rPr>
      </w:pPr>
    </w:p>
    <w:p w14:paraId="33B11236">
      <w:pPr>
        <w:numPr>
          <w:ilvl w:val="0"/>
          <w:numId w:val="1"/>
        </w:numPr>
        <w:rPr>
          <w:rFonts w:ascii="Times New Roman" w:hAnsi="Times New Roman" w:cs="Times New Roman"/>
          <w:b/>
          <w:bCs/>
          <w:sz w:val="28"/>
          <w:szCs w:val="28"/>
        </w:rPr>
      </w:pPr>
      <w:r>
        <w:rPr>
          <w:rFonts w:ascii="Times New Roman" w:hAnsi="Times New Roman" w:cs="Times New Roman"/>
          <w:b/>
          <w:bCs/>
          <w:sz w:val="28"/>
          <w:szCs w:val="28"/>
        </w:rPr>
        <w:t>Subjects and Methods</w:t>
      </w:r>
    </w:p>
    <w:p w14:paraId="2B147636">
      <w:pPr>
        <w:rPr>
          <w:rFonts w:ascii="Times New Roman" w:hAnsi="Times New Roman" w:cs="Times New Roman"/>
          <w:sz w:val="28"/>
          <w:szCs w:val="28"/>
        </w:rPr>
      </w:pPr>
      <w:r>
        <w:rPr>
          <w:rFonts w:ascii="Times New Roman" w:hAnsi="Times New Roman" w:cs="Times New Roman"/>
          <w:sz w:val="28"/>
          <w:szCs w:val="28"/>
        </w:rPr>
        <w:t>II.a. Inclusion Criteria</w:t>
      </w:r>
    </w:p>
    <w:p w14:paraId="4B07D23A">
      <w:pPr>
        <w:numPr>
          <w:ilvl w:val="0"/>
          <w:numId w:val="3"/>
        </w:numPr>
        <w:rPr>
          <w:rFonts w:ascii="Times New Roman" w:hAnsi="Times New Roman" w:cs="Times New Roman"/>
          <w:sz w:val="24"/>
          <w:szCs w:val="24"/>
        </w:rPr>
      </w:pPr>
      <w:r>
        <w:rPr>
          <w:rFonts w:ascii="Times New Roman" w:hAnsi="Times New Roman" w:cs="Times New Roman"/>
          <w:sz w:val="24"/>
          <w:szCs w:val="24"/>
        </w:rPr>
        <w:t>45 adolescent students were included in this study.</w:t>
      </w:r>
    </w:p>
    <w:p w14:paraId="0618E865">
      <w:pPr>
        <w:numPr>
          <w:ilvl w:val="0"/>
          <w:numId w:val="3"/>
        </w:numPr>
        <w:rPr>
          <w:rFonts w:ascii="Times New Roman" w:hAnsi="Times New Roman" w:cs="Times New Roman"/>
          <w:sz w:val="24"/>
          <w:szCs w:val="24"/>
        </w:rPr>
      </w:pPr>
      <w:r>
        <w:rPr>
          <w:rFonts w:ascii="Times New Roman" w:hAnsi="Times New Roman" w:cs="Times New Roman"/>
          <w:sz w:val="24"/>
          <w:szCs w:val="24"/>
        </w:rPr>
        <w:t>Sample included subjects between age group of 10-19 Years</w:t>
      </w:r>
    </w:p>
    <w:p w14:paraId="04981EB2">
      <w:pPr>
        <w:numPr>
          <w:ilvl w:val="0"/>
          <w:numId w:val="3"/>
        </w:numPr>
        <w:rPr>
          <w:rFonts w:ascii="Times New Roman" w:hAnsi="Times New Roman" w:cs="Times New Roman"/>
          <w:sz w:val="24"/>
          <w:szCs w:val="24"/>
        </w:rPr>
      </w:pPr>
      <w:r>
        <w:rPr>
          <w:rFonts w:ascii="Times New Roman" w:hAnsi="Times New Roman" w:cs="Times New Roman"/>
          <w:sz w:val="24"/>
          <w:szCs w:val="24"/>
        </w:rPr>
        <w:t>The sample included both female and male subjects.</w:t>
      </w:r>
    </w:p>
    <w:p w14:paraId="5ADE4863">
      <w:pPr>
        <w:numPr>
          <w:ilvl w:val="0"/>
          <w:numId w:val="3"/>
        </w:numPr>
        <w:rPr>
          <w:rFonts w:ascii="Times New Roman" w:hAnsi="Times New Roman" w:cs="Times New Roman"/>
          <w:sz w:val="24"/>
          <w:szCs w:val="24"/>
        </w:rPr>
      </w:pPr>
      <w:r>
        <w:rPr>
          <w:rFonts w:ascii="Times New Roman" w:hAnsi="Times New Roman" w:cs="Times New Roman"/>
          <w:sz w:val="24"/>
          <w:szCs w:val="24"/>
        </w:rPr>
        <w:t>Subjects suffering from neck/upper back pain with myofascial trigger points.</w:t>
      </w:r>
    </w:p>
    <w:p w14:paraId="1C8BE0DF">
      <w:pPr>
        <w:numPr>
          <w:ilvl w:val="0"/>
          <w:numId w:val="3"/>
        </w:numPr>
        <w:rPr>
          <w:rFonts w:ascii="Times New Roman" w:hAnsi="Times New Roman" w:cs="Times New Roman"/>
          <w:sz w:val="24"/>
          <w:szCs w:val="24"/>
        </w:rPr>
      </w:pPr>
      <w:r>
        <w:rPr>
          <w:rFonts w:ascii="Times New Roman" w:hAnsi="Times New Roman" w:cs="Times New Roman"/>
          <w:sz w:val="24"/>
          <w:szCs w:val="24"/>
        </w:rPr>
        <w:t>Symptom duration of more than 2 weeks.</w:t>
      </w:r>
    </w:p>
    <w:p w14:paraId="3D3E9BDC">
      <w:pPr>
        <w:rPr>
          <w:rFonts w:ascii="Times New Roman" w:hAnsi="Times New Roman" w:cs="Times New Roman"/>
          <w:sz w:val="24"/>
          <w:szCs w:val="24"/>
        </w:rPr>
      </w:pPr>
      <w:r>
        <w:rPr>
          <w:rFonts w:ascii="Times New Roman" w:hAnsi="Times New Roman" w:cs="Times New Roman"/>
          <w:sz w:val="24"/>
          <w:szCs w:val="24"/>
        </w:rPr>
        <w:t>II.b. Exclusion Criteria</w:t>
      </w:r>
    </w:p>
    <w:p w14:paraId="25EE2063">
      <w:pPr>
        <w:numPr>
          <w:ilvl w:val="0"/>
          <w:numId w:val="3"/>
        </w:numPr>
        <w:rPr>
          <w:rFonts w:ascii="Times New Roman" w:hAnsi="Times New Roman" w:cs="Times New Roman"/>
          <w:sz w:val="24"/>
          <w:szCs w:val="24"/>
        </w:rPr>
      </w:pPr>
      <w:r>
        <w:rPr>
          <w:rFonts w:ascii="Times New Roman" w:hAnsi="Times New Roman" w:cs="Times New Roman"/>
          <w:sz w:val="24"/>
          <w:szCs w:val="24"/>
        </w:rPr>
        <w:t>Patients with diagnosis of Fibromyalgia</w:t>
      </w:r>
    </w:p>
    <w:p w14:paraId="3B5D4B29">
      <w:pPr>
        <w:numPr>
          <w:ilvl w:val="0"/>
          <w:numId w:val="3"/>
        </w:numPr>
        <w:rPr>
          <w:rFonts w:ascii="Times New Roman" w:hAnsi="Times New Roman" w:cs="Times New Roman"/>
          <w:sz w:val="24"/>
          <w:szCs w:val="24"/>
        </w:rPr>
      </w:pPr>
      <w:r>
        <w:rPr>
          <w:rFonts w:ascii="Times New Roman" w:hAnsi="Times New Roman" w:cs="Times New Roman"/>
          <w:sz w:val="24"/>
          <w:szCs w:val="24"/>
        </w:rPr>
        <w:t>Subjects with symptoms of cervical radiculopathy and nerve impingement.</w:t>
      </w:r>
    </w:p>
    <w:p w14:paraId="07A74E0E">
      <w:pPr>
        <w:rPr>
          <w:rFonts w:ascii="Times New Roman" w:hAnsi="Times New Roman" w:cs="Times New Roman"/>
          <w:sz w:val="24"/>
          <w:szCs w:val="24"/>
        </w:rPr>
      </w:pPr>
    </w:p>
    <w:p w14:paraId="386A2F00">
      <w:pPr>
        <w:rPr>
          <w:rFonts w:ascii="Times New Roman" w:hAnsi="Times New Roman" w:cs="Times New Roman"/>
          <w:sz w:val="24"/>
          <w:szCs w:val="24"/>
        </w:rPr>
      </w:pPr>
      <w:r>
        <w:rPr>
          <w:rFonts w:ascii="Times New Roman" w:hAnsi="Times New Roman" w:cs="Times New Roman"/>
          <w:sz w:val="24"/>
          <w:szCs w:val="24"/>
        </w:rPr>
        <w:t xml:space="preserve">Total 45 adolescents subjects were selected for study with random sampling technique. These subjects were categorized into 3 groups: </w:t>
      </w:r>
    </w:p>
    <w:p w14:paraId="5C99EA84">
      <w:pPr>
        <w:rPr>
          <w:rFonts w:ascii="Times New Roman" w:hAnsi="Times New Roman" w:cs="Times New Roman"/>
          <w:sz w:val="24"/>
          <w:szCs w:val="24"/>
        </w:rPr>
      </w:pPr>
      <w:r>
        <w:rPr>
          <w:rFonts w:ascii="Times New Roman" w:hAnsi="Times New Roman" w:cs="Times New Roman"/>
          <w:b/>
          <w:bCs/>
          <w:sz w:val="24"/>
          <w:szCs w:val="24"/>
        </w:rPr>
        <w:t xml:space="preserve">Group I: </w:t>
      </w:r>
      <w:r>
        <w:rPr>
          <w:rFonts w:ascii="Times New Roman" w:hAnsi="Times New Roman" w:cs="Times New Roman"/>
          <w:sz w:val="24"/>
          <w:szCs w:val="24"/>
        </w:rPr>
        <w:t>A sample size of</w:t>
      </w:r>
      <w:r>
        <w:rPr>
          <w:rFonts w:ascii="Times New Roman" w:hAnsi="Times New Roman" w:cs="Times New Roman"/>
          <w:b/>
          <w:bCs/>
          <w:sz w:val="24"/>
          <w:szCs w:val="24"/>
        </w:rPr>
        <w:t xml:space="preserve"> </w:t>
      </w:r>
      <w:r>
        <w:rPr>
          <w:rFonts w:ascii="Times New Roman" w:hAnsi="Times New Roman" w:cs="Times New Roman"/>
          <w:sz w:val="24"/>
          <w:szCs w:val="24"/>
        </w:rPr>
        <w:t xml:space="preserve">15 subjects were chosen for the group I. </w:t>
      </w:r>
    </w:p>
    <w:p w14:paraId="17C6A9CA">
      <w:pPr>
        <w:rPr>
          <w:rFonts w:ascii="Times New Roman" w:hAnsi="Times New Roman" w:cs="Times New Roman"/>
          <w:sz w:val="24"/>
          <w:szCs w:val="24"/>
        </w:rPr>
      </w:pPr>
      <w:r>
        <w:rPr>
          <w:rFonts w:ascii="Times New Roman" w:hAnsi="Times New Roman" w:cs="Times New Roman"/>
          <w:sz w:val="24"/>
          <w:szCs w:val="24"/>
        </w:rPr>
        <w:t>Intervention:  Myofascial release</w:t>
      </w:r>
    </w:p>
    <w:p w14:paraId="3B6C6A13">
      <w:pPr>
        <w:rPr>
          <w:rFonts w:ascii="Times New Roman" w:hAnsi="Times New Roman" w:cs="Times New Roman"/>
          <w:sz w:val="24"/>
          <w:szCs w:val="24"/>
        </w:rPr>
      </w:pPr>
      <w:r>
        <w:rPr>
          <w:rFonts w:ascii="Times New Roman" w:hAnsi="Times New Roman" w:cs="Times New Roman"/>
          <w:b/>
          <w:bCs/>
          <w:sz w:val="24"/>
          <w:szCs w:val="24"/>
        </w:rPr>
        <w:t xml:space="preserve">Group II: </w:t>
      </w:r>
      <w:r>
        <w:rPr>
          <w:rFonts w:ascii="Times New Roman" w:hAnsi="Times New Roman" w:cs="Times New Roman"/>
          <w:sz w:val="24"/>
          <w:szCs w:val="24"/>
        </w:rPr>
        <w:t>A sample size of</w:t>
      </w:r>
      <w:r>
        <w:rPr>
          <w:rFonts w:ascii="Times New Roman" w:hAnsi="Times New Roman" w:cs="Times New Roman"/>
          <w:b/>
          <w:bCs/>
          <w:sz w:val="24"/>
          <w:szCs w:val="24"/>
        </w:rPr>
        <w:t xml:space="preserve"> </w:t>
      </w:r>
      <w:r>
        <w:rPr>
          <w:rFonts w:ascii="Times New Roman" w:hAnsi="Times New Roman" w:cs="Times New Roman"/>
          <w:sz w:val="24"/>
          <w:szCs w:val="24"/>
        </w:rPr>
        <w:t xml:space="preserve">15 subjects were selected for the group II. </w:t>
      </w:r>
    </w:p>
    <w:p w14:paraId="492E1D83">
      <w:pPr>
        <w:rPr>
          <w:rFonts w:ascii="Times New Roman" w:hAnsi="Times New Roman" w:cs="Times New Roman"/>
          <w:sz w:val="24"/>
          <w:szCs w:val="24"/>
        </w:rPr>
      </w:pPr>
      <w:r>
        <w:rPr>
          <w:rFonts w:ascii="Times New Roman" w:hAnsi="Times New Roman" w:cs="Times New Roman"/>
          <w:sz w:val="24"/>
          <w:szCs w:val="24"/>
        </w:rPr>
        <w:t>Intervention: Cryostretch</w:t>
      </w:r>
    </w:p>
    <w:p w14:paraId="092F16CA">
      <w:pPr>
        <w:rPr>
          <w:rFonts w:ascii="Times New Roman" w:hAnsi="Times New Roman" w:cs="Times New Roman"/>
          <w:sz w:val="24"/>
          <w:szCs w:val="24"/>
        </w:rPr>
      </w:pPr>
      <w:r>
        <w:rPr>
          <w:rFonts w:ascii="Times New Roman" w:hAnsi="Times New Roman" w:cs="Times New Roman"/>
          <w:b/>
          <w:bCs/>
          <w:sz w:val="24"/>
          <w:szCs w:val="24"/>
        </w:rPr>
        <w:t>Group III:</w:t>
      </w:r>
      <w:r>
        <w:rPr>
          <w:rFonts w:ascii="Times New Roman" w:hAnsi="Times New Roman" w:cs="Times New Roman"/>
          <w:sz w:val="24"/>
          <w:szCs w:val="24"/>
        </w:rPr>
        <w:t xml:space="preserve"> Group III also consisted of 15 subjects</w:t>
      </w:r>
    </w:p>
    <w:p w14:paraId="6E8A01F2">
      <w:r>
        <w:rPr>
          <w:rFonts w:ascii="Times New Roman" w:hAnsi="Times New Roman" w:cs="Times New Roman"/>
          <w:sz w:val="24"/>
          <w:szCs w:val="24"/>
        </w:rPr>
        <w:t>Intervention: Kinesiotaping</w:t>
      </w:r>
    </w:p>
    <w:p w14:paraId="3F799474">
      <w:pPr>
        <w:pStyle w:val="12"/>
        <w:rPr>
          <w:b/>
          <w:bCs/>
          <w:sz w:val="28"/>
          <w:szCs w:val="28"/>
        </w:rPr>
      </w:pPr>
      <w:r>
        <w:rPr>
          <w:b/>
          <w:bCs/>
          <w:sz w:val="28"/>
          <w:szCs w:val="28"/>
        </w:rPr>
        <w:t>II.d. Study Design</w:t>
      </w:r>
    </w:p>
    <w:p w14:paraId="36410394">
      <w:pPr>
        <w:pStyle w:val="12"/>
      </w:pPr>
      <w:r>
        <w:rPr>
          <w:rFonts w:hint="default"/>
          <w:lang w:val="en-US"/>
        </w:rPr>
        <w:t xml:space="preserve">The present study is an original research article. </w:t>
      </w:r>
      <w:r>
        <w:t>This was an experimental comparative study conducted to evaluate and compare the effectiveness of three physiotherapy interventions—Myofascial Release (MFR), Cryostretch, and Kinesio Taping (KT)—on adolescents diagnosed with trapezitis. A total of 45 participants were recruited and equally divided into three groups (n=15 in each group).</w:t>
      </w:r>
    </w:p>
    <w:p w14:paraId="77330BA5">
      <w:pPr>
        <w:pStyle w:val="12"/>
        <w:rPr>
          <w:b/>
          <w:bCs/>
        </w:rPr>
      </w:pPr>
      <w:r>
        <w:rPr>
          <w:b/>
          <w:bCs/>
        </w:rPr>
        <w:t>Participants</w:t>
      </w:r>
    </w:p>
    <w:p w14:paraId="7C52B2B2">
      <w:pPr>
        <w:pStyle w:val="12"/>
      </w:pPr>
      <w:r>
        <w:t>Adolescents clinically diagnosed with trapezitis, presenting with pain and restricted cervical mobility, were included in the study. Subjects with acute cervical trauma, neurological disorders, skin allergies, or prior cervical spine surgeries were excluded. Written informed consent was obtained from all participants prior to the commencement of the study.</w:t>
      </w:r>
    </w:p>
    <w:p w14:paraId="0B9E5D50">
      <w:pPr>
        <w:pStyle w:val="12"/>
        <w:rPr>
          <w:b/>
          <w:bCs/>
        </w:rPr>
      </w:pPr>
      <w:r>
        <w:rPr>
          <w:b/>
          <w:bCs/>
        </w:rPr>
        <w:t>II.e. Intervention Protocols</w:t>
      </w:r>
    </w:p>
    <w:p w14:paraId="556E8946">
      <w:pPr>
        <w:pStyle w:val="12"/>
      </w:pPr>
      <w:r>
        <w:t>Group A: Myofascial Release (MFR)</w:t>
      </w:r>
    </w:p>
    <w:p w14:paraId="0C9519A6">
      <w:pPr>
        <w:pStyle w:val="12"/>
      </w:pPr>
      <w:r>
        <w:t>Participants received direct myofascial release therapy for a duration of 10 minutes per session. The intervention included: Palpation of tight bands in the trapezius muscle, with sustained pressure applied for 60–90 seconds using the thumb while the subject was in a supine position. Additional pressure was applied using the ulnar border of the therapist’s hand in supine lying. Each session lasted 40–45 minutes and included warm-up, treatment, and relaxation phases. Total: 12 sessions, administered thrice weekly over four weeks.</w:t>
      </w:r>
    </w:p>
    <w:p w14:paraId="4F05B944">
      <w:pPr>
        <w:pStyle w:val="12"/>
      </w:pPr>
      <w:r>
        <w:t>Group B: Cryostretch</w:t>
      </w:r>
    </w:p>
    <w:p w14:paraId="29A135E1">
      <w:pPr>
        <w:pStyle w:val="12"/>
      </w:pPr>
      <w:r>
        <w:t>The cryostretch intervention was administered in two phases:</w:t>
      </w:r>
    </w:p>
    <w:p w14:paraId="289CB9DA">
      <w:pPr>
        <w:pStyle w:val="12"/>
      </w:pPr>
      <w:r>
        <w:t xml:space="preserve">Cryotherapy: Application of ice for 12–15 minutes until the trapezius region was adequately numbed.  </w:t>
      </w:r>
    </w:p>
    <w:p w14:paraId="1F92B41E">
      <w:pPr>
        <w:pStyle w:val="12"/>
      </w:pPr>
      <w:r>
        <w:t>Stretching &amp; Isometric Contractions: Passive static stretching of the upper trapezius was performed by laterally flexing the neck to the opposite side and maintaining the stretch for 60 seconds. Followed by 5 sets of isometric contractions, each lasting 5 seconds, against minimal resistance. Each session lasted approximately 40–45 minutes. Total: 12 sessions, administered three times per week for four weeks.</w:t>
      </w:r>
    </w:p>
    <w:p w14:paraId="5A14A728">
      <w:pPr>
        <w:pStyle w:val="12"/>
      </w:pPr>
      <w:r>
        <w:t>Group C: Kinesio Taping (KT)</w:t>
      </w:r>
    </w:p>
    <w:p w14:paraId="655D9593">
      <w:pPr>
        <w:pStyle w:val="12"/>
      </w:pPr>
      <w:r>
        <w:t>Participants received therapeutic Kinesio Taping as follows: The patient was seated with the neck flexed laterally to the contralateral side and rotated toward the ipsilateral side.The tape was anchored inferior to the acromion, applied along the upper trapezius, and extended toward the hairline.The initial part of the tape was applied under maximal stretch, while the remainder was applied without stretch. Each application was kept in place for three days, after which the tape was removed and reapplied following a one-day rest interval. Total: 4–6 sessions, with taping performed three times per week.</w:t>
      </w:r>
    </w:p>
    <w:p w14:paraId="712305FE">
      <w:pPr>
        <w:numPr>
          <w:ilvl w:val="0"/>
          <w:numId w:val="1"/>
        </w:numPr>
        <w:rPr>
          <w:rFonts w:ascii="Times New Roman" w:hAnsi="Times New Roman" w:eastAsia="Cambria" w:cs="Times New Roman"/>
          <w:b/>
          <w:bCs/>
          <w:color w:val="1B1B1B"/>
          <w:sz w:val="28"/>
          <w:szCs w:val="28"/>
          <w:shd w:val="clear" w:color="auto" w:fill="FFFFFF"/>
        </w:rPr>
      </w:pPr>
      <w:r>
        <w:rPr>
          <w:rFonts w:ascii="Times New Roman" w:hAnsi="Times New Roman" w:eastAsia="Cambria" w:cs="Times New Roman"/>
          <w:b/>
          <w:bCs/>
          <w:color w:val="1B1B1B"/>
          <w:sz w:val="28"/>
          <w:szCs w:val="28"/>
          <w:shd w:val="clear" w:color="auto" w:fill="FFFFFF"/>
        </w:rPr>
        <w:t>Results &amp; Analysis:</w:t>
      </w:r>
      <w:bookmarkStart w:id="0" w:name="_GoBack"/>
      <w:bookmarkEnd w:id="0"/>
    </w:p>
    <w:p w14:paraId="3C6025BA">
      <w:pPr>
        <w:spacing w:after="60" w:line="165" w:lineRule="atLeast"/>
        <w:rPr>
          <w:b/>
          <w:bCs/>
        </w:rPr>
      </w:pPr>
      <w:r>
        <w:rPr>
          <w:rFonts w:ascii="Times New Roman" w:hAnsi="Times New Roman" w:eastAsia="Cambria" w:cs="Times New Roman"/>
          <w:b/>
          <w:bCs/>
          <w:color w:val="1B1B1B"/>
          <w:sz w:val="24"/>
          <w:szCs w:val="24"/>
          <w:shd w:val="clear" w:color="auto" w:fill="FFFFFF"/>
        </w:rPr>
        <w:t xml:space="preserve"> Outcome Measures</w:t>
      </w:r>
    </w:p>
    <w:p w14:paraId="4F9436ED">
      <w:pPr>
        <w:spacing w:after="60" w:line="165" w:lineRule="atLeast"/>
        <w:rPr>
          <w:rFonts w:ascii="Times New Roman" w:hAnsi="Times New Roman" w:cs="Times New Roman"/>
          <w:sz w:val="24"/>
          <w:szCs w:val="24"/>
        </w:rPr>
      </w:pPr>
      <w:r>
        <w:rPr>
          <w:rFonts w:ascii="Times New Roman" w:hAnsi="Times New Roman" w:eastAsia="Cambria" w:cs="Times New Roman"/>
          <w:b/>
          <w:bCs/>
          <w:color w:val="1B1B1B"/>
          <w:sz w:val="24"/>
          <w:szCs w:val="24"/>
          <w:shd w:val="clear" w:color="auto" w:fill="FFFFFF"/>
        </w:rPr>
        <w:t xml:space="preserve">Visual Analogue Scale for pain: </w:t>
      </w:r>
    </w:p>
    <w:p w14:paraId="040BF13A">
      <w:pPr>
        <w:rPr>
          <w:rFonts w:ascii="Times New Roman" w:hAnsi="Times New Roman" w:cs="Times New Roman"/>
          <w:sz w:val="24"/>
          <w:szCs w:val="24"/>
        </w:rPr>
      </w:pPr>
      <w:r>
        <w:rPr>
          <w:rFonts w:ascii="Times New Roman" w:hAnsi="Times New Roman" w:cs="Times New Roman"/>
          <w:sz w:val="24"/>
          <w:szCs w:val="24"/>
          <w:lang w:eastAsia="zh-CN"/>
        </w:rPr>
        <w:t>It is a horizontal line, with the ends of the line are anchored with words such as "no pain" and "worst imaginable pain" for pain assessment. The patient places a mark on the line to indicate their current level of the subjective experience. The VAS score is determined by measuring the distance in millimeters from the "no pain" end of the line to the mark made by the individual. It is a subjective tool for measuring pain.</w:t>
      </w:r>
    </w:p>
    <w:p w14:paraId="5931EA5A">
      <w:pPr>
        <w:pStyle w:val="12"/>
      </w:pPr>
      <w:r>
        <w:rPr>
          <w:rFonts w:eastAsia="Cambria"/>
          <w:b/>
          <w:bCs/>
          <w:color w:val="1B1B1B"/>
          <w:shd w:val="clear" w:color="auto" w:fill="FFFFFF"/>
        </w:rPr>
        <w:t xml:space="preserve"> Cervical Range of motion: </w:t>
      </w:r>
      <w:r>
        <w:rPr>
          <w:rFonts w:eastAsia="Cambria"/>
          <w:color w:val="1B1B1B"/>
          <w:shd w:val="clear" w:color="auto" w:fill="FFFFFF"/>
        </w:rPr>
        <w:t xml:space="preserve">  </w:t>
      </w:r>
      <w:r>
        <w:t xml:space="preserve">Cervical ROM is evaluated to measure movement across three anatomical planes: </w:t>
      </w:r>
    </w:p>
    <w:p w14:paraId="6AF865F2">
      <w:pPr>
        <w:pStyle w:val="12"/>
      </w:pPr>
      <w:r>
        <w:rPr>
          <w:rStyle w:val="13"/>
          <w:b w:val="0"/>
          <w:bCs w:val="0"/>
        </w:rPr>
        <w:t>Flexion-Extension</w:t>
      </w:r>
      <w:r>
        <w:t xml:space="preserve"> (Sagittal Plane)</w:t>
      </w:r>
    </w:p>
    <w:p w14:paraId="566BDA4A">
      <w:pPr>
        <w:pStyle w:val="12"/>
      </w:pPr>
      <w:r>
        <w:rPr>
          <w:rStyle w:val="13"/>
          <w:b w:val="0"/>
          <w:bCs w:val="0"/>
        </w:rPr>
        <w:t>Lateral Bending</w:t>
      </w:r>
      <w:r>
        <w:t xml:space="preserve"> (Coronal Plane)</w:t>
      </w:r>
    </w:p>
    <w:p w14:paraId="02A23FF3">
      <w:pPr>
        <w:pStyle w:val="12"/>
      </w:pPr>
      <w:r>
        <w:rPr>
          <w:rStyle w:val="13"/>
          <w:b w:val="0"/>
          <w:bCs w:val="0"/>
        </w:rPr>
        <w:t>Rotation</w:t>
      </w:r>
      <w:r>
        <w:t xml:space="preserve"> (Transverse/Horizontal Plane. </w:t>
      </w:r>
    </w:p>
    <w:p w14:paraId="257BF272">
      <w:pPr>
        <w:pStyle w:val="12"/>
        <w:rPr>
          <w:rFonts w:eastAsia="Cambria"/>
          <w:color w:val="1B1B1B"/>
          <w:shd w:val="clear" w:color="auto" w:fill="FFFFFF"/>
        </w:rPr>
      </w:pPr>
      <w:r>
        <w:rPr>
          <w:rStyle w:val="13"/>
          <w:b w:val="0"/>
          <w:bCs w:val="0"/>
        </w:rPr>
        <w:t xml:space="preserve">A Handheld Goniometer is a </w:t>
      </w:r>
      <w:r>
        <w:t>basic and widely accessible tool which provides a reliable and valid measurement of Cervical range of motion.</w:t>
      </w:r>
    </w:p>
    <w:p w14:paraId="5F35B74B">
      <w:pPr>
        <w:rPr>
          <w:rFonts w:ascii="Times New Roman" w:hAnsi="Times New Roman" w:cs="Times New Roman"/>
          <w:sz w:val="24"/>
          <w:szCs w:val="24"/>
        </w:rPr>
      </w:pPr>
      <w:r>
        <w:rPr>
          <w:rFonts w:ascii="Times New Roman" w:hAnsi="Times New Roman" w:cs="Times New Roman"/>
          <w:sz w:val="24"/>
          <w:szCs w:val="24"/>
        </w:rPr>
        <w:t xml:space="preserve">Forty-five patients were screened according to the inclusion criteria. 15 subjects were categorized into 3 groups: Myofascial release, Cryostretch &amp; Kinesio-taping. The mean &amp; standard deviation was calculated in each group. T-test was used for inter-group comparisons. </w:t>
      </w:r>
    </w:p>
    <w:p w14:paraId="4FC35E8F">
      <w:pPr>
        <w:rPr>
          <w:rFonts w:ascii="Times New Roman" w:hAnsi="Times New Roman" w:cs="Times New Roman"/>
          <w:sz w:val="24"/>
          <w:szCs w:val="24"/>
        </w:rPr>
      </w:pPr>
    </w:p>
    <w:p w14:paraId="5F1E146E">
      <w:pPr>
        <w:rPr>
          <w:rFonts w:ascii="Times New Roman" w:hAnsi="Times New Roman" w:cs="Times New Roman"/>
          <w:sz w:val="24"/>
          <w:szCs w:val="24"/>
        </w:rPr>
      </w:pPr>
    </w:p>
    <w:p w14:paraId="38AC5D60">
      <w:pPr>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hint="default" w:ascii="Times New Roman" w:hAnsi="Times New Roman" w:cs="Times New Roman"/>
          <w:b/>
          <w:bCs/>
          <w:sz w:val="24"/>
          <w:szCs w:val="24"/>
          <w:lang w:val="en-US"/>
        </w:rPr>
        <w:t>1</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 xml:space="preserve">Pre-Treatment </w:t>
      </w:r>
      <w:r>
        <w:rPr>
          <w:rFonts w:ascii="Times New Roman" w:hAnsi="Times New Roman" w:cs="Times New Roman"/>
          <w:b/>
          <w:bCs/>
          <w:sz w:val="24"/>
          <w:szCs w:val="24"/>
        </w:rPr>
        <w:t>Comparison of VAS and Cervical ROM (Right &amp; Left Flexion)</w:t>
      </w:r>
    </w:p>
    <w:p w14:paraId="4A0E799F">
      <w:pPr>
        <w:rPr>
          <w:rFonts w:ascii="Times New Roman" w:hAnsi="Times New Roman" w:cs="Times New Roman"/>
          <w:b/>
          <w:bCs/>
          <w:sz w:val="24"/>
          <w:szCs w:val="24"/>
        </w:rPr>
      </w:pPr>
    </w:p>
    <w:p w14:paraId="7B838811">
      <w:pPr>
        <w:rPr>
          <w:rFonts w:ascii="Times New Roman" w:hAnsi="Times New Roman" w:cs="Times New Roman"/>
          <w:b/>
          <w:bCs/>
          <w:sz w:val="24"/>
          <w:szCs w:val="24"/>
        </w:rPr>
      </w:pPr>
    </w:p>
    <w:p w14:paraId="5449B076">
      <w:pPr>
        <w:rPr>
          <w:rFonts w:ascii="Times New Roman" w:hAnsi="Times New Roman" w:cs="Times New Roman"/>
          <w:b/>
          <w:bCs/>
          <w:sz w:val="24"/>
          <w:szCs w:val="24"/>
        </w:rPr>
      </w:pPr>
    </w:p>
    <w:p w14:paraId="49481779">
      <w:pPr>
        <w:rPr>
          <w:rFonts w:ascii="Times New Roman" w:hAnsi="Times New Roman" w:cs="Times New Roman"/>
          <w:b/>
          <w:bCs/>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2617"/>
        <w:gridCol w:w="2158"/>
        <w:gridCol w:w="1627"/>
        <w:gridCol w:w="1228"/>
        <w:gridCol w:w="876"/>
      </w:tblGrid>
      <w:tr w14:paraId="29E2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127" w:type="dxa"/>
          </w:tcPr>
          <w:p w14:paraId="3EE6FA6D">
            <w:pPr>
              <w:widowControl w:val="0"/>
              <w:jc w:val="both"/>
              <w:rPr>
                <w:rFonts w:ascii="Times New Roman" w:hAnsi="Times New Roman" w:cs="Times New Roman"/>
                <w:b/>
                <w:bCs/>
                <w:sz w:val="24"/>
                <w:szCs w:val="24"/>
              </w:rPr>
            </w:pPr>
            <w:r>
              <w:rPr>
                <w:rFonts w:ascii="Times New Roman" w:hAnsi="Times New Roman" w:cs="Times New Roman"/>
                <w:b/>
                <w:bCs/>
                <w:sz w:val="24"/>
                <w:szCs w:val="24"/>
              </w:rPr>
              <w:t>S.No.</w:t>
            </w:r>
          </w:p>
        </w:tc>
        <w:tc>
          <w:tcPr>
            <w:tcW w:w="2897" w:type="dxa"/>
          </w:tcPr>
          <w:p w14:paraId="4A5B21DE">
            <w:pPr>
              <w:widowControl w:val="0"/>
              <w:jc w:val="both"/>
              <w:rPr>
                <w:rFonts w:ascii="Times New Roman" w:hAnsi="Times New Roman" w:cs="Times New Roman"/>
                <w:b/>
                <w:bCs/>
                <w:sz w:val="24"/>
                <w:szCs w:val="24"/>
              </w:rPr>
            </w:pPr>
            <w:r>
              <w:rPr>
                <w:rFonts w:ascii="Times New Roman" w:hAnsi="Times New Roman" w:cs="Times New Roman"/>
                <w:b/>
                <w:bCs/>
                <w:sz w:val="24"/>
                <w:szCs w:val="24"/>
              </w:rPr>
              <w:t>Variable</w:t>
            </w:r>
          </w:p>
        </w:tc>
        <w:tc>
          <w:tcPr>
            <w:tcW w:w="2296" w:type="dxa"/>
          </w:tcPr>
          <w:p w14:paraId="05328EF1">
            <w:pPr>
              <w:widowControl w:val="0"/>
              <w:jc w:val="both"/>
              <w:rPr>
                <w:rFonts w:ascii="Times New Roman" w:hAnsi="Times New Roman" w:cs="Times New Roman"/>
                <w:b/>
                <w:bCs/>
                <w:sz w:val="24"/>
                <w:szCs w:val="24"/>
              </w:rPr>
            </w:pPr>
            <w:r>
              <w:rPr>
                <w:rFonts w:ascii="Times New Roman" w:hAnsi="Times New Roman" w:eastAsia="SimSun" w:cs="Times New Roman"/>
                <w:b/>
                <w:bCs/>
                <w:sz w:val="24"/>
                <w:szCs w:val="24"/>
              </w:rPr>
              <w:t>Group A (Myofascial Release)</w:t>
            </w:r>
          </w:p>
        </w:tc>
        <w:tc>
          <w:tcPr>
            <w:tcW w:w="1632" w:type="dxa"/>
          </w:tcPr>
          <w:p w14:paraId="19719275">
            <w:pPr>
              <w:widowControl w:val="0"/>
              <w:jc w:val="both"/>
              <w:rPr>
                <w:rFonts w:ascii="Times New Roman" w:hAnsi="Times New Roman" w:cs="Times New Roman"/>
                <w:b/>
                <w:bCs/>
                <w:sz w:val="24"/>
                <w:szCs w:val="24"/>
              </w:rPr>
            </w:pPr>
            <w:r>
              <w:rPr>
                <w:rFonts w:ascii="Times New Roman" w:hAnsi="Times New Roman" w:eastAsia="SimSun" w:cs="Times New Roman"/>
                <w:b/>
                <w:bCs/>
                <w:sz w:val="24"/>
                <w:szCs w:val="24"/>
              </w:rPr>
              <w:t>Group B (Cryostretch)</w:t>
            </w:r>
          </w:p>
        </w:tc>
        <w:tc>
          <w:tcPr>
            <w:tcW w:w="1257" w:type="dxa"/>
          </w:tcPr>
          <w:p w14:paraId="160F0F7F">
            <w:pPr>
              <w:widowControl w:val="0"/>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Group C (Kinesio Taping)</w:t>
            </w:r>
          </w:p>
        </w:tc>
        <w:tc>
          <w:tcPr>
            <w:tcW w:w="367" w:type="dxa"/>
          </w:tcPr>
          <w:p w14:paraId="17260DE9">
            <w:pPr>
              <w:widowControl w:val="0"/>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t-value</w:t>
            </w:r>
          </w:p>
        </w:tc>
      </w:tr>
      <w:tr w14:paraId="687F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127" w:type="dxa"/>
          </w:tcPr>
          <w:p w14:paraId="67571C55">
            <w:pPr>
              <w:widowControl w:val="0"/>
              <w:jc w:val="both"/>
              <w:rPr>
                <w:rFonts w:ascii="Times New Roman" w:hAnsi="Times New Roman" w:cs="Times New Roman"/>
                <w:b/>
                <w:bCs/>
                <w:sz w:val="24"/>
                <w:szCs w:val="24"/>
              </w:rPr>
            </w:pPr>
          </w:p>
        </w:tc>
        <w:tc>
          <w:tcPr>
            <w:tcW w:w="2897" w:type="dxa"/>
          </w:tcPr>
          <w:p w14:paraId="40793F32">
            <w:pPr>
              <w:widowControl w:val="0"/>
              <w:jc w:val="both"/>
              <w:rPr>
                <w:rFonts w:ascii="Times New Roman" w:hAnsi="Times New Roman" w:cs="Times New Roman"/>
                <w:b/>
                <w:bCs/>
                <w:sz w:val="24"/>
                <w:szCs w:val="24"/>
              </w:rPr>
            </w:pPr>
          </w:p>
        </w:tc>
        <w:tc>
          <w:tcPr>
            <w:tcW w:w="2296" w:type="dxa"/>
          </w:tcPr>
          <w:p w14:paraId="2E824DAB">
            <w:pPr>
              <w:widowControl w:val="0"/>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Mean ± SD</w:t>
            </w:r>
          </w:p>
        </w:tc>
        <w:tc>
          <w:tcPr>
            <w:tcW w:w="1632" w:type="dxa"/>
          </w:tcPr>
          <w:p w14:paraId="2A1AD1F2">
            <w:pPr>
              <w:widowControl w:val="0"/>
              <w:jc w:val="both"/>
              <w:rPr>
                <w:rFonts w:ascii="Times New Roman" w:hAnsi="Times New Roman" w:cs="Times New Roman"/>
                <w:b/>
                <w:bCs/>
                <w:sz w:val="24"/>
                <w:szCs w:val="24"/>
              </w:rPr>
            </w:pPr>
            <w:r>
              <w:rPr>
                <w:rFonts w:ascii="Times New Roman" w:hAnsi="Times New Roman" w:eastAsia="SimSun" w:cs="Times New Roman"/>
                <w:b/>
                <w:bCs/>
                <w:sz w:val="24"/>
                <w:szCs w:val="24"/>
              </w:rPr>
              <w:t>Mean ± SD</w:t>
            </w:r>
          </w:p>
        </w:tc>
        <w:tc>
          <w:tcPr>
            <w:tcW w:w="1257" w:type="dxa"/>
          </w:tcPr>
          <w:p w14:paraId="7DE91681">
            <w:pPr>
              <w:widowControl w:val="0"/>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Mean ± SD</w:t>
            </w:r>
          </w:p>
        </w:tc>
        <w:tc>
          <w:tcPr>
            <w:tcW w:w="367" w:type="dxa"/>
          </w:tcPr>
          <w:p w14:paraId="4C36F62C">
            <w:pPr>
              <w:widowControl w:val="0"/>
              <w:jc w:val="both"/>
              <w:rPr>
                <w:rFonts w:ascii="Times New Roman" w:hAnsi="Times New Roman" w:eastAsia="SimSun" w:cs="Times New Roman"/>
                <w:b/>
                <w:bCs/>
                <w:sz w:val="24"/>
                <w:szCs w:val="24"/>
              </w:rPr>
            </w:pPr>
          </w:p>
        </w:tc>
      </w:tr>
      <w:tr w14:paraId="16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3B8314A9">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2897" w:type="dxa"/>
          </w:tcPr>
          <w:p w14:paraId="3C266183">
            <w:pPr>
              <w:widowControl w:val="0"/>
              <w:jc w:val="both"/>
              <w:rPr>
                <w:rFonts w:ascii="Times New Roman" w:hAnsi="Times New Roman" w:cs="Times New Roman"/>
                <w:sz w:val="24"/>
                <w:szCs w:val="24"/>
              </w:rPr>
            </w:pPr>
            <w:r>
              <w:rPr>
                <w:rFonts w:ascii="Times New Roman" w:hAnsi="Times New Roman" w:cs="Times New Roman"/>
                <w:sz w:val="24"/>
                <w:szCs w:val="24"/>
              </w:rPr>
              <w:t>VAS</w:t>
            </w:r>
          </w:p>
        </w:tc>
        <w:tc>
          <w:tcPr>
            <w:tcW w:w="2296" w:type="dxa"/>
          </w:tcPr>
          <w:p w14:paraId="6C14757E">
            <w:pPr>
              <w:widowControl w:val="0"/>
              <w:ind w:firstLine="480" w:firstLineChars="2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w:t>
            </w:r>
            <w:r>
              <w:rPr>
                <w:rFonts w:ascii="Times New Roman" w:hAnsi="Times New Roman" w:cs="Times New Roman"/>
                <w:sz w:val="24"/>
                <w:szCs w:val="24"/>
              </w:rPr>
              <w:t>.2</w:t>
            </w:r>
            <w:r>
              <w:rPr>
                <w:rFonts w:ascii="Times New Roman" w:hAnsi="Times New Roman" w:eastAsia="SimSun" w:cs="Times New Roman"/>
                <w:sz w:val="24"/>
                <w:szCs w:val="24"/>
              </w:rPr>
              <w:t xml:space="preserve"> ±0.</w:t>
            </w:r>
            <w:r>
              <w:rPr>
                <w:rFonts w:hint="default" w:ascii="Times New Roman" w:hAnsi="Times New Roman" w:eastAsia="SimSun" w:cs="Times New Roman"/>
                <w:sz w:val="24"/>
                <w:szCs w:val="24"/>
                <w:lang w:val="en-US"/>
              </w:rPr>
              <w:t>9</w:t>
            </w:r>
          </w:p>
        </w:tc>
        <w:tc>
          <w:tcPr>
            <w:tcW w:w="1632" w:type="dxa"/>
          </w:tcPr>
          <w:p w14:paraId="575A6FF5">
            <w:pPr>
              <w:widowControl w:val="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6.7</w:t>
            </w:r>
            <w:r>
              <w:rPr>
                <w:rFonts w:ascii="Times New Roman" w:hAnsi="Times New Roman" w:eastAsia="SimSun" w:cs="Times New Roman"/>
                <w:sz w:val="24"/>
                <w:szCs w:val="24"/>
              </w:rPr>
              <w:t xml:space="preserve"> ±1.</w:t>
            </w:r>
            <w:r>
              <w:rPr>
                <w:rFonts w:hint="default" w:ascii="Times New Roman" w:hAnsi="Times New Roman" w:eastAsia="SimSun" w:cs="Times New Roman"/>
                <w:sz w:val="24"/>
                <w:szCs w:val="24"/>
                <w:lang w:val="en-US"/>
              </w:rPr>
              <w:t>8</w:t>
            </w:r>
          </w:p>
        </w:tc>
        <w:tc>
          <w:tcPr>
            <w:tcW w:w="1257" w:type="dxa"/>
          </w:tcPr>
          <w:p w14:paraId="6FEE2EB2">
            <w:pPr>
              <w:widowControl w:val="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5.6</w:t>
            </w:r>
            <w:r>
              <w:rPr>
                <w:rFonts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1.2</w:t>
            </w:r>
          </w:p>
        </w:tc>
        <w:tc>
          <w:tcPr>
            <w:tcW w:w="367" w:type="dxa"/>
          </w:tcPr>
          <w:p w14:paraId="62C4C9AD">
            <w:pPr>
              <w:widowControl w:val="0"/>
              <w:jc w:val="both"/>
              <w:rPr>
                <w:rFonts w:ascii="Times New Roman" w:hAnsi="Times New Roman" w:cs="Times New Roman"/>
                <w:sz w:val="24"/>
                <w:szCs w:val="24"/>
              </w:rPr>
            </w:pPr>
            <w:r>
              <w:rPr>
                <w:rFonts w:hint="default" w:ascii="Times New Roman" w:hAnsi="Times New Roman" w:cs="Times New Roman"/>
                <w:sz w:val="24"/>
                <w:szCs w:val="24"/>
                <w:lang w:val="en-US"/>
              </w:rPr>
              <w:t>0.0087</w:t>
            </w:r>
          </w:p>
        </w:tc>
      </w:tr>
      <w:tr w14:paraId="50FE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553B7BC9">
            <w:pPr>
              <w:widowControl w:val="0"/>
              <w:jc w:val="both"/>
              <w:rPr>
                <w:rFonts w:ascii="Times New Roman" w:hAnsi="Times New Roman" w:cs="Times New Roman"/>
                <w:sz w:val="24"/>
                <w:szCs w:val="24"/>
              </w:rPr>
            </w:pPr>
            <w:r>
              <w:rPr>
                <w:rFonts w:ascii="Times New Roman" w:hAnsi="Times New Roman" w:cs="Times New Roman"/>
                <w:sz w:val="24"/>
                <w:szCs w:val="24"/>
              </w:rPr>
              <w:t>2</w:t>
            </w:r>
          </w:p>
        </w:tc>
        <w:tc>
          <w:tcPr>
            <w:tcW w:w="2897" w:type="dxa"/>
          </w:tcPr>
          <w:p w14:paraId="7E4460C8">
            <w:pPr>
              <w:widowControl w:val="0"/>
              <w:jc w:val="both"/>
              <w:rPr>
                <w:rFonts w:ascii="Times New Roman" w:hAnsi="Times New Roman" w:cs="Times New Roman"/>
                <w:sz w:val="24"/>
                <w:szCs w:val="24"/>
              </w:rPr>
            </w:pPr>
            <w:r>
              <w:rPr>
                <w:rFonts w:ascii="Times New Roman" w:hAnsi="Times New Roman" w:cs="Times New Roman"/>
                <w:sz w:val="24"/>
                <w:szCs w:val="24"/>
              </w:rPr>
              <w:t>Cervical ROM(Rt flexion)</w:t>
            </w:r>
          </w:p>
        </w:tc>
        <w:tc>
          <w:tcPr>
            <w:tcW w:w="2296" w:type="dxa"/>
          </w:tcPr>
          <w:p w14:paraId="1A7B1B0E">
            <w:pPr>
              <w:widowControl w:val="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4.7</w:t>
            </w:r>
            <w:r>
              <w:rPr>
                <w:rFonts w:ascii="Times New Roman" w:hAnsi="Times New Roman" w:cs="Times New Roman"/>
                <w:sz w:val="24"/>
                <w:szCs w:val="24"/>
              </w:rPr>
              <w:t xml:space="preserve"> </w:t>
            </w:r>
            <w:r>
              <w:rPr>
                <w:rFonts w:ascii="Times New Roman" w:hAnsi="Times New Roman" w:eastAsia="SimSun" w:cs="Times New Roman"/>
                <w:sz w:val="24"/>
                <w:szCs w:val="24"/>
              </w:rPr>
              <w:t>±0.</w:t>
            </w:r>
            <w:r>
              <w:rPr>
                <w:rFonts w:hint="default" w:ascii="Times New Roman" w:hAnsi="Times New Roman" w:eastAsia="SimSun" w:cs="Times New Roman"/>
                <w:sz w:val="24"/>
                <w:szCs w:val="24"/>
                <w:lang w:val="en-US"/>
              </w:rPr>
              <w:t>8</w:t>
            </w:r>
          </w:p>
        </w:tc>
        <w:tc>
          <w:tcPr>
            <w:tcW w:w="1632" w:type="dxa"/>
          </w:tcPr>
          <w:p w14:paraId="3B5BEEFB">
            <w:pPr>
              <w:widowControl w:val="0"/>
              <w:jc w:val="both"/>
              <w:rPr>
                <w:rFonts w:hint="default" w:ascii="Times New Roman" w:hAnsi="Times New Roman" w:cs="Times New Roman"/>
                <w:sz w:val="24"/>
                <w:szCs w:val="24"/>
                <w:lang w:val="en-US"/>
              </w:rPr>
            </w:pPr>
            <w:r>
              <w:rPr>
                <w:rFonts w:ascii="Times New Roman" w:hAnsi="Times New Roman" w:cs="Times New Roman"/>
                <w:sz w:val="24"/>
                <w:szCs w:val="24"/>
              </w:rPr>
              <w:t>4.</w:t>
            </w:r>
            <w:r>
              <w:rPr>
                <w:rFonts w:hint="default" w:ascii="Times New Roman" w:hAnsi="Times New Roman" w:cs="Times New Roman"/>
                <w:sz w:val="24"/>
                <w:szCs w:val="24"/>
                <w:lang w:val="en-US"/>
              </w:rPr>
              <w:t>2</w:t>
            </w:r>
            <w:r>
              <w:rPr>
                <w:rFonts w:ascii="Times New Roman" w:hAnsi="Times New Roman" w:eastAsia="SimSun" w:cs="Times New Roman"/>
                <w:sz w:val="24"/>
                <w:szCs w:val="24"/>
              </w:rPr>
              <w:t xml:space="preserve"> ±1.</w:t>
            </w:r>
            <w:r>
              <w:rPr>
                <w:rFonts w:hint="default" w:ascii="Times New Roman" w:hAnsi="Times New Roman" w:eastAsia="SimSun" w:cs="Times New Roman"/>
                <w:sz w:val="24"/>
                <w:szCs w:val="24"/>
                <w:lang w:val="en-US"/>
              </w:rPr>
              <w:t>9</w:t>
            </w:r>
          </w:p>
        </w:tc>
        <w:tc>
          <w:tcPr>
            <w:tcW w:w="1257" w:type="dxa"/>
          </w:tcPr>
          <w:p w14:paraId="6F54A98C">
            <w:pPr>
              <w:widowControl w:val="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3.9</w:t>
            </w:r>
            <w:r>
              <w:rPr>
                <w:rFonts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1.6</w:t>
            </w:r>
          </w:p>
        </w:tc>
        <w:tc>
          <w:tcPr>
            <w:tcW w:w="367" w:type="dxa"/>
          </w:tcPr>
          <w:p w14:paraId="2EFFA13D">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1.876</w:t>
            </w:r>
            <w:r>
              <w:rPr>
                <w:rFonts w:ascii="Times New Roman" w:hAnsi="Times New Roman" w:eastAsia="SimSun" w:cs="Times New Roman"/>
                <w:sz w:val="24"/>
                <w:szCs w:val="24"/>
              </w:rPr>
              <w:t>*</w:t>
            </w:r>
          </w:p>
        </w:tc>
      </w:tr>
      <w:tr w14:paraId="14DB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4EB00A6F">
            <w:pPr>
              <w:widowControl w:val="0"/>
              <w:jc w:val="both"/>
              <w:rPr>
                <w:rFonts w:ascii="Times New Roman" w:hAnsi="Times New Roman" w:cs="Times New Roman"/>
                <w:sz w:val="24"/>
                <w:szCs w:val="24"/>
              </w:rPr>
            </w:pPr>
            <w:r>
              <w:rPr>
                <w:rFonts w:ascii="Times New Roman" w:hAnsi="Times New Roman" w:cs="Times New Roman"/>
                <w:sz w:val="24"/>
                <w:szCs w:val="24"/>
              </w:rPr>
              <w:t>3</w:t>
            </w:r>
          </w:p>
        </w:tc>
        <w:tc>
          <w:tcPr>
            <w:tcW w:w="2897" w:type="dxa"/>
          </w:tcPr>
          <w:p w14:paraId="0B638D4F">
            <w:pPr>
              <w:widowControl w:val="0"/>
              <w:jc w:val="both"/>
              <w:rPr>
                <w:rFonts w:ascii="Times New Roman" w:hAnsi="Times New Roman" w:cs="Times New Roman"/>
                <w:sz w:val="24"/>
                <w:szCs w:val="24"/>
              </w:rPr>
            </w:pPr>
            <w:r>
              <w:rPr>
                <w:rFonts w:ascii="Times New Roman" w:hAnsi="Times New Roman" w:cs="Times New Roman"/>
                <w:sz w:val="24"/>
                <w:szCs w:val="24"/>
              </w:rPr>
              <w:t>Cervical ROM(Lt flexion)</w:t>
            </w:r>
          </w:p>
        </w:tc>
        <w:tc>
          <w:tcPr>
            <w:tcW w:w="2296" w:type="dxa"/>
          </w:tcPr>
          <w:p w14:paraId="510BAA24">
            <w:pPr>
              <w:widowControl w:val="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4.0</w:t>
            </w:r>
            <w:r>
              <w:rPr>
                <w:rFonts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1.5</w:t>
            </w:r>
          </w:p>
        </w:tc>
        <w:tc>
          <w:tcPr>
            <w:tcW w:w="1632" w:type="dxa"/>
          </w:tcPr>
          <w:p w14:paraId="7A9610B9">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r>
              <w:rPr>
                <w:rFonts w:ascii="Times New Roman" w:hAnsi="Times New Roman" w:cs="Times New Roman"/>
                <w:sz w:val="24"/>
                <w:szCs w:val="24"/>
              </w:rPr>
              <w:t>.</w:t>
            </w:r>
            <w:r>
              <w:rPr>
                <w:rFonts w:hint="default" w:ascii="Times New Roman" w:hAnsi="Times New Roman" w:cs="Times New Roman"/>
                <w:sz w:val="24"/>
                <w:szCs w:val="24"/>
                <w:lang w:val="en-US"/>
              </w:rPr>
              <w:t>3</w:t>
            </w:r>
            <w:r>
              <w:rPr>
                <w:rFonts w:ascii="Times New Roman" w:hAnsi="Times New Roman" w:eastAsia="SimSun" w:cs="Times New Roman"/>
                <w:sz w:val="24"/>
                <w:szCs w:val="24"/>
              </w:rPr>
              <w:t>±1.</w:t>
            </w:r>
            <w:r>
              <w:rPr>
                <w:rFonts w:hint="default" w:ascii="Times New Roman" w:hAnsi="Times New Roman" w:eastAsia="SimSun" w:cs="Times New Roman"/>
                <w:sz w:val="24"/>
                <w:szCs w:val="24"/>
                <w:lang w:val="en-US"/>
              </w:rPr>
              <w:t>7</w:t>
            </w:r>
          </w:p>
        </w:tc>
        <w:tc>
          <w:tcPr>
            <w:tcW w:w="1257" w:type="dxa"/>
          </w:tcPr>
          <w:p w14:paraId="5343FBEF">
            <w:pPr>
              <w:widowControl w:val="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3</w:t>
            </w:r>
            <w:r>
              <w:rPr>
                <w:rFonts w:ascii="Times New Roman" w:hAnsi="Times New Roman" w:eastAsia="SimSun" w:cs="Times New Roman"/>
                <w:sz w:val="24"/>
                <w:szCs w:val="24"/>
              </w:rPr>
              <w:t>.8 ±</w:t>
            </w:r>
            <w:r>
              <w:rPr>
                <w:rFonts w:hint="default" w:ascii="Times New Roman" w:hAnsi="Times New Roman" w:eastAsia="SimSun" w:cs="Times New Roman"/>
                <w:sz w:val="24"/>
                <w:szCs w:val="24"/>
                <w:lang w:val="en-US"/>
              </w:rPr>
              <w:t>1.2</w:t>
            </w:r>
          </w:p>
        </w:tc>
        <w:tc>
          <w:tcPr>
            <w:tcW w:w="367" w:type="dxa"/>
          </w:tcPr>
          <w:p w14:paraId="7D057C90">
            <w:pPr>
              <w:widowControl w:val="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1.976</w:t>
            </w:r>
            <w:r>
              <w:rPr>
                <w:rFonts w:ascii="Times New Roman" w:hAnsi="Times New Roman" w:cs="Times New Roman"/>
                <w:sz w:val="24"/>
                <w:szCs w:val="24"/>
              </w:rPr>
              <w:t>*</w:t>
            </w:r>
          </w:p>
        </w:tc>
      </w:tr>
    </w:tbl>
    <w:p w14:paraId="5AB6ABC2">
      <w:pPr>
        <w:rPr>
          <w:rFonts w:ascii="Times New Roman" w:hAnsi="Times New Roman" w:cs="Times New Roman"/>
          <w:sz w:val="24"/>
          <w:szCs w:val="24"/>
        </w:rPr>
      </w:pPr>
    </w:p>
    <w:p w14:paraId="2AC5A8F1">
      <w:pPr>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hint="default" w:ascii="Times New Roman" w:hAnsi="Times New Roman" w:cs="Times New Roman"/>
          <w:b/>
          <w:bCs/>
          <w:sz w:val="24"/>
          <w:szCs w:val="24"/>
          <w:lang w:val="en-US"/>
        </w:rPr>
        <w:t>2</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 xml:space="preserve">Post-Treatment </w:t>
      </w:r>
      <w:r>
        <w:rPr>
          <w:rFonts w:ascii="Times New Roman" w:hAnsi="Times New Roman" w:cs="Times New Roman"/>
          <w:b/>
          <w:bCs/>
          <w:sz w:val="24"/>
          <w:szCs w:val="24"/>
        </w:rPr>
        <w:t>Comparison of VAS and Cervical ROM (Right &amp; Left Flexion)</w:t>
      </w:r>
    </w:p>
    <w:p w14:paraId="2C9BDB4C">
      <w:pPr>
        <w:rPr>
          <w:rFonts w:ascii="Times New Roman" w:hAnsi="Times New Roman" w:cs="Times New Roman"/>
          <w:b/>
          <w:bCs/>
          <w:sz w:val="24"/>
          <w:szCs w:val="24"/>
        </w:rPr>
      </w:pPr>
    </w:p>
    <w:tbl>
      <w:tblPr>
        <w:tblStyle w:val="14"/>
        <w:tblpPr w:leftFromText="180" w:rightFromText="180" w:vertAnchor="text" w:horzAnchor="page" w:tblpX="1437"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551"/>
        <w:gridCol w:w="2126"/>
        <w:gridCol w:w="1626"/>
        <w:gridCol w:w="1221"/>
        <w:gridCol w:w="996"/>
      </w:tblGrid>
      <w:tr w14:paraId="4CCD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056" w:type="dxa"/>
          </w:tcPr>
          <w:p w14:paraId="10FCEBA5">
            <w:pPr>
              <w:widowControl w:val="0"/>
              <w:jc w:val="both"/>
              <w:rPr>
                <w:rFonts w:ascii="Times New Roman" w:hAnsi="Times New Roman" w:cs="Times New Roman"/>
                <w:b/>
                <w:bCs/>
                <w:sz w:val="24"/>
                <w:szCs w:val="24"/>
              </w:rPr>
            </w:pPr>
            <w:r>
              <w:rPr>
                <w:rFonts w:ascii="Times New Roman" w:hAnsi="Times New Roman" w:cs="Times New Roman"/>
                <w:b/>
                <w:bCs/>
                <w:sz w:val="24"/>
                <w:szCs w:val="24"/>
              </w:rPr>
              <w:t>S.No.</w:t>
            </w:r>
          </w:p>
        </w:tc>
        <w:tc>
          <w:tcPr>
            <w:tcW w:w="2551" w:type="dxa"/>
          </w:tcPr>
          <w:p w14:paraId="3CAA6256">
            <w:pPr>
              <w:widowControl w:val="0"/>
              <w:jc w:val="both"/>
              <w:rPr>
                <w:rFonts w:ascii="Times New Roman" w:hAnsi="Times New Roman" w:cs="Times New Roman"/>
                <w:b/>
                <w:bCs/>
                <w:sz w:val="24"/>
                <w:szCs w:val="24"/>
              </w:rPr>
            </w:pPr>
            <w:r>
              <w:rPr>
                <w:rFonts w:ascii="Times New Roman" w:hAnsi="Times New Roman" w:cs="Times New Roman"/>
                <w:b/>
                <w:bCs/>
                <w:sz w:val="24"/>
                <w:szCs w:val="24"/>
              </w:rPr>
              <w:t>Variable</w:t>
            </w:r>
          </w:p>
        </w:tc>
        <w:tc>
          <w:tcPr>
            <w:tcW w:w="2126" w:type="dxa"/>
          </w:tcPr>
          <w:p w14:paraId="736AA353">
            <w:pPr>
              <w:widowControl w:val="0"/>
              <w:jc w:val="both"/>
              <w:rPr>
                <w:rFonts w:ascii="Times New Roman" w:hAnsi="Times New Roman" w:cs="Times New Roman"/>
                <w:b/>
                <w:bCs/>
                <w:sz w:val="24"/>
                <w:szCs w:val="24"/>
              </w:rPr>
            </w:pPr>
            <w:r>
              <w:rPr>
                <w:rFonts w:ascii="Times New Roman" w:hAnsi="Times New Roman" w:eastAsia="SimSun" w:cs="Times New Roman"/>
                <w:b/>
                <w:bCs/>
                <w:sz w:val="24"/>
                <w:szCs w:val="24"/>
              </w:rPr>
              <w:t>Group A (Myofascial Release)</w:t>
            </w:r>
          </w:p>
        </w:tc>
        <w:tc>
          <w:tcPr>
            <w:tcW w:w="1626" w:type="dxa"/>
          </w:tcPr>
          <w:p w14:paraId="0A7BB8B4">
            <w:pPr>
              <w:widowControl w:val="0"/>
              <w:jc w:val="both"/>
              <w:rPr>
                <w:rFonts w:ascii="Times New Roman" w:hAnsi="Times New Roman" w:cs="Times New Roman"/>
                <w:b/>
                <w:bCs/>
                <w:sz w:val="24"/>
                <w:szCs w:val="24"/>
              </w:rPr>
            </w:pPr>
            <w:r>
              <w:rPr>
                <w:rFonts w:ascii="Times New Roman" w:hAnsi="Times New Roman" w:eastAsia="SimSun" w:cs="Times New Roman"/>
                <w:b/>
                <w:bCs/>
                <w:sz w:val="24"/>
                <w:szCs w:val="24"/>
              </w:rPr>
              <w:t>Group B (Cryostretch)</w:t>
            </w:r>
          </w:p>
        </w:tc>
        <w:tc>
          <w:tcPr>
            <w:tcW w:w="1221" w:type="dxa"/>
          </w:tcPr>
          <w:p w14:paraId="171A623F">
            <w:pPr>
              <w:widowControl w:val="0"/>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Group C (Kinesio Taping)</w:t>
            </w:r>
          </w:p>
        </w:tc>
        <w:tc>
          <w:tcPr>
            <w:tcW w:w="996" w:type="dxa"/>
          </w:tcPr>
          <w:p w14:paraId="10D568E9">
            <w:pPr>
              <w:widowControl w:val="0"/>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t-value</w:t>
            </w:r>
          </w:p>
        </w:tc>
      </w:tr>
      <w:tr w14:paraId="791C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56" w:type="dxa"/>
          </w:tcPr>
          <w:p w14:paraId="6F1D36ED">
            <w:pPr>
              <w:widowControl w:val="0"/>
              <w:jc w:val="both"/>
              <w:rPr>
                <w:rFonts w:ascii="Times New Roman" w:hAnsi="Times New Roman" w:cs="Times New Roman"/>
                <w:b/>
                <w:bCs/>
                <w:sz w:val="24"/>
                <w:szCs w:val="24"/>
              </w:rPr>
            </w:pPr>
          </w:p>
        </w:tc>
        <w:tc>
          <w:tcPr>
            <w:tcW w:w="2551" w:type="dxa"/>
          </w:tcPr>
          <w:p w14:paraId="33838C4F">
            <w:pPr>
              <w:widowControl w:val="0"/>
              <w:jc w:val="both"/>
              <w:rPr>
                <w:rFonts w:ascii="Times New Roman" w:hAnsi="Times New Roman" w:cs="Times New Roman"/>
                <w:b/>
                <w:bCs/>
                <w:sz w:val="24"/>
                <w:szCs w:val="24"/>
              </w:rPr>
            </w:pPr>
          </w:p>
        </w:tc>
        <w:tc>
          <w:tcPr>
            <w:tcW w:w="2126" w:type="dxa"/>
          </w:tcPr>
          <w:p w14:paraId="584B94BD">
            <w:pPr>
              <w:widowControl w:val="0"/>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Mean ± SD</w:t>
            </w:r>
          </w:p>
        </w:tc>
        <w:tc>
          <w:tcPr>
            <w:tcW w:w="1626" w:type="dxa"/>
          </w:tcPr>
          <w:p w14:paraId="3236DC2C">
            <w:pPr>
              <w:widowControl w:val="0"/>
              <w:jc w:val="both"/>
              <w:rPr>
                <w:rFonts w:ascii="Times New Roman" w:hAnsi="Times New Roman" w:cs="Times New Roman"/>
                <w:b/>
                <w:bCs/>
                <w:sz w:val="24"/>
                <w:szCs w:val="24"/>
              </w:rPr>
            </w:pPr>
            <w:r>
              <w:rPr>
                <w:rFonts w:ascii="Times New Roman" w:hAnsi="Times New Roman" w:eastAsia="SimSun" w:cs="Times New Roman"/>
                <w:b/>
                <w:bCs/>
                <w:sz w:val="24"/>
                <w:szCs w:val="24"/>
              </w:rPr>
              <w:t>Mean ± SD</w:t>
            </w:r>
          </w:p>
        </w:tc>
        <w:tc>
          <w:tcPr>
            <w:tcW w:w="1221" w:type="dxa"/>
          </w:tcPr>
          <w:p w14:paraId="72E6D4CD">
            <w:pPr>
              <w:widowControl w:val="0"/>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Mean ± SD</w:t>
            </w:r>
          </w:p>
        </w:tc>
        <w:tc>
          <w:tcPr>
            <w:tcW w:w="996" w:type="dxa"/>
          </w:tcPr>
          <w:p w14:paraId="2D8794C7">
            <w:pPr>
              <w:widowControl w:val="0"/>
              <w:jc w:val="both"/>
              <w:rPr>
                <w:rFonts w:ascii="Times New Roman" w:hAnsi="Times New Roman" w:eastAsia="SimSun" w:cs="Times New Roman"/>
                <w:b/>
                <w:bCs/>
                <w:sz w:val="24"/>
                <w:szCs w:val="24"/>
              </w:rPr>
            </w:pPr>
          </w:p>
        </w:tc>
      </w:tr>
      <w:tr w14:paraId="0FA3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4A01AA4">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2551" w:type="dxa"/>
          </w:tcPr>
          <w:p w14:paraId="55F905AF">
            <w:pPr>
              <w:widowControl w:val="0"/>
              <w:jc w:val="both"/>
              <w:rPr>
                <w:rFonts w:ascii="Times New Roman" w:hAnsi="Times New Roman" w:cs="Times New Roman"/>
                <w:sz w:val="24"/>
                <w:szCs w:val="24"/>
              </w:rPr>
            </w:pPr>
            <w:r>
              <w:rPr>
                <w:rFonts w:ascii="Times New Roman" w:hAnsi="Times New Roman" w:cs="Times New Roman"/>
                <w:sz w:val="24"/>
                <w:szCs w:val="24"/>
              </w:rPr>
              <w:t>VAS</w:t>
            </w:r>
          </w:p>
        </w:tc>
        <w:tc>
          <w:tcPr>
            <w:tcW w:w="2126" w:type="dxa"/>
          </w:tcPr>
          <w:p w14:paraId="2CBFA775">
            <w:pPr>
              <w:widowControl w:val="0"/>
              <w:ind w:firstLine="480" w:firstLineChars="20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eastAsia="SimSun" w:cs="Times New Roman"/>
                <w:sz w:val="24"/>
                <w:szCs w:val="24"/>
              </w:rPr>
              <w:t xml:space="preserve"> ±0.6</w:t>
            </w:r>
          </w:p>
        </w:tc>
        <w:tc>
          <w:tcPr>
            <w:tcW w:w="1626" w:type="dxa"/>
          </w:tcPr>
          <w:p w14:paraId="6E16C6AC">
            <w:pPr>
              <w:widowControl w:val="0"/>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eastAsia="SimSun" w:cs="Times New Roman"/>
                <w:sz w:val="24"/>
                <w:szCs w:val="24"/>
              </w:rPr>
              <w:t xml:space="preserve"> ±1.4</w:t>
            </w:r>
          </w:p>
        </w:tc>
        <w:tc>
          <w:tcPr>
            <w:tcW w:w="1221" w:type="dxa"/>
          </w:tcPr>
          <w:p w14:paraId="60B850C8">
            <w:pPr>
              <w:widowControl w:val="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eastAsia="SimSun" w:cs="Times New Roman"/>
                <w:sz w:val="24"/>
                <w:szCs w:val="24"/>
              </w:rPr>
              <w:t xml:space="preserve"> ±0.4</w:t>
            </w:r>
          </w:p>
        </w:tc>
        <w:tc>
          <w:tcPr>
            <w:tcW w:w="996" w:type="dxa"/>
          </w:tcPr>
          <w:p w14:paraId="037EF8F6">
            <w:pPr>
              <w:widowControl w:val="0"/>
              <w:jc w:val="both"/>
              <w:rPr>
                <w:rFonts w:ascii="Times New Roman" w:hAnsi="Times New Roman" w:cs="Times New Roman"/>
                <w:sz w:val="24"/>
                <w:szCs w:val="24"/>
              </w:rPr>
            </w:pPr>
            <w:r>
              <w:rPr>
                <w:rFonts w:ascii="Times New Roman" w:hAnsi="Times New Roman" w:cs="Times New Roman"/>
                <w:sz w:val="24"/>
                <w:szCs w:val="24"/>
              </w:rPr>
              <w:t>1.983*</w:t>
            </w:r>
          </w:p>
        </w:tc>
      </w:tr>
      <w:tr w14:paraId="50EE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72B4EADC">
            <w:pPr>
              <w:widowControl w:val="0"/>
              <w:jc w:val="both"/>
              <w:rPr>
                <w:rFonts w:ascii="Times New Roman" w:hAnsi="Times New Roman" w:cs="Times New Roman"/>
                <w:sz w:val="24"/>
                <w:szCs w:val="24"/>
              </w:rPr>
            </w:pPr>
            <w:r>
              <w:rPr>
                <w:rFonts w:ascii="Times New Roman" w:hAnsi="Times New Roman" w:cs="Times New Roman"/>
                <w:sz w:val="24"/>
                <w:szCs w:val="24"/>
              </w:rPr>
              <w:t>2</w:t>
            </w:r>
          </w:p>
        </w:tc>
        <w:tc>
          <w:tcPr>
            <w:tcW w:w="2551" w:type="dxa"/>
          </w:tcPr>
          <w:p w14:paraId="015C381C">
            <w:pPr>
              <w:widowControl w:val="0"/>
              <w:jc w:val="both"/>
              <w:rPr>
                <w:rFonts w:ascii="Times New Roman" w:hAnsi="Times New Roman" w:cs="Times New Roman"/>
                <w:sz w:val="24"/>
                <w:szCs w:val="24"/>
              </w:rPr>
            </w:pPr>
            <w:r>
              <w:rPr>
                <w:rFonts w:ascii="Times New Roman" w:hAnsi="Times New Roman" w:cs="Times New Roman"/>
                <w:sz w:val="24"/>
                <w:szCs w:val="24"/>
              </w:rPr>
              <w:t>Cervical ROM(Rt flexion)</w:t>
            </w:r>
          </w:p>
        </w:tc>
        <w:tc>
          <w:tcPr>
            <w:tcW w:w="2126" w:type="dxa"/>
          </w:tcPr>
          <w:p w14:paraId="459E697D">
            <w:pPr>
              <w:widowControl w:val="0"/>
              <w:jc w:val="both"/>
              <w:rPr>
                <w:rFonts w:ascii="Times New Roman" w:hAnsi="Times New Roman" w:cs="Times New Roman"/>
                <w:sz w:val="24"/>
                <w:szCs w:val="24"/>
              </w:rPr>
            </w:pPr>
            <w:r>
              <w:rPr>
                <w:rFonts w:ascii="Times New Roman" w:hAnsi="Times New Roman" w:cs="Times New Roman"/>
                <w:sz w:val="24"/>
                <w:szCs w:val="24"/>
              </w:rPr>
              <w:t xml:space="preserve">        5.6 </w:t>
            </w:r>
            <w:r>
              <w:rPr>
                <w:rFonts w:ascii="Times New Roman" w:hAnsi="Times New Roman" w:eastAsia="SimSun" w:cs="Times New Roman"/>
                <w:sz w:val="24"/>
                <w:szCs w:val="24"/>
              </w:rPr>
              <w:t>±0.4</w:t>
            </w:r>
          </w:p>
        </w:tc>
        <w:tc>
          <w:tcPr>
            <w:tcW w:w="1626" w:type="dxa"/>
          </w:tcPr>
          <w:p w14:paraId="0BEAF1E6">
            <w:pPr>
              <w:widowControl w:val="0"/>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eastAsia="SimSun" w:cs="Times New Roman"/>
                <w:sz w:val="24"/>
                <w:szCs w:val="24"/>
              </w:rPr>
              <w:t xml:space="preserve"> ±1.2</w:t>
            </w:r>
          </w:p>
        </w:tc>
        <w:tc>
          <w:tcPr>
            <w:tcW w:w="1221" w:type="dxa"/>
          </w:tcPr>
          <w:p w14:paraId="638027DE">
            <w:pPr>
              <w:widowControl w:val="0"/>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eastAsia="SimSun" w:cs="Times New Roman"/>
                <w:sz w:val="24"/>
                <w:szCs w:val="24"/>
              </w:rPr>
              <w:t xml:space="preserve"> ±0.6</w:t>
            </w:r>
          </w:p>
        </w:tc>
        <w:tc>
          <w:tcPr>
            <w:tcW w:w="996" w:type="dxa"/>
          </w:tcPr>
          <w:p w14:paraId="23DD1C76">
            <w:pPr>
              <w:widowControl w:val="0"/>
              <w:jc w:val="both"/>
              <w:rPr>
                <w:rFonts w:ascii="Times New Roman" w:hAnsi="Times New Roman" w:cs="Times New Roman"/>
                <w:sz w:val="24"/>
                <w:szCs w:val="24"/>
              </w:rPr>
            </w:pPr>
            <w:r>
              <w:rPr>
                <w:rFonts w:ascii="Times New Roman" w:hAnsi="Times New Roman" w:cs="Times New Roman"/>
                <w:sz w:val="24"/>
                <w:szCs w:val="24"/>
              </w:rPr>
              <w:t>2.480**</w:t>
            </w:r>
          </w:p>
        </w:tc>
      </w:tr>
      <w:tr w14:paraId="664F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34A5035">
            <w:pPr>
              <w:widowControl w:val="0"/>
              <w:jc w:val="both"/>
              <w:rPr>
                <w:rFonts w:ascii="Times New Roman" w:hAnsi="Times New Roman" w:cs="Times New Roman"/>
                <w:sz w:val="24"/>
                <w:szCs w:val="24"/>
              </w:rPr>
            </w:pPr>
            <w:r>
              <w:rPr>
                <w:rFonts w:ascii="Times New Roman" w:hAnsi="Times New Roman" w:cs="Times New Roman"/>
                <w:sz w:val="24"/>
                <w:szCs w:val="24"/>
              </w:rPr>
              <w:t>3</w:t>
            </w:r>
          </w:p>
        </w:tc>
        <w:tc>
          <w:tcPr>
            <w:tcW w:w="2551" w:type="dxa"/>
          </w:tcPr>
          <w:p w14:paraId="71C6DAC2">
            <w:pPr>
              <w:widowControl w:val="0"/>
              <w:jc w:val="both"/>
              <w:rPr>
                <w:rFonts w:ascii="Times New Roman" w:hAnsi="Times New Roman" w:cs="Times New Roman"/>
                <w:sz w:val="24"/>
                <w:szCs w:val="24"/>
              </w:rPr>
            </w:pPr>
            <w:r>
              <w:rPr>
                <w:rFonts w:ascii="Times New Roman" w:hAnsi="Times New Roman" w:cs="Times New Roman"/>
                <w:sz w:val="24"/>
                <w:szCs w:val="24"/>
              </w:rPr>
              <w:t>Cervical ROM(Lt flexion)</w:t>
            </w:r>
          </w:p>
        </w:tc>
        <w:tc>
          <w:tcPr>
            <w:tcW w:w="2126" w:type="dxa"/>
          </w:tcPr>
          <w:p w14:paraId="55D8656B">
            <w:pPr>
              <w:widowControl w:val="0"/>
              <w:jc w:val="both"/>
              <w:rPr>
                <w:rFonts w:ascii="Times New Roman" w:hAnsi="Times New Roman" w:cs="Times New Roman"/>
                <w:sz w:val="24"/>
                <w:szCs w:val="24"/>
              </w:rPr>
            </w:pPr>
            <w:r>
              <w:rPr>
                <w:rFonts w:ascii="Times New Roman" w:hAnsi="Times New Roman" w:cs="Times New Roman"/>
                <w:sz w:val="24"/>
                <w:szCs w:val="24"/>
              </w:rPr>
              <w:t xml:space="preserve">        4.8</w:t>
            </w:r>
            <w:r>
              <w:rPr>
                <w:rFonts w:ascii="Times New Roman" w:hAnsi="Times New Roman" w:eastAsia="SimSun" w:cs="Times New Roman"/>
                <w:sz w:val="24"/>
                <w:szCs w:val="24"/>
              </w:rPr>
              <w:t xml:space="preserve"> ±0.8</w:t>
            </w:r>
          </w:p>
        </w:tc>
        <w:tc>
          <w:tcPr>
            <w:tcW w:w="1626" w:type="dxa"/>
          </w:tcPr>
          <w:p w14:paraId="099A9E94">
            <w:pPr>
              <w:widowControl w:val="0"/>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eastAsia="SimSun" w:cs="Times New Roman"/>
                <w:sz w:val="24"/>
                <w:szCs w:val="24"/>
              </w:rPr>
              <w:t xml:space="preserve"> ±1.0</w:t>
            </w:r>
          </w:p>
        </w:tc>
        <w:tc>
          <w:tcPr>
            <w:tcW w:w="1221" w:type="dxa"/>
          </w:tcPr>
          <w:p w14:paraId="389D2747">
            <w:pPr>
              <w:widowControl w:val="0"/>
              <w:jc w:val="both"/>
              <w:rPr>
                <w:rFonts w:ascii="Times New Roman" w:hAnsi="Times New Roman" w:cs="Times New Roman"/>
                <w:sz w:val="24"/>
                <w:szCs w:val="24"/>
              </w:rPr>
            </w:pPr>
            <w:r>
              <w:rPr>
                <w:rFonts w:ascii="Times New Roman" w:hAnsi="Times New Roman" w:eastAsia="SimSun" w:cs="Times New Roman"/>
                <w:sz w:val="24"/>
                <w:szCs w:val="24"/>
              </w:rPr>
              <w:t>4.8 ±0.6</w:t>
            </w:r>
          </w:p>
        </w:tc>
        <w:tc>
          <w:tcPr>
            <w:tcW w:w="996" w:type="dxa"/>
          </w:tcPr>
          <w:p w14:paraId="2350A31D">
            <w:pPr>
              <w:widowControl w:val="0"/>
              <w:jc w:val="both"/>
              <w:rPr>
                <w:rFonts w:ascii="Times New Roman" w:hAnsi="Times New Roman" w:eastAsia="SimSun" w:cs="Times New Roman"/>
                <w:sz w:val="24"/>
                <w:szCs w:val="24"/>
              </w:rPr>
            </w:pPr>
            <w:r>
              <w:rPr>
                <w:rFonts w:ascii="Times New Roman" w:hAnsi="Times New Roman" w:eastAsia="SimSun" w:cs="Times New Roman"/>
                <w:sz w:val="24"/>
                <w:szCs w:val="24"/>
              </w:rPr>
              <w:t>2.515**</w:t>
            </w:r>
          </w:p>
        </w:tc>
      </w:tr>
    </w:tbl>
    <w:p w14:paraId="1627D9D1">
      <w:pPr>
        <w:rPr>
          <w:rFonts w:ascii="Times New Roman" w:hAnsi="Times New Roman" w:cs="Times New Roman"/>
          <w:sz w:val="24"/>
          <w:szCs w:val="24"/>
        </w:rPr>
      </w:pPr>
      <w:r>
        <w:rPr>
          <w:rFonts w:ascii="Times New Roman" w:hAnsi="Times New Roman" w:cs="Times New Roman"/>
          <w:sz w:val="24"/>
          <w:szCs w:val="24"/>
        </w:rPr>
        <w:t xml:space="preserve"> Degree of freedom=42</w:t>
      </w:r>
    </w:p>
    <w:p w14:paraId="11DBD6CF">
      <w:pPr>
        <w:rPr>
          <w:rFonts w:ascii="Times New Roman" w:hAnsi="Times New Roman" w:cs="Times New Roman"/>
          <w:sz w:val="24"/>
          <w:szCs w:val="24"/>
        </w:rPr>
      </w:pPr>
      <w:r>
        <w:rPr>
          <w:rFonts w:ascii="Times New Roman" w:hAnsi="Times New Roman" w:cs="Times New Roman"/>
          <w:sz w:val="24"/>
          <w:szCs w:val="24"/>
        </w:rPr>
        <w:t>*stands for significance at 0.05 level of confidence</w:t>
      </w:r>
    </w:p>
    <w:p w14:paraId="39CC794C">
      <w:pPr>
        <w:rPr>
          <w:rFonts w:ascii="Times New Roman" w:hAnsi="Times New Roman" w:cs="Times New Roman"/>
          <w:sz w:val="24"/>
          <w:szCs w:val="24"/>
        </w:rPr>
      </w:pPr>
      <w:r>
        <w:rPr>
          <w:rFonts w:ascii="Times New Roman" w:hAnsi="Times New Roman" w:cs="Times New Roman"/>
          <w:sz w:val="24"/>
          <w:szCs w:val="24"/>
        </w:rPr>
        <w:t>**stands for significance at 0.01 level of confidence</w:t>
      </w:r>
    </w:p>
    <w:p w14:paraId="24D75174">
      <w:pPr>
        <w:rPr>
          <w:rFonts w:ascii="Times New Roman" w:hAnsi="Times New Roman" w:cs="Times New Roman"/>
          <w:sz w:val="24"/>
          <w:szCs w:val="24"/>
        </w:rPr>
      </w:pPr>
    </w:p>
    <w:p w14:paraId="3F8A3361">
      <w:pPr>
        <w:jc w:val="center"/>
        <w:rPr>
          <w:rFonts w:hint="default" w:ascii="Times New Roman" w:hAnsi="Times New Roman" w:cs="Times New Roman"/>
          <w:b/>
          <w:bCs/>
          <w:sz w:val="24"/>
          <w:szCs w:val="24"/>
          <w:lang w:val="en-US"/>
        </w:rPr>
      </w:pPr>
      <w:r>
        <w:rPr>
          <w:rFonts w:ascii="Times New Roman" w:hAnsi="Times New Roman" w:cs="Times New Roman"/>
          <w:b/>
          <w:bCs/>
          <w:sz w:val="24"/>
          <w:szCs w:val="24"/>
        </w:rPr>
        <w:t>Figure 1.</w:t>
      </w:r>
      <w:r>
        <w:rPr>
          <w:rFonts w:hint="default" w:ascii="Times New Roman" w:hAnsi="Times New Roman" w:cs="Times New Roman"/>
          <w:b/>
          <w:bCs/>
          <w:sz w:val="24"/>
          <w:szCs w:val="24"/>
          <w:lang w:val="en-US"/>
        </w:rPr>
        <w:t xml:space="preserve"> </w:t>
      </w:r>
    </w:p>
    <w:p w14:paraId="6BABC0EC">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Post treatment Comparison in Group I.II,III</w:t>
      </w:r>
    </w:p>
    <w:p w14:paraId="745637F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114300" distR="114300">
            <wp:extent cx="4305300" cy="2590800"/>
            <wp:effectExtent l="0" t="0" r="0" b="0"/>
            <wp:docPr id="5" name="Picture 5" descr="WhatsApp Image 2025-08-23 at 21.5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8-23 at 21.53.55"/>
                    <pic:cNvPicPr>
                      <a:picLocks noChangeAspect="1"/>
                    </pic:cNvPicPr>
                  </pic:nvPicPr>
                  <pic:blipFill>
                    <a:blip r:embed="rId12"/>
                    <a:stretch>
                      <a:fillRect/>
                    </a:stretch>
                  </pic:blipFill>
                  <pic:spPr>
                    <a:xfrm>
                      <a:off x="0" y="0"/>
                      <a:ext cx="4305300" cy="2590800"/>
                    </a:xfrm>
                    <a:prstGeom prst="rect">
                      <a:avLst/>
                    </a:prstGeom>
                  </pic:spPr>
                </pic:pic>
              </a:graphicData>
            </a:graphic>
          </wp:inline>
        </w:drawing>
      </w:r>
    </w:p>
    <w:p w14:paraId="601E3ED9">
      <w:pPr>
        <w:numPr>
          <w:ilvl w:val="0"/>
          <w:numId w:val="1"/>
        </w:numPr>
        <w:rPr>
          <w:rFonts w:ascii="Times New Roman" w:hAnsi="Times New Roman" w:cs="Times New Roman"/>
          <w:b/>
          <w:bCs/>
          <w:sz w:val="28"/>
          <w:szCs w:val="28"/>
        </w:rPr>
      </w:pPr>
      <w:r>
        <w:rPr>
          <w:rFonts w:ascii="Times New Roman" w:hAnsi="Times New Roman" w:cs="Times New Roman"/>
          <w:b/>
          <w:bCs/>
          <w:sz w:val="28"/>
          <w:szCs w:val="28"/>
        </w:rPr>
        <w:t>Discussion</w:t>
      </w:r>
    </w:p>
    <w:p w14:paraId="035E04E5">
      <w:pPr>
        <w:pStyle w:val="12"/>
      </w:pPr>
      <w:r>
        <w:t>The comparative study assessing the effectiveness of Myofascial Release (MFR), Cryo-Stretching, and Kinesio-Taping (KT) on pain and cervical range of motion (ROM)—particularly in right and left flexion—demonstrated significant findings. All three interventions contributed positively, but the degree of effectiveness varied across groups. Group B, which received Cryo-Stretching, showed superior improvement in pain reduction compared to Groups A (Myofascial Release) and C (Kinesio-Taping). On the other hand, Group A exhibited the most notable enhancement in cervical ROM, followed by Group C and then Group B. This suggests that while Cryo-Stretching may offer quicker pain relief, Myofascial Release is more effective in improving mobility and flexibility of the cervical spine, particularly in patients with upper trapezius trigger points.</w:t>
      </w:r>
    </w:p>
    <w:p w14:paraId="48EE748C">
      <w:pPr>
        <w:pStyle w:val="12"/>
      </w:pPr>
      <w:r>
        <w:t>Myofascial Release (MFR) targets the fascial system, aiming to reduce tension and restore tissue mobility. Previous research, such as the study by Laura H. (2006), has validated the efficacy of MFR in alleviating musculoskeletal pain and improving ROM. In this study, MFR proved particularly effective for improving cervical ROM, likely due to its direct influence on fascia and muscle tightness. The technique often incorporates post-isometric relaxation (PIR), which involves an isometric contraction followed by a passive stretch. PIR is known to reduce muscle tension effectively by leveraging neurological mechanisms that facilitate muscle relaxation after a sustained contraction. This method is considered active and patient-dependent, requiring feedback to adjust the intensity and direction of the stretch, making it both individualized and effective for releasing muscle tightness.</w:t>
      </w:r>
    </w:p>
    <w:p w14:paraId="7EF9F0E7">
      <w:pPr>
        <w:pStyle w:val="12"/>
      </w:pPr>
      <w:r>
        <w:t>The success of MFR in increasing ROM can be attributed to several mechanisms. It helps release fascial adhesions, improves blood circulation, and stimulates mechanoreceptors, which can modulate pain and enhance neuromuscular coordination. Additionally, MFR may improve nerve conduction and promote relaxation both locally and systemically. This holistic impact makes it a suitable intervention for treating conditions like upper trapezius trigger points, where muscle tightness and fascial restrictions play a significant role in limiting cervical mobility.</w:t>
      </w:r>
    </w:p>
    <w:p w14:paraId="559BCA26">
      <w:pPr>
        <w:pStyle w:val="12"/>
      </w:pPr>
      <w:r>
        <w:t>Cryo-Stretching, as used in Group B, showed the best results in pain relief. The method combines cryotherapy with stretching to reduce inflammation and muscle spasm before elongating the muscle fibers. Cold application temporarily numbs the area, reducing the perception of pain and allowing deeper and more effective stretching. This could explain the superior pain reduction observed in Group B. However, it appears less effective in increasing ROM compared to MFR, possibly due to its less targeted effect on fascial restrictions.</w:t>
      </w:r>
    </w:p>
    <w:p w14:paraId="54A6F3F0">
      <w:pPr>
        <w:pStyle w:val="12"/>
      </w:pPr>
      <w:r>
        <w:t>Kinesio-Taping (KT), represented by Group C, also contributed to both pain relief and ROM improvement, though not as significantly as MFR or Cryo-Stretching in their respective strengths.  Kinesio-Taping</w:t>
      </w:r>
      <w:r>
        <w:rPr>
          <w:rFonts w:hint="default"/>
          <w:lang w:val="en-US"/>
        </w:rPr>
        <w:t xml:space="preserve"> </w:t>
      </w:r>
      <w:r>
        <w:t xml:space="preserve">works by lifting the skin slightly, which is believed to reduce pressure on nociceptors in the subcutaneous tissue, thereby modulating pain. The tape provides continuous sensory stimulation, which may help activate the body’s endogenous pain-relief systems. Furthermore, KT may support muscle activation and alignment by exerting a concentric pull on the fascia. </w:t>
      </w:r>
      <w:r>
        <w:rPr>
          <w:rFonts w:hint="default"/>
          <w:lang w:val="en-US"/>
        </w:rPr>
        <w:t>T</w:t>
      </w:r>
      <w:r>
        <w:t>his stimulation could lead to a slight increase in muscle strength and better muscular coordination, which can be beneficial in cases of muscle imbalances or fatigue.</w:t>
      </w:r>
    </w:p>
    <w:p w14:paraId="106C6EBA">
      <w:pPr>
        <w:pStyle w:val="12"/>
      </w:pPr>
    </w:p>
    <w:p w14:paraId="0DDFA300">
      <w:pPr>
        <w:pStyle w:val="12"/>
      </w:pPr>
    </w:p>
    <w:p w14:paraId="6FE5C446">
      <w:pPr>
        <w:pStyle w:val="12"/>
      </w:pPr>
    </w:p>
    <w:p w14:paraId="408DB33E">
      <w:pPr>
        <w:pStyle w:val="12"/>
        <w:numPr>
          <w:ilvl w:val="0"/>
          <w:numId w:val="1"/>
        </w:numPr>
        <w:rPr>
          <w:b/>
          <w:bCs/>
          <w:sz w:val="28"/>
          <w:szCs w:val="28"/>
        </w:rPr>
      </w:pPr>
      <w:r>
        <w:rPr>
          <w:b/>
          <w:bCs/>
          <w:sz w:val="28"/>
          <w:szCs w:val="28"/>
        </w:rPr>
        <w:t>Conclusion</w:t>
      </w:r>
    </w:p>
    <w:p w14:paraId="172218DC">
      <w:pPr>
        <w:rPr>
          <w:rFonts w:ascii="Times New Roman" w:hAnsi="Times New Roman" w:cs="Times New Roman"/>
        </w:rPr>
      </w:pPr>
    </w:p>
    <w:p w14:paraId="12206067">
      <w:pPr>
        <w:rPr>
          <w:rFonts w:ascii="Times New Roman" w:hAnsi="Times New Roman" w:eastAsia="SimSun" w:cs="Times New Roman"/>
          <w:sz w:val="24"/>
          <w:szCs w:val="24"/>
        </w:rPr>
      </w:pPr>
      <w:r>
        <w:rPr>
          <w:rFonts w:ascii="Times New Roman" w:hAnsi="Times New Roman" w:eastAsia="NimbusRomNo9L" w:cs="Times New Roman"/>
          <w:color w:val="000000"/>
          <w:sz w:val="24"/>
          <w:szCs w:val="24"/>
          <w:lang w:eastAsia="zh-CN" w:bidi="ar"/>
        </w:rPr>
        <w:t xml:space="preserve">Myofascial releases, as well as cryo-stretching, were effective in reducing pain. The myofascial release showed immediate greater improvement in cervical lateral flexion range of motion as compared to cryo-stretching. Whereas, the pain showed best results with cryostretch as compared to Myofascial release and kinesiotaping. </w:t>
      </w:r>
      <w:r>
        <w:rPr>
          <w:rFonts w:ascii="Times New Roman" w:hAnsi="Times New Roman" w:eastAsia="SimSun" w:cs="Times New Roman"/>
          <w:sz w:val="24"/>
          <w:szCs w:val="24"/>
        </w:rPr>
        <w:t xml:space="preserve">In conclusion, each modality—Myofascial Release, Cryo-Stretching, and Kinesio-Taping—offers unique benefits in managing pain and enhancing cervical ROM. MFR stands out for improving flexibility and mobility, Cryo-Stretching excels in immediate pain relief, and </w:t>
      </w:r>
      <w:r>
        <w:rPr>
          <w:rFonts w:hint="default" w:ascii="Times New Roman" w:hAnsi="Times New Roman" w:cs="Times New Roman"/>
          <w:sz w:val="24"/>
          <w:szCs w:val="24"/>
        </w:rPr>
        <w:t>Kinesio-Taping</w:t>
      </w:r>
      <w:r>
        <w:rPr>
          <w:rFonts w:ascii="Times New Roman" w:hAnsi="Times New Roman" w:eastAsia="SimSun" w:cs="Times New Roman"/>
          <w:sz w:val="24"/>
          <w:szCs w:val="24"/>
        </w:rPr>
        <w:t xml:space="preserve"> offers a versatile middle ground with moderate improvements in both pain and function. The choice of intervention should therefore be tailored to the patient’s primary complaint—whether it is pain, restricted movement, or both.</w:t>
      </w:r>
    </w:p>
    <w:p w14:paraId="6417DD04">
      <w:pPr>
        <w:rPr>
          <w:rFonts w:ascii="Times New Roman" w:hAnsi="Times New Roman" w:eastAsia="SimSun" w:cs="Times New Roman"/>
          <w:sz w:val="24"/>
          <w:szCs w:val="24"/>
        </w:rPr>
      </w:pPr>
    </w:p>
    <w:p w14:paraId="2AB55A61">
      <w:pPr>
        <w:rPr>
          <w:rFonts w:ascii="Times New Roman" w:hAnsi="Times New Roman" w:cs="Times New Roman"/>
          <w:sz w:val="24"/>
          <w:szCs w:val="24"/>
        </w:rPr>
      </w:pPr>
      <w:r>
        <w:rPr>
          <w:rFonts w:ascii="Times New Roman" w:hAnsi="Times New Roman" w:cs="Times New Roman"/>
          <w:sz w:val="24"/>
          <w:szCs w:val="24"/>
        </w:rPr>
        <w:t>COMPETING INTERESTS DISCLAIMER:</w:t>
      </w:r>
    </w:p>
    <w:p w14:paraId="0ABAE3D4">
      <w:pPr>
        <w:rPr>
          <w:rFonts w:ascii="Times New Roman" w:hAnsi="Times New Roman" w:cs="Times New Roman"/>
          <w:sz w:val="24"/>
          <w:szCs w:val="24"/>
        </w:rPr>
      </w:pPr>
      <w:r>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76A62D3">
      <w:pPr>
        <w:rPr>
          <w:rFonts w:ascii="Times New Roman" w:hAnsi="Times New Roman" w:cs="Times New Roman"/>
          <w:sz w:val="24"/>
          <w:szCs w:val="24"/>
        </w:rPr>
      </w:pPr>
    </w:p>
    <w:p w14:paraId="08DD17E7">
      <w:pPr>
        <w:rPr>
          <w:highlight w:val="yellow"/>
        </w:rPr>
      </w:pPr>
      <w:r>
        <w:rPr>
          <w:highlight w:val="yellow"/>
        </w:rPr>
        <w:t>Disclaimer (Artificial intelligence)</w:t>
      </w:r>
    </w:p>
    <w:p w14:paraId="24EAB47D">
      <w:pPr>
        <w:rPr>
          <w:highlight w:val="yellow"/>
        </w:rPr>
      </w:pPr>
    </w:p>
    <w:p w14:paraId="5B1AE265">
      <w:pPr>
        <w:rPr>
          <w:highlight w:val="yellow"/>
        </w:rPr>
      </w:pPr>
      <w:r>
        <w:rPr>
          <w:highlight w:val="yellow"/>
        </w:rPr>
        <w:t xml:space="preserve">Option 1: </w:t>
      </w:r>
    </w:p>
    <w:p w14:paraId="316C255E">
      <w:pPr>
        <w:rPr>
          <w:highlight w:val="yellow"/>
        </w:rPr>
      </w:pPr>
    </w:p>
    <w:p w14:paraId="1CE25779">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32428C02">
      <w:pPr>
        <w:rPr>
          <w:highlight w:val="yellow"/>
        </w:rPr>
      </w:pPr>
    </w:p>
    <w:p w14:paraId="3E01F468">
      <w:pPr>
        <w:rPr>
          <w:highlight w:val="yellow"/>
        </w:rPr>
      </w:pPr>
      <w:r>
        <w:rPr>
          <w:highlight w:val="yellow"/>
        </w:rPr>
        <w:t xml:space="preserve">Option 2: </w:t>
      </w:r>
    </w:p>
    <w:p w14:paraId="6C09FECA">
      <w:pPr>
        <w:rPr>
          <w:highlight w:val="yellow"/>
        </w:rPr>
      </w:pPr>
    </w:p>
    <w:p w14:paraId="56807063">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645A1D">
      <w:pPr>
        <w:rPr>
          <w:highlight w:val="yellow"/>
        </w:rPr>
      </w:pPr>
    </w:p>
    <w:p w14:paraId="5CE1BD56">
      <w:pPr>
        <w:rPr>
          <w:highlight w:val="yellow"/>
        </w:rPr>
      </w:pPr>
      <w:r>
        <w:rPr>
          <w:highlight w:val="yellow"/>
        </w:rPr>
        <w:t>Details of the AI usage are given below:</w:t>
      </w:r>
    </w:p>
    <w:p w14:paraId="5B296BED">
      <w:pPr>
        <w:rPr>
          <w:highlight w:val="yellow"/>
        </w:rPr>
      </w:pPr>
      <w:r>
        <w:rPr>
          <w:highlight w:val="yellow"/>
        </w:rPr>
        <w:t>1.</w:t>
      </w:r>
    </w:p>
    <w:p w14:paraId="5F1E3B36">
      <w:pPr>
        <w:rPr>
          <w:highlight w:val="yellow"/>
        </w:rPr>
      </w:pPr>
      <w:r>
        <w:rPr>
          <w:highlight w:val="yellow"/>
        </w:rPr>
        <w:t>2.</w:t>
      </w:r>
    </w:p>
    <w:p w14:paraId="25D277D6">
      <w:r>
        <w:rPr>
          <w:highlight w:val="yellow"/>
        </w:rPr>
        <w:t>3.</w:t>
      </w:r>
    </w:p>
    <w:p w14:paraId="7170A0FE">
      <w:pPr>
        <w:rPr>
          <w:rFonts w:ascii="Times New Roman" w:hAnsi="Times New Roman" w:cs="Times New Roman"/>
          <w:sz w:val="24"/>
          <w:szCs w:val="24"/>
        </w:rPr>
      </w:pPr>
    </w:p>
    <w:p w14:paraId="7F1F16E5">
      <w:pPr>
        <w:pStyle w:val="12"/>
        <w:rPr>
          <w:b/>
          <w:bCs/>
          <w:sz w:val="28"/>
          <w:szCs w:val="28"/>
        </w:rPr>
      </w:pPr>
      <w:r>
        <w:rPr>
          <w:b/>
          <w:bCs/>
          <w:sz w:val="28"/>
          <w:szCs w:val="28"/>
        </w:rPr>
        <w:t>References</w:t>
      </w:r>
    </w:p>
    <w:p w14:paraId="0175FD62">
      <w:pPr>
        <w:pStyle w:val="17"/>
        <w:numPr>
          <w:ilvl w:val="0"/>
          <w:numId w:val="0"/>
        </w:numPr>
        <w:spacing w:line="240" w:lineRule="auto"/>
        <w:ind w:leftChars="0"/>
        <w:rPr>
          <w:rFonts w:hint="default" w:ascii="Times New Roman" w:hAnsi="Times New Roman" w:cs="Times New Roman"/>
          <w:sz w:val="22"/>
          <w:szCs w:val="22"/>
          <w:lang w:val="en-US"/>
        </w:rPr>
      </w:pPr>
      <w:r>
        <w:rPr>
          <w:rFonts w:hint="default" w:ascii="Times New Roman" w:hAnsi="Times New Roman" w:cs="Times New Roman"/>
          <w:sz w:val="22"/>
          <w:szCs w:val="22"/>
        </w:rPr>
        <w:t xml:space="preserve">Durgut, E., Gurses, H. N., Bilsel, K., Alpay, K., Hosbay, Z., Uzer, G., Yıldız, F., &amp; Elmalı, N. (2024). Short-term effects of cold therapy and Kinesio taping on pain relief and upper extremity functionality in individuals with rotator cuff tendonitis: A randomized study. </w:t>
      </w:r>
      <w:r>
        <w:rPr>
          <w:rStyle w:val="8"/>
          <w:rFonts w:hint="default" w:ascii="Times New Roman" w:hAnsi="Times New Roman" w:cs="Times New Roman"/>
          <w:sz w:val="22"/>
          <w:szCs w:val="22"/>
        </w:rPr>
        <w:t>Medicina, 60</w:t>
      </w:r>
      <w:r>
        <w:rPr>
          <w:rFonts w:hint="default" w:ascii="Times New Roman" w:hAnsi="Times New Roman" w:cs="Times New Roman"/>
          <w:sz w:val="22"/>
          <w:szCs w:val="22"/>
        </w:rPr>
        <w:t>(8), 1188.</w:t>
      </w:r>
      <w:r>
        <w:rPr>
          <w:rFonts w:hint="default" w:ascii="Times New Roman" w:hAnsi="Times New Roman" w:cs="Times New Roman"/>
          <w:sz w:val="22"/>
          <w:szCs w:val="22"/>
          <w:lang w:val="en-US"/>
        </w:rPr>
        <w:t xml:space="preserve"> </w:t>
      </w:r>
      <w:r>
        <w:rPr>
          <w:rFonts w:hint="default" w:ascii="Times New Roman" w:hAnsi="Times New Roman" w:cs="Times New Roman"/>
          <w:i/>
          <w:iCs/>
          <w:sz w:val="22"/>
          <w:szCs w:val="22"/>
          <w:lang w:val="en-US"/>
        </w:rPr>
        <w:fldChar w:fldCharType="begin"/>
      </w:r>
      <w:r>
        <w:rPr>
          <w:rFonts w:hint="default" w:ascii="Times New Roman" w:hAnsi="Times New Roman" w:cs="Times New Roman"/>
          <w:i/>
          <w:iCs/>
          <w:sz w:val="22"/>
          <w:szCs w:val="22"/>
          <w:lang w:val="en-US"/>
        </w:rPr>
        <w:instrText xml:space="preserve"> HYPERLINK "https://doi.org/10.3390/medicina60081188" </w:instrText>
      </w:r>
      <w:r>
        <w:rPr>
          <w:rFonts w:hint="default" w:ascii="Times New Roman" w:hAnsi="Times New Roman" w:cs="Times New Roman"/>
          <w:i/>
          <w:iCs/>
          <w:sz w:val="22"/>
          <w:szCs w:val="22"/>
          <w:lang w:val="en-US"/>
        </w:rPr>
        <w:fldChar w:fldCharType="separate"/>
      </w:r>
      <w:r>
        <w:rPr>
          <w:rStyle w:val="11"/>
          <w:rFonts w:hint="default" w:ascii="Times New Roman" w:hAnsi="Times New Roman" w:cs="Times New Roman"/>
          <w:i/>
          <w:iCs/>
          <w:sz w:val="22"/>
          <w:szCs w:val="22"/>
          <w:lang w:val="en-US"/>
        </w:rPr>
        <w:t>https://doi.org/10.3390/medicina60081188</w:t>
      </w:r>
      <w:r>
        <w:rPr>
          <w:rFonts w:hint="default" w:ascii="Times New Roman" w:hAnsi="Times New Roman" w:cs="Times New Roman"/>
          <w:i/>
          <w:iCs/>
          <w:sz w:val="22"/>
          <w:szCs w:val="22"/>
          <w:lang w:val="en-US"/>
        </w:rPr>
        <w:fldChar w:fldCharType="end"/>
      </w:r>
    </w:p>
    <w:p w14:paraId="5D9D7790">
      <w:pPr>
        <w:pStyle w:val="17"/>
        <w:numPr>
          <w:ilvl w:val="0"/>
          <w:numId w:val="0"/>
        </w:numPr>
        <w:spacing w:line="240" w:lineRule="auto"/>
        <w:ind w:leftChars="0"/>
        <w:rPr>
          <w:rFonts w:hint="default" w:ascii="Times New Roman" w:hAnsi="Times New Roman" w:cs="Times New Roman"/>
          <w:sz w:val="22"/>
          <w:szCs w:val="22"/>
          <w:lang w:val="en-US"/>
        </w:rPr>
      </w:pPr>
      <w:r>
        <w:rPr>
          <w:rFonts w:hint="default" w:ascii="Times New Roman" w:hAnsi="Times New Roman" w:cs="Times New Roman"/>
          <w:sz w:val="22"/>
          <w:szCs w:val="22"/>
        </w:rPr>
        <w:t xml:space="preserve">Gayathri, K., Senthil, P., Swathi, S., Neelam, S. N., Nainar, M., &amp; Haribabu, L. (2022). Effectiveness of myofascial release technique and muscle energy technique on pain and physical function among smartphone users with trapezitis. </w:t>
      </w:r>
      <w:r>
        <w:rPr>
          <w:rStyle w:val="8"/>
          <w:rFonts w:hint="default" w:ascii="Times New Roman" w:hAnsi="Times New Roman" w:cs="Times New Roman"/>
          <w:sz w:val="22"/>
          <w:szCs w:val="22"/>
        </w:rPr>
        <w:t>Chettinad School of Physiotherapy Journal</w:t>
      </w:r>
      <w:r>
        <w:rPr>
          <w:rFonts w:hint="default" w:ascii="Times New Roman" w:hAnsi="Times New Roman" w:cs="Times New Roman"/>
          <w:sz w:val="22"/>
          <w:szCs w:val="22"/>
        </w:rPr>
        <w:t xml:space="preserve">. </w:t>
      </w:r>
      <w:r>
        <w:rPr>
          <w:rFonts w:hint="default" w:ascii="Times New Roman" w:hAnsi="Times New Roman" w:cs="Times New Roman"/>
          <w:i/>
          <w:iCs/>
          <w:sz w:val="22"/>
          <w:szCs w:val="22"/>
          <w:lang w:val="en-US"/>
        </w:rPr>
        <w:t>http://doi.org/10.24321/2278.2044.202238</w:t>
      </w:r>
    </w:p>
    <w:p w14:paraId="770B46AA">
      <w:pPr>
        <w:pStyle w:val="17"/>
        <w:numPr>
          <w:ilvl w:val="0"/>
          <w:numId w:val="0"/>
        </w:numPr>
        <w:spacing w:line="240" w:lineRule="auto"/>
        <w:ind w:leftChars="0"/>
        <w:rPr>
          <w:rFonts w:hint="default" w:ascii="Times New Roman" w:hAnsi="Times New Roman" w:cs="Times New Roman"/>
          <w:sz w:val="22"/>
          <w:szCs w:val="22"/>
        </w:rPr>
      </w:pPr>
    </w:p>
    <w:p w14:paraId="02FF5887">
      <w:pPr>
        <w:pStyle w:val="17"/>
        <w:numPr>
          <w:ilvl w:val="0"/>
          <w:numId w:val="0"/>
        </w:numPr>
        <w:spacing w:line="240" w:lineRule="auto"/>
        <w:ind w:leftChars="0"/>
        <w:rPr>
          <w:rFonts w:hint="default" w:ascii="Times New Roman" w:hAnsi="Times New Roman" w:cs="Times New Roman"/>
          <w:i/>
          <w:iCs/>
          <w:sz w:val="22"/>
          <w:szCs w:val="22"/>
          <w:lang w:val="en-US"/>
        </w:rPr>
      </w:pPr>
      <w:r>
        <w:rPr>
          <w:rFonts w:hint="default" w:ascii="Times New Roman" w:hAnsi="Times New Roman" w:cs="Times New Roman"/>
          <w:sz w:val="22"/>
          <w:szCs w:val="22"/>
        </w:rPr>
        <w:t xml:space="preserve">Greig, A. M., Straker, L. M., &amp; Briggs, A. M. (2005). Cervical erector spinae and upper trapezius muscle activity in children using different information technologies. </w:t>
      </w:r>
      <w:r>
        <w:rPr>
          <w:rStyle w:val="8"/>
          <w:rFonts w:hint="default" w:ascii="Times New Roman" w:hAnsi="Times New Roman" w:cs="Times New Roman"/>
          <w:sz w:val="22"/>
          <w:szCs w:val="22"/>
        </w:rPr>
        <w:t>Physiotherapy, 91</w:t>
      </w:r>
      <w:r>
        <w:rPr>
          <w:rFonts w:hint="default" w:ascii="Times New Roman" w:hAnsi="Times New Roman" w:cs="Times New Roman"/>
          <w:sz w:val="22"/>
          <w:szCs w:val="22"/>
        </w:rPr>
        <w:t xml:space="preserve">(2), </w:t>
      </w:r>
      <w:r>
        <w:rPr>
          <w:rFonts w:hint="default" w:ascii="Times New Roman" w:hAnsi="Times New Roman" w:cs="Times New Roman"/>
          <w:i/>
          <w:iCs/>
          <w:sz w:val="22"/>
          <w:szCs w:val="22"/>
        </w:rPr>
        <w:t>119–126.</w:t>
      </w:r>
      <w:r>
        <w:rPr>
          <w:rFonts w:hint="default" w:ascii="Times New Roman" w:hAnsi="Times New Roman" w:cs="Times New Roman"/>
          <w:i/>
          <w:iCs/>
          <w:sz w:val="22"/>
          <w:szCs w:val="22"/>
          <w:lang w:val="en-US"/>
        </w:rPr>
        <w:t>http://doi.org/10.1016/j.physio.2004.10.004</w:t>
      </w:r>
    </w:p>
    <w:p w14:paraId="7F17BBD4">
      <w:pPr>
        <w:pStyle w:val="17"/>
        <w:numPr>
          <w:ilvl w:val="0"/>
          <w:numId w:val="0"/>
        </w:numPr>
        <w:spacing w:line="240" w:lineRule="auto"/>
        <w:ind w:leftChars="0"/>
        <w:rPr>
          <w:rFonts w:hint="default" w:ascii="Times New Roman" w:hAnsi="Times New Roman" w:cs="Times New Roman"/>
          <w:i/>
          <w:iCs/>
          <w:sz w:val="22"/>
          <w:szCs w:val="22"/>
          <w:lang w:val="en-US"/>
        </w:rPr>
      </w:pPr>
    </w:p>
    <w:p w14:paraId="20A97038">
      <w:pPr>
        <w:pStyle w:val="17"/>
        <w:numPr>
          <w:ilvl w:val="0"/>
          <w:numId w:val="0"/>
        </w:numPr>
        <w:spacing w:line="240" w:lineRule="auto"/>
        <w:ind w:leftChars="0"/>
        <w:rPr>
          <w:rFonts w:hint="default" w:ascii="Times New Roman" w:hAnsi="Times New Roman" w:cs="Times New Roman"/>
          <w:i/>
          <w:iCs/>
          <w:sz w:val="22"/>
          <w:szCs w:val="22"/>
        </w:rPr>
      </w:pPr>
      <w:r>
        <w:rPr>
          <w:rFonts w:hint="default" w:ascii="Times New Roman" w:hAnsi="Times New Roman" w:cs="Times New Roman"/>
          <w:sz w:val="22"/>
          <w:szCs w:val="22"/>
        </w:rPr>
        <w:t xml:space="preserve">Joshi, A., Jawade, S., &amp; Chitale, N. (2022). Effectiveness of myofascial release (MFR) vs. high-frequency transcutaneous electrical nerve stimulation (TENS) for pain relief and functional improvement in college students with trapezius myalgia. </w:t>
      </w:r>
      <w:r>
        <w:rPr>
          <w:rStyle w:val="8"/>
          <w:rFonts w:hint="default" w:ascii="Times New Roman" w:hAnsi="Times New Roman" w:cs="Times New Roman"/>
          <w:sz w:val="22"/>
          <w:szCs w:val="22"/>
        </w:rPr>
        <w:t>Cureus, 14</w:t>
      </w:r>
      <w:r>
        <w:rPr>
          <w:rFonts w:hint="default" w:ascii="Times New Roman" w:hAnsi="Times New Roman" w:cs="Times New Roman"/>
          <w:sz w:val="22"/>
          <w:szCs w:val="22"/>
        </w:rPr>
        <w:t>(10), e</w:t>
      </w:r>
      <w:r>
        <w:rPr>
          <w:rFonts w:hint="default" w:ascii="Times New Roman" w:hAnsi="Times New Roman" w:cs="Times New Roman"/>
          <w:i/>
          <w:iCs/>
          <w:sz w:val="22"/>
          <w:szCs w:val="22"/>
        </w:rPr>
        <w:t xml:space="preserve">29898. </w:t>
      </w:r>
      <w:r>
        <w:rPr>
          <w:rFonts w:hint="default" w:ascii="Times New Roman" w:hAnsi="Times New Roman" w:cs="Times New Roman"/>
          <w:i/>
          <w:iCs/>
          <w:sz w:val="22"/>
          <w:szCs w:val="22"/>
        </w:rPr>
        <w:fldChar w:fldCharType="begin"/>
      </w:r>
      <w:r>
        <w:rPr>
          <w:rFonts w:hint="default" w:ascii="Times New Roman" w:hAnsi="Times New Roman" w:cs="Times New Roman"/>
          <w:i/>
          <w:iCs/>
          <w:sz w:val="22"/>
          <w:szCs w:val="22"/>
        </w:rPr>
        <w:instrText xml:space="preserve"> HYPERLINK "https://doi.org/10.7759/cureus.29898" </w:instrText>
      </w:r>
      <w:r>
        <w:rPr>
          <w:rFonts w:hint="default" w:ascii="Times New Roman" w:hAnsi="Times New Roman" w:cs="Times New Roman"/>
          <w:i/>
          <w:iCs/>
          <w:sz w:val="22"/>
          <w:szCs w:val="22"/>
        </w:rPr>
        <w:fldChar w:fldCharType="separate"/>
      </w:r>
      <w:r>
        <w:rPr>
          <w:rStyle w:val="11"/>
          <w:rFonts w:hint="default" w:ascii="Times New Roman" w:hAnsi="Times New Roman" w:cs="Times New Roman"/>
          <w:i/>
          <w:iCs/>
          <w:sz w:val="22"/>
          <w:szCs w:val="22"/>
        </w:rPr>
        <w:t>https://doi.org/10.7759/cureus.29898</w:t>
      </w:r>
      <w:r>
        <w:rPr>
          <w:rFonts w:hint="default" w:ascii="Times New Roman" w:hAnsi="Times New Roman" w:cs="Times New Roman"/>
          <w:i/>
          <w:iCs/>
          <w:sz w:val="22"/>
          <w:szCs w:val="22"/>
        </w:rPr>
        <w:fldChar w:fldCharType="end"/>
      </w:r>
    </w:p>
    <w:p w14:paraId="5A67CBCD">
      <w:pPr>
        <w:pStyle w:val="17"/>
        <w:numPr>
          <w:ilvl w:val="0"/>
          <w:numId w:val="0"/>
        </w:numPr>
        <w:spacing w:line="240" w:lineRule="auto"/>
        <w:ind w:leftChars="0"/>
        <w:rPr>
          <w:rFonts w:hint="default" w:ascii="Times New Roman" w:hAnsi="Times New Roman" w:cs="Times New Roman"/>
          <w:i/>
          <w:iCs/>
          <w:sz w:val="22"/>
          <w:szCs w:val="22"/>
        </w:rPr>
      </w:pPr>
    </w:p>
    <w:p w14:paraId="640CBFE9">
      <w:pPr>
        <w:pStyle w:val="17"/>
        <w:numPr>
          <w:ilvl w:val="0"/>
          <w:numId w:val="0"/>
        </w:numPr>
        <w:spacing w:line="240" w:lineRule="auto"/>
        <w:ind w:leftChars="0"/>
        <w:rPr>
          <w:rFonts w:hint="default" w:ascii="Times New Roman" w:hAnsi="Times New Roman" w:cs="Times New Roman"/>
          <w:i/>
          <w:iCs/>
          <w:sz w:val="22"/>
          <w:szCs w:val="22"/>
        </w:rPr>
      </w:pPr>
      <w:r>
        <w:rPr>
          <w:rFonts w:hint="default" w:ascii="Times New Roman" w:hAnsi="Times New Roman" w:cs="Times New Roman"/>
          <w:sz w:val="22"/>
          <w:szCs w:val="22"/>
        </w:rPr>
        <w:t xml:space="preserve">Laimi, K., Salminen, J., Metsähonkala, L., et al. (2007). Characteristics of neck pain associated with adolescent headache. </w:t>
      </w:r>
      <w:r>
        <w:rPr>
          <w:rStyle w:val="8"/>
          <w:rFonts w:hint="default" w:ascii="Times New Roman" w:hAnsi="Times New Roman" w:cs="Times New Roman"/>
          <w:sz w:val="22"/>
          <w:szCs w:val="22"/>
        </w:rPr>
        <w:t>Cephalalgia, 27</w:t>
      </w:r>
      <w:r>
        <w:rPr>
          <w:rFonts w:hint="default" w:ascii="Times New Roman" w:hAnsi="Times New Roman" w:cs="Times New Roman"/>
          <w:sz w:val="22"/>
          <w:szCs w:val="22"/>
        </w:rPr>
        <w:t>(</w:t>
      </w:r>
      <w:r>
        <w:rPr>
          <w:rFonts w:hint="default" w:ascii="Times New Roman" w:hAnsi="Times New Roman" w:cs="Times New Roman"/>
          <w:i/>
          <w:iCs/>
          <w:sz w:val="22"/>
          <w:szCs w:val="22"/>
        </w:rPr>
        <w:t xml:space="preserve">11), 1244–1254. </w:t>
      </w:r>
      <w:r>
        <w:rPr>
          <w:rFonts w:hint="default" w:ascii="Times New Roman" w:hAnsi="Times New Roman" w:cs="Times New Roman"/>
          <w:i/>
          <w:iCs/>
          <w:sz w:val="22"/>
          <w:szCs w:val="22"/>
        </w:rPr>
        <w:fldChar w:fldCharType="begin"/>
      </w:r>
      <w:r>
        <w:rPr>
          <w:rFonts w:hint="default" w:ascii="Times New Roman" w:hAnsi="Times New Roman" w:cs="Times New Roman"/>
          <w:i/>
          <w:iCs/>
          <w:sz w:val="22"/>
          <w:szCs w:val="22"/>
        </w:rPr>
        <w:instrText xml:space="preserve"> HYPERLINK "https://doi.org/10.1111/j.1468-2982.2007.01439.x" </w:instrText>
      </w:r>
      <w:r>
        <w:rPr>
          <w:rFonts w:hint="default" w:ascii="Times New Roman" w:hAnsi="Times New Roman" w:cs="Times New Roman"/>
          <w:i/>
          <w:iCs/>
          <w:sz w:val="22"/>
          <w:szCs w:val="22"/>
        </w:rPr>
        <w:fldChar w:fldCharType="separate"/>
      </w:r>
      <w:r>
        <w:rPr>
          <w:rStyle w:val="11"/>
          <w:rFonts w:hint="default" w:ascii="Times New Roman" w:hAnsi="Times New Roman" w:cs="Times New Roman"/>
          <w:i/>
          <w:iCs/>
          <w:sz w:val="22"/>
          <w:szCs w:val="22"/>
        </w:rPr>
        <w:t>https://doi.org/10.1111/j.1468-2982.2007.01439.x</w:t>
      </w:r>
      <w:r>
        <w:rPr>
          <w:rFonts w:hint="default" w:ascii="Times New Roman" w:hAnsi="Times New Roman" w:cs="Times New Roman"/>
          <w:i/>
          <w:iCs/>
          <w:sz w:val="22"/>
          <w:szCs w:val="22"/>
        </w:rPr>
        <w:fldChar w:fldCharType="end"/>
      </w:r>
    </w:p>
    <w:p w14:paraId="17557C5F">
      <w:pPr>
        <w:pStyle w:val="17"/>
        <w:numPr>
          <w:ilvl w:val="0"/>
          <w:numId w:val="0"/>
        </w:numPr>
        <w:spacing w:line="240" w:lineRule="auto"/>
        <w:ind w:leftChars="0"/>
        <w:rPr>
          <w:rFonts w:hint="default" w:ascii="Times New Roman" w:hAnsi="Times New Roman" w:cs="Times New Roman"/>
          <w:i/>
          <w:iCs/>
          <w:sz w:val="22"/>
          <w:szCs w:val="22"/>
        </w:rPr>
      </w:pPr>
    </w:p>
    <w:p w14:paraId="713C58F3">
      <w:pPr>
        <w:pStyle w:val="17"/>
        <w:numPr>
          <w:ilvl w:val="0"/>
          <w:numId w:val="0"/>
        </w:numPr>
        <w:spacing w:line="240" w:lineRule="auto"/>
        <w:ind w:leftChars="0"/>
        <w:rPr>
          <w:rFonts w:hint="default" w:ascii="Times New Roman" w:hAnsi="Times New Roman" w:cs="Times New Roman"/>
          <w:i/>
          <w:iCs/>
          <w:sz w:val="22"/>
          <w:szCs w:val="22"/>
        </w:rPr>
      </w:pPr>
      <w:r>
        <w:rPr>
          <w:rFonts w:hint="default" w:ascii="Times New Roman" w:hAnsi="Times New Roman" w:cs="Times New Roman"/>
          <w:sz w:val="22"/>
          <w:szCs w:val="22"/>
        </w:rPr>
        <w:t xml:space="preserve">Luijcks, R., Vossen, C. J., Roggeveen, S., van Os, J., Hermens, H. J., &amp; Lousberg, R. (2016). Impact of early life adversity on EMG stress reactivity of the trapezius muscle. </w:t>
      </w:r>
      <w:r>
        <w:rPr>
          <w:rStyle w:val="8"/>
          <w:rFonts w:hint="default" w:ascii="Times New Roman" w:hAnsi="Times New Roman" w:cs="Times New Roman"/>
          <w:sz w:val="22"/>
          <w:szCs w:val="22"/>
        </w:rPr>
        <w:t xml:space="preserve">Medicine, </w:t>
      </w:r>
      <w:r>
        <w:rPr>
          <w:rStyle w:val="8"/>
          <w:rFonts w:hint="default" w:ascii="Times New Roman" w:hAnsi="Times New Roman" w:cs="Times New Roman"/>
          <w:i/>
          <w:iCs/>
          <w:sz w:val="22"/>
          <w:szCs w:val="22"/>
        </w:rPr>
        <w:t>95</w:t>
      </w:r>
      <w:r>
        <w:rPr>
          <w:rFonts w:hint="default" w:ascii="Times New Roman" w:hAnsi="Times New Roman" w:cs="Times New Roman"/>
          <w:i/>
          <w:iCs/>
          <w:sz w:val="22"/>
          <w:szCs w:val="22"/>
        </w:rPr>
        <w:t xml:space="preserve">(39), e4745. </w:t>
      </w:r>
      <w:r>
        <w:rPr>
          <w:rFonts w:hint="default" w:ascii="Times New Roman" w:hAnsi="Times New Roman" w:cs="Times New Roman"/>
          <w:i/>
          <w:iCs/>
          <w:sz w:val="22"/>
          <w:szCs w:val="22"/>
        </w:rPr>
        <w:fldChar w:fldCharType="begin"/>
      </w:r>
      <w:r>
        <w:rPr>
          <w:rFonts w:hint="default" w:ascii="Times New Roman" w:hAnsi="Times New Roman" w:cs="Times New Roman"/>
          <w:i/>
          <w:iCs/>
          <w:sz w:val="22"/>
          <w:szCs w:val="22"/>
        </w:rPr>
        <w:instrText xml:space="preserve"> HYPERLINK "https://doi.org/10.1097/MD.0000000000004745" </w:instrText>
      </w:r>
      <w:r>
        <w:rPr>
          <w:rFonts w:hint="default" w:ascii="Times New Roman" w:hAnsi="Times New Roman" w:cs="Times New Roman"/>
          <w:i/>
          <w:iCs/>
          <w:sz w:val="22"/>
          <w:szCs w:val="22"/>
        </w:rPr>
        <w:fldChar w:fldCharType="separate"/>
      </w:r>
      <w:r>
        <w:rPr>
          <w:rStyle w:val="11"/>
          <w:rFonts w:hint="default" w:ascii="Times New Roman" w:hAnsi="Times New Roman" w:cs="Times New Roman"/>
          <w:i/>
          <w:iCs/>
          <w:sz w:val="22"/>
          <w:szCs w:val="22"/>
        </w:rPr>
        <w:t>https://doi.org/10.1097/MD.0000000000004745</w:t>
      </w:r>
      <w:r>
        <w:rPr>
          <w:rFonts w:hint="default" w:ascii="Times New Roman" w:hAnsi="Times New Roman" w:cs="Times New Roman"/>
          <w:i/>
          <w:iCs/>
          <w:sz w:val="22"/>
          <w:szCs w:val="22"/>
        </w:rPr>
        <w:fldChar w:fldCharType="end"/>
      </w:r>
    </w:p>
    <w:p w14:paraId="68E58F8C">
      <w:pPr>
        <w:pStyle w:val="17"/>
        <w:numPr>
          <w:ilvl w:val="0"/>
          <w:numId w:val="0"/>
        </w:numPr>
        <w:spacing w:line="240" w:lineRule="auto"/>
        <w:ind w:leftChars="0"/>
        <w:rPr>
          <w:rFonts w:hint="default" w:ascii="Times New Roman" w:hAnsi="Times New Roman" w:cs="Times New Roman"/>
          <w:i/>
          <w:iCs/>
          <w:sz w:val="22"/>
          <w:szCs w:val="22"/>
        </w:rPr>
      </w:pPr>
    </w:p>
    <w:p w14:paraId="5468D233">
      <w:pPr>
        <w:pStyle w:val="17"/>
        <w:numPr>
          <w:ilvl w:val="0"/>
          <w:numId w:val="0"/>
        </w:numPr>
        <w:spacing w:line="240" w:lineRule="auto"/>
        <w:ind w:leftChars="0"/>
        <w:rPr>
          <w:rFonts w:hint="default" w:ascii="Times New Roman" w:hAnsi="Times New Roman" w:cs="Times New Roman"/>
          <w:sz w:val="22"/>
          <w:szCs w:val="22"/>
        </w:rPr>
      </w:pPr>
      <w:r>
        <w:rPr>
          <w:rFonts w:hint="default" w:ascii="Times New Roman" w:hAnsi="Times New Roman" w:cs="Times New Roman"/>
          <w:sz w:val="22"/>
          <w:szCs w:val="22"/>
        </w:rPr>
        <w:t xml:space="preserve">Lv, Y., &amp; Yin, Y. (2024). A review of the application of myofascial release therapy in the treatment of diseases. </w:t>
      </w:r>
      <w:r>
        <w:rPr>
          <w:rStyle w:val="8"/>
          <w:rFonts w:hint="default" w:ascii="Times New Roman" w:hAnsi="Times New Roman" w:cs="Times New Roman"/>
          <w:sz w:val="22"/>
          <w:szCs w:val="22"/>
        </w:rPr>
        <w:t>Journal of Multidisciplinary Healthcare, 17,</w:t>
      </w:r>
      <w:r>
        <w:rPr>
          <w:rFonts w:hint="default" w:ascii="Times New Roman" w:hAnsi="Times New Roman" w:cs="Times New Roman"/>
          <w:sz w:val="22"/>
          <w:szCs w:val="22"/>
        </w:rPr>
        <w:t xml:space="preserve"> </w:t>
      </w:r>
      <w:r>
        <w:rPr>
          <w:rFonts w:hint="default" w:ascii="Times New Roman" w:hAnsi="Times New Roman" w:cs="Times New Roman"/>
          <w:i/>
          <w:iCs/>
          <w:sz w:val="22"/>
          <w:szCs w:val="22"/>
        </w:rPr>
        <w:t>4507–4517. https://doi.org/10.2147/JMDH.S481706</w:t>
      </w:r>
    </w:p>
    <w:p w14:paraId="70434850">
      <w:pPr>
        <w:pStyle w:val="1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Nagulkar, J., &amp; Mehta, S. (2025). Immediate effect of manual trigger point release versus post isometric relaxation technique among college students with trapezitis: A comparative study. </w:t>
      </w:r>
      <w:r>
        <w:rPr>
          <w:rStyle w:val="8"/>
          <w:rFonts w:hint="default" w:ascii="Times New Roman" w:hAnsi="Times New Roman" w:cs="Times New Roman"/>
          <w:sz w:val="22"/>
          <w:szCs w:val="22"/>
        </w:rPr>
        <w:t>Journal of Advances in Medical and Medical Research, 37</w:t>
      </w:r>
      <w:r>
        <w:rPr>
          <w:rFonts w:hint="default" w:ascii="Times New Roman" w:hAnsi="Times New Roman" w:cs="Times New Roman"/>
          <w:sz w:val="22"/>
          <w:szCs w:val="22"/>
        </w:rPr>
        <w:t>(6), 277–295. https://doi.org/10.9734/jammr/2025/v37i65870</w:t>
      </w:r>
    </w:p>
    <w:p w14:paraId="7DA36985">
      <w:pPr>
        <w:pStyle w:val="1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Overmann, L., Schleip, R., Anheyer, D., &amp; Michalak, J. (2024). Effectiveness of myofascial release for adults with chronic neck pain: A meta-analysis. </w:t>
      </w:r>
      <w:r>
        <w:rPr>
          <w:rStyle w:val="8"/>
          <w:rFonts w:hint="default" w:ascii="Times New Roman" w:hAnsi="Times New Roman" w:cs="Times New Roman"/>
          <w:sz w:val="22"/>
          <w:szCs w:val="22"/>
        </w:rPr>
        <w:t>Physiotherapy, 123,</w:t>
      </w:r>
      <w:r>
        <w:rPr>
          <w:rFonts w:hint="default" w:ascii="Times New Roman" w:hAnsi="Times New Roman" w:cs="Times New Roman"/>
          <w:sz w:val="22"/>
          <w:szCs w:val="22"/>
        </w:rPr>
        <w:t xml:space="preserve"> 56–68. https://doi.org/10.1016/j.physio.2023.12.002</w:t>
      </w:r>
    </w:p>
    <w:p w14:paraId="4979B5E0">
      <w:pPr>
        <w:pStyle w:val="1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Özüdoğru, A., Canlı, M., &amp; Aslan, M. (2023). Scapular kinesiotaping improves upper extremity functionality in healthy active subjects. </w:t>
      </w:r>
      <w:r>
        <w:rPr>
          <w:rStyle w:val="8"/>
          <w:rFonts w:hint="default" w:ascii="Times New Roman" w:hAnsi="Times New Roman" w:cs="Times New Roman"/>
          <w:sz w:val="22"/>
          <w:szCs w:val="22"/>
        </w:rPr>
        <w:t>Revista da Associação Médica Brasileira, 69</w:t>
      </w:r>
      <w:r>
        <w:rPr>
          <w:rFonts w:hint="default" w:ascii="Times New Roman" w:hAnsi="Times New Roman" w:cs="Times New Roman"/>
          <w:sz w:val="22"/>
          <w:szCs w:val="22"/>
        </w:rPr>
        <w:t xml:space="preserve">(9), </w:t>
      </w:r>
      <w:r>
        <w:rPr>
          <w:rFonts w:hint="default" w:ascii="Times New Roman" w:hAnsi="Times New Roman" w:cs="Times New Roman"/>
          <w:i/>
          <w:iCs/>
          <w:sz w:val="22"/>
          <w:szCs w:val="22"/>
        </w:rPr>
        <w:t xml:space="preserve">e20230260. </w:t>
      </w:r>
      <w:r>
        <w:rPr>
          <w:rFonts w:hint="default" w:ascii="Times New Roman" w:hAnsi="Times New Roman" w:cs="Times New Roman"/>
          <w:i/>
          <w:iCs/>
          <w:sz w:val="22"/>
          <w:szCs w:val="22"/>
        </w:rPr>
        <w:fldChar w:fldCharType="begin"/>
      </w:r>
      <w:r>
        <w:rPr>
          <w:rFonts w:hint="default" w:ascii="Times New Roman" w:hAnsi="Times New Roman" w:cs="Times New Roman"/>
          <w:i/>
          <w:iCs/>
          <w:sz w:val="22"/>
          <w:szCs w:val="22"/>
        </w:rPr>
        <w:instrText xml:space="preserve"> HYPERLINK "https://doi.org/10.1590/1806-9282.20230260" </w:instrText>
      </w:r>
      <w:r>
        <w:rPr>
          <w:rFonts w:hint="default" w:ascii="Times New Roman" w:hAnsi="Times New Roman" w:cs="Times New Roman"/>
          <w:i/>
          <w:iCs/>
          <w:sz w:val="22"/>
          <w:szCs w:val="22"/>
        </w:rPr>
        <w:fldChar w:fldCharType="separate"/>
      </w:r>
      <w:r>
        <w:rPr>
          <w:rStyle w:val="11"/>
          <w:rFonts w:hint="default" w:ascii="Times New Roman" w:hAnsi="Times New Roman" w:cs="Times New Roman"/>
          <w:i/>
          <w:iCs/>
          <w:sz w:val="22"/>
          <w:szCs w:val="22"/>
        </w:rPr>
        <w:t>https://doi.org/10.1590/1806-9282.20230260</w:t>
      </w:r>
      <w:r>
        <w:rPr>
          <w:rFonts w:hint="default" w:ascii="Times New Roman" w:hAnsi="Times New Roman" w:cs="Times New Roman"/>
          <w:i/>
          <w:iCs/>
          <w:sz w:val="22"/>
          <w:szCs w:val="22"/>
        </w:rPr>
        <w:fldChar w:fldCharType="end"/>
      </w:r>
    </w:p>
    <w:p w14:paraId="4B3C67B0">
      <w:pPr>
        <w:pStyle w:val="12"/>
        <w:keepNext w:val="0"/>
        <w:keepLines w:val="0"/>
        <w:widowControl/>
        <w:suppressLineNumbers w:val="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rPr>
        <w:t xml:space="preserve">Senthilkumar, S., Ajithkumar, &amp; Sangeetha, S. (2019). A study on effectiveness of post isometric relaxation technique in trapezitis among workers. </w:t>
      </w:r>
      <w:r>
        <w:rPr>
          <w:rStyle w:val="8"/>
          <w:rFonts w:hint="default" w:ascii="Times New Roman" w:hAnsi="Times New Roman" w:cs="Times New Roman"/>
          <w:sz w:val="22"/>
          <w:szCs w:val="22"/>
        </w:rPr>
        <w:t xml:space="preserve">Research Journal of Pharmacy and Technology, </w:t>
      </w:r>
      <w:r>
        <w:rPr>
          <w:rStyle w:val="8"/>
          <w:rFonts w:hint="default" w:ascii="Times New Roman" w:hAnsi="Times New Roman" w:cs="Times New Roman"/>
          <w:i/>
          <w:iCs/>
          <w:sz w:val="22"/>
          <w:szCs w:val="22"/>
        </w:rPr>
        <w:t>12</w:t>
      </w:r>
      <w:r>
        <w:rPr>
          <w:rFonts w:hint="default" w:ascii="Times New Roman" w:hAnsi="Times New Roman" w:cs="Times New Roman"/>
          <w:i/>
          <w:iCs/>
          <w:sz w:val="22"/>
          <w:szCs w:val="22"/>
        </w:rPr>
        <w:t>(10), 4836–4840</w:t>
      </w:r>
      <w:r>
        <w:rPr>
          <w:rFonts w:hint="default" w:ascii="Times New Roman" w:hAnsi="Times New Roman" w:cs="Times New Roman"/>
          <w:i/>
          <w:iCs/>
          <w:sz w:val="22"/>
          <w:szCs w:val="22"/>
          <w:lang w:val="en-US"/>
        </w:rPr>
        <w:t>.</w:t>
      </w:r>
      <w:r>
        <w:rPr>
          <w:rStyle w:val="11"/>
          <w:rFonts w:hint="default" w:ascii="Times New Roman" w:hAnsi="Times New Roman" w:cs="Times New Roman"/>
          <w:i/>
          <w:iCs/>
          <w:sz w:val="22"/>
          <w:szCs w:val="22"/>
        </w:rPr>
        <w:t>https://doi.org</w:t>
      </w:r>
      <w:r>
        <w:rPr>
          <w:rStyle w:val="11"/>
          <w:rFonts w:hint="default" w:ascii="Times New Roman" w:hAnsi="Times New Roman" w:cs="Times New Roman"/>
          <w:i/>
          <w:iCs/>
          <w:sz w:val="22"/>
          <w:szCs w:val="22"/>
          <w:lang w:val="en-US"/>
        </w:rPr>
        <w:t>/10.5958/0974-360X.2019.00837.0</w:t>
      </w:r>
    </w:p>
    <w:p w14:paraId="630F8AE3">
      <w:pPr>
        <w:pStyle w:val="12"/>
        <w:keepNext w:val="0"/>
        <w:keepLines w:val="0"/>
        <w:widowControl/>
        <w:suppressLineNumbers w:val="0"/>
        <w:spacing w:line="240" w:lineRule="auto"/>
        <w:rPr>
          <w:rFonts w:hint="default" w:ascii="Times New Roman" w:hAnsi="Times New Roman" w:cs="Times New Roman"/>
          <w:i/>
          <w:iCs/>
          <w:sz w:val="22"/>
          <w:szCs w:val="22"/>
        </w:rPr>
      </w:pPr>
      <w:r>
        <w:rPr>
          <w:rFonts w:hint="default" w:ascii="Times New Roman" w:hAnsi="Times New Roman" w:cs="Times New Roman"/>
          <w:sz w:val="22"/>
          <w:szCs w:val="22"/>
        </w:rPr>
        <w:t xml:space="preserve">García-Espinoza, Ó. A., Salas-Fraire, Ó., Flores-Garza, P. P., Salas-Longoria, K., &amp; Valadez-Lira, J. A. (2017). Analgesic effect of whole-body cryotherapy in patients with trapezius myofascial pain syndrome: A longitudinal, non-blinded, experimental study. </w:t>
      </w:r>
      <w:r>
        <w:rPr>
          <w:rStyle w:val="8"/>
          <w:rFonts w:hint="default" w:ascii="Times New Roman" w:hAnsi="Times New Roman" w:cs="Times New Roman"/>
          <w:sz w:val="22"/>
          <w:szCs w:val="22"/>
        </w:rPr>
        <w:t xml:space="preserve">Medicina Universitaria, </w:t>
      </w:r>
      <w:r>
        <w:rPr>
          <w:rStyle w:val="8"/>
          <w:rFonts w:hint="default" w:ascii="Times New Roman" w:hAnsi="Times New Roman" w:cs="Times New Roman"/>
          <w:i/>
          <w:iCs/>
          <w:sz w:val="22"/>
          <w:szCs w:val="22"/>
        </w:rPr>
        <w:t>19</w:t>
      </w:r>
      <w:r>
        <w:rPr>
          <w:rFonts w:hint="default" w:ascii="Times New Roman" w:hAnsi="Times New Roman" w:cs="Times New Roman"/>
          <w:i/>
          <w:iCs/>
          <w:sz w:val="22"/>
          <w:szCs w:val="22"/>
        </w:rPr>
        <w:t>(76), 115–122. https://doi.org/10.1016/j.rmu.2017.07.004</w:t>
      </w:r>
    </w:p>
    <w:p w14:paraId="07F1EE57">
      <w:pPr>
        <w:pStyle w:val="1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Gülcan, Ö., Geler Külcü, D., Mesci, N., Şilte, A. D., &amp; Aydoğ, E. (2016). Efficacy of kinesio tape application on pain and muscle strength in patients with myofascial pain syndrome: A placebo-controlled trial. </w:t>
      </w:r>
      <w:r>
        <w:rPr>
          <w:rStyle w:val="8"/>
          <w:rFonts w:hint="default" w:ascii="Times New Roman" w:hAnsi="Times New Roman" w:cs="Times New Roman"/>
          <w:sz w:val="22"/>
          <w:szCs w:val="22"/>
        </w:rPr>
        <w:t>Journal of Physical Therapy Science,</w:t>
      </w:r>
      <w:r>
        <w:rPr>
          <w:rStyle w:val="8"/>
          <w:rFonts w:hint="default" w:ascii="Times New Roman" w:hAnsi="Times New Roman" w:cs="Times New Roman"/>
          <w:i/>
          <w:iCs/>
          <w:sz w:val="22"/>
          <w:szCs w:val="22"/>
        </w:rPr>
        <w:t xml:space="preserve"> 28</w:t>
      </w:r>
      <w:r>
        <w:rPr>
          <w:rFonts w:hint="default" w:ascii="Times New Roman" w:hAnsi="Times New Roman" w:cs="Times New Roman"/>
          <w:i/>
          <w:iCs/>
          <w:sz w:val="22"/>
          <w:szCs w:val="22"/>
        </w:rPr>
        <w:t>(4), 1074–1079. https://doi.org/10.1589/jpts.28.1074</w:t>
      </w:r>
    </w:p>
    <w:p w14:paraId="402C9528">
      <w:pPr>
        <w:pStyle w:val="12"/>
        <w:keepNext w:val="0"/>
        <w:keepLines w:val="0"/>
        <w:widowControl/>
        <w:suppressLineNumbers w:val="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rPr>
        <w:t xml:space="preserve">Harsh, K., Pathan, U., Doijad, A., Khade, T., &amp; Koli, P. (2025). A comparative study of myofascial release technique and positional release technique adjuvant with percussive therapy in trapezitis. </w:t>
      </w:r>
      <w:r>
        <w:rPr>
          <w:rStyle w:val="8"/>
          <w:rFonts w:hint="default" w:ascii="Times New Roman" w:hAnsi="Times New Roman" w:cs="Times New Roman"/>
          <w:sz w:val="22"/>
          <w:szCs w:val="22"/>
        </w:rPr>
        <w:t>Chinese Journal of Evidence-Based Medicine, 21</w:t>
      </w:r>
      <w:r>
        <w:rPr>
          <w:rFonts w:hint="default" w:ascii="Times New Roman" w:hAnsi="Times New Roman" w:cs="Times New Roman"/>
          <w:i/>
          <w:iCs/>
          <w:sz w:val="22"/>
          <w:szCs w:val="22"/>
        </w:rPr>
        <w:t>(1), 88–98.</w:t>
      </w:r>
      <w:r>
        <w:rPr>
          <w:rFonts w:hint="default" w:ascii="Times New Roman" w:hAnsi="Times New Roman" w:cs="Times New Roman"/>
          <w:i/>
          <w:iCs/>
          <w:sz w:val="22"/>
          <w:szCs w:val="22"/>
          <w:lang w:val="en-US"/>
        </w:rPr>
        <w:t xml:space="preserve"> </w:t>
      </w:r>
      <w:r>
        <w:rPr>
          <w:rFonts w:hint="default" w:ascii="Times New Roman" w:hAnsi="Times New Roman" w:cs="Times New Roman"/>
          <w:i/>
          <w:iCs/>
          <w:sz w:val="22"/>
          <w:szCs w:val="22"/>
        </w:rPr>
        <w:fldChar w:fldCharType="begin"/>
      </w:r>
      <w:r>
        <w:rPr>
          <w:rFonts w:hint="default" w:ascii="Times New Roman" w:hAnsi="Times New Roman" w:cs="Times New Roman"/>
          <w:i/>
          <w:iCs/>
          <w:sz w:val="22"/>
          <w:szCs w:val="22"/>
        </w:rPr>
        <w:instrText xml:space="preserve"> HYPERLINK "https://doie.org/doi/doi_details/2053" </w:instrText>
      </w:r>
      <w:r>
        <w:rPr>
          <w:rFonts w:hint="default" w:ascii="Times New Roman" w:hAnsi="Times New Roman" w:cs="Times New Roman"/>
          <w:i/>
          <w:iCs/>
          <w:sz w:val="22"/>
          <w:szCs w:val="22"/>
        </w:rPr>
        <w:fldChar w:fldCharType="separate"/>
      </w:r>
      <w:r>
        <w:rPr>
          <w:rStyle w:val="11"/>
          <w:rFonts w:hint="default" w:ascii="Times New Roman" w:hAnsi="Times New Roman" w:cs="Times New Roman"/>
          <w:i/>
          <w:iCs/>
          <w:kern w:val="0"/>
          <w:sz w:val="22"/>
          <w:szCs w:val="22"/>
          <w14:ligatures w14:val="none"/>
        </w:rPr>
        <w:t>https://doie.org/doi/doi_details/2053</w:t>
      </w:r>
      <w:r>
        <w:rPr>
          <w:rStyle w:val="11"/>
          <w:rFonts w:hint="default" w:ascii="Times New Roman" w:hAnsi="Times New Roman" w:cs="Times New Roman"/>
          <w:i/>
          <w:iCs/>
          <w:kern w:val="0"/>
          <w:sz w:val="22"/>
          <w:szCs w:val="22"/>
          <w14:ligatures w14:val="none"/>
        </w:rPr>
        <w:fldChar w:fldCharType="end"/>
      </w:r>
    </w:p>
    <w:p w14:paraId="183CAEDE">
      <w:pPr>
        <w:pStyle w:val="12"/>
        <w:keepNext w:val="0"/>
        <w:keepLines w:val="0"/>
        <w:widowControl/>
        <w:suppressLineNumbers w:val="0"/>
        <w:spacing w:line="240" w:lineRule="auto"/>
        <w:rPr>
          <w:rFonts w:hint="default" w:ascii="Times New Roman" w:hAnsi="Times New Roman" w:cs="Times New Roman"/>
          <w:i/>
          <w:iCs/>
          <w:sz w:val="22"/>
          <w:szCs w:val="22"/>
          <w:lang w:val="en-US"/>
        </w:rPr>
      </w:pPr>
      <w:r>
        <w:rPr>
          <w:rFonts w:hint="default" w:ascii="Times New Roman" w:hAnsi="Times New Roman" w:cs="Times New Roman"/>
          <w:sz w:val="22"/>
          <w:szCs w:val="22"/>
        </w:rPr>
        <w:t xml:space="preserve">Laura, H. (2006). The effect of manual pressure release on myofascial trigger points in the upper trapezius muscle. </w:t>
      </w:r>
      <w:r>
        <w:rPr>
          <w:rStyle w:val="8"/>
          <w:rFonts w:hint="default" w:ascii="Times New Roman" w:hAnsi="Times New Roman" w:cs="Times New Roman"/>
          <w:sz w:val="22"/>
          <w:szCs w:val="22"/>
        </w:rPr>
        <w:t>International Journal of Osteopathic Medicine, 9</w:t>
      </w:r>
      <w:r>
        <w:rPr>
          <w:rFonts w:hint="default" w:ascii="Times New Roman" w:hAnsi="Times New Roman" w:cs="Times New Roman"/>
          <w:i/>
          <w:iCs/>
          <w:sz w:val="22"/>
          <w:szCs w:val="22"/>
        </w:rPr>
        <w:t>(1), 33.</w:t>
      </w:r>
      <w:r>
        <w:rPr>
          <w:rFonts w:hint="default" w:ascii="Times New Roman" w:hAnsi="Times New Roman" w:cs="Times New Roman"/>
          <w:i/>
          <w:iCs/>
          <w:sz w:val="22"/>
          <w:szCs w:val="22"/>
          <w:lang w:val="en-US"/>
        </w:rPr>
        <w:t xml:space="preserve"> </w:t>
      </w:r>
      <w:r>
        <w:rPr>
          <w:rFonts w:hint="default" w:ascii="Times New Roman" w:hAnsi="Times New Roman" w:eastAsia="Arial" w:cs="Times New Roman"/>
          <w:i/>
          <w:iCs/>
          <w:caps w:val="0"/>
          <w:color w:val="555555"/>
          <w:spacing w:val="0"/>
          <w:sz w:val="22"/>
          <w:szCs w:val="22"/>
          <w:shd w:val="clear" w:fill="FFFFFF"/>
        </w:rPr>
        <w:t>DOI:</w:t>
      </w:r>
      <w:r>
        <w:rPr>
          <w:rFonts w:hint="default" w:ascii="Times New Roman" w:hAnsi="Times New Roman" w:eastAsia="Arial" w:cs="Times New Roman"/>
          <w:i/>
          <w:iCs/>
          <w:caps w:val="0"/>
          <w:spacing w:val="0"/>
          <w:sz w:val="22"/>
          <w:szCs w:val="22"/>
          <w:u w:val="single"/>
          <w:shd w:val="clear" w:fill="FFFFFF"/>
        </w:rPr>
        <w:fldChar w:fldCharType="begin"/>
      </w:r>
      <w:r>
        <w:rPr>
          <w:rFonts w:hint="default" w:ascii="Times New Roman" w:hAnsi="Times New Roman" w:eastAsia="Arial" w:cs="Times New Roman"/>
          <w:i/>
          <w:iCs/>
          <w:caps w:val="0"/>
          <w:spacing w:val="0"/>
          <w:sz w:val="22"/>
          <w:szCs w:val="22"/>
          <w:u w:val="single"/>
          <w:shd w:val="clear" w:fill="FFFFFF"/>
        </w:rPr>
        <w:instrText xml:space="preserve"> HYPERLINK "http://dx.doi.org/10.1016/j.ijosm.2006.01.011" \t "https://www.researchgate.net/publication/_blank" </w:instrText>
      </w:r>
      <w:r>
        <w:rPr>
          <w:rFonts w:hint="default" w:ascii="Times New Roman" w:hAnsi="Times New Roman" w:eastAsia="Arial" w:cs="Times New Roman"/>
          <w:i/>
          <w:iCs/>
          <w:caps w:val="0"/>
          <w:spacing w:val="0"/>
          <w:sz w:val="22"/>
          <w:szCs w:val="22"/>
          <w:u w:val="single"/>
          <w:shd w:val="clear" w:fill="FFFFFF"/>
        </w:rPr>
        <w:fldChar w:fldCharType="separate"/>
      </w:r>
      <w:r>
        <w:rPr>
          <w:rStyle w:val="11"/>
          <w:rFonts w:hint="default" w:ascii="Times New Roman" w:hAnsi="Times New Roman" w:eastAsia="Arial" w:cs="Times New Roman"/>
          <w:i/>
          <w:iCs/>
          <w:caps w:val="0"/>
          <w:spacing w:val="0"/>
          <w:sz w:val="22"/>
          <w:szCs w:val="22"/>
          <w:u w:val="single"/>
          <w:shd w:val="clear" w:fill="FFFFFF"/>
        </w:rPr>
        <w:t>10.1016/j.ijosm.2006.01.011</w:t>
      </w:r>
      <w:r>
        <w:rPr>
          <w:rFonts w:hint="default" w:ascii="Times New Roman" w:hAnsi="Times New Roman" w:eastAsia="Arial" w:cs="Times New Roman"/>
          <w:i/>
          <w:iCs/>
          <w:caps w:val="0"/>
          <w:spacing w:val="0"/>
          <w:sz w:val="22"/>
          <w:szCs w:val="22"/>
          <w:u w:val="single"/>
          <w:shd w:val="clear" w:fill="FFFFFF"/>
        </w:rPr>
        <w:fldChar w:fldCharType="end"/>
      </w:r>
    </w:p>
    <w:p w14:paraId="530B6B6E">
      <w:pPr>
        <w:pStyle w:val="1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Manheim, C. J. (2001). </w:t>
      </w:r>
      <w:r>
        <w:rPr>
          <w:rStyle w:val="8"/>
          <w:rFonts w:hint="default" w:ascii="Times New Roman" w:hAnsi="Times New Roman" w:cs="Times New Roman"/>
          <w:sz w:val="22"/>
          <w:szCs w:val="22"/>
        </w:rPr>
        <w:t>The myofascial release manual</w:t>
      </w:r>
      <w:r>
        <w:rPr>
          <w:rFonts w:hint="default" w:ascii="Times New Roman" w:hAnsi="Times New Roman" w:cs="Times New Roman"/>
          <w:sz w:val="22"/>
          <w:szCs w:val="22"/>
        </w:rPr>
        <w:t xml:space="preserve"> (3rd ed.). Slack </w:t>
      </w:r>
      <w:r>
        <w:rPr>
          <w:rFonts w:hint="default" w:ascii="Times New Roman" w:hAnsi="Times New Roman" w:cs="Times New Roman"/>
          <w:i/>
          <w:iCs/>
          <w:sz w:val="22"/>
          <w:szCs w:val="22"/>
          <w:u w:val="none"/>
        </w:rPr>
        <w:fldChar w:fldCharType="begin"/>
      </w:r>
      <w:r>
        <w:rPr>
          <w:rFonts w:hint="default" w:ascii="Times New Roman" w:hAnsi="Times New Roman" w:cs="Times New Roman"/>
          <w:i/>
          <w:iCs/>
          <w:sz w:val="22"/>
          <w:szCs w:val="22"/>
          <w:u w:val="none"/>
        </w:rPr>
        <w:instrText xml:space="preserve"> HYPERLINK "https://scholar.google.com/scholar?hl=de&amp;as_sdt=0%2C5&amp;q=%22Manheim+CJ.+The+Myofascial+Release+Manual.+3rd+ed.%3B+2001%22&amp;btnG=" </w:instrText>
      </w:r>
      <w:r>
        <w:rPr>
          <w:rFonts w:hint="default" w:ascii="Times New Roman" w:hAnsi="Times New Roman" w:cs="Times New Roman"/>
          <w:i/>
          <w:iCs/>
          <w:sz w:val="22"/>
          <w:szCs w:val="22"/>
          <w:u w:val="none"/>
        </w:rPr>
        <w:fldChar w:fldCharType="separate"/>
      </w:r>
      <w:r>
        <w:rPr>
          <w:rStyle w:val="11"/>
          <w:rFonts w:hint="default" w:ascii="Times New Roman" w:hAnsi="Times New Roman" w:cs="Times New Roman"/>
          <w:i/>
          <w:iCs/>
          <w:kern w:val="0"/>
          <w:sz w:val="22"/>
          <w:szCs w:val="22"/>
          <w:u w:val="none"/>
          <w14:ligatures w14:val="none"/>
        </w:rPr>
        <w:t>https://scholar.google.com/scholar?hl=de&amp;as_sdt=0%2C5&amp;q=%22Manheim+CJ.+The+Myofascial+Release+Manual.+3rd+ed.%3B+2001%22&amp;btnG=</w:t>
      </w:r>
      <w:r>
        <w:rPr>
          <w:rStyle w:val="11"/>
          <w:rFonts w:hint="default" w:ascii="Times New Roman" w:hAnsi="Times New Roman" w:cs="Times New Roman"/>
          <w:i/>
          <w:iCs/>
          <w:kern w:val="0"/>
          <w:sz w:val="22"/>
          <w:szCs w:val="22"/>
          <w:u w:val="none"/>
          <w14:ligatures w14:val="none"/>
        </w:rPr>
        <w:fldChar w:fldCharType="end"/>
      </w:r>
    </w:p>
    <w:p w14:paraId="18C8C6FC">
      <w:pPr>
        <w:pStyle w:val="12"/>
        <w:keepNext w:val="0"/>
        <w:keepLines w:val="0"/>
        <w:widowControl/>
        <w:suppressLineNumbers w:val="0"/>
        <w:spacing w:line="240" w:lineRule="auto"/>
        <w:rPr>
          <w:rFonts w:hint="default" w:ascii="Times New Roman" w:hAnsi="Times New Roman" w:cs="Times New Roman"/>
          <w:i/>
          <w:iCs/>
          <w:sz w:val="22"/>
          <w:szCs w:val="22"/>
        </w:rPr>
      </w:pPr>
      <w:r>
        <w:rPr>
          <w:rFonts w:hint="default" w:ascii="Times New Roman" w:hAnsi="Times New Roman" w:cs="Times New Roman"/>
          <w:sz w:val="22"/>
          <w:szCs w:val="22"/>
        </w:rPr>
        <w:t xml:space="preserve">Overmann, L., Schleip, R., Anheyer, D., &amp; Michalak, J. (2024). Myofascial release for adults with chronic neck pain: A meta-analysis. </w:t>
      </w:r>
      <w:r>
        <w:rPr>
          <w:rStyle w:val="8"/>
          <w:rFonts w:hint="default" w:ascii="Times New Roman" w:hAnsi="Times New Roman" w:cs="Times New Roman"/>
          <w:sz w:val="22"/>
          <w:szCs w:val="22"/>
        </w:rPr>
        <w:t>Physiotherapy, 123,</w:t>
      </w:r>
      <w:r>
        <w:rPr>
          <w:rFonts w:hint="default" w:ascii="Times New Roman" w:hAnsi="Times New Roman" w:cs="Times New Roman"/>
          <w:sz w:val="22"/>
          <w:szCs w:val="22"/>
        </w:rPr>
        <w:t xml:space="preserve"> </w:t>
      </w:r>
      <w:r>
        <w:rPr>
          <w:rFonts w:hint="default" w:ascii="Times New Roman" w:hAnsi="Times New Roman" w:cs="Times New Roman"/>
          <w:i/>
          <w:iCs/>
          <w:sz w:val="22"/>
          <w:szCs w:val="22"/>
        </w:rPr>
        <w:t>56–68. https://doi.org/10.1016/j.physio.2023.12.002</w:t>
      </w:r>
    </w:p>
    <w:p w14:paraId="01025FB0">
      <w:pPr>
        <w:pStyle w:val="12"/>
        <w:keepNext w:val="0"/>
        <w:keepLines w:val="0"/>
        <w:widowControl/>
        <w:suppressLineNumbers w:val="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rPr>
        <w:t xml:space="preserve">Parab, M., Bedekar, N., Shyam, A., &amp; Sancheti, P. (2020). Immediate effects of myofascial release and cryo-stretching in management of upper trapezius trigger points: A comparative study. </w:t>
      </w:r>
      <w:r>
        <w:rPr>
          <w:rStyle w:val="8"/>
          <w:rFonts w:hint="default" w:ascii="Times New Roman" w:hAnsi="Times New Roman" w:cs="Times New Roman"/>
          <w:sz w:val="22"/>
          <w:szCs w:val="22"/>
        </w:rPr>
        <w:t>Journal of Society of Indian Physiotherapists, 4</w:t>
      </w:r>
      <w:r>
        <w:rPr>
          <w:rFonts w:hint="default" w:ascii="Times New Roman" w:hAnsi="Times New Roman" w:cs="Times New Roman"/>
          <w:i/>
          <w:iCs/>
          <w:sz w:val="22"/>
          <w:szCs w:val="22"/>
        </w:rPr>
        <w:t>(2), 74–78.</w:t>
      </w:r>
      <w:r>
        <w:rPr>
          <w:rFonts w:hint="default" w:ascii="Times New Roman" w:hAnsi="Times New Roman" w:cs="Times New Roman"/>
          <w:i/>
          <w:iCs/>
          <w:sz w:val="22"/>
          <w:szCs w:val="22"/>
          <w:lang w:val="en-US"/>
        </w:rPr>
        <w:t xml:space="preserve"> </w:t>
      </w:r>
      <w:r>
        <w:rPr>
          <w:rFonts w:hint="default" w:ascii="Times New Roman" w:hAnsi="Times New Roman" w:eastAsia="Arial" w:cs="Times New Roman"/>
          <w:i/>
          <w:iCs/>
          <w:caps w:val="0"/>
          <w:color w:val="555555"/>
          <w:spacing w:val="0"/>
          <w:sz w:val="22"/>
          <w:szCs w:val="22"/>
          <w:shd w:val="clear" w:fill="FFFFFF"/>
        </w:rPr>
        <w:t>DOI</w:t>
      </w:r>
      <w:r>
        <w:rPr>
          <w:rFonts w:hint="default" w:ascii="Times New Roman" w:hAnsi="Times New Roman" w:eastAsia="Arial" w:cs="Times New Roman"/>
          <w:i/>
          <w:iCs/>
          <w:caps w:val="0"/>
          <w:color w:val="555555"/>
          <w:spacing w:val="0"/>
          <w:sz w:val="22"/>
          <w:szCs w:val="22"/>
          <w:u w:val="none"/>
          <w:shd w:val="clear" w:fill="FFFFFF"/>
        </w:rPr>
        <w:t>:</w:t>
      </w:r>
      <w:r>
        <w:rPr>
          <w:rFonts w:hint="default" w:ascii="Times New Roman" w:hAnsi="Times New Roman" w:eastAsia="Arial" w:cs="Times New Roman"/>
          <w:i/>
          <w:iCs/>
          <w:caps w:val="0"/>
          <w:spacing w:val="0"/>
          <w:sz w:val="22"/>
          <w:szCs w:val="22"/>
          <w:u w:val="none"/>
          <w:shd w:val="clear" w:fill="FFFFFF"/>
        </w:rPr>
        <w:fldChar w:fldCharType="begin"/>
      </w:r>
      <w:r>
        <w:rPr>
          <w:rFonts w:hint="default" w:ascii="Times New Roman" w:hAnsi="Times New Roman" w:eastAsia="Arial" w:cs="Times New Roman"/>
          <w:i/>
          <w:iCs/>
          <w:caps w:val="0"/>
          <w:spacing w:val="0"/>
          <w:sz w:val="22"/>
          <w:szCs w:val="22"/>
          <w:u w:val="none"/>
          <w:shd w:val="clear" w:fill="FFFFFF"/>
        </w:rPr>
        <w:instrText xml:space="preserve"> HYPERLINK "http://dx.doi.org/10.18231/j.jsip.2020.011" \t "https://www.researchgate.net/publication/_blank" </w:instrText>
      </w:r>
      <w:r>
        <w:rPr>
          <w:rFonts w:hint="default" w:ascii="Times New Roman" w:hAnsi="Times New Roman" w:eastAsia="Arial" w:cs="Times New Roman"/>
          <w:i/>
          <w:iCs/>
          <w:caps w:val="0"/>
          <w:spacing w:val="0"/>
          <w:sz w:val="22"/>
          <w:szCs w:val="22"/>
          <w:u w:val="none"/>
          <w:shd w:val="clear" w:fill="FFFFFF"/>
        </w:rPr>
        <w:fldChar w:fldCharType="separate"/>
      </w:r>
      <w:r>
        <w:rPr>
          <w:rStyle w:val="11"/>
          <w:rFonts w:hint="default" w:ascii="Times New Roman" w:hAnsi="Times New Roman" w:eastAsia="Arial" w:cs="Times New Roman"/>
          <w:i/>
          <w:iCs/>
          <w:caps w:val="0"/>
          <w:spacing w:val="0"/>
          <w:sz w:val="22"/>
          <w:szCs w:val="22"/>
          <w:u w:val="none"/>
          <w:shd w:val="clear" w:fill="FFFFFF"/>
        </w:rPr>
        <w:t>10.18231/j.jsip.2020.011</w:t>
      </w:r>
      <w:r>
        <w:rPr>
          <w:rFonts w:hint="default" w:ascii="Times New Roman" w:hAnsi="Times New Roman" w:eastAsia="Arial" w:cs="Times New Roman"/>
          <w:i/>
          <w:iCs/>
          <w:caps w:val="0"/>
          <w:spacing w:val="0"/>
          <w:sz w:val="22"/>
          <w:szCs w:val="22"/>
          <w:u w:val="none"/>
          <w:shd w:val="clear" w:fill="FFFFFF"/>
        </w:rPr>
        <w:fldChar w:fldCharType="end"/>
      </w:r>
    </w:p>
    <w:p w14:paraId="064367E3">
      <w:pPr>
        <w:pStyle w:val="12"/>
        <w:keepNext w:val="0"/>
        <w:keepLines w:val="0"/>
        <w:widowControl/>
        <w:suppressLineNumbers w:val="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rPr>
        <w:t xml:space="preserve">Rubi, Y., &amp; Sharma, S. (2024). Efficacy of myofascial release therapy and positional release therapy in patients with upper trapezius trigger points: Study protocol of a double-blinded randomized clinical trial. </w:t>
      </w:r>
      <w:r>
        <w:rPr>
          <w:rStyle w:val="8"/>
          <w:rFonts w:hint="default" w:ascii="Times New Roman" w:hAnsi="Times New Roman" w:cs="Times New Roman"/>
          <w:sz w:val="22"/>
          <w:szCs w:val="22"/>
        </w:rPr>
        <w:t>International Journal of Therapeutic Massage &amp; Bodywork, 17</w:t>
      </w:r>
      <w:r>
        <w:rPr>
          <w:rFonts w:hint="default" w:ascii="Times New Roman" w:hAnsi="Times New Roman" w:cs="Times New Roman"/>
          <w:sz w:val="22"/>
          <w:szCs w:val="22"/>
        </w:rPr>
        <w:t>(4),</w:t>
      </w:r>
      <w:r>
        <w:rPr>
          <w:rFonts w:hint="default" w:ascii="Times New Roman" w:hAnsi="Times New Roman" w:cs="Times New Roman"/>
          <w:i/>
          <w:iCs/>
          <w:sz w:val="22"/>
          <w:szCs w:val="22"/>
        </w:rPr>
        <w:t xml:space="preserve"> 49–57.</w:t>
      </w:r>
      <w:r>
        <w:rPr>
          <w:rFonts w:hint="default" w:ascii="Times New Roman" w:hAnsi="Times New Roman" w:cs="Times New Roman"/>
          <w:i/>
          <w:iCs/>
          <w:sz w:val="22"/>
          <w:szCs w:val="22"/>
          <w:lang w:val="en-US"/>
        </w:rPr>
        <w:t xml:space="preserve"> </w:t>
      </w:r>
      <w:r>
        <w:rPr>
          <w:rFonts w:hint="default" w:ascii="Times New Roman" w:hAnsi="Times New Roman" w:eastAsia="Bahnschrift" w:cs="Times New Roman"/>
          <w:i/>
          <w:iCs/>
          <w:caps w:val="0"/>
          <w:color w:val="1B1B1B"/>
          <w:spacing w:val="0"/>
          <w:sz w:val="22"/>
          <w:szCs w:val="22"/>
          <w:u w:val="none"/>
          <w:shd w:val="clear" w:fill="FFFFFF"/>
        </w:rPr>
        <w:t>doi: </w:t>
      </w:r>
      <w:r>
        <w:rPr>
          <w:rFonts w:hint="default" w:ascii="Times New Roman" w:hAnsi="Times New Roman" w:eastAsia="Bahnschrift" w:cs="Times New Roman"/>
          <w:i/>
          <w:iCs/>
          <w:caps w:val="0"/>
          <w:color w:val="005EA2"/>
          <w:spacing w:val="0"/>
          <w:sz w:val="22"/>
          <w:szCs w:val="22"/>
          <w:u w:val="none"/>
          <w:shd w:val="clear" w:fill="FFFFFF"/>
        </w:rPr>
        <w:fldChar w:fldCharType="begin"/>
      </w:r>
      <w:r>
        <w:rPr>
          <w:rFonts w:hint="default" w:ascii="Times New Roman" w:hAnsi="Times New Roman" w:eastAsia="Bahnschrift" w:cs="Times New Roman"/>
          <w:i/>
          <w:iCs/>
          <w:caps w:val="0"/>
          <w:color w:val="005EA2"/>
          <w:spacing w:val="0"/>
          <w:sz w:val="22"/>
          <w:szCs w:val="22"/>
          <w:u w:val="none"/>
          <w:shd w:val="clear" w:fill="FFFFFF"/>
        </w:rPr>
        <w:instrText xml:space="preserve"> HYPERLINK "https://doi.org/10.3822/ijtmb.v17i4.1041" \t "https://pmc.ncbi.nlm.nih.gov/articles/PMC11623314/_blank" </w:instrText>
      </w:r>
      <w:r>
        <w:rPr>
          <w:rFonts w:hint="default" w:ascii="Times New Roman" w:hAnsi="Times New Roman" w:eastAsia="Bahnschrift" w:cs="Times New Roman"/>
          <w:i/>
          <w:iCs/>
          <w:caps w:val="0"/>
          <w:color w:val="005EA2"/>
          <w:spacing w:val="0"/>
          <w:sz w:val="22"/>
          <w:szCs w:val="22"/>
          <w:u w:val="none"/>
          <w:shd w:val="clear" w:fill="FFFFFF"/>
        </w:rPr>
        <w:fldChar w:fldCharType="separate"/>
      </w:r>
      <w:r>
        <w:rPr>
          <w:rStyle w:val="11"/>
          <w:rFonts w:hint="default" w:ascii="Times New Roman" w:hAnsi="Times New Roman" w:eastAsia="Bahnschrift" w:cs="Times New Roman"/>
          <w:i/>
          <w:iCs/>
          <w:caps w:val="0"/>
          <w:color w:val="005EA2"/>
          <w:spacing w:val="0"/>
          <w:sz w:val="22"/>
          <w:szCs w:val="22"/>
          <w:u w:val="none"/>
          <w:shd w:val="clear" w:fill="FFFFFF"/>
        </w:rPr>
        <w:t>10.3822/ijtmb.v17i4.1041</w:t>
      </w:r>
      <w:r>
        <w:rPr>
          <w:rFonts w:hint="default" w:ascii="Times New Roman" w:hAnsi="Times New Roman" w:eastAsia="Bahnschrift" w:cs="Times New Roman"/>
          <w:i/>
          <w:iCs/>
          <w:caps w:val="0"/>
          <w:color w:val="005EA2"/>
          <w:spacing w:val="0"/>
          <w:sz w:val="22"/>
          <w:szCs w:val="22"/>
          <w:u w:val="none"/>
          <w:shd w:val="clear" w:fill="FFFFFF"/>
        </w:rPr>
        <w:fldChar w:fldCharType="end"/>
      </w:r>
    </w:p>
    <w:p w14:paraId="489DD8B6">
      <w:pPr>
        <w:pStyle w:val="1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Saavedra-Hernández, M., Castro-Sánchez, A. M., Arroyo-Morales, M., Cleland, J. A., Lara-Palomo, I. C., &amp; Fernández-de-Las-Peñas, C. (2012). Short-term effects of kinesio taping versus cervical thrust manipulation in patients with mechanical neck pain: A randomized clinical trial. </w:t>
      </w:r>
      <w:r>
        <w:rPr>
          <w:rStyle w:val="8"/>
          <w:rFonts w:hint="default" w:ascii="Times New Roman" w:hAnsi="Times New Roman" w:cs="Times New Roman"/>
          <w:sz w:val="22"/>
          <w:szCs w:val="22"/>
        </w:rPr>
        <w:t>Journal of Orthopaedic &amp; Sports Physical Therapy, 42</w:t>
      </w:r>
      <w:r>
        <w:rPr>
          <w:rFonts w:hint="default" w:ascii="Times New Roman" w:hAnsi="Times New Roman" w:cs="Times New Roman"/>
          <w:sz w:val="22"/>
          <w:szCs w:val="22"/>
        </w:rPr>
        <w:t>(8),</w:t>
      </w:r>
      <w:r>
        <w:rPr>
          <w:rFonts w:hint="default" w:ascii="Times New Roman" w:hAnsi="Times New Roman" w:cs="Times New Roman"/>
          <w:i/>
          <w:iCs/>
          <w:sz w:val="22"/>
          <w:szCs w:val="22"/>
        </w:rPr>
        <w:t xml:space="preserve"> 724–730. https://doi.org/10.2519/jospt.2012.4086</w:t>
      </w:r>
    </w:p>
    <w:p w14:paraId="2D66BC38">
      <w:pPr>
        <w:pStyle w:val="1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Senthilkumar, S., Ajithkumar, &amp; Sangeetha, S. (2019). A study on effectiveness of post isometric relaxation technique in trapezitis among workers. </w:t>
      </w:r>
      <w:r>
        <w:rPr>
          <w:rStyle w:val="8"/>
          <w:rFonts w:hint="default" w:ascii="Times New Roman" w:hAnsi="Times New Roman" w:cs="Times New Roman"/>
          <w:sz w:val="22"/>
          <w:szCs w:val="22"/>
        </w:rPr>
        <w:t>Research Journal of Pharmacy and Technology, 12</w:t>
      </w:r>
      <w:r>
        <w:rPr>
          <w:rFonts w:hint="default" w:ascii="Times New Roman" w:hAnsi="Times New Roman" w:cs="Times New Roman"/>
          <w:sz w:val="22"/>
          <w:szCs w:val="22"/>
        </w:rPr>
        <w:t xml:space="preserve">(10), </w:t>
      </w:r>
      <w:r>
        <w:rPr>
          <w:rFonts w:hint="default" w:ascii="Times New Roman" w:hAnsi="Times New Roman" w:cs="Times New Roman"/>
          <w:i/>
          <w:iCs/>
          <w:sz w:val="22"/>
          <w:szCs w:val="22"/>
        </w:rPr>
        <w:t>4836–4840. https://doi.org/10.5958/0974-360X.2019.00837.0</w:t>
      </w:r>
    </w:p>
    <w:p w14:paraId="0CCEE94D">
      <w:pPr>
        <w:pStyle w:val="1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Shih, H. S., Lin, J. J., Lin, Y. J., &amp; Chiu, T. T. (2017). Immediate effects of kinesio taping on muscle pain and strength in patients with latent myofascial trigger points of the upper trapezius. </w:t>
      </w:r>
      <w:r>
        <w:rPr>
          <w:rStyle w:val="8"/>
          <w:rFonts w:hint="default" w:ascii="Times New Roman" w:hAnsi="Times New Roman" w:cs="Times New Roman"/>
          <w:sz w:val="22"/>
          <w:szCs w:val="22"/>
        </w:rPr>
        <w:t>Journal of Physical Therapy Science, 29</w:t>
      </w:r>
      <w:r>
        <w:rPr>
          <w:rFonts w:hint="default" w:ascii="Times New Roman" w:hAnsi="Times New Roman" w:cs="Times New Roman"/>
          <w:sz w:val="22"/>
          <w:szCs w:val="22"/>
        </w:rPr>
        <w:t>(2</w:t>
      </w:r>
      <w:r>
        <w:rPr>
          <w:rFonts w:hint="default" w:ascii="Times New Roman" w:hAnsi="Times New Roman" w:cs="Times New Roman"/>
          <w:i/>
          <w:iCs/>
          <w:sz w:val="22"/>
          <w:szCs w:val="22"/>
        </w:rPr>
        <w:t>), 295–300. https://doi.org/10.1589/jpts.29.295</w:t>
      </w:r>
    </w:p>
    <w:p w14:paraId="1903F153">
      <w:pPr>
        <w:pStyle w:val="1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Simons, D. G. (2004). Review of enigmatic MTrPs as a common cause of enigmatic musculoskeletal pain and dysfunction. </w:t>
      </w:r>
      <w:r>
        <w:rPr>
          <w:rStyle w:val="8"/>
          <w:rFonts w:hint="default" w:ascii="Times New Roman" w:hAnsi="Times New Roman" w:cs="Times New Roman"/>
          <w:sz w:val="22"/>
          <w:szCs w:val="22"/>
        </w:rPr>
        <w:t>Journal of Electromyography and Kinesiology, 1</w:t>
      </w:r>
      <w:r>
        <w:rPr>
          <w:rStyle w:val="8"/>
          <w:rFonts w:hint="default" w:ascii="Times New Roman" w:hAnsi="Times New Roman" w:cs="Times New Roman"/>
          <w:i/>
          <w:iCs/>
          <w:sz w:val="22"/>
          <w:szCs w:val="22"/>
        </w:rPr>
        <w:t>4</w:t>
      </w:r>
      <w:r>
        <w:rPr>
          <w:rFonts w:hint="default" w:ascii="Times New Roman" w:hAnsi="Times New Roman" w:cs="Times New Roman"/>
          <w:i/>
          <w:iCs/>
          <w:sz w:val="22"/>
          <w:szCs w:val="22"/>
        </w:rPr>
        <w:t>(1), 95–107. https://doi.org/10.1016/j.jelekin.2003.09.018</w:t>
      </w:r>
    </w:p>
    <w:p w14:paraId="3E1310C4">
      <w:pPr>
        <w:pStyle w:val="12"/>
        <w:keepNext w:val="0"/>
        <w:keepLines w:val="0"/>
        <w:widowControl/>
        <w:suppressLineNumbers w:val="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rPr>
        <w:t xml:space="preserve">Yadav, R., &amp; Sharma, S. (2024). Efficacy of myofascial release therapy and positional release therapy in patients with upper trapezius trigger points: Study protocol of a double-blinded randomized clinical trial. </w:t>
      </w:r>
      <w:r>
        <w:rPr>
          <w:rStyle w:val="8"/>
          <w:rFonts w:hint="default" w:ascii="Times New Roman" w:hAnsi="Times New Roman" w:cs="Times New Roman"/>
          <w:sz w:val="22"/>
          <w:szCs w:val="22"/>
        </w:rPr>
        <w:t>International Journal of Therapeutic Massage &amp; Bodywork, 17</w:t>
      </w:r>
      <w:r>
        <w:rPr>
          <w:rFonts w:hint="default" w:ascii="Times New Roman" w:hAnsi="Times New Roman" w:cs="Times New Roman"/>
          <w:i/>
          <w:iCs/>
          <w:sz w:val="22"/>
          <w:szCs w:val="22"/>
        </w:rPr>
        <w:t>(4), 49–57.</w:t>
      </w:r>
      <w:r>
        <w:rPr>
          <w:rFonts w:hint="default" w:ascii="Times New Roman" w:hAnsi="Times New Roman" w:cs="Times New Roman"/>
          <w:i/>
          <w:iCs/>
          <w:sz w:val="22"/>
          <w:szCs w:val="22"/>
          <w:lang w:val="en-US"/>
        </w:rPr>
        <w:t xml:space="preserve"> </w:t>
      </w:r>
      <w:r>
        <w:rPr>
          <w:rFonts w:hint="default" w:ascii="Times New Roman" w:hAnsi="Times New Roman" w:eastAsia="Segoe UI" w:cs="Times New Roman"/>
          <w:i/>
          <w:iCs/>
          <w:caps w:val="0"/>
          <w:color w:val="5B616B"/>
          <w:spacing w:val="0"/>
          <w:sz w:val="22"/>
          <w:szCs w:val="22"/>
          <w:shd w:val="clear" w:fill="FFFFFF"/>
        </w:rPr>
        <w:t>doi: 10.3822/ijtmb.v17i4.1041.</w:t>
      </w:r>
    </w:p>
    <w:p w14:paraId="23477BD3"/>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NimbusRomNo9L">
    <w:altName w:val="Times New Roman"/>
    <w:panose1 w:val="00000000000000000000"/>
    <w:charset w:val="00"/>
    <w:family w:val="roman"/>
    <w:pitch w:val="default"/>
    <w:sig w:usb0="00000000" w:usb1="00000000" w:usb2="00000000" w:usb3="00000000" w:csb0="00000000" w:csb1="00000000"/>
  </w:font>
  <w:font w:name="Bahnschrift">
    <w:panose1 w:val="020B0502040204020203"/>
    <w:charset w:val="00"/>
    <w:family w:val="auto"/>
    <w:pitch w:val="default"/>
    <w:sig w:usb0="A00002C7" w:usb1="00000002" w:usb2="00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BF3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96A4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231E">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5D10">
    <w:pPr>
      <w:pStyle w:val="10"/>
    </w:pPr>
    <w:r>
      <w:pict>
        <v:shape id="PowerPlusWaterMarkObject533260642" o:spid="_x0000_s4098"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DED8">
    <w:pPr>
      <w:pStyle w:val="10"/>
    </w:pPr>
    <w:r>
      <w:pict>
        <v:shape id="PowerPlusWaterMarkObject533260641" o:spid="_x0000_s4099"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5BC4">
    <w:pPr>
      <w:pStyle w:val="10"/>
    </w:pPr>
    <w:r>
      <w:pict>
        <v:shape id="PowerPlusWaterMarkObject533260640" o:spid="_x0000_s4097"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30EF1"/>
    <w:multiLevelType w:val="singleLevel"/>
    <w:tmpl w:val="B4030EF1"/>
    <w:lvl w:ilvl="0" w:tentative="0">
      <w:start w:val="2"/>
      <w:numFmt w:val="decimal"/>
      <w:suff w:val="space"/>
      <w:lvlText w:val="%1."/>
      <w:lvlJc w:val="left"/>
    </w:lvl>
  </w:abstractNum>
  <w:abstractNum w:abstractNumId="1">
    <w:nsid w:val="EB32701E"/>
    <w:multiLevelType w:val="singleLevel"/>
    <w:tmpl w:val="EB32701E"/>
    <w:lvl w:ilvl="0" w:tentative="0">
      <w:start w:val="1"/>
      <w:numFmt w:val="bullet"/>
      <w:lvlText w:val=""/>
      <w:lvlJc w:val="left"/>
      <w:pPr>
        <w:tabs>
          <w:tab w:val="left" w:pos="420"/>
        </w:tabs>
        <w:ind w:left="420" w:hanging="420"/>
      </w:pPr>
      <w:rPr>
        <w:rFonts w:hint="default" w:ascii="Wingdings" w:hAnsi="Wingdings"/>
      </w:rPr>
    </w:lvl>
  </w:abstractNum>
  <w:abstractNum w:abstractNumId="2">
    <w:nsid w:val="1B4E836B"/>
    <w:multiLevelType w:val="singleLevel"/>
    <w:tmpl w:val="1B4E836B"/>
    <w:lvl w:ilvl="0" w:tentative="0">
      <w:start w:val="1"/>
      <w:numFmt w:val="upperRoman"/>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3MTc1MzE3sjQzMzRS0lEKTi0uzszPAykwrAUAmDxsqywAAAA="/>
  </w:docVars>
  <w:rsids>
    <w:rsidRoot w:val="00C41061"/>
    <w:rsid w:val="00050BFA"/>
    <w:rsid w:val="00072F3A"/>
    <w:rsid w:val="00105166"/>
    <w:rsid w:val="0013653F"/>
    <w:rsid w:val="001562CF"/>
    <w:rsid w:val="001B25D3"/>
    <w:rsid w:val="001E61AB"/>
    <w:rsid w:val="002D7A5B"/>
    <w:rsid w:val="00323177"/>
    <w:rsid w:val="00335AE3"/>
    <w:rsid w:val="003641B5"/>
    <w:rsid w:val="003E6C66"/>
    <w:rsid w:val="00506A55"/>
    <w:rsid w:val="005616F2"/>
    <w:rsid w:val="006D7AB5"/>
    <w:rsid w:val="0075272B"/>
    <w:rsid w:val="008347A4"/>
    <w:rsid w:val="00844549"/>
    <w:rsid w:val="008756C6"/>
    <w:rsid w:val="00932DAE"/>
    <w:rsid w:val="00966AA2"/>
    <w:rsid w:val="00BD6478"/>
    <w:rsid w:val="00C41061"/>
    <w:rsid w:val="00D5090D"/>
    <w:rsid w:val="00E00B50"/>
    <w:rsid w:val="00EF1DDE"/>
    <w:rsid w:val="00F54461"/>
    <w:rsid w:val="0EE107C5"/>
    <w:rsid w:val="1ADC4B9E"/>
    <w:rsid w:val="1D1A6155"/>
    <w:rsid w:val="1EA870BD"/>
    <w:rsid w:val="24132976"/>
    <w:rsid w:val="27CE3E1E"/>
    <w:rsid w:val="364238CD"/>
    <w:rsid w:val="3CA85579"/>
    <w:rsid w:val="47C23478"/>
    <w:rsid w:val="4BCC10A8"/>
    <w:rsid w:val="4E1B153B"/>
    <w:rsid w:val="5FA3000C"/>
    <w:rsid w:val="62D81AB9"/>
    <w:rsid w:val="69D34E18"/>
    <w:rsid w:val="6C022270"/>
    <w:rsid w:val="78CB08BE"/>
    <w:rsid w:val="7F79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2"/>
    <w:next w:val="1"/>
    <w:semiHidden/>
    <w:unhideWhenUsed/>
    <w:qFormat/>
    <w:uiPriority w:val="9"/>
    <w:pPr>
      <w:spacing w:beforeAutospacing="1" w:afterAutospacing="1"/>
      <w:outlineLvl w:val="1"/>
    </w:pPr>
    <w:rPr>
      <w:rFonts w:hint="eastAsia" w:ascii="SimSun" w:hAnsi="SimSun" w:eastAsia="SimSun" w:cs="Times New Roman"/>
      <w:b/>
      <w:bCs/>
      <w:sz w:val="36"/>
      <w:szCs w:val="36"/>
      <w:lang w:val="en-US" w:eastAsia="zh-CN" w:bidi="ar-SA"/>
    </w:rPr>
  </w:style>
  <w:style w:type="paragraph" w:styleId="4">
    <w:name w:val="heading 3"/>
    <w:next w:val="1"/>
    <w:semiHidden/>
    <w:unhideWhenUsed/>
    <w:qFormat/>
    <w:uiPriority w:val="9"/>
    <w:pPr>
      <w:spacing w:beforeAutospacing="1" w:afterAutospacing="1"/>
      <w:outlineLvl w:val="2"/>
    </w:pPr>
    <w:rPr>
      <w:rFonts w:hint="eastAsia" w:ascii="SimSun" w:hAnsi="SimSun" w:eastAsia="SimSun" w:cs="Times New Roman"/>
      <w:b/>
      <w:bCs/>
      <w:sz w:val="27"/>
      <w:szCs w:val="27"/>
      <w:lang w:val="en-US" w:eastAsia="zh-CN" w:bidi="ar-SA"/>
    </w:rPr>
  </w:style>
  <w:style w:type="paragraph" w:styleId="5">
    <w:name w:val="heading 4"/>
    <w:next w:val="1"/>
    <w:semiHidden/>
    <w:unhideWhenUsed/>
    <w:qFormat/>
    <w:uiPriority w:val="9"/>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link w:val="19"/>
    <w:unhideWhenUsed/>
    <w:qFormat/>
    <w:uiPriority w:val="99"/>
    <w:pPr>
      <w:tabs>
        <w:tab w:val="center" w:pos="4680"/>
        <w:tab w:val="right" w:pos="9360"/>
      </w:tabs>
      <w:spacing w:after="0" w:line="240" w:lineRule="auto"/>
    </w:pPr>
  </w:style>
  <w:style w:type="paragraph" w:styleId="10">
    <w:name w:val="header"/>
    <w:basedOn w:val="1"/>
    <w:link w:val="18"/>
    <w:unhideWhenUsed/>
    <w:qFormat/>
    <w:uiPriority w:val="99"/>
    <w:pPr>
      <w:tabs>
        <w:tab w:val="center" w:pos="4680"/>
        <w:tab w:val="right" w:pos="9360"/>
      </w:tabs>
      <w:spacing w:after="0" w:line="240" w:lineRule="auto"/>
    </w:pPr>
  </w:style>
  <w:style w:type="character" w:styleId="11">
    <w:name w:val="Hyperlink"/>
    <w:basedOn w:val="6"/>
    <w:unhideWhenUsed/>
    <w:qFormat/>
    <w:uiPriority w:val="99"/>
    <w:rPr>
      <w:color w:val="0000FF"/>
      <w:u w:val="single"/>
    </w:rPr>
  </w:style>
  <w:style w:type="paragraph" w:styleId="12">
    <w:name w:val="Normal (Web)"/>
    <w:link w:val="15"/>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3">
    <w:name w:val="Strong"/>
    <w:basedOn w:val="6"/>
    <w:qFormat/>
    <w:uiPriority w:val="22"/>
    <w:rPr>
      <w:b/>
      <w:bCs/>
    </w:rPr>
  </w:style>
  <w:style w:type="table" w:styleId="14">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 (Web) Char"/>
    <w:link w:val="12"/>
    <w:qFormat/>
    <w:uiPriority w:val="99"/>
    <w:rPr>
      <w:rFonts w:ascii="Times New Roman" w:hAnsi="Times New Roman" w:eastAsia="SimSun" w:cs="Times New Roman"/>
      <w:kern w:val="0"/>
      <w:sz w:val="24"/>
      <w:szCs w:val="24"/>
      <w:lang w:val="en-US" w:eastAsia="zh-CN" w:bidi="ar"/>
    </w:rPr>
  </w:style>
  <w:style w:type="character" w:customStyle="1" w:styleId="16">
    <w:name w:val="Unresolved Mention"/>
    <w:basedOn w:val="6"/>
    <w:semiHidden/>
    <w:unhideWhenUsed/>
    <w:qFormat/>
    <w:uiPriority w:val="99"/>
    <w:rPr>
      <w:color w:val="605E5C"/>
      <w:shd w:val="clear" w:color="auto" w:fill="E1DFDD"/>
    </w:rPr>
  </w:style>
  <w:style w:type="paragraph" w:styleId="17">
    <w:name w:val="List Paragraph"/>
    <w:basedOn w:val="1"/>
    <w:unhideWhenUsed/>
    <w:qFormat/>
    <w:uiPriority w:val="99"/>
    <w:pPr>
      <w:ind w:left="720"/>
      <w:contextualSpacing/>
    </w:pPr>
  </w:style>
  <w:style w:type="character" w:customStyle="1" w:styleId="18">
    <w:name w:val="Header Char"/>
    <w:basedOn w:val="6"/>
    <w:link w:val="10"/>
    <w:qFormat/>
    <w:uiPriority w:val="99"/>
    <w:rPr>
      <w:rFonts w:asciiTheme="minorHAnsi" w:hAnsiTheme="minorHAnsi" w:eastAsiaTheme="minorHAnsi" w:cstheme="minorBidi"/>
      <w:sz w:val="22"/>
      <w:szCs w:val="22"/>
    </w:rPr>
  </w:style>
  <w:style w:type="character" w:customStyle="1" w:styleId="19">
    <w:name w:val="Footer Char"/>
    <w:basedOn w:val="6"/>
    <w:link w:val="9"/>
    <w:qFormat/>
    <w:uiPriority w:val="99"/>
    <w:rPr>
      <w:rFonts w:asciiTheme="minorHAnsi" w:hAnsiTheme="minorHAnsi" w:eastAsiaTheme="minorHAnsi"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3730</Words>
  <Characters>21264</Characters>
  <Lines>177</Lines>
  <Paragraphs>49</Paragraphs>
  <TotalTime>17</TotalTime>
  <ScaleCrop>false</ScaleCrop>
  <LinksUpToDate>false</LinksUpToDate>
  <CharactersWithSpaces>24945</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2025-08-21T06:20:00Z</dcterms:created>
  <dc:creator>ASUS</dc:creator>
  <cp:lastModifiedBy>Mandeep Kang</cp:lastModifiedBy>
  <dcterms:modified xsi:type="dcterms:W3CDTF">2025-09-01T18:18:13Z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64CAE5B4B9EB445DAF29C7EABDC8C46E_13</vt:lpwstr>
  </property>
  <property fmtid="{D5CDD505-2E9C-101B-9397-08002B2CF9AE}" pid="4" name="GrammarlyDocumentId">
    <vt:lpwstr>a3c82743-eab8-4cf6-a476-59d2bd8a01eb</vt:lpwstr>
  </property>
</Properties>
</file>