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31F56AA" w14:textId="77777777" w:rsidR="0067656E" w:rsidRPr="00D717C4" w:rsidRDefault="0067656E" w:rsidP="00D717C4">
      <w:pPr>
        <w:spacing w:after="223" w:line="240" w:lineRule="auto"/>
        <w:ind w:left="67"/>
        <w:jc w:val="center"/>
      </w:pPr>
    </w:p>
    <w:p w14:paraId="544C7D5E" w14:textId="77777777" w:rsidR="0067656E" w:rsidRPr="00D717C4" w:rsidRDefault="0067656E" w:rsidP="00D717C4">
      <w:pPr>
        <w:spacing w:after="223" w:line="240" w:lineRule="auto"/>
        <w:ind w:left="67"/>
        <w:jc w:val="center"/>
      </w:pPr>
    </w:p>
    <w:p w14:paraId="22BCED0E" w14:textId="7D06A5D1" w:rsidR="002A0086" w:rsidRPr="002A0086" w:rsidRDefault="005E513E" w:rsidP="002A0086">
      <w:pPr>
        <w:spacing w:after="224" w:line="240" w:lineRule="auto"/>
        <w:ind w:left="198" w:right="185" w:hanging="10"/>
        <w:rPr>
          <w:b/>
          <w:bCs/>
          <w:i/>
          <w:iCs/>
          <w:u w:val="single"/>
        </w:rPr>
      </w:pPr>
      <w:r>
        <w:rPr>
          <w:b/>
          <w:bCs/>
          <w:i/>
          <w:iCs/>
          <w:u w:val="single"/>
        </w:rPr>
        <w:t>Short</w:t>
      </w:r>
      <w:r w:rsidR="002A0086" w:rsidRPr="002A0086">
        <w:rPr>
          <w:b/>
          <w:bCs/>
          <w:i/>
          <w:iCs/>
          <w:u w:val="single"/>
        </w:rPr>
        <w:t xml:space="preserve"> Research Article</w:t>
      </w:r>
    </w:p>
    <w:p w14:paraId="15725AAD" w14:textId="3F65B529" w:rsidR="0067656E" w:rsidRPr="00060B71" w:rsidRDefault="00060B71" w:rsidP="00066EF5">
      <w:pPr>
        <w:spacing w:after="224" w:line="240" w:lineRule="auto"/>
        <w:ind w:left="198" w:right="185" w:hanging="10"/>
        <w:rPr>
          <w:b/>
          <w:color w:val="FF0000"/>
        </w:rPr>
      </w:pPr>
      <w:r w:rsidRPr="00EF4408">
        <w:rPr>
          <w:b/>
          <w:color w:val="FF0000"/>
          <w:highlight w:val="yellow"/>
        </w:rPr>
        <w:t>DIAGNOSIS</w:t>
      </w:r>
      <w:r w:rsidR="0067656E" w:rsidRPr="00EF4408">
        <w:rPr>
          <w:b/>
          <w:color w:val="FF0000"/>
          <w:highlight w:val="yellow"/>
        </w:rPr>
        <w:t xml:space="preserve"> OF NEONATAL JAUNDICE AT LANCET CLINICAL LABORATORIES</w:t>
      </w:r>
      <w:r w:rsidR="00066EF5" w:rsidRPr="00EF4408">
        <w:rPr>
          <w:b/>
          <w:color w:val="FF0000"/>
          <w:highlight w:val="yellow"/>
        </w:rPr>
        <w:t xml:space="preserve"> </w:t>
      </w:r>
      <w:r w:rsidR="00EF4408" w:rsidRPr="00EF4408">
        <w:rPr>
          <w:b/>
          <w:color w:val="FF0000"/>
          <w:highlight w:val="yellow"/>
        </w:rPr>
        <w:t xml:space="preserve">IN </w:t>
      </w:r>
      <w:r w:rsidR="0067656E" w:rsidRPr="00EF4408">
        <w:rPr>
          <w:b/>
          <w:color w:val="FF0000"/>
          <w:highlight w:val="yellow"/>
        </w:rPr>
        <w:t>ZIMBABWE</w:t>
      </w:r>
      <w:r w:rsidR="0067656E" w:rsidRPr="00060B71">
        <w:rPr>
          <w:b/>
          <w:color w:val="FF0000"/>
        </w:rPr>
        <w:t xml:space="preserve">  </w:t>
      </w:r>
    </w:p>
    <w:p w14:paraId="0AC11EC7" w14:textId="25230286" w:rsidR="00E0208A" w:rsidRPr="00D717C4" w:rsidRDefault="00E0208A" w:rsidP="00066EF5">
      <w:pPr>
        <w:spacing w:after="224" w:line="240" w:lineRule="auto"/>
        <w:ind w:left="198" w:right="185" w:hanging="10"/>
        <w:rPr>
          <w:b/>
        </w:rPr>
      </w:pPr>
    </w:p>
    <w:p w14:paraId="5F0D60A2" w14:textId="77777777" w:rsidR="0067656E" w:rsidRPr="00D717C4" w:rsidRDefault="0067656E" w:rsidP="00066EF5">
      <w:pPr>
        <w:spacing w:after="225" w:line="240" w:lineRule="auto"/>
        <w:ind w:left="0"/>
      </w:pPr>
      <w:bookmarkStart w:id="0" w:name="_GoBack"/>
      <w:bookmarkEnd w:id="0"/>
    </w:p>
    <w:p w14:paraId="1F411320" w14:textId="77777777" w:rsidR="0067656E" w:rsidRPr="00D717C4" w:rsidRDefault="0067656E" w:rsidP="00D717C4">
      <w:pPr>
        <w:spacing w:after="224" w:line="240" w:lineRule="auto"/>
        <w:ind w:left="198" w:right="181" w:hanging="10"/>
        <w:jc w:val="center"/>
      </w:pPr>
    </w:p>
    <w:p w14:paraId="73D6400D" w14:textId="77777777" w:rsidR="0067656E" w:rsidRPr="00D717C4" w:rsidRDefault="0067656E" w:rsidP="00D717C4">
      <w:pPr>
        <w:pStyle w:val="Heading1"/>
        <w:spacing w:before="0" w:after="327" w:line="240" w:lineRule="auto"/>
        <w:ind w:left="0" w:right="14"/>
        <w:jc w:val="center"/>
        <w:rPr>
          <w:rFonts w:ascii="Times New Roman" w:hAnsi="Times New Roman" w:cs="Times New Roman"/>
          <w:b/>
          <w:bCs/>
          <w:color w:val="auto"/>
          <w:sz w:val="24"/>
          <w:szCs w:val="24"/>
        </w:rPr>
      </w:pPr>
      <w:bookmarkStart w:id="1" w:name="_Toc195337056"/>
      <w:r w:rsidRPr="00D717C4">
        <w:rPr>
          <w:rFonts w:ascii="Times New Roman" w:hAnsi="Times New Roman" w:cs="Times New Roman"/>
          <w:b/>
          <w:bCs/>
          <w:color w:val="auto"/>
          <w:sz w:val="24"/>
          <w:szCs w:val="24"/>
        </w:rPr>
        <w:t>ABSTRACT</w:t>
      </w:r>
      <w:bookmarkEnd w:id="1"/>
    </w:p>
    <w:p w14:paraId="7D641DF1" w14:textId="77777777" w:rsidR="0067656E" w:rsidRPr="00D717C4" w:rsidRDefault="0067656E" w:rsidP="00D717C4">
      <w:pPr>
        <w:spacing w:line="240" w:lineRule="auto"/>
        <w:ind w:left="9"/>
        <w:rPr>
          <w:b/>
        </w:rPr>
      </w:pPr>
      <w:r w:rsidRPr="00D717C4">
        <w:t xml:space="preserve">Neonatal Jaundice is a common condition affecting newborns and is characterized by an elevation in bilirubin levels, leading to the yellowing of skin and eyes. This research analyses the patterns associated with NNJ at Lancet Clinical Laboratories Zimbabwe from January 2024 to June 2024. The study addresses the significant public health concern posed by NNJ, which is linked to various complications, including severe neurological impairments if left untreated. The purpose was to evaluate the patterns and distribution of NNJ by age and sex. The study population included 369 neonates. The study found a high prevalence of NNJ at 69.9%, with the majority of cases occurring in public Hospitals (67.4%) compared to private hospitals (32.6%). The 0-5 days age group had the highest proportion of NNJ cases (25.5%), with a gradual decline in prevalence as age increased. Male neonates were more affected (56.5%) than female neonates (43.5%). ABO and RH incompatibility accounted for 17.05% of all NNJ cases occurring most within the first days of life. The study underscores the critical need for improved screening and management strategies in Zimbabwe, identifying the high-risk populations and understanding the patterns healthcare providers can use to enhance clinical decision-making. The research advocates for targeted educational programs for healthcare providers and parents of early recognition of NNJ symptoms. Additionally, it emphasizes the necessity for policy changes to improve healthcare access and resources in low-income regions, ultimately aiming to reduce the burden of NNJ on the healthcare system. </w:t>
      </w:r>
    </w:p>
    <w:p w14:paraId="04DDA40F" w14:textId="77777777" w:rsidR="0067656E" w:rsidRPr="00D717C4" w:rsidRDefault="0067656E" w:rsidP="00D717C4">
      <w:pPr>
        <w:spacing w:after="0" w:line="240" w:lineRule="auto"/>
        <w:ind w:left="14"/>
        <w:jc w:val="center"/>
      </w:pPr>
    </w:p>
    <w:p w14:paraId="45EB9084" w14:textId="77777777" w:rsidR="0067656E" w:rsidRPr="00D717C4" w:rsidRDefault="0067656E" w:rsidP="00D717C4">
      <w:pPr>
        <w:spacing w:after="329" w:line="240" w:lineRule="auto"/>
        <w:ind w:left="86"/>
        <w:rPr>
          <w:b/>
          <w:i/>
          <w:color w:val="auto"/>
        </w:rPr>
      </w:pPr>
      <w:r w:rsidRPr="00D717C4">
        <w:rPr>
          <w:b/>
          <w:i/>
        </w:rPr>
        <w:t>Key</w:t>
      </w:r>
      <w:r w:rsidR="00031DDA" w:rsidRPr="00D717C4">
        <w:rPr>
          <w:b/>
          <w:i/>
        </w:rPr>
        <w:t>w</w:t>
      </w:r>
      <w:r w:rsidRPr="00D717C4">
        <w:rPr>
          <w:b/>
          <w:i/>
        </w:rPr>
        <w:t>ords</w:t>
      </w:r>
      <w:r w:rsidRPr="00D717C4">
        <w:rPr>
          <w:i/>
        </w:rPr>
        <w:t xml:space="preserve">: Neonatal, Jaundice, </w:t>
      </w:r>
      <w:bookmarkStart w:id="2" w:name="_Toc195173433"/>
      <w:r w:rsidR="00D717C4">
        <w:rPr>
          <w:i/>
        </w:rPr>
        <w:t>anemia, children</w:t>
      </w:r>
    </w:p>
    <w:p w14:paraId="7913F336" w14:textId="77777777" w:rsidR="0067656E" w:rsidRPr="00D717C4" w:rsidRDefault="0067656E" w:rsidP="00D717C4">
      <w:pPr>
        <w:pStyle w:val="Heading1"/>
        <w:spacing w:after="327" w:line="240" w:lineRule="auto"/>
        <w:ind w:left="33" w:right="11"/>
        <w:jc w:val="center"/>
        <w:rPr>
          <w:rFonts w:ascii="Times New Roman" w:hAnsi="Times New Roman" w:cs="Times New Roman"/>
          <w:b/>
          <w:color w:val="auto"/>
          <w:sz w:val="24"/>
          <w:szCs w:val="24"/>
        </w:rPr>
      </w:pPr>
      <w:bookmarkStart w:id="3" w:name="_Toc195337065"/>
      <w:r w:rsidRPr="00D717C4">
        <w:rPr>
          <w:rFonts w:ascii="Times New Roman" w:hAnsi="Times New Roman" w:cs="Times New Roman"/>
          <w:b/>
          <w:color w:val="auto"/>
          <w:sz w:val="24"/>
          <w:szCs w:val="24"/>
        </w:rPr>
        <w:t>INTRODUCTION</w:t>
      </w:r>
      <w:bookmarkEnd w:id="2"/>
      <w:bookmarkEnd w:id="3"/>
    </w:p>
    <w:p w14:paraId="0D6667F7" w14:textId="77777777" w:rsidR="0067656E" w:rsidRPr="00D717C4" w:rsidRDefault="0067656E" w:rsidP="00D717C4">
      <w:pPr>
        <w:spacing w:after="0" w:line="240" w:lineRule="auto"/>
        <w:ind w:left="9"/>
      </w:pPr>
      <w:r w:rsidRPr="00D717C4">
        <w:t>Neonatal Jaundice, a common condition affecting new-</w:t>
      </w:r>
      <w:r w:rsidR="00031DDA" w:rsidRPr="00D717C4">
        <w:t>born</w:t>
      </w:r>
      <w:r w:rsidRPr="00D717C4">
        <w:t xml:space="preserve"> is characterized by a yellowish discoloration of the skin and eyes due to elevated bilirubin levels. Bilirubin is a yellow-orange pigment formed by the breakdown of hemoglobin, a component of red cells </w:t>
      </w:r>
      <w:r w:rsidR="0067242B" w:rsidRPr="00D717C4">
        <w:t>[1]</w:t>
      </w:r>
      <w:r w:rsidRPr="00D717C4">
        <w:t>. Normally, the liver processes and eliminates bilirubin from the body. However, in new-</w:t>
      </w:r>
      <w:r w:rsidR="0067242B" w:rsidRPr="00D717C4">
        <w:t>born</w:t>
      </w:r>
      <w:r w:rsidRPr="00D717C4">
        <w:t xml:space="preserve">, the liver is immature and may not efficiently conjugate extreme bilirubin, leading to the accumulation and the development of jaundice. Physiological jaundice, the most common type occurs in healthy </w:t>
      </w:r>
      <w:r w:rsidRPr="00D717C4">
        <w:lastRenderedPageBreak/>
        <w:t>newborns due to the normal breakdown of excess red blood cells and the immature liver's inability to handle bilirubin load</w:t>
      </w:r>
      <w:r w:rsidR="0067242B" w:rsidRPr="00D717C4">
        <w:t xml:space="preserve"> [2]</w:t>
      </w:r>
      <w:r w:rsidRPr="00D717C4">
        <w:t xml:space="preserve">. Other causes include blood group incompatibility, prematurity, infections, and underlying metabolic disorders. Early identification and appropriate management are crucial to prevent complications such as kernicterus, a form of brain damage caused by excessive bilirubin </w:t>
      </w:r>
      <w:r w:rsidR="0067242B" w:rsidRPr="00D717C4">
        <w:t>[3]</w:t>
      </w:r>
      <w:r w:rsidRPr="00D717C4">
        <w:t>.</w:t>
      </w:r>
      <w:r w:rsidR="00031DDA" w:rsidRPr="00D717C4">
        <w:t xml:space="preserve"> </w:t>
      </w:r>
      <w:r w:rsidRPr="00D717C4">
        <w:t>In cases of refractory disease or delayed treatment, NNJ progresses to hearing loss, intellectual disability, and other neurological sequelae</w:t>
      </w:r>
      <w:r w:rsidR="0067242B" w:rsidRPr="00D717C4">
        <w:t xml:space="preserve"> [4-5]</w:t>
      </w:r>
      <w:r w:rsidRPr="00D717C4">
        <w:t>. The Global Burden Disease (GBD) approximates that approximately 481,000 neonates experience severe NNJ each year, 114,000 die and over 63000 survive with moderate or severe long-term neurological impairments.</w:t>
      </w:r>
      <w:r w:rsidR="0067242B" w:rsidRPr="00D717C4">
        <w:t xml:space="preserve"> </w:t>
      </w:r>
    </w:p>
    <w:p w14:paraId="2CAF2042" w14:textId="77777777" w:rsidR="0067656E" w:rsidRPr="00D717C4" w:rsidRDefault="0067656E" w:rsidP="00D717C4">
      <w:pPr>
        <w:pStyle w:val="Heading1"/>
        <w:spacing w:after="327" w:line="240" w:lineRule="auto"/>
        <w:ind w:left="33" w:right="14"/>
        <w:jc w:val="center"/>
        <w:rPr>
          <w:rFonts w:ascii="Times New Roman" w:hAnsi="Times New Roman" w:cs="Times New Roman"/>
          <w:b/>
          <w:color w:val="000000" w:themeColor="text1"/>
          <w:sz w:val="24"/>
          <w:szCs w:val="24"/>
        </w:rPr>
      </w:pPr>
      <w:bookmarkStart w:id="4" w:name="_Toc195337080"/>
      <w:r w:rsidRPr="00D717C4">
        <w:rPr>
          <w:rFonts w:ascii="Times New Roman" w:hAnsi="Times New Roman" w:cs="Times New Roman"/>
          <w:b/>
          <w:color w:val="000000" w:themeColor="text1"/>
          <w:sz w:val="24"/>
          <w:szCs w:val="24"/>
        </w:rPr>
        <w:t>RESEARCH METHODOLODY</w:t>
      </w:r>
      <w:bookmarkEnd w:id="4"/>
    </w:p>
    <w:p w14:paraId="5575604A" w14:textId="77777777" w:rsidR="0067656E" w:rsidRPr="00D717C4" w:rsidRDefault="0067656E" w:rsidP="00D717C4">
      <w:pPr>
        <w:pStyle w:val="Heading2"/>
        <w:spacing w:line="240" w:lineRule="auto"/>
        <w:ind w:left="9"/>
        <w:rPr>
          <w:rFonts w:ascii="Times New Roman" w:hAnsi="Times New Roman" w:cs="Times New Roman"/>
          <w:b/>
          <w:color w:val="auto"/>
          <w:sz w:val="24"/>
          <w:szCs w:val="24"/>
        </w:rPr>
      </w:pPr>
      <w:bookmarkStart w:id="5" w:name="_Toc195337082"/>
      <w:r w:rsidRPr="00D717C4">
        <w:rPr>
          <w:rFonts w:ascii="Times New Roman" w:hAnsi="Times New Roman" w:cs="Times New Roman"/>
          <w:b/>
          <w:color w:val="auto"/>
          <w:sz w:val="24"/>
          <w:szCs w:val="24"/>
        </w:rPr>
        <w:t>Research Design</w:t>
      </w:r>
      <w:bookmarkEnd w:id="5"/>
    </w:p>
    <w:p w14:paraId="12FBC855" w14:textId="77777777" w:rsidR="0067656E" w:rsidRPr="00D717C4" w:rsidRDefault="0067656E" w:rsidP="00D717C4">
      <w:pPr>
        <w:spacing w:after="0" w:line="240" w:lineRule="auto"/>
        <w:ind w:left="9"/>
      </w:pPr>
      <w:r w:rsidRPr="00D717C4">
        <w:t xml:space="preserve">The study was a retrospective cross-sectional qualitative study of patterns associated with NNJ at Lancet Clinical Laboratories Zimbabwe from January 2024 to June 2024.   </w:t>
      </w:r>
    </w:p>
    <w:p w14:paraId="6041295D" w14:textId="77777777" w:rsidR="0067656E" w:rsidRPr="00D717C4" w:rsidRDefault="0067656E" w:rsidP="00D717C4">
      <w:pPr>
        <w:pStyle w:val="Heading1"/>
        <w:spacing w:line="240" w:lineRule="auto"/>
        <w:ind w:left="0"/>
        <w:rPr>
          <w:rFonts w:ascii="Times New Roman" w:hAnsi="Times New Roman" w:cs="Times New Roman"/>
          <w:b/>
          <w:color w:val="auto"/>
          <w:sz w:val="24"/>
          <w:szCs w:val="24"/>
        </w:rPr>
      </w:pPr>
      <w:bookmarkStart w:id="6" w:name="_Toc195337083"/>
      <w:r w:rsidRPr="00D717C4">
        <w:rPr>
          <w:rFonts w:ascii="Times New Roman" w:hAnsi="Times New Roman" w:cs="Times New Roman"/>
          <w:b/>
          <w:color w:val="auto"/>
          <w:sz w:val="24"/>
          <w:szCs w:val="24"/>
        </w:rPr>
        <w:t>Study Setting</w:t>
      </w:r>
      <w:bookmarkEnd w:id="6"/>
    </w:p>
    <w:p w14:paraId="3EDCAF60" w14:textId="77777777" w:rsidR="0067656E" w:rsidRPr="00D717C4" w:rsidRDefault="0067656E" w:rsidP="00D717C4">
      <w:pPr>
        <w:pStyle w:val="Heading2"/>
        <w:spacing w:after="468" w:line="240" w:lineRule="auto"/>
        <w:ind w:left="9"/>
        <w:rPr>
          <w:rFonts w:ascii="Times New Roman" w:hAnsi="Times New Roman" w:cs="Times New Roman"/>
          <w:b/>
          <w:color w:val="auto"/>
          <w:sz w:val="24"/>
          <w:szCs w:val="24"/>
        </w:rPr>
      </w:pPr>
      <w:bookmarkStart w:id="7" w:name="_Toc195337084"/>
      <w:r w:rsidRPr="00D717C4">
        <w:rPr>
          <w:rFonts w:ascii="Times New Roman" w:hAnsi="Times New Roman" w:cs="Times New Roman"/>
          <w:color w:val="auto"/>
          <w:sz w:val="24"/>
          <w:szCs w:val="24"/>
        </w:rPr>
        <w:t>The study was carried out at Lancet Clinical Laboratories, a leading pathology service provider with 23 branches across the country and also has a catchment area of all mission, government, and private hospitals nationwide. The laboratory processes more than 1500 samples daily.  Lancet Laboratories is known for its high-quality pathology services and is accredited by ISO 15189:2012 standards.</w:t>
      </w:r>
      <w:bookmarkEnd w:id="7"/>
    </w:p>
    <w:p w14:paraId="3340C081" w14:textId="77777777" w:rsidR="0067656E" w:rsidRPr="00D717C4" w:rsidRDefault="0067656E" w:rsidP="00D717C4">
      <w:pPr>
        <w:pStyle w:val="Heading2"/>
        <w:spacing w:line="240" w:lineRule="auto"/>
        <w:rPr>
          <w:rFonts w:ascii="Times New Roman" w:hAnsi="Times New Roman" w:cs="Times New Roman"/>
          <w:b/>
          <w:color w:val="auto"/>
          <w:sz w:val="24"/>
          <w:szCs w:val="24"/>
        </w:rPr>
      </w:pPr>
      <w:bookmarkStart w:id="8" w:name="_Toc195337085"/>
      <w:r w:rsidRPr="00D717C4">
        <w:rPr>
          <w:rFonts w:ascii="Times New Roman" w:hAnsi="Times New Roman" w:cs="Times New Roman"/>
          <w:b/>
          <w:color w:val="auto"/>
          <w:sz w:val="24"/>
          <w:szCs w:val="24"/>
        </w:rPr>
        <w:t>Study Population</w:t>
      </w:r>
      <w:bookmarkEnd w:id="8"/>
    </w:p>
    <w:p w14:paraId="5625EB68" w14:textId="77777777" w:rsidR="0067656E" w:rsidRPr="00D717C4" w:rsidRDefault="0067656E" w:rsidP="00D717C4">
      <w:pPr>
        <w:spacing w:after="2" w:line="240" w:lineRule="auto"/>
        <w:ind w:left="0"/>
      </w:pPr>
      <w:r w:rsidRPr="00D717C4">
        <w:t xml:space="preserve">The study population consisted of Newborns aged 0 to 29 days tested at Lancet Clinical   Laboratories with suspected NNJ.   </w:t>
      </w:r>
    </w:p>
    <w:p w14:paraId="07C4C6C2" w14:textId="77777777" w:rsidR="0067656E" w:rsidRPr="00D717C4" w:rsidRDefault="0067656E" w:rsidP="00D717C4">
      <w:pPr>
        <w:spacing w:after="228" w:line="240" w:lineRule="auto"/>
        <w:ind w:left="14"/>
        <w:jc w:val="left"/>
      </w:pPr>
    </w:p>
    <w:p w14:paraId="2309A904" w14:textId="77777777" w:rsidR="0067656E" w:rsidRPr="00D717C4" w:rsidRDefault="0067656E" w:rsidP="00D717C4">
      <w:pPr>
        <w:pStyle w:val="Heading2"/>
        <w:spacing w:line="240" w:lineRule="auto"/>
        <w:ind w:left="9"/>
        <w:rPr>
          <w:rFonts w:ascii="Times New Roman" w:hAnsi="Times New Roman" w:cs="Times New Roman"/>
          <w:b/>
          <w:color w:val="000000" w:themeColor="text1"/>
          <w:sz w:val="24"/>
          <w:szCs w:val="24"/>
        </w:rPr>
      </w:pPr>
      <w:bookmarkStart w:id="9" w:name="_Toc195337086"/>
      <w:r w:rsidRPr="00D717C4">
        <w:rPr>
          <w:rFonts w:ascii="Times New Roman" w:hAnsi="Times New Roman" w:cs="Times New Roman"/>
          <w:b/>
          <w:color w:val="000000" w:themeColor="text1"/>
          <w:sz w:val="24"/>
          <w:szCs w:val="24"/>
        </w:rPr>
        <w:t>Exclusion Criteria</w:t>
      </w:r>
      <w:bookmarkEnd w:id="9"/>
    </w:p>
    <w:p w14:paraId="44A5BC32" w14:textId="77777777" w:rsidR="0067656E" w:rsidRPr="00D717C4" w:rsidRDefault="0067656E" w:rsidP="00D717C4">
      <w:pPr>
        <w:spacing w:after="0" w:line="240" w:lineRule="auto"/>
        <w:ind w:left="9"/>
      </w:pPr>
      <w:r w:rsidRPr="00D717C4">
        <w:t xml:space="preserve">Newborns with known liver diseases and other underlying medical conditions and also newborns who have received phototherapy or exchange transfusion before admission were </w:t>
      </w:r>
    </w:p>
    <w:p w14:paraId="2531976B" w14:textId="77777777" w:rsidR="0067656E" w:rsidRPr="00D717C4" w:rsidRDefault="0067656E" w:rsidP="00D717C4">
      <w:pPr>
        <w:spacing w:line="240" w:lineRule="auto"/>
        <w:ind w:left="9"/>
      </w:pPr>
      <w:r w:rsidRPr="00D717C4">
        <w:t xml:space="preserve">Excluded.   </w:t>
      </w:r>
    </w:p>
    <w:p w14:paraId="7A8AA1C2" w14:textId="77777777" w:rsidR="0067656E" w:rsidRPr="00D717C4" w:rsidRDefault="0067656E" w:rsidP="00D717C4">
      <w:pPr>
        <w:pStyle w:val="Heading2"/>
        <w:spacing w:line="240" w:lineRule="auto"/>
        <w:ind w:left="9"/>
        <w:rPr>
          <w:rFonts w:ascii="Times New Roman" w:hAnsi="Times New Roman" w:cs="Times New Roman"/>
          <w:b/>
          <w:color w:val="000000" w:themeColor="text1"/>
          <w:sz w:val="24"/>
          <w:szCs w:val="24"/>
        </w:rPr>
      </w:pPr>
      <w:bookmarkStart w:id="10" w:name="_Toc195337087"/>
      <w:r w:rsidRPr="00D717C4">
        <w:rPr>
          <w:rFonts w:ascii="Times New Roman" w:hAnsi="Times New Roman" w:cs="Times New Roman"/>
          <w:b/>
          <w:color w:val="000000" w:themeColor="text1"/>
          <w:sz w:val="24"/>
          <w:szCs w:val="24"/>
        </w:rPr>
        <w:t>Inclusion Criteria</w:t>
      </w:r>
      <w:bookmarkEnd w:id="10"/>
    </w:p>
    <w:p w14:paraId="336C9107" w14:textId="77777777" w:rsidR="0067656E" w:rsidRPr="00D717C4" w:rsidRDefault="0067656E" w:rsidP="00D717C4">
      <w:pPr>
        <w:spacing w:after="3" w:line="240" w:lineRule="auto"/>
        <w:ind w:left="9"/>
      </w:pPr>
      <w:r w:rsidRPr="00D717C4">
        <w:t xml:space="preserve">All new-born who tested for NNJ aged 0 to 29 days whose parents or guardians provide informed consent were included.   </w:t>
      </w:r>
    </w:p>
    <w:p w14:paraId="670495A1" w14:textId="77777777" w:rsidR="0067656E" w:rsidRPr="00D717C4" w:rsidRDefault="0067656E" w:rsidP="00D717C4">
      <w:pPr>
        <w:pStyle w:val="Heading2"/>
        <w:spacing w:after="607" w:line="240" w:lineRule="auto"/>
        <w:ind w:left="0"/>
        <w:rPr>
          <w:rFonts w:ascii="Times New Roman" w:hAnsi="Times New Roman" w:cs="Times New Roman"/>
          <w:b/>
          <w:color w:val="auto"/>
          <w:sz w:val="24"/>
          <w:szCs w:val="24"/>
        </w:rPr>
      </w:pPr>
      <w:bookmarkStart w:id="11" w:name="_Toc195337088"/>
      <w:r w:rsidRPr="00D717C4">
        <w:rPr>
          <w:rFonts w:ascii="Times New Roman" w:hAnsi="Times New Roman" w:cs="Times New Roman"/>
          <w:b/>
          <w:color w:val="auto"/>
          <w:sz w:val="24"/>
          <w:szCs w:val="24"/>
        </w:rPr>
        <w:t>Sample Size</w:t>
      </w:r>
      <w:bookmarkEnd w:id="11"/>
    </w:p>
    <w:p w14:paraId="35ED2465" w14:textId="20A0CEDF" w:rsidR="0067656E" w:rsidRPr="00D717C4" w:rsidRDefault="0067656E" w:rsidP="00D717C4">
      <w:pPr>
        <w:spacing w:after="0" w:line="240" w:lineRule="auto"/>
        <w:ind w:left="0"/>
      </w:pPr>
      <w:r w:rsidRPr="00D717C4">
        <w:t>The researcher used Cochran’s sample size formula developed by William G. Cochran</w:t>
      </w:r>
      <w:r w:rsidR="00E0208A">
        <w:t xml:space="preserve"> </w:t>
      </w:r>
      <w:r w:rsidRPr="00D717C4">
        <w:t xml:space="preserve">on Prevalence and risk factors associated with NNJ. It states that:   </w:t>
      </w:r>
    </w:p>
    <w:p w14:paraId="659A0789" w14:textId="77777777" w:rsidR="0067656E" w:rsidRPr="00D717C4" w:rsidRDefault="0067656E" w:rsidP="00D717C4">
      <w:pPr>
        <w:spacing w:after="0" w:line="240" w:lineRule="auto"/>
        <w:ind w:left="0"/>
      </w:pPr>
    </w:p>
    <w:p w14:paraId="61201298" w14:textId="77777777" w:rsidR="0067656E" w:rsidRPr="00D717C4" w:rsidRDefault="0067656E" w:rsidP="00D717C4">
      <w:pPr>
        <w:spacing w:after="0" w:line="240" w:lineRule="auto"/>
        <w:ind w:left="0"/>
      </w:pPr>
    </w:p>
    <w:p w14:paraId="26764CC7" w14:textId="77777777" w:rsidR="0067656E" w:rsidRPr="00D717C4" w:rsidRDefault="0067656E" w:rsidP="00D717C4">
      <w:pPr>
        <w:tabs>
          <w:tab w:val="center" w:pos="3440"/>
        </w:tabs>
        <w:spacing w:after="206" w:line="240" w:lineRule="auto"/>
        <w:ind w:left="0"/>
        <w:jc w:val="center"/>
      </w:pPr>
      <m:oMathPara>
        <m:oMath>
          <m:r>
            <w:rPr>
              <w:rFonts w:ascii="Cambria Math" w:hAnsi="Cambria Math"/>
            </w:rPr>
            <m:t>n=</m:t>
          </m:r>
          <m:f>
            <m:fPr>
              <m:ctrlPr>
                <w:rPr>
                  <w:rFonts w:ascii="Cambria Math" w:hAnsi="Cambria Math"/>
                  <w:i/>
                </w:rPr>
              </m:ctrlPr>
            </m:fPr>
            <m:num>
              <m:sSup>
                <m:sSupPr>
                  <m:ctrlPr>
                    <w:rPr>
                      <w:rFonts w:ascii="Cambria Math" w:hAnsi="Cambria Math"/>
                      <w:i/>
                    </w:rPr>
                  </m:ctrlPr>
                </m:sSupPr>
                <m:e>
                  <m:r>
                    <w:rPr>
                      <w:rFonts w:ascii="Cambria Math" w:hAnsi="Cambria Math"/>
                    </w:rPr>
                    <m:t>z</m:t>
                  </m:r>
                </m:e>
                <m:sup>
                  <m:r>
                    <w:rPr>
                      <w:rFonts w:ascii="Cambria Math" w:hAnsi="Cambria Math"/>
                    </w:rPr>
                    <m:t>2</m:t>
                  </m:r>
                </m:sup>
              </m:sSup>
              <m:r>
                <w:rPr>
                  <w:rFonts w:ascii="Cambria Math" w:hAnsi="Cambria Math"/>
                </w:rPr>
                <m:t>p(1-p)</m:t>
              </m:r>
            </m:num>
            <m:den>
              <m:sSup>
                <m:sSupPr>
                  <m:ctrlPr>
                    <w:rPr>
                      <w:rFonts w:ascii="Cambria Math" w:hAnsi="Cambria Math"/>
                      <w:i/>
                    </w:rPr>
                  </m:ctrlPr>
                </m:sSupPr>
                <m:e>
                  <m:r>
                    <w:rPr>
                      <w:rFonts w:ascii="Cambria Math" w:hAnsi="Cambria Math"/>
                    </w:rPr>
                    <m:t>d</m:t>
                  </m:r>
                </m:e>
                <m:sup>
                  <m:r>
                    <w:rPr>
                      <w:rFonts w:ascii="Cambria Math" w:hAnsi="Cambria Math"/>
                    </w:rPr>
                    <m:t>2</m:t>
                  </m:r>
                </m:sup>
              </m:sSup>
            </m:den>
          </m:f>
        </m:oMath>
      </m:oMathPara>
    </w:p>
    <w:p w14:paraId="236C35ED" w14:textId="77777777" w:rsidR="0067656E" w:rsidRPr="00D717C4" w:rsidRDefault="0067656E" w:rsidP="00D717C4">
      <w:pPr>
        <w:spacing w:after="0" w:line="240" w:lineRule="auto"/>
        <w:ind w:left="9"/>
      </w:pPr>
      <w:r w:rsidRPr="00D717C4">
        <w:lastRenderedPageBreak/>
        <w:t>Where:</w:t>
      </w:r>
    </w:p>
    <w:p w14:paraId="095D9174" w14:textId="77777777" w:rsidR="0067656E" w:rsidRPr="00D717C4" w:rsidRDefault="0067656E" w:rsidP="00D717C4">
      <w:pPr>
        <w:spacing w:after="0" w:line="240" w:lineRule="auto"/>
        <w:ind w:left="9"/>
      </w:pPr>
      <m:oMathPara>
        <m:oMathParaPr>
          <m:jc m:val="left"/>
        </m:oMathParaPr>
        <m:oMath>
          <m:r>
            <w:rPr>
              <w:rFonts w:ascii="Cambria Math" w:hAnsi="Cambria Math"/>
            </w:rPr>
            <m:t>n=sample size</m:t>
          </m:r>
        </m:oMath>
      </m:oMathPara>
    </w:p>
    <w:p w14:paraId="65A1C623" w14:textId="77777777" w:rsidR="0067656E" w:rsidRPr="00D717C4" w:rsidRDefault="0067656E" w:rsidP="00D717C4">
      <w:pPr>
        <w:spacing w:after="0" w:line="240" w:lineRule="auto"/>
        <w:ind w:left="9"/>
      </w:pPr>
      <m:oMathPara>
        <m:oMathParaPr>
          <m:jc m:val="left"/>
        </m:oMathParaPr>
        <m:oMath>
          <m:r>
            <w:rPr>
              <w:rFonts w:ascii="Cambria Math" w:hAnsi="Cambria Math"/>
            </w:rPr>
            <m:t>z=the static corresponding to the level of confidence</m:t>
          </m:r>
        </m:oMath>
      </m:oMathPara>
    </w:p>
    <w:p w14:paraId="0A3B12FF" w14:textId="77777777" w:rsidR="0067656E" w:rsidRPr="00D717C4" w:rsidRDefault="0067656E" w:rsidP="00D717C4">
      <w:pPr>
        <w:spacing w:after="0" w:line="240" w:lineRule="auto"/>
        <w:ind w:left="9"/>
      </w:pPr>
      <m:oMathPara>
        <m:oMathParaPr>
          <m:jc m:val="left"/>
        </m:oMathParaPr>
        <m:oMath>
          <m:r>
            <w:rPr>
              <w:rFonts w:ascii="Cambria Math" w:hAnsi="Cambria Math"/>
            </w:rPr>
            <m:t>p=expected prevelence (obtained from a pilot study or similar studies)</m:t>
          </m:r>
        </m:oMath>
      </m:oMathPara>
    </w:p>
    <w:p w14:paraId="175471CB" w14:textId="77777777" w:rsidR="0067656E" w:rsidRPr="00D717C4" w:rsidRDefault="0067656E" w:rsidP="00D717C4">
      <w:pPr>
        <w:spacing w:after="0" w:line="240" w:lineRule="auto"/>
        <w:ind w:left="9"/>
      </w:pPr>
      <m:oMathPara>
        <m:oMathParaPr>
          <m:jc m:val="left"/>
        </m:oMathParaPr>
        <m:oMath>
          <m:r>
            <w:rPr>
              <w:rFonts w:ascii="Cambria Math" w:hAnsi="Cambria Math"/>
            </w:rPr>
            <m:t>d=precision</m:t>
          </m:r>
        </m:oMath>
      </m:oMathPara>
    </w:p>
    <w:p w14:paraId="1D9E3238" w14:textId="77777777" w:rsidR="0067656E" w:rsidRPr="00D717C4" w:rsidRDefault="0067656E" w:rsidP="00D717C4">
      <w:pPr>
        <w:spacing w:after="0" w:line="240" w:lineRule="auto"/>
        <w:ind w:left="9"/>
      </w:pPr>
      <m:oMathPara>
        <m:oMathParaPr>
          <m:jc m:val="left"/>
        </m:oMathParaPr>
        <m:oMath>
          <m:r>
            <w:rPr>
              <w:rFonts w:ascii="Cambria Math" w:hAnsi="Cambria Math"/>
            </w:rPr>
            <m:t>Thus z=1.96 which is equivalent to 95% confidence interval</m:t>
          </m:r>
        </m:oMath>
      </m:oMathPara>
    </w:p>
    <w:p w14:paraId="58F94E08" w14:textId="77777777" w:rsidR="0067656E" w:rsidRPr="00D717C4" w:rsidRDefault="0067656E" w:rsidP="00D717C4">
      <w:pPr>
        <w:spacing w:after="0" w:line="240" w:lineRule="auto"/>
        <w:ind w:left="9"/>
      </w:pPr>
      <m:oMathPara>
        <m:oMathParaPr>
          <m:jc m:val="left"/>
        </m:oMathParaPr>
        <m:oMath>
          <m:r>
            <w:rPr>
              <w:rFonts w:ascii="Cambria Math" w:hAnsi="Cambria Math"/>
            </w:rPr>
            <m:t xml:space="preserve">p= 0.6 </m:t>
          </m:r>
          <m:d>
            <m:dPr>
              <m:ctrlPr>
                <w:rPr>
                  <w:rFonts w:ascii="Cambria Math" w:hAnsi="Cambria Math"/>
                  <w:i/>
                </w:rPr>
              </m:ctrlPr>
            </m:dPr>
            <m:e>
              <m:r>
                <w:rPr>
                  <w:rFonts w:ascii="Cambria Math" w:hAnsi="Cambria Math"/>
                </w:rPr>
                <m:t>prevalence of 60%</m:t>
              </m:r>
            </m:e>
          </m:d>
          <m:r>
            <w:rPr>
              <w:rFonts w:ascii="Cambria Math" w:hAnsi="Cambria Math"/>
            </w:rPr>
            <m:t>,                           d=0.05</m:t>
          </m:r>
        </m:oMath>
      </m:oMathPara>
    </w:p>
    <w:p w14:paraId="6F3371E1" w14:textId="77777777" w:rsidR="0067656E" w:rsidRPr="00D717C4" w:rsidRDefault="0067656E" w:rsidP="00D717C4">
      <w:pPr>
        <w:spacing w:after="0" w:line="240" w:lineRule="auto"/>
        <w:ind w:left="9"/>
      </w:pPr>
    </w:p>
    <w:p w14:paraId="23A4B0F0" w14:textId="77777777" w:rsidR="0067656E" w:rsidRPr="00D717C4" w:rsidRDefault="0067656E" w:rsidP="00D717C4">
      <w:pPr>
        <w:spacing w:line="240" w:lineRule="auto"/>
        <w:ind w:left="9"/>
      </w:pPr>
      <w:r w:rsidRPr="00D717C4">
        <w:t xml:space="preserve">Therefore, the minimum sample size required in this study will be 369 participants.    </w:t>
      </w:r>
    </w:p>
    <w:p w14:paraId="0024A5C2" w14:textId="77777777" w:rsidR="0067656E" w:rsidRPr="00D717C4" w:rsidRDefault="0067656E" w:rsidP="00D717C4">
      <w:pPr>
        <w:spacing w:after="1" w:line="240" w:lineRule="auto"/>
        <w:ind w:left="9"/>
      </w:pPr>
    </w:p>
    <w:p w14:paraId="18F7AA4B" w14:textId="77777777" w:rsidR="0067656E" w:rsidRPr="00D717C4" w:rsidRDefault="0067656E" w:rsidP="00D717C4">
      <w:pPr>
        <w:pStyle w:val="Heading2"/>
        <w:spacing w:line="240" w:lineRule="auto"/>
        <w:ind w:left="0"/>
        <w:rPr>
          <w:rFonts w:ascii="Times New Roman" w:hAnsi="Times New Roman" w:cs="Times New Roman"/>
          <w:b/>
          <w:color w:val="auto"/>
          <w:sz w:val="24"/>
          <w:szCs w:val="24"/>
        </w:rPr>
      </w:pPr>
      <w:bookmarkStart w:id="12" w:name="_Toc195337090"/>
      <w:r w:rsidRPr="00D717C4">
        <w:rPr>
          <w:rFonts w:ascii="Times New Roman" w:hAnsi="Times New Roman" w:cs="Times New Roman"/>
          <w:b/>
          <w:color w:val="auto"/>
          <w:sz w:val="24"/>
          <w:szCs w:val="24"/>
        </w:rPr>
        <w:t>Data Collection Instrument</w:t>
      </w:r>
      <w:bookmarkEnd w:id="12"/>
    </w:p>
    <w:p w14:paraId="704CB62B" w14:textId="64ABDB10" w:rsidR="0067656E" w:rsidRPr="00D717C4" w:rsidRDefault="0067656E" w:rsidP="00D717C4">
      <w:pPr>
        <w:spacing w:line="240" w:lineRule="auto"/>
        <w:ind w:left="9"/>
      </w:pPr>
      <w:r w:rsidRPr="00D717C4">
        <w:t xml:space="preserve">A spreadsheet was designed. The data variables were age, sex, </w:t>
      </w:r>
      <w:r w:rsidRPr="00E0208A">
        <w:rPr>
          <w:color w:val="FF0000"/>
        </w:rPr>
        <w:t>T</w:t>
      </w:r>
      <w:r w:rsidR="00E0208A" w:rsidRPr="00E0208A">
        <w:rPr>
          <w:color w:val="FF0000"/>
        </w:rPr>
        <w:t>otal serum bilirubin</w:t>
      </w:r>
      <w:r w:rsidRPr="00D717C4">
        <w:t xml:space="preserve"> result, ABO incompatibility and type of Hospital. The researcher populated the spreadsheet with relevant data on the patterns and risk factors associated with NNJ.  </w:t>
      </w:r>
    </w:p>
    <w:p w14:paraId="49F57D4C" w14:textId="77777777" w:rsidR="0067656E" w:rsidRPr="00D717C4" w:rsidRDefault="0067656E" w:rsidP="00D717C4">
      <w:pPr>
        <w:pStyle w:val="Heading2"/>
        <w:tabs>
          <w:tab w:val="center" w:pos="3615"/>
        </w:tabs>
        <w:spacing w:line="240" w:lineRule="auto"/>
        <w:ind w:left="0"/>
        <w:rPr>
          <w:rFonts w:ascii="Times New Roman" w:hAnsi="Times New Roman" w:cs="Times New Roman"/>
          <w:b/>
          <w:sz w:val="24"/>
          <w:szCs w:val="24"/>
        </w:rPr>
      </w:pPr>
      <w:bookmarkStart w:id="13" w:name="_Toc195337092"/>
      <w:r w:rsidRPr="00D717C4">
        <w:rPr>
          <w:rFonts w:ascii="Times New Roman" w:hAnsi="Times New Roman" w:cs="Times New Roman"/>
          <w:b/>
          <w:color w:val="000000" w:themeColor="text1"/>
          <w:sz w:val="24"/>
          <w:szCs w:val="24"/>
        </w:rPr>
        <w:t>Data Collection Procedure</w:t>
      </w:r>
      <w:bookmarkEnd w:id="13"/>
      <w:r w:rsidRPr="00D717C4">
        <w:rPr>
          <w:rFonts w:ascii="Times New Roman" w:hAnsi="Times New Roman" w:cs="Times New Roman"/>
          <w:b/>
          <w:sz w:val="24"/>
          <w:szCs w:val="24"/>
        </w:rPr>
        <w:tab/>
      </w:r>
    </w:p>
    <w:p w14:paraId="69D4AB64" w14:textId="77777777" w:rsidR="0067656E" w:rsidRPr="00D717C4" w:rsidRDefault="0067656E" w:rsidP="00D717C4">
      <w:pPr>
        <w:spacing w:after="2" w:line="240" w:lineRule="auto"/>
        <w:ind w:left="9"/>
      </w:pPr>
      <w:r w:rsidRPr="00D717C4">
        <w:t xml:space="preserve">Data was retrieved from the Lancet Clinical Laboratories database focusing on infants born from January 2024 to June 2024 with eligible records meeting the inclusion and the exclusion criteria. The data was then transferred to the data collection tool.   </w:t>
      </w:r>
      <w:r w:rsidRPr="00D717C4">
        <w:tab/>
      </w:r>
    </w:p>
    <w:p w14:paraId="1EC012EB" w14:textId="77777777" w:rsidR="0067656E" w:rsidRPr="00D717C4" w:rsidRDefault="0067656E" w:rsidP="00D717C4">
      <w:pPr>
        <w:pStyle w:val="Heading2"/>
        <w:spacing w:line="240" w:lineRule="auto"/>
        <w:ind w:left="0"/>
        <w:rPr>
          <w:rFonts w:ascii="Times New Roman" w:hAnsi="Times New Roman" w:cs="Times New Roman"/>
          <w:b/>
          <w:color w:val="000000" w:themeColor="text1"/>
          <w:sz w:val="24"/>
          <w:szCs w:val="24"/>
        </w:rPr>
      </w:pPr>
      <w:bookmarkStart w:id="14" w:name="_Toc195337093"/>
      <w:r w:rsidRPr="00D717C4">
        <w:rPr>
          <w:rFonts w:ascii="Times New Roman" w:hAnsi="Times New Roman" w:cs="Times New Roman"/>
          <w:b/>
          <w:color w:val="000000" w:themeColor="text1"/>
          <w:sz w:val="24"/>
          <w:szCs w:val="24"/>
        </w:rPr>
        <w:t>Data Analysis</w:t>
      </w:r>
      <w:bookmarkEnd w:id="14"/>
    </w:p>
    <w:p w14:paraId="49A270F3" w14:textId="77777777" w:rsidR="0067656E" w:rsidRPr="00D717C4" w:rsidRDefault="0067656E" w:rsidP="00D717C4">
      <w:pPr>
        <w:spacing w:line="240" w:lineRule="auto"/>
        <w:ind w:left="9"/>
      </w:pPr>
      <w:r w:rsidRPr="00D717C4">
        <w:t>The researcher captured all the manually collected data from hardcopy to Excel. Data was analyzed and stored on Microsoft Excel, Data was analyzed by categorizing similar variables together. Results were summarized by frequencies and percentiles (categorical variables), means and percentiles (numerical variables, based on the distribution of data).</w:t>
      </w:r>
    </w:p>
    <w:p w14:paraId="77D4013A" w14:textId="77777777" w:rsidR="0067656E" w:rsidRPr="00D717C4" w:rsidRDefault="0067656E" w:rsidP="00D717C4">
      <w:pPr>
        <w:pStyle w:val="Heading2"/>
        <w:spacing w:line="240" w:lineRule="auto"/>
        <w:ind w:left="9"/>
        <w:rPr>
          <w:rFonts w:ascii="Times New Roman" w:hAnsi="Times New Roman" w:cs="Times New Roman"/>
          <w:b/>
          <w:color w:val="000000" w:themeColor="text1"/>
          <w:sz w:val="24"/>
          <w:szCs w:val="24"/>
        </w:rPr>
      </w:pPr>
      <w:bookmarkStart w:id="15" w:name="_Toc195337094"/>
      <w:r w:rsidRPr="00D717C4">
        <w:rPr>
          <w:rFonts w:ascii="Times New Roman" w:hAnsi="Times New Roman" w:cs="Times New Roman"/>
          <w:b/>
          <w:color w:val="000000" w:themeColor="text1"/>
          <w:sz w:val="24"/>
          <w:szCs w:val="24"/>
        </w:rPr>
        <w:t>Ethical Considerations</w:t>
      </w:r>
      <w:bookmarkEnd w:id="15"/>
    </w:p>
    <w:p w14:paraId="1B3FFDF1" w14:textId="77777777" w:rsidR="0067656E" w:rsidRPr="00D717C4" w:rsidRDefault="0067656E" w:rsidP="00D717C4">
      <w:pPr>
        <w:spacing w:after="1" w:line="240" w:lineRule="auto"/>
        <w:ind w:left="9"/>
      </w:pPr>
      <w:r w:rsidRPr="00D717C4">
        <w:t xml:space="preserve">Ethical Approval was obtained from the Africa University Research Committee (AUREC) with reference code: </w:t>
      </w:r>
      <w:r w:rsidRPr="00D717C4">
        <w:rPr>
          <w:b/>
        </w:rPr>
        <w:t>Ref AU 3495/24</w:t>
      </w:r>
      <w:r w:rsidRPr="00D717C4">
        <w:t xml:space="preserve">. Permission to carry out the research was obtained from the Laboratory Manager ensuring informed consent, confidentiality, and the right to withdraw from the study at any time. All the data was </w:t>
      </w:r>
      <w:proofErr w:type="spellStart"/>
      <w:r w:rsidRPr="00D717C4">
        <w:t>anonymised</w:t>
      </w:r>
      <w:proofErr w:type="spellEnd"/>
      <w:r w:rsidRPr="00D717C4">
        <w:t xml:space="preserve"> to protect participant's identities. Information was collected following the requirements of the Ethics Committee (AUREC). </w:t>
      </w:r>
    </w:p>
    <w:p w14:paraId="00FDC160" w14:textId="77777777" w:rsidR="0067656E" w:rsidRPr="00D717C4" w:rsidRDefault="0067656E" w:rsidP="00D717C4">
      <w:pPr>
        <w:pStyle w:val="Heading1"/>
        <w:tabs>
          <w:tab w:val="left" w:pos="379"/>
          <w:tab w:val="center" w:pos="4690"/>
        </w:tabs>
        <w:spacing w:after="327" w:line="240" w:lineRule="auto"/>
        <w:ind w:left="33" w:right="13"/>
        <w:jc w:val="left"/>
        <w:rPr>
          <w:rFonts w:ascii="Times New Roman" w:hAnsi="Times New Roman" w:cs="Times New Roman"/>
          <w:b/>
          <w:color w:val="000000" w:themeColor="text1"/>
          <w:sz w:val="24"/>
          <w:szCs w:val="24"/>
        </w:rPr>
      </w:pPr>
      <w:r w:rsidRPr="00D717C4">
        <w:rPr>
          <w:rFonts w:ascii="Times New Roman" w:hAnsi="Times New Roman" w:cs="Times New Roman"/>
          <w:b/>
          <w:color w:val="000000" w:themeColor="text1"/>
          <w:sz w:val="24"/>
          <w:szCs w:val="24"/>
        </w:rPr>
        <w:lastRenderedPageBreak/>
        <w:tab/>
      </w:r>
      <w:r w:rsidRPr="00D717C4">
        <w:rPr>
          <w:rFonts w:ascii="Times New Roman" w:hAnsi="Times New Roman" w:cs="Times New Roman"/>
          <w:b/>
          <w:color w:val="000000" w:themeColor="text1"/>
          <w:sz w:val="24"/>
          <w:szCs w:val="24"/>
        </w:rPr>
        <w:tab/>
      </w:r>
      <w:bookmarkStart w:id="16" w:name="_Toc195337096"/>
      <w:r w:rsidRPr="00D717C4">
        <w:rPr>
          <w:rFonts w:ascii="Times New Roman" w:hAnsi="Times New Roman" w:cs="Times New Roman"/>
          <w:b/>
          <w:color w:val="000000" w:themeColor="text1"/>
          <w:sz w:val="24"/>
          <w:szCs w:val="24"/>
        </w:rPr>
        <w:t>RESULTS</w:t>
      </w:r>
      <w:bookmarkEnd w:id="16"/>
    </w:p>
    <w:p w14:paraId="21F0238B" w14:textId="77777777" w:rsidR="0067656E" w:rsidRPr="00D717C4" w:rsidRDefault="0067656E" w:rsidP="00D717C4">
      <w:pPr>
        <w:pStyle w:val="Heading1"/>
        <w:spacing w:after="530" w:line="240" w:lineRule="auto"/>
        <w:ind w:left="0"/>
        <w:rPr>
          <w:rFonts w:ascii="Times New Roman" w:hAnsi="Times New Roman" w:cs="Times New Roman"/>
          <w:sz w:val="24"/>
          <w:szCs w:val="24"/>
        </w:rPr>
      </w:pPr>
      <w:bookmarkStart w:id="17" w:name="_Toc195173466"/>
      <w:bookmarkStart w:id="18" w:name="_Toc195337099"/>
      <w:r w:rsidRPr="00D717C4">
        <w:rPr>
          <w:rFonts w:ascii="Times New Roman" w:hAnsi="Times New Roman" w:cs="Times New Roman"/>
          <w:noProof/>
          <w:sz w:val="24"/>
          <w:szCs w:val="24"/>
        </w:rPr>
        <w:drawing>
          <wp:anchor distT="0" distB="0" distL="114300" distR="114300" simplePos="0" relativeHeight="251659264" behindDoc="0" locked="0" layoutInCell="1" allowOverlap="1" wp14:anchorId="255AC74C" wp14:editId="269C8694">
            <wp:simplePos x="0" y="0"/>
            <wp:positionH relativeFrom="column">
              <wp:posOffset>1412240</wp:posOffset>
            </wp:positionH>
            <wp:positionV relativeFrom="paragraph">
              <wp:posOffset>100330</wp:posOffset>
            </wp:positionV>
            <wp:extent cx="3429000" cy="2470150"/>
            <wp:effectExtent l="0" t="0" r="0" b="0"/>
            <wp:wrapThrough wrapText="bothSides">
              <wp:wrapPolygon edited="0">
                <wp:start x="0" y="0"/>
                <wp:lineTo x="0" y="21489"/>
                <wp:lineTo x="21480" y="21489"/>
                <wp:lineTo x="21480" y="0"/>
                <wp:lineTo x="0" y="0"/>
              </wp:wrapPolygon>
            </wp:wrapThrough>
            <wp:docPr id="1716518905" name="Chart 1">
              <a:extLst xmlns:a="http://schemas.openxmlformats.org/drawingml/2006/main">
                <a:ext uri="{FF2B5EF4-FFF2-40B4-BE49-F238E27FC236}">
                  <a16:creationId xmlns:a16="http://schemas.microsoft.com/office/drawing/2014/main" id="{80AFBBC6-3E72-E195-B4E5-B76E415285C8}"/>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anchor>
        </w:drawing>
      </w:r>
      <w:bookmarkEnd w:id="17"/>
      <w:bookmarkEnd w:id="18"/>
    </w:p>
    <w:p w14:paraId="149050A9" w14:textId="77777777" w:rsidR="0067656E" w:rsidRPr="00D717C4" w:rsidRDefault="0067656E" w:rsidP="00D717C4">
      <w:pPr>
        <w:pStyle w:val="Heading1"/>
        <w:spacing w:after="530" w:line="240" w:lineRule="auto"/>
        <w:ind w:left="0"/>
        <w:rPr>
          <w:rFonts w:ascii="Times New Roman" w:hAnsi="Times New Roman" w:cs="Times New Roman"/>
          <w:sz w:val="24"/>
          <w:szCs w:val="24"/>
        </w:rPr>
      </w:pPr>
    </w:p>
    <w:p w14:paraId="7F73151B" w14:textId="77777777" w:rsidR="0067656E" w:rsidRPr="00D717C4" w:rsidRDefault="0067656E" w:rsidP="00D717C4">
      <w:pPr>
        <w:spacing w:after="599" w:line="240" w:lineRule="auto"/>
        <w:ind w:left="107"/>
        <w:jc w:val="left"/>
      </w:pPr>
    </w:p>
    <w:p w14:paraId="7CFDADB8" w14:textId="77777777" w:rsidR="0067656E" w:rsidRPr="00D717C4" w:rsidRDefault="0067656E" w:rsidP="00D717C4">
      <w:pPr>
        <w:spacing w:after="6" w:line="240" w:lineRule="auto"/>
        <w:ind w:left="9"/>
      </w:pPr>
    </w:p>
    <w:p w14:paraId="2AFE6CA6" w14:textId="77777777" w:rsidR="0067656E" w:rsidRPr="00D717C4" w:rsidRDefault="0067656E" w:rsidP="00D717C4">
      <w:pPr>
        <w:spacing w:after="6" w:line="240" w:lineRule="auto"/>
        <w:ind w:left="0"/>
      </w:pPr>
    </w:p>
    <w:p w14:paraId="1D045E29" w14:textId="77777777" w:rsidR="002A0086" w:rsidRDefault="002A0086" w:rsidP="00D717C4">
      <w:pPr>
        <w:spacing w:after="6" w:line="240" w:lineRule="auto"/>
        <w:ind w:left="0"/>
        <w:rPr>
          <w:b/>
          <w:i/>
        </w:rPr>
      </w:pPr>
    </w:p>
    <w:p w14:paraId="6394B4A0" w14:textId="77777777" w:rsidR="002A0086" w:rsidRDefault="002A0086" w:rsidP="00D717C4">
      <w:pPr>
        <w:spacing w:after="6" w:line="240" w:lineRule="auto"/>
        <w:ind w:left="0"/>
        <w:rPr>
          <w:b/>
          <w:i/>
        </w:rPr>
      </w:pPr>
    </w:p>
    <w:p w14:paraId="3801DCEE" w14:textId="77777777" w:rsidR="002A0086" w:rsidRDefault="002A0086" w:rsidP="00D717C4">
      <w:pPr>
        <w:spacing w:after="6" w:line="240" w:lineRule="auto"/>
        <w:ind w:left="0"/>
        <w:rPr>
          <w:b/>
          <w:i/>
        </w:rPr>
      </w:pPr>
    </w:p>
    <w:p w14:paraId="2D8AFC20" w14:textId="77777777" w:rsidR="002A0086" w:rsidRDefault="002A0086" w:rsidP="00D717C4">
      <w:pPr>
        <w:spacing w:after="6" w:line="240" w:lineRule="auto"/>
        <w:ind w:left="0"/>
        <w:rPr>
          <w:b/>
          <w:i/>
        </w:rPr>
      </w:pPr>
    </w:p>
    <w:p w14:paraId="71C12D6F" w14:textId="77777777" w:rsidR="002A0086" w:rsidRDefault="002A0086" w:rsidP="00D717C4">
      <w:pPr>
        <w:spacing w:after="6" w:line="240" w:lineRule="auto"/>
        <w:ind w:left="0"/>
        <w:rPr>
          <w:b/>
          <w:i/>
        </w:rPr>
      </w:pPr>
    </w:p>
    <w:p w14:paraId="7D9AD911" w14:textId="47F73536" w:rsidR="0067656E" w:rsidRPr="00D717C4" w:rsidRDefault="0067656E" w:rsidP="00D717C4">
      <w:pPr>
        <w:spacing w:after="6" w:line="240" w:lineRule="auto"/>
        <w:ind w:left="0"/>
        <w:rPr>
          <w:b/>
          <w:i/>
        </w:rPr>
      </w:pPr>
      <w:r w:rsidRPr="00D717C4">
        <w:rPr>
          <w:b/>
          <w:i/>
        </w:rPr>
        <w:t>Figure 1: Distribution against type of Hospital</w:t>
      </w:r>
    </w:p>
    <w:p w14:paraId="38866D4B" w14:textId="77777777" w:rsidR="0067656E" w:rsidRPr="00D717C4" w:rsidRDefault="0067656E" w:rsidP="00D717C4">
      <w:pPr>
        <w:spacing w:after="6" w:line="240" w:lineRule="auto"/>
        <w:ind w:left="0"/>
        <w:rPr>
          <w:b/>
          <w:i/>
        </w:rPr>
      </w:pPr>
    </w:p>
    <w:p w14:paraId="181BA380" w14:textId="77777777" w:rsidR="0067656E" w:rsidRPr="00D717C4" w:rsidRDefault="0067656E" w:rsidP="00D717C4">
      <w:pPr>
        <w:spacing w:after="6" w:line="240" w:lineRule="auto"/>
        <w:ind w:left="9"/>
      </w:pPr>
      <w:r w:rsidRPr="00D717C4">
        <w:t xml:space="preserve">From the above pie chart 84 (32, 6%) of the neonates were from private Hospitals and 174 (67.4%) were from private Hospitals. The segment representing neonates from the private Hospital shows a smaller portion for NNJ cases. This suggest that fewer neonates are treated for NNJ in private Hospitals possibly due to the fact that they provide higher access to prenatal </w:t>
      </w:r>
      <w:proofErr w:type="gramStart"/>
      <w:r w:rsidRPr="00D717C4">
        <w:t>care  and</w:t>
      </w:r>
      <w:proofErr w:type="gramEnd"/>
      <w:r w:rsidRPr="00D717C4">
        <w:t xml:space="preserve">  also  having more resources for early detection. One hundred and </w:t>
      </w:r>
      <w:proofErr w:type="gramStart"/>
      <w:r w:rsidRPr="00D717C4">
        <w:t>seventy four</w:t>
      </w:r>
      <w:proofErr w:type="gramEnd"/>
      <w:r w:rsidRPr="00D717C4">
        <w:t xml:space="preserve"> (67.4%) were from public Hospitals.  The segment with neonates from public Hospitals is larger indicating that significant majority of NNJ cases are happening in public hospital.</w:t>
      </w:r>
      <w:r w:rsidRPr="00D717C4">
        <w:tab/>
      </w:r>
    </w:p>
    <w:p w14:paraId="775C2363" w14:textId="77777777" w:rsidR="0067656E" w:rsidRPr="00D717C4" w:rsidRDefault="0067656E" w:rsidP="00D717C4">
      <w:pPr>
        <w:spacing w:line="240" w:lineRule="auto"/>
        <w:ind w:left="0"/>
      </w:pPr>
    </w:p>
    <w:p w14:paraId="24C68E85" w14:textId="77777777" w:rsidR="0067656E" w:rsidRPr="00D717C4" w:rsidRDefault="0067656E" w:rsidP="00D717C4">
      <w:pPr>
        <w:pStyle w:val="Heading1"/>
        <w:spacing w:line="240" w:lineRule="auto"/>
        <w:ind w:left="0"/>
        <w:rPr>
          <w:rFonts w:ascii="Times New Roman" w:hAnsi="Times New Roman" w:cs="Times New Roman"/>
          <w:b/>
          <w:i/>
          <w:color w:val="000000" w:themeColor="text1"/>
          <w:sz w:val="24"/>
          <w:szCs w:val="24"/>
        </w:rPr>
      </w:pPr>
      <w:bookmarkStart w:id="19" w:name="_Toc195337100"/>
      <w:r w:rsidRPr="00D717C4">
        <w:rPr>
          <w:rFonts w:ascii="Times New Roman" w:hAnsi="Times New Roman" w:cs="Times New Roman"/>
          <w:b/>
          <w:i/>
          <w:color w:val="000000" w:themeColor="text1"/>
          <w:sz w:val="24"/>
          <w:szCs w:val="24"/>
        </w:rPr>
        <w:t>Table1: Distribution according to ABO and Rh blood Group</w:t>
      </w:r>
      <w:bookmarkEnd w:id="19"/>
    </w:p>
    <w:p w14:paraId="70563A0A" w14:textId="77777777" w:rsidR="0067656E" w:rsidRPr="00D717C4" w:rsidRDefault="0067656E" w:rsidP="00D717C4">
      <w:pPr>
        <w:spacing w:line="240" w:lineRule="auto"/>
      </w:pPr>
    </w:p>
    <w:tbl>
      <w:tblPr>
        <w:tblW w:w="4800" w:type="dxa"/>
        <w:jc w:val="center"/>
        <w:tblLook w:val="04A0" w:firstRow="1" w:lastRow="0" w:firstColumn="1" w:lastColumn="0" w:noHBand="0" w:noVBand="1"/>
      </w:tblPr>
      <w:tblGrid>
        <w:gridCol w:w="960"/>
        <w:gridCol w:w="960"/>
        <w:gridCol w:w="1683"/>
        <w:gridCol w:w="960"/>
        <w:gridCol w:w="960"/>
      </w:tblGrid>
      <w:tr w:rsidR="0067656E" w:rsidRPr="00D717C4" w14:paraId="5E78EFB4" w14:textId="77777777" w:rsidTr="006B480A">
        <w:trPr>
          <w:trHeight w:val="324"/>
          <w:jc w:val="center"/>
        </w:trPr>
        <w:tc>
          <w:tcPr>
            <w:tcW w:w="960" w:type="dxa"/>
            <w:tcBorders>
              <w:top w:val="single" w:sz="8" w:space="0" w:color="auto"/>
              <w:left w:val="single" w:sz="8" w:space="0" w:color="auto"/>
              <w:bottom w:val="nil"/>
              <w:right w:val="nil"/>
            </w:tcBorders>
            <w:noWrap/>
            <w:vAlign w:val="center"/>
            <w:hideMark/>
          </w:tcPr>
          <w:p w14:paraId="36FD748A" w14:textId="77777777" w:rsidR="0067656E" w:rsidRPr="00D717C4" w:rsidRDefault="0067656E" w:rsidP="00D717C4">
            <w:pPr>
              <w:spacing w:after="0" w:line="240" w:lineRule="auto"/>
              <w:ind w:left="0"/>
              <w:jc w:val="left"/>
              <w:rPr>
                <w:kern w:val="0"/>
                <w:lang w:val="en-ZW" w:eastAsia="en-ZW"/>
              </w:rPr>
            </w:pPr>
            <w:r w:rsidRPr="00D717C4">
              <w:rPr>
                <w:kern w:val="0"/>
                <w:lang w:eastAsia="en-ZW"/>
              </w:rPr>
              <w:t> </w:t>
            </w:r>
          </w:p>
        </w:tc>
        <w:tc>
          <w:tcPr>
            <w:tcW w:w="960" w:type="dxa"/>
            <w:tcBorders>
              <w:top w:val="single" w:sz="8" w:space="0" w:color="auto"/>
              <w:left w:val="nil"/>
              <w:bottom w:val="nil"/>
              <w:right w:val="nil"/>
            </w:tcBorders>
            <w:noWrap/>
            <w:vAlign w:val="center"/>
            <w:hideMark/>
          </w:tcPr>
          <w:p w14:paraId="346CA2FB" w14:textId="77777777" w:rsidR="0067656E" w:rsidRPr="00D717C4" w:rsidRDefault="0067656E" w:rsidP="00D717C4">
            <w:pPr>
              <w:spacing w:after="0" w:line="240" w:lineRule="auto"/>
              <w:ind w:left="0"/>
              <w:jc w:val="left"/>
              <w:rPr>
                <w:kern w:val="0"/>
                <w:lang w:val="en-ZW" w:eastAsia="en-ZW"/>
              </w:rPr>
            </w:pPr>
            <w:r w:rsidRPr="00D717C4">
              <w:rPr>
                <w:kern w:val="0"/>
                <w:lang w:eastAsia="en-ZW"/>
              </w:rPr>
              <w:t> </w:t>
            </w:r>
          </w:p>
        </w:tc>
        <w:tc>
          <w:tcPr>
            <w:tcW w:w="960" w:type="dxa"/>
            <w:tcBorders>
              <w:top w:val="single" w:sz="8" w:space="0" w:color="auto"/>
              <w:left w:val="nil"/>
              <w:bottom w:val="nil"/>
              <w:right w:val="nil"/>
            </w:tcBorders>
            <w:noWrap/>
            <w:vAlign w:val="center"/>
            <w:hideMark/>
          </w:tcPr>
          <w:p w14:paraId="46B550A6" w14:textId="77777777" w:rsidR="0067656E" w:rsidRPr="00D717C4" w:rsidRDefault="0067656E" w:rsidP="00D717C4">
            <w:pPr>
              <w:spacing w:after="0" w:line="240" w:lineRule="auto"/>
              <w:ind w:left="0"/>
              <w:jc w:val="left"/>
              <w:rPr>
                <w:kern w:val="0"/>
                <w:lang w:val="en-ZW" w:eastAsia="en-ZW"/>
              </w:rPr>
            </w:pPr>
            <w:r w:rsidRPr="00D717C4">
              <w:rPr>
                <w:kern w:val="0"/>
                <w:lang w:eastAsia="en-ZW"/>
              </w:rPr>
              <w:t> </w:t>
            </w:r>
          </w:p>
        </w:tc>
        <w:tc>
          <w:tcPr>
            <w:tcW w:w="960" w:type="dxa"/>
            <w:tcBorders>
              <w:top w:val="single" w:sz="8" w:space="0" w:color="auto"/>
              <w:left w:val="nil"/>
              <w:bottom w:val="nil"/>
              <w:right w:val="nil"/>
            </w:tcBorders>
            <w:noWrap/>
            <w:vAlign w:val="center"/>
            <w:hideMark/>
          </w:tcPr>
          <w:p w14:paraId="34E3C580" w14:textId="77777777" w:rsidR="0067656E" w:rsidRPr="00D717C4" w:rsidRDefault="0067656E" w:rsidP="00D717C4">
            <w:pPr>
              <w:spacing w:after="0" w:line="240" w:lineRule="auto"/>
              <w:ind w:left="0"/>
              <w:jc w:val="left"/>
              <w:rPr>
                <w:kern w:val="0"/>
                <w:lang w:val="en-ZW" w:eastAsia="en-ZW"/>
              </w:rPr>
            </w:pPr>
            <w:r w:rsidRPr="00D717C4">
              <w:rPr>
                <w:kern w:val="0"/>
                <w:lang w:val="en-ZW" w:eastAsia="en-ZW"/>
              </w:rPr>
              <w:t> </w:t>
            </w:r>
          </w:p>
        </w:tc>
        <w:tc>
          <w:tcPr>
            <w:tcW w:w="960" w:type="dxa"/>
            <w:tcBorders>
              <w:top w:val="single" w:sz="8" w:space="0" w:color="auto"/>
              <w:left w:val="nil"/>
              <w:bottom w:val="nil"/>
              <w:right w:val="single" w:sz="8" w:space="0" w:color="auto"/>
            </w:tcBorders>
            <w:noWrap/>
            <w:vAlign w:val="center"/>
            <w:hideMark/>
          </w:tcPr>
          <w:p w14:paraId="211C8722" w14:textId="77777777" w:rsidR="0067656E" w:rsidRPr="00D717C4" w:rsidRDefault="0067656E" w:rsidP="00D717C4">
            <w:pPr>
              <w:spacing w:after="0" w:line="240" w:lineRule="auto"/>
              <w:ind w:left="0"/>
              <w:jc w:val="left"/>
              <w:rPr>
                <w:kern w:val="0"/>
                <w:lang w:val="en-ZW" w:eastAsia="en-ZW"/>
              </w:rPr>
            </w:pPr>
            <w:r w:rsidRPr="00D717C4">
              <w:rPr>
                <w:kern w:val="0"/>
                <w:lang w:eastAsia="en-ZW"/>
              </w:rPr>
              <w:t> </w:t>
            </w:r>
          </w:p>
        </w:tc>
      </w:tr>
      <w:tr w:rsidR="0067656E" w:rsidRPr="00D717C4" w14:paraId="3F39763B" w14:textId="77777777" w:rsidTr="006B480A">
        <w:trPr>
          <w:trHeight w:val="924"/>
          <w:jc w:val="center"/>
        </w:trPr>
        <w:tc>
          <w:tcPr>
            <w:tcW w:w="960" w:type="dxa"/>
            <w:tcBorders>
              <w:top w:val="nil"/>
              <w:left w:val="single" w:sz="8" w:space="0" w:color="auto"/>
              <w:bottom w:val="nil"/>
              <w:right w:val="nil"/>
            </w:tcBorders>
            <w:noWrap/>
            <w:vAlign w:val="center"/>
            <w:hideMark/>
          </w:tcPr>
          <w:p w14:paraId="6090A9C0" w14:textId="77777777" w:rsidR="0067656E" w:rsidRPr="00D717C4" w:rsidRDefault="0067656E" w:rsidP="00D717C4">
            <w:pPr>
              <w:spacing w:after="0" w:line="240" w:lineRule="auto"/>
              <w:ind w:left="0"/>
              <w:jc w:val="left"/>
              <w:rPr>
                <w:kern w:val="0"/>
                <w:lang w:val="en-ZW" w:eastAsia="en-ZW"/>
              </w:rPr>
            </w:pPr>
            <w:r w:rsidRPr="00D717C4">
              <w:rPr>
                <w:kern w:val="0"/>
                <w:lang w:eastAsia="en-ZW"/>
              </w:rPr>
              <w:t> </w:t>
            </w:r>
          </w:p>
        </w:tc>
        <w:tc>
          <w:tcPr>
            <w:tcW w:w="960" w:type="dxa"/>
            <w:vMerge w:val="restart"/>
            <w:tcBorders>
              <w:top w:val="single" w:sz="8" w:space="0" w:color="auto"/>
              <w:left w:val="single" w:sz="8" w:space="0" w:color="auto"/>
              <w:bottom w:val="single" w:sz="8" w:space="0" w:color="000000"/>
              <w:right w:val="single" w:sz="8" w:space="0" w:color="auto"/>
            </w:tcBorders>
            <w:shd w:val="clear" w:color="000000" w:fill="808080"/>
            <w:vAlign w:val="center"/>
            <w:hideMark/>
          </w:tcPr>
          <w:p w14:paraId="28CD1107" w14:textId="77777777" w:rsidR="0067656E" w:rsidRPr="00D717C4" w:rsidRDefault="0067656E" w:rsidP="00D717C4">
            <w:pPr>
              <w:spacing w:after="0" w:line="240" w:lineRule="auto"/>
              <w:ind w:left="0"/>
              <w:jc w:val="left"/>
              <w:rPr>
                <w:kern w:val="0"/>
                <w:lang w:val="en-ZW" w:eastAsia="en-ZW"/>
              </w:rPr>
            </w:pPr>
            <w:r w:rsidRPr="00D717C4">
              <w:rPr>
                <w:kern w:val="0"/>
                <w:lang w:eastAsia="en-ZW"/>
              </w:rPr>
              <w:t>Age Group in days</w:t>
            </w:r>
          </w:p>
        </w:tc>
        <w:tc>
          <w:tcPr>
            <w:tcW w:w="960" w:type="dxa"/>
            <w:vMerge w:val="restart"/>
            <w:tcBorders>
              <w:top w:val="single" w:sz="8" w:space="0" w:color="auto"/>
              <w:left w:val="single" w:sz="8" w:space="0" w:color="auto"/>
              <w:bottom w:val="single" w:sz="8" w:space="0" w:color="000000"/>
              <w:right w:val="single" w:sz="8" w:space="0" w:color="auto"/>
            </w:tcBorders>
            <w:shd w:val="clear" w:color="000000" w:fill="808080"/>
            <w:vAlign w:val="center"/>
            <w:hideMark/>
          </w:tcPr>
          <w:p w14:paraId="5E13110F" w14:textId="77777777" w:rsidR="0067656E" w:rsidRPr="00D717C4" w:rsidRDefault="0067656E" w:rsidP="00D717C4">
            <w:pPr>
              <w:spacing w:after="0" w:line="240" w:lineRule="auto"/>
              <w:ind w:left="0"/>
              <w:jc w:val="left"/>
              <w:rPr>
                <w:kern w:val="0"/>
                <w:lang w:val="en-ZW" w:eastAsia="en-ZW"/>
              </w:rPr>
            </w:pPr>
            <w:r w:rsidRPr="00D717C4">
              <w:rPr>
                <w:kern w:val="0"/>
                <w:lang w:eastAsia="en-ZW"/>
              </w:rPr>
              <w:t>ABO and Rh incompatibility</w:t>
            </w:r>
          </w:p>
        </w:tc>
        <w:tc>
          <w:tcPr>
            <w:tcW w:w="960" w:type="dxa"/>
            <w:tcBorders>
              <w:top w:val="nil"/>
              <w:left w:val="nil"/>
              <w:bottom w:val="nil"/>
              <w:right w:val="single" w:sz="8" w:space="0" w:color="auto"/>
            </w:tcBorders>
            <w:shd w:val="clear" w:color="000000" w:fill="808080"/>
            <w:vAlign w:val="center"/>
            <w:hideMark/>
          </w:tcPr>
          <w:p w14:paraId="1C824C49" w14:textId="77777777" w:rsidR="0067656E" w:rsidRPr="00D717C4" w:rsidRDefault="0067656E" w:rsidP="00D717C4">
            <w:pPr>
              <w:spacing w:after="0" w:line="240" w:lineRule="auto"/>
              <w:ind w:left="0"/>
              <w:jc w:val="left"/>
              <w:rPr>
                <w:kern w:val="0"/>
                <w:lang w:val="en-ZW" w:eastAsia="en-ZW"/>
              </w:rPr>
            </w:pPr>
            <w:r w:rsidRPr="00D717C4">
              <w:rPr>
                <w:kern w:val="0"/>
                <w:lang w:val="en-ZW" w:eastAsia="en-ZW"/>
              </w:rPr>
              <w:t>% of total cases</w:t>
            </w:r>
          </w:p>
        </w:tc>
        <w:tc>
          <w:tcPr>
            <w:tcW w:w="960" w:type="dxa"/>
            <w:tcBorders>
              <w:top w:val="nil"/>
              <w:left w:val="nil"/>
              <w:bottom w:val="nil"/>
              <w:right w:val="single" w:sz="8" w:space="0" w:color="auto"/>
            </w:tcBorders>
            <w:noWrap/>
            <w:vAlign w:val="center"/>
            <w:hideMark/>
          </w:tcPr>
          <w:p w14:paraId="4DB54C35" w14:textId="77777777" w:rsidR="0067656E" w:rsidRPr="00D717C4" w:rsidRDefault="0067656E" w:rsidP="00D717C4">
            <w:pPr>
              <w:spacing w:after="0" w:line="240" w:lineRule="auto"/>
              <w:ind w:left="0"/>
              <w:jc w:val="left"/>
              <w:rPr>
                <w:kern w:val="0"/>
                <w:lang w:val="en-ZW" w:eastAsia="en-ZW"/>
              </w:rPr>
            </w:pPr>
            <w:r w:rsidRPr="00D717C4">
              <w:rPr>
                <w:kern w:val="0"/>
                <w:lang w:eastAsia="en-ZW"/>
              </w:rPr>
              <w:t> </w:t>
            </w:r>
          </w:p>
        </w:tc>
      </w:tr>
      <w:tr w:rsidR="0067656E" w:rsidRPr="00D717C4" w14:paraId="4A0938CA" w14:textId="77777777" w:rsidTr="006B480A">
        <w:trPr>
          <w:trHeight w:val="324"/>
          <w:jc w:val="center"/>
        </w:trPr>
        <w:tc>
          <w:tcPr>
            <w:tcW w:w="960" w:type="dxa"/>
            <w:tcBorders>
              <w:top w:val="nil"/>
              <w:left w:val="single" w:sz="8" w:space="0" w:color="auto"/>
              <w:bottom w:val="nil"/>
              <w:right w:val="nil"/>
            </w:tcBorders>
            <w:noWrap/>
            <w:vAlign w:val="center"/>
            <w:hideMark/>
          </w:tcPr>
          <w:p w14:paraId="1A797B45" w14:textId="77777777" w:rsidR="0067656E" w:rsidRPr="00D717C4" w:rsidRDefault="0067656E" w:rsidP="00D717C4">
            <w:pPr>
              <w:spacing w:after="0" w:line="240" w:lineRule="auto"/>
              <w:ind w:left="0"/>
              <w:jc w:val="left"/>
              <w:rPr>
                <w:kern w:val="0"/>
                <w:lang w:val="en-ZW" w:eastAsia="en-ZW"/>
              </w:rPr>
            </w:pPr>
            <w:r w:rsidRPr="00D717C4">
              <w:rPr>
                <w:kern w:val="0"/>
                <w:lang w:val="en-ZW" w:eastAsia="en-ZW"/>
              </w:rPr>
              <w:t> </w:t>
            </w:r>
          </w:p>
        </w:tc>
        <w:tc>
          <w:tcPr>
            <w:tcW w:w="960" w:type="dxa"/>
            <w:vMerge/>
            <w:tcBorders>
              <w:top w:val="single" w:sz="8" w:space="0" w:color="auto"/>
              <w:left w:val="single" w:sz="8" w:space="0" w:color="auto"/>
              <w:bottom w:val="single" w:sz="8" w:space="0" w:color="000000"/>
              <w:right w:val="single" w:sz="8" w:space="0" w:color="auto"/>
            </w:tcBorders>
            <w:vAlign w:val="center"/>
            <w:hideMark/>
          </w:tcPr>
          <w:p w14:paraId="417AC4A2" w14:textId="77777777" w:rsidR="0067656E" w:rsidRPr="00D717C4" w:rsidRDefault="0067656E" w:rsidP="00D717C4">
            <w:pPr>
              <w:spacing w:after="0" w:line="240" w:lineRule="auto"/>
              <w:ind w:left="0"/>
              <w:jc w:val="left"/>
              <w:rPr>
                <w:kern w:val="0"/>
                <w:lang w:val="en-ZW" w:eastAsia="en-ZW"/>
              </w:rPr>
            </w:pPr>
          </w:p>
        </w:tc>
        <w:tc>
          <w:tcPr>
            <w:tcW w:w="960" w:type="dxa"/>
            <w:vMerge/>
            <w:tcBorders>
              <w:top w:val="single" w:sz="8" w:space="0" w:color="auto"/>
              <w:left w:val="single" w:sz="8" w:space="0" w:color="auto"/>
              <w:bottom w:val="single" w:sz="8" w:space="0" w:color="000000"/>
              <w:right w:val="single" w:sz="8" w:space="0" w:color="auto"/>
            </w:tcBorders>
            <w:vAlign w:val="center"/>
            <w:hideMark/>
          </w:tcPr>
          <w:p w14:paraId="1DD64808" w14:textId="77777777" w:rsidR="0067656E" w:rsidRPr="00D717C4" w:rsidRDefault="0067656E" w:rsidP="00D717C4">
            <w:pPr>
              <w:spacing w:after="0" w:line="240" w:lineRule="auto"/>
              <w:ind w:left="0"/>
              <w:jc w:val="left"/>
              <w:rPr>
                <w:kern w:val="0"/>
                <w:lang w:val="en-ZW" w:eastAsia="en-ZW"/>
              </w:rPr>
            </w:pPr>
          </w:p>
        </w:tc>
        <w:tc>
          <w:tcPr>
            <w:tcW w:w="960" w:type="dxa"/>
            <w:tcBorders>
              <w:top w:val="nil"/>
              <w:left w:val="nil"/>
              <w:bottom w:val="nil"/>
              <w:right w:val="single" w:sz="8" w:space="0" w:color="auto"/>
            </w:tcBorders>
            <w:shd w:val="clear" w:color="000000" w:fill="808080"/>
            <w:vAlign w:val="center"/>
            <w:hideMark/>
          </w:tcPr>
          <w:p w14:paraId="409611D4" w14:textId="77777777" w:rsidR="0067656E" w:rsidRPr="00D717C4" w:rsidRDefault="0067656E" w:rsidP="00D717C4">
            <w:pPr>
              <w:spacing w:after="0" w:line="240" w:lineRule="auto"/>
              <w:ind w:left="0"/>
              <w:jc w:val="left"/>
              <w:rPr>
                <w:kern w:val="0"/>
                <w:lang w:val="en-ZW" w:eastAsia="en-ZW"/>
              </w:rPr>
            </w:pPr>
            <w:r w:rsidRPr="00D717C4">
              <w:rPr>
                <w:kern w:val="0"/>
                <w:lang w:val="en-ZW" w:eastAsia="en-ZW"/>
              </w:rPr>
              <w:t> </w:t>
            </w:r>
          </w:p>
        </w:tc>
        <w:tc>
          <w:tcPr>
            <w:tcW w:w="960" w:type="dxa"/>
            <w:tcBorders>
              <w:top w:val="nil"/>
              <w:left w:val="nil"/>
              <w:bottom w:val="nil"/>
              <w:right w:val="single" w:sz="8" w:space="0" w:color="auto"/>
            </w:tcBorders>
            <w:noWrap/>
            <w:vAlign w:val="center"/>
            <w:hideMark/>
          </w:tcPr>
          <w:p w14:paraId="5836D153" w14:textId="77777777" w:rsidR="0067656E" w:rsidRPr="00D717C4" w:rsidRDefault="0067656E" w:rsidP="00D717C4">
            <w:pPr>
              <w:spacing w:after="0" w:line="240" w:lineRule="auto"/>
              <w:ind w:left="0"/>
              <w:jc w:val="left"/>
              <w:rPr>
                <w:kern w:val="0"/>
                <w:lang w:val="en-ZW" w:eastAsia="en-ZW"/>
              </w:rPr>
            </w:pPr>
            <w:r w:rsidRPr="00D717C4">
              <w:rPr>
                <w:kern w:val="0"/>
                <w:lang w:eastAsia="en-ZW"/>
              </w:rPr>
              <w:t> </w:t>
            </w:r>
          </w:p>
        </w:tc>
      </w:tr>
      <w:tr w:rsidR="0067656E" w:rsidRPr="00D717C4" w14:paraId="674FCAC1" w14:textId="77777777" w:rsidTr="006B480A">
        <w:trPr>
          <w:trHeight w:val="636"/>
          <w:jc w:val="center"/>
        </w:trPr>
        <w:tc>
          <w:tcPr>
            <w:tcW w:w="960" w:type="dxa"/>
            <w:tcBorders>
              <w:top w:val="nil"/>
              <w:left w:val="single" w:sz="8" w:space="0" w:color="auto"/>
              <w:bottom w:val="nil"/>
              <w:right w:val="nil"/>
            </w:tcBorders>
            <w:noWrap/>
            <w:vAlign w:val="center"/>
            <w:hideMark/>
          </w:tcPr>
          <w:p w14:paraId="5ED47CD7" w14:textId="77777777" w:rsidR="0067656E" w:rsidRPr="00D717C4" w:rsidRDefault="0067656E" w:rsidP="00D717C4">
            <w:pPr>
              <w:spacing w:after="0" w:line="240" w:lineRule="auto"/>
              <w:ind w:left="0"/>
              <w:jc w:val="left"/>
              <w:rPr>
                <w:kern w:val="0"/>
                <w:lang w:val="en-ZW" w:eastAsia="en-ZW"/>
              </w:rPr>
            </w:pPr>
            <w:r w:rsidRPr="00D717C4">
              <w:rPr>
                <w:kern w:val="0"/>
                <w:lang w:eastAsia="en-ZW"/>
              </w:rPr>
              <w:t> </w:t>
            </w:r>
          </w:p>
        </w:tc>
        <w:tc>
          <w:tcPr>
            <w:tcW w:w="960" w:type="dxa"/>
            <w:tcBorders>
              <w:top w:val="nil"/>
              <w:left w:val="single" w:sz="8" w:space="0" w:color="auto"/>
              <w:bottom w:val="single" w:sz="8" w:space="0" w:color="auto"/>
              <w:right w:val="single" w:sz="8" w:space="0" w:color="auto"/>
            </w:tcBorders>
            <w:vAlign w:val="center"/>
            <w:hideMark/>
          </w:tcPr>
          <w:p w14:paraId="18C62DAF" w14:textId="77777777" w:rsidR="0067656E" w:rsidRPr="00D717C4" w:rsidRDefault="0067656E" w:rsidP="00D717C4">
            <w:pPr>
              <w:spacing w:after="0" w:line="240" w:lineRule="auto"/>
              <w:ind w:left="0"/>
              <w:jc w:val="left"/>
              <w:rPr>
                <w:kern w:val="0"/>
                <w:lang w:val="en-ZW" w:eastAsia="en-ZW"/>
              </w:rPr>
            </w:pPr>
            <w:r w:rsidRPr="00D717C4">
              <w:rPr>
                <w:kern w:val="0"/>
                <w:lang w:eastAsia="en-ZW"/>
              </w:rPr>
              <w:t>0-5</w:t>
            </w:r>
          </w:p>
        </w:tc>
        <w:tc>
          <w:tcPr>
            <w:tcW w:w="960" w:type="dxa"/>
            <w:tcBorders>
              <w:top w:val="nil"/>
              <w:left w:val="nil"/>
              <w:bottom w:val="single" w:sz="8" w:space="0" w:color="auto"/>
              <w:right w:val="nil"/>
            </w:tcBorders>
            <w:vAlign w:val="center"/>
            <w:hideMark/>
          </w:tcPr>
          <w:p w14:paraId="05D3436E" w14:textId="77777777" w:rsidR="0067656E" w:rsidRPr="00D717C4" w:rsidRDefault="0067656E" w:rsidP="00D717C4">
            <w:pPr>
              <w:spacing w:after="0" w:line="240" w:lineRule="auto"/>
              <w:ind w:left="0"/>
              <w:jc w:val="left"/>
              <w:rPr>
                <w:kern w:val="0"/>
                <w:lang w:val="en-ZW" w:eastAsia="en-ZW"/>
              </w:rPr>
            </w:pPr>
            <w:r w:rsidRPr="00D717C4">
              <w:rPr>
                <w:kern w:val="0"/>
                <w:lang w:eastAsia="en-ZW"/>
              </w:rPr>
              <w:t>27</w:t>
            </w:r>
          </w:p>
        </w:tc>
        <w:tc>
          <w:tcPr>
            <w:tcW w:w="960" w:type="dxa"/>
            <w:tcBorders>
              <w:top w:val="single" w:sz="4" w:space="0" w:color="auto"/>
              <w:left w:val="single" w:sz="4" w:space="0" w:color="auto"/>
              <w:bottom w:val="single" w:sz="4" w:space="0" w:color="auto"/>
              <w:right w:val="single" w:sz="4" w:space="0" w:color="auto"/>
            </w:tcBorders>
            <w:vAlign w:val="center"/>
            <w:hideMark/>
          </w:tcPr>
          <w:p w14:paraId="14CE96ED" w14:textId="77777777" w:rsidR="0067656E" w:rsidRPr="00D717C4" w:rsidRDefault="0067656E" w:rsidP="00D717C4">
            <w:pPr>
              <w:spacing w:after="0" w:line="240" w:lineRule="auto"/>
              <w:ind w:left="0"/>
              <w:jc w:val="left"/>
              <w:rPr>
                <w:kern w:val="0"/>
                <w:lang w:val="en-ZW" w:eastAsia="en-ZW"/>
              </w:rPr>
            </w:pPr>
            <w:r w:rsidRPr="00D717C4">
              <w:rPr>
                <w:kern w:val="0"/>
                <w:lang w:val="en-ZW" w:eastAsia="en-ZW"/>
              </w:rPr>
              <w:t>61.4</w:t>
            </w:r>
          </w:p>
        </w:tc>
        <w:tc>
          <w:tcPr>
            <w:tcW w:w="960" w:type="dxa"/>
            <w:tcBorders>
              <w:top w:val="nil"/>
              <w:left w:val="nil"/>
              <w:bottom w:val="nil"/>
              <w:right w:val="single" w:sz="8" w:space="0" w:color="auto"/>
            </w:tcBorders>
            <w:noWrap/>
            <w:vAlign w:val="center"/>
            <w:hideMark/>
          </w:tcPr>
          <w:p w14:paraId="5480ABE8" w14:textId="77777777" w:rsidR="0067656E" w:rsidRPr="00D717C4" w:rsidRDefault="0067656E" w:rsidP="00D717C4">
            <w:pPr>
              <w:spacing w:after="0" w:line="240" w:lineRule="auto"/>
              <w:ind w:left="0"/>
              <w:jc w:val="left"/>
              <w:rPr>
                <w:kern w:val="0"/>
                <w:lang w:val="en-ZW" w:eastAsia="en-ZW"/>
              </w:rPr>
            </w:pPr>
            <w:r w:rsidRPr="00D717C4">
              <w:rPr>
                <w:kern w:val="0"/>
                <w:lang w:eastAsia="en-ZW"/>
              </w:rPr>
              <w:t> </w:t>
            </w:r>
          </w:p>
        </w:tc>
      </w:tr>
      <w:tr w:rsidR="0067656E" w:rsidRPr="00D717C4" w14:paraId="73B4067A" w14:textId="77777777" w:rsidTr="006B480A">
        <w:trPr>
          <w:trHeight w:val="300"/>
          <w:jc w:val="center"/>
        </w:trPr>
        <w:tc>
          <w:tcPr>
            <w:tcW w:w="960" w:type="dxa"/>
            <w:tcBorders>
              <w:top w:val="nil"/>
              <w:left w:val="single" w:sz="8" w:space="0" w:color="auto"/>
              <w:bottom w:val="nil"/>
              <w:right w:val="nil"/>
            </w:tcBorders>
            <w:noWrap/>
            <w:vAlign w:val="center"/>
            <w:hideMark/>
          </w:tcPr>
          <w:p w14:paraId="7B224865" w14:textId="77777777" w:rsidR="0067656E" w:rsidRPr="00D717C4" w:rsidRDefault="0067656E" w:rsidP="00D717C4">
            <w:pPr>
              <w:spacing w:after="0" w:line="240" w:lineRule="auto"/>
              <w:ind w:left="0"/>
              <w:jc w:val="left"/>
              <w:rPr>
                <w:kern w:val="0"/>
                <w:lang w:val="en-ZW" w:eastAsia="en-ZW"/>
              </w:rPr>
            </w:pPr>
            <w:r w:rsidRPr="00D717C4">
              <w:rPr>
                <w:kern w:val="0"/>
                <w:lang w:eastAsia="en-ZW"/>
              </w:rPr>
              <w:t> </w:t>
            </w:r>
          </w:p>
        </w:tc>
        <w:tc>
          <w:tcPr>
            <w:tcW w:w="960" w:type="dxa"/>
            <w:tcBorders>
              <w:top w:val="nil"/>
              <w:left w:val="single" w:sz="8" w:space="0" w:color="auto"/>
              <w:bottom w:val="single" w:sz="8" w:space="0" w:color="auto"/>
              <w:right w:val="single" w:sz="8" w:space="0" w:color="auto"/>
            </w:tcBorders>
            <w:vAlign w:val="center"/>
            <w:hideMark/>
          </w:tcPr>
          <w:p w14:paraId="6D403550" w14:textId="77777777" w:rsidR="0067656E" w:rsidRPr="00D717C4" w:rsidRDefault="0067656E" w:rsidP="00D717C4">
            <w:pPr>
              <w:spacing w:after="0" w:line="240" w:lineRule="auto"/>
              <w:ind w:left="0"/>
              <w:jc w:val="left"/>
              <w:rPr>
                <w:kern w:val="0"/>
                <w:lang w:val="en-ZW" w:eastAsia="en-ZW"/>
              </w:rPr>
            </w:pPr>
            <w:r w:rsidRPr="00D717C4">
              <w:rPr>
                <w:kern w:val="0"/>
                <w:lang w:eastAsia="en-ZW"/>
              </w:rPr>
              <w:t>6-10</w:t>
            </w:r>
          </w:p>
        </w:tc>
        <w:tc>
          <w:tcPr>
            <w:tcW w:w="960" w:type="dxa"/>
            <w:tcBorders>
              <w:top w:val="nil"/>
              <w:left w:val="nil"/>
              <w:bottom w:val="single" w:sz="8" w:space="0" w:color="auto"/>
              <w:right w:val="nil"/>
            </w:tcBorders>
            <w:vAlign w:val="center"/>
            <w:hideMark/>
          </w:tcPr>
          <w:p w14:paraId="534A2A2F" w14:textId="77777777" w:rsidR="0067656E" w:rsidRPr="00D717C4" w:rsidRDefault="0067656E" w:rsidP="00D717C4">
            <w:pPr>
              <w:spacing w:after="0" w:line="240" w:lineRule="auto"/>
              <w:ind w:left="0"/>
              <w:jc w:val="left"/>
              <w:rPr>
                <w:kern w:val="0"/>
                <w:lang w:val="en-ZW" w:eastAsia="en-ZW"/>
              </w:rPr>
            </w:pPr>
            <w:r w:rsidRPr="00D717C4">
              <w:rPr>
                <w:kern w:val="0"/>
                <w:lang w:eastAsia="en-ZW"/>
              </w:rPr>
              <w:t>7</w:t>
            </w:r>
          </w:p>
        </w:tc>
        <w:tc>
          <w:tcPr>
            <w:tcW w:w="960" w:type="dxa"/>
            <w:tcBorders>
              <w:top w:val="nil"/>
              <w:left w:val="single" w:sz="4" w:space="0" w:color="auto"/>
              <w:bottom w:val="single" w:sz="4" w:space="0" w:color="auto"/>
              <w:right w:val="single" w:sz="4" w:space="0" w:color="auto"/>
            </w:tcBorders>
            <w:vAlign w:val="center"/>
            <w:hideMark/>
          </w:tcPr>
          <w:p w14:paraId="5F412B1C" w14:textId="77777777" w:rsidR="0067656E" w:rsidRPr="00D717C4" w:rsidRDefault="0067656E" w:rsidP="00D717C4">
            <w:pPr>
              <w:spacing w:after="0" w:line="240" w:lineRule="auto"/>
              <w:ind w:left="0"/>
              <w:jc w:val="left"/>
              <w:rPr>
                <w:kern w:val="0"/>
                <w:lang w:val="en-ZW" w:eastAsia="en-ZW"/>
              </w:rPr>
            </w:pPr>
            <w:r w:rsidRPr="00D717C4">
              <w:rPr>
                <w:kern w:val="0"/>
                <w:lang w:val="en-ZW" w:eastAsia="en-ZW"/>
              </w:rPr>
              <w:t>15.9</w:t>
            </w:r>
          </w:p>
        </w:tc>
        <w:tc>
          <w:tcPr>
            <w:tcW w:w="960" w:type="dxa"/>
            <w:tcBorders>
              <w:top w:val="nil"/>
              <w:left w:val="nil"/>
              <w:bottom w:val="nil"/>
              <w:right w:val="single" w:sz="8" w:space="0" w:color="auto"/>
            </w:tcBorders>
            <w:noWrap/>
            <w:vAlign w:val="center"/>
            <w:hideMark/>
          </w:tcPr>
          <w:p w14:paraId="621FA970" w14:textId="77777777" w:rsidR="0067656E" w:rsidRPr="00D717C4" w:rsidRDefault="0067656E" w:rsidP="00D717C4">
            <w:pPr>
              <w:spacing w:after="0" w:line="240" w:lineRule="auto"/>
              <w:ind w:left="0"/>
              <w:jc w:val="left"/>
              <w:rPr>
                <w:kern w:val="0"/>
                <w:lang w:val="en-ZW" w:eastAsia="en-ZW"/>
              </w:rPr>
            </w:pPr>
            <w:r w:rsidRPr="00D717C4">
              <w:rPr>
                <w:kern w:val="0"/>
                <w:lang w:eastAsia="en-ZW"/>
              </w:rPr>
              <w:t> </w:t>
            </w:r>
          </w:p>
        </w:tc>
      </w:tr>
      <w:tr w:rsidR="0067656E" w:rsidRPr="00D717C4" w14:paraId="0085F245" w14:textId="77777777" w:rsidTr="006B480A">
        <w:trPr>
          <w:trHeight w:val="324"/>
          <w:jc w:val="center"/>
        </w:trPr>
        <w:tc>
          <w:tcPr>
            <w:tcW w:w="960" w:type="dxa"/>
            <w:tcBorders>
              <w:top w:val="nil"/>
              <w:left w:val="single" w:sz="8" w:space="0" w:color="auto"/>
              <w:bottom w:val="nil"/>
              <w:right w:val="nil"/>
            </w:tcBorders>
            <w:noWrap/>
            <w:vAlign w:val="center"/>
            <w:hideMark/>
          </w:tcPr>
          <w:p w14:paraId="5C695986" w14:textId="77777777" w:rsidR="0067656E" w:rsidRPr="00D717C4" w:rsidRDefault="0067656E" w:rsidP="00D717C4">
            <w:pPr>
              <w:spacing w:after="0" w:line="240" w:lineRule="auto"/>
              <w:ind w:left="0"/>
              <w:jc w:val="left"/>
              <w:rPr>
                <w:kern w:val="0"/>
                <w:lang w:val="en-ZW" w:eastAsia="en-ZW"/>
              </w:rPr>
            </w:pPr>
            <w:r w:rsidRPr="00D717C4">
              <w:rPr>
                <w:kern w:val="0"/>
                <w:lang w:eastAsia="en-ZW"/>
              </w:rPr>
              <w:t> </w:t>
            </w:r>
          </w:p>
        </w:tc>
        <w:tc>
          <w:tcPr>
            <w:tcW w:w="960" w:type="dxa"/>
            <w:tcBorders>
              <w:top w:val="nil"/>
              <w:left w:val="single" w:sz="8" w:space="0" w:color="auto"/>
              <w:bottom w:val="single" w:sz="8" w:space="0" w:color="auto"/>
              <w:right w:val="single" w:sz="8" w:space="0" w:color="auto"/>
            </w:tcBorders>
            <w:vAlign w:val="center"/>
            <w:hideMark/>
          </w:tcPr>
          <w:p w14:paraId="509C5666" w14:textId="77777777" w:rsidR="0067656E" w:rsidRPr="00D717C4" w:rsidRDefault="0067656E" w:rsidP="00D717C4">
            <w:pPr>
              <w:spacing w:after="0" w:line="240" w:lineRule="auto"/>
              <w:ind w:left="0"/>
              <w:jc w:val="left"/>
              <w:rPr>
                <w:kern w:val="0"/>
                <w:lang w:val="en-ZW" w:eastAsia="en-ZW"/>
              </w:rPr>
            </w:pPr>
            <w:r w:rsidRPr="00D717C4">
              <w:rPr>
                <w:kern w:val="0"/>
                <w:lang w:eastAsia="en-ZW"/>
              </w:rPr>
              <w:t>11-15</w:t>
            </w:r>
          </w:p>
        </w:tc>
        <w:tc>
          <w:tcPr>
            <w:tcW w:w="960" w:type="dxa"/>
            <w:tcBorders>
              <w:top w:val="nil"/>
              <w:left w:val="nil"/>
              <w:bottom w:val="single" w:sz="8" w:space="0" w:color="auto"/>
              <w:right w:val="nil"/>
            </w:tcBorders>
            <w:vAlign w:val="center"/>
            <w:hideMark/>
          </w:tcPr>
          <w:p w14:paraId="18AB7667" w14:textId="77777777" w:rsidR="0067656E" w:rsidRPr="00D717C4" w:rsidRDefault="0067656E" w:rsidP="00D717C4">
            <w:pPr>
              <w:spacing w:after="0" w:line="240" w:lineRule="auto"/>
              <w:ind w:left="0"/>
              <w:jc w:val="left"/>
              <w:rPr>
                <w:kern w:val="0"/>
                <w:lang w:val="en-ZW" w:eastAsia="en-ZW"/>
              </w:rPr>
            </w:pPr>
            <w:r w:rsidRPr="00D717C4">
              <w:rPr>
                <w:kern w:val="0"/>
                <w:lang w:eastAsia="en-ZW"/>
              </w:rPr>
              <w:t>4</w:t>
            </w:r>
          </w:p>
        </w:tc>
        <w:tc>
          <w:tcPr>
            <w:tcW w:w="960" w:type="dxa"/>
            <w:tcBorders>
              <w:top w:val="nil"/>
              <w:left w:val="single" w:sz="4" w:space="0" w:color="auto"/>
              <w:bottom w:val="single" w:sz="4" w:space="0" w:color="auto"/>
              <w:right w:val="single" w:sz="4" w:space="0" w:color="auto"/>
            </w:tcBorders>
            <w:vAlign w:val="center"/>
            <w:hideMark/>
          </w:tcPr>
          <w:p w14:paraId="04E9FDC0" w14:textId="77777777" w:rsidR="0067656E" w:rsidRPr="00D717C4" w:rsidRDefault="0067656E" w:rsidP="00D717C4">
            <w:pPr>
              <w:spacing w:after="0" w:line="240" w:lineRule="auto"/>
              <w:ind w:left="0"/>
              <w:jc w:val="left"/>
              <w:rPr>
                <w:kern w:val="0"/>
                <w:lang w:val="en-ZW" w:eastAsia="en-ZW"/>
              </w:rPr>
            </w:pPr>
            <w:r w:rsidRPr="00D717C4">
              <w:rPr>
                <w:kern w:val="0"/>
                <w:lang w:val="en-ZW" w:eastAsia="en-ZW"/>
              </w:rPr>
              <w:t>9.1</w:t>
            </w:r>
          </w:p>
        </w:tc>
        <w:tc>
          <w:tcPr>
            <w:tcW w:w="960" w:type="dxa"/>
            <w:tcBorders>
              <w:top w:val="nil"/>
              <w:left w:val="nil"/>
              <w:bottom w:val="nil"/>
              <w:right w:val="single" w:sz="8" w:space="0" w:color="auto"/>
            </w:tcBorders>
            <w:noWrap/>
            <w:vAlign w:val="center"/>
            <w:hideMark/>
          </w:tcPr>
          <w:p w14:paraId="1FB8684C" w14:textId="77777777" w:rsidR="0067656E" w:rsidRPr="00D717C4" w:rsidRDefault="0067656E" w:rsidP="00D717C4">
            <w:pPr>
              <w:spacing w:after="0" w:line="240" w:lineRule="auto"/>
              <w:ind w:left="0"/>
              <w:jc w:val="left"/>
              <w:rPr>
                <w:kern w:val="0"/>
                <w:lang w:val="en-ZW" w:eastAsia="en-ZW"/>
              </w:rPr>
            </w:pPr>
            <w:r w:rsidRPr="00D717C4">
              <w:rPr>
                <w:kern w:val="0"/>
                <w:lang w:eastAsia="en-ZW"/>
              </w:rPr>
              <w:t> </w:t>
            </w:r>
          </w:p>
        </w:tc>
      </w:tr>
      <w:tr w:rsidR="0067656E" w:rsidRPr="00D717C4" w14:paraId="0474BB1E" w14:textId="77777777" w:rsidTr="006B480A">
        <w:trPr>
          <w:trHeight w:val="324"/>
          <w:jc w:val="center"/>
        </w:trPr>
        <w:tc>
          <w:tcPr>
            <w:tcW w:w="960" w:type="dxa"/>
            <w:tcBorders>
              <w:top w:val="nil"/>
              <w:left w:val="single" w:sz="8" w:space="0" w:color="auto"/>
              <w:bottom w:val="nil"/>
              <w:right w:val="nil"/>
            </w:tcBorders>
            <w:noWrap/>
            <w:vAlign w:val="center"/>
            <w:hideMark/>
          </w:tcPr>
          <w:p w14:paraId="2DABFF8F" w14:textId="77777777" w:rsidR="0067656E" w:rsidRPr="00D717C4" w:rsidRDefault="0067656E" w:rsidP="00D717C4">
            <w:pPr>
              <w:spacing w:after="0" w:line="240" w:lineRule="auto"/>
              <w:ind w:left="0"/>
              <w:jc w:val="left"/>
              <w:rPr>
                <w:kern w:val="0"/>
                <w:lang w:val="en-ZW" w:eastAsia="en-ZW"/>
              </w:rPr>
            </w:pPr>
            <w:r w:rsidRPr="00D717C4">
              <w:rPr>
                <w:kern w:val="0"/>
                <w:lang w:eastAsia="en-ZW"/>
              </w:rPr>
              <w:t> </w:t>
            </w:r>
          </w:p>
        </w:tc>
        <w:tc>
          <w:tcPr>
            <w:tcW w:w="960" w:type="dxa"/>
            <w:tcBorders>
              <w:top w:val="nil"/>
              <w:left w:val="single" w:sz="8" w:space="0" w:color="auto"/>
              <w:bottom w:val="single" w:sz="8" w:space="0" w:color="auto"/>
              <w:right w:val="single" w:sz="8" w:space="0" w:color="auto"/>
            </w:tcBorders>
            <w:vAlign w:val="center"/>
            <w:hideMark/>
          </w:tcPr>
          <w:p w14:paraId="3A77D729" w14:textId="77777777" w:rsidR="0067656E" w:rsidRPr="00D717C4" w:rsidRDefault="0067656E" w:rsidP="00D717C4">
            <w:pPr>
              <w:spacing w:after="0" w:line="240" w:lineRule="auto"/>
              <w:ind w:left="0"/>
              <w:jc w:val="left"/>
              <w:rPr>
                <w:kern w:val="0"/>
                <w:lang w:val="en-ZW" w:eastAsia="en-ZW"/>
              </w:rPr>
            </w:pPr>
            <w:r w:rsidRPr="00D717C4">
              <w:rPr>
                <w:kern w:val="0"/>
                <w:lang w:eastAsia="en-ZW"/>
              </w:rPr>
              <w:t>16-20</w:t>
            </w:r>
          </w:p>
        </w:tc>
        <w:tc>
          <w:tcPr>
            <w:tcW w:w="960" w:type="dxa"/>
            <w:tcBorders>
              <w:top w:val="nil"/>
              <w:left w:val="nil"/>
              <w:bottom w:val="single" w:sz="8" w:space="0" w:color="auto"/>
              <w:right w:val="nil"/>
            </w:tcBorders>
            <w:vAlign w:val="center"/>
            <w:hideMark/>
          </w:tcPr>
          <w:p w14:paraId="22860671" w14:textId="77777777" w:rsidR="0067656E" w:rsidRPr="00D717C4" w:rsidRDefault="0067656E" w:rsidP="00D717C4">
            <w:pPr>
              <w:spacing w:after="0" w:line="240" w:lineRule="auto"/>
              <w:ind w:left="0"/>
              <w:jc w:val="left"/>
              <w:rPr>
                <w:kern w:val="0"/>
                <w:lang w:val="en-ZW" w:eastAsia="en-ZW"/>
              </w:rPr>
            </w:pPr>
            <w:r w:rsidRPr="00D717C4">
              <w:rPr>
                <w:kern w:val="0"/>
                <w:lang w:eastAsia="en-ZW"/>
              </w:rPr>
              <w:t>4</w:t>
            </w:r>
          </w:p>
        </w:tc>
        <w:tc>
          <w:tcPr>
            <w:tcW w:w="960" w:type="dxa"/>
            <w:tcBorders>
              <w:top w:val="nil"/>
              <w:left w:val="single" w:sz="4" w:space="0" w:color="auto"/>
              <w:bottom w:val="single" w:sz="4" w:space="0" w:color="auto"/>
              <w:right w:val="single" w:sz="4" w:space="0" w:color="auto"/>
            </w:tcBorders>
            <w:vAlign w:val="center"/>
            <w:hideMark/>
          </w:tcPr>
          <w:p w14:paraId="0AB1E43C" w14:textId="77777777" w:rsidR="0067656E" w:rsidRPr="00D717C4" w:rsidRDefault="0067656E" w:rsidP="00D717C4">
            <w:pPr>
              <w:spacing w:after="0" w:line="240" w:lineRule="auto"/>
              <w:ind w:left="0"/>
              <w:jc w:val="left"/>
              <w:rPr>
                <w:kern w:val="0"/>
                <w:lang w:val="en-ZW" w:eastAsia="en-ZW"/>
              </w:rPr>
            </w:pPr>
            <w:r w:rsidRPr="00D717C4">
              <w:rPr>
                <w:kern w:val="0"/>
                <w:lang w:val="en-ZW" w:eastAsia="en-ZW"/>
              </w:rPr>
              <w:t>9.1</w:t>
            </w:r>
          </w:p>
        </w:tc>
        <w:tc>
          <w:tcPr>
            <w:tcW w:w="960" w:type="dxa"/>
            <w:tcBorders>
              <w:top w:val="nil"/>
              <w:left w:val="nil"/>
              <w:bottom w:val="nil"/>
              <w:right w:val="single" w:sz="8" w:space="0" w:color="auto"/>
            </w:tcBorders>
            <w:noWrap/>
            <w:vAlign w:val="center"/>
            <w:hideMark/>
          </w:tcPr>
          <w:p w14:paraId="658D9AB3" w14:textId="77777777" w:rsidR="0067656E" w:rsidRPr="00D717C4" w:rsidRDefault="0067656E" w:rsidP="00D717C4">
            <w:pPr>
              <w:spacing w:after="0" w:line="240" w:lineRule="auto"/>
              <w:ind w:left="0"/>
              <w:jc w:val="left"/>
              <w:rPr>
                <w:kern w:val="0"/>
                <w:lang w:val="en-ZW" w:eastAsia="en-ZW"/>
              </w:rPr>
            </w:pPr>
            <w:r w:rsidRPr="00D717C4">
              <w:rPr>
                <w:kern w:val="0"/>
                <w:lang w:eastAsia="en-ZW"/>
              </w:rPr>
              <w:t> </w:t>
            </w:r>
          </w:p>
        </w:tc>
      </w:tr>
      <w:tr w:rsidR="0067656E" w:rsidRPr="00D717C4" w14:paraId="0F2FE629" w14:textId="77777777" w:rsidTr="006B480A">
        <w:trPr>
          <w:trHeight w:val="324"/>
          <w:jc w:val="center"/>
        </w:trPr>
        <w:tc>
          <w:tcPr>
            <w:tcW w:w="960" w:type="dxa"/>
            <w:tcBorders>
              <w:top w:val="nil"/>
              <w:left w:val="single" w:sz="8" w:space="0" w:color="auto"/>
              <w:bottom w:val="nil"/>
              <w:right w:val="nil"/>
            </w:tcBorders>
            <w:noWrap/>
            <w:vAlign w:val="center"/>
            <w:hideMark/>
          </w:tcPr>
          <w:p w14:paraId="0D3B2B91" w14:textId="77777777" w:rsidR="0067656E" w:rsidRPr="00D717C4" w:rsidRDefault="0067656E" w:rsidP="00D717C4">
            <w:pPr>
              <w:spacing w:after="0" w:line="240" w:lineRule="auto"/>
              <w:ind w:left="0"/>
              <w:jc w:val="left"/>
              <w:rPr>
                <w:kern w:val="0"/>
                <w:lang w:val="en-ZW" w:eastAsia="en-ZW"/>
              </w:rPr>
            </w:pPr>
            <w:r w:rsidRPr="00D717C4">
              <w:rPr>
                <w:kern w:val="0"/>
                <w:lang w:eastAsia="en-ZW"/>
              </w:rPr>
              <w:t> </w:t>
            </w:r>
          </w:p>
        </w:tc>
        <w:tc>
          <w:tcPr>
            <w:tcW w:w="960" w:type="dxa"/>
            <w:tcBorders>
              <w:top w:val="nil"/>
              <w:left w:val="single" w:sz="8" w:space="0" w:color="auto"/>
              <w:bottom w:val="single" w:sz="8" w:space="0" w:color="auto"/>
              <w:right w:val="single" w:sz="8" w:space="0" w:color="auto"/>
            </w:tcBorders>
            <w:vAlign w:val="center"/>
            <w:hideMark/>
          </w:tcPr>
          <w:p w14:paraId="32031FF6" w14:textId="77777777" w:rsidR="0067656E" w:rsidRPr="00D717C4" w:rsidRDefault="0067656E" w:rsidP="00D717C4">
            <w:pPr>
              <w:spacing w:after="0" w:line="240" w:lineRule="auto"/>
              <w:ind w:left="0"/>
              <w:jc w:val="left"/>
              <w:rPr>
                <w:kern w:val="0"/>
                <w:lang w:val="en-ZW" w:eastAsia="en-ZW"/>
              </w:rPr>
            </w:pPr>
            <w:r w:rsidRPr="00D717C4">
              <w:rPr>
                <w:kern w:val="0"/>
                <w:lang w:eastAsia="en-ZW"/>
              </w:rPr>
              <w:t>21-26</w:t>
            </w:r>
          </w:p>
        </w:tc>
        <w:tc>
          <w:tcPr>
            <w:tcW w:w="960" w:type="dxa"/>
            <w:tcBorders>
              <w:top w:val="nil"/>
              <w:left w:val="nil"/>
              <w:bottom w:val="single" w:sz="8" w:space="0" w:color="auto"/>
              <w:right w:val="nil"/>
            </w:tcBorders>
            <w:vAlign w:val="center"/>
            <w:hideMark/>
          </w:tcPr>
          <w:p w14:paraId="3CEDE261" w14:textId="77777777" w:rsidR="0067656E" w:rsidRPr="00D717C4" w:rsidRDefault="0067656E" w:rsidP="00D717C4">
            <w:pPr>
              <w:spacing w:after="0" w:line="240" w:lineRule="auto"/>
              <w:ind w:left="0"/>
              <w:jc w:val="left"/>
              <w:rPr>
                <w:kern w:val="0"/>
                <w:lang w:val="en-ZW" w:eastAsia="en-ZW"/>
              </w:rPr>
            </w:pPr>
            <w:r w:rsidRPr="00D717C4">
              <w:rPr>
                <w:kern w:val="0"/>
                <w:lang w:eastAsia="en-ZW"/>
              </w:rPr>
              <w:t>2</w:t>
            </w:r>
          </w:p>
        </w:tc>
        <w:tc>
          <w:tcPr>
            <w:tcW w:w="960" w:type="dxa"/>
            <w:tcBorders>
              <w:top w:val="nil"/>
              <w:left w:val="single" w:sz="4" w:space="0" w:color="auto"/>
              <w:bottom w:val="single" w:sz="4" w:space="0" w:color="auto"/>
              <w:right w:val="single" w:sz="4" w:space="0" w:color="auto"/>
            </w:tcBorders>
            <w:vAlign w:val="center"/>
            <w:hideMark/>
          </w:tcPr>
          <w:p w14:paraId="0D127E0E" w14:textId="77777777" w:rsidR="0067656E" w:rsidRPr="00D717C4" w:rsidRDefault="0067656E" w:rsidP="00D717C4">
            <w:pPr>
              <w:spacing w:after="0" w:line="240" w:lineRule="auto"/>
              <w:ind w:left="0"/>
              <w:jc w:val="left"/>
              <w:rPr>
                <w:kern w:val="0"/>
                <w:lang w:val="en-ZW" w:eastAsia="en-ZW"/>
              </w:rPr>
            </w:pPr>
            <w:r w:rsidRPr="00D717C4">
              <w:rPr>
                <w:kern w:val="0"/>
                <w:lang w:val="en-ZW" w:eastAsia="en-ZW"/>
              </w:rPr>
              <w:t>4.5</w:t>
            </w:r>
          </w:p>
        </w:tc>
        <w:tc>
          <w:tcPr>
            <w:tcW w:w="960" w:type="dxa"/>
            <w:tcBorders>
              <w:top w:val="nil"/>
              <w:left w:val="nil"/>
              <w:bottom w:val="nil"/>
              <w:right w:val="single" w:sz="8" w:space="0" w:color="auto"/>
            </w:tcBorders>
            <w:noWrap/>
            <w:vAlign w:val="center"/>
            <w:hideMark/>
          </w:tcPr>
          <w:p w14:paraId="197A9842" w14:textId="77777777" w:rsidR="0067656E" w:rsidRPr="00D717C4" w:rsidRDefault="0067656E" w:rsidP="00D717C4">
            <w:pPr>
              <w:spacing w:after="0" w:line="240" w:lineRule="auto"/>
              <w:ind w:left="0"/>
              <w:jc w:val="left"/>
              <w:rPr>
                <w:kern w:val="0"/>
                <w:lang w:val="en-ZW" w:eastAsia="en-ZW"/>
              </w:rPr>
            </w:pPr>
            <w:r w:rsidRPr="00D717C4">
              <w:rPr>
                <w:kern w:val="0"/>
                <w:lang w:eastAsia="en-ZW"/>
              </w:rPr>
              <w:t> </w:t>
            </w:r>
          </w:p>
        </w:tc>
      </w:tr>
      <w:tr w:rsidR="0067656E" w:rsidRPr="00D717C4" w14:paraId="64DFF95F" w14:textId="77777777" w:rsidTr="006B480A">
        <w:trPr>
          <w:trHeight w:val="324"/>
          <w:jc w:val="center"/>
        </w:trPr>
        <w:tc>
          <w:tcPr>
            <w:tcW w:w="960" w:type="dxa"/>
            <w:tcBorders>
              <w:top w:val="nil"/>
              <w:left w:val="single" w:sz="8" w:space="0" w:color="auto"/>
              <w:bottom w:val="nil"/>
              <w:right w:val="nil"/>
            </w:tcBorders>
            <w:noWrap/>
            <w:vAlign w:val="center"/>
            <w:hideMark/>
          </w:tcPr>
          <w:p w14:paraId="3B9D5FA1" w14:textId="77777777" w:rsidR="0067656E" w:rsidRPr="00D717C4" w:rsidRDefault="0067656E" w:rsidP="00D717C4">
            <w:pPr>
              <w:spacing w:after="0" w:line="240" w:lineRule="auto"/>
              <w:ind w:left="0"/>
              <w:jc w:val="left"/>
              <w:rPr>
                <w:kern w:val="0"/>
                <w:lang w:val="en-ZW" w:eastAsia="en-ZW"/>
              </w:rPr>
            </w:pPr>
            <w:r w:rsidRPr="00D717C4">
              <w:rPr>
                <w:kern w:val="0"/>
                <w:lang w:eastAsia="en-ZW"/>
              </w:rPr>
              <w:lastRenderedPageBreak/>
              <w:t> </w:t>
            </w:r>
          </w:p>
        </w:tc>
        <w:tc>
          <w:tcPr>
            <w:tcW w:w="960" w:type="dxa"/>
            <w:tcBorders>
              <w:top w:val="nil"/>
              <w:left w:val="single" w:sz="8" w:space="0" w:color="auto"/>
              <w:bottom w:val="single" w:sz="8" w:space="0" w:color="auto"/>
              <w:right w:val="single" w:sz="8" w:space="0" w:color="auto"/>
            </w:tcBorders>
            <w:vAlign w:val="center"/>
            <w:hideMark/>
          </w:tcPr>
          <w:p w14:paraId="1F6A67D3" w14:textId="77777777" w:rsidR="0067656E" w:rsidRPr="00D717C4" w:rsidRDefault="0067656E" w:rsidP="00D717C4">
            <w:pPr>
              <w:spacing w:after="0" w:line="240" w:lineRule="auto"/>
              <w:ind w:left="0"/>
              <w:jc w:val="left"/>
              <w:rPr>
                <w:kern w:val="0"/>
                <w:lang w:val="en-ZW" w:eastAsia="en-ZW"/>
              </w:rPr>
            </w:pPr>
            <w:r w:rsidRPr="00D717C4">
              <w:rPr>
                <w:kern w:val="0"/>
                <w:lang w:eastAsia="en-ZW"/>
              </w:rPr>
              <w:t>26-29</w:t>
            </w:r>
          </w:p>
        </w:tc>
        <w:tc>
          <w:tcPr>
            <w:tcW w:w="960" w:type="dxa"/>
            <w:tcBorders>
              <w:top w:val="nil"/>
              <w:left w:val="nil"/>
              <w:bottom w:val="single" w:sz="8" w:space="0" w:color="auto"/>
              <w:right w:val="nil"/>
            </w:tcBorders>
            <w:vAlign w:val="center"/>
            <w:hideMark/>
          </w:tcPr>
          <w:p w14:paraId="501DD64E" w14:textId="77777777" w:rsidR="0067656E" w:rsidRPr="00D717C4" w:rsidRDefault="0067656E" w:rsidP="00D717C4">
            <w:pPr>
              <w:spacing w:after="0" w:line="240" w:lineRule="auto"/>
              <w:ind w:left="0"/>
              <w:jc w:val="left"/>
              <w:rPr>
                <w:kern w:val="0"/>
                <w:lang w:val="en-ZW" w:eastAsia="en-ZW"/>
              </w:rPr>
            </w:pPr>
            <w:r w:rsidRPr="00D717C4">
              <w:rPr>
                <w:kern w:val="0"/>
                <w:lang w:eastAsia="en-ZW"/>
              </w:rPr>
              <w:t>0</w:t>
            </w:r>
          </w:p>
        </w:tc>
        <w:tc>
          <w:tcPr>
            <w:tcW w:w="960" w:type="dxa"/>
            <w:tcBorders>
              <w:top w:val="nil"/>
              <w:left w:val="single" w:sz="4" w:space="0" w:color="auto"/>
              <w:bottom w:val="single" w:sz="4" w:space="0" w:color="auto"/>
              <w:right w:val="single" w:sz="4" w:space="0" w:color="auto"/>
            </w:tcBorders>
            <w:vAlign w:val="center"/>
            <w:hideMark/>
          </w:tcPr>
          <w:p w14:paraId="23B34135" w14:textId="77777777" w:rsidR="0067656E" w:rsidRPr="00D717C4" w:rsidRDefault="0067656E" w:rsidP="00D717C4">
            <w:pPr>
              <w:spacing w:after="0" w:line="240" w:lineRule="auto"/>
              <w:ind w:left="0"/>
              <w:jc w:val="left"/>
              <w:rPr>
                <w:kern w:val="0"/>
                <w:lang w:val="en-ZW" w:eastAsia="en-ZW"/>
              </w:rPr>
            </w:pPr>
            <w:r w:rsidRPr="00D717C4">
              <w:rPr>
                <w:kern w:val="0"/>
                <w:lang w:val="en-ZW" w:eastAsia="en-ZW"/>
              </w:rPr>
              <w:t>0</w:t>
            </w:r>
          </w:p>
        </w:tc>
        <w:tc>
          <w:tcPr>
            <w:tcW w:w="960" w:type="dxa"/>
            <w:tcBorders>
              <w:top w:val="nil"/>
              <w:left w:val="nil"/>
              <w:bottom w:val="nil"/>
              <w:right w:val="single" w:sz="8" w:space="0" w:color="auto"/>
            </w:tcBorders>
            <w:noWrap/>
            <w:vAlign w:val="center"/>
            <w:hideMark/>
          </w:tcPr>
          <w:p w14:paraId="2ED9640C" w14:textId="77777777" w:rsidR="0067656E" w:rsidRPr="00D717C4" w:rsidRDefault="0067656E" w:rsidP="00D717C4">
            <w:pPr>
              <w:spacing w:after="0" w:line="240" w:lineRule="auto"/>
              <w:ind w:left="0"/>
              <w:jc w:val="left"/>
              <w:rPr>
                <w:kern w:val="0"/>
                <w:lang w:val="en-ZW" w:eastAsia="en-ZW"/>
              </w:rPr>
            </w:pPr>
            <w:r w:rsidRPr="00D717C4">
              <w:rPr>
                <w:kern w:val="0"/>
                <w:lang w:eastAsia="en-ZW"/>
              </w:rPr>
              <w:t> </w:t>
            </w:r>
          </w:p>
        </w:tc>
      </w:tr>
      <w:tr w:rsidR="0067656E" w:rsidRPr="00D717C4" w14:paraId="5E2F4602" w14:textId="77777777" w:rsidTr="006B480A">
        <w:trPr>
          <w:trHeight w:val="948"/>
          <w:jc w:val="center"/>
        </w:trPr>
        <w:tc>
          <w:tcPr>
            <w:tcW w:w="960" w:type="dxa"/>
            <w:tcBorders>
              <w:top w:val="nil"/>
              <w:left w:val="single" w:sz="8" w:space="0" w:color="auto"/>
              <w:bottom w:val="nil"/>
              <w:right w:val="nil"/>
            </w:tcBorders>
            <w:noWrap/>
            <w:vAlign w:val="center"/>
            <w:hideMark/>
          </w:tcPr>
          <w:p w14:paraId="7F6EA99E" w14:textId="77777777" w:rsidR="0067656E" w:rsidRPr="00D717C4" w:rsidRDefault="0067656E" w:rsidP="00D717C4">
            <w:pPr>
              <w:spacing w:after="0" w:line="240" w:lineRule="auto"/>
              <w:ind w:left="0"/>
              <w:jc w:val="left"/>
              <w:rPr>
                <w:kern w:val="0"/>
                <w:lang w:val="en-ZW" w:eastAsia="en-ZW"/>
              </w:rPr>
            </w:pPr>
            <w:r w:rsidRPr="00D717C4">
              <w:rPr>
                <w:kern w:val="0"/>
                <w:lang w:eastAsia="en-ZW"/>
              </w:rPr>
              <w:t> </w:t>
            </w:r>
          </w:p>
        </w:tc>
        <w:tc>
          <w:tcPr>
            <w:tcW w:w="960" w:type="dxa"/>
            <w:tcBorders>
              <w:top w:val="nil"/>
              <w:left w:val="single" w:sz="8" w:space="0" w:color="auto"/>
              <w:bottom w:val="single" w:sz="8" w:space="0" w:color="auto"/>
              <w:right w:val="single" w:sz="8" w:space="0" w:color="auto"/>
            </w:tcBorders>
            <w:vAlign w:val="center"/>
            <w:hideMark/>
          </w:tcPr>
          <w:p w14:paraId="536E191E" w14:textId="77777777" w:rsidR="0067656E" w:rsidRPr="00D717C4" w:rsidRDefault="0067656E" w:rsidP="00D717C4">
            <w:pPr>
              <w:spacing w:after="0" w:line="240" w:lineRule="auto"/>
              <w:ind w:left="0"/>
              <w:jc w:val="left"/>
              <w:rPr>
                <w:kern w:val="0"/>
                <w:lang w:val="en-ZW" w:eastAsia="en-ZW"/>
              </w:rPr>
            </w:pPr>
            <w:r w:rsidRPr="00D717C4">
              <w:rPr>
                <w:kern w:val="0"/>
                <w:lang w:eastAsia="en-ZW"/>
              </w:rPr>
              <w:t>Total Cases</w:t>
            </w:r>
          </w:p>
        </w:tc>
        <w:tc>
          <w:tcPr>
            <w:tcW w:w="960" w:type="dxa"/>
            <w:tcBorders>
              <w:top w:val="nil"/>
              <w:left w:val="nil"/>
              <w:bottom w:val="single" w:sz="8" w:space="0" w:color="auto"/>
              <w:right w:val="nil"/>
            </w:tcBorders>
            <w:vAlign w:val="center"/>
            <w:hideMark/>
          </w:tcPr>
          <w:p w14:paraId="41C68484" w14:textId="77777777" w:rsidR="0067656E" w:rsidRPr="00D717C4" w:rsidRDefault="0067656E" w:rsidP="00D717C4">
            <w:pPr>
              <w:spacing w:after="0" w:line="240" w:lineRule="auto"/>
              <w:ind w:left="0"/>
              <w:jc w:val="left"/>
              <w:rPr>
                <w:kern w:val="0"/>
                <w:lang w:val="en-ZW" w:eastAsia="en-ZW"/>
              </w:rPr>
            </w:pPr>
            <w:r w:rsidRPr="00D717C4">
              <w:rPr>
                <w:kern w:val="0"/>
                <w:lang w:eastAsia="en-ZW"/>
              </w:rPr>
              <w:t>44/ 258 Jaundiced babies</w:t>
            </w:r>
          </w:p>
        </w:tc>
        <w:tc>
          <w:tcPr>
            <w:tcW w:w="960" w:type="dxa"/>
            <w:tcBorders>
              <w:top w:val="nil"/>
              <w:left w:val="single" w:sz="4" w:space="0" w:color="auto"/>
              <w:bottom w:val="single" w:sz="4" w:space="0" w:color="auto"/>
              <w:right w:val="single" w:sz="4" w:space="0" w:color="auto"/>
            </w:tcBorders>
            <w:vAlign w:val="center"/>
            <w:hideMark/>
          </w:tcPr>
          <w:p w14:paraId="77D69604" w14:textId="77777777" w:rsidR="0067656E" w:rsidRPr="00D717C4" w:rsidRDefault="0067656E" w:rsidP="00D717C4">
            <w:pPr>
              <w:spacing w:after="0" w:line="240" w:lineRule="auto"/>
              <w:ind w:left="0"/>
              <w:jc w:val="left"/>
              <w:rPr>
                <w:kern w:val="0"/>
                <w:lang w:val="en-ZW" w:eastAsia="en-ZW"/>
              </w:rPr>
            </w:pPr>
            <w:r w:rsidRPr="00D717C4">
              <w:rPr>
                <w:kern w:val="0"/>
                <w:lang w:val="en-ZW" w:eastAsia="en-ZW"/>
              </w:rPr>
              <w:t>17</w:t>
            </w:r>
          </w:p>
        </w:tc>
        <w:tc>
          <w:tcPr>
            <w:tcW w:w="960" w:type="dxa"/>
            <w:tcBorders>
              <w:top w:val="nil"/>
              <w:left w:val="nil"/>
              <w:bottom w:val="nil"/>
              <w:right w:val="single" w:sz="8" w:space="0" w:color="auto"/>
            </w:tcBorders>
            <w:noWrap/>
            <w:vAlign w:val="center"/>
            <w:hideMark/>
          </w:tcPr>
          <w:p w14:paraId="7E45FE07" w14:textId="77777777" w:rsidR="0067656E" w:rsidRPr="00D717C4" w:rsidRDefault="0067656E" w:rsidP="00D717C4">
            <w:pPr>
              <w:spacing w:after="0" w:line="240" w:lineRule="auto"/>
              <w:ind w:left="0"/>
              <w:jc w:val="left"/>
              <w:rPr>
                <w:kern w:val="0"/>
                <w:lang w:val="en-ZW" w:eastAsia="en-ZW"/>
              </w:rPr>
            </w:pPr>
            <w:r w:rsidRPr="00D717C4">
              <w:rPr>
                <w:kern w:val="0"/>
                <w:lang w:eastAsia="en-ZW"/>
              </w:rPr>
              <w:t> </w:t>
            </w:r>
          </w:p>
        </w:tc>
      </w:tr>
      <w:tr w:rsidR="0067656E" w:rsidRPr="00D717C4" w14:paraId="7DCD5F6F" w14:textId="77777777" w:rsidTr="006B480A">
        <w:trPr>
          <w:trHeight w:val="300"/>
          <w:jc w:val="center"/>
        </w:trPr>
        <w:tc>
          <w:tcPr>
            <w:tcW w:w="960" w:type="dxa"/>
            <w:tcBorders>
              <w:top w:val="nil"/>
              <w:left w:val="single" w:sz="8" w:space="0" w:color="auto"/>
              <w:bottom w:val="single" w:sz="8" w:space="0" w:color="auto"/>
              <w:right w:val="nil"/>
            </w:tcBorders>
            <w:noWrap/>
            <w:vAlign w:val="center"/>
            <w:hideMark/>
          </w:tcPr>
          <w:p w14:paraId="569D911E" w14:textId="77777777" w:rsidR="0067656E" w:rsidRPr="00D717C4" w:rsidRDefault="0067656E" w:rsidP="00D717C4">
            <w:pPr>
              <w:spacing w:after="0" w:line="240" w:lineRule="auto"/>
              <w:ind w:left="0"/>
              <w:jc w:val="left"/>
              <w:rPr>
                <w:kern w:val="0"/>
                <w:lang w:val="en-ZW" w:eastAsia="en-ZW"/>
              </w:rPr>
            </w:pPr>
            <w:r w:rsidRPr="00D717C4">
              <w:rPr>
                <w:kern w:val="0"/>
                <w:lang w:eastAsia="en-ZW"/>
              </w:rPr>
              <w:t> </w:t>
            </w:r>
          </w:p>
        </w:tc>
        <w:tc>
          <w:tcPr>
            <w:tcW w:w="960" w:type="dxa"/>
            <w:tcBorders>
              <w:top w:val="nil"/>
              <w:left w:val="nil"/>
              <w:bottom w:val="single" w:sz="8" w:space="0" w:color="auto"/>
              <w:right w:val="nil"/>
            </w:tcBorders>
            <w:noWrap/>
            <w:vAlign w:val="center"/>
            <w:hideMark/>
          </w:tcPr>
          <w:p w14:paraId="75D5164B" w14:textId="77777777" w:rsidR="0067656E" w:rsidRPr="00D717C4" w:rsidRDefault="0067656E" w:rsidP="00D717C4">
            <w:pPr>
              <w:spacing w:after="0" w:line="240" w:lineRule="auto"/>
              <w:ind w:left="0"/>
              <w:jc w:val="left"/>
              <w:rPr>
                <w:kern w:val="0"/>
                <w:lang w:val="en-ZW" w:eastAsia="en-ZW"/>
              </w:rPr>
            </w:pPr>
            <w:r w:rsidRPr="00D717C4">
              <w:rPr>
                <w:kern w:val="0"/>
                <w:lang w:eastAsia="en-ZW"/>
              </w:rPr>
              <w:t> </w:t>
            </w:r>
          </w:p>
        </w:tc>
        <w:tc>
          <w:tcPr>
            <w:tcW w:w="960" w:type="dxa"/>
            <w:tcBorders>
              <w:top w:val="nil"/>
              <w:left w:val="nil"/>
              <w:bottom w:val="single" w:sz="8" w:space="0" w:color="auto"/>
              <w:right w:val="nil"/>
            </w:tcBorders>
            <w:noWrap/>
            <w:vAlign w:val="center"/>
            <w:hideMark/>
          </w:tcPr>
          <w:p w14:paraId="0AC538C1" w14:textId="77777777" w:rsidR="0067656E" w:rsidRPr="00D717C4" w:rsidRDefault="0067656E" w:rsidP="00D717C4">
            <w:pPr>
              <w:spacing w:after="0" w:line="240" w:lineRule="auto"/>
              <w:ind w:left="0"/>
              <w:jc w:val="left"/>
              <w:rPr>
                <w:kern w:val="0"/>
                <w:lang w:val="en-ZW" w:eastAsia="en-ZW"/>
              </w:rPr>
            </w:pPr>
            <w:r w:rsidRPr="00D717C4">
              <w:rPr>
                <w:kern w:val="0"/>
                <w:lang w:eastAsia="en-ZW"/>
              </w:rPr>
              <w:t> </w:t>
            </w:r>
          </w:p>
        </w:tc>
        <w:tc>
          <w:tcPr>
            <w:tcW w:w="960" w:type="dxa"/>
            <w:tcBorders>
              <w:top w:val="nil"/>
              <w:left w:val="nil"/>
              <w:bottom w:val="single" w:sz="8" w:space="0" w:color="auto"/>
              <w:right w:val="nil"/>
            </w:tcBorders>
            <w:noWrap/>
            <w:vAlign w:val="center"/>
            <w:hideMark/>
          </w:tcPr>
          <w:p w14:paraId="4B1F012E" w14:textId="77777777" w:rsidR="0067656E" w:rsidRPr="00D717C4" w:rsidRDefault="0067656E" w:rsidP="00D717C4">
            <w:pPr>
              <w:spacing w:after="0" w:line="240" w:lineRule="auto"/>
              <w:ind w:left="0"/>
              <w:jc w:val="left"/>
              <w:rPr>
                <w:kern w:val="0"/>
                <w:lang w:val="en-ZW" w:eastAsia="en-ZW"/>
              </w:rPr>
            </w:pPr>
            <w:r w:rsidRPr="00D717C4">
              <w:rPr>
                <w:kern w:val="0"/>
                <w:lang w:val="en-ZW" w:eastAsia="en-ZW"/>
              </w:rPr>
              <w:t> </w:t>
            </w:r>
          </w:p>
        </w:tc>
        <w:tc>
          <w:tcPr>
            <w:tcW w:w="960" w:type="dxa"/>
            <w:tcBorders>
              <w:top w:val="nil"/>
              <w:left w:val="nil"/>
              <w:bottom w:val="single" w:sz="8" w:space="0" w:color="auto"/>
              <w:right w:val="single" w:sz="8" w:space="0" w:color="auto"/>
            </w:tcBorders>
            <w:noWrap/>
            <w:vAlign w:val="center"/>
            <w:hideMark/>
          </w:tcPr>
          <w:p w14:paraId="7F7D1CF8" w14:textId="77777777" w:rsidR="0067656E" w:rsidRPr="00D717C4" w:rsidRDefault="0067656E" w:rsidP="00D717C4">
            <w:pPr>
              <w:spacing w:after="0" w:line="240" w:lineRule="auto"/>
              <w:ind w:left="0"/>
              <w:jc w:val="left"/>
              <w:rPr>
                <w:kern w:val="0"/>
                <w:lang w:val="en-ZW" w:eastAsia="en-ZW"/>
              </w:rPr>
            </w:pPr>
            <w:r w:rsidRPr="00D717C4">
              <w:rPr>
                <w:kern w:val="0"/>
                <w:lang w:eastAsia="en-ZW"/>
              </w:rPr>
              <w:t> </w:t>
            </w:r>
          </w:p>
        </w:tc>
      </w:tr>
    </w:tbl>
    <w:p w14:paraId="4AD32394" w14:textId="77777777" w:rsidR="0067656E" w:rsidRPr="00D717C4" w:rsidRDefault="0067656E" w:rsidP="00D717C4">
      <w:pPr>
        <w:spacing w:line="240" w:lineRule="auto"/>
        <w:ind w:left="0"/>
      </w:pPr>
    </w:p>
    <w:p w14:paraId="2108C128" w14:textId="77777777" w:rsidR="0067656E" w:rsidRPr="00D717C4" w:rsidRDefault="0067656E" w:rsidP="00D717C4">
      <w:pPr>
        <w:spacing w:line="240" w:lineRule="auto"/>
        <w:ind w:left="0"/>
      </w:pPr>
    </w:p>
    <w:p w14:paraId="67E6CD95" w14:textId="77777777" w:rsidR="0067656E" w:rsidRPr="00D717C4" w:rsidRDefault="0067656E" w:rsidP="00D717C4">
      <w:pPr>
        <w:spacing w:line="240" w:lineRule="auto"/>
        <w:ind w:left="0"/>
      </w:pPr>
      <w:r w:rsidRPr="00D717C4">
        <w:t xml:space="preserve">The above table provides data on the distribution on NNJ cases associated with ABO and Rh incompatibility across different age groups. Out of a total of 258 jaundiced </w:t>
      </w:r>
      <w:proofErr w:type="spellStart"/>
      <w:r w:rsidRPr="00D717C4">
        <w:t>nenonates</w:t>
      </w:r>
      <w:proofErr w:type="spellEnd"/>
      <w:r w:rsidRPr="00D717C4">
        <w:t xml:space="preserve">, 44 cases (17%) were attributed to ABO and Rh incompatibility. The majority of the cases 61.4% occurred in neonates aged 0-5 days, indicating ABO and Rh incompatibility primarily affects neonates in the early neonatal period. There is a gradual decline after day </w:t>
      </w:r>
      <w:proofErr w:type="gramStart"/>
      <w:r w:rsidRPr="00D717C4">
        <w:t>5 .</w:t>
      </w:r>
      <w:proofErr w:type="gramEnd"/>
      <w:r w:rsidRPr="00D717C4">
        <w:t xml:space="preserve"> Between days 6-10, only 15.9% of cases were reported showing a significant decline compared to the first 5 days. There are minimum cases beyond day 10 with only 9.1% reported between days 11-15 and another 9.1 % between days 16-20. By day 21 only two cases were observed (4.5%) and no cases were reported in neonates aged 26-29 days.</w:t>
      </w:r>
    </w:p>
    <w:p w14:paraId="1C69B3DC" w14:textId="77777777" w:rsidR="0067656E" w:rsidRPr="00D717C4" w:rsidRDefault="0067656E" w:rsidP="00D717C4">
      <w:pPr>
        <w:pStyle w:val="Heading2"/>
        <w:spacing w:line="240" w:lineRule="auto"/>
        <w:ind w:left="9"/>
        <w:rPr>
          <w:rFonts w:ascii="Times New Roman" w:hAnsi="Times New Roman" w:cs="Times New Roman"/>
          <w:b/>
          <w:color w:val="auto"/>
          <w:sz w:val="24"/>
          <w:szCs w:val="24"/>
        </w:rPr>
      </w:pPr>
      <w:bookmarkStart w:id="20" w:name="_Toc195337101"/>
      <w:r w:rsidRPr="00D717C4">
        <w:rPr>
          <w:rFonts w:ascii="Times New Roman" w:hAnsi="Times New Roman" w:cs="Times New Roman"/>
          <w:b/>
          <w:color w:val="auto"/>
          <w:sz w:val="24"/>
          <w:szCs w:val="24"/>
        </w:rPr>
        <w:t>Prevalence of NNJ</w:t>
      </w:r>
      <w:bookmarkEnd w:id="20"/>
    </w:p>
    <w:p w14:paraId="1E25B386" w14:textId="77777777" w:rsidR="0067656E" w:rsidRPr="00D717C4" w:rsidRDefault="0067656E" w:rsidP="00D717C4">
      <w:pPr>
        <w:spacing w:line="240" w:lineRule="auto"/>
      </w:pPr>
    </w:p>
    <w:p w14:paraId="2764E2CA" w14:textId="77777777" w:rsidR="0067656E" w:rsidRPr="00D717C4" w:rsidRDefault="0067656E" w:rsidP="00D717C4">
      <w:pPr>
        <w:spacing w:line="240" w:lineRule="auto"/>
        <w:ind w:left="9"/>
        <w:rPr>
          <w:i/>
          <w:iCs/>
        </w:rPr>
      </w:pPr>
      <w:r w:rsidRPr="00D717C4">
        <w:t xml:space="preserve">Therefore, the prevalence rate of NNJ in this population is approximately </w:t>
      </w:r>
      <w:r w:rsidRPr="00D717C4">
        <w:rPr>
          <w:i/>
          <w:iCs/>
        </w:rPr>
        <w:t>69.9%</w:t>
      </w:r>
    </w:p>
    <w:p w14:paraId="645D2151" w14:textId="77777777" w:rsidR="0067656E" w:rsidRPr="00D717C4" w:rsidRDefault="0067656E" w:rsidP="00D717C4">
      <w:pPr>
        <w:spacing w:line="240" w:lineRule="auto"/>
        <w:ind w:left="9"/>
      </w:pPr>
    </w:p>
    <w:p w14:paraId="63D41AA2" w14:textId="77777777" w:rsidR="0067656E" w:rsidRPr="00D717C4" w:rsidRDefault="0067656E" w:rsidP="00D717C4">
      <w:pPr>
        <w:spacing w:line="240" w:lineRule="auto"/>
        <w:ind w:left="0"/>
      </w:pPr>
    </w:p>
    <w:p w14:paraId="5B0E9C81" w14:textId="77777777" w:rsidR="0067656E" w:rsidRPr="00D717C4" w:rsidRDefault="0067656E" w:rsidP="00D717C4">
      <w:pPr>
        <w:spacing w:line="240" w:lineRule="auto"/>
        <w:ind w:left="0"/>
      </w:pPr>
      <w:r w:rsidRPr="00D717C4">
        <w:rPr>
          <w:noProof/>
        </w:rPr>
        <w:drawing>
          <wp:anchor distT="0" distB="0" distL="114300" distR="114300" simplePos="0" relativeHeight="251660288" behindDoc="0" locked="0" layoutInCell="1" allowOverlap="1" wp14:anchorId="5DE398AE" wp14:editId="7F653EE6">
            <wp:simplePos x="0" y="0"/>
            <wp:positionH relativeFrom="column">
              <wp:posOffset>178435</wp:posOffset>
            </wp:positionH>
            <wp:positionV relativeFrom="paragraph">
              <wp:posOffset>48260</wp:posOffset>
            </wp:positionV>
            <wp:extent cx="5341620" cy="3251835"/>
            <wp:effectExtent l="0" t="0" r="0" b="5715"/>
            <wp:wrapThrough wrapText="bothSides">
              <wp:wrapPolygon edited="0">
                <wp:start x="0" y="0"/>
                <wp:lineTo x="0" y="21511"/>
                <wp:lineTo x="21492" y="21511"/>
                <wp:lineTo x="21492" y="0"/>
                <wp:lineTo x="0" y="0"/>
              </wp:wrapPolygon>
            </wp:wrapThrough>
            <wp:docPr id="138455170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341620" cy="3251835"/>
                    </a:xfrm>
                    <a:prstGeom prst="rect">
                      <a:avLst/>
                    </a:prstGeom>
                    <a:noFill/>
                    <a:ln>
                      <a:noFill/>
                    </a:ln>
                  </pic:spPr>
                </pic:pic>
              </a:graphicData>
            </a:graphic>
          </wp:anchor>
        </w:drawing>
      </w:r>
    </w:p>
    <w:p w14:paraId="5A96F108" w14:textId="77777777" w:rsidR="0067656E" w:rsidRPr="00D717C4" w:rsidRDefault="0067656E" w:rsidP="00D717C4">
      <w:pPr>
        <w:pStyle w:val="Heading1"/>
        <w:spacing w:after="48" w:line="240" w:lineRule="auto"/>
        <w:ind w:left="9"/>
        <w:rPr>
          <w:rFonts w:ascii="Times New Roman" w:hAnsi="Times New Roman" w:cs="Times New Roman"/>
          <w:i/>
          <w:color w:val="auto"/>
          <w:sz w:val="24"/>
          <w:szCs w:val="24"/>
        </w:rPr>
      </w:pPr>
    </w:p>
    <w:p w14:paraId="6BA99685" w14:textId="77777777" w:rsidR="0067656E" w:rsidRPr="00D717C4" w:rsidRDefault="0067656E" w:rsidP="00D717C4">
      <w:pPr>
        <w:pStyle w:val="Heading1"/>
        <w:spacing w:after="48" w:line="240" w:lineRule="auto"/>
        <w:ind w:left="9"/>
        <w:rPr>
          <w:rFonts w:ascii="Times New Roman" w:hAnsi="Times New Roman" w:cs="Times New Roman"/>
          <w:i/>
          <w:color w:val="auto"/>
          <w:sz w:val="24"/>
          <w:szCs w:val="24"/>
        </w:rPr>
      </w:pPr>
    </w:p>
    <w:p w14:paraId="64006B9E" w14:textId="77777777" w:rsidR="0067656E" w:rsidRPr="00D717C4" w:rsidRDefault="0067656E" w:rsidP="00D717C4">
      <w:pPr>
        <w:pStyle w:val="Heading1"/>
        <w:spacing w:after="48" w:line="240" w:lineRule="auto"/>
        <w:ind w:left="9"/>
        <w:rPr>
          <w:rFonts w:ascii="Times New Roman" w:hAnsi="Times New Roman" w:cs="Times New Roman"/>
          <w:i/>
          <w:color w:val="auto"/>
          <w:sz w:val="24"/>
          <w:szCs w:val="24"/>
        </w:rPr>
      </w:pPr>
    </w:p>
    <w:p w14:paraId="7F2D7D9D" w14:textId="77777777" w:rsidR="0067656E" w:rsidRPr="00D717C4" w:rsidRDefault="0067656E" w:rsidP="00D717C4">
      <w:pPr>
        <w:pStyle w:val="Heading1"/>
        <w:spacing w:after="48" w:line="240" w:lineRule="auto"/>
        <w:ind w:left="0"/>
        <w:rPr>
          <w:rFonts w:ascii="Times New Roman" w:hAnsi="Times New Roman" w:cs="Times New Roman"/>
          <w:i/>
          <w:color w:val="auto"/>
          <w:sz w:val="24"/>
          <w:szCs w:val="24"/>
        </w:rPr>
      </w:pPr>
    </w:p>
    <w:p w14:paraId="0F38DB7C" w14:textId="77777777" w:rsidR="0067656E" w:rsidRPr="00D717C4" w:rsidRDefault="0067656E" w:rsidP="00D717C4">
      <w:pPr>
        <w:pStyle w:val="Heading1"/>
        <w:spacing w:after="48" w:line="240" w:lineRule="auto"/>
        <w:ind w:left="9"/>
        <w:rPr>
          <w:rFonts w:ascii="Times New Roman" w:hAnsi="Times New Roman" w:cs="Times New Roman"/>
          <w:b/>
          <w:i/>
          <w:color w:val="auto"/>
          <w:sz w:val="24"/>
          <w:szCs w:val="24"/>
        </w:rPr>
      </w:pPr>
      <w:bookmarkStart w:id="21" w:name="_Toc195337103"/>
      <w:r w:rsidRPr="00D717C4">
        <w:rPr>
          <w:rFonts w:ascii="Times New Roman" w:hAnsi="Times New Roman" w:cs="Times New Roman"/>
          <w:b/>
          <w:i/>
          <w:color w:val="auto"/>
          <w:sz w:val="24"/>
          <w:szCs w:val="24"/>
        </w:rPr>
        <w:t>Figure 2: Distribution of NNJ by age</w:t>
      </w:r>
      <w:bookmarkEnd w:id="21"/>
    </w:p>
    <w:p w14:paraId="1348E9CF" w14:textId="77777777" w:rsidR="0067656E" w:rsidRPr="00D717C4" w:rsidRDefault="0067656E" w:rsidP="00D717C4">
      <w:pPr>
        <w:spacing w:line="240" w:lineRule="auto"/>
        <w:ind w:left="0"/>
      </w:pPr>
    </w:p>
    <w:p w14:paraId="6F3E61CB" w14:textId="77777777" w:rsidR="0067656E" w:rsidRPr="00D717C4" w:rsidRDefault="0067656E" w:rsidP="00D717C4">
      <w:pPr>
        <w:spacing w:line="240" w:lineRule="auto"/>
        <w:ind w:left="0"/>
      </w:pPr>
      <w:r w:rsidRPr="00D717C4">
        <w:t>The data provided above represents the distribution of NNJ cases by age in days. The highest number of cases 66 (25.8) occurred in the first five days of life, making this the most critical period for neonatal jaundice detection and management. The second and third age groups (6-10 days and 11-15 days) each account for 43 cases (16.60%), indicating that jaundice remains prevalent during the second week of life. This suggests that some cases persist beyond the initial peak or may develop later due to underlying conditions. Starting from the age group of 16-20 days, there is a decline in total cases 35 cases (13.50%). This trend reflects the natural resolution of most neonatal jaundice cases as liver function matures. The cases slightly increase from day 21 -25 to 42 cases (16.30%), which may indicate persistent or late-onset jaundice requiring further investigation. The final age group (26-29 days) has the lowest number of cases (29, or 11.20%). A significant proportion of cases occur within the first week (0-5 days), accounting for over a quarter (25.50%) of total cases. There is a noticeable decline in cases after the second week, reflecting the resolution of physiological jaundice in most neonates. A small proportion of cases persist into the late neonatal period (days 26-29) which may require further Clinical Attention.</w:t>
      </w:r>
    </w:p>
    <w:p w14:paraId="473AA068" w14:textId="77777777" w:rsidR="0067656E" w:rsidRPr="00D717C4" w:rsidRDefault="0067656E" w:rsidP="00D717C4">
      <w:pPr>
        <w:pStyle w:val="ListParagraph"/>
        <w:spacing w:line="240" w:lineRule="auto"/>
      </w:pPr>
    </w:p>
    <w:p w14:paraId="2F2892C5" w14:textId="77777777" w:rsidR="0067656E" w:rsidRPr="00D717C4" w:rsidRDefault="0067656E" w:rsidP="00D717C4">
      <w:pPr>
        <w:pStyle w:val="Heading1"/>
        <w:spacing w:after="327" w:line="240" w:lineRule="auto"/>
        <w:ind w:left="33" w:right="12"/>
        <w:jc w:val="center"/>
        <w:rPr>
          <w:rFonts w:ascii="Times New Roman" w:hAnsi="Times New Roman" w:cs="Times New Roman"/>
          <w:b/>
          <w:color w:val="auto"/>
          <w:sz w:val="24"/>
          <w:szCs w:val="24"/>
        </w:rPr>
      </w:pPr>
      <w:bookmarkStart w:id="22" w:name="_Toc195337105"/>
      <w:r w:rsidRPr="00D717C4">
        <w:rPr>
          <w:rFonts w:ascii="Times New Roman" w:hAnsi="Times New Roman" w:cs="Times New Roman"/>
          <w:b/>
          <w:color w:val="auto"/>
          <w:sz w:val="24"/>
          <w:szCs w:val="24"/>
        </w:rPr>
        <w:t>DISCUSSION</w:t>
      </w:r>
      <w:bookmarkEnd w:id="22"/>
    </w:p>
    <w:p w14:paraId="42935301" w14:textId="77777777" w:rsidR="0067656E" w:rsidRPr="00D717C4" w:rsidRDefault="0067656E" w:rsidP="00D717C4">
      <w:pPr>
        <w:pStyle w:val="Heading3"/>
        <w:spacing w:line="240" w:lineRule="auto"/>
        <w:ind w:left="9"/>
        <w:rPr>
          <w:rFonts w:ascii="Times New Roman" w:hAnsi="Times New Roman" w:cs="Times New Roman"/>
          <w:b/>
          <w:color w:val="000000" w:themeColor="text1"/>
        </w:rPr>
      </w:pPr>
      <w:bookmarkStart w:id="23" w:name="_Toc195337108"/>
      <w:r w:rsidRPr="00D717C4">
        <w:rPr>
          <w:rFonts w:ascii="Times New Roman" w:hAnsi="Times New Roman" w:cs="Times New Roman"/>
          <w:b/>
          <w:color w:val="000000" w:themeColor="text1"/>
        </w:rPr>
        <w:t>The distribution of patterns associated with NNJ at Lancet Clinical Laboratories</w:t>
      </w:r>
      <w:bookmarkEnd w:id="23"/>
    </w:p>
    <w:p w14:paraId="28E41320" w14:textId="77777777" w:rsidR="0067656E" w:rsidRPr="00D717C4" w:rsidRDefault="0067656E" w:rsidP="00D717C4">
      <w:pPr>
        <w:spacing w:line="240" w:lineRule="auto"/>
        <w:ind w:left="9"/>
      </w:pPr>
      <w:r w:rsidRPr="00D717C4">
        <w:t xml:space="preserve">The study revealed a higher prevalence in Public Hospitals. Similar findings have been reported in other studies, where public hospitals had higher rates of NNJ cases compared to private institutions. For instance, a study in Bashir Dar city indicated that a significant proportion of NNJ cases were treated in public specialized hospitals </w:t>
      </w:r>
      <w:r w:rsidR="0067242B" w:rsidRPr="00D717C4">
        <w:t>[6]</w:t>
      </w:r>
      <w:r w:rsidRPr="00D717C4">
        <w:t>. This aligns with the notion that public facilities often serve as primary care providers for lower-income families who may be at greater risk for complications associated with</w:t>
      </w:r>
      <w:r w:rsidR="00D717C4" w:rsidRPr="00D717C4">
        <w:t xml:space="preserve"> </w:t>
      </w:r>
      <w:r w:rsidRPr="00D717C4">
        <w:t xml:space="preserve">jaundice. This Research has shown that better prenatal care is associated with lower rates of neonatal complications, including jaundice </w:t>
      </w:r>
      <w:r w:rsidR="00D717C4" w:rsidRPr="00D717C4">
        <w:t>[7-8]</w:t>
      </w:r>
      <w:r w:rsidRPr="00D717C4">
        <w:t xml:space="preserve">. This supports the interpretation that private hospitals might have better resources for early detection and management. The prevalence rates reported may vary significantly based on geographic location and healthcare infrastructure. For example, studies in Ethiopia reported varying prevalence rates from 28.4% to over 60%, depending on whether neonates were treated in public or private settings </w:t>
      </w:r>
      <w:r w:rsidR="00D717C4" w:rsidRPr="00D717C4">
        <w:t>[9-11]</w:t>
      </w:r>
      <w:r w:rsidRPr="00D717C4">
        <w:t xml:space="preserve">. The current study's findings suggest a need for localized data to understand specific trends within different healthcare systems. </w:t>
      </w:r>
    </w:p>
    <w:p w14:paraId="50BE6A39" w14:textId="77777777" w:rsidR="0067656E" w:rsidRPr="00D717C4" w:rsidRDefault="0067656E" w:rsidP="00D717C4">
      <w:pPr>
        <w:spacing w:after="230" w:line="240" w:lineRule="auto"/>
        <w:ind w:left="14"/>
        <w:jc w:val="left"/>
      </w:pPr>
    </w:p>
    <w:p w14:paraId="33FDDE01" w14:textId="77777777" w:rsidR="0067656E" w:rsidRPr="00D717C4" w:rsidRDefault="0067656E" w:rsidP="00D717C4">
      <w:pPr>
        <w:pStyle w:val="Heading1"/>
        <w:spacing w:line="240" w:lineRule="auto"/>
        <w:ind w:left="0"/>
        <w:rPr>
          <w:rFonts w:ascii="Times New Roman" w:hAnsi="Times New Roman" w:cs="Times New Roman"/>
          <w:b/>
          <w:color w:val="000000" w:themeColor="text1"/>
          <w:sz w:val="24"/>
          <w:szCs w:val="24"/>
        </w:rPr>
      </w:pPr>
      <w:bookmarkStart w:id="24" w:name="_Toc195337109"/>
      <w:r w:rsidRPr="00D717C4">
        <w:rPr>
          <w:rFonts w:ascii="Times New Roman" w:hAnsi="Times New Roman" w:cs="Times New Roman"/>
          <w:b/>
          <w:color w:val="000000" w:themeColor="text1"/>
          <w:sz w:val="24"/>
          <w:szCs w:val="24"/>
        </w:rPr>
        <w:t>Prevalence of NNJ</w:t>
      </w:r>
      <w:bookmarkEnd w:id="24"/>
    </w:p>
    <w:p w14:paraId="2D3AA947" w14:textId="77777777" w:rsidR="0067656E" w:rsidRPr="00D717C4" w:rsidRDefault="0067656E" w:rsidP="00D717C4">
      <w:pPr>
        <w:spacing w:after="1" w:line="240" w:lineRule="auto"/>
        <w:ind w:left="9"/>
      </w:pPr>
      <w:r w:rsidRPr="00D717C4">
        <w:t xml:space="preserve">The prevalence rate is notably high compared to previous studies. A study conducted in Rwanda reported a prevalence of 41.3% while other studies have indicated rates ranging from 12.48 per 1000 live births to 44.3% in various populations </w:t>
      </w:r>
      <w:r w:rsidR="00D717C4" w:rsidRPr="00D717C4">
        <w:t>[9].</w:t>
      </w:r>
      <w:r w:rsidRPr="00D717C4">
        <w:t xml:space="preserve"> The prevalence rate observed in this study is markedly higher than those reported in other research. For example, the systemic review indicated that approximately 60% of term infants experience some of jaundice globally </w:t>
      </w:r>
      <w:r w:rsidR="00D717C4" w:rsidRPr="00D717C4">
        <w:t>[12]</w:t>
      </w:r>
      <w:r w:rsidRPr="00D717C4">
        <w:rPr>
          <w:rStyle w:val="CommentReference"/>
          <w:sz w:val="24"/>
          <w:szCs w:val="24"/>
        </w:rPr>
        <w:t>,</w:t>
      </w:r>
      <w:r w:rsidRPr="00D717C4">
        <w:t xml:space="preserve"> while our study rate suggests a more localized epidemic. This discrepancy may be due to variations in healthcare access, diagnostic criteria or population characteristics. </w:t>
      </w:r>
    </w:p>
    <w:p w14:paraId="3E7CC543" w14:textId="77777777" w:rsidR="0067656E" w:rsidRPr="00D717C4" w:rsidRDefault="0067656E" w:rsidP="00D717C4">
      <w:pPr>
        <w:spacing w:after="228" w:line="240" w:lineRule="auto"/>
        <w:ind w:left="0"/>
        <w:jc w:val="left"/>
      </w:pPr>
    </w:p>
    <w:p w14:paraId="53A86538" w14:textId="77777777" w:rsidR="0067656E" w:rsidRPr="00D717C4" w:rsidRDefault="0067656E" w:rsidP="00D717C4">
      <w:pPr>
        <w:pStyle w:val="Heading3"/>
        <w:spacing w:line="240" w:lineRule="auto"/>
        <w:ind w:left="9"/>
        <w:rPr>
          <w:rFonts w:ascii="Times New Roman" w:hAnsi="Times New Roman" w:cs="Times New Roman"/>
          <w:b/>
          <w:color w:val="000000" w:themeColor="text1"/>
        </w:rPr>
      </w:pPr>
      <w:bookmarkStart w:id="25" w:name="_Toc195337110"/>
      <w:r w:rsidRPr="00D717C4">
        <w:rPr>
          <w:rFonts w:ascii="Times New Roman" w:hAnsi="Times New Roman" w:cs="Times New Roman"/>
          <w:b/>
          <w:color w:val="000000" w:themeColor="text1"/>
        </w:rPr>
        <w:t>The distribution of NNJ by age</w:t>
      </w:r>
      <w:bookmarkEnd w:id="25"/>
    </w:p>
    <w:p w14:paraId="7E3FF2ED" w14:textId="77777777" w:rsidR="0067656E" w:rsidRPr="00D717C4" w:rsidRDefault="0067656E" w:rsidP="00D717C4">
      <w:pPr>
        <w:spacing w:line="240" w:lineRule="auto"/>
        <w:ind w:left="9"/>
      </w:pPr>
      <w:r w:rsidRPr="00D717C4">
        <w:t xml:space="preserve"> The study highlights age-specific patterns in NNJ prevalence with a peak in the first five days of life and a gradual decline thereafter. The finding that NNJ is most common within the first week is consistent with global research. Studies have shown that approximately 50-60% of term infants and up to 80% of preterm infants develop jaundice within this period due to physiological factors </w:t>
      </w:r>
      <w:r w:rsidR="00D717C4" w:rsidRPr="00D717C4">
        <w:t>[13]</w:t>
      </w:r>
      <w:r w:rsidRPr="00D717C4">
        <w:t xml:space="preserve">. The observed decline in NNJ prevalence after two weeks aligns with studies reporting that bilirubin levels typically peak between 48-96 hours and resolve by 2-3 weeks in healthy term neonates. This study noted a slight increase in cases between 21-25 days, which may indicate persistent or late-onset jaundice requiring further evaluation. Previous studies have also identified late-onset jaundice as a concern but often attribute it to specific conditions such as breastfeeding-associated jaundice or biliary atresia </w:t>
      </w:r>
      <w:r w:rsidR="00D717C4" w:rsidRPr="00D717C4">
        <w:t>[7]</w:t>
      </w:r>
      <w:r w:rsidRPr="00D717C4">
        <w:t xml:space="preserve">. While this study reported 25.5% of cases in the first five days, other studies have found higher rates during this period depending on population characteristics and healthcare access. For instance, a study conducted in Ethiopia found that 75.2% of NNJ cases occurred within the first week </w:t>
      </w:r>
      <w:r w:rsidR="00D717C4" w:rsidRPr="00D717C4">
        <w:t>[7]</w:t>
      </w:r>
      <w:r w:rsidRPr="00D717C4">
        <w:t xml:space="preserve">. </w:t>
      </w:r>
    </w:p>
    <w:p w14:paraId="76576947" w14:textId="77777777" w:rsidR="0067656E" w:rsidRPr="00D717C4" w:rsidRDefault="0067656E" w:rsidP="00D717C4">
      <w:pPr>
        <w:pStyle w:val="Heading5"/>
        <w:spacing w:after="213" w:line="240" w:lineRule="auto"/>
        <w:ind w:left="9"/>
        <w:rPr>
          <w:rFonts w:ascii="Times New Roman" w:hAnsi="Times New Roman" w:cs="Times New Roman"/>
          <w:b/>
          <w:color w:val="000000" w:themeColor="text1"/>
        </w:rPr>
      </w:pPr>
      <w:r w:rsidRPr="00D717C4">
        <w:rPr>
          <w:rFonts w:ascii="Times New Roman" w:hAnsi="Times New Roman" w:cs="Times New Roman"/>
          <w:b/>
          <w:color w:val="000000" w:themeColor="text1"/>
        </w:rPr>
        <w:t xml:space="preserve">Distribution by sex </w:t>
      </w:r>
    </w:p>
    <w:p w14:paraId="126EBA50" w14:textId="77777777" w:rsidR="0067656E" w:rsidRPr="00D717C4" w:rsidRDefault="0067656E" w:rsidP="00D717C4">
      <w:pPr>
        <w:spacing w:after="0" w:line="240" w:lineRule="auto"/>
        <w:ind w:left="9"/>
      </w:pPr>
      <w:r w:rsidRPr="00D717C4">
        <w:t>The data indicates a notable male predominance in NNJ cases, with 146 male neonates (56.5%) compared to 112 female neonates (43.5%) resulting in the male to female ratio 3:1</w:t>
      </w:r>
      <w:r w:rsidRPr="00D717C4">
        <w:rPr>
          <w:b/>
        </w:rPr>
        <w:t xml:space="preserve">. </w:t>
      </w:r>
      <w:r w:rsidRPr="00D717C4">
        <w:t xml:space="preserve">The finding that male neonates are more frequently affected by NNJ is consistent with numerous studies indicating a higher prevalence of jaundice among male infants. For example, a study published in Frontiers in Pediatrics reported that male infants constituted approximately 58% of all NNJ cases </w:t>
      </w:r>
      <w:r w:rsidR="00D717C4" w:rsidRPr="00D717C4">
        <w:t>[14]</w:t>
      </w:r>
      <w:r w:rsidRPr="00D717C4">
        <w:t xml:space="preserve">. Similarly, other research has shown that male infants are at a higher risk for developing significant neonatal jaundice due to physiological factors </w:t>
      </w:r>
      <w:r w:rsidR="00D717C4" w:rsidRPr="00D717C4">
        <w:t>[15]</w:t>
      </w:r>
      <w:r w:rsidRPr="00D717C4">
        <w:t xml:space="preserve">. While this study found a male-to-female ratio of approximately 3:1, other studies have reported varying ratios. For instance, some studies indicate ratios closer to 1.5 or 2:1, suggesting that geographical or demographic factors may influence these outcomes </w:t>
      </w:r>
      <w:r w:rsidR="00D717C4" w:rsidRPr="00D717C4">
        <w:t>[15]</w:t>
      </w:r>
      <w:r w:rsidRPr="00D717C4">
        <w:t>.</w:t>
      </w:r>
      <w:r w:rsidR="00D717C4" w:rsidRPr="00D717C4">
        <w:t xml:space="preserve"> </w:t>
      </w:r>
      <w:r w:rsidRPr="00D717C4">
        <w:t xml:space="preserve">The increase in female cases in the 26-29 days age group is an interesting finding not commonly highlighted in other studies. Previous research often focuses on early-onset jaundice without addressing potential late-onset or persistent jaundice as a significant concern requiring further clinical evaluation </w:t>
      </w:r>
      <w:r w:rsidR="00D717C4" w:rsidRPr="00D717C4">
        <w:t>[7,16]</w:t>
      </w:r>
      <w:r w:rsidRPr="00D717C4">
        <w:t xml:space="preserve">. </w:t>
      </w:r>
    </w:p>
    <w:p w14:paraId="3CEE49BB" w14:textId="77777777" w:rsidR="0067656E" w:rsidRPr="00D717C4" w:rsidRDefault="0067656E" w:rsidP="00D717C4">
      <w:pPr>
        <w:spacing w:after="225" w:line="240" w:lineRule="auto"/>
        <w:ind w:left="0"/>
        <w:jc w:val="left"/>
      </w:pPr>
    </w:p>
    <w:p w14:paraId="1C8F6D64" w14:textId="77777777" w:rsidR="0067656E" w:rsidRPr="00D717C4" w:rsidRDefault="0067656E" w:rsidP="00D717C4">
      <w:pPr>
        <w:pStyle w:val="Heading2"/>
        <w:spacing w:line="240" w:lineRule="auto"/>
        <w:ind w:left="9"/>
        <w:rPr>
          <w:rFonts w:ascii="Times New Roman" w:hAnsi="Times New Roman" w:cs="Times New Roman"/>
          <w:b/>
          <w:sz w:val="24"/>
          <w:szCs w:val="24"/>
        </w:rPr>
      </w:pPr>
      <w:bookmarkStart w:id="26" w:name="_Toc195337112"/>
      <w:r w:rsidRPr="00D717C4">
        <w:rPr>
          <w:rFonts w:ascii="Times New Roman" w:hAnsi="Times New Roman" w:cs="Times New Roman"/>
          <w:b/>
          <w:color w:val="auto"/>
          <w:sz w:val="24"/>
          <w:szCs w:val="24"/>
        </w:rPr>
        <w:t>Conclusion</w:t>
      </w:r>
      <w:bookmarkEnd w:id="26"/>
    </w:p>
    <w:p w14:paraId="456462BB" w14:textId="77777777" w:rsidR="0067656E" w:rsidRPr="00D717C4" w:rsidRDefault="0067656E" w:rsidP="00D717C4">
      <w:pPr>
        <w:spacing w:after="1" w:line="240" w:lineRule="auto"/>
        <w:ind w:left="9"/>
      </w:pPr>
      <w:r w:rsidRPr="00D717C4">
        <w:t xml:space="preserve">The total prevalence of NNJ was 69.9%, which is notably high. The study aimed to analyze the patterns and risk factors associated with NNJ at Lancet Clinical Laboratories Zimbabwe. Age, sex </w:t>
      </w:r>
      <w:r w:rsidRPr="00D717C4">
        <w:lastRenderedPageBreak/>
        <w:t xml:space="preserve">and ABO and Rh incompatibility were found to be the risk factors associated with NNJ.NNJ was found to be distributed more in public Hospitals than in Private hospitals. Male neonates were found to be at more risk than female neonates.  </w:t>
      </w:r>
    </w:p>
    <w:p w14:paraId="372C6BC3" w14:textId="3E5DF34E" w:rsidR="0067656E" w:rsidRDefault="0067656E" w:rsidP="00D717C4">
      <w:pPr>
        <w:pStyle w:val="Heading6"/>
        <w:spacing w:line="240" w:lineRule="auto"/>
        <w:ind w:left="9"/>
        <w:rPr>
          <w:rFonts w:ascii="Times New Roman" w:hAnsi="Times New Roman" w:cs="Times New Roman"/>
          <w:b/>
          <w:color w:val="auto"/>
        </w:rPr>
      </w:pPr>
      <w:r w:rsidRPr="00D717C4">
        <w:rPr>
          <w:rFonts w:ascii="Times New Roman" w:hAnsi="Times New Roman" w:cs="Times New Roman"/>
          <w:b/>
          <w:color w:val="auto"/>
        </w:rPr>
        <w:t xml:space="preserve"> </w:t>
      </w:r>
    </w:p>
    <w:p w14:paraId="354BD539" w14:textId="393FB609" w:rsidR="000E5F4F" w:rsidRDefault="000E5F4F" w:rsidP="000E5F4F"/>
    <w:p w14:paraId="78F08DFA" w14:textId="77777777" w:rsidR="000E5F4F" w:rsidRPr="009C5487" w:rsidRDefault="000E5F4F" w:rsidP="000E5F4F">
      <w:pPr>
        <w:rPr>
          <w:rFonts w:ascii="Calibri" w:eastAsia="Calibri" w:hAnsi="Calibri"/>
          <w:highlight w:val="yellow"/>
        </w:rPr>
      </w:pPr>
      <w:bookmarkStart w:id="27" w:name="_Hlk197682619"/>
      <w:bookmarkStart w:id="28" w:name="_Hlk180402183"/>
      <w:bookmarkStart w:id="29" w:name="_Hlk183680988"/>
      <w:r w:rsidRPr="009C5487">
        <w:rPr>
          <w:rFonts w:ascii="Calibri" w:eastAsia="Calibri" w:hAnsi="Calibri"/>
          <w:highlight w:val="yellow"/>
        </w:rPr>
        <w:t>Disclaimer (Artificial intelligence)</w:t>
      </w:r>
    </w:p>
    <w:p w14:paraId="3A74C2F5" w14:textId="77777777" w:rsidR="000E5F4F" w:rsidRPr="009C5487" w:rsidRDefault="000E5F4F" w:rsidP="000E5F4F">
      <w:pPr>
        <w:rPr>
          <w:rFonts w:ascii="Calibri" w:eastAsia="Calibri" w:hAnsi="Calibri"/>
          <w:highlight w:val="yellow"/>
        </w:rPr>
      </w:pPr>
      <w:r w:rsidRPr="009C5487">
        <w:rPr>
          <w:rFonts w:ascii="Calibri" w:eastAsia="Calibri" w:hAnsi="Calibri"/>
          <w:highlight w:val="yellow"/>
        </w:rPr>
        <w:t>Author(s) hereby declare that NO generative AI technologies such as Large Language Models (</w:t>
      </w:r>
      <w:proofErr w:type="spellStart"/>
      <w:r w:rsidRPr="009C5487">
        <w:rPr>
          <w:rFonts w:ascii="Calibri" w:eastAsia="Calibri" w:hAnsi="Calibri"/>
          <w:highlight w:val="yellow"/>
        </w:rPr>
        <w:t>ChatGPT</w:t>
      </w:r>
      <w:proofErr w:type="spellEnd"/>
      <w:r w:rsidRPr="009C5487">
        <w:rPr>
          <w:rFonts w:ascii="Calibri" w:eastAsia="Calibri" w:hAnsi="Calibri"/>
          <w:highlight w:val="yellow"/>
        </w:rPr>
        <w:t xml:space="preserve">, COPILOT, etc.) and text-to-image generators have been used during the writing or editing of this manuscript. </w:t>
      </w:r>
    </w:p>
    <w:bookmarkEnd w:id="27"/>
    <w:bookmarkEnd w:id="28"/>
    <w:bookmarkEnd w:id="29"/>
    <w:p w14:paraId="5C37584D" w14:textId="77777777" w:rsidR="000E5F4F" w:rsidRPr="000E5F4F" w:rsidRDefault="000E5F4F" w:rsidP="000E5F4F"/>
    <w:p w14:paraId="3E2EEAC9" w14:textId="77777777" w:rsidR="0067656E" w:rsidRPr="00D717C4" w:rsidRDefault="0067656E" w:rsidP="00D717C4">
      <w:pPr>
        <w:pStyle w:val="Heading1"/>
        <w:tabs>
          <w:tab w:val="left" w:pos="3324"/>
          <w:tab w:val="center" w:pos="4680"/>
        </w:tabs>
        <w:spacing w:after="0" w:line="240" w:lineRule="auto"/>
        <w:ind w:left="720" w:hanging="720"/>
        <w:jc w:val="center"/>
        <w:rPr>
          <w:rFonts w:ascii="Times New Roman" w:hAnsi="Times New Roman" w:cs="Times New Roman"/>
          <w:b/>
          <w:bCs/>
          <w:color w:val="auto"/>
          <w:sz w:val="24"/>
          <w:szCs w:val="24"/>
        </w:rPr>
      </w:pPr>
      <w:bookmarkStart w:id="30" w:name="_Toc195337114"/>
      <w:r w:rsidRPr="00D717C4">
        <w:rPr>
          <w:rFonts w:ascii="Times New Roman" w:hAnsi="Times New Roman" w:cs="Times New Roman"/>
          <w:b/>
          <w:bCs/>
          <w:color w:val="auto"/>
          <w:sz w:val="24"/>
          <w:szCs w:val="24"/>
        </w:rPr>
        <w:t>REFERENCES</w:t>
      </w:r>
      <w:bookmarkEnd w:id="30"/>
    </w:p>
    <w:p w14:paraId="28F1FDC8" w14:textId="77777777" w:rsidR="0067656E" w:rsidRPr="00D717C4" w:rsidRDefault="0067656E" w:rsidP="00D717C4">
      <w:pPr>
        <w:shd w:val="clear" w:color="auto" w:fill="FFFFFF" w:themeFill="background1"/>
        <w:spacing w:after="0" w:line="240" w:lineRule="auto"/>
        <w:ind w:left="720" w:hanging="720"/>
        <w:rPr>
          <w:bCs/>
          <w:color w:val="auto"/>
          <w:kern w:val="0"/>
          <w:lang w:val="en-ZW" w:eastAsia="en-ZW"/>
        </w:rPr>
      </w:pPr>
    </w:p>
    <w:p w14:paraId="66A1B68C" w14:textId="77777777" w:rsidR="00D717C4" w:rsidRPr="00D717C4" w:rsidRDefault="00D717C4" w:rsidP="00D717C4">
      <w:pPr>
        <w:pStyle w:val="ListParagraph"/>
        <w:numPr>
          <w:ilvl w:val="0"/>
          <w:numId w:val="14"/>
        </w:numPr>
        <w:spacing w:after="0" w:line="240" w:lineRule="auto"/>
      </w:pPr>
      <w:proofErr w:type="spellStart"/>
      <w:r w:rsidRPr="00D717C4">
        <w:t>Vitek</w:t>
      </w:r>
      <w:proofErr w:type="spellEnd"/>
      <w:r w:rsidRPr="00D717C4">
        <w:t xml:space="preserve">, L., Hinds, T. D., Jr, </w:t>
      </w:r>
      <w:proofErr w:type="spellStart"/>
      <w:r w:rsidRPr="00D717C4">
        <w:t>Stec</w:t>
      </w:r>
      <w:proofErr w:type="spellEnd"/>
      <w:r w:rsidRPr="00D717C4">
        <w:t xml:space="preserve">, D. E., &amp; </w:t>
      </w:r>
      <w:proofErr w:type="spellStart"/>
      <w:r w:rsidRPr="00D717C4">
        <w:t>Tiribelli</w:t>
      </w:r>
      <w:proofErr w:type="spellEnd"/>
      <w:r w:rsidRPr="00D717C4">
        <w:t xml:space="preserve">, C. (2023). The physiology of bilirubin: health and disease equilibrium. </w:t>
      </w:r>
      <w:r w:rsidRPr="00D717C4">
        <w:rPr>
          <w:i/>
          <w:iCs/>
        </w:rPr>
        <w:t>Trends in molecular medicine</w:t>
      </w:r>
      <w:r w:rsidRPr="00D717C4">
        <w:t xml:space="preserve">, </w:t>
      </w:r>
      <w:r w:rsidRPr="00D717C4">
        <w:rPr>
          <w:i/>
          <w:iCs/>
        </w:rPr>
        <w:t>29</w:t>
      </w:r>
      <w:r w:rsidRPr="00D717C4">
        <w:t xml:space="preserve">(4), 315–328. </w:t>
      </w:r>
      <w:hyperlink r:id="rId9" w:history="1">
        <w:r w:rsidRPr="00D717C4">
          <w:rPr>
            <w:rStyle w:val="Hyperlink"/>
          </w:rPr>
          <w:t>https://doi.org/10.1016/j.molmed.2023.01.007</w:t>
        </w:r>
      </w:hyperlink>
    </w:p>
    <w:p w14:paraId="64E51158" w14:textId="77777777" w:rsidR="00D717C4" w:rsidRPr="00D717C4" w:rsidRDefault="00D717C4" w:rsidP="00D717C4">
      <w:pPr>
        <w:pStyle w:val="ListParagraph"/>
        <w:numPr>
          <w:ilvl w:val="0"/>
          <w:numId w:val="14"/>
        </w:numPr>
        <w:spacing w:after="0" w:line="240" w:lineRule="auto"/>
      </w:pPr>
      <w:r w:rsidRPr="00D717C4">
        <w:t xml:space="preserve">Ullah, S., Rahman, K., &amp; </w:t>
      </w:r>
      <w:proofErr w:type="spellStart"/>
      <w:r w:rsidRPr="00D717C4">
        <w:t>Hedayati</w:t>
      </w:r>
      <w:proofErr w:type="spellEnd"/>
      <w:r w:rsidRPr="00D717C4">
        <w:t xml:space="preserve">, M. (2016). Hyperbilirubinemia in Neonates: Types, Causes, Clinical Examinations, Preventive Measures and Treatments: A Narrative Review Article. </w:t>
      </w:r>
      <w:r w:rsidRPr="00D717C4">
        <w:rPr>
          <w:i/>
          <w:iCs/>
        </w:rPr>
        <w:t>Iranian journal of public health</w:t>
      </w:r>
      <w:r w:rsidRPr="00D717C4">
        <w:t xml:space="preserve">, </w:t>
      </w:r>
      <w:r w:rsidRPr="00D717C4">
        <w:rPr>
          <w:i/>
          <w:iCs/>
        </w:rPr>
        <w:t>45</w:t>
      </w:r>
      <w:r w:rsidRPr="00D717C4">
        <w:t xml:space="preserve">(5), 558–568. </w:t>
      </w:r>
    </w:p>
    <w:p w14:paraId="42D739CE" w14:textId="77777777" w:rsidR="00D717C4" w:rsidRPr="00D717C4" w:rsidRDefault="00D717C4" w:rsidP="00D717C4">
      <w:pPr>
        <w:pStyle w:val="ListParagraph"/>
        <w:numPr>
          <w:ilvl w:val="0"/>
          <w:numId w:val="14"/>
        </w:numPr>
        <w:spacing w:after="0" w:line="240" w:lineRule="auto"/>
      </w:pPr>
      <w:proofErr w:type="spellStart"/>
      <w:r w:rsidRPr="00D717C4">
        <w:t>Karimzadeh</w:t>
      </w:r>
      <w:proofErr w:type="spellEnd"/>
      <w:r w:rsidRPr="00D717C4">
        <w:t xml:space="preserve">, P., </w:t>
      </w:r>
      <w:proofErr w:type="spellStart"/>
      <w:r w:rsidRPr="00D717C4">
        <w:t>Fallahi</w:t>
      </w:r>
      <w:proofErr w:type="spellEnd"/>
      <w:r w:rsidRPr="00D717C4">
        <w:t xml:space="preserve">, M., </w:t>
      </w:r>
      <w:proofErr w:type="spellStart"/>
      <w:r w:rsidRPr="00D717C4">
        <w:t>Kazemian</w:t>
      </w:r>
      <w:proofErr w:type="spellEnd"/>
      <w:r w:rsidRPr="00D717C4">
        <w:t xml:space="preserve">, M., </w:t>
      </w:r>
      <w:proofErr w:type="spellStart"/>
      <w:r w:rsidRPr="00D717C4">
        <w:t>Taslimi</w:t>
      </w:r>
      <w:proofErr w:type="spellEnd"/>
      <w:r w:rsidRPr="00D717C4">
        <w:t xml:space="preserve"> </w:t>
      </w:r>
      <w:proofErr w:type="spellStart"/>
      <w:r w:rsidRPr="00D717C4">
        <w:t>Taleghani</w:t>
      </w:r>
      <w:proofErr w:type="spellEnd"/>
      <w:r w:rsidRPr="00D717C4">
        <w:t xml:space="preserve">, N., </w:t>
      </w:r>
      <w:proofErr w:type="spellStart"/>
      <w:r w:rsidRPr="00D717C4">
        <w:t>Nouripour</w:t>
      </w:r>
      <w:proofErr w:type="spellEnd"/>
      <w:r w:rsidRPr="00D717C4">
        <w:t xml:space="preserve">, S., &amp; </w:t>
      </w:r>
      <w:proofErr w:type="spellStart"/>
      <w:r w:rsidRPr="00D717C4">
        <w:t>Radfar</w:t>
      </w:r>
      <w:proofErr w:type="spellEnd"/>
      <w:r w:rsidRPr="00D717C4">
        <w:t xml:space="preserve">, M. (2020). Bilirubin Induced Encephalopathy. </w:t>
      </w:r>
      <w:r w:rsidRPr="00D717C4">
        <w:rPr>
          <w:i/>
          <w:iCs/>
        </w:rPr>
        <w:t>Iranian journal of child neurology</w:t>
      </w:r>
      <w:r w:rsidRPr="00D717C4">
        <w:t xml:space="preserve">, </w:t>
      </w:r>
      <w:r w:rsidRPr="00D717C4">
        <w:rPr>
          <w:i/>
          <w:iCs/>
        </w:rPr>
        <w:t>14</w:t>
      </w:r>
      <w:r w:rsidRPr="00D717C4">
        <w:t xml:space="preserve">(1), 7–19. </w:t>
      </w:r>
    </w:p>
    <w:p w14:paraId="55D16FB2" w14:textId="77777777" w:rsidR="00D717C4" w:rsidRPr="00D717C4" w:rsidRDefault="00D717C4" w:rsidP="00D717C4">
      <w:pPr>
        <w:pStyle w:val="ListParagraph"/>
        <w:numPr>
          <w:ilvl w:val="0"/>
          <w:numId w:val="14"/>
        </w:numPr>
        <w:spacing w:after="0" w:line="240" w:lineRule="auto"/>
      </w:pPr>
      <w:proofErr w:type="spellStart"/>
      <w:r w:rsidRPr="00D717C4">
        <w:t>Magai</w:t>
      </w:r>
      <w:proofErr w:type="spellEnd"/>
      <w:r w:rsidRPr="00D717C4">
        <w:t xml:space="preserve">, D. N., </w:t>
      </w:r>
      <w:proofErr w:type="spellStart"/>
      <w:r w:rsidRPr="00D717C4">
        <w:t>Mwaniki</w:t>
      </w:r>
      <w:proofErr w:type="spellEnd"/>
      <w:r w:rsidRPr="00D717C4">
        <w:t xml:space="preserve">, M., Abubakar, A., Mohammed, S., Gordon, A. L., Kalu, R., Mwangi, P., </w:t>
      </w:r>
      <w:proofErr w:type="spellStart"/>
      <w:r w:rsidRPr="00D717C4">
        <w:t>Koot</w:t>
      </w:r>
      <w:proofErr w:type="spellEnd"/>
      <w:r w:rsidRPr="00D717C4">
        <w:t xml:space="preserve">, H. M., &amp; Newton, C. R. (2020). Neonatal jaundice and developmental impairment among infants in Kilifi, Kenya. </w:t>
      </w:r>
      <w:r w:rsidRPr="00D717C4">
        <w:rPr>
          <w:i/>
          <w:iCs/>
        </w:rPr>
        <w:t>Child: care, health and development</w:t>
      </w:r>
      <w:r w:rsidRPr="00D717C4">
        <w:t xml:space="preserve">, </w:t>
      </w:r>
      <w:r w:rsidRPr="00D717C4">
        <w:rPr>
          <w:i/>
          <w:iCs/>
        </w:rPr>
        <w:t>46</w:t>
      </w:r>
      <w:r w:rsidRPr="00D717C4">
        <w:t>(3), 336–344. https://doi.org/10.1111/cch.12750</w:t>
      </w:r>
    </w:p>
    <w:p w14:paraId="5EB6F407" w14:textId="77777777" w:rsidR="00D717C4" w:rsidRPr="00D717C4" w:rsidRDefault="00D717C4" w:rsidP="00D717C4">
      <w:pPr>
        <w:pStyle w:val="ListParagraph"/>
        <w:numPr>
          <w:ilvl w:val="0"/>
          <w:numId w:val="14"/>
        </w:numPr>
        <w:spacing w:after="0" w:line="240" w:lineRule="auto"/>
      </w:pPr>
      <w:proofErr w:type="spellStart"/>
      <w:r w:rsidRPr="00D717C4">
        <w:t>Boskabadi</w:t>
      </w:r>
      <w:proofErr w:type="spellEnd"/>
      <w:r w:rsidRPr="00D717C4">
        <w:t xml:space="preserve">, H., </w:t>
      </w:r>
      <w:proofErr w:type="spellStart"/>
      <w:r w:rsidRPr="00D717C4">
        <w:t>Zakerihamidi</w:t>
      </w:r>
      <w:proofErr w:type="spellEnd"/>
      <w:r w:rsidRPr="00D717C4">
        <w:t xml:space="preserve">, M., Moradi, A., &amp; </w:t>
      </w:r>
      <w:proofErr w:type="spellStart"/>
      <w:r w:rsidRPr="00D717C4">
        <w:t>Bakhshaee</w:t>
      </w:r>
      <w:proofErr w:type="spellEnd"/>
      <w:r w:rsidRPr="00D717C4">
        <w:t xml:space="preserve">, M. (2018). Risk Factors for Sensorineural Hearing Loss in Neonatal Hyperbilirubinemia. </w:t>
      </w:r>
      <w:r w:rsidRPr="00D717C4">
        <w:rPr>
          <w:i/>
          <w:iCs/>
        </w:rPr>
        <w:t>Iranian journal of otorhinolaryngology</w:t>
      </w:r>
      <w:r w:rsidRPr="00D717C4">
        <w:t xml:space="preserve">, </w:t>
      </w:r>
      <w:r w:rsidRPr="00D717C4">
        <w:rPr>
          <w:i/>
          <w:iCs/>
        </w:rPr>
        <w:t>30</w:t>
      </w:r>
      <w:r w:rsidRPr="00D717C4">
        <w:t xml:space="preserve">(99), 195–202. </w:t>
      </w:r>
    </w:p>
    <w:p w14:paraId="2BBC8DC1" w14:textId="77777777" w:rsidR="00D717C4" w:rsidRPr="00D717C4" w:rsidRDefault="00D717C4" w:rsidP="00D717C4">
      <w:pPr>
        <w:pStyle w:val="ListParagraph"/>
        <w:numPr>
          <w:ilvl w:val="0"/>
          <w:numId w:val="14"/>
        </w:numPr>
        <w:spacing w:after="0" w:line="240" w:lineRule="auto"/>
      </w:pPr>
      <w:proofErr w:type="spellStart"/>
      <w:r w:rsidRPr="00D717C4">
        <w:t>Zelelew</w:t>
      </w:r>
      <w:proofErr w:type="spellEnd"/>
      <w:r w:rsidRPr="00D717C4">
        <w:t xml:space="preserve">, A. M., </w:t>
      </w:r>
      <w:proofErr w:type="spellStart"/>
      <w:r w:rsidRPr="00D717C4">
        <w:t>Tafere</w:t>
      </w:r>
      <w:proofErr w:type="spellEnd"/>
      <w:r w:rsidRPr="00D717C4">
        <w:t xml:space="preserve">, T. Z., </w:t>
      </w:r>
      <w:proofErr w:type="spellStart"/>
      <w:r w:rsidRPr="00D717C4">
        <w:t>Jemberie</w:t>
      </w:r>
      <w:proofErr w:type="spellEnd"/>
      <w:r w:rsidRPr="00D717C4">
        <w:t xml:space="preserve">, S. M., &amp; Belay, G. M. (2024). Prevalence and Associated Factors of Jaundice Among Neonates Admitted to Neonatal Intensive Care Units at Public Specialized Hospitals in Bahir Dar City, Northwest Ethiopia. </w:t>
      </w:r>
      <w:r w:rsidRPr="00D717C4">
        <w:rPr>
          <w:i/>
          <w:iCs/>
        </w:rPr>
        <w:t>Global pediatric health</w:t>
      </w:r>
      <w:r w:rsidRPr="00D717C4">
        <w:t xml:space="preserve">, </w:t>
      </w:r>
      <w:r w:rsidRPr="00D717C4">
        <w:rPr>
          <w:i/>
          <w:iCs/>
        </w:rPr>
        <w:t>11</w:t>
      </w:r>
      <w:r w:rsidRPr="00D717C4">
        <w:t>, 2333794X241286739. https://doi.org/10.1177/2333794X241286739</w:t>
      </w:r>
    </w:p>
    <w:p w14:paraId="7B96FD73" w14:textId="77777777" w:rsidR="00D717C4" w:rsidRPr="00D717C4" w:rsidRDefault="00D717C4" w:rsidP="00D717C4">
      <w:pPr>
        <w:pStyle w:val="ListParagraph"/>
        <w:numPr>
          <w:ilvl w:val="0"/>
          <w:numId w:val="14"/>
        </w:numPr>
        <w:spacing w:after="0" w:line="240" w:lineRule="auto"/>
      </w:pPr>
      <w:proofErr w:type="spellStart"/>
      <w:r w:rsidRPr="00D717C4">
        <w:t>Ayalew</w:t>
      </w:r>
      <w:proofErr w:type="spellEnd"/>
      <w:r w:rsidRPr="00D717C4">
        <w:t xml:space="preserve">, T., </w:t>
      </w:r>
      <w:proofErr w:type="spellStart"/>
      <w:r w:rsidRPr="00D717C4">
        <w:t>Molla</w:t>
      </w:r>
      <w:proofErr w:type="spellEnd"/>
      <w:r w:rsidRPr="00D717C4">
        <w:t xml:space="preserve">, A., </w:t>
      </w:r>
      <w:proofErr w:type="spellStart"/>
      <w:r w:rsidRPr="00D717C4">
        <w:t>Kefale</w:t>
      </w:r>
      <w:proofErr w:type="spellEnd"/>
      <w:r w:rsidRPr="00D717C4">
        <w:t xml:space="preserve">, B., Alene, T. D., Abebe, G. K., </w:t>
      </w:r>
      <w:proofErr w:type="spellStart"/>
      <w:r w:rsidRPr="00D717C4">
        <w:t>Ngusie</w:t>
      </w:r>
      <w:proofErr w:type="spellEnd"/>
      <w:r w:rsidRPr="00D717C4">
        <w:t xml:space="preserve">, H. S., &amp; </w:t>
      </w:r>
      <w:proofErr w:type="spellStart"/>
      <w:r w:rsidRPr="00D717C4">
        <w:t>Zemariam</w:t>
      </w:r>
      <w:proofErr w:type="spellEnd"/>
      <w:r w:rsidRPr="00D717C4">
        <w:t xml:space="preserve">, A. B. (2024). Factors associated with neonatal jaundice among neonates admitted at referral hospitals in northeast Ethiopia: a facility-based unmatched case-control study. </w:t>
      </w:r>
      <w:r w:rsidRPr="00D717C4">
        <w:rPr>
          <w:i/>
          <w:iCs/>
        </w:rPr>
        <w:t>BMC pregnancy and childbirth</w:t>
      </w:r>
      <w:r w:rsidRPr="00D717C4">
        <w:t xml:space="preserve">, </w:t>
      </w:r>
      <w:r w:rsidRPr="00D717C4">
        <w:rPr>
          <w:i/>
          <w:iCs/>
        </w:rPr>
        <w:t>24</w:t>
      </w:r>
      <w:r w:rsidRPr="00D717C4">
        <w:t>(1), 150. https://doi.org/10.1186/s12884-024-06352-y</w:t>
      </w:r>
    </w:p>
    <w:p w14:paraId="6A862AE6" w14:textId="77777777" w:rsidR="00D717C4" w:rsidRPr="00D717C4" w:rsidRDefault="00D717C4" w:rsidP="00D717C4">
      <w:pPr>
        <w:pStyle w:val="ListParagraph"/>
        <w:numPr>
          <w:ilvl w:val="0"/>
          <w:numId w:val="14"/>
        </w:numPr>
        <w:spacing w:after="0" w:line="240" w:lineRule="auto"/>
      </w:pPr>
      <w:proofErr w:type="spellStart"/>
      <w:r w:rsidRPr="00D717C4">
        <w:t>Bante</w:t>
      </w:r>
      <w:proofErr w:type="spellEnd"/>
      <w:r w:rsidRPr="00D717C4">
        <w:t xml:space="preserve">, A., Ahmed, M., </w:t>
      </w:r>
      <w:proofErr w:type="spellStart"/>
      <w:r w:rsidRPr="00D717C4">
        <w:t>Degefa</w:t>
      </w:r>
      <w:proofErr w:type="spellEnd"/>
      <w:r w:rsidRPr="00D717C4">
        <w:t xml:space="preserve">, N., </w:t>
      </w:r>
      <w:proofErr w:type="spellStart"/>
      <w:r w:rsidRPr="00D717C4">
        <w:t>Shibiru</w:t>
      </w:r>
      <w:proofErr w:type="spellEnd"/>
      <w:r w:rsidRPr="00D717C4">
        <w:t xml:space="preserve">, S., &amp; </w:t>
      </w:r>
      <w:proofErr w:type="spellStart"/>
      <w:r w:rsidRPr="00D717C4">
        <w:t>Yihune</w:t>
      </w:r>
      <w:proofErr w:type="spellEnd"/>
      <w:r w:rsidRPr="00D717C4">
        <w:t xml:space="preserve">, M. (2024). Neonatal jaundice and associated factors in public hospitals of southern Ethiopia: A multi-center cross-sectional study. </w:t>
      </w:r>
      <w:proofErr w:type="spellStart"/>
      <w:r w:rsidRPr="00D717C4">
        <w:rPr>
          <w:i/>
          <w:iCs/>
        </w:rPr>
        <w:t>Heliyon</w:t>
      </w:r>
      <w:proofErr w:type="spellEnd"/>
      <w:r w:rsidRPr="00D717C4">
        <w:t xml:space="preserve">, </w:t>
      </w:r>
      <w:r w:rsidRPr="00D717C4">
        <w:rPr>
          <w:i/>
          <w:iCs/>
        </w:rPr>
        <w:t>10</w:t>
      </w:r>
      <w:r w:rsidRPr="00D717C4">
        <w:t>(2), e24838. https://doi.org/10.1016/j.heliyon.2024.e24838</w:t>
      </w:r>
    </w:p>
    <w:p w14:paraId="382898CA" w14:textId="77777777" w:rsidR="00D717C4" w:rsidRPr="00D717C4" w:rsidRDefault="00D717C4" w:rsidP="00D717C4">
      <w:pPr>
        <w:pStyle w:val="ListParagraph"/>
        <w:numPr>
          <w:ilvl w:val="0"/>
          <w:numId w:val="14"/>
        </w:numPr>
        <w:spacing w:after="0" w:line="240" w:lineRule="auto"/>
      </w:pPr>
      <w:proofErr w:type="spellStart"/>
      <w:r w:rsidRPr="00D717C4">
        <w:t>Zelelew</w:t>
      </w:r>
      <w:proofErr w:type="spellEnd"/>
      <w:r w:rsidRPr="00D717C4">
        <w:t xml:space="preserve">, A. M., </w:t>
      </w:r>
      <w:proofErr w:type="spellStart"/>
      <w:r w:rsidRPr="00D717C4">
        <w:t>Tafere</w:t>
      </w:r>
      <w:proofErr w:type="spellEnd"/>
      <w:r w:rsidRPr="00D717C4">
        <w:t xml:space="preserve">, T. Z., </w:t>
      </w:r>
      <w:proofErr w:type="spellStart"/>
      <w:r w:rsidRPr="00D717C4">
        <w:t>Jemberie</w:t>
      </w:r>
      <w:proofErr w:type="spellEnd"/>
      <w:r w:rsidRPr="00D717C4">
        <w:t xml:space="preserve">, S. M., &amp; Belay, G. M. (2024). Prevalence and Associated Factors of Jaundice Among Neonates Admitted to Neonatal Intensive Care </w:t>
      </w:r>
      <w:r w:rsidRPr="00D717C4">
        <w:lastRenderedPageBreak/>
        <w:t xml:space="preserve">Units at Public Specialized Hospitals in Bahir Dar City, Northwest Ethiopia. </w:t>
      </w:r>
      <w:r w:rsidRPr="00D717C4">
        <w:rPr>
          <w:i/>
          <w:iCs/>
        </w:rPr>
        <w:t>Global pediatric health</w:t>
      </w:r>
      <w:r w:rsidRPr="00D717C4">
        <w:t xml:space="preserve">, </w:t>
      </w:r>
      <w:r w:rsidRPr="00D717C4">
        <w:rPr>
          <w:i/>
          <w:iCs/>
        </w:rPr>
        <w:t>11</w:t>
      </w:r>
      <w:r w:rsidRPr="00D717C4">
        <w:t>, 2333794X241286739. https://doi.org/10.1177/2333794X241286739</w:t>
      </w:r>
    </w:p>
    <w:p w14:paraId="087A520E" w14:textId="77777777" w:rsidR="00D717C4" w:rsidRPr="00D717C4" w:rsidRDefault="00D717C4" w:rsidP="00D717C4">
      <w:pPr>
        <w:pStyle w:val="ListParagraph"/>
        <w:numPr>
          <w:ilvl w:val="0"/>
          <w:numId w:val="14"/>
        </w:numPr>
        <w:spacing w:after="0" w:line="240" w:lineRule="auto"/>
      </w:pPr>
      <w:proofErr w:type="spellStart"/>
      <w:r w:rsidRPr="00D717C4">
        <w:t>Obeagu</w:t>
      </w:r>
      <w:proofErr w:type="spellEnd"/>
      <w:r w:rsidRPr="00D717C4">
        <w:t xml:space="preserve">, E. I., &amp; Katya, M. C. (2022). A systematic review on physiological jaundice: Diagnosis and management of the affected neonates. </w:t>
      </w:r>
      <w:r w:rsidRPr="00D717C4">
        <w:rPr>
          <w:i/>
          <w:iCs/>
        </w:rPr>
        <w:t>Madonna University journal of Medicine and Health Sciences ISSN: 2814-3035</w:t>
      </w:r>
      <w:r w:rsidRPr="00D717C4">
        <w:t xml:space="preserve">, </w:t>
      </w:r>
      <w:r w:rsidRPr="00D717C4">
        <w:rPr>
          <w:i/>
          <w:iCs/>
        </w:rPr>
        <w:t>2</w:t>
      </w:r>
      <w:r w:rsidRPr="00D717C4">
        <w:t>(3), 25-41.</w:t>
      </w:r>
    </w:p>
    <w:p w14:paraId="57AAA04D" w14:textId="77777777" w:rsidR="00D717C4" w:rsidRPr="00D717C4" w:rsidRDefault="00D717C4" w:rsidP="00D717C4">
      <w:pPr>
        <w:pStyle w:val="ListParagraph"/>
        <w:numPr>
          <w:ilvl w:val="0"/>
          <w:numId w:val="14"/>
        </w:numPr>
        <w:spacing w:after="0" w:line="240" w:lineRule="auto"/>
      </w:pPr>
      <w:proofErr w:type="spellStart"/>
      <w:r w:rsidRPr="00D717C4">
        <w:t>Obeagu</w:t>
      </w:r>
      <w:proofErr w:type="spellEnd"/>
      <w:r w:rsidRPr="00D717C4">
        <w:t xml:space="preserve">, E. I., &amp; </w:t>
      </w:r>
      <w:proofErr w:type="spellStart"/>
      <w:r w:rsidRPr="00D717C4">
        <w:t>Obeagu</w:t>
      </w:r>
      <w:proofErr w:type="spellEnd"/>
      <w:r w:rsidRPr="00D717C4">
        <w:t xml:space="preserve">, G. U. (2024). Antioxidants and the Prevention of Neonatal Jaundice: A Narrative Review. </w:t>
      </w:r>
      <w:r w:rsidRPr="00D717C4">
        <w:rPr>
          <w:i/>
          <w:iCs/>
        </w:rPr>
        <w:t>International Journal of Medical Sciences and Pharma Research</w:t>
      </w:r>
      <w:r w:rsidRPr="00D717C4">
        <w:t xml:space="preserve">, </w:t>
      </w:r>
      <w:r w:rsidRPr="00D717C4">
        <w:rPr>
          <w:i/>
          <w:iCs/>
        </w:rPr>
        <w:t>10</w:t>
      </w:r>
      <w:r w:rsidRPr="00D717C4">
        <w:t>(4), 28-34.</w:t>
      </w:r>
    </w:p>
    <w:p w14:paraId="47D4932C" w14:textId="77777777" w:rsidR="00D717C4" w:rsidRPr="00D717C4" w:rsidRDefault="00D717C4" w:rsidP="00D717C4">
      <w:pPr>
        <w:pStyle w:val="ListParagraph"/>
        <w:numPr>
          <w:ilvl w:val="0"/>
          <w:numId w:val="14"/>
        </w:numPr>
        <w:spacing w:after="0" w:line="240" w:lineRule="auto"/>
      </w:pPr>
      <w:r w:rsidRPr="00D717C4">
        <w:t xml:space="preserve">Warsame, H. A., </w:t>
      </w:r>
      <w:proofErr w:type="spellStart"/>
      <w:r w:rsidRPr="00D717C4">
        <w:t>Theuri</w:t>
      </w:r>
      <w:proofErr w:type="spellEnd"/>
      <w:r w:rsidRPr="00D717C4">
        <w:t xml:space="preserve">, C., Abdullahi, N. M., Ahmed </w:t>
      </w:r>
      <w:proofErr w:type="spellStart"/>
      <w:r w:rsidRPr="00D717C4">
        <w:t>Keynan</w:t>
      </w:r>
      <w:proofErr w:type="spellEnd"/>
      <w:r w:rsidRPr="00D717C4">
        <w:t xml:space="preserve">, A. M., &amp; Ahmed, M. A. M. (2025). Prevalence and risk factors for neonatal jaundice: a </w:t>
      </w:r>
      <w:proofErr w:type="spellStart"/>
      <w:r w:rsidRPr="00D717C4">
        <w:t>multicentre</w:t>
      </w:r>
      <w:proofErr w:type="spellEnd"/>
      <w:r w:rsidRPr="00D717C4">
        <w:t xml:space="preserve"> analytical cross-sectional study at neonatal intensive care units, Mogadishu, Somalia. </w:t>
      </w:r>
      <w:r w:rsidRPr="00D717C4">
        <w:rPr>
          <w:i/>
          <w:iCs/>
        </w:rPr>
        <w:t>BMJ open</w:t>
      </w:r>
      <w:r w:rsidRPr="00D717C4">
        <w:t xml:space="preserve">, </w:t>
      </w:r>
      <w:r w:rsidRPr="00D717C4">
        <w:rPr>
          <w:i/>
          <w:iCs/>
        </w:rPr>
        <w:t>15</w:t>
      </w:r>
      <w:r w:rsidRPr="00D717C4">
        <w:t>(3), e096692. https://doi.org/10.1136/bmjopen-2024-096692</w:t>
      </w:r>
    </w:p>
    <w:p w14:paraId="411ED9B9" w14:textId="77777777" w:rsidR="00D717C4" w:rsidRPr="00D717C4" w:rsidRDefault="00D717C4" w:rsidP="00D717C4">
      <w:pPr>
        <w:pStyle w:val="ListParagraph"/>
        <w:numPr>
          <w:ilvl w:val="0"/>
          <w:numId w:val="14"/>
        </w:numPr>
        <w:spacing w:after="0" w:line="240" w:lineRule="auto"/>
      </w:pPr>
      <w:proofErr w:type="spellStart"/>
      <w:r w:rsidRPr="00D717C4">
        <w:t>Magai</w:t>
      </w:r>
      <w:proofErr w:type="spellEnd"/>
      <w:r w:rsidRPr="00D717C4">
        <w:t xml:space="preserve">, D. N., </w:t>
      </w:r>
      <w:proofErr w:type="spellStart"/>
      <w:r w:rsidRPr="00D717C4">
        <w:t>Mwaniki</w:t>
      </w:r>
      <w:proofErr w:type="spellEnd"/>
      <w:r w:rsidRPr="00D717C4">
        <w:t xml:space="preserve">, M., Abubakar, A., Mohammed, S., Gordon, A. L., Kalu, R., Mwangi, P., </w:t>
      </w:r>
      <w:proofErr w:type="spellStart"/>
      <w:r w:rsidRPr="00D717C4">
        <w:t>Koot</w:t>
      </w:r>
      <w:proofErr w:type="spellEnd"/>
      <w:r w:rsidRPr="00D717C4">
        <w:t xml:space="preserve">, H. M., &amp; Newton, C. R. (2020). Neonatal jaundice and developmental impairment among infants in Kilifi, Kenya. </w:t>
      </w:r>
      <w:r w:rsidRPr="00D717C4">
        <w:rPr>
          <w:i/>
          <w:iCs/>
        </w:rPr>
        <w:t>Child: care, health and development</w:t>
      </w:r>
      <w:r w:rsidRPr="00D717C4">
        <w:t xml:space="preserve">, </w:t>
      </w:r>
      <w:r w:rsidRPr="00D717C4">
        <w:rPr>
          <w:i/>
          <w:iCs/>
        </w:rPr>
        <w:t>46</w:t>
      </w:r>
      <w:r w:rsidRPr="00D717C4">
        <w:t>(3), 336–344. https://doi.org/10.1111/cch.12750</w:t>
      </w:r>
    </w:p>
    <w:p w14:paraId="579366C5" w14:textId="77777777" w:rsidR="00D717C4" w:rsidRPr="00D717C4" w:rsidRDefault="00D717C4" w:rsidP="00D717C4">
      <w:pPr>
        <w:pStyle w:val="ListParagraph"/>
        <w:numPr>
          <w:ilvl w:val="0"/>
          <w:numId w:val="14"/>
        </w:numPr>
        <w:spacing w:after="0" w:line="240" w:lineRule="auto"/>
      </w:pPr>
      <w:proofErr w:type="spellStart"/>
      <w:r w:rsidRPr="00D717C4">
        <w:t>Adugna</w:t>
      </w:r>
      <w:proofErr w:type="spellEnd"/>
      <w:r w:rsidRPr="00D717C4">
        <w:t xml:space="preserve">, A., &amp; Ado, D. (2023). Determinants of Jaundice Among Neonates Admitted to Neonatal Intensive Care Unit of </w:t>
      </w:r>
      <w:proofErr w:type="spellStart"/>
      <w:r w:rsidRPr="00D717C4">
        <w:t>Mizan</w:t>
      </w:r>
      <w:proofErr w:type="spellEnd"/>
      <w:r w:rsidRPr="00D717C4">
        <w:t xml:space="preserve"> </w:t>
      </w:r>
      <w:proofErr w:type="spellStart"/>
      <w:r w:rsidRPr="00D717C4">
        <w:t>Tepi</w:t>
      </w:r>
      <w:proofErr w:type="spellEnd"/>
      <w:r w:rsidRPr="00D717C4">
        <w:t xml:space="preserve"> University Teaching Hospital, Southwest Ethiopia, 2021: Unmatched Case Control Study. </w:t>
      </w:r>
      <w:r w:rsidRPr="00D717C4">
        <w:rPr>
          <w:i/>
          <w:iCs/>
        </w:rPr>
        <w:t>Global pediatric health</w:t>
      </w:r>
      <w:r w:rsidRPr="00D717C4">
        <w:t xml:space="preserve">, </w:t>
      </w:r>
      <w:r w:rsidRPr="00D717C4">
        <w:rPr>
          <w:i/>
          <w:iCs/>
        </w:rPr>
        <w:t>10</w:t>
      </w:r>
      <w:r w:rsidRPr="00D717C4">
        <w:t>, 2333794X231218193. https://doi.org/10.1177/2333794X231218193</w:t>
      </w:r>
    </w:p>
    <w:p w14:paraId="4CDA883B" w14:textId="77777777" w:rsidR="00D717C4" w:rsidRPr="00D717C4" w:rsidRDefault="00D717C4" w:rsidP="00D717C4">
      <w:pPr>
        <w:pStyle w:val="ListParagraph"/>
        <w:numPr>
          <w:ilvl w:val="0"/>
          <w:numId w:val="14"/>
        </w:numPr>
        <w:spacing w:after="0" w:line="240" w:lineRule="auto"/>
      </w:pPr>
      <w:proofErr w:type="spellStart"/>
      <w:r w:rsidRPr="00D717C4">
        <w:t>Mojtahedi</w:t>
      </w:r>
      <w:proofErr w:type="spellEnd"/>
      <w:r w:rsidRPr="00D717C4">
        <w:t xml:space="preserve">, S. Y., Izadi, A., </w:t>
      </w:r>
      <w:proofErr w:type="spellStart"/>
      <w:r w:rsidRPr="00D717C4">
        <w:t>Seirafi</w:t>
      </w:r>
      <w:proofErr w:type="spellEnd"/>
      <w:r w:rsidRPr="00D717C4">
        <w:t xml:space="preserve">, G., </w:t>
      </w:r>
      <w:proofErr w:type="spellStart"/>
      <w:r w:rsidRPr="00D717C4">
        <w:t>Khedmat</w:t>
      </w:r>
      <w:proofErr w:type="spellEnd"/>
      <w:r w:rsidRPr="00D717C4">
        <w:t xml:space="preserve">, L., &amp; </w:t>
      </w:r>
      <w:proofErr w:type="spellStart"/>
      <w:r w:rsidRPr="00D717C4">
        <w:t>Tavakolizadeh</w:t>
      </w:r>
      <w:proofErr w:type="spellEnd"/>
      <w:r w:rsidRPr="00D717C4">
        <w:t xml:space="preserve">, R. (2018). Risk Factors Associated with Neonatal Jaundice: A Cross-Sectional Study from Iran. </w:t>
      </w:r>
      <w:r w:rsidRPr="00D717C4">
        <w:rPr>
          <w:i/>
          <w:iCs/>
        </w:rPr>
        <w:t>Open access Macedonian journal of medical sciences</w:t>
      </w:r>
      <w:r w:rsidRPr="00D717C4">
        <w:t xml:space="preserve">, </w:t>
      </w:r>
      <w:r w:rsidRPr="00D717C4">
        <w:rPr>
          <w:i/>
          <w:iCs/>
        </w:rPr>
        <w:t>6</w:t>
      </w:r>
      <w:r w:rsidRPr="00D717C4">
        <w:t>(8), 1387–1393. https://doi.org/10.3889/oamjms.2018.319</w:t>
      </w:r>
    </w:p>
    <w:p w14:paraId="76A91227" w14:textId="77777777" w:rsidR="00D717C4" w:rsidRPr="00D717C4" w:rsidRDefault="00D717C4" w:rsidP="00D717C4">
      <w:pPr>
        <w:pStyle w:val="ListParagraph"/>
        <w:numPr>
          <w:ilvl w:val="0"/>
          <w:numId w:val="14"/>
        </w:numPr>
        <w:spacing w:after="0" w:line="240" w:lineRule="auto"/>
      </w:pPr>
      <w:proofErr w:type="spellStart"/>
      <w:r w:rsidRPr="00D717C4">
        <w:t>Abiha</w:t>
      </w:r>
      <w:proofErr w:type="spellEnd"/>
      <w:r w:rsidRPr="00D717C4">
        <w:t xml:space="preserve">, U., Banerjee, D. S., &amp; Mandal, S. (2023). Demystifying non-invasive approaches for screening jaundice in low resource settings: a review. </w:t>
      </w:r>
      <w:r w:rsidRPr="00D717C4">
        <w:rPr>
          <w:i/>
          <w:iCs/>
        </w:rPr>
        <w:t>Frontiers in pediatrics</w:t>
      </w:r>
      <w:r w:rsidRPr="00D717C4">
        <w:t xml:space="preserve">, </w:t>
      </w:r>
      <w:r w:rsidRPr="00D717C4">
        <w:rPr>
          <w:i/>
          <w:iCs/>
        </w:rPr>
        <w:t>11</w:t>
      </w:r>
      <w:r w:rsidRPr="00D717C4">
        <w:t>, 1292678. https://doi.org/10.3389/fped.2023.1292678</w:t>
      </w:r>
    </w:p>
    <w:p w14:paraId="4F2A5063" w14:textId="77777777" w:rsidR="005E4B55" w:rsidRPr="00D717C4" w:rsidRDefault="005E4B55" w:rsidP="00D717C4">
      <w:pPr>
        <w:shd w:val="clear" w:color="auto" w:fill="FFFFFF" w:themeFill="background1"/>
        <w:spacing w:after="0" w:line="240" w:lineRule="auto"/>
        <w:ind w:left="720" w:hanging="720"/>
      </w:pPr>
    </w:p>
    <w:sectPr w:rsidR="005E4B55" w:rsidRPr="00D717C4" w:rsidSect="00C16073">
      <w:headerReference w:type="even" r:id="rId10"/>
      <w:headerReference w:type="default" r:id="rId11"/>
      <w:footerReference w:type="even" r:id="rId12"/>
      <w:footerReference w:type="default" r:id="rId13"/>
      <w:headerReference w:type="first" r:id="rId14"/>
      <w:footerReference w:type="first" r:id="rId15"/>
      <w:pgSz w:w="12240" w:h="15840"/>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F655AE3" w14:textId="77777777" w:rsidR="00B51E3E" w:rsidRDefault="00B51E3E">
      <w:pPr>
        <w:spacing w:after="0" w:line="240" w:lineRule="auto"/>
      </w:pPr>
      <w:r>
        <w:separator/>
      </w:r>
    </w:p>
  </w:endnote>
  <w:endnote w:type="continuationSeparator" w:id="0">
    <w:p w14:paraId="52159B1E" w14:textId="77777777" w:rsidR="00B51E3E" w:rsidRDefault="00B51E3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6F57F12" w14:textId="77777777" w:rsidR="00C865CB" w:rsidRDefault="00C865C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870990878"/>
      <w:docPartObj>
        <w:docPartGallery w:val="Page Numbers (Bottom of Page)"/>
        <w:docPartUnique/>
      </w:docPartObj>
    </w:sdtPr>
    <w:sdtEndPr>
      <w:rPr>
        <w:noProof/>
      </w:rPr>
    </w:sdtEndPr>
    <w:sdtContent>
      <w:p w14:paraId="1EFEAFBC" w14:textId="77777777" w:rsidR="00204937" w:rsidRDefault="00066EF5">
        <w:pPr>
          <w:pStyle w:val="Footer"/>
          <w:jc w:val="center"/>
        </w:pPr>
        <w:r>
          <w:fldChar w:fldCharType="begin"/>
        </w:r>
        <w:r>
          <w:instrText xml:space="preserve"> PAGE   \* MERGEFORMAT </w:instrText>
        </w:r>
        <w:r>
          <w:fldChar w:fldCharType="separate"/>
        </w:r>
        <w:r>
          <w:rPr>
            <w:noProof/>
          </w:rPr>
          <w:t>i</w:t>
        </w:r>
        <w:r>
          <w:rPr>
            <w:noProof/>
          </w:rPr>
          <w:fldChar w:fldCharType="end"/>
        </w:r>
      </w:p>
    </w:sdtContent>
  </w:sdt>
  <w:p w14:paraId="2BA88C1A" w14:textId="77777777" w:rsidR="00204937" w:rsidRDefault="00204937" w:rsidP="002B02C3">
    <w:pPr>
      <w:pStyle w:val="Footer"/>
      <w:tabs>
        <w:tab w:val="clear" w:pos="4680"/>
        <w:tab w:val="clear" w:pos="9360"/>
        <w:tab w:val="left" w:pos="4114"/>
      </w:tab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6B9EACC" w14:textId="77777777" w:rsidR="00C865CB" w:rsidRDefault="00C865C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47F3DD0" w14:textId="77777777" w:rsidR="00B51E3E" w:rsidRDefault="00B51E3E">
      <w:pPr>
        <w:spacing w:after="0" w:line="240" w:lineRule="auto"/>
      </w:pPr>
      <w:r>
        <w:separator/>
      </w:r>
    </w:p>
  </w:footnote>
  <w:footnote w:type="continuationSeparator" w:id="0">
    <w:p w14:paraId="61B499ED" w14:textId="77777777" w:rsidR="00B51E3E" w:rsidRDefault="00B51E3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651555F" w14:textId="0A451C3A" w:rsidR="00C865CB" w:rsidRDefault="00B51E3E">
    <w:pPr>
      <w:pStyle w:val="Header"/>
    </w:pPr>
    <w:r>
      <w:rPr>
        <w:noProof/>
      </w:rPr>
      <w:pict w14:anchorId="695202D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73397032" o:spid="_x0000_s2050" type="#_x0000_t136" style="position:absolute;left:0;text-align:left;margin-left:0;margin-top:0;width:593.85pt;height:65.95pt;rotation:315;z-index:-251655168;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2347304" w14:textId="6883BC25" w:rsidR="00C865CB" w:rsidRDefault="00B51E3E">
    <w:pPr>
      <w:pStyle w:val="Header"/>
    </w:pPr>
    <w:r>
      <w:rPr>
        <w:noProof/>
      </w:rPr>
      <w:pict w14:anchorId="433F253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73397033" o:spid="_x0000_s2051" type="#_x0000_t136" style="position:absolute;left:0;text-align:left;margin-left:0;margin-top:0;width:593.85pt;height:65.95pt;rotation:315;z-index:-251653120;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3D95BBF" w14:textId="76630ACB" w:rsidR="00C865CB" w:rsidRDefault="00B51E3E">
    <w:pPr>
      <w:pStyle w:val="Header"/>
    </w:pPr>
    <w:r>
      <w:rPr>
        <w:noProof/>
      </w:rPr>
      <w:pict w14:anchorId="565E2FF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73397031" o:spid="_x0000_s2049" type="#_x0000_t136" style="position:absolute;left:0;text-align:left;margin-left:0;margin-top:0;width:593.85pt;height:65.95pt;rotation:315;z-index:-251657216;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2D101C"/>
    <w:multiLevelType w:val="multilevel"/>
    <w:tmpl w:val="5DBC92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C682EE3"/>
    <w:multiLevelType w:val="hybridMultilevel"/>
    <w:tmpl w:val="F60CBC5E"/>
    <w:lvl w:ilvl="0" w:tplc="3009000B">
      <w:start w:val="1"/>
      <w:numFmt w:val="bullet"/>
      <w:lvlText w:val=""/>
      <w:lvlJc w:val="left"/>
      <w:pPr>
        <w:ind w:left="720" w:hanging="360"/>
      </w:pPr>
      <w:rPr>
        <w:rFonts w:ascii="Wingdings" w:hAnsi="Wingdings" w:hint="default"/>
      </w:rPr>
    </w:lvl>
    <w:lvl w:ilvl="1" w:tplc="30090003" w:tentative="1">
      <w:start w:val="1"/>
      <w:numFmt w:val="bullet"/>
      <w:lvlText w:val="o"/>
      <w:lvlJc w:val="left"/>
      <w:pPr>
        <w:ind w:left="1440" w:hanging="360"/>
      </w:pPr>
      <w:rPr>
        <w:rFonts w:ascii="Courier New" w:hAnsi="Courier New" w:cs="Courier New" w:hint="default"/>
      </w:rPr>
    </w:lvl>
    <w:lvl w:ilvl="2" w:tplc="30090005" w:tentative="1">
      <w:start w:val="1"/>
      <w:numFmt w:val="bullet"/>
      <w:lvlText w:val=""/>
      <w:lvlJc w:val="left"/>
      <w:pPr>
        <w:ind w:left="2160" w:hanging="360"/>
      </w:pPr>
      <w:rPr>
        <w:rFonts w:ascii="Wingdings" w:hAnsi="Wingdings" w:hint="default"/>
      </w:rPr>
    </w:lvl>
    <w:lvl w:ilvl="3" w:tplc="30090001" w:tentative="1">
      <w:start w:val="1"/>
      <w:numFmt w:val="bullet"/>
      <w:lvlText w:val=""/>
      <w:lvlJc w:val="left"/>
      <w:pPr>
        <w:ind w:left="2880" w:hanging="360"/>
      </w:pPr>
      <w:rPr>
        <w:rFonts w:ascii="Symbol" w:hAnsi="Symbol" w:hint="default"/>
      </w:rPr>
    </w:lvl>
    <w:lvl w:ilvl="4" w:tplc="30090003" w:tentative="1">
      <w:start w:val="1"/>
      <w:numFmt w:val="bullet"/>
      <w:lvlText w:val="o"/>
      <w:lvlJc w:val="left"/>
      <w:pPr>
        <w:ind w:left="3600" w:hanging="360"/>
      </w:pPr>
      <w:rPr>
        <w:rFonts w:ascii="Courier New" w:hAnsi="Courier New" w:cs="Courier New" w:hint="default"/>
      </w:rPr>
    </w:lvl>
    <w:lvl w:ilvl="5" w:tplc="30090005" w:tentative="1">
      <w:start w:val="1"/>
      <w:numFmt w:val="bullet"/>
      <w:lvlText w:val=""/>
      <w:lvlJc w:val="left"/>
      <w:pPr>
        <w:ind w:left="4320" w:hanging="360"/>
      </w:pPr>
      <w:rPr>
        <w:rFonts w:ascii="Wingdings" w:hAnsi="Wingdings" w:hint="default"/>
      </w:rPr>
    </w:lvl>
    <w:lvl w:ilvl="6" w:tplc="30090001" w:tentative="1">
      <w:start w:val="1"/>
      <w:numFmt w:val="bullet"/>
      <w:lvlText w:val=""/>
      <w:lvlJc w:val="left"/>
      <w:pPr>
        <w:ind w:left="5040" w:hanging="360"/>
      </w:pPr>
      <w:rPr>
        <w:rFonts w:ascii="Symbol" w:hAnsi="Symbol" w:hint="default"/>
      </w:rPr>
    </w:lvl>
    <w:lvl w:ilvl="7" w:tplc="30090003" w:tentative="1">
      <w:start w:val="1"/>
      <w:numFmt w:val="bullet"/>
      <w:lvlText w:val="o"/>
      <w:lvlJc w:val="left"/>
      <w:pPr>
        <w:ind w:left="5760" w:hanging="360"/>
      </w:pPr>
      <w:rPr>
        <w:rFonts w:ascii="Courier New" w:hAnsi="Courier New" w:cs="Courier New" w:hint="default"/>
      </w:rPr>
    </w:lvl>
    <w:lvl w:ilvl="8" w:tplc="30090005" w:tentative="1">
      <w:start w:val="1"/>
      <w:numFmt w:val="bullet"/>
      <w:lvlText w:val=""/>
      <w:lvlJc w:val="left"/>
      <w:pPr>
        <w:ind w:left="6480" w:hanging="360"/>
      </w:pPr>
      <w:rPr>
        <w:rFonts w:ascii="Wingdings" w:hAnsi="Wingdings" w:hint="default"/>
      </w:rPr>
    </w:lvl>
  </w:abstractNum>
  <w:abstractNum w:abstractNumId="2" w15:restartNumberingAfterBreak="0">
    <w:nsid w:val="16835A7E"/>
    <w:multiLevelType w:val="multilevel"/>
    <w:tmpl w:val="0AC47E9E"/>
    <w:lvl w:ilvl="0">
      <w:start w:val="1"/>
      <w:numFmt w:val="decimal"/>
      <w:lvlText w:val="%1."/>
      <w:lvlJc w:val="left"/>
      <w:pPr>
        <w:ind w:left="720" w:hanging="360"/>
      </w:pPr>
    </w:lvl>
    <w:lvl w:ilvl="1">
      <w:start w:val="3"/>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 w15:restartNumberingAfterBreak="0">
    <w:nsid w:val="1B956590"/>
    <w:multiLevelType w:val="hybridMultilevel"/>
    <w:tmpl w:val="054EE456"/>
    <w:lvl w:ilvl="0" w:tplc="5BE24FC8">
      <w:start w:val="1"/>
      <w:numFmt w:val="bullet"/>
      <w:lvlText w:val=""/>
      <w:lvlJc w:val="left"/>
      <w:pPr>
        <w:ind w:left="441"/>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1" w:tplc="2BFA6BAE">
      <w:start w:val="1"/>
      <w:numFmt w:val="bullet"/>
      <w:lvlText w:val="o"/>
      <w:lvlJc w:val="left"/>
      <w:pPr>
        <w:ind w:left="2227"/>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2" w:tplc="53E04B72">
      <w:start w:val="1"/>
      <w:numFmt w:val="bullet"/>
      <w:lvlText w:val="▪"/>
      <w:lvlJc w:val="left"/>
      <w:pPr>
        <w:ind w:left="2947"/>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3" w:tplc="C3C87752">
      <w:start w:val="1"/>
      <w:numFmt w:val="bullet"/>
      <w:lvlText w:val="•"/>
      <w:lvlJc w:val="left"/>
      <w:pPr>
        <w:ind w:left="3667"/>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4" w:tplc="EBCA5C82">
      <w:start w:val="1"/>
      <w:numFmt w:val="bullet"/>
      <w:lvlText w:val="o"/>
      <w:lvlJc w:val="left"/>
      <w:pPr>
        <w:ind w:left="4387"/>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5" w:tplc="482655B4">
      <w:start w:val="1"/>
      <w:numFmt w:val="bullet"/>
      <w:lvlText w:val="▪"/>
      <w:lvlJc w:val="left"/>
      <w:pPr>
        <w:ind w:left="5107"/>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6" w:tplc="2C4A9B18">
      <w:start w:val="1"/>
      <w:numFmt w:val="bullet"/>
      <w:lvlText w:val="•"/>
      <w:lvlJc w:val="left"/>
      <w:pPr>
        <w:ind w:left="5827"/>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7" w:tplc="64BCEAB2">
      <w:start w:val="1"/>
      <w:numFmt w:val="bullet"/>
      <w:lvlText w:val="o"/>
      <w:lvlJc w:val="left"/>
      <w:pPr>
        <w:ind w:left="6547"/>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8" w:tplc="5DBC6166">
      <w:start w:val="1"/>
      <w:numFmt w:val="bullet"/>
      <w:lvlText w:val="▪"/>
      <w:lvlJc w:val="left"/>
      <w:pPr>
        <w:ind w:left="7267"/>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abstractNum>
  <w:abstractNum w:abstractNumId="4" w15:restartNumberingAfterBreak="0">
    <w:nsid w:val="1C692693"/>
    <w:multiLevelType w:val="hybridMultilevel"/>
    <w:tmpl w:val="438492C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E005F4B"/>
    <w:multiLevelType w:val="hybridMultilevel"/>
    <w:tmpl w:val="44D6242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7B85C3D"/>
    <w:multiLevelType w:val="hybridMultilevel"/>
    <w:tmpl w:val="B8DC3E94"/>
    <w:lvl w:ilvl="0" w:tplc="3880F546">
      <w:start w:val="1"/>
      <w:numFmt w:val="decimal"/>
      <w:lvlText w:val="%1."/>
      <w:lvlJc w:val="left"/>
      <w:pPr>
        <w:ind w:left="36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F9C45956">
      <w:start w:val="1"/>
      <w:numFmt w:val="bullet"/>
      <w:lvlText w:val="o"/>
      <w:lvlJc w:val="left"/>
      <w:pPr>
        <w:ind w:left="1144"/>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2" w:tplc="A5461E02">
      <w:start w:val="1"/>
      <w:numFmt w:val="bullet"/>
      <w:lvlText w:val="▪"/>
      <w:lvlJc w:val="left"/>
      <w:pPr>
        <w:ind w:left="1864"/>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3" w:tplc="AE68821A">
      <w:start w:val="1"/>
      <w:numFmt w:val="bullet"/>
      <w:lvlText w:val="•"/>
      <w:lvlJc w:val="left"/>
      <w:pPr>
        <w:ind w:left="2584"/>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4" w:tplc="B686CA4A">
      <w:start w:val="1"/>
      <w:numFmt w:val="bullet"/>
      <w:lvlText w:val="o"/>
      <w:lvlJc w:val="left"/>
      <w:pPr>
        <w:ind w:left="3304"/>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5" w:tplc="2CC25898">
      <w:start w:val="1"/>
      <w:numFmt w:val="bullet"/>
      <w:lvlText w:val="▪"/>
      <w:lvlJc w:val="left"/>
      <w:pPr>
        <w:ind w:left="4024"/>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6" w:tplc="4AC615C6">
      <w:start w:val="1"/>
      <w:numFmt w:val="bullet"/>
      <w:lvlText w:val="•"/>
      <w:lvlJc w:val="left"/>
      <w:pPr>
        <w:ind w:left="4744"/>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7" w:tplc="9CE6AB80">
      <w:start w:val="1"/>
      <w:numFmt w:val="bullet"/>
      <w:lvlText w:val="o"/>
      <w:lvlJc w:val="left"/>
      <w:pPr>
        <w:ind w:left="5464"/>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8" w:tplc="E3946518">
      <w:start w:val="1"/>
      <w:numFmt w:val="bullet"/>
      <w:lvlText w:val="▪"/>
      <w:lvlJc w:val="left"/>
      <w:pPr>
        <w:ind w:left="6184"/>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abstractNum>
  <w:abstractNum w:abstractNumId="7" w15:restartNumberingAfterBreak="0">
    <w:nsid w:val="3CF67059"/>
    <w:multiLevelType w:val="hybridMultilevel"/>
    <w:tmpl w:val="C2A61242"/>
    <w:lvl w:ilvl="0" w:tplc="F0CA0154">
      <w:start w:val="1"/>
      <w:numFmt w:val="decimal"/>
      <w:lvlText w:val="%1."/>
      <w:lvlJc w:val="left"/>
      <w:pPr>
        <w:ind w:left="73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63D2E414">
      <w:start w:val="1"/>
      <w:numFmt w:val="lowerLetter"/>
      <w:lvlText w:val="%2"/>
      <w:lvlJc w:val="left"/>
      <w:pPr>
        <w:ind w:left="108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927E7350">
      <w:start w:val="1"/>
      <w:numFmt w:val="lowerRoman"/>
      <w:lvlText w:val="%3"/>
      <w:lvlJc w:val="left"/>
      <w:pPr>
        <w:ind w:left="180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6766540C">
      <w:start w:val="1"/>
      <w:numFmt w:val="decimal"/>
      <w:lvlText w:val="%4"/>
      <w:lvlJc w:val="left"/>
      <w:pPr>
        <w:ind w:left="252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D2582450">
      <w:start w:val="1"/>
      <w:numFmt w:val="lowerLetter"/>
      <w:lvlText w:val="%5"/>
      <w:lvlJc w:val="left"/>
      <w:pPr>
        <w:ind w:left="324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83083450">
      <w:start w:val="1"/>
      <w:numFmt w:val="lowerRoman"/>
      <w:lvlText w:val="%6"/>
      <w:lvlJc w:val="left"/>
      <w:pPr>
        <w:ind w:left="396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2B0A9804">
      <w:start w:val="1"/>
      <w:numFmt w:val="decimal"/>
      <w:lvlText w:val="%7"/>
      <w:lvlJc w:val="left"/>
      <w:pPr>
        <w:ind w:left="468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578275F4">
      <w:start w:val="1"/>
      <w:numFmt w:val="lowerLetter"/>
      <w:lvlText w:val="%8"/>
      <w:lvlJc w:val="left"/>
      <w:pPr>
        <w:ind w:left="540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6B724D8C">
      <w:start w:val="1"/>
      <w:numFmt w:val="lowerRoman"/>
      <w:lvlText w:val="%9"/>
      <w:lvlJc w:val="left"/>
      <w:pPr>
        <w:ind w:left="612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8" w15:restartNumberingAfterBreak="0">
    <w:nsid w:val="42127078"/>
    <w:multiLevelType w:val="multilevel"/>
    <w:tmpl w:val="1776804C"/>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4EBE27D7"/>
    <w:multiLevelType w:val="hybridMultilevel"/>
    <w:tmpl w:val="5EF66604"/>
    <w:lvl w:ilvl="0" w:tplc="3AFC1FA8">
      <w:start w:val="5"/>
      <w:numFmt w:val="decimal"/>
      <w:lvlText w:val="%1."/>
      <w:lvlJc w:val="left"/>
      <w:pPr>
        <w:ind w:left="18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CB506F02">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25D2351E">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287A5B86">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96969662">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CBC27E6E">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AA82AFA4">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D0140EDC">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93406F3E">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0" w15:restartNumberingAfterBreak="0">
    <w:nsid w:val="5AE97535"/>
    <w:multiLevelType w:val="hybridMultilevel"/>
    <w:tmpl w:val="851E3D2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CEF146C"/>
    <w:multiLevelType w:val="hybridMultilevel"/>
    <w:tmpl w:val="5B3A281C"/>
    <w:lvl w:ilvl="0" w:tplc="3009000B">
      <w:start w:val="1"/>
      <w:numFmt w:val="bullet"/>
      <w:lvlText w:val=""/>
      <w:lvlJc w:val="left"/>
      <w:pPr>
        <w:ind w:left="724" w:hanging="360"/>
      </w:pPr>
      <w:rPr>
        <w:rFonts w:ascii="Wingdings" w:hAnsi="Wingdings" w:hint="default"/>
      </w:rPr>
    </w:lvl>
    <w:lvl w:ilvl="1" w:tplc="30090003" w:tentative="1">
      <w:start w:val="1"/>
      <w:numFmt w:val="bullet"/>
      <w:lvlText w:val="o"/>
      <w:lvlJc w:val="left"/>
      <w:pPr>
        <w:ind w:left="1444" w:hanging="360"/>
      </w:pPr>
      <w:rPr>
        <w:rFonts w:ascii="Courier New" w:hAnsi="Courier New" w:cs="Courier New" w:hint="default"/>
      </w:rPr>
    </w:lvl>
    <w:lvl w:ilvl="2" w:tplc="30090005" w:tentative="1">
      <w:start w:val="1"/>
      <w:numFmt w:val="bullet"/>
      <w:lvlText w:val=""/>
      <w:lvlJc w:val="left"/>
      <w:pPr>
        <w:ind w:left="2164" w:hanging="360"/>
      </w:pPr>
      <w:rPr>
        <w:rFonts w:ascii="Wingdings" w:hAnsi="Wingdings" w:hint="default"/>
      </w:rPr>
    </w:lvl>
    <w:lvl w:ilvl="3" w:tplc="30090001" w:tentative="1">
      <w:start w:val="1"/>
      <w:numFmt w:val="bullet"/>
      <w:lvlText w:val=""/>
      <w:lvlJc w:val="left"/>
      <w:pPr>
        <w:ind w:left="2884" w:hanging="360"/>
      </w:pPr>
      <w:rPr>
        <w:rFonts w:ascii="Symbol" w:hAnsi="Symbol" w:hint="default"/>
      </w:rPr>
    </w:lvl>
    <w:lvl w:ilvl="4" w:tplc="30090003" w:tentative="1">
      <w:start w:val="1"/>
      <w:numFmt w:val="bullet"/>
      <w:lvlText w:val="o"/>
      <w:lvlJc w:val="left"/>
      <w:pPr>
        <w:ind w:left="3604" w:hanging="360"/>
      </w:pPr>
      <w:rPr>
        <w:rFonts w:ascii="Courier New" w:hAnsi="Courier New" w:cs="Courier New" w:hint="default"/>
      </w:rPr>
    </w:lvl>
    <w:lvl w:ilvl="5" w:tplc="30090005" w:tentative="1">
      <w:start w:val="1"/>
      <w:numFmt w:val="bullet"/>
      <w:lvlText w:val=""/>
      <w:lvlJc w:val="left"/>
      <w:pPr>
        <w:ind w:left="4324" w:hanging="360"/>
      </w:pPr>
      <w:rPr>
        <w:rFonts w:ascii="Wingdings" w:hAnsi="Wingdings" w:hint="default"/>
      </w:rPr>
    </w:lvl>
    <w:lvl w:ilvl="6" w:tplc="30090001" w:tentative="1">
      <w:start w:val="1"/>
      <w:numFmt w:val="bullet"/>
      <w:lvlText w:val=""/>
      <w:lvlJc w:val="left"/>
      <w:pPr>
        <w:ind w:left="5044" w:hanging="360"/>
      </w:pPr>
      <w:rPr>
        <w:rFonts w:ascii="Symbol" w:hAnsi="Symbol" w:hint="default"/>
      </w:rPr>
    </w:lvl>
    <w:lvl w:ilvl="7" w:tplc="30090003" w:tentative="1">
      <w:start w:val="1"/>
      <w:numFmt w:val="bullet"/>
      <w:lvlText w:val="o"/>
      <w:lvlJc w:val="left"/>
      <w:pPr>
        <w:ind w:left="5764" w:hanging="360"/>
      </w:pPr>
      <w:rPr>
        <w:rFonts w:ascii="Courier New" w:hAnsi="Courier New" w:cs="Courier New" w:hint="default"/>
      </w:rPr>
    </w:lvl>
    <w:lvl w:ilvl="8" w:tplc="30090005" w:tentative="1">
      <w:start w:val="1"/>
      <w:numFmt w:val="bullet"/>
      <w:lvlText w:val=""/>
      <w:lvlJc w:val="left"/>
      <w:pPr>
        <w:ind w:left="6484" w:hanging="360"/>
      </w:pPr>
      <w:rPr>
        <w:rFonts w:ascii="Wingdings" w:hAnsi="Wingdings" w:hint="default"/>
      </w:rPr>
    </w:lvl>
  </w:abstractNum>
  <w:abstractNum w:abstractNumId="12" w15:restartNumberingAfterBreak="0">
    <w:nsid w:val="6C9E4282"/>
    <w:multiLevelType w:val="multilevel"/>
    <w:tmpl w:val="4F70EEDC"/>
    <w:lvl w:ilvl="0">
      <w:start w:val="4"/>
      <w:numFmt w:val="decimal"/>
      <w:lvlText w:val="%1"/>
      <w:lvlJc w:val="left"/>
      <w:pPr>
        <w:ind w:left="360" w:hanging="360"/>
      </w:pPr>
      <w:rPr>
        <w:rFonts w:hint="default"/>
      </w:rPr>
    </w:lvl>
    <w:lvl w:ilvl="1">
      <w:start w:val="4"/>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3" w15:restartNumberingAfterBreak="0">
    <w:nsid w:val="6E4F28FB"/>
    <w:multiLevelType w:val="hybridMultilevel"/>
    <w:tmpl w:val="BACA794C"/>
    <w:lvl w:ilvl="0" w:tplc="BF3AB66A">
      <w:start w:val="1"/>
      <w:numFmt w:val="decimal"/>
      <w:lvlText w:val="%1."/>
      <w:lvlJc w:val="left"/>
      <w:pPr>
        <w:ind w:left="55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A972E93C">
      <w:start w:val="1"/>
      <w:numFmt w:val="lowerLetter"/>
      <w:lvlText w:val="%2"/>
      <w:lvlJc w:val="left"/>
      <w:pPr>
        <w:ind w:left="144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46BCF9E6">
      <w:start w:val="1"/>
      <w:numFmt w:val="lowerRoman"/>
      <w:lvlText w:val="%3"/>
      <w:lvlJc w:val="left"/>
      <w:pPr>
        <w:ind w:left="216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7BC0EDB4">
      <w:start w:val="1"/>
      <w:numFmt w:val="decimal"/>
      <w:lvlText w:val="%4"/>
      <w:lvlJc w:val="left"/>
      <w:pPr>
        <w:ind w:left="288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A71A448E">
      <w:start w:val="1"/>
      <w:numFmt w:val="lowerLetter"/>
      <w:lvlText w:val="%5"/>
      <w:lvlJc w:val="left"/>
      <w:pPr>
        <w:ind w:left="360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861C6D5C">
      <w:start w:val="1"/>
      <w:numFmt w:val="lowerRoman"/>
      <w:lvlText w:val="%6"/>
      <w:lvlJc w:val="left"/>
      <w:pPr>
        <w:ind w:left="432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F288017C">
      <w:start w:val="1"/>
      <w:numFmt w:val="decimal"/>
      <w:lvlText w:val="%7"/>
      <w:lvlJc w:val="left"/>
      <w:pPr>
        <w:ind w:left="504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6E7C0DFC">
      <w:start w:val="1"/>
      <w:numFmt w:val="lowerLetter"/>
      <w:lvlText w:val="%8"/>
      <w:lvlJc w:val="left"/>
      <w:pPr>
        <w:ind w:left="576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EC10E412">
      <w:start w:val="1"/>
      <w:numFmt w:val="lowerRoman"/>
      <w:lvlText w:val="%9"/>
      <w:lvlJc w:val="left"/>
      <w:pPr>
        <w:ind w:left="648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4" w15:restartNumberingAfterBreak="0">
    <w:nsid w:val="7B48566D"/>
    <w:multiLevelType w:val="multilevel"/>
    <w:tmpl w:val="954E398C"/>
    <w:lvl w:ilvl="0">
      <w:start w:val="1"/>
      <w:numFmt w:val="decimal"/>
      <w:lvlText w:val="%1."/>
      <w:lvlJc w:val="left"/>
      <w:pPr>
        <w:ind w:left="720" w:hanging="360"/>
      </w:pPr>
    </w:lvl>
    <w:lvl w:ilvl="1">
      <w:start w:val="5"/>
      <w:numFmt w:val="decimal"/>
      <w:isLgl/>
      <w:lvlText w:val="%1.%2"/>
      <w:lvlJc w:val="left"/>
      <w:pPr>
        <w:ind w:left="36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abstractNumId w:val="9"/>
  </w:num>
  <w:num w:numId="2">
    <w:abstractNumId w:val="13"/>
  </w:num>
  <w:num w:numId="3">
    <w:abstractNumId w:val="7"/>
  </w:num>
  <w:num w:numId="4">
    <w:abstractNumId w:val="3"/>
  </w:num>
  <w:num w:numId="5">
    <w:abstractNumId w:val="6"/>
  </w:num>
  <w:num w:numId="6">
    <w:abstractNumId w:val="4"/>
  </w:num>
  <w:num w:numId="7">
    <w:abstractNumId w:val="14"/>
  </w:num>
  <w:num w:numId="8">
    <w:abstractNumId w:val="10"/>
  </w:num>
  <w:num w:numId="9">
    <w:abstractNumId w:val="8"/>
  </w:num>
  <w:num w:numId="10">
    <w:abstractNumId w:val="11"/>
  </w:num>
  <w:num w:numId="11">
    <w:abstractNumId w:val="1"/>
  </w:num>
  <w:num w:numId="12">
    <w:abstractNumId w:val="2"/>
  </w:num>
  <w:num w:numId="13">
    <w:abstractNumId w:val="12"/>
  </w:num>
  <w:num w:numId="14">
    <w:abstractNumId w:val="5"/>
  </w:num>
  <w:num w:numId="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xMLIwNjExNDYyNbGwtDBU0lEKTi0uzszPAykwrAUA2+AGhywAAAA="/>
  </w:docVars>
  <w:rsids>
    <w:rsidRoot w:val="0067656E"/>
    <w:rsid w:val="00031DDA"/>
    <w:rsid w:val="00060B71"/>
    <w:rsid w:val="00066EF5"/>
    <w:rsid w:val="000E5F4F"/>
    <w:rsid w:val="00204937"/>
    <w:rsid w:val="00230F57"/>
    <w:rsid w:val="002A0086"/>
    <w:rsid w:val="003E1814"/>
    <w:rsid w:val="003F6F37"/>
    <w:rsid w:val="005E4B55"/>
    <w:rsid w:val="005E513E"/>
    <w:rsid w:val="0067242B"/>
    <w:rsid w:val="0067656E"/>
    <w:rsid w:val="008A6FF9"/>
    <w:rsid w:val="00AB65DE"/>
    <w:rsid w:val="00B51E3E"/>
    <w:rsid w:val="00C865CB"/>
    <w:rsid w:val="00CD6895"/>
    <w:rsid w:val="00CF0EE0"/>
    <w:rsid w:val="00D717C4"/>
    <w:rsid w:val="00E0208A"/>
    <w:rsid w:val="00E52A58"/>
    <w:rsid w:val="00EF440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6617810B"/>
  <w15:chartTrackingRefBased/>
  <w15:docId w15:val="{8ED07FFA-25B5-49FC-B52E-D6DE923D23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7656E"/>
    <w:pPr>
      <w:spacing w:after="227"/>
      <w:ind w:left="4"/>
      <w:jc w:val="both"/>
    </w:pPr>
    <w:rPr>
      <w:rFonts w:ascii="Times New Roman" w:eastAsia="Times New Roman" w:hAnsi="Times New Roman" w:cs="Times New Roman"/>
      <w:color w:val="000000"/>
      <w:kern w:val="2"/>
      <w:sz w:val="24"/>
      <w:szCs w:val="24"/>
    </w:rPr>
  </w:style>
  <w:style w:type="paragraph" w:styleId="Heading1">
    <w:name w:val="heading 1"/>
    <w:basedOn w:val="Normal"/>
    <w:next w:val="Normal"/>
    <w:link w:val="Heading1Char"/>
    <w:uiPriority w:val="9"/>
    <w:qFormat/>
    <w:rsid w:val="0067656E"/>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unhideWhenUsed/>
    <w:qFormat/>
    <w:rsid w:val="0067656E"/>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67656E"/>
    <w:pPr>
      <w:keepNext/>
      <w:keepLines/>
      <w:spacing w:before="40" w:after="0"/>
      <w:outlineLvl w:val="2"/>
    </w:pPr>
    <w:rPr>
      <w:rFonts w:asciiTheme="majorHAnsi" w:eastAsiaTheme="majorEastAsia" w:hAnsiTheme="majorHAnsi" w:cstheme="majorBidi"/>
      <w:color w:val="1F3763" w:themeColor="accent1" w:themeShade="7F"/>
    </w:rPr>
  </w:style>
  <w:style w:type="paragraph" w:styleId="Heading4">
    <w:name w:val="heading 4"/>
    <w:basedOn w:val="Normal"/>
    <w:next w:val="Normal"/>
    <w:link w:val="Heading4Char"/>
    <w:uiPriority w:val="9"/>
    <w:unhideWhenUsed/>
    <w:qFormat/>
    <w:rsid w:val="0067656E"/>
    <w:pPr>
      <w:keepNext/>
      <w:keepLines/>
      <w:spacing w:before="40" w:after="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uiPriority w:val="9"/>
    <w:unhideWhenUsed/>
    <w:qFormat/>
    <w:rsid w:val="0067656E"/>
    <w:pPr>
      <w:keepNext/>
      <w:keepLines/>
      <w:spacing w:before="40" w:after="0"/>
      <w:outlineLvl w:val="4"/>
    </w:pPr>
    <w:rPr>
      <w:rFonts w:asciiTheme="majorHAnsi" w:eastAsiaTheme="majorEastAsia" w:hAnsiTheme="majorHAnsi" w:cstheme="majorBidi"/>
      <w:color w:val="2F5496" w:themeColor="accent1" w:themeShade="BF"/>
    </w:rPr>
  </w:style>
  <w:style w:type="paragraph" w:styleId="Heading6">
    <w:name w:val="heading 6"/>
    <w:basedOn w:val="Normal"/>
    <w:next w:val="Normal"/>
    <w:link w:val="Heading6Char"/>
    <w:uiPriority w:val="9"/>
    <w:unhideWhenUsed/>
    <w:qFormat/>
    <w:rsid w:val="0067656E"/>
    <w:pPr>
      <w:keepNext/>
      <w:keepLines/>
      <w:spacing w:before="40" w:after="0"/>
      <w:outlineLvl w:val="5"/>
    </w:pPr>
    <w:rPr>
      <w:rFonts w:asciiTheme="majorHAnsi" w:eastAsiaTheme="majorEastAsia" w:hAnsiTheme="majorHAnsi" w:cstheme="majorBidi"/>
      <w:color w:val="1F3763" w:themeColor="accent1" w:themeShade="7F"/>
    </w:rPr>
  </w:style>
  <w:style w:type="paragraph" w:styleId="Heading7">
    <w:name w:val="heading 7"/>
    <w:next w:val="Normal"/>
    <w:link w:val="Heading7Char"/>
    <w:uiPriority w:val="9"/>
    <w:unhideWhenUsed/>
    <w:qFormat/>
    <w:rsid w:val="0067656E"/>
    <w:pPr>
      <w:keepNext/>
      <w:keepLines/>
      <w:spacing w:after="316" w:line="266" w:lineRule="auto"/>
      <w:ind w:left="19" w:hanging="10"/>
      <w:outlineLvl w:val="6"/>
    </w:pPr>
    <w:rPr>
      <w:rFonts w:ascii="Times New Roman" w:eastAsia="Times New Roman" w:hAnsi="Times New Roman" w:cs="Times New Roman"/>
      <w:b/>
      <w:color w:val="000000"/>
      <w:kern w:val="2"/>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7656E"/>
    <w:rPr>
      <w:rFonts w:asciiTheme="majorHAnsi" w:eastAsiaTheme="majorEastAsia" w:hAnsiTheme="majorHAnsi" w:cstheme="majorBidi"/>
      <w:color w:val="2F5496" w:themeColor="accent1" w:themeShade="BF"/>
      <w:kern w:val="2"/>
      <w:sz w:val="40"/>
      <w:szCs w:val="40"/>
    </w:rPr>
  </w:style>
  <w:style w:type="character" w:customStyle="1" w:styleId="Heading2Char">
    <w:name w:val="Heading 2 Char"/>
    <w:basedOn w:val="DefaultParagraphFont"/>
    <w:link w:val="Heading2"/>
    <w:uiPriority w:val="9"/>
    <w:rsid w:val="0067656E"/>
    <w:rPr>
      <w:rFonts w:asciiTheme="majorHAnsi" w:eastAsiaTheme="majorEastAsia" w:hAnsiTheme="majorHAnsi" w:cstheme="majorBidi"/>
      <w:color w:val="2F5496" w:themeColor="accent1" w:themeShade="BF"/>
      <w:kern w:val="2"/>
      <w:sz w:val="26"/>
      <w:szCs w:val="26"/>
    </w:rPr>
  </w:style>
  <w:style w:type="character" w:customStyle="1" w:styleId="Heading3Char">
    <w:name w:val="Heading 3 Char"/>
    <w:basedOn w:val="DefaultParagraphFont"/>
    <w:link w:val="Heading3"/>
    <w:uiPriority w:val="9"/>
    <w:rsid w:val="0067656E"/>
    <w:rPr>
      <w:rFonts w:asciiTheme="majorHAnsi" w:eastAsiaTheme="majorEastAsia" w:hAnsiTheme="majorHAnsi" w:cstheme="majorBidi"/>
      <w:color w:val="1F3763" w:themeColor="accent1" w:themeShade="7F"/>
      <w:kern w:val="2"/>
      <w:sz w:val="24"/>
      <w:szCs w:val="24"/>
    </w:rPr>
  </w:style>
  <w:style w:type="character" w:customStyle="1" w:styleId="Heading4Char">
    <w:name w:val="Heading 4 Char"/>
    <w:basedOn w:val="DefaultParagraphFont"/>
    <w:link w:val="Heading4"/>
    <w:uiPriority w:val="9"/>
    <w:rsid w:val="0067656E"/>
    <w:rPr>
      <w:rFonts w:asciiTheme="majorHAnsi" w:eastAsiaTheme="majorEastAsia" w:hAnsiTheme="majorHAnsi" w:cstheme="majorBidi"/>
      <w:i/>
      <w:iCs/>
      <w:color w:val="2F5496" w:themeColor="accent1" w:themeShade="BF"/>
      <w:kern w:val="2"/>
      <w:sz w:val="24"/>
      <w:szCs w:val="24"/>
    </w:rPr>
  </w:style>
  <w:style w:type="character" w:customStyle="1" w:styleId="Heading5Char">
    <w:name w:val="Heading 5 Char"/>
    <w:basedOn w:val="DefaultParagraphFont"/>
    <w:link w:val="Heading5"/>
    <w:uiPriority w:val="9"/>
    <w:rsid w:val="0067656E"/>
    <w:rPr>
      <w:rFonts w:asciiTheme="majorHAnsi" w:eastAsiaTheme="majorEastAsia" w:hAnsiTheme="majorHAnsi" w:cstheme="majorBidi"/>
      <w:color w:val="2F5496" w:themeColor="accent1" w:themeShade="BF"/>
      <w:kern w:val="2"/>
      <w:sz w:val="24"/>
      <w:szCs w:val="24"/>
    </w:rPr>
  </w:style>
  <w:style w:type="character" w:customStyle="1" w:styleId="Heading6Char">
    <w:name w:val="Heading 6 Char"/>
    <w:basedOn w:val="DefaultParagraphFont"/>
    <w:link w:val="Heading6"/>
    <w:uiPriority w:val="9"/>
    <w:rsid w:val="0067656E"/>
    <w:rPr>
      <w:rFonts w:asciiTheme="majorHAnsi" w:eastAsiaTheme="majorEastAsia" w:hAnsiTheme="majorHAnsi" w:cstheme="majorBidi"/>
      <w:color w:val="1F3763" w:themeColor="accent1" w:themeShade="7F"/>
      <w:kern w:val="2"/>
      <w:sz w:val="24"/>
      <w:szCs w:val="24"/>
    </w:rPr>
  </w:style>
  <w:style w:type="character" w:customStyle="1" w:styleId="Heading7Char">
    <w:name w:val="Heading 7 Char"/>
    <w:basedOn w:val="DefaultParagraphFont"/>
    <w:link w:val="Heading7"/>
    <w:uiPriority w:val="9"/>
    <w:rsid w:val="0067656E"/>
    <w:rPr>
      <w:rFonts w:ascii="Times New Roman" w:eastAsia="Times New Roman" w:hAnsi="Times New Roman" w:cs="Times New Roman"/>
      <w:b/>
      <w:color w:val="000000"/>
      <w:kern w:val="2"/>
      <w:sz w:val="24"/>
      <w:szCs w:val="24"/>
    </w:rPr>
  </w:style>
  <w:style w:type="paragraph" w:styleId="Footer">
    <w:name w:val="footer"/>
    <w:basedOn w:val="Normal"/>
    <w:link w:val="FooterChar"/>
    <w:uiPriority w:val="99"/>
    <w:unhideWhenUsed/>
    <w:rsid w:val="0067656E"/>
    <w:pPr>
      <w:tabs>
        <w:tab w:val="center" w:pos="4680"/>
        <w:tab w:val="right" w:pos="9360"/>
      </w:tabs>
      <w:spacing w:after="0" w:line="240" w:lineRule="auto"/>
    </w:pPr>
  </w:style>
  <w:style w:type="character" w:customStyle="1" w:styleId="FooterChar">
    <w:name w:val="Footer Char"/>
    <w:basedOn w:val="DefaultParagraphFont"/>
    <w:link w:val="Footer"/>
    <w:uiPriority w:val="99"/>
    <w:rsid w:val="0067656E"/>
    <w:rPr>
      <w:rFonts w:ascii="Times New Roman" w:eastAsia="Times New Roman" w:hAnsi="Times New Roman" w:cs="Times New Roman"/>
      <w:color w:val="000000"/>
      <w:kern w:val="2"/>
      <w:sz w:val="24"/>
      <w:szCs w:val="24"/>
    </w:rPr>
  </w:style>
  <w:style w:type="table" w:customStyle="1" w:styleId="TableGrid">
    <w:name w:val="TableGrid"/>
    <w:rsid w:val="0067656E"/>
    <w:pPr>
      <w:spacing w:after="0" w:line="240" w:lineRule="auto"/>
    </w:pPr>
    <w:rPr>
      <w:rFonts w:eastAsiaTheme="minorEastAsia"/>
      <w:kern w:val="2"/>
      <w:sz w:val="24"/>
      <w:szCs w:val="24"/>
    </w:rPr>
    <w:tblPr>
      <w:tblCellMar>
        <w:top w:w="0" w:type="dxa"/>
        <w:left w:w="0" w:type="dxa"/>
        <w:bottom w:w="0" w:type="dxa"/>
        <w:right w:w="0" w:type="dxa"/>
      </w:tblCellMar>
    </w:tblPr>
  </w:style>
  <w:style w:type="paragraph" w:styleId="ListParagraph">
    <w:name w:val="List Paragraph"/>
    <w:basedOn w:val="Normal"/>
    <w:uiPriority w:val="34"/>
    <w:qFormat/>
    <w:rsid w:val="0067656E"/>
    <w:pPr>
      <w:ind w:left="720"/>
      <w:contextualSpacing/>
    </w:pPr>
  </w:style>
  <w:style w:type="character" w:styleId="Hyperlink">
    <w:name w:val="Hyperlink"/>
    <w:basedOn w:val="DefaultParagraphFont"/>
    <w:uiPriority w:val="99"/>
    <w:unhideWhenUsed/>
    <w:rsid w:val="0067656E"/>
    <w:rPr>
      <w:color w:val="0563C1" w:themeColor="hyperlink"/>
      <w:u w:val="single"/>
    </w:rPr>
  </w:style>
  <w:style w:type="character" w:customStyle="1" w:styleId="UnresolvedMention1">
    <w:name w:val="Unresolved Mention1"/>
    <w:basedOn w:val="DefaultParagraphFont"/>
    <w:uiPriority w:val="99"/>
    <w:semiHidden/>
    <w:unhideWhenUsed/>
    <w:rsid w:val="0067656E"/>
    <w:rPr>
      <w:color w:val="605E5C"/>
      <w:shd w:val="clear" w:color="auto" w:fill="E1DFDD"/>
    </w:rPr>
  </w:style>
  <w:style w:type="paragraph" w:styleId="BalloonText">
    <w:name w:val="Balloon Text"/>
    <w:basedOn w:val="Normal"/>
    <w:link w:val="BalloonTextChar"/>
    <w:uiPriority w:val="99"/>
    <w:semiHidden/>
    <w:unhideWhenUsed/>
    <w:rsid w:val="0067656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7656E"/>
    <w:rPr>
      <w:rFonts w:ascii="Tahoma" w:eastAsia="Times New Roman" w:hAnsi="Tahoma" w:cs="Tahoma"/>
      <w:color w:val="000000"/>
      <w:kern w:val="2"/>
      <w:sz w:val="16"/>
      <w:szCs w:val="16"/>
    </w:rPr>
  </w:style>
  <w:style w:type="character" w:styleId="CommentReference">
    <w:name w:val="annotation reference"/>
    <w:basedOn w:val="DefaultParagraphFont"/>
    <w:uiPriority w:val="99"/>
    <w:semiHidden/>
    <w:unhideWhenUsed/>
    <w:rsid w:val="0067656E"/>
    <w:rPr>
      <w:sz w:val="16"/>
      <w:szCs w:val="16"/>
    </w:rPr>
  </w:style>
  <w:style w:type="paragraph" w:styleId="CommentText">
    <w:name w:val="annotation text"/>
    <w:basedOn w:val="Normal"/>
    <w:link w:val="CommentTextChar"/>
    <w:uiPriority w:val="99"/>
    <w:semiHidden/>
    <w:unhideWhenUsed/>
    <w:rsid w:val="0067656E"/>
    <w:pPr>
      <w:spacing w:line="240" w:lineRule="auto"/>
    </w:pPr>
    <w:rPr>
      <w:sz w:val="20"/>
      <w:szCs w:val="20"/>
    </w:rPr>
  </w:style>
  <w:style w:type="character" w:customStyle="1" w:styleId="CommentTextChar">
    <w:name w:val="Comment Text Char"/>
    <w:basedOn w:val="DefaultParagraphFont"/>
    <w:link w:val="CommentText"/>
    <w:uiPriority w:val="99"/>
    <w:semiHidden/>
    <w:rsid w:val="0067656E"/>
    <w:rPr>
      <w:rFonts w:ascii="Times New Roman" w:eastAsia="Times New Roman" w:hAnsi="Times New Roman" w:cs="Times New Roman"/>
      <w:color w:val="000000"/>
      <w:kern w:val="2"/>
      <w:sz w:val="20"/>
      <w:szCs w:val="20"/>
    </w:rPr>
  </w:style>
  <w:style w:type="paragraph" w:styleId="CommentSubject">
    <w:name w:val="annotation subject"/>
    <w:basedOn w:val="CommentText"/>
    <w:next w:val="CommentText"/>
    <w:link w:val="CommentSubjectChar"/>
    <w:uiPriority w:val="99"/>
    <w:semiHidden/>
    <w:unhideWhenUsed/>
    <w:rsid w:val="0067656E"/>
    <w:rPr>
      <w:b/>
      <w:bCs/>
    </w:rPr>
  </w:style>
  <w:style w:type="character" w:customStyle="1" w:styleId="CommentSubjectChar">
    <w:name w:val="Comment Subject Char"/>
    <w:basedOn w:val="CommentTextChar"/>
    <w:link w:val="CommentSubject"/>
    <w:uiPriority w:val="99"/>
    <w:semiHidden/>
    <w:rsid w:val="0067656E"/>
    <w:rPr>
      <w:rFonts w:ascii="Times New Roman" w:eastAsia="Times New Roman" w:hAnsi="Times New Roman" w:cs="Times New Roman"/>
      <w:b/>
      <w:bCs/>
      <w:color w:val="000000"/>
      <w:kern w:val="2"/>
      <w:sz w:val="20"/>
      <w:szCs w:val="20"/>
    </w:rPr>
  </w:style>
  <w:style w:type="character" w:styleId="PlaceholderText">
    <w:name w:val="Placeholder Text"/>
    <w:basedOn w:val="DefaultParagraphFont"/>
    <w:uiPriority w:val="99"/>
    <w:semiHidden/>
    <w:rsid w:val="0067656E"/>
    <w:rPr>
      <w:color w:val="666666"/>
    </w:rPr>
  </w:style>
  <w:style w:type="paragraph" w:styleId="Header">
    <w:name w:val="header"/>
    <w:basedOn w:val="Normal"/>
    <w:link w:val="HeaderChar"/>
    <w:uiPriority w:val="99"/>
    <w:unhideWhenUsed/>
    <w:rsid w:val="0067656E"/>
    <w:pPr>
      <w:tabs>
        <w:tab w:val="center" w:pos="4513"/>
        <w:tab w:val="right" w:pos="9026"/>
      </w:tabs>
      <w:spacing w:after="0" w:line="240" w:lineRule="auto"/>
    </w:pPr>
  </w:style>
  <w:style w:type="character" w:customStyle="1" w:styleId="HeaderChar">
    <w:name w:val="Header Char"/>
    <w:basedOn w:val="DefaultParagraphFont"/>
    <w:link w:val="Header"/>
    <w:uiPriority w:val="99"/>
    <w:rsid w:val="0067656E"/>
    <w:rPr>
      <w:rFonts w:ascii="Times New Roman" w:eastAsia="Times New Roman" w:hAnsi="Times New Roman" w:cs="Times New Roman"/>
      <w:color w:val="000000"/>
      <w:kern w:val="2"/>
      <w:sz w:val="24"/>
      <w:szCs w:val="24"/>
    </w:rPr>
  </w:style>
  <w:style w:type="paragraph" w:styleId="TOCHeading">
    <w:name w:val="TOC Heading"/>
    <w:basedOn w:val="Heading1"/>
    <w:next w:val="Normal"/>
    <w:uiPriority w:val="39"/>
    <w:unhideWhenUsed/>
    <w:qFormat/>
    <w:rsid w:val="0067656E"/>
    <w:pPr>
      <w:spacing w:before="240" w:after="0"/>
      <w:ind w:left="0"/>
      <w:jc w:val="left"/>
      <w:outlineLvl w:val="9"/>
    </w:pPr>
    <w:rPr>
      <w:kern w:val="0"/>
      <w:sz w:val="32"/>
      <w:szCs w:val="32"/>
    </w:rPr>
  </w:style>
  <w:style w:type="paragraph" w:styleId="TOC1">
    <w:name w:val="toc 1"/>
    <w:basedOn w:val="Normal"/>
    <w:next w:val="Normal"/>
    <w:autoRedefine/>
    <w:uiPriority w:val="39"/>
    <w:unhideWhenUsed/>
    <w:rsid w:val="0067656E"/>
    <w:pPr>
      <w:spacing w:after="100"/>
      <w:ind w:left="0"/>
    </w:pPr>
  </w:style>
  <w:style w:type="paragraph" w:styleId="TOC2">
    <w:name w:val="toc 2"/>
    <w:basedOn w:val="Normal"/>
    <w:next w:val="Normal"/>
    <w:autoRedefine/>
    <w:uiPriority w:val="39"/>
    <w:unhideWhenUsed/>
    <w:rsid w:val="0067656E"/>
    <w:pPr>
      <w:spacing w:after="100"/>
      <w:ind w:left="240"/>
    </w:pPr>
  </w:style>
  <w:style w:type="paragraph" w:styleId="TOC3">
    <w:name w:val="toc 3"/>
    <w:basedOn w:val="Normal"/>
    <w:next w:val="Normal"/>
    <w:autoRedefine/>
    <w:uiPriority w:val="39"/>
    <w:unhideWhenUsed/>
    <w:rsid w:val="0067656E"/>
    <w:pPr>
      <w:spacing w:after="100"/>
      <w:ind w:left="480"/>
    </w:pPr>
  </w:style>
  <w:style w:type="paragraph" w:customStyle="1" w:styleId="nova-legacy-e-listitem">
    <w:name w:val="nova-legacy-e-list__item"/>
    <w:basedOn w:val="Normal"/>
    <w:rsid w:val="00066EF5"/>
    <w:pPr>
      <w:spacing w:before="100" w:beforeAutospacing="1" w:after="100" w:afterAutospacing="1" w:line="240" w:lineRule="auto"/>
      <w:ind w:left="0"/>
      <w:jc w:val="left"/>
    </w:pPr>
    <w:rPr>
      <w:color w:val="auto"/>
      <w:kern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36801863">
      <w:bodyDiv w:val="1"/>
      <w:marLeft w:val="0"/>
      <w:marRight w:val="0"/>
      <w:marTop w:val="0"/>
      <w:marBottom w:val="0"/>
      <w:divBdr>
        <w:top w:val="none" w:sz="0" w:space="0" w:color="auto"/>
        <w:left w:val="none" w:sz="0" w:space="0" w:color="auto"/>
        <w:bottom w:val="none" w:sz="0" w:space="0" w:color="auto"/>
        <w:right w:val="none" w:sz="0" w:space="0" w:color="auto"/>
      </w:divBdr>
      <w:divsChild>
        <w:div w:id="1138449756">
          <w:marLeft w:val="0"/>
          <w:marRight w:val="0"/>
          <w:marTop w:val="0"/>
          <w:marBottom w:val="0"/>
          <w:divBdr>
            <w:top w:val="none" w:sz="0" w:space="0" w:color="auto"/>
            <w:left w:val="none" w:sz="0" w:space="0" w:color="auto"/>
            <w:bottom w:val="none" w:sz="0" w:space="0" w:color="auto"/>
            <w:right w:val="none" w:sz="0" w:space="0" w:color="auto"/>
          </w:divBdr>
          <w:divsChild>
            <w:div w:id="1648433742">
              <w:marLeft w:val="0"/>
              <w:marRight w:val="0"/>
              <w:marTop w:val="0"/>
              <w:marBottom w:val="0"/>
              <w:divBdr>
                <w:top w:val="none" w:sz="0" w:space="0" w:color="auto"/>
                <w:left w:val="none" w:sz="0" w:space="0" w:color="auto"/>
                <w:bottom w:val="none" w:sz="0" w:space="0" w:color="auto"/>
                <w:right w:val="none" w:sz="0" w:space="0" w:color="auto"/>
              </w:divBdr>
              <w:divsChild>
                <w:div w:id="13807134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chart" Target="charts/chart1.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doi.org/10.1016/j.molmed.2023.01.007" TargetMode="External"/><Relationship Id="rId14" Type="http://schemas.openxmlformats.org/officeDocument/2006/relationships/header" Target="header3.xml"/></Relationships>
</file>

<file path=word/charts/_rels/chart1.xml.rels><?xml version="1.0" encoding="UTF-8" standalone="yes"?>
<Relationships xmlns="http://schemas.openxmlformats.org/package/2006/relationships"><Relationship Id="rId1" Type="http://schemas.openxmlformats.org/officeDocument/2006/relationships/oleObject" Target="Book1"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overlay val="0"/>
      <c:spPr>
        <a:noFill/>
        <a:ln>
          <a:noFill/>
        </a:ln>
        <a:effectLst/>
      </c:spPr>
      <c:txPr>
        <a:bodyPr rot="0" spcFirstLastPara="1" vertOverflow="ellipsis" vert="horz" wrap="square" anchor="ctr" anchorCtr="1"/>
        <a:lstStyle/>
        <a:p>
          <a:pPr>
            <a:defRPr sz="1600" b="1" i="0" u="none" strike="noStrike" kern="1200" spc="100" baseline="0">
              <a:solidFill>
                <a:schemeClr val="lt1">
                  <a:lumMod val="95000"/>
                </a:schemeClr>
              </a:solidFill>
              <a:effectLst>
                <a:outerShdw blurRad="50800" dist="38100" dir="5400000" algn="t" rotWithShape="0">
                  <a:prstClr val="black">
                    <a:alpha val="40000"/>
                  </a:prstClr>
                </a:outerShdw>
              </a:effectLst>
              <a:latin typeface="+mn-lt"/>
              <a:ea typeface="+mn-ea"/>
              <a:cs typeface="+mn-cs"/>
            </a:defRPr>
          </a:pPr>
          <a:endParaRPr lang="en-US"/>
        </a:p>
      </c:txPr>
    </c:title>
    <c:autoTitleDeleted val="0"/>
    <c:view3D>
      <c:rotX val="30"/>
      <c:rotY val="0"/>
      <c:depthPercent val="100"/>
      <c:rAngAx val="0"/>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pie3DChart>
        <c:varyColors val="1"/>
        <c:ser>
          <c:idx val="0"/>
          <c:order val="0"/>
          <c:tx>
            <c:strRef>
              <c:f>Sheet1!$E$3</c:f>
              <c:strCache>
                <c:ptCount val="1"/>
                <c:pt idx="0">
                  <c:v>NNJ Cases</c:v>
                </c:pt>
              </c:strCache>
            </c:strRef>
          </c:tx>
          <c:explosion val="6"/>
          <c:dPt>
            <c:idx val="0"/>
            <c:bubble3D val="0"/>
            <c:spPr>
              <a:gradFill rotWithShape="1">
                <a:gsLst>
                  <a:gs pos="0">
                    <a:schemeClr val="accent1">
                      <a:satMod val="103000"/>
                      <a:lumMod val="102000"/>
                      <a:tint val="94000"/>
                    </a:schemeClr>
                  </a:gs>
                  <a:gs pos="50000">
                    <a:schemeClr val="accent1">
                      <a:satMod val="110000"/>
                      <a:lumMod val="100000"/>
                      <a:shade val="100000"/>
                    </a:schemeClr>
                  </a:gs>
                  <a:gs pos="100000">
                    <a:schemeClr val="accent1">
                      <a:lumMod val="99000"/>
                      <a:satMod val="120000"/>
                      <a:shade val="78000"/>
                    </a:schemeClr>
                  </a:gs>
                </a:gsLst>
                <a:lin ang="5400000" scaled="0"/>
              </a:gradFill>
              <a:ln>
                <a:noFill/>
              </a:ln>
              <a:effectLst>
                <a:outerShdw blurRad="57150" dist="19050" dir="5400000" algn="ctr" rotWithShape="0">
                  <a:srgbClr val="000000">
                    <a:alpha val="63000"/>
                  </a:srgbClr>
                </a:outerShdw>
              </a:effectLst>
              <a:sp3d/>
            </c:spPr>
            <c:extLst>
              <c:ext xmlns:c16="http://schemas.microsoft.com/office/drawing/2014/chart" uri="{C3380CC4-5D6E-409C-BE32-E72D297353CC}">
                <c16:uniqueId val="{00000001-FF05-476E-BF73-9348677F9884}"/>
              </c:ext>
            </c:extLst>
          </c:dPt>
          <c:dPt>
            <c:idx val="1"/>
            <c:bubble3D val="0"/>
            <c:spPr>
              <a:gradFill rotWithShape="1">
                <a:gsLst>
                  <a:gs pos="0">
                    <a:schemeClr val="accent2">
                      <a:satMod val="103000"/>
                      <a:lumMod val="102000"/>
                      <a:tint val="94000"/>
                    </a:schemeClr>
                  </a:gs>
                  <a:gs pos="50000">
                    <a:schemeClr val="accent2">
                      <a:satMod val="110000"/>
                      <a:lumMod val="100000"/>
                      <a:shade val="100000"/>
                    </a:schemeClr>
                  </a:gs>
                  <a:gs pos="100000">
                    <a:schemeClr val="accent2">
                      <a:lumMod val="99000"/>
                      <a:satMod val="120000"/>
                      <a:shade val="78000"/>
                    </a:schemeClr>
                  </a:gs>
                </a:gsLst>
                <a:lin ang="5400000" scaled="0"/>
              </a:gradFill>
              <a:ln>
                <a:noFill/>
              </a:ln>
              <a:effectLst>
                <a:outerShdw blurRad="57150" dist="19050" dir="5400000" algn="ctr" rotWithShape="0">
                  <a:srgbClr val="000000">
                    <a:alpha val="63000"/>
                  </a:srgbClr>
                </a:outerShdw>
              </a:effectLst>
              <a:sp3d/>
            </c:spPr>
            <c:extLst>
              <c:ext xmlns:c16="http://schemas.microsoft.com/office/drawing/2014/chart" uri="{C3380CC4-5D6E-409C-BE32-E72D297353CC}">
                <c16:uniqueId val="{00000003-FF05-476E-BF73-9348677F9884}"/>
              </c:ext>
            </c:extLst>
          </c:dPt>
          <c:dLbls>
            <c:dLbl>
              <c:idx val="0"/>
              <c:tx>
                <c:rich>
                  <a:bodyPr/>
                  <a:lstStyle/>
                  <a:p>
                    <a:fld id="{89288017-D645-45C7-9B7F-CFF3BDA81D47}" type="VALUE">
                      <a:rPr lang="en-US"/>
                      <a:pPr/>
                      <a:t>[VALUE]</a:t>
                    </a:fld>
                    <a:endParaRPr lang="en-US"/>
                  </a:p>
                </c:rich>
              </c:tx>
              <c:dLblPos val="inEnd"/>
              <c:showLegendKey val="0"/>
              <c:showVal val="0"/>
              <c:showCatName val="0"/>
              <c:showSerName val="0"/>
              <c:showPercent val="1"/>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1-FF05-476E-BF73-9348677F9884}"/>
                </c:ext>
              </c:extLst>
            </c:dLbl>
            <c:dLbl>
              <c:idx val="1"/>
              <c:tx>
                <c:rich>
                  <a:bodyPr/>
                  <a:lstStyle/>
                  <a:p>
                    <a:fld id="{3863C075-069D-4E9E-B9D4-3B9558D4D2AE}" type="VALUE">
                      <a:rPr lang="en-US"/>
                      <a:pPr/>
                      <a:t>[VALUE]</a:t>
                    </a:fld>
                    <a:endParaRPr lang="en-US"/>
                  </a:p>
                </c:rich>
              </c:tx>
              <c:dLblPos val="inEnd"/>
              <c:showLegendKey val="0"/>
              <c:showVal val="0"/>
              <c:showCatName val="0"/>
              <c:showSerName val="0"/>
              <c:showPercent val="1"/>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3-FF05-476E-BF73-9348677F9884}"/>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lt1">
                        <a:lumMod val="85000"/>
                      </a:schemeClr>
                    </a:solidFill>
                    <a:latin typeface="+mn-lt"/>
                    <a:ea typeface="+mn-ea"/>
                    <a:cs typeface="+mn-cs"/>
                  </a:defRPr>
                </a:pPr>
                <a:endParaRPr lang="en-US"/>
              </a:p>
            </c:txPr>
            <c:dLblPos val="inEnd"/>
            <c:showLegendKey val="0"/>
            <c:showVal val="0"/>
            <c:showCatName val="0"/>
            <c:showSerName val="0"/>
            <c:showPercent val="1"/>
            <c:showBubbleSize val="0"/>
            <c:showLeaderLines val="1"/>
            <c:leaderLines>
              <c:spPr>
                <a:ln w="9525">
                  <a:solidFill>
                    <a:schemeClr val="lt1">
                      <a:lumMod val="95000"/>
                      <a:alpha val="54000"/>
                    </a:schemeClr>
                  </a:solidFill>
                </a:ln>
                <a:effectLst/>
              </c:spPr>
            </c:leaderLines>
            <c:extLst>
              <c:ext xmlns:c15="http://schemas.microsoft.com/office/drawing/2012/chart" uri="{CE6537A1-D6FC-4f65-9D91-7224C49458BB}"/>
            </c:extLst>
          </c:dLbls>
          <c:cat>
            <c:strRef>
              <c:f>Sheet1!$D$4:$D$5</c:f>
              <c:strCache>
                <c:ptCount val="2"/>
                <c:pt idx="0">
                  <c:v>Private Hospital</c:v>
                </c:pt>
                <c:pt idx="1">
                  <c:v>Public Hospital</c:v>
                </c:pt>
              </c:strCache>
            </c:strRef>
          </c:cat>
          <c:val>
            <c:numRef>
              <c:f>Sheet1!$E$4:$E$5</c:f>
              <c:numCache>
                <c:formatCode>0.00</c:formatCode>
                <c:ptCount val="2"/>
                <c:pt idx="0">
                  <c:v>32.6</c:v>
                </c:pt>
                <c:pt idx="1">
                  <c:v>67.400000000000006</c:v>
                </c:pt>
              </c:numCache>
            </c:numRef>
          </c:val>
          <c:extLst>
            <c:ext xmlns:c16="http://schemas.microsoft.com/office/drawing/2014/chart" uri="{C3380CC4-5D6E-409C-BE32-E72D297353CC}">
              <c16:uniqueId val="{00000004-FF05-476E-BF73-9348677F9884}"/>
            </c:ext>
          </c:extLst>
        </c:ser>
        <c:dLbls>
          <c:showLegendKey val="0"/>
          <c:showVal val="0"/>
          <c:showCatName val="0"/>
          <c:showSerName val="0"/>
          <c:showPercent val="1"/>
          <c:showBubbleSize val="0"/>
          <c:showLeaderLines val="1"/>
        </c:dLbls>
      </c:pie3DChart>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lt1">
                  <a:lumMod val="85000"/>
                </a:schemeClr>
              </a:solidFill>
              <a:latin typeface="+mn-lt"/>
              <a:ea typeface="+mn-ea"/>
              <a:cs typeface="+mn-cs"/>
            </a:defRPr>
          </a:pPr>
          <a:endParaRPr lang="en-US"/>
        </a:p>
      </c:txPr>
    </c:legend>
    <c:plotVisOnly val="1"/>
    <c:dispBlanksAs val="zero"/>
    <c:extLst>
      <c:ext xmlns:c16r3="http://schemas.microsoft.com/office/drawing/2017/03/chart" uri="{56B9EC1D-385E-4148-901F-78D8002777C0}">
        <c16r3:dataDisplayOptions16>
          <c16r3:dispNaAsBlank val="1"/>
        </c16r3:dataDisplayOptions16>
      </c:ext>
    </c:extLst>
    <c:showDLblsOverMax val="0"/>
  </c:chart>
  <c:spPr>
    <a:gradFill flip="none" rotWithShape="1">
      <a:gsLst>
        <a:gs pos="0">
          <a:schemeClr val="dk1">
            <a:lumMod val="65000"/>
            <a:lumOff val="35000"/>
          </a:schemeClr>
        </a:gs>
        <a:gs pos="100000">
          <a:schemeClr val="dk1">
            <a:lumMod val="85000"/>
            <a:lumOff val="15000"/>
          </a:schemeClr>
        </a:gs>
      </a:gsLst>
      <a:path path="circle">
        <a:fillToRect l="50000" t="50000" r="50000" b="50000"/>
      </a:path>
      <a:tileRect/>
    </a:gradFill>
    <a:ln>
      <a:noFill/>
    </a:ln>
    <a:effectLst/>
  </c:spPr>
  <c:txPr>
    <a:bodyPr/>
    <a:lstStyle/>
    <a:p>
      <a:pPr>
        <a:defRPr/>
      </a:pPr>
      <a:endParaRPr lang="en-US"/>
    </a:p>
  </c:txPr>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9</Pages>
  <Words>2846</Words>
  <Characters>16225</Characters>
  <Application>Microsoft Office Word</Application>
  <DocSecurity>0</DocSecurity>
  <Lines>135</Lines>
  <Paragraphs>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19033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EMMANUEL</dc:creator>
  <cp:keywords/>
  <dc:description/>
  <cp:lastModifiedBy>SDI PC New 16</cp:lastModifiedBy>
  <cp:revision>5</cp:revision>
  <dcterms:created xsi:type="dcterms:W3CDTF">2025-09-19T16:11:00Z</dcterms:created>
  <dcterms:modified xsi:type="dcterms:W3CDTF">2025-09-20T09:35:00Z</dcterms:modified>
</cp:coreProperties>
</file>