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6AB1D" w14:textId="77777777" w:rsidR="00862424" w:rsidRPr="004364C7" w:rsidRDefault="00DD7026">
      <w:pPr>
        <w:jc w:val="center"/>
        <w:rPr>
          <w:sz w:val="22"/>
          <w:szCs w:val="22"/>
        </w:rPr>
      </w:pPr>
      <w:r w:rsidRPr="004364C7">
        <w:rPr>
          <w:b/>
          <w:sz w:val="22"/>
          <w:szCs w:val="22"/>
        </w:rPr>
        <w:t xml:space="preserve">Optimizing the Laboratory’s Role in Monitoring Vitamin K Antagonist Therapy: A Cross-Analysis at </w:t>
      </w:r>
      <w:proofErr w:type="spellStart"/>
      <w:r w:rsidRPr="004364C7">
        <w:rPr>
          <w:b/>
          <w:sz w:val="22"/>
          <w:szCs w:val="22"/>
        </w:rPr>
        <w:t>Hôpital</w:t>
      </w:r>
      <w:proofErr w:type="spellEnd"/>
      <w:r w:rsidRPr="004364C7">
        <w:rPr>
          <w:b/>
          <w:sz w:val="22"/>
          <w:szCs w:val="22"/>
        </w:rPr>
        <w:t xml:space="preserve"> de la </w:t>
      </w:r>
      <w:proofErr w:type="spellStart"/>
      <w:r w:rsidRPr="004364C7">
        <w:rPr>
          <w:b/>
          <w:sz w:val="22"/>
          <w:szCs w:val="22"/>
        </w:rPr>
        <w:t>Paix</w:t>
      </w:r>
      <w:proofErr w:type="spellEnd"/>
      <w:r w:rsidRPr="004364C7">
        <w:rPr>
          <w:b/>
          <w:sz w:val="22"/>
          <w:szCs w:val="22"/>
        </w:rPr>
        <w:t xml:space="preserve"> de Ziguinchor</w:t>
      </w:r>
    </w:p>
    <w:p w14:paraId="007C9DC6" w14:textId="77777777" w:rsidR="0056438D" w:rsidRPr="004364C7" w:rsidRDefault="0056438D">
      <w:pPr>
        <w:rPr>
          <w:b/>
          <w:sz w:val="22"/>
          <w:szCs w:val="22"/>
        </w:rPr>
      </w:pPr>
    </w:p>
    <w:p w14:paraId="496F230A" w14:textId="2CAA5B07" w:rsidR="0056438D" w:rsidRDefault="0056438D">
      <w:pPr>
        <w:rPr>
          <w:b/>
          <w:sz w:val="22"/>
          <w:szCs w:val="22"/>
        </w:rPr>
      </w:pPr>
    </w:p>
    <w:p w14:paraId="1E72DDC8" w14:textId="37B30B03" w:rsidR="00D723B2" w:rsidRDefault="00D723B2">
      <w:pPr>
        <w:rPr>
          <w:b/>
          <w:sz w:val="22"/>
          <w:szCs w:val="22"/>
        </w:rPr>
      </w:pPr>
    </w:p>
    <w:p w14:paraId="6ABA4542" w14:textId="247AA194" w:rsidR="00D723B2" w:rsidRPr="004364C7" w:rsidRDefault="00D723B2">
      <w:pPr>
        <w:rPr>
          <w:b/>
          <w:sz w:val="22"/>
          <w:szCs w:val="22"/>
        </w:rPr>
      </w:pPr>
      <w:r>
        <w:rPr>
          <w:b/>
          <w:sz w:val="22"/>
          <w:szCs w:val="22"/>
        </w:rPr>
        <w:t xml:space="preserve">Abstract </w:t>
      </w:r>
    </w:p>
    <w:p w14:paraId="722C24A1" w14:textId="47EADC4C" w:rsidR="00862424" w:rsidRPr="004364C7" w:rsidRDefault="00E73C33" w:rsidP="00692B2C">
      <w:pPr>
        <w:rPr>
          <w:sz w:val="22"/>
          <w:szCs w:val="22"/>
        </w:rPr>
      </w:pPr>
      <w:r w:rsidRPr="004364C7">
        <w:rPr>
          <w:b/>
          <w:sz w:val="22"/>
          <w:szCs w:val="22"/>
        </w:rPr>
        <w:t xml:space="preserve">Introduction </w:t>
      </w:r>
      <w:r w:rsidRPr="004364C7">
        <w:rPr>
          <w:sz w:val="22"/>
          <w:szCs w:val="22"/>
        </w:rPr>
        <w:t xml:space="preserve">: </w:t>
      </w:r>
      <w:r w:rsidRPr="004364C7">
        <w:rPr>
          <w:bCs/>
          <w:sz w:val="22"/>
          <w:szCs w:val="22"/>
        </w:rPr>
        <w:t>Vitamin K Antagonist are large molecular therapy used in Africa to treat cardiologic illnesses .The aim of this study was</w:t>
      </w:r>
      <w:r w:rsidRPr="004364C7">
        <w:rPr>
          <w:b/>
          <w:sz w:val="22"/>
          <w:szCs w:val="22"/>
        </w:rPr>
        <w:t xml:space="preserve"> </w:t>
      </w:r>
      <w:r w:rsidR="00DD7026" w:rsidRPr="004364C7">
        <w:rPr>
          <w:sz w:val="22"/>
          <w:szCs w:val="22"/>
        </w:rPr>
        <w:t xml:space="preserve"> </w:t>
      </w:r>
      <w:r w:rsidRPr="004364C7">
        <w:rPr>
          <w:sz w:val="22"/>
          <w:szCs w:val="22"/>
        </w:rPr>
        <w:t>t</w:t>
      </w:r>
      <w:r w:rsidR="00DD7026" w:rsidRPr="004364C7">
        <w:rPr>
          <w:sz w:val="22"/>
          <w:szCs w:val="22"/>
        </w:rPr>
        <w:t xml:space="preserve">o evaluate how the clinical laboratory supports safe and effective monitoring of patients on vitamin K antagonists (VKAs) at </w:t>
      </w:r>
      <w:proofErr w:type="spellStart"/>
      <w:r w:rsidR="00DD7026" w:rsidRPr="004364C7">
        <w:rPr>
          <w:sz w:val="22"/>
          <w:szCs w:val="22"/>
        </w:rPr>
        <w:t>Hôpital</w:t>
      </w:r>
      <w:proofErr w:type="spellEnd"/>
      <w:r w:rsidR="00DD7026" w:rsidRPr="004364C7">
        <w:rPr>
          <w:sz w:val="22"/>
          <w:szCs w:val="22"/>
        </w:rPr>
        <w:t xml:space="preserve"> de la </w:t>
      </w:r>
      <w:proofErr w:type="spellStart"/>
      <w:r w:rsidR="00DD7026" w:rsidRPr="004364C7">
        <w:rPr>
          <w:sz w:val="22"/>
          <w:szCs w:val="22"/>
        </w:rPr>
        <w:t>Paix</w:t>
      </w:r>
      <w:proofErr w:type="spellEnd"/>
      <w:r w:rsidR="00DD7026" w:rsidRPr="004364C7">
        <w:rPr>
          <w:sz w:val="22"/>
          <w:szCs w:val="22"/>
        </w:rPr>
        <w:t xml:space="preserve"> de Ziguinchor (HPZ), through analysis of patient INR profiles, laboratory practices, and prescribers’ perceptions.</w:t>
      </w:r>
      <w:r w:rsidR="00DD7026" w:rsidRPr="004364C7">
        <w:rPr>
          <w:sz w:val="22"/>
          <w:szCs w:val="22"/>
        </w:rPr>
        <w:br/>
      </w:r>
      <w:r w:rsidR="00DD7026" w:rsidRPr="004364C7">
        <w:rPr>
          <w:sz w:val="22"/>
          <w:szCs w:val="22"/>
        </w:rPr>
        <w:br/>
        <w:t>M</w:t>
      </w:r>
      <w:r w:rsidR="00DD7026" w:rsidRPr="004364C7">
        <w:rPr>
          <w:b/>
          <w:bCs/>
          <w:sz w:val="22"/>
          <w:szCs w:val="22"/>
        </w:rPr>
        <w:t>ethodology</w:t>
      </w:r>
      <w:r w:rsidR="00DD7026" w:rsidRPr="004364C7">
        <w:rPr>
          <w:sz w:val="22"/>
          <w:szCs w:val="22"/>
        </w:rPr>
        <w:t>:</w:t>
      </w:r>
      <w:r w:rsidRPr="004364C7">
        <w:rPr>
          <w:sz w:val="22"/>
          <w:szCs w:val="22"/>
        </w:rPr>
        <w:t xml:space="preserve"> We have conducted a Monocentric, mixed-methods, descriptive cross-sectional study from November 2024 to January 2025 in the cardiologic ward and the laboratory of the HPZ, Ziguinchor.</w:t>
      </w:r>
      <w:r w:rsidRPr="004364C7">
        <w:rPr>
          <w:sz w:val="22"/>
          <w:szCs w:val="22"/>
        </w:rPr>
        <w:br/>
      </w:r>
      <w:r w:rsidR="00DD7026" w:rsidRPr="004364C7">
        <w:rPr>
          <w:sz w:val="22"/>
          <w:szCs w:val="22"/>
        </w:rPr>
        <w:t>Thirty-three cardiology outpatients on VKAs (N=33) were analyzed with two sequential INR measurements (INR1, INR2). Associations with demographics used χ² tests; paired comparisons used paired t-test and Wilcoxon. Structured questionnaires captured laboratory staff practices (n=9) and prescribers’ perceptions (n=13).</w:t>
      </w:r>
      <w:r w:rsidR="00DD7026" w:rsidRPr="004364C7">
        <w:rPr>
          <w:sz w:val="22"/>
          <w:szCs w:val="22"/>
        </w:rPr>
        <w:br/>
      </w:r>
      <w:r w:rsidR="00DD7026" w:rsidRPr="004364C7">
        <w:rPr>
          <w:sz w:val="22"/>
          <w:szCs w:val="22"/>
        </w:rPr>
        <w:br/>
      </w:r>
      <w:r w:rsidR="00DD7026" w:rsidRPr="004364C7">
        <w:rPr>
          <w:b/>
          <w:bCs/>
          <w:sz w:val="22"/>
          <w:szCs w:val="22"/>
        </w:rPr>
        <w:t xml:space="preserve">Results: </w:t>
      </w:r>
      <w:r w:rsidR="00DD7026" w:rsidRPr="004364C7">
        <w:rPr>
          <w:sz w:val="22"/>
          <w:szCs w:val="22"/>
        </w:rPr>
        <w:t>The cohort was predominantly female (57.6%); mean age 50.0 ± 20.0 years (16–79). From INR1 to INR2, subtherapeutic results decreased (14</w:t>
      </w:r>
      <w:r w:rsidR="00DD7026" w:rsidRPr="004364C7">
        <w:rPr>
          <w:rFonts w:ascii="Times New Roman" w:hAnsi="Times New Roman"/>
          <w:sz w:val="22"/>
          <w:szCs w:val="22"/>
        </w:rPr>
        <w:t>→</w:t>
      </w:r>
      <w:r w:rsidR="00DD7026" w:rsidRPr="004364C7">
        <w:rPr>
          <w:sz w:val="22"/>
          <w:szCs w:val="22"/>
        </w:rPr>
        <w:t>10) while supratherapeutic results increased (11</w:t>
      </w:r>
      <w:r w:rsidR="00DD7026" w:rsidRPr="004364C7">
        <w:rPr>
          <w:rFonts w:ascii="Times New Roman" w:hAnsi="Times New Roman"/>
          <w:sz w:val="22"/>
          <w:szCs w:val="22"/>
        </w:rPr>
        <w:t>→</w:t>
      </w:r>
      <w:r w:rsidR="00DD7026" w:rsidRPr="004364C7">
        <w:rPr>
          <w:sz w:val="22"/>
          <w:szCs w:val="22"/>
        </w:rPr>
        <w:t>16). No significant paired difference overall (t-test p=0.2403; Wilcoxon p=0.3775). No significant association between INR status and age group or sex (p=0.0737; p=0.0934). Staff highlighted pre-analytical vulnerabilities and training needs; clinicians prioritized faster reporting, clearer interpretive comments, and stronger communication.</w:t>
      </w:r>
      <w:r w:rsidR="00DD7026" w:rsidRPr="004364C7">
        <w:rPr>
          <w:sz w:val="22"/>
          <w:szCs w:val="22"/>
        </w:rPr>
        <w:br/>
      </w:r>
      <w:r w:rsidR="00DD7026" w:rsidRPr="004364C7">
        <w:rPr>
          <w:sz w:val="22"/>
          <w:szCs w:val="22"/>
        </w:rPr>
        <w:br/>
        <w:t>C</w:t>
      </w:r>
      <w:r w:rsidR="00DD7026" w:rsidRPr="004364C7">
        <w:rPr>
          <w:b/>
          <w:bCs/>
          <w:sz w:val="22"/>
          <w:szCs w:val="22"/>
        </w:rPr>
        <w:t xml:space="preserve">onclusion: </w:t>
      </w:r>
      <w:r w:rsidR="00DD7026" w:rsidRPr="004364C7">
        <w:rPr>
          <w:sz w:val="22"/>
          <w:szCs w:val="22"/>
        </w:rPr>
        <w:t>VKA monitoring at HPZ shows partial short-term stabilization with a sizeable supratherapeutic fraction. Priorities include tightening pre-analytical control, securing reagent/analyzer continuity, upskilling staff, and codifying rapid critical-INR communication to increase time in therapeutic range and reduce adverse events.</w:t>
      </w:r>
      <w:r w:rsidR="00DD7026" w:rsidRPr="004364C7">
        <w:rPr>
          <w:sz w:val="22"/>
          <w:szCs w:val="22"/>
        </w:rPr>
        <w:br/>
      </w:r>
      <w:r w:rsidR="00DD7026" w:rsidRPr="004364C7">
        <w:rPr>
          <w:sz w:val="22"/>
          <w:szCs w:val="22"/>
        </w:rPr>
        <w:br/>
      </w:r>
      <w:r w:rsidR="00DD7026" w:rsidRPr="004364C7">
        <w:rPr>
          <w:b/>
          <w:bCs/>
          <w:sz w:val="22"/>
          <w:szCs w:val="22"/>
        </w:rPr>
        <w:t>Keywords</w:t>
      </w:r>
      <w:r w:rsidR="00DD7026" w:rsidRPr="004364C7">
        <w:rPr>
          <w:sz w:val="22"/>
          <w:szCs w:val="22"/>
        </w:rPr>
        <w:t xml:space="preserve">: </w:t>
      </w:r>
      <w:proofErr w:type="spellStart"/>
      <w:r w:rsidR="00DD7026" w:rsidRPr="004364C7">
        <w:rPr>
          <w:sz w:val="22"/>
          <w:szCs w:val="22"/>
        </w:rPr>
        <w:t>Vitam</w:t>
      </w:r>
      <w:r w:rsidR="00CF40A7" w:rsidRPr="004364C7">
        <w:rPr>
          <w:sz w:val="22"/>
          <w:szCs w:val="22"/>
        </w:rPr>
        <w:t>VKA</w:t>
      </w:r>
      <w:proofErr w:type="spellEnd"/>
      <w:r w:rsidR="00DD7026" w:rsidRPr="004364C7">
        <w:rPr>
          <w:sz w:val="22"/>
          <w:szCs w:val="22"/>
        </w:rPr>
        <w:t>; INR; laboratory practice; Ziguinchor.</w:t>
      </w:r>
    </w:p>
    <w:p w14:paraId="2286355E" w14:textId="77777777" w:rsidR="00862424" w:rsidRPr="004364C7" w:rsidRDefault="00DD7026">
      <w:pPr>
        <w:rPr>
          <w:sz w:val="22"/>
          <w:szCs w:val="22"/>
        </w:rPr>
      </w:pPr>
      <w:r w:rsidRPr="004364C7">
        <w:rPr>
          <w:b/>
          <w:sz w:val="22"/>
          <w:szCs w:val="22"/>
        </w:rPr>
        <w:t>1. INTRODUCTION</w:t>
      </w:r>
    </w:p>
    <w:p w14:paraId="2F2F4328" w14:textId="77777777" w:rsidR="00FD383E" w:rsidRPr="004364C7" w:rsidRDefault="00FD383E" w:rsidP="00FD383E">
      <w:pPr>
        <w:rPr>
          <w:bCs/>
          <w:sz w:val="22"/>
          <w:szCs w:val="22"/>
        </w:rPr>
      </w:pPr>
      <w:r w:rsidRPr="004364C7">
        <w:rPr>
          <w:bCs/>
          <w:sz w:val="22"/>
          <w:szCs w:val="22"/>
        </w:rPr>
        <w:t>Vitamin K antagonists (VKAs) remain at the core of prevention of thromboembolism but have a narrow therapeutic window that requires structured monitoring to maintain hemorrhagic and thrombotic risks at a minimum [1]. Standardization of prothrombin time (PT) with the International Normalized Ratio (INR) permits dose titration on a regular basis between thromboplastins and laboratories [1,2]. International guidelines emphasize pre-analytical integrity (citrate concentration and fill ratio, mixing, avoidance of hemolysis, transport time/temperature) and robust verification/standardization of PT/INR methods [1,2]. At the same time, post-analytical specifications of ISO 15189:2022 and CLSI GP47 mandate documented, urgent notification of results of critical-risk tests, e.g. INRs of impending bleeding risk [3,4].</w:t>
      </w:r>
    </w:p>
    <w:p w14:paraId="43302C99" w14:textId="77777777" w:rsidR="00FD383E" w:rsidRPr="004364C7" w:rsidRDefault="00FD383E" w:rsidP="00FD383E">
      <w:pPr>
        <w:rPr>
          <w:bCs/>
          <w:sz w:val="22"/>
          <w:szCs w:val="22"/>
        </w:rPr>
      </w:pPr>
    </w:p>
    <w:p w14:paraId="3AFFC826" w14:textId="2A2BC5F8" w:rsidR="00FF3CC3" w:rsidRPr="004364C7" w:rsidRDefault="00FD383E" w:rsidP="00FD383E">
      <w:pPr>
        <w:rPr>
          <w:bCs/>
          <w:sz w:val="22"/>
          <w:szCs w:val="22"/>
        </w:rPr>
      </w:pPr>
      <w:r w:rsidRPr="004364C7">
        <w:rPr>
          <w:bCs/>
          <w:sz w:val="22"/>
          <w:szCs w:val="22"/>
        </w:rPr>
        <w:t xml:space="preserve"> Throughout sub-Saharan Africa, anticoagulation quality—with many using time in therapeutic range (TTR) as a proxy—is often below that of European and US care due to access, supply chain, and organizational limitations [5]. Stability may additionally depend on drug choice: </w:t>
      </w:r>
      <w:proofErr w:type="spellStart"/>
      <w:r w:rsidRPr="004364C7">
        <w:rPr>
          <w:bCs/>
          <w:sz w:val="22"/>
          <w:szCs w:val="22"/>
        </w:rPr>
        <w:t>acenocoumarol</w:t>
      </w:r>
      <w:proofErr w:type="spellEnd"/>
      <w:r w:rsidRPr="004364C7">
        <w:rPr>
          <w:bCs/>
          <w:sz w:val="22"/>
          <w:szCs w:val="22"/>
        </w:rPr>
        <w:t>, very commonly prescribed within Francophone regions, has a smaller half-life than warfarin, making it prone to more rapid fluctuations of INR if clinic processes and patient self-monitoring are not closely regulated [6,7]. Against this background, we examined patient-level outcomes of INR, laboratory processes, and prescriber attitudes at HPZ to find pragmatic points of leverage for change.</w:t>
      </w:r>
    </w:p>
    <w:p w14:paraId="16192FCD" w14:textId="721216C0" w:rsidR="00FF3CC3" w:rsidRPr="004364C7" w:rsidRDefault="00DD7026">
      <w:pPr>
        <w:rPr>
          <w:b/>
          <w:sz w:val="22"/>
          <w:szCs w:val="22"/>
        </w:rPr>
      </w:pPr>
      <w:r w:rsidRPr="004364C7">
        <w:rPr>
          <w:b/>
          <w:sz w:val="22"/>
          <w:szCs w:val="22"/>
        </w:rPr>
        <w:t>2. MATERIALS AND METHODS</w:t>
      </w:r>
    </w:p>
    <w:p w14:paraId="33885CE2" w14:textId="77777777" w:rsidR="00862424" w:rsidRPr="004364C7" w:rsidRDefault="00DD7026">
      <w:pPr>
        <w:rPr>
          <w:b/>
          <w:sz w:val="22"/>
          <w:szCs w:val="22"/>
        </w:rPr>
      </w:pPr>
      <w:r w:rsidRPr="004364C7">
        <w:rPr>
          <w:b/>
          <w:sz w:val="22"/>
          <w:szCs w:val="22"/>
        </w:rPr>
        <w:t>2.1 Study design, setting, and period</w:t>
      </w:r>
    </w:p>
    <w:p w14:paraId="188166E9" w14:textId="77777777" w:rsidR="00461867" w:rsidRPr="004364C7" w:rsidRDefault="00461867" w:rsidP="00461867">
      <w:pPr>
        <w:rPr>
          <w:b/>
          <w:bCs/>
          <w:sz w:val="22"/>
          <w:szCs w:val="22"/>
        </w:rPr>
      </w:pPr>
      <w:r w:rsidRPr="004364C7">
        <w:rPr>
          <w:b/>
          <w:bCs/>
          <w:sz w:val="22"/>
          <w:szCs w:val="22"/>
        </w:rPr>
        <w:t>Study Design</w:t>
      </w:r>
    </w:p>
    <w:p w14:paraId="3755B0D7" w14:textId="77777777" w:rsidR="00461867" w:rsidRPr="004364C7" w:rsidRDefault="00461867" w:rsidP="00461867">
      <w:pPr>
        <w:rPr>
          <w:sz w:val="22"/>
          <w:szCs w:val="22"/>
        </w:rPr>
      </w:pPr>
    </w:p>
    <w:p w14:paraId="6D6E0AC9" w14:textId="77777777" w:rsidR="00461867" w:rsidRPr="004364C7" w:rsidRDefault="00461867" w:rsidP="00461867">
      <w:pPr>
        <w:rPr>
          <w:sz w:val="22"/>
          <w:szCs w:val="22"/>
        </w:rPr>
      </w:pPr>
      <w:r w:rsidRPr="004364C7">
        <w:rPr>
          <w:sz w:val="22"/>
          <w:szCs w:val="22"/>
        </w:rPr>
        <w:t xml:space="preserve"> It was a cross-sectional descriptive study employing the mixed-methods approach (quantitative and qualitative data gathering and data interpretation). This kind of design was employed with the intention of generating a full picture of the practice of the laboratory and research subject-related problems within the period of observation.</w:t>
      </w:r>
    </w:p>
    <w:p w14:paraId="31A0A354" w14:textId="77777777" w:rsidR="00461867" w:rsidRPr="004364C7" w:rsidRDefault="00461867" w:rsidP="00461867">
      <w:pPr>
        <w:rPr>
          <w:b/>
          <w:bCs/>
          <w:sz w:val="22"/>
          <w:szCs w:val="22"/>
        </w:rPr>
      </w:pPr>
      <w:r w:rsidRPr="004364C7">
        <w:rPr>
          <w:b/>
          <w:bCs/>
          <w:sz w:val="22"/>
          <w:szCs w:val="22"/>
        </w:rPr>
        <w:t>Study Setting</w:t>
      </w:r>
    </w:p>
    <w:p w14:paraId="7AA68CFA" w14:textId="77777777" w:rsidR="00461867" w:rsidRPr="004364C7" w:rsidRDefault="00461867" w:rsidP="00461867">
      <w:pPr>
        <w:rPr>
          <w:sz w:val="22"/>
          <w:szCs w:val="22"/>
        </w:rPr>
      </w:pPr>
      <w:r w:rsidRPr="004364C7">
        <w:rPr>
          <w:sz w:val="22"/>
          <w:szCs w:val="22"/>
        </w:rPr>
        <w:lastRenderedPageBreak/>
        <w:t xml:space="preserve"> It was finalized at Clinical Laboratory of </w:t>
      </w:r>
      <w:proofErr w:type="spellStart"/>
      <w:r w:rsidRPr="004364C7">
        <w:rPr>
          <w:sz w:val="22"/>
          <w:szCs w:val="22"/>
        </w:rPr>
        <w:t>Hôpital</w:t>
      </w:r>
      <w:proofErr w:type="spellEnd"/>
      <w:r w:rsidRPr="004364C7">
        <w:rPr>
          <w:sz w:val="22"/>
          <w:szCs w:val="22"/>
        </w:rPr>
        <w:t xml:space="preserve"> de la </w:t>
      </w:r>
      <w:proofErr w:type="spellStart"/>
      <w:r w:rsidRPr="004364C7">
        <w:rPr>
          <w:sz w:val="22"/>
          <w:szCs w:val="22"/>
        </w:rPr>
        <w:t>Paix</w:t>
      </w:r>
      <w:proofErr w:type="spellEnd"/>
      <w:r w:rsidRPr="004364C7">
        <w:rPr>
          <w:sz w:val="22"/>
          <w:szCs w:val="22"/>
        </w:rPr>
        <w:t xml:space="preserve"> de Ziguinchor (HPZ), a southern Senegalese regional tertiary care center. HPZ lab is the center of diagnostic services of the Ziguinchor region on the basis of biochemistry, microbiology, and hematology and is a teaching institution of Université Assane Seck de Ziguinchor (UASZ).</w:t>
      </w:r>
    </w:p>
    <w:p w14:paraId="627B4D40" w14:textId="77777777" w:rsidR="00461867" w:rsidRPr="004364C7" w:rsidRDefault="00461867" w:rsidP="00461867">
      <w:pPr>
        <w:rPr>
          <w:b/>
          <w:bCs/>
          <w:sz w:val="22"/>
          <w:szCs w:val="22"/>
        </w:rPr>
      </w:pPr>
      <w:r w:rsidRPr="004364C7">
        <w:rPr>
          <w:b/>
          <w:bCs/>
          <w:sz w:val="22"/>
          <w:szCs w:val="22"/>
        </w:rPr>
        <w:t>Study Period</w:t>
      </w:r>
    </w:p>
    <w:p w14:paraId="0847BDC3" w14:textId="2F4F88D0" w:rsidR="00461867" w:rsidRPr="004364C7" w:rsidRDefault="00461867" w:rsidP="00461867">
      <w:pPr>
        <w:rPr>
          <w:sz w:val="22"/>
          <w:szCs w:val="22"/>
        </w:rPr>
      </w:pPr>
      <w:r w:rsidRPr="004364C7">
        <w:rPr>
          <w:sz w:val="22"/>
          <w:szCs w:val="22"/>
        </w:rPr>
        <w:t xml:space="preserve"> Data collection and field observation were done within a period of three months, from November 2024 until January 2025. This was chosen because it would provide sufficient data saturation and yet encompass both regular and peak activity periods of the laboratory.</w:t>
      </w:r>
    </w:p>
    <w:p w14:paraId="2F331307" w14:textId="01AE3226" w:rsidR="00862424" w:rsidRPr="004364C7" w:rsidRDefault="00DD7026">
      <w:pPr>
        <w:rPr>
          <w:sz w:val="22"/>
          <w:szCs w:val="22"/>
        </w:rPr>
      </w:pPr>
      <w:r w:rsidRPr="004364C7">
        <w:rPr>
          <w:b/>
          <w:sz w:val="22"/>
          <w:szCs w:val="22"/>
        </w:rPr>
        <w:t>2.2 Participants and eligibility</w:t>
      </w:r>
    </w:p>
    <w:p w14:paraId="5D92ACB5" w14:textId="77777777" w:rsidR="00FF3CC3" w:rsidRPr="004364C7" w:rsidRDefault="00DD7026">
      <w:pPr>
        <w:jc w:val="both"/>
        <w:rPr>
          <w:b/>
          <w:bCs/>
          <w:sz w:val="22"/>
          <w:szCs w:val="22"/>
        </w:rPr>
      </w:pPr>
      <w:r w:rsidRPr="004364C7">
        <w:rPr>
          <w:b/>
          <w:bCs/>
          <w:sz w:val="22"/>
          <w:szCs w:val="22"/>
        </w:rPr>
        <w:t>Inclusion</w:t>
      </w:r>
      <w:r w:rsidR="00F46AC0" w:rsidRPr="004364C7">
        <w:rPr>
          <w:b/>
          <w:bCs/>
          <w:sz w:val="22"/>
          <w:szCs w:val="22"/>
        </w:rPr>
        <w:t xml:space="preserve"> </w:t>
      </w:r>
      <w:proofErr w:type="gramStart"/>
      <w:r w:rsidR="00F46AC0" w:rsidRPr="004364C7">
        <w:rPr>
          <w:b/>
          <w:bCs/>
          <w:sz w:val="22"/>
          <w:szCs w:val="22"/>
        </w:rPr>
        <w:t xml:space="preserve">criteria </w:t>
      </w:r>
      <w:r w:rsidRPr="004364C7">
        <w:rPr>
          <w:b/>
          <w:bCs/>
          <w:sz w:val="22"/>
          <w:szCs w:val="22"/>
        </w:rPr>
        <w:t>:</w:t>
      </w:r>
      <w:proofErr w:type="gramEnd"/>
      <w:r w:rsidRPr="004364C7">
        <w:rPr>
          <w:b/>
          <w:bCs/>
          <w:sz w:val="22"/>
          <w:szCs w:val="22"/>
        </w:rPr>
        <w:t xml:space="preserve"> </w:t>
      </w:r>
    </w:p>
    <w:p w14:paraId="6ECEE880" w14:textId="7D4E13AE" w:rsidR="00F46AC0" w:rsidRPr="004364C7" w:rsidRDefault="00FF3CC3">
      <w:pPr>
        <w:jc w:val="both"/>
        <w:rPr>
          <w:sz w:val="22"/>
          <w:szCs w:val="22"/>
        </w:rPr>
      </w:pPr>
      <w:r w:rsidRPr="004364C7">
        <w:rPr>
          <w:sz w:val="22"/>
          <w:szCs w:val="22"/>
        </w:rPr>
        <w:t>C</w:t>
      </w:r>
      <w:r w:rsidR="00DD7026" w:rsidRPr="004364C7">
        <w:rPr>
          <w:sz w:val="22"/>
          <w:szCs w:val="22"/>
        </w:rPr>
        <w:t>ardiology outpatients on VKA therapy monitored by HPZ</w:t>
      </w:r>
      <w:r w:rsidR="00F46AC0" w:rsidRPr="004364C7">
        <w:rPr>
          <w:sz w:val="22"/>
          <w:szCs w:val="22"/>
        </w:rPr>
        <w:t xml:space="preserve"> during the period time of the study </w:t>
      </w:r>
      <w:r w:rsidRPr="004364C7">
        <w:rPr>
          <w:sz w:val="22"/>
          <w:szCs w:val="22"/>
        </w:rPr>
        <w:t>w</w:t>
      </w:r>
      <w:r w:rsidR="00F46AC0" w:rsidRPr="004364C7">
        <w:rPr>
          <w:sz w:val="22"/>
          <w:szCs w:val="22"/>
        </w:rPr>
        <w:t>ere included inside</w:t>
      </w:r>
      <w:r w:rsidRPr="004364C7">
        <w:rPr>
          <w:sz w:val="22"/>
          <w:szCs w:val="22"/>
        </w:rPr>
        <w:t xml:space="preserve"> it.</w:t>
      </w:r>
      <w:r w:rsidR="00DD7026" w:rsidRPr="004364C7">
        <w:rPr>
          <w:sz w:val="22"/>
          <w:szCs w:val="22"/>
        </w:rPr>
        <w:t xml:space="preserve"> </w:t>
      </w:r>
    </w:p>
    <w:p w14:paraId="4067BF75" w14:textId="36507401" w:rsidR="00FD383E" w:rsidRPr="004364C7" w:rsidRDefault="00FD383E">
      <w:pPr>
        <w:jc w:val="both"/>
        <w:rPr>
          <w:sz w:val="22"/>
          <w:szCs w:val="22"/>
        </w:rPr>
      </w:pPr>
      <w:r w:rsidRPr="004364C7">
        <w:rPr>
          <w:sz w:val="22"/>
          <w:szCs w:val="22"/>
        </w:rPr>
        <w:t>The patients included were those who underwent VK</w:t>
      </w:r>
      <w:r w:rsidR="00E33822" w:rsidRPr="004364C7">
        <w:rPr>
          <w:sz w:val="22"/>
          <w:szCs w:val="22"/>
        </w:rPr>
        <w:t>A</w:t>
      </w:r>
      <w:r w:rsidRPr="004364C7">
        <w:rPr>
          <w:sz w:val="22"/>
          <w:szCs w:val="22"/>
        </w:rPr>
        <w:t xml:space="preserve"> therapy. Only this was mentioned in the medical record.</w:t>
      </w:r>
    </w:p>
    <w:p w14:paraId="777D5160" w14:textId="77777777" w:rsidR="00FF3CC3" w:rsidRPr="004364C7" w:rsidRDefault="00DD7026">
      <w:pPr>
        <w:jc w:val="both"/>
        <w:rPr>
          <w:b/>
          <w:bCs/>
          <w:sz w:val="22"/>
          <w:szCs w:val="22"/>
        </w:rPr>
      </w:pPr>
      <w:r w:rsidRPr="004364C7">
        <w:rPr>
          <w:b/>
          <w:bCs/>
          <w:sz w:val="22"/>
          <w:szCs w:val="22"/>
        </w:rPr>
        <w:t>Exclusion</w:t>
      </w:r>
      <w:r w:rsidR="00F46AC0" w:rsidRPr="004364C7">
        <w:rPr>
          <w:b/>
          <w:bCs/>
          <w:sz w:val="22"/>
          <w:szCs w:val="22"/>
        </w:rPr>
        <w:t xml:space="preserve"> criteria</w:t>
      </w:r>
      <w:r w:rsidR="00FF3CC3" w:rsidRPr="004364C7">
        <w:rPr>
          <w:b/>
          <w:bCs/>
          <w:sz w:val="22"/>
          <w:szCs w:val="22"/>
        </w:rPr>
        <w:t>:</w:t>
      </w:r>
      <w:r w:rsidR="00F46AC0" w:rsidRPr="004364C7">
        <w:rPr>
          <w:b/>
          <w:bCs/>
          <w:sz w:val="22"/>
          <w:szCs w:val="22"/>
        </w:rPr>
        <w:t xml:space="preserve"> </w:t>
      </w:r>
      <w:r w:rsidRPr="004364C7">
        <w:rPr>
          <w:b/>
          <w:bCs/>
          <w:sz w:val="22"/>
          <w:szCs w:val="22"/>
        </w:rPr>
        <w:t xml:space="preserve"> </w:t>
      </w:r>
    </w:p>
    <w:p w14:paraId="556DBEEB" w14:textId="7EB551DA" w:rsidR="00862424" w:rsidRPr="004364C7" w:rsidRDefault="00FF3CC3">
      <w:pPr>
        <w:jc w:val="both"/>
        <w:rPr>
          <w:sz w:val="22"/>
          <w:szCs w:val="22"/>
        </w:rPr>
      </w:pPr>
      <w:r w:rsidRPr="004364C7">
        <w:rPr>
          <w:sz w:val="22"/>
          <w:szCs w:val="22"/>
        </w:rPr>
        <w:t>I</w:t>
      </w:r>
      <w:r w:rsidR="00DD7026" w:rsidRPr="004364C7">
        <w:rPr>
          <w:sz w:val="22"/>
          <w:szCs w:val="22"/>
        </w:rPr>
        <w:t>npatients</w:t>
      </w:r>
      <w:r w:rsidR="00F46AC0" w:rsidRPr="004364C7">
        <w:rPr>
          <w:sz w:val="22"/>
          <w:szCs w:val="22"/>
        </w:rPr>
        <w:t xml:space="preserve"> or </w:t>
      </w:r>
      <w:r w:rsidR="00DD7026" w:rsidRPr="004364C7">
        <w:rPr>
          <w:sz w:val="22"/>
          <w:szCs w:val="22"/>
        </w:rPr>
        <w:t>individuals not biologically monitored by HPZ</w:t>
      </w:r>
      <w:r w:rsidR="00C21DA7" w:rsidRPr="004364C7">
        <w:rPr>
          <w:sz w:val="22"/>
          <w:szCs w:val="22"/>
        </w:rPr>
        <w:t xml:space="preserve"> were not included in the study.</w:t>
      </w:r>
    </w:p>
    <w:p w14:paraId="6E42333B" w14:textId="77777777" w:rsidR="00862424" w:rsidRPr="004364C7" w:rsidRDefault="00DD7026">
      <w:pPr>
        <w:rPr>
          <w:sz w:val="22"/>
          <w:szCs w:val="22"/>
        </w:rPr>
      </w:pPr>
      <w:r w:rsidRPr="004364C7">
        <w:rPr>
          <w:b/>
          <w:sz w:val="22"/>
          <w:szCs w:val="22"/>
        </w:rPr>
        <w:t>2.3 Data sources and variables</w:t>
      </w:r>
    </w:p>
    <w:p w14:paraId="7CB453EB" w14:textId="77777777" w:rsidR="00862424" w:rsidRPr="004364C7" w:rsidRDefault="00DD7026">
      <w:pPr>
        <w:jc w:val="both"/>
        <w:rPr>
          <w:sz w:val="22"/>
          <w:szCs w:val="22"/>
        </w:rPr>
      </w:pPr>
      <w:r w:rsidRPr="004364C7">
        <w:rPr>
          <w:sz w:val="22"/>
          <w:szCs w:val="22"/>
        </w:rPr>
        <w:t>Clinical–biological dataset: two sequential INR values (INR1, INR2) per patient; age and sex; VKA molecule.</w:t>
      </w:r>
    </w:p>
    <w:p w14:paraId="2D045762" w14:textId="77777777" w:rsidR="00862424" w:rsidRPr="004364C7" w:rsidRDefault="00DD7026">
      <w:pPr>
        <w:jc w:val="both"/>
        <w:rPr>
          <w:sz w:val="22"/>
          <w:szCs w:val="22"/>
        </w:rPr>
      </w:pPr>
      <w:r w:rsidRPr="004364C7">
        <w:rPr>
          <w:sz w:val="22"/>
          <w:szCs w:val="22"/>
        </w:rPr>
        <w:t>Laboratory practices: structured questionnaire for laboratory staff (n=9) covering pre-analytical handling, internal quality control (IQC), equipment/stock continuity, training, and SOPs.</w:t>
      </w:r>
    </w:p>
    <w:p w14:paraId="1A990B91" w14:textId="77777777" w:rsidR="00862424" w:rsidRPr="004364C7" w:rsidRDefault="00DD7026">
      <w:pPr>
        <w:jc w:val="both"/>
        <w:rPr>
          <w:sz w:val="22"/>
          <w:szCs w:val="22"/>
        </w:rPr>
      </w:pPr>
      <w:r w:rsidRPr="004364C7">
        <w:rPr>
          <w:sz w:val="22"/>
          <w:szCs w:val="22"/>
        </w:rPr>
        <w:t>Prescribers’ perceptions: structured questionnaire for clinicians (n=13) addressing reliability, timeliness, communication, and priority improvements.</w:t>
      </w:r>
    </w:p>
    <w:p w14:paraId="7C5D7FA8" w14:textId="77777777" w:rsidR="00862424" w:rsidRPr="004364C7" w:rsidRDefault="00DD7026">
      <w:pPr>
        <w:rPr>
          <w:sz w:val="22"/>
          <w:szCs w:val="22"/>
        </w:rPr>
      </w:pPr>
      <w:r w:rsidRPr="004364C7">
        <w:rPr>
          <w:b/>
          <w:sz w:val="22"/>
          <w:szCs w:val="22"/>
        </w:rPr>
        <w:t>2.4 Laboratory methods and quality framework</w:t>
      </w:r>
    </w:p>
    <w:p w14:paraId="29F742E6" w14:textId="77777777" w:rsidR="00862424" w:rsidRPr="004364C7" w:rsidRDefault="00DD7026">
      <w:pPr>
        <w:jc w:val="both"/>
        <w:rPr>
          <w:sz w:val="22"/>
          <w:szCs w:val="22"/>
        </w:rPr>
      </w:pPr>
      <w:r w:rsidRPr="004364C7">
        <w:rPr>
          <w:sz w:val="22"/>
          <w:szCs w:val="22"/>
        </w:rPr>
        <w:t>PT/INR was measured on semi-automated coagulation analyzers under internal SOPs aligned with good practice for pre-analytical integrity and method performance. Critical-risk results triggered urgent communication to prescribers per local policy.</w:t>
      </w:r>
    </w:p>
    <w:p w14:paraId="0DCE3691" w14:textId="77777777" w:rsidR="00862424" w:rsidRPr="004364C7" w:rsidRDefault="00DD7026">
      <w:pPr>
        <w:rPr>
          <w:sz w:val="22"/>
          <w:szCs w:val="22"/>
        </w:rPr>
      </w:pPr>
      <w:r w:rsidRPr="004364C7">
        <w:rPr>
          <w:b/>
          <w:sz w:val="22"/>
          <w:szCs w:val="22"/>
        </w:rPr>
        <w:t>2.5 Statistical analysis</w:t>
      </w:r>
    </w:p>
    <w:p w14:paraId="3B101751" w14:textId="77777777" w:rsidR="00862424" w:rsidRPr="004364C7" w:rsidRDefault="00DD7026">
      <w:pPr>
        <w:jc w:val="both"/>
        <w:rPr>
          <w:sz w:val="22"/>
          <w:szCs w:val="22"/>
        </w:rPr>
      </w:pPr>
      <w:r w:rsidRPr="004364C7">
        <w:rPr>
          <w:sz w:val="22"/>
          <w:szCs w:val="22"/>
        </w:rPr>
        <w:t>Descriptive statistics summarized demographics and INR distributions. χ² tests evaluated associations between INR status (subtherapeutic/target/supratherapeutic) and demographics. Paired t-test and Wilcoxon signed-rank test assessed INR1</w:t>
      </w:r>
      <w:r w:rsidRPr="004364C7">
        <w:rPr>
          <w:rFonts w:ascii="Times New Roman" w:hAnsi="Times New Roman"/>
          <w:sz w:val="22"/>
          <w:szCs w:val="22"/>
        </w:rPr>
        <w:t>→</w:t>
      </w:r>
      <w:r w:rsidRPr="004364C7">
        <w:rPr>
          <w:sz w:val="22"/>
          <w:szCs w:val="22"/>
        </w:rPr>
        <w:t>INR2 changes (two-sided α=0.05).</w:t>
      </w:r>
    </w:p>
    <w:p w14:paraId="4A8B9E93" w14:textId="1E699173" w:rsidR="00862424" w:rsidRPr="004364C7" w:rsidRDefault="00DD7026">
      <w:pPr>
        <w:rPr>
          <w:sz w:val="22"/>
          <w:szCs w:val="22"/>
        </w:rPr>
      </w:pPr>
      <w:r w:rsidRPr="004364C7">
        <w:rPr>
          <w:b/>
          <w:sz w:val="22"/>
          <w:szCs w:val="22"/>
        </w:rPr>
        <w:t>3. RESULTS</w:t>
      </w:r>
      <w:r w:rsidR="00024F92" w:rsidRPr="004364C7">
        <w:rPr>
          <w:b/>
          <w:sz w:val="22"/>
          <w:szCs w:val="22"/>
        </w:rPr>
        <w:t xml:space="preserve"> &amp; DISCUSSION</w:t>
      </w:r>
    </w:p>
    <w:p w14:paraId="694F4584" w14:textId="77777777" w:rsidR="00862424" w:rsidRPr="004364C7" w:rsidRDefault="00DD7026">
      <w:pPr>
        <w:rPr>
          <w:sz w:val="22"/>
          <w:szCs w:val="22"/>
        </w:rPr>
      </w:pPr>
      <w:r w:rsidRPr="004364C7">
        <w:rPr>
          <w:b/>
          <w:sz w:val="22"/>
          <w:szCs w:val="22"/>
        </w:rPr>
        <w:t>I. Sociodemographic characteristics</w:t>
      </w:r>
    </w:p>
    <w:p w14:paraId="212ACA2C" w14:textId="77777777" w:rsidR="00862424" w:rsidRPr="004364C7" w:rsidRDefault="00DD7026" w:rsidP="00F46AC0">
      <w:pPr>
        <w:pBdr>
          <w:top w:val="single" w:sz="4" w:space="1" w:color="auto"/>
          <w:bottom w:val="single" w:sz="4" w:space="1" w:color="auto"/>
        </w:pBdr>
        <w:jc w:val="both"/>
        <w:rPr>
          <w:sz w:val="22"/>
          <w:szCs w:val="22"/>
        </w:rPr>
      </w:pPr>
      <w:r w:rsidRPr="004364C7">
        <w:rPr>
          <w:sz w:val="22"/>
          <w:szCs w:val="22"/>
        </w:rPr>
        <w:t>Table 1. Sociodemographic profile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00"/>
      </w:tblGrid>
      <w:tr w:rsidR="00862424" w:rsidRPr="004364C7" w14:paraId="3E0410D4" w14:textId="77777777" w:rsidTr="00F46AC0">
        <w:tc>
          <w:tcPr>
            <w:tcW w:w="5400" w:type="dxa"/>
          </w:tcPr>
          <w:p w14:paraId="019ABF13" w14:textId="77777777" w:rsidR="00862424" w:rsidRPr="004364C7" w:rsidRDefault="00DD7026" w:rsidP="00F46AC0">
            <w:pPr>
              <w:pBdr>
                <w:top w:val="single" w:sz="4" w:space="1" w:color="auto"/>
                <w:bottom w:val="single" w:sz="4" w:space="1" w:color="auto"/>
              </w:pBdr>
            </w:pPr>
            <w:r w:rsidRPr="004364C7">
              <w:t>Indicators</w:t>
            </w:r>
          </w:p>
        </w:tc>
        <w:tc>
          <w:tcPr>
            <w:tcW w:w="5400" w:type="dxa"/>
          </w:tcPr>
          <w:p w14:paraId="28A0DB26" w14:textId="77777777" w:rsidR="00862424" w:rsidRPr="004364C7" w:rsidRDefault="00DD7026" w:rsidP="00F46AC0">
            <w:pPr>
              <w:pBdr>
                <w:top w:val="single" w:sz="4" w:space="1" w:color="auto"/>
                <w:bottom w:val="single" w:sz="4" w:space="1" w:color="auto"/>
              </w:pBdr>
            </w:pPr>
            <w:r w:rsidRPr="004364C7">
              <w:t>Values</w:t>
            </w:r>
          </w:p>
        </w:tc>
      </w:tr>
      <w:tr w:rsidR="00862424" w:rsidRPr="004364C7" w14:paraId="623E8C69" w14:textId="77777777" w:rsidTr="00F46AC0">
        <w:tc>
          <w:tcPr>
            <w:tcW w:w="5400" w:type="dxa"/>
          </w:tcPr>
          <w:p w14:paraId="3D067A0F" w14:textId="77777777" w:rsidR="00862424" w:rsidRPr="004364C7" w:rsidRDefault="00DD7026">
            <w:r w:rsidRPr="004364C7">
              <w:t>Total sample</w:t>
            </w:r>
          </w:p>
        </w:tc>
        <w:tc>
          <w:tcPr>
            <w:tcW w:w="5400" w:type="dxa"/>
          </w:tcPr>
          <w:p w14:paraId="3C8555EF" w14:textId="77777777" w:rsidR="00862424" w:rsidRPr="004364C7" w:rsidRDefault="00DD7026">
            <w:r w:rsidRPr="004364C7">
              <w:t>33</w:t>
            </w:r>
          </w:p>
        </w:tc>
      </w:tr>
      <w:tr w:rsidR="00862424" w:rsidRPr="004364C7" w14:paraId="549BE7F2" w14:textId="77777777" w:rsidTr="00F46AC0">
        <w:tc>
          <w:tcPr>
            <w:tcW w:w="5400" w:type="dxa"/>
          </w:tcPr>
          <w:p w14:paraId="149D8924" w14:textId="77777777" w:rsidR="00862424" w:rsidRPr="004364C7" w:rsidRDefault="00DD7026">
            <w:r w:rsidRPr="004364C7">
              <w:t>Mean age ± SD</w:t>
            </w:r>
          </w:p>
        </w:tc>
        <w:tc>
          <w:tcPr>
            <w:tcW w:w="5400" w:type="dxa"/>
          </w:tcPr>
          <w:p w14:paraId="7AA2DA41" w14:textId="77777777" w:rsidR="00862424" w:rsidRPr="004364C7" w:rsidRDefault="00DD7026">
            <w:r w:rsidRPr="004364C7">
              <w:t>50.0 ± 20.0 years</w:t>
            </w:r>
          </w:p>
        </w:tc>
      </w:tr>
      <w:tr w:rsidR="00862424" w:rsidRPr="004364C7" w14:paraId="6B8A4D64" w14:textId="77777777" w:rsidTr="00F46AC0">
        <w:tc>
          <w:tcPr>
            <w:tcW w:w="5400" w:type="dxa"/>
          </w:tcPr>
          <w:p w14:paraId="7C1E242C" w14:textId="77777777" w:rsidR="00862424" w:rsidRPr="004364C7" w:rsidRDefault="00DD7026">
            <w:r w:rsidRPr="004364C7">
              <w:t>Median age (IQR)</w:t>
            </w:r>
          </w:p>
        </w:tc>
        <w:tc>
          <w:tcPr>
            <w:tcW w:w="5400" w:type="dxa"/>
          </w:tcPr>
          <w:p w14:paraId="2B5EB674" w14:textId="77777777" w:rsidR="00862424" w:rsidRPr="004364C7" w:rsidRDefault="00DD7026">
            <w:r w:rsidRPr="004364C7">
              <w:t>57 (38) years</w:t>
            </w:r>
          </w:p>
        </w:tc>
      </w:tr>
      <w:tr w:rsidR="00862424" w:rsidRPr="004364C7" w14:paraId="49F97370" w14:textId="77777777" w:rsidTr="00F46AC0">
        <w:tc>
          <w:tcPr>
            <w:tcW w:w="5400" w:type="dxa"/>
          </w:tcPr>
          <w:p w14:paraId="33C7D995" w14:textId="77777777" w:rsidR="00862424" w:rsidRPr="004364C7" w:rsidRDefault="00DD7026">
            <w:r w:rsidRPr="004364C7">
              <w:t>Age min – max</w:t>
            </w:r>
          </w:p>
        </w:tc>
        <w:tc>
          <w:tcPr>
            <w:tcW w:w="5400" w:type="dxa"/>
          </w:tcPr>
          <w:p w14:paraId="14F30452" w14:textId="77777777" w:rsidR="00862424" w:rsidRPr="004364C7" w:rsidRDefault="00DD7026">
            <w:r w:rsidRPr="004364C7">
              <w:t>16 – 79 years</w:t>
            </w:r>
          </w:p>
        </w:tc>
      </w:tr>
      <w:tr w:rsidR="00862424" w:rsidRPr="004364C7" w14:paraId="133AA7D0" w14:textId="77777777" w:rsidTr="00F46AC0">
        <w:tc>
          <w:tcPr>
            <w:tcW w:w="5400" w:type="dxa"/>
          </w:tcPr>
          <w:p w14:paraId="01CE6BA1" w14:textId="77777777" w:rsidR="00862424" w:rsidRPr="004364C7" w:rsidRDefault="00DD7026">
            <w:r w:rsidRPr="004364C7">
              <w:t>Sex ratio (M/F)</w:t>
            </w:r>
          </w:p>
        </w:tc>
        <w:tc>
          <w:tcPr>
            <w:tcW w:w="5400" w:type="dxa"/>
          </w:tcPr>
          <w:p w14:paraId="6703AE17" w14:textId="77777777" w:rsidR="00862424" w:rsidRPr="004364C7" w:rsidRDefault="00DD7026">
            <w:r w:rsidRPr="004364C7">
              <w:t>14 / 19</w:t>
            </w:r>
          </w:p>
        </w:tc>
      </w:tr>
      <w:tr w:rsidR="00862424" w:rsidRPr="004364C7" w14:paraId="495518CC" w14:textId="77777777" w:rsidTr="00F46AC0">
        <w:tc>
          <w:tcPr>
            <w:tcW w:w="5400" w:type="dxa"/>
            <w:tcBorders>
              <w:bottom w:val="single" w:sz="4" w:space="0" w:color="auto"/>
            </w:tcBorders>
          </w:tcPr>
          <w:p w14:paraId="4C449FEB" w14:textId="77777777" w:rsidR="00862424" w:rsidRPr="004364C7" w:rsidRDefault="00DD7026">
            <w:r w:rsidRPr="004364C7">
              <w:t>Most used VKA</w:t>
            </w:r>
          </w:p>
        </w:tc>
        <w:tc>
          <w:tcPr>
            <w:tcW w:w="5400" w:type="dxa"/>
            <w:tcBorders>
              <w:bottom w:val="single" w:sz="4" w:space="0" w:color="auto"/>
            </w:tcBorders>
          </w:tcPr>
          <w:p w14:paraId="7FB7CD8A" w14:textId="77777777" w:rsidR="00862424" w:rsidRPr="004364C7" w:rsidRDefault="00DD7026">
            <w:r w:rsidRPr="004364C7">
              <w:t>SINTROM (</w:t>
            </w:r>
            <w:proofErr w:type="spellStart"/>
            <w:r w:rsidRPr="004364C7">
              <w:t>acenocoumarol</w:t>
            </w:r>
            <w:proofErr w:type="spellEnd"/>
            <w:r w:rsidRPr="004364C7">
              <w:t>)</w:t>
            </w:r>
          </w:p>
        </w:tc>
      </w:tr>
    </w:tbl>
    <w:p w14:paraId="10BF321F" w14:textId="77777777" w:rsidR="00F46AC0" w:rsidRPr="004364C7" w:rsidRDefault="00F46AC0">
      <w:pPr>
        <w:jc w:val="both"/>
        <w:rPr>
          <w:sz w:val="22"/>
          <w:szCs w:val="22"/>
        </w:rPr>
      </w:pPr>
    </w:p>
    <w:p w14:paraId="4777AC2E" w14:textId="28A93A8A" w:rsidR="002273F0" w:rsidRPr="004364C7" w:rsidRDefault="002273F0" w:rsidP="002273F0">
      <w:pPr>
        <w:pStyle w:val="NormalWeb"/>
        <w:rPr>
          <w:rFonts w:ascii="Helvetica" w:hAnsi="Helvetica"/>
          <w:color w:val="000000"/>
          <w:sz w:val="22"/>
          <w:szCs w:val="22"/>
          <w:lang w:val="en-US"/>
        </w:rPr>
      </w:pPr>
      <w:r w:rsidRPr="004364C7">
        <w:rPr>
          <w:rFonts w:ascii="Helvetica" w:hAnsi="Helvetica"/>
          <w:color w:val="000000"/>
          <w:sz w:val="22"/>
          <w:szCs w:val="22"/>
          <w:lang w:val="en-US"/>
        </w:rPr>
        <w:t xml:space="preserve">The sociodemographic profile shows a predominance of women (57.6%), consistent with several African cohorts in which women make greater use of cardiology services. The median age of 57 years reflects a mature population exposed to cardiovascular conditions requiring VKAs. The predominant use of </w:t>
      </w:r>
      <w:proofErr w:type="spellStart"/>
      <w:r w:rsidRPr="004364C7">
        <w:rPr>
          <w:rFonts w:ascii="Helvetica" w:hAnsi="Helvetica"/>
          <w:color w:val="000000"/>
          <w:sz w:val="22"/>
          <w:szCs w:val="22"/>
          <w:lang w:val="en-US"/>
        </w:rPr>
        <w:t>acenocoumarol</w:t>
      </w:r>
      <w:proofErr w:type="spellEnd"/>
      <w:r w:rsidRPr="004364C7">
        <w:rPr>
          <w:rFonts w:ascii="Helvetica" w:hAnsi="Helvetica"/>
          <w:color w:val="000000"/>
          <w:sz w:val="22"/>
          <w:szCs w:val="22"/>
          <w:lang w:val="en-US"/>
        </w:rPr>
        <w:t>. confirms a regional preference driven by availability and lower cost relative to warfarin; however, its shorter half-life may contribute to greater INR variability.</w:t>
      </w:r>
    </w:p>
    <w:p w14:paraId="3D8B8E7B" w14:textId="77777777" w:rsidR="00862424" w:rsidRPr="004364C7" w:rsidRDefault="00DD7026">
      <w:pPr>
        <w:rPr>
          <w:sz w:val="22"/>
          <w:szCs w:val="22"/>
        </w:rPr>
      </w:pPr>
      <w:r w:rsidRPr="004364C7">
        <w:rPr>
          <w:b/>
          <w:sz w:val="22"/>
          <w:szCs w:val="22"/>
        </w:rPr>
        <w:t>II. Biological profiles (INR1 vs INR2)</w:t>
      </w:r>
    </w:p>
    <w:p w14:paraId="2DE5D2D6" w14:textId="77777777" w:rsidR="00862424" w:rsidRPr="004364C7" w:rsidRDefault="00DD7026">
      <w:pPr>
        <w:jc w:val="both"/>
        <w:rPr>
          <w:sz w:val="22"/>
          <w:szCs w:val="22"/>
        </w:rPr>
      </w:pPr>
      <w:r w:rsidRPr="004364C7">
        <w:rPr>
          <w:sz w:val="22"/>
          <w:szCs w:val="22"/>
        </w:rPr>
        <w:t>Table 2. INR1 and INR2 profiles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3600"/>
        <w:gridCol w:w="3600"/>
      </w:tblGrid>
      <w:tr w:rsidR="00862424" w:rsidRPr="004364C7" w14:paraId="2F43A689" w14:textId="77777777" w:rsidTr="00F46AC0">
        <w:tc>
          <w:tcPr>
            <w:tcW w:w="3600" w:type="dxa"/>
            <w:tcBorders>
              <w:top w:val="single" w:sz="4" w:space="0" w:color="auto"/>
              <w:bottom w:val="single" w:sz="4" w:space="0" w:color="auto"/>
            </w:tcBorders>
          </w:tcPr>
          <w:p w14:paraId="64D62086" w14:textId="77777777" w:rsidR="00862424" w:rsidRPr="004364C7" w:rsidRDefault="00DD7026">
            <w:r w:rsidRPr="004364C7">
              <w:t>Indicator</w:t>
            </w:r>
          </w:p>
        </w:tc>
        <w:tc>
          <w:tcPr>
            <w:tcW w:w="3600" w:type="dxa"/>
            <w:tcBorders>
              <w:top w:val="single" w:sz="4" w:space="0" w:color="auto"/>
              <w:bottom w:val="single" w:sz="4" w:space="0" w:color="auto"/>
            </w:tcBorders>
          </w:tcPr>
          <w:p w14:paraId="05AAAB25" w14:textId="77777777" w:rsidR="00862424" w:rsidRPr="004364C7" w:rsidRDefault="00DD7026">
            <w:r w:rsidRPr="004364C7">
              <w:t>INR1</w:t>
            </w:r>
          </w:p>
        </w:tc>
        <w:tc>
          <w:tcPr>
            <w:tcW w:w="3600" w:type="dxa"/>
            <w:tcBorders>
              <w:top w:val="single" w:sz="4" w:space="0" w:color="auto"/>
              <w:bottom w:val="single" w:sz="4" w:space="0" w:color="auto"/>
            </w:tcBorders>
          </w:tcPr>
          <w:p w14:paraId="7F746495" w14:textId="77777777" w:rsidR="00862424" w:rsidRPr="004364C7" w:rsidRDefault="00DD7026">
            <w:r w:rsidRPr="004364C7">
              <w:t>INR2</w:t>
            </w:r>
          </w:p>
        </w:tc>
      </w:tr>
      <w:tr w:rsidR="00862424" w:rsidRPr="004364C7" w14:paraId="00A30E72" w14:textId="77777777" w:rsidTr="00F46AC0">
        <w:tc>
          <w:tcPr>
            <w:tcW w:w="3600" w:type="dxa"/>
            <w:tcBorders>
              <w:top w:val="single" w:sz="4" w:space="0" w:color="auto"/>
            </w:tcBorders>
          </w:tcPr>
          <w:p w14:paraId="515899BB" w14:textId="77777777" w:rsidR="00862424" w:rsidRPr="004364C7" w:rsidRDefault="00DD7026">
            <w:r w:rsidRPr="004364C7">
              <w:t>Mean ± SD</w:t>
            </w:r>
          </w:p>
        </w:tc>
        <w:tc>
          <w:tcPr>
            <w:tcW w:w="3600" w:type="dxa"/>
            <w:tcBorders>
              <w:top w:val="single" w:sz="4" w:space="0" w:color="auto"/>
            </w:tcBorders>
          </w:tcPr>
          <w:p w14:paraId="4F0E6B1B" w14:textId="77777777" w:rsidR="00862424" w:rsidRPr="004364C7" w:rsidRDefault="00DD7026">
            <w:r w:rsidRPr="004364C7">
              <w:t>2.78 ± 1.40</w:t>
            </w:r>
          </w:p>
        </w:tc>
        <w:tc>
          <w:tcPr>
            <w:tcW w:w="3600" w:type="dxa"/>
            <w:tcBorders>
              <w:top w:val="single" w:sz="4" w:space="0" w:color="auto"/>
            </w:tcBorders>
          </w:tcPr>
          <w:p w14:paraId="772FD248" w14:textId="77777777" w:rsidR="00862424" w:rsidRPr="004364C7" w:rsidRDefault="00DD7026">
            <w:r w:rsidRPr="004364C7">
              <w:t>3.06 ± 1.39</w:t>
            </w:r>
          </w:p>
        </w:tc>
      </w:tr>
      <w:tr w:rsidR="00862424" w:rsidRPr="004364C7" w14:paraId="123FB7CF" w14:textId="77777777" w:rsidTr="00F46AC0">
        <w:tc>
          <w:tcPr>
            <w:tcW w:w="3600" w:type="dxa"/>
          </w:tcPr>
          <w:p w14:paraId="0A6DC950" w14:textId="77777777" w:rsidR="00862424" w:rsidRPr="004364C7" w:rsidRDefault="00DD7026">
            <w:r w:rsidRPr="004364C7">
              <w:t>Median (IQR)</w:t>
            </w:r>
          </w:p>
        </w:tc>
        <w:tc>
          <w:tcPr>
            <w:tcW w:w="3600" w:type="dxa"/>
          </w:tcPr>
          <w:p w14:paraId="30D0C7C0" w14:textId="77777777" w:rsidR="00862424" w:rsidRPr="004364C7" w:rsidRDefault="00DD7026">
            <w:r w:rsidRPr="004364C7">
              <w:t>2.43 (1.34)</w:t>
            </w:r>
          </w:p>
        </w:tc>
        <w:tc>
          <w:tcPr>
            <w:tcW w:w="3600" w:type="dxa"/>
          </w:tcPr>
          <w:p w14:paraId="548BCCE1" w14:textId="77777777" w:rsidR="00862424" w:rsidRPr="004364C7" w:rsidRDefault="00DD7026">
            <w:r w:rsidRPr="004364C7">
              <w:t>2.79 (1.49)</w:t>
            </w:r>
          </w:p>
        </w:tc>
      </w:tr>
      <w:tr w:rsidR="00862424" w:rsidRPr="004364C7" w14:paraId="4C108E7F" w14:textId="77777777" w:rsidTr="00F46AC0">
        <w:tc>
          <w:tcPr>
            <w:tcW w:w="3600" w:type="dxa"/>
          </w:tcPr>
          <w:p w14:paraId="317B36D3" w14:textId="77777777" w:rsidR="00862424" w:rsidRPr="004364C7" w:rsidRDefault="00DD7026">
            <w:r w:rsidRPr="004364C7">
              <w:t>Min – Max</w:t>
            </w:r>
          </w:p>
        </w:tc>
        <w:tc>
          <w:tcPr>
            <w:tcW w:w="3600" w:type="dxa"/>
          </w:tcPr>
          <w:p w14:paraId="5EF30016" w14:textId="77777777" w:rsidR="00862424" w:rsidRPr="004364C7" w:rsidRDefault="00DD7026">
            <w:r w:rsidRPr="004364C7">
              <w:t>1.10 – 6.27</w:t>
            </w:r>
          </w:p>
        </w:tc>
        <w:tc>
          <w:tcPr>
            <w:tcW w:w="3600" w:type="dxa"/>
          </w:tcPr>
          <w:p w14:paraId="2B57381E" w14:textId="77777777" w:rsidR="00862424" w:rsidRPr="004364C7" w:rsidRDefault="00DD7026">
            <w:r w:rsidRPr="004364C7">
              <w:t>1.00 – 6.25</w:t>
            </w:r>
          </w:p>
        </w:tc>
      </w:tr>
      <w:tr w:rsidR="00862424" w:rsidRPr="004364C7" w14:paraId="4A102C5E" w14:textId="77777777" w:rsidTr="00F46AC0">
        <w:tc>
          <w:tcPr>
            <w:tcW w:w="3600" w:type="dxa"/>
          </w:tcPr>
          <w:p w14:paraId="32376F6F" w14:textId="77777777" w:rsidR="00862424" w:rsidRPr="004364C7" w:rsidRDefault="00DD7026">
            <w:r w:rsidRPr="004364C7">
              <w:t>Subtherapeutic</w:t>
            </w:r>
          </w:p>
        </w:tc>
        <w:tc>
          <w:tcPr>
            <w:tcW w:w="3600" w:type="dxa"/>
          </w:tcPr>
          <w:p w14:paraId="13BAD23D" w14:textId="77777777" w:rsidR="00862424" w:rsidRPr="004364C7" w:rsidRDefault="00DD7026">
            <w:r w:rsidRPr="004364C7">
              <w:t>14 patients</w:t>
            </w:r>
          </w:p>
        </w:tc>
        <w:tc>
          <w:tcPr>
            <w:tcW w:w="3600" w:type="dxa"/>
          </w:tcPr>
          <w:p w14:paraId="01202AA2" w14:textId="77777777" w:rsidR="00862424" w:rsidRPr="004364C7" w:rsidRDefault="00DD7026">
            <w:r w:rsidRPr="004364C7">
              <w:t>10 patients</w:t>
            </w:r>
          </w:p>
        </w:tc>
      </w:tr>
      <w:tr w:rsidR="00862424" w:rsidRPr="004364C7" w14:paraId="189D72F4" w14:textId="77777777" w:rsidTr="00F46AC0">
        <w:tc>
          <w:tcPr>
            <w:tcW w:w="3600" w:type="dxa"/>
          </w:tcPr>
          <w:p w14:paraId="6982EFBC" w14:textId="77777777" w:rsidR="00862424" w:rsidRPr="004364C7" w:rsidRDefault="00DD7026">
            <w:r w:rsidRPr="004364C7">
              <w:t>Target</w:t>
            </w:r>
          </w:p>
        </w:tc>
        <w:tc>
          <w:tcPr>
            <w:tcW w:w="3600" w:type="dxa"/>
          </w:tcPr>
          <w:p w14:paraId="5F33DF94" w14:textId="77777777" w:rsidR="00862424" w:rsidRPr="004364C7" w:rsidRDefault="00DD7026">
            <w:r w:rsidRPr="004364C7">
              <w:t>8 patients</w:t>
            </w:r>
          </w:p>
        </w:tc>
        <w:tc>
          <w:tcPr>
            <w:tcW w:w="3600" w:type="dxa"/>
          </w:tcPr>
          <w:p w14:paraId="64151A43" w14:textId="77777777" w:rsidR="00862424" w:rsidRPr="004364C7" w:rsidRDefault="00DD7026">
            <w:r w:rsidRPr="004364C7">
              <w:t>7 patients</w:t>
            </w:r>
          </w:p>
        </w:tc>
      </w:tr>
      <w:tr w:rsidR="00862424" w:rsidRPr="004364C7" w14:paraId="247A19E5" w14:textId="77777777" w:rsidTr="00F46AC0">
        <w:tc>
          <w:tcPr>
            <w:tcW w:w="3600" w:type="dxa"/>
            <w:tcBorders>
              <w:bottom w:val="single" w:sz="4" w:space="0" w:color="auto"/>
            </w:tcBorders>
          </w:tcPr>
          <w:p w14:paraId="6B4FC2B8" w14:textId="77777777" w:rsidR="00862424" w:rsidRPr="004364C7" w:rsidRDefault="00DD7026">
            <w:r w:rsidRPr="004364C7">
              <w:lastRenderedPageBreak/>
              <w:t>Supratherapeutic</w:t>
            </w:r>
          </w:p>
        </w:tc>
        <w:tc>
          <w:tcPr>
            <w:tcW w:w="3600" w:type="dxa"/>
            <w:tcBorders>
              <w:bottom w:val="single" w:sz="4" w:space="0" w:color="auto"/>
            </w:tcBorders>
          </w:tcPr>
          <w:p w14:paraId="6DEE0301" w14:textId="77777777" w:rsidR="00862424" w:rsidRPr="004364C7" w:rsidRDefault="00DD7026">
            <w:r w:rsidRPr="004364C7">
              <w:t>11 patients</w:t>
            </w:r>
          </w:p>
        </w:tc>
        <w:tc>
          <w:tcPr>
            <w:tcW w:w="3600" w:type="dxa"/>
            <w:tcBorders>
              <w:bottom w:val="single" w:sz="4" w:space="0" w:color="auto"/>
            </w:tcBorders>
          </w:tcPr>
          <w:p w14:paraId="5EF6286F" w14:textId="77777777" w:rsidR="00862424" w:rsidRPr="004364C7" w:rsidRDefault="00DD7026">
            <w:r w:rsidRPr="004364C7">
              <w:t>16 patients</w:t>
            </w:r>
          </w:p>
        </w:tc>
      </w:tr>
    </w:tbl>
    <w:p w14:paraId="68231451" w14:textId="77777777" w:rsidR="00F46AC0" w:rsidRPr="004364C7" w:rsidRDefault="00F46AC0">
      <w:pPr>
        <w:jc w:val="both"/>
        <w:rPr>
          <w:sz w:val="22"/>
          <w:szCs w:val="22"/>
        </w:rPr>
      </w:pPr>
    </w:p>
    <w:p w14:paraId="348D7ADE" w14:textId="77777777" w:rsidR="002273F0" w:rsidRPr="004364C7" w:rsidRDefault="002273F0" w:rsidP="002273F0">
      <w:pPr>
        <w:pStyle w:val="NormalWeb"/>
        <w:rPr>
          <w:rFonts w:ascii="Helvetica" w:hAnsi="Helvetica"/>
          <w:color w:val="000000"/>
          <w:sz w:val="22"/>
          <w:szCs w:val="22"/>
          <w:lang w:val="en-US"/>
        </w:rPr>
      </w:pPr>
      <w:r w:rsidRPr="004364C7">
        <w:rPr>
          <w:rFonts w:ascii="Helvetica" w:hAnsi="Helvetica"/>
          <w:color w:val="000000"/>
          <w:sz w:val="22"/>
          <w:szCs w:val="22"/>
          <w:lang w:val="en-US"/>
        </w:rPr>
        <w:t xml:space="preserve">There is a reduction in the number of patients in the sub-therapeutic range (from 14 to 10), suggesting partial improvement in management. However, the rise in supra-therapeutic results (from 11 to 16, affecting nearly 48% of patients) indicates an increased risk of </w:t>
      </w:r>
      <w:proofErr w:type="spellStart"/>
      <w:r w:rsidRPr="004364C7">
        <w:rPr>
          <w:rFonts w:ascii="Helvetica" w:hAnsi="Helvetica"/>
          <w:color w:val="000000"/>
          <w:sz w:val="22"/>
          <w:szCs w:val="22"/>
          <w:lang w:val="en-US"/>
        </w:rPr>
        <w:t>haemorrhagic</w:t>
      </w:r>
      <w:proofErr w:type="spellEnd"/>
      <w:r w:rsidRPr="004364C7">
        <w:rPr>
          <w:rFonts w:ascii="Helvetica" w:hAnsi="Helvetica"/>
          <w:color w:val="000000"/>
          <w:sz w:val="22"/>
          <w:szCs w:val="22"/>
          <w:lang w:val="en-US"/>
        </w:rPr>
        <w:t xml:space="preserve"> complications. The slight upward shift in the median (from 2.43 to 2.79) suggests a tendency towards higher levels of anticoagulation, probably influenced by dose adjustments, but without overall </w:t>
      </w:r>
      <w:proofErr w:type="spellStart"/>
      <w:r w:rsidRPr="004364C7">
        <w:rPr>
          <w:rFonts w:ascii="Helvetica" w:hAnsi="Helvetica"/>
          <w:color w:val="000000"/>
          <w:sz w:val="22"/>
          <w:szCs w:val="22"/>
          <w:lang w:val="en-US"/>
        </w:rPr>
        <w:t>stabilisation</w:t>
      </w:r>
      <w:proofErr w:type="spellEnd"/>
      <w:r w:rsidRPr="004364C7">
        <w:rPr>
          <w:rFonts w:ascii="Helvetica" w:hAnsi="Helvetica"/>
          <w:color w:val="000000"/>
          <w:sz w:val="22"/>
          <w:szCs w:val="22"/>
          <w:lang w:val="en-US"/>
        </w:rPr>
        <w:t>.</w:t>
      </w:r>
    </w:p>
    <w:p w14:paraId="54C45A32" w14:textId="77777777" w:rsidR="00F46AC0" w:rsidRPr="004364C7" w:rsidRDefault="00F46AC0">
      <w:pPr>
        <w:jc w:val="both"/>
        <w:rPr>
          <w:sz w:val="22"/>
          <w:szCs w:val="22"/>
        </w:rPr>
      </w:pPr>
    </w:p>
    <w:p w14:paraId="200106D7" w14:textId="77777777" w:rsidR="00F46AC0" w:rsidRPr="004364C7" w:rsidRDefault="00F46AC0">
      <w:pPr>
        <w:jc w:val="both"/>
        <w:rPr>
          <w:sz w:val="22"/>
          <w:szCs w:val="22"/>
        </w:rPr>
      </w:pPr>
    </w:p>
    <w:p w14:paraId="67CEC824" w14:textId="77777777" w:rsidR="00862424" w:rsidRPr="004364C7" w:rsidRDefault="00DD7026">
      <w:pPr>
        <w:rPr>
          <w:sz w:val="22"/>
          <w:szCs w:val="22"/>
        </w:rPr>
      </w:pPr>
      <w:r w:rsidRPr="004364C7">
        <w:rPr>
          <w:b/>
          <w:sz w:val="22"/>
          <w:szCs w:val="22"/>
        </w:rPr>
        <w:t>III. Cross-tabulations (age, sex vs INR2 status)</w:t>
      </w:r>
    </w:p>
    <w:p w14:paraId="02E0FB4D" w14:textId="77777777" w:rsidR="00862424" w:rsidRPr="004364C7" w:rsidRDefault="00DD7026">
      <w:pPr>
        <w:jc w:val="both"/>
        <w:rPr>
          <w:sz w:val="22"/>
          <w:szCs w:val="22"/>
        </w:rPr>
      </w:pPr>
      <w:r w:rsidRPr="004364C7">
        <w:rPr>
          <w:sz w:val="22"/>
          <w:szCs w:val="22"/>
        </w:rPr>
        <w:t>Table 3. Association tests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3600"/>
        <w:gridCol w:w="3600"/>
      </w:tblGrid>
      <w:tr w:rsidR="00862424" w:rsidRPr="004364C7" w14:paraId="6010523E" w14:textId="77777777" w:rsidTr="00F46AC0">
        <w:tc>
          <w:tcPr>
            <w:tcW w:w="3600" w:type="dxa"/>
            <w:tcBorders>
              <w:top w:val="single" w:sz="4" w:space="0" w:color="auto"/>
              <w:bottom w:val="single" w:sz="4" w:space="0" w:color="auto"/>
            </w:tcBorders>
          </w:tcPr>
          <w:p w14:paraId="0C1573DF" w14:textId="77777777" w:rsidR="00862424" w:rsidRPr="004364C7" w:rsidRDefault="00DD7026">
            <w:r w:rsidRPr="004364C7">
              <w:t>Crossed variables</w:t>
            </w:r>
          </w:p>
        </w:tc>
        <w:tc>
          <w:tcPr>
            <w:tcW w:w="3600" w:type="dxa"/>
            <w:tcBorders>
              <w:top w:val="single" w:sz="4" w:space="0" w:color="auto"/>
              <w:bottom w:val="single" w:sz="4" w:space="0" w:color="auto"/>
            </w:tcBorders>
          </w:tcPr>
          <w:p w14:paraId="2E0ADCA6" w14:textId="77777777" w:rsidR="00862424" w:rsidRPr="004364C7" w:rsidRDefault="00DD7026">
            <w:r w:rsidRPr="004364C7">
              <w:t>Test</w:t>
            </w:r>
          </w:p>
        </w:tc>
        <w:tc>
          <w:tcPr>
            <w:tcW w:w="3600" w:type="dxa"/>
            <w:tcBorders>
              <w:top w:val="single" w:sz="4" w:space="0" w:color="auto"/>
              <w:bottom w:val="single" w:sz="4" w:space="0" w:color="auto"/>
            </w:tcBorders>
          </w:tcPr>
          <w:p w14:paraId="71BFA455" w14:textId="77777777" w:rsidR="00862424" w:rsidRPr="004364C7" w:rsidRDefault="00DD7026">
            <w:r w:rsidRPr="004364C7">
              <w:t>p-value</w:t>
            </w:r>
          </w:p>
        </w:tc>
      </w:tr>
      <w:tr w:rsidR="00862424" w:rsidRPr="004364C7" w14:paraId="687CD5F5" w14:textId="77777777" w:rsidTr="00F46AC0">
        <w:tc>
          <w:tcPr>
            <w:tcW w:w="3600" w:type="dxa"/>
            <w:tcBorders>
              <w:top w:val="single" w:sz="4" w:space="0" w:color="auto"/>
            </w:tcBorders>
          </w:tcPr>
          <w:p w14:paraId="6D2FF242" w14:textId="77777777" w:rsidR="00862424" w:rsidRPr="004364C7" w:rsidRDefault="00DD7026">
            <w:r w:rsidRPr="004364C7">
              <w:t>Age group vs INR2 status</w:t>
            </w:r>
          </w:p>
        </w:tc>
        <w:tc>
          <w:tcPr>
            <w:tcW w:w="3600" w:type="dxa"/>
            <w:tcBorders>
              <w:top w:val="single" w:sz="4" w:space="0" w:color="auto"/>
            </w:tcBorders>
          </w:tcPr>
          <w:p w14:paraId="636DB0BB" w14:textId="77777777" w:rsidR="00862424" w:rsidRPr="004364C7" w:rsidRDefault="00DD7026">
            <w:r w:rsidRPr="004364C7">
              <w:t>χ²</w:t>
            </w:r>
          </w:p>
        </w:tc>
        <w:tc>
          <w:tcPr>
            <w:tcW w:w="3600" w:type="dxa"/>
            <w:tcBorders>
              <w:top w:val="single" w:sz="4" w:space="0" w:color="auto"/>
            </w:tcBorders>
          </w:tcPr>
          <w:p w14:paraId="0221DF36" w14:textId="77777777" w:rsidR="00862424" w:rsidRPr="004364C7" w:rsidRDefault="00DD7026">
            <w:r w:rsidRPr="004364C7">
              <w:t>0.0737</w:t>
            </w:r>
          </w:p>
        </w:tc>
      </w:tr>
      <w:tr w:rsidR="00862424" w:rsidRPr="004364C7" w14:paraId="2A8D8A79" w14:textId="77777777" w:rsidTr="00F46AC0">
        <w:tc>
          <w:tcPr>
            <w:tcW w:w="3600" w:type="dxa"/>
            <w:tcBorders>
              <w:bottom w:val="single" w:sz="4" w:space="0" w:color="auto"/>
            </w:tcBorders>
          </w:tcPr>
          <w:p w14:paraId="182912D1" w14:textId="77777777" w:rsidR="00862424" w:rsidRPr="004364C7" w:rsidRDefault="00DD7026">
            <w:r w:rsidRPr="004364C7">
              <w:t>Sex vs INR2 status</w:t>
            </w:r>
          </w:p>
        </w:tc>
        <w:tc>
          <w:tcPr>
            <w:tcW w:w="3600" w:type="dxa"/>
            <w:tcBorders>
              <w:bottom w:val="single" w:sz="4" w:space="0" w:color="auto"/>
            </w:tcBorders>
          </w:tcPr>
          <w:p w14:paraId="7AC39B3D" w14:textId="77777777" w:rsidR="00862424" w:rsidRPr="004364C7" w:rsidRDefault="00DD7026">
            <w:r w:rsidRPr="004364C7">
              <w:t>χ²</w:t>
            </w:r>
          </w:p>
        </w:tc>
        <w:tc>
          <w:tcPr>
            <w:tcW w:w="3600" w:type="dxa"/>
            <w:tcBorders>
              <w:bottom w:val="single" w:sz="4" w:space="0" w:color="auto"/>
            </w:tcBorders>
          </w:tcPr>
          <w:p w14:paraId="3D275FA8" w14:textId="77777777" w:rsidR="00862424" w:rsidRPr="004364C7" w:rsidRDefault="00DD7026">
            <w:r w:rsidRPr="004364C7">
              <w:t>0.0934</w:t>
            </w:r>
          </w:p>
        </w:tc>
      </w:tr>
    </w:tbl>
    <w:p w14:paraId="0234E97A" w14:textId="77777777" w:rsidR="001A4838" w:rsidRPr="004364C7" w:rsidRDefault="001A4838" w:rsidP="001A4838">
      <w:pPr>
        <w:spacing w:before="100" w:beforeAutospacing="1" w:after="100" w:afterAutospacing="1"/>
        <w:rPr>
          <w:color w:val="000000"/>
          <w:sz w:val="22"/>
          <w:szCs w:val="22"/>
          <w:lang w:eastAsia="fr-FR"/>
        </w:rPr>
      </w:pPr>
      <w:r w:rsidRPr="004364C7">
        <w:rPr>
          <w:color w:val="000000"/>
          <w:sz w:val="22"/>
          <w:szCs w:val="22"/>
          <w:lang w:eastAsia="fr-FR"/>
        </w:rPr>
        <w:t>Associations between INR2 status and age or sex do not reach statistical significance, although near-threshold p values (0.0737 and 0.0934) suggest a possible trend. This implies that larger samples might reveal genuine demographic effects on anticoagulation control. The absence of detection here may be explained by the small sample size and the intrinsic variability of INR.</w:t>
      </w:r>
    </w:p>
    <w:p w14:paraId="0CF5A9E3" w14:textId="2C863A37" w:rsidR="002273F0" w:rsidRPr="004364C7" w:rsidRDefault="002273F0" w:rsidP="002273F0">
      <w:pPr>
        <w:jc w:val="both"/>
        <w:rPr>
          <w:sz w:val="22"/>
          <w:szCs w:val="22"/>
        </w:rPr>
      </w:pPr>
    </w:p>
    <w:p w14:paraId="6853BF16" w14:textId="77777777" w:rsidR="00862424" w:rsidRPr="004364C7" w:rsidRDefault="00DD7026">
      <w:pPr>
        <w:rPr>
          <w:sz w:val="22"/>
          <w:szCs w:val="22"/>
        </w:rPr>
      </w:pPr>
      <w:r w:rsidRPr="004364C7">
        <w:rPr>
          <w:b/>
          <w:sz w:val="22"/>
          <w:szCs w:val="22"/>
        </w:rPr>
        <w:t>IV. Paired comparison (INR1 vs INR2)</w:t>
      </w:r>
    </w:p>
    <w:p w14:paraId="6FD6A693" w14:textId="77777777" w:rsidR="00862424" w:rsidRPr="004364C7" w:rsidRDefault="00DD7026">
      <w:pPr>
        <w:jc w:val="both"/>
        <w:rPr>
          <w:sz w:val="22"/>
          <w:szCs w:val="22"/>
        </w:rPr>
      </w:pPr>
      <w:r w:rsidRPr="004364C7">
        <w:rPr>
          <w:sz w:val="22"/>
          <w:szCs w:val="22"/>
        </w:rPr>
        <w:t>Table 4. Paired tests</w:t>
      </w:r>
    </w:p>
    <w:p w14:paraId="3A3FCE60" w14:textId="77777777" w:rsidR="00F46AC0" w:rsidRPr="004364C7" w:rsidRDefault="00F46AC0">
      <w:pPr>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00"/>
      </w:tblGrid>
      <w:tr w:rsidR="00862424" w:rsidRPr="004364C7" w14:paraId="012E9022" w14:textId="77777777" w:rsidTr="00F46AC0">
        <w:tc>
          <w:tcPr>
            <w:tcW w:w="5400" w:type="dxa"/>
            <w:tcBorders>
              <w:bottom w:val="single" w:sz="4" w:space="0" w:color="auto"/>
            </w:tcBorders>
          </w:tcPr>
          <w:p w14:paraId="18C151B6" w14:textId="77777777" w:rsidR="00862424" w:rsidRPr="004364C7" w:rsidRDefault="00DD7026">
            <w:r w:rsidRPr="004364C7">
              <w:t>Statistical test</w:t>
            </w:r>
          </w:p>
        </w:tc>
        <w:tc>
          <w:tcPr>
            <w:tcW w:w="5400" w:type="dxa"/>
            <w:tcBorders>
              <w:bottom w:val="single" w:sz="4" w:space="0" w:color="auto"/>
            </w:tcBorders>
          </w:tcPr>
          <w:p w14:paraId="4B6873C8" w14:textId="77777777" w:rsidR="00862424" w:rsidRPr="004364C7" w:rsidRDefault="00DD7026">
            <w:r w:rsidRPr="004364C7">
              <w:t>p-value</w:t>
            </w:r>
          </w:p>
        </w:tc>
      </w:tr>
      <w:tr w:rsidR="00862424" w:rsidRPr="004364C7" w14:paraId="1F6B5547" w14:textId="77777777" w:rsidTr="00F46AC0">
        <w:tc>
          <w:tcPr>
            <w:tcW w:w="5400" w:type="dxa"/>
            <w:tcBorders>
              <w:top w:val="single" w:sz="4" w:space="0" w:color="auto"/>
            </w:tcBorders>
          </w:tcPr>
          <w:p w14:paraId="725C1EF9" w14:textId="77777777" w:rsidR="00862424" w:rsidRPr="004364C7" w:rsidRDefault="00DD7026">
            <w:r w:rsidRPr="004364C7">
              <w:t>Paired Student t-test</w:t>
            </w:r>
          </w:p>
        </w:tc>
        <w:tc>
          <w:tcPr>
            <w:tcW w:w="5400" w:type="dxa"/>
            <w:tcBorders>
              <w:top w:val="single" w:sz="4" w:space="0" w:color="auto"/>
            </w:tcBorders>
          </w:tcPr>
          <w:p w14:paraId="531D2042" w14:textId="77777777" w:rsidR="00862424" w:rsidRPr="004364C7" w:rsidRDefault="00DD7026">
            <w:r w:rsidRPr="004364C7">
              <w:t>0.2403</w:t>
            </w:r>
          </w:p>
        </w:tc>
      </w:tr>
      <w:tr w:rsidR="00862424" w:rsidRPr="004364C7" w14:paraId="7BD8A1A3" w14:textId="77777777" w:rsidTr="00F46AC0">
        <w:tc>
          <w:tcPr>
            <w:tcW w:w="5400" w:type="dxa"/>
            <w:tcBorders>
              <w:bottom w:val="single" w:sz="4" w:space="0" w:color="auto"/>
            </w:tcBorders>
          </w:tcPr>
          <w:p w14:paraId="73B33B57" w14:textId="77777777" w:rsidR="00862424" w:rsidRPr="004364C7" w:rsidRDefault="00DD7026">
            <w:r w:rsidRPr="004364C7">
              <w:t>Wilcoxon signed-rank test</w:t>
            </w:r>
          </w:p>
        </w:tc>
        <w:tc>
          <w:tcPr>
            <w:tcW w:w="5400" w:type="dxa"/>
            <w:tcBorders>
              <w:bottom w:val="single" w:sz="4" w:space="0" w:color="auto"/>
            </w:tcBorders>
          </w:tcPr>
          <w:p w14:paraId="3DF85B70" w14:textId="77777777" w:rsidR="00862424" w:rsidRPr="004364C7" w:rsidRDefault="00DD7026">
            <w:r w:rsidRPr="004364C7">
              <w:t>0.3775</w:t>
            </w:r>
          </w:p>
        </w:tc>
      </w:tr>
    </w:tbl>
    <w:p w14:paraId="6839FFE3" w14:textId="77777777" w:rsidR="00F46AC0" w:rsidRPr="004364C7" w:rsidRDefault="00F46AC0">
      <w:pPr>
        <w:jc w:val="both"/>
        <w:rPr>
          <w:sz w:val="22"/>
          <w:szCs w:val="22"/>
        </w:rPr>
      </w:pPr>
    </w:p>
    <w:p w14:paraId="6F6365A8" w14:textId="77777777" w:rsidR="001A4838" w:rsidRPr="004364C7" w:rsidRDefault="001A4838" w:rsidP="001A4838">
      <w:pPr>
        <w:spacing w:before="100" w:beforeAutospacing="1" w:after="100" w:afterAutospacing="1"/>
        <w:rPr>
          <w:color w:val="000000"/>
          <w:sz w:val="22"/>
          <w:szCs w:val="22"/>
          <w:lang w:eastAsia="fr-FR"/>
        </w:rPr>
      </w:pPr>
      <w:r w:rsidRPr="004364C7">
        <w:rPr>
          <w:color w:val="000000"/>
          <w:sz w:val="22"/>
          <w:szCs w:val="22"/>
          <w:lang w:eastAsia="fr-FR"/>
        </w:rPr>
        <w:t xml:space="preserve">The lack of a significant difference between INR1 and INR2 (paired t-test p=0.24; Wilcoxon p=0.38) indicates that observed changes did not meet a robust statistical threshold. Nevertheless, the clinical variability remains pertinent, as individual excursions can translate into </w:t>
      </w:r>
      <w:proofErr w:type="spellStart"/>
      <w:r w:rsidRPr="004364C7">
        <w:rPr>
          <w:color w:val="000000"/>
          <w:sz w:val="22"/>
          <w:szCs w:val="22"/>
          <w:lang w:eastAsia="fr-FR"/>
        </w:rPr>
        <w:t>haemorrhagic</w:t>
      </w:r>
      <w:proofErr w:type="spellEnd"/>
      <w:r w:rsidRPr="004364C7">
        <w:rPr>
          <w:color w:val="000000"/>
          <w:sz w:val="22"/>
          <w:szCs w:val="22"/>
          <w:lang w:eastAsia="fr-FR"/>
        </w:rPr>
        <w:t xml:space="preserve"> or thromboembolic risks that aggregate statistical tests may fail to capture.</w:t>
      </w:r>
    </w:p>
    <w:p w14:paraId="18F2D8E2" w14:textId="77777777" w:rsidR="001A4838" w:rsidRPr="004364C7" w:rsidRDefault="001A4838">
      <w:pPr>
        <w:rPr>
          <w:sz w:val="22"/>
          <w:szCs w:val="22"/>
        </w:rPr>
      </w:pPr>
    </w:p>
    <w:p w14:paraId="64B5323C" w14:textId="77777777" w:rsidR="00D346BC" w:rsidRPr="004364C7" w:rsidRDefault="00D346BC">
      <w:pPr>
        <w:rPr>
          <w:sz w:val="22"/>
          <w:szCs w:val="22"/>
        </w:rPr>
      </w:pPr>
    </w:p>
    <w:p w14:paraId="567D1844" w14:textId="77777777" w:rsidR="00D346BC" w:rsidRPr="004364C7" w:rsidRDefault="00D346BC">
      <w:pPr>
        <w:rPr>
          <w:sz w:val="22"/>
          <w:szCs w:val="22"/>
        </w:rPr>
      </w:pPr>
    </w:p>
    <w:p w14:paraId="08CF6177" w14:textId="77777777" w:rsidR="00D346BC" w:rsidRPr="004364C7" w:rsidRDefault="00D346BC">
      <w:pPr>
        <w:rPr>
          <w:sz w:val="22"/>
          <w:szCs w:val="22"/>
        </w:rPr>
      </w:pPr>
    </w:p>
    <w:p w14:paraId="623B7E49" w14:textId="77777777" w:rsidR="00D346BC" w:rsidRPr="004364C7" w:rsidRDefault="00D346BC">
      <w:pPr>
        <w:rPr>
          <w:sz w:val="22"/>
          <w:szCs w:val="22"/>
        </w:rPr>
      </w:pPr>
    </w:p>
    <w:p w14:paraId="0CA186A1" w14:textId="77777777" w:rsidR="00D346BC" w:rsidRPr="004364C7" w:rsidRDefault="00D346BC">
      <w:pPr>
        <w:rPr>
          <w:sz w:val="22"/>
          <w:szCs w:val="22"/>
        </w:rPr>
      </w:pPr>
    </w:p>
    <w:p w14:paraId="11E44695" w14:textId="77777777" w:rsidR="00D346BC" w:rsidRPr="004364C7" w:rsidRDefault="00D346BC">
      <w:pPr>
        <w:rPr>
          <w:sz w:val="22"/>
          <w:szCs w:val="22"/>
        </w:rPr>
      </w:pPr>
    </w:p>
    <w:p w14:paraId="5271EA0C" w14:textId="19EC4A80" w:rsidR="00862424" w:rsidRPr="004364C7" w:rsidRDefault="00DD7026">
      <w:pPr>
        <w:rPr>
          <w:sz w:val="22"/>
          <w:szCs w:val="22"/>
        </w:rPr>
      </w:pPr>
      <w:r w:rsidRPr="004364C7">
        <w:rPr>
          <w:b/>
          <w:sz w:val="22"/>
          <w:szCs w:val="22"/>
        </w:rPr>
        <w:t>V. Laboratory staff survey (Annex)</w:t>
      </w:r>
    </w:p>
    <w:p w14:paraId="772CC03F" w14:textId="77777777" w:rsidR="00862424" w:rsidRPr="004364C7" w:rsidRDefault="00DD7026">
      <w:pPr>
        <w:jc w:val="both"/>
        <w:rPr>
          <w:sz w:val="22"/>
          <w:szCs w:val="22"/>
        </w:rPr>
      </w:pPr>
      <w:r w:rsidRPr="004364C7">
        <w:rPr>
          <w:sz w:val="22"/>
          <w:szCs w:val="22"/>
        </w:rPr>
        <w:t>Table 5. Closed questions—laboratory staff</w:t>
      </w:r>
    </w:p>
    <w:p w14:paraId="5CD0261A" w14:textId="77777777" w:rsidR="00F46AC0" w:rsidRPr="004364C7" w:rsidRDefault="00F46AC0">
      <w:pPr>
        <w:jc w:val="both"/>
        <w:rPr>
          <w:sz w:val="22"/>
          <w:szCs w:val="22"/>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3600"/>
        <w:gridCol w:w="3600"/>
      </w:tblGrid>
      <w:tr w:rsidR="00862424" w:rsidRPr="004364C7" w14:paraId="094A9CAD" w14:textId="77777777" w:rsidTr="00F46AC0">
        <w:tc>
          <w:tcPr>
            <w:tcW w:w="3600" w:type="dxa"/>
            <w:tcBorders>
              <w:top w:val="single" w:sz="4" w:space="0" w:color="auto"/>
              <w:bottom w:val="single" w:sz="4" w:space="0" w:color="auto"/>
            </w:tcBorders>
          </w:tcPr>
          <w:p w14:paraId="0AD834B0" w14:textId="77777777" w:rsidR="00862424" w:rsidRPr="004364C7" w:rsidRDefault="00DD7026">
            <w:r w:rsidRPr="004364C7">
              <w:t>Question (n)</w:t>
            </w:r>
          </w:p>
        </w:tc>
        <w:tc>
          <w:tcPr>
            <w:tcW w:w="3600" w:type="dxa"/>
            <w:tcBorders>
              <w:top w:val="single" w:sz="4" w:space="0" w:color="auto"/>
              <w:bottom w:val="single" w:sz="4" w:space="0" w:color="auto"/>
            </w:tcBorders>
          </w:tcPr>
          <w:p w14:paraId="236A0AE6" w14:textId="77777777" w:rsidR="00862424" w:rsidRPr="004364C7" w:rsidRDefault="00DD7026">
            <w:r w:rsidRPr="004364C7">
              <w:t>Options</w:t>
            </w:r>
          </w:p>
        </w:tc>
        <w:tc>
          <w:tcPr>
            <w:tcW w:w="3600" w:type="dxa"/>
            <w:tcBorders>
              <w:top w:val="single" w:sz="4" w:space="0" w:color="auto"/>
              <w:bottom w:val="single" w:sz="4" w:space="0" w:color="auto"/>
            </w:tcBorders>
          </w:tcPr>
          <w:p w14:paraId="3630CD8E" w14:textId="77777777" w:rsidR="00862424" w:rsidRPr="004364C7" w:rsidRDefault="00DD7026">
            <w:r w:rsidRPr="004364C7">
              <w:t>% (n)</w:t>
            </w:r>
          </w:p>
        </w:tc>
      </w:tr>
      <w:tr w:rsidR="00862424" w:rsidRPr="004364C7" w14:paraId="3D5779C2" w14:textId="77777777" w:rsidTr="00F46AC0">
        <w:tc>
          <w:tcPr>
            <w:tcW w:w="3600" w:type="dxa"/>
            <w:tcBorders>
              <w:top w:val="single" w:sz="4" w:space="0" w:color="auto"/>
            </w:tcBorders>
          </w:tcPr>
          <w:p w14:paraId="0E695565" w14:textId="77777777" w:rsidR="00862424" w:rsidRPr="004364C7" w:rsidRDefault="00DD7026">
            <w:r w:rsidRPr="004364C7">
              <w:t>Specific training received? (9)</w:t>
            </w:r>
          </w:p>
        </w:tc>
        <w:tc>
          <w:tcPr>
            <w:tcW w:w="3600" w:type="dxa"/>
            <w:tcBorders>
              <w:top w:val="single" w:sz="4" w:space="0" w:color="auto"/>
            </w:tcBorders>
          </w:tcPr>
          <w:p w14:paraId="79FDAE2C" w14:textId="77777777" w:rsidR="00862424" w:rsidRPr="004364C7" w:rsidRDefault="00DD7026">
            <w:r w:rsidRPr="004364C7">
              <w:t>Yes / No</w:t>
            </w:r>
          </w:p>
        </w:tc>
        <w:tc>
          <w:tcPr>
            <w:tcW w:w="3600" w:type="dxa"/>
            <w:tcBorders>
              <w:top w:val="single" w:sz="4" w:space="0" w:color="auto"/>
            </w:tcBorders>
          </w:tcPr>
          <w:p w14:paraId="140FCDD1" w14:textId="77777777" w:rsidR="00862424" w:rsidRPr="004364C7" w:rsidRDefault="00DD7026">
            <w:r w:rsidRPr="004364C7">
              <w:t>55.6 (5) / 44.4 (4)</w:t>
            </w:r>
          </w:p>
        </w:tc>
      </w:tr>
      <w:tr w:rsidR="00862424" w:rsidRPr="004364C7" w14:paraId="7609C8E8" w14:textId="77777777" w:rsidTr="00F46AC0">
        <w:tc>
          <w:tcPr>
            <w:tcW w:w="3600" w:type="dxa"/>
          </w:tcPr>
          <w:p w14:paraId="5FE6CF1B" w14:textId="77777777" w:rsidR="00862424" w:rsidRPr="004364C7" w:rsidRDefault="00DD7026">
            <w:r w:rsidRPr="004364C7">
              <w:t>Equipment adequate for INR? (8)</w:t>
            </w:r>
          </w:p>
        </w:tc>
        <w:tc>
          <w:tcPr>
            <w:tcW w:w="3600" w:type="dxa"/>
          </w:tcPr>
          <w:p w14:paraId="34A43186" w14:textId="77777777" w:rsidR="00862424" w:rsidRPr="004364C7" w:rsidRDefault="00DD7026">
            <w:r w:rsidRPr="004364C7">
              <w:t>Yes</w:t>
            </w:r>
          </w:p>
        </w:tc>
        <w:tc>
          <w:tcPr>
            <w:tcW w:w="3600" w:type="dxa"/>
          </w:tcPr>
          <w:p w14:paraId="1A0CBF0B" w14:textId="77777777" w:rsidR="00862424" w:rsidRPr="004364C7" w:rsidRDefault="00DD7026">
            <w:r w:rsidRPr="004364C7">
              <w:t>100.0 (8)</w:t>
            </w:r>
          </w:p>
        </w:tc>
      </w:tr>
      <w:tr w:rsidR="00862424" w:rsidRPr="004364C7" w14:paraId="590A639B" w14:textId="77777777" w:rsidTr="00F46AC0">
        <w:tc>
          <w:tcPr>
            <w:tcW w:w="3600" w:type="dxa"/>
          </w:tcPr>
          <w:p w14:paraId="706D6A28" w14:textId="77777777" w:rsidR="00862424" w:rsidRPr="004364C7" w:rsidRDefault="00DD7026">
            <w:r w:rsidRPr="004364C7">
              <w:t>Standardized INR protocol? (9)</w:t>
            </w:r>
          </w:p>
        </w:tc>
        <w:tc>
          <w:tcPr>
            <w:tcW w:w="3600" w:type="dxa"/>
          </w:tcPr>
          <w:p w14:paraId="308E86BB" w14:textId="77777777" w:rsidR="00862424" w:rsidRPr="004364C7" w:rsidRDefault="00DD7026">
            <w:r w:rsidRPr="004364C7">
              <w:t>Yes / No</w:t>
            </w:r>
          </w:p>
        </w:tc>
        <w:tc>
          <w:tcPr>
            <w:tcW w:w="3600" w:type="dxa"/>
          </w:tcPr>
          <w:p w14:paraId="66D373B2" w14:textId="77777777" w:rsidR="00862424" w:rsidRPr="004364C7" w:rsidRDefault="00DD7026">
            <w:r w:rsidRPr="004364C7">
              <w:t>88.9 (8) / 11.1 (1)</w:t>
            </w:r>
          </w:p>
        </w:tc>
      </w:tr>
      <w:tr w:rsidR="00862424" w:rsidRPr="004364C7" w14:paraId="22E4A9DF" w14:textId="77777777" w:rsidTr="00F46AC0">
        <w:tc>
          <w:tcPr>
            <w:tcW w:w="3600" w:type="dxa"/>
          </w:tcPr>
          <w:p w14:paraId="7E9C1961" w14:textId="77777777" w:rsidR="00862424" w:rsidRPr="004364C7" w:rsidRDefault="00DD7026">
            <w:r w:rsidRPr="004364C7">
              <w:t>Regular QC? (9)</w:t>
            </w:r>
          </w:p>
        </w:tc>
        <w:tc>
          <w:tcPr>
            <w:tcW w:w="3600" w:type="dxa"/>
          </w:tcPr>
          <w:p w14:paraId="4586A9E8" w14:textId="77777777" w:rsidR="00862424" w:rsidRPr="004364C7" w:rsidRDefault="00DD7026">
            <w:r w:rsidRPr="004364C7">
              <w:t>Yes / No</w:t>
            </w:r>
          </w:p>
        </w:tc>
        <w:tc>
          <w:tcPr>
            <w:tcW w:w="3600" w:type="dxa"/>
          </w:tcPr>
          <w:p w14:paraId="5A30F2EF" w14:textId="77777777" w:rsidR="00862424" w:rsidRPr="004364C7" w:rsidRDefault="00DD7026">
            <w:r w:rsidRPr="004364C7">
              <w:t>77.8 (7) / 22.2 (2)</w:t>
            </w:r>
          </w:p>
        </w:tc>
      </w:tr>
      <w:tr w:rsidR="00862424" w:rsidRPr="004364C7" w14:paraId="42D028EA" w14:textId="77777777" w:rsidTr="00F46AC0">
        <w:tc>
          <w:tcPr>
            <w:tcW w:w="3600" w:type="dxa"/>
            <w:tcBorders>
              <w:bottom w:val="nil"/>
            </w:tcBorders>
          </w:tcPr>
          <w:p w14:paraId="39558AD5" w14:textId="77777777" w:rsidR="00862424" w:rsidRPr="004364C7" w:rsidRDefault="00DD7026">
            <w:r w:rsidRPr="004364C7">
              <w:t>Results always reliable? (9)</w:t>
            </w:r>
          </w:p>
        </w:tc>
        <w:tc>
          <w:tcPr>
            <w:tcW w:w="3600" w:type="dxa"/>
            <w:tcBorders>
              <w:bottom w:val="nil"/>
            </w:tcBorders>
          </w:tcPr>
          <w:p w14:paraId="21BBD769" w14:textId="77777777" w:rsidR="00862424" w:rsidRPr="004364C7" w:rsidRDefault="00DD7026">
            <w:r w:rsidRPr="004364C7">
              <w:t>Yes / No / Unsure</w:t>
            </w:r>
          </w:p>
        </w:tc>
        <w:tc>
          <w:tcPr>
            <w:tcW w:w="3600" w:type="dxa"/>
            <w:tcBorders>
              <w:bottom w:val="nil"/>
            </w:tcBorders>
          </w:tcPr>
          <w:p w14:paraId="3E439C4E" w14:textId="77777777" w:rsidR="00862424" w:rsidRPr="004364C7" w:rsidRDefault="00DD7026">
            <w:r w:rsidRPr="004364C7">
              <w:t>77.8 (7) / 11.1 (1) / 11.1 (1)</w:t>
            </w:r>
          </w:p>
        </w:tc>
      </w:tr>
      <w:tr w:rsidR="00862424" w:rsidRPr="004364C7" w14:paraId="7107BC1F" w14:textId="77777777" w:rsidTr="00F46AC0">
        <w:tc>
          <w:tcPr>
            <w:tcW w:w="3600" w:type="dxa"/>
            <w:tcBorders>
              <w:top w:val="nil"/>
              <w:bottom w:val="single" w:sz="4" w:space="0" w:color="auto"/>
            </w:tcBorders>
          </w:tcPr>
          <w:p w14:paraId="46BE64E9" w14:textId="77777777" w:rsidR="00862424" w:rsidRPr="004364C7" w:rsidRDefault="00DD7026">
            <w:r w:rsidRPr="004364C7">
              <w:t>Turnaround time respected? (9)</w:t>
            </w:r>
          </w:p>
        </w:tc>
        <w:tc>
          <w:tcPr>
            <w:tcW w:w="3600" w:type="dxa"/>
            <w:tcBorders>
              <w:top w:val="nil"/>
              <w:bottom w:val="single" w:sz="4" w:space="0" w:color="auto"/>
            </w:tcBorders>
          </w:tcPr>
          <w:p w14:paraId="11321890" w14:textId="77777777" w:rsidR="00862424" w:rsidRPr="004364C7" w:rsidRDefault="00DD7026">
            <w:r w:rsidRPr="004364C7">
              <w:t>Yes / No</w:t>
            </w:r>
          </w:p>
        </w:tc>
        <w:tc>
          <w:tcPr>
            <w:tcW w:w="3600" w:type="dxa"/>
            <w:tcBorders>
              <w:top w:val="nil"/>
              <w:bottom w:val="single" w:sz="4" w:space="0" w:color="auto"/>
            </w:tcBorders>
          </w:tcPr>
          <w:p w14:paraId="49E4FE97" w14:textId="77777777" w:rsidR="00862424" w:rsidRPr="004364C7" w:rsidRDefault="00DD7026">
            <w:r w:rsidRPr="004364C7">
              <w:t>88.9 (8) / 11.1 (1)</w:t>
            </w:r>
          </w:p>
        </w:tc>
      </w:tr>
    </w:tbl>
    <w:p w14:paraId="5B9090CA" w14:textId="55C8C86A" w:rsidR="00DE12B4" w:rsidRPr="004364C7" w:rsidRDefault="00DE12B4">
      <w:pPr>
        <w:pStyle w:val="Heading3"/>
        <w:rPr>
          <w:rFonts w:ascii="Helvetica" w:hAnsi="Helvetica"/>
          <w:color w:val="000000"/>
          <w:sz w:val="22"/>
          <w:szCs w:val="22"/>
        </w:rPr>
      </w:pPr>
    </w:p>
    <w:p w14:paraId="1F52A60C" w14:textId="77777777" w:rsidR="00EE3845" w:rsidRPr="004364C7" w:rsidRDefault="00EE3845">
      <w:pPr>
        <w:pStyle w:val="NormalWeb"/>
        <w:rPr>
          <w:rFonts w:ascii="Helvetica" w:hAnsi="Helvetica"/>
          <w:color w:val="000000"/>
          <w:sz w:val="22"/>
          <w:szCs w:val="22"/>
          <w:lang w:val="en-US"/>
        </w:rPr>
      </w:pPr>
    </w:p>
    <w:p w14:paraId="540F86C0" w14:textId="42645D0D" w:rsidR="00DE12B4" w:rsidRPr="004364C7" w:rsidRDefault="00DE12B4">
      <w:pPr>
        <w:pStyle w:val="NormalWeb"/>
        <w:rPr>
          <w:rStyle w:val="relative"/>
          <w:rFonts w:ascii="Helvetica" w:hAnsi="Helvetica"/>
          <w:color w:val="000000"/>
          <w:sz w:val="22"/>
          <w:szCs w:val="22"/>
          <w:lang w:val="en-US"/>
        </w:rPr>
      </w:pPr>
      <w:r w:rsidRPr="004364C7">
        <w:rPr>
          <w:rFonts w:ascii="Helvetica" w:hAnsi="Helvetica"/>
          <w:color w:val="000000"/>
          <w:sz w:val="22"/>
          <w:szCs w:val="22"/>
          <w:lang w:val="en-US"/>
        </w:rPr>
        <w:t>The closed-question responses reveal notable strengths alongside remediable gaps. All respondents with direct experience of the platform judged equipment</w:t>
      </w:r>
      <w:r w:rsidRPr="004364C7">
        <w:rPr>
          <w:rStyle w:val="apple-converted-space"/>
          <w:rFonts w:ascii="Helvetica" w:hAnsi="Helvetica"/>
          <w:color w:val="000000"/>
          <w:sz w:val="22"/>
          <w:szCs w:val="22"/>
          <w:lang w:val="en-US"/>
        </w:rPr>
        <w:t> </w:t>
      </w:r>
      <w:r w:rsidRPr="004364C7">
        <w:rPr>
          <w:rStyle w:val="Strong"/>
          <w:rFonts w:ascii="Helvetica" w:hAnsi="Helvetica"/>
          <w:b w:val="0"/>
          <w:bCs w:val="0"/>
          <w:color w:val="000000"/>
          <w:sz w:val="22"/>
          <w:szCs w:val="22"/>
          <w:lang w:val="en-US"/>
        </w:rPr>
        <w:t>adequate for INR testing</w:t>
      </w:r>
      <w:r w:rsidRPr="004364C7">
        <w:rPr>
          <w:rStyle w:val="apple-converted-space"/>
          <w:rFonts w:ascii="Helvetica" w:hAnsi="Helvetica"/>
          <w:b/>
          <w:bCs/>
          <w:color w:val="000000"/>
          <w:sz w:val="22"/>
          <w:szCs w:val="22"/>
          <w:lang w:val="en-US"/>
        </w:rPr>
        <w:t> </w:t>
      </w:r>
      <w:r w:rsidRPr="004364C7">
        <w:rPr>
          <w:rFonts w:ascii="Helvetica" w:hAnsi="Helvetica"/>
          <w:color w:val="000000"/>
          <w:sz w:val="22"/>
          <w:szCs w:val="22"/>
          <w:lang w:val="en-US"/>
        </w:rPr>
        <w:t>(100.0%, 8/8), and</w:t>
      </w:r>
      <w:r w:rsidRPr="004364C7">
        <w:rPr>
          <w:rStyle w:val="apple-converted-space"/>
          <w:rFonts w:ascii="Helvetica" w:hAnsi="Helvetica"/>
          <w:b/>
          <w:bCs/>
          <w:color w:val="000000"/>
          <w:sz w:val="22"/>
          <w:szCs w:val="22"/>
          <w:lang w:val="en-US"/>
        </w:rPr>
        <w:t> </w:t>
      </w:r>
      <w:r w:rsidRPr="004364C7">
        <w:rPr>
          <w:rStyle w:val="Strong"/>
          <w:rFonts w:ascii="Helvetica" w:hAnsi="Helvetica"/>
          <w:b w:val="0"/>
          <w:bCs w:val="0"/>
          <w:color w:val="000000"/>
          <w:sz w:val="22"/>
          <w:szCs w:val="22"/>
          <w:lang w:val="en-US"/>
        </w:rPr>
        <w:t>turnaround time</w:t>
      </w:r>
      <w:r w:rsidRPr="004364C7">
        <w:rPr>
          <w:rStyle w:val="apple-converted-space"/>
          <w:rFonts w:ascii="Helvetica" w:hAnsi="Helvetica"/>
          <w:b/>
          <w:bCs/>
          <w:color w:val="000000"/>
          <w:sz w:val="22"/>
          <w:szCs w:val="22"/>
          <w:lang w:val="en-US"/>
        </w:rPr>
        <w:t> </w:t>
      </w:r>
      <w:r w:rsidRPr="004364C7">
        <w:rPr>
          <w:rFonts w:ascii="Helvetica" w:hAnsi="Helvetica"/>
          <w:color w:val="000000"/>
          <w:sz w:val="22"/>
          <w:szCs w:val="22"/>
          <w:lang w:val="en-US"/>
        </w:rPr>
        <w:t>was generally respected (88.9%, 8/9). A</w:t>
      </w:r>
      <w:r w:rsidRPr="004364C7">
        <w:rPr>
          <w:rStyle w:val="apple-converted-space"/>
          <w:rFonts w:ascii="Helvetica" w:hAnsi="Helvetica"/>
          <w:color w:val="000000"/>
          <w:sz w:val="22"/>
          <w:szCs w:val="22"/>
          <w:lang w:val="en-US"/>
        </w:rPr>
        <w:t> </w:t>
      </w:r>
      <w:proofErr w:type="spellStart"/>
      <w:r w:rsidRPr="004364C7">
        <w:rPr>
          <w:rStyle w:val="Strong"/>
          <w:rFonts w:ascii="Helvetica" w:hAnsi="Helvetica"/>
          <w:b w:val="0"/>
          <w:bCs w:val="0"/>
          <w:color w:val="000000"/>
          <w:sz w:val="22"/>
          <w:szCs w:val="22"/>
          <w:lang w:val="en-US"/>
        </w:rPr>
        <w:t>standardised</w:t>
      </w:r>
      <w:proofErr w:type="spellEnd"/>
      <w:r w:rsidRPr="004364C7">
        <w:rPr>
          <w:rStyle w:val="Strong"/>
          <w:rFonts w:ascii="Helvetica" w:hAnsi="Helvetica"/>
          <w:b w:val="0"/>
          <w:bCs w:val="0"/>
          <w:color w:val="000000"/>
          <w:sz w:val="22"/>
          <w:szCs w:val="22"/>
          <w:lang w:val="en-US"/>
        </w:rPr>
        <w:t xml:space="preserve"> INR protocol</w:t>
      </w:r>
      <w:r w:rsidRPr="004364C7">
        <w:rPr>
          <w:rStyle w:val="apple-converted-space"/>
          <w:rFonts w:ascii="Helvetica" w:hAnsi="Helvetica"/>
          <w:b/>
          <w:bCs/>
          <w:color w:val="000000"/>
          <w:sz w:val="22"/>
          <w:szCs w:val="22"/>
          <w:lang w:val="en-US"/>
        </w:rPr>
        <w:t> </w:t>
      </w:r>
      <w:r w:rsidRPr="004364C7">
        <w:rPr>
          <w:rFonts w:ascii="Helvetica" w:hAnsi="Helvetica"/>
          <w:color w:val="000000"/>
          <w:sz w:val="22"/>
          <w:szCs w:val="22"/>
          <w:lang w:val="en-US"/>
        </w:rPr>
        <w:t>was reported by most staff (88.9%, 8/9),</w:t>
      </w:r>
      <w:r w:rsidRPr="004364C7">
        <w:rPr>
          <w:rFonts w:ascii="Helvetica" w:hAnsi="Helvetica"/>
          <w:b/>
          <w:bCs/>
          <w:color w:val="000000"/>
          <w:sz w:val="22"/>
          <w:szCs w:val="22"/>
          <w:lang w:val="en-US"/>
        </w:rPr>
        <w:t xml:space="preserve"> </w:t>
      </w:r>
      <w:r w:rsidRPr="004364C7">
        <w:rPr>
          <w:rFonts w:ascii="Helvetica" w:hAnsi="Helvetica"/>
          <w:color w:val="000000"/>
          <w:sz w:val="22"/>
          <w:szCs w:val="22"/>
          <w:lang w:val="en-US"/>
        </w:rPr>
        <w:t>and</w:t>
      </w:r>
      <w:r w:rsidRPr="004364C7">
        <w:rPr>
          <w:rStyle w:val="apple-converted-space"/>
          <w:rFonts w:ascii="Helvetica" w:hAnsi="Helvetica"/>
          <w:b/>
          <w:bCs/>
          <w:color w:val="000000"/>
          <w:sz w:val="22"/>
          <w:szCs w:val="22"/>
          <w:lang w:val="en-US"/>
        </w:rPr>
        <w:t> </w:t>
      </w:r>
      <w:r w:rsidRPr="004364C7">
        <w:rPr>
          <w:rStyle w:val="Strong"/>
          <w:rFonts w:ascii="Helvetica" w:hAnsi="Helvetica"/>
          <w:b w:val="0"/>
          <w:bCs w:val="0"/>
          <w:color w:val="000000"/>
          <w:sz w:val="22"/>
          <w:szCs w:val="22"/>
          <w:lang w:val="en-US"/>
        </w:rPr>
        <w:t>regular internal quality control (IQC)</w:t>
      </w:r>
      <w:r w:rsidRPr="004364C7">
        <w:rPr>
          <w:rStyle w:val="apple-converted-space"/>
          <w:rFonts w:ascii="Helvetica" w:hAnsi="Helvetica"/>
          <w:color w:val="000000"/>
          <w:sz w:val="22"/>
          <w:szCs w:val="22"/>
          <w:lang w:val="en-US"/>
        </w:rPr>
        <w:t> </w:t>
      </w:r>
      <w:r w:rsidRPr="004364C7">
        <w:rPr>
          <w:rFonts w:ascii="Helvetica" w:hAnsi="Helvetica"/>
          <w:color w:val="000000"/>
          <w:sz w:val="22"/>
          <w:szCs w:val="22"/>
          <w:lang w:val="en-US"/>
        </w:rPr>
        <w:t>was present in the majority (77.8%, 7/9). However,</w:t>
      </w:r>
      <w:r w:rsidRPr="004364C7">
        <w:rPr>
          <w:rStyle w:val="apple-converted-space"/>
          <w:rFonts w:ascii="Helvetica" w:hAnsi="Helvetica"/>
          <w:color w:val="000000"/>
          <w:sz w:val="22"/>
          <w:szCs w:val="22"/>
          <w:lang w:val="en-US"/>
        </w:rPr>
        <w:t> </w:t>
      </w:r>
      <w:r w:rsidRPr="004364C7">
        <w:rPr>
          <w:rStyle w:val="Strong"/>
          <w:rFonts w:ascii="Helvetica" w:hAnsi="Helvetica"/>
          <w:b w:val="0"/>
          <w:bCs w:val="0"/>
          <w:color w:val="000000"/>
          <w:sz w:val="22"/>
          <w:szCs w:val="22"/>
          <w:lang w:val="en-US"/>
        </w:rPr>
        <w:t>specific training</w:t>
      </w:r>
      <w:r w:rsidRPr="004364C7">
        <w:rPr>
          <w:rStyle w:val="apple-converted-space"/>
          <w:rFonts w:ascii="Helvetica" w:hAnsi="Helvetica"/>
          <w:b/>
          <w:bCs/>
          <w:color w:val="000000"/>
          <w:sz w:val="22"/>
          <w:szCs w:val="22"/>
          <w:lang w:val="en-US"/>
        </w:rPr>
        <w:t> </w:t>
      </w:r>
      <w:r w:rsidRPr="004364C7">
        <w:rPr>
          <w:rFonts w:ascii="Helvetica" w:hAnsi="Helvetica"/>
          <w:color w:val="000000"/>
          <w:sz w:val="22"/>
          <w:szCs w:val="22"/>
          <w:lang w:val="en-US"/>
        </w:rPr>
        <w:t>had not reached nearly half of the team (55.6% trained, 5/9 vs 44.4% untrained, 4/9), and a subset expressed uncertainty about</w:t>
      </w:r>
      <w:r w:rsidRPr="004364C7">
        <w:rPr>
          <w:rStyle w:val="apple-converted-space"/>
          <w:rFonts w:ascii="Helvetica" w:hAnsi="Helvetica"/>
          <w:color w:val="000000"/>
          <w:sz w:val="22"/>
          <w:szCs w:val="22"/>
          <w:lang w:val="en-US"/>
        </w:rPr>
        <w:t> </w:t>
      </w:r>
      <w:r w:rsidRPr="004364C7">
        <w:rPr>
          <w:rStyle w:val="Strong"/>
          <w:rFonts w:ascii="Helvetica" w:hAnsi="Helvetica"/>
          <w:b w:val="0"/>
          <w:bCs w:val="0"/>
          <w:color w:val="000000"/>
          <w:sz w:val="22"/>
          <w:szCs w:val="22"/>
          <w:lang w:val="en-US"/>
        </w:rPr>
        <w:t xml:space="preserve">result </w:t>
      </w:r>
      <w:proofErr w:type="gramStart"/>
      <w:r w:rsidRPr="004364C7">
        <w:rPr>
          <w:rStyle w:val="Strong"/>
          <w:rFonts w:ascii="Helvetica" w:hAnsi="Helvetica"/>
          <w:b w:val="0"/>
          <w:bCs w:val="0"/>
          <w:color w:val="000000"/>
          <w:sz w:val="22"/>
          <w:szCs w:val="22"/>
          <w:lang w:val="en-US"/>
        </w:rPr>
        <w:t>reliability</w:t>
      </w:r>
      <w:r w:rsidRPr="004364C7">
        <w:rPr>
          <w:rFonts w:ascii="Helvetica" w:hAnsi="Helvetica"/>
          <w:color w:val="000000"/>
          <w:sz w:val="22"/>
          <w:szCs w:val="22"/>
          <w:lang w:val="en-US"/>
        </w:rPr>
        <w:t>(</w:t>
      </w:r>
      <w:proofErr w:type="gramEnd"/>
      <w:r w:rsidRPr="004364C7">
        <w:rPr>
          <w:rFonts w:ascii="Helvetica" w:hAnsi="Helvetica"/>
          <w:color w:val="000000"/>
          <w:sz w:val="22"/>
          <w:szCs w:val="22"/>
          <w:lang w:val="en-US"/>
        </w:rPr>
        <w:t>11.1%, 1/9), with a further 11.1% judging results not always reliable. Collectively, these data support targeted competency refreshers and full IQC coverage to reduce preventable analytical variance.</w:t>
      </w:r>
      <w:r w:rsidRPr="004364C7">
        <w:rPr>
          <w:rStyle w:val="apple-converted-space"/>
          <w:rFonts w:ascii="Helvetica" w:hAnsi="Helvetica"/>
          <w:color w:val="000000"/>
          <w:sz w:val="22"/>
          <w:szCs w:val="22"/>
          <w:lang w:val="en-US"/>
        </w:rPr>
        <w:t> </w:t>
      </w:r>
    </w:p>
    <w:p w14:paraId="15F4D74D" w14:textId="5C8A997F" w:rsidR="00DE12B4" w:rsidRPr="004364C7" w:rsidRDefault="00DE12B4">
      <w:pPr>
        <w:rPr>
          <w:sz w:val="22"/>
          <w:szCs w:val="22"/>
        </w:rPr>
      </w:pPr>
    </w:p>
    <w:p w14:paraId="37178025" w14:textId="77777777" w:rsidR="00D25CAC" w:rsidRDefault="00D25CAC" w:rsidP="00D25CAC">
      <w:pPr>
        <w:jc w:val="both"/>
      </w:pPr>
      <w:r>
        <w:rPr>
          <w:color w:val="000000"/>
          <w:sz w:val="22"/>
          <w:szCs w:val="22"/>
        </w:rPr>
        <w:t xml:space="preserve">Table 6: </w:t>
      </w:r>
      <w:r>
        <w:rPr>
          <w:sz w:val="22"/>
        </w:rPr>
        <w:t>Open questions—top themes (laboratory staff)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3600"/>
        <w:gridCol w:w="3600"/>
      </w:tblGrid>
      <w:tr w:rsidR="00862424" w:rsidRPr="004364C7" w14:paraId="29516786" w14:textId="77777777" w:rsidTr="001D02BC">
        <w:tc>
          <w:tcPr>
            <w:tcW w:w="3600" w:type="dxa"/>
            <w:tcBorders>
              <w:top w:val="single" w:sz="4" w:space="0" w:color="auto"/>
              <w:bottom w:val="single" w:sz="4" w:space="0" w:color="auto"/>
            </w:tcBorders>
          </w:tcPr>
          <w:p w14:paraId="7B68D293" w14:textId="77777777" w:rsidR="00862424" w:rsidRPr="004364C7" w:rsidRDefault="00DD7026">
            <w:r w:rsidRPr="004364C7">
              <w:t>Theme</w:t>
            </w:r>
          </w:p>
        </w:tc>
        <w:tc>
          <w:tcPr>
            <w:tcW w:w="3600" w:type="dxa"/>
            <w:tcBorders>
              <w:top w:val="single" w:sz="4" w:space="0" w:color="auto"/>
              <w:bottom w:val="single" w:sz="4" w:space="0" w:color="auto"/>
            </w:tcBorders>
          </w:tcPr>
          <w:p w14:paraId="7F635666" w14:textId="77777777" w:rsidR="00862424" w:rsidRPr="004364C7" w:rsidRDefault="00DD7026">
            <w:r w:rsidRPr="004364C7">
              <w:t>Mentions</w:t>
            </w:r>
          </w:p>
        </w:tc>
        <w:tc>
          <w:tcPr>
            <w:tcW w:w="3600" w:type="dxa"/>
            <w:tcBorders>
              <w:top w:val="single" w:sz="4" w:space="0" w:color="auto"/>
              <w:bottom w:val="single" w:sz="4" w:space="0" w:color="auto"/>
            </w:tcBorders>
          </w:tcPr>
          <w:p w14:paraId="20F670C8" w14:textId="77777777" w:rsidR="00862424" w:rsidRPr="004364C7" w:rsidRDefault="00DD7026">
            <w:r w:rsidRPr="004364C7">
              <w:t>% of respondents</w:t>
            </w:r>
          </w:p>
        </w:tc>
      </w:tr>
      <w:tr w:rsidR="00862424" w:rsidRPr="004364C7" w14:paraId="4C92148B" w14:textId="77777777" w:rsidTr="00F46AC0">
        <w:tc>
          <w:tcPr>
            <w:tcW w:w="3600" w:type="dxa"/>
            <w:tcBorders>
              <w:top w:val="single" w:sz="4" w:space="0" w:color="auto"/>
            </w:tcBorders>
          </w:tcPr>
          <w:p w14:paraId="32FD425E" w14:textId="77777777" w:rsidR="00862424" w:rsidRPr="004364C7" w:rsidRDefault="00DD7026">
            <w:r w:rsidRPr="004364C7">
              <w:t>Pre-analytical phase (collection/handling)</w:t>
            </w:r>
          </w:p>
        </w:tc>
        <w:tc>
          <w:tcPr>
            <w:tcW w:w="3600" w:type="dxa"/>
            <w:tcBorders>
              <w:top w:val="single" w:sz="4" w:space="0" w:color="auto"/>
            </w:tcBorders>
          </w:tcPr>
          <w:p w14:paraId="38E7DCF3" w14:textId="77777777" w:rsidR="00862424" w:rsidRPr="004364C7" w:rsidRDefault="00DD7026">
            <w:r w:rsidRPr="004364C7">
              <w:t>4</w:t>
            </w:r>
          </w:p>
        </w:tc>
        <w:tc>
          <w:tcPr>
            <w:tcW w:w="3600" w:type="dxa"/>
            <w:tcBorders>
              <w:top w:val="single" w:sz="4" w:space="0" w:color="auto"/>
            </w:tcBorders>
          </w:tcPr>
          <w:p w14:paraId="32143716" w14:textId="77777777" w:rsidR="00862424" w:rsidRPr="004364C7" w:rsidRDefault="00DD7026">
            <w:r w:rsidRPr="004364C7">
              <w:t>44%</w:t>
            </w:r>
          </w:p>
        </w:tc>
      </w:tr>
      <w:tr w:rsidR="00862424" w:rsidRPr="004364C7" w14:paraId="2CECD714" w14:textId="77777777" w:rsidTr="00F46AC0">
        <w:tc>
          <w:tcPr>
            <w:tcW w:w="3600" w:type="dxa"/>
          </w:tcPr>
          <w:p w14:paraId="1B2AF243" w14:textId="77777777" w:rsidR="00862424" w:rsidRPr="004364C7" w:rsidRDefault="00DD7026">
            <w:r w:rsidRPr="004364C7">
              <w:t>Manual pipetting</w:t>
            </w:r>
          </w:p>
        </w:tc>
        <w:tc>
          <w:tcPr>
            <w:tcW w:w="3600" w:type="dxa"/>
          </w:tcPr>
          <w:p w14:paraId="599CBF0B" w14:textId="77777777" w:rsidR="00862424" w:rsidRPr="004364C7" w:rsidRDefault="00DD7026">
            <w:r w:rsidRPr="004364C7">
              <w:t>3</w:t>
            </w:r>
          </w:p>
        </w:tc>
        <w:tc>
          <w:tcPr>
            <w:tcW w:w="3600" w:type="dxa"/>
          </w:tcPr>
          <w:p w14:paraId="6D59E681" w14:textId="77777777" w:rsidR="00862424" w:rsidRPr="004364C7" w:rsidRDefault="00DD7026">
            <w:r w:rsidRPr="004364C7">
              <w:t>33%</w:t>
            </w:r>
          </w:p>
        </w:tc>
      </w:tr>
      <w:tr w:rsidR="00862424" w:rsidRPr="004364C7" w14:paraId="7E7B3BBD" w14:textId="77777777" w:rsidTr="00F46AC0">
        <w:tc>
          <w:tcPr>
            <w:tcW w:w="3600" w:type="dxa"/>
            <w:tcBorders>
              <w:bottom w:val="single" w:sz="4" w:space="0" w:color="auto"/>
            </w:tcBorders>
          </w:tcPr>
          <w:p w14:paraId="1503E99E" w14:textId="77777777" w:rsidR="00862424" w:rsidRPr="004364C7" w:rsidRDefault="00DD7026">
            <w:r w:rsidRPr="004364C7">
              <w:t>Misinterpreted automated alerts</w:t>
            </w:r>
          </w:p>
        </w:tc>
        <w:tc>
          <w:tcPr>
            <w:tcW w:w="3600" w:type="dxa"/>
            <w:tcBorders>
              <w:bottom w:val="single" w:sz="4" w:space="0" w:color="auto"/>
            </w:tcBorders>
          </w:tcPr>
          <w:p w14:paraId="52261396" w14:textId="77777777" w:rsidR="00862424" w:rsidRPr="004364C7" w:rsidRDefault="00DD7026">
            <w:r w:rsidRPr="004364C7">
              <w:t>2</w:t>
            </w:r>
          </w:p>
        </w:tc>
        <w:tc>
          <w:tcPr>
            <w:tcW w:w="3600" w:type="dxa"/>
            <w:tcBorders>
              <w:bottom w:val="single" w:sz="4" w:space="0" w:color="auto"/>
            </w:tcBorders>
          </w:tcPr>
          <w:p w14:paraId="19CA3C62" w14:textId="77777777" w:rsidR="00862424" w:rsidRPr="004364C7" w:rsidRDefault="00DD7026">
            <w:r w:rsidRPr="004364C7">
              <w:t>22%</w:t>
            </w:r>
          </w:p>
        </w:tc>
      </w:tr>
    </w:tbl>
    <w:p w14:paraId="12185E87" w14:textId="77777777" w:rsidR="00F46AC0" w:rsidRPr="004364C7" w:rsidRDefault="00F46AC0">
      <w:pPr>
        <w:jc w:val="both"/>
        <w:rPr>
          <w:sz w:val="22"/>
          <w:szCs w:val="22"/>
        </w:rPr>
      </w:pPr>
    </w:p>
    <w:p w14:paraId="58AFAE15" w14:textId="303BEAEC" w:rsidR="00862424" w:rsidRPr="004364C7" w:rsidRDefault="00391459">
      <w:pPr>
        <w:jc w:val="both"/>
        <w:rPr>
          <w:sz w:val="22"/>
          <w:szCs w:val="22"/>
        </w:rPr>
      </w:pPr>
      <w:r w:rsidRPr="004364C7">
        <w:rPr>
          <w:sz w:val="22"/>
          <w:szCs w:val="22"/>
        </w:rPr>
        <w:t xml:space="preserve">We have noted that </w:t>
      </w:r>
      <w:r w:rsidR="00DD7026" w:rsidRPr="004364C7">
        <w:rPr>
          <w:sz w:val="22"/>
          <w:szCs w:val="22"/>
        </w:rPr>
        <w:t>Pre-analytical risks dominate</w:t>
      </w:r>
      <w:r w:rsidRPr="004364C7">
        <w:rPr>
          <w:sz w:val="22"/>
          <w:szCs w:val="22"/>
        </w:rPr>
        <w:t xml:space="preserve"> </w:t>
      </w:r>
      <w:proofErr w:type="gramStart"/>
      <w:r w:rsidRPr="004364C7">
        <w:rPr>
          <w:sz w:val="22"/>
          <w:szCs w:val="22"/>
        </w:rPr>
        <w:t xml:space="preserve">and </w:t>
      </w:r>
      <w:r w:rsidR="00DD7026" w:rsidRPr="004364C7">
        <w:rPr>
          <w:sz w:val="22"/>
          <w:szCs w:val="22"/>
        </w:rPr>
        <w:t xml:space="preserve"> consumable</w:t>
      </w:r>
      <w:proofErr w:type="gramEnd"/>
      <w:r w:rsidR="00DD7026" w:rsidRPr="004364C7">
        <w:rPr>
          <w:sz w:val="22"/>
          <w:szCs w:val="22"/>
        </w:rPr>
        <w:t xml:space="preserve">/logistics constraints also </w:t>
      </w:r>
      <w:r w:rsidRPr="004364C7">
        <w:rPr>
          <w:sz w:val="22"/>
          <w:szCs w:val="22"/>
        </w:rPr>
        <w:t xml:space="preserve">were </w:t>
      </w:r>
      <w:r w:rsidR="00DD7026" w:rsidRPr="004364C7">
        <w:rPr>
          <w:sz w:val="22"/>
          <w:szCs w:val="22"/>
        </w:rPr>
        <w:t>noted.</w:t>
      </w:r>
    </w:p>
    <w:p w14:paraId="66B62F2C" w14:textId="77777777" w:rsidR="00862424" w:rsidRPr="004364C7" w:rsidRDefault="00DD7026">
      <w:pPr>
        <w:rPr>
          <w:sz w:val="22"/>
          <w:szCs w:val="22"/>
        </w:rPr>
      </w:pPr>
      <w:r w:rsidRPr="004364C7">
        <w:rPr>
          <w:b/>
          <w:sz w:val="22"/>
          <w:szCs w:val="22"/>
        </w:rPr>
        <w:t>VI. Clinician survey (Annex)</w:t>
      </w:r>
    </w:p>
    <w:p w14:paraId="763C9920" w14:textId="77777777" w:rsidR="00862424" w:rsidRPr="004364C7" w:rsidRDefault="00DD7026">
      <w:pPr>
        <w:jc w:val="both"/>
        <w:rPr>
          <w:sz w:val="22"/>
          <w:szCs w:val="22"/>
        </w:rPr>
      </w:pPr>
      <w:r w:rsidRPr="004364C7">
        <w:rPr>
          <w:sz w:val="22"/>
          <w:szCs w:val="22"/>
        </w:rPr>
        <w:t>Table 7. Closed questions—clinicians (n=13)</w:t>
      </w:r>
    </w:p>
    <w:p w14:paraId="2C9FD340" w14:textId="77777777" w:rsidR="00F46AC0" w:rsidRPr="004364C7" w:rsidRDefault="00F46AC0">
      <w:pPr>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2700"/>
        <w:gridCol w:w="2700"/>
        <w:gridCol w:w="2700"/>
      </w:tblGrid>
      <w:tr w:rsidR="00862424" w:rsidRPr="004364C7" w14:paraId="46E50431" w14:textId="77777777" w:rsidTr="00F46AC0">
        <w:tc>
          <w:tcPr>
            <w:tcW w:w="2700" w:type="dxa"/>
            <w:tcBorders>
              <w:top w:val="single" w:sz="4" w:space="0" w:color="auto"/>
              <w:bottom w:val="single" w:sz="4" w:space="0" w:color="auto"/>
            </w:tcBorders>
          </w:tcPr>
          <w:p w14:paraId="0DCB6148" w14:textId="77777777" w:rsidR="00862424" w:rsidRPr="004364C7" w:rsidRDefault="00DD7026">
            <w:r w:rsidRPr="004364C7">
              <w:t>Question</w:t>
            </w:r>
          </w:p>
        </w:tc>
        <w:tc>
          <w:tcPr>
            <w:tcW w:w="2700" w:type="dxa"/>
            <w:tcBorders>
              <w:top w:val="single" w:sz="4" w:space="0" w:color="auto"/>
              <w:bottom w:val="single" w:sz="4" w:space="0" w:color="auto"/>
            </w:tcBorders>
          </w:tcPr>
          <w:p w14:paraId="4E5FB5FC" w14:textId="77777777" w:rsidR="00862424" w:rsidRPr="004364C7" w:rsidRDefault="00DD7026">
            <w:r w:rsidRPr="004364C7">
              <w:t>Options</w:t>
            </w:r>
          </w:p>
        </w:tc>
        <w:tc>
          <w:tcPr>
            <w:tcW w:w="2700" w:type="dxa"/>
            <w:tcBorders>
              <w:top w:val="single" w:sz="4" w:space="0" w:color="auto"/>
              <w:bottom w:val="single" w:sz="4" w:space="0" w:color="auto"/>
            </w:tcBorders>
          </w:tcPr>
          <w:p w14:paraId="48D5728B" w14:textId="77777777" w:rsidR="00862424" w:rsidRPr="004364C7" w:rsidRDefault="00DD7026">
            <w:r w:rsidRPr="004364C7">
              <w:t>n</w:t>
            </w:r>
          </w:p>
        </w:tc>
        <w:tc>
          <w:tcPr>
            <w:tcW w:w="2700" w:type="dxa"/>
            <w:tcBorders>
              <w:top w:val="single" w:sz="4" w:space="0" w:color="auto"/>
              <w:bottom w:val="single" w:sz="4" w:space="0" w:color="auto"/>
            </w:tcBorders>
          </w:tcPr>
          <w:p w14:paraId="3F980AD9" w14:textId="77777777" w:rsidR="00862424" w:rsidRPr="004364C7" w:rsidRDefault="00DD7026">
            <w:r w:rsidRPr="004364C7">
              <w:t>%</w:t>
            </w:r>
          </w:p>
        </w:tc>
      </w:tr>
      <w:tr w:rsidR="00862424" w:rsidRPr="004364C7" w14:paraId="178A2CD8" w14:textId="77777777" w:rsidTr="00F46AC0">
        <w:tc>
          <w:tcPr>
            <w:tcW w:w="2700" w:type="dxa"/>
            <w:tcBorders>
              <w:top w:val="single" w:sz="4" w:space="0" w:color="auto"/>
            </w:tcBorders>
          </w:tcPr>
          <w:p w14:paraId="5ADEB214" w14:textId="77777777" w:rsidR="00862424" w:rsidRPr="004364C7" w:rsidRDefault="00DD7026">
            <w:r w:rsidRPr="004364C7">
              <w:t>Regular collaboration with laboratory?</w:t>
            </w:r>
          </w:p>
        </w:tc>
        <w:tc>
          <w:tcPr>
            <w:tcW w:w="2700" w:type="dxa"/>
            <w:tcBorders>
              <w:top w:val="single" w:sz="4" w:space="0" w:color="auto"/>
            </w:tcBorders>
          </w:tcPr>
          <w:p w14:paraId="2C6280C9" w14:textId="77777777" w:rsidR="00862424" w:rsidRPr="004364C7" w:rsidRDefault="00DD7026">
            <w:r w:rsidRPr="004364C7">
              <w:t>Yes / No</w:t>
            </w:r>
          </w:p>
        </w:tc>
        <w:tc>
          <w:tcPr>
            <w:tcW w:w="2700" w:type="dxa"/>
            <w:tcBorders>
              <w:top w:val="single" w:sz="4" w:space="0" w:color="auto"/>
            </w:tcBorders>
          </w:tcPr>
          <w:p w14:paraId="59F3587D" w14:textId="77777777" w:rsidR="00862424" w:rsidRPr="004364C7" w:rsidRDefault="00DD7026">
            <w:r w:rsidRPr="004364C7">
              <w:t>11 / 2</w:t>
            </w:r>
          </w:p>
        </w:tc>
        <w:tc>
          <w:tcPr>
            <w:tcW w:w="2700" w:type="dxa"/>
            <w:tcBorders>
              <w:top w:val="single" w:sz="4" w:space="0" w:color="auto"/>
            </w:tcBorders>
          </w:tcPr>
          <w:p w14:paraId="67969976" w14:textId="77777777" w:rsidR="00862424" w:rsidRPr="004364C7" w:rsidRDefault="00DD7026">
            <w:r w:rsidRPr="004364C7">
              <w:t>84.6 / 15.4</w:t>
            </w:r>
          </w:p>
        </w:tc>
      </w:tr>
      <w:tr w:rsidR="00862424" w:rsidRPr="004364C7" w14:paraId="5CC12CAC" w14:textId="77777777" w:rsidTr="00F46AC0">
        <w:tc>
          <w:tcPr>
            <w:tcW w:w="2700" w:type="dxa"/>
          </w:tcPr>
          <w:p w14:paraId="2AE7204E" w14:textId="77777777" w:rsidR="00862424" w:rsidRPr="004364C7" w:rsidRDefault="00DD7026">
            <w:r w:rsidRPr="004364C7">
              <w:t>INR turnaround satisfactory?</w:t>
            </w:r>
          </w:p>
        </w:tc>
        <w:tc>
          <w:tcPr>
            <w:tcW w:w="2700" w:type="dxa"/>
          </w:tcPr>
          <w:p w14:paraId="7FCF0EE6" w14:textId="77777777" w:rsidR="00862424" w:rsidRPr="004364C7" w:rsidRDefault="00DD7026">
            <w:r w:rsidRPr="004364C7">
              <w:t>Yes / No</w:t>
            </w:r>
          </w:p>
        </w:tc>
        <w:tc>
          <w:tcPr>
            <w:tcW w:w="2700" w:type="dxa"/>
          </w:tcPr>
          <w:p w14:paraId="457B8118" w14:textId="77777777" w:rsidR="00862424" w:rsidRPr="004364C7" w:rsidRDefault="00DD7026">
            <w:r w:rsidRPr="004364C7">
              <w:t>8 / 5</w:t>
            </w:r>
          </w:p>
        </w:tc>
        <w:tc>
          <w:tcPr>
            <w:tcW w:w="2700" w:type="dxa"/>
          </w:tcPr>
          <w:p w14:paraId="2E145302" w14:textId="77777777" w:rsidR="00862424" w:rsidRPr="004364C7" w:rsidRDefault="00DD7026">
            <w:r w:rsidRPr="004364C7">
              <w:t>61.5 / 38.5</w:t>
            </w:r>
          </w:p>
        </w:tc>
      </w:tr>
      <w:tr w:rsidR="00862424" w:rsidRPr="004364C7" w14:paraId="137B6430" w14:textId="77777777" w:rsidTr="00F46AC0">
        <w:tc>
          <w:tcPr>
            <w:tcW w:w="2700" w:type="dxa"/>
          </w:tcPr>
          <w:p w14:paraId="79DB9E1E" w14:textId="77777777" w:rsidR="00862424" w:rsidRPr="004364C7" w:rsidRDefault="00DD7026">
            <w:r w:rsidRPr="004364C7">
              <w:t>Receive interpretive comments?</w:t>
            </w:r>
          </w:p>
        </w:tc>
        <w:tc>
          <w:tcPr>
            <w:tcW w:w="2700" w:type="dxa"/>
          </w:tcPr>
          <w:p w14:paraId="794DEAB8" w14:textId="77777777" w:rsidR="00862424" w:rsidRPr="004364C7" w:rsidRDefault="00DD7026">
            <w:r w:rsidRPr="004364C7">
              <w:t>Yes / No</w:t>
            </w:r>
          </w:p>
        </w:tc>
        <w:tc>
          <w:tcPr>
            <w:tcW w:w="2700" w:type="dxa"/>
          </w:tcPr>
          <w:p w14:paraId="3D327E6B" w14:textId="77777777" w:rsidR="00862424" w:rsidRPr="004364C7" w:rsidRDefault="00DD7026">
            <w:r w:rsidRPr="004364C7">
              <w:t>3 / 10</w:t>
            </w:r>
          </w:p>
        </w:tc>
        <w:tc>
          <w:tcPr>
            <w:tcW w:w="2700" w:type="dxa"/>
          </w:tcPr>
          <w:p w14:paraId="5528A629" w14:textId="77777777" w:rsidR="00862424" w:rsidRPr="004364C7" w:rsidRDefault="00DD7026">
            <w:r w:rsidRPr="004364C7">
              <w:t>23.1 / 76.9</w:t>
            </w:r>
          </w:p>
        </w:tc>
      </w:tr>
      <w:tr w:rsidR="00862424" w:rsidRPr="004364C7" w14:paraId="5BABDCC4" w14:textId="77777777" w:rsidTr="00F46AC0">
        <w:tc>
          <w:tcPr>
            <w:tcW w:w="2700" w:type="dxa"/>
          </w:tcPr>
          <w:p w14:paraId="7FBF517C" w14:textId="77777777" w:rsidR="00862424" w:rsidRPr="004364C7" w:rsidRDefault="00DD7026">
            <w:r w:rsidRPr="004364C7">
              <w:t>Labo–clinician communication effective?</w:t>
            </w:r>
          </w:p>
        </w:tc>
        <w:tc>
          <w:tcPr>
            <w:tcW w:w="2700" w:type="dxa"/>
          </w:tcPr>
          <w:p w14:paraId="69A61042" w14:textId="77777777" w:rsidR="00862424" w:rsidRPr="004364C7" w:rsidRDefault="00DD7026">
            <w:r w:rsidRPr="004364C7">
              <w:t>Yes / No</w:t>
            </w:r>
          </w:p>
        </w:tc>
        <w:tc>
          <w:tcPr>
            <w:tcW w:w="2700" w:type="dxa"/>
          </w:tcPr>
          <w:p w14:paraId="22CAAABD" w14:textId="77777777" w:rsidR="00862424" w:rsidRPr="004364C7" w:rsidRDefault="00DD7026">
            <w:r w:rsidRPr="004364C7">
              <w:t>7 / 6</w:t>
            </w:r>
          </w:p>
        </w:tc>
        <w:tc>
          <w:tcPr>
            <w:tcW w:w="2700" w:type="dxa"/>
          </w:tcPr>
          <w:p w14:paraId="5404EAAD" w14:textId="77777777" w:rsidR="00862424" w:rsidRPr="004364C7" w:rsidRDefault="00DD7026">
            <w:r w:rsidRPr="004364C7">
              <w:t>53.9 / 46.1</w:t>
            </w:r>
          </w:p>
        </w:tc>
      </w:tr>
      <w:tr w:rsidR="00862424" w:rsidRPr="004364C7" w14:paraId="33BA74C3" w14:textId="77777777" w:rsidTr="00F46AC0">
        <w:tc>
          <w:tcPr>
            <w:tcW w:w="2700" w:type="dxa"/>
            <w:tcBorders>
              <w:bottom w:val="single" w:sz="4" w:space="0" w:color="auto"/>
            </w:tcBorders>
          </w:tcPr>
          <w:p w14:paraId="6B4136F3" w14:textId="77777777" w:rsidR="00862424" w:rsidRPr="004364C7" w:rsidRDefault="00DD7026">
            <w:r w:rsidRPr="004364C7">
              <w:t>Complications linked to delay/error?</w:t>
            </w:r>
          </w:p>
        </w:tc>
        <w:tc>
          <w:tcPr>
            <w:tcW w:w="2700" w:type="dxa"/>
            <w:tcBorders>
              <w:bottom w:val="single" w:sz="4" w:space="0" w:color="auto"/>
            </w:tcBorders>
          </w:tcPr>
          <w:p w14:paraId="3FE5E9C2" w14:textId="77777777" w:rsidR="00862424" w:rsidRPr="004364C7" w:rsidRDefault="00DD7026">
            <w:r w:rsidRPr="004364C7">
              <w:t>Yes / No</w:t>
            </w:r>
          </w:p>
        </w:tc>
        <w:tc>
          <w:tcPr>
            <w:tcW w:w="2700" w:type="dxa"/>
            <w:tcBorders>
              <w:bottom w:val="single" w:sz="4" w:space="0" w:color="auto"/>
            </w:tcBorders>
          </w:tcPr>
          <w:p w14:paraId="72459D74" w14:textId="77777777" w:rsidR="00862424" w:rsidRPr="004364C7" w:rsidRDefault="00DD7026">
            <w:r w:rsidRPr="004364C7">
              <w:t>6 / 7</w:t>
            </w:r>
          </w:p>
        </w:tc>
        <w:tc>
          <w:tcPr>
            <w:tcW w:w="2700" w:type="dxa"/>
            <w:tcBorders>
              <w:bottom w:val="single" w:sz="4" w:space="0" w:color="auto"/>
            </w:tcBorders>
          </w:tcPr>
          <w:p w14:paraId="73B64D25" w14:textId="77777777" w:rsidR="00862424" w:rsidRPr="004364C7" w:rsidRDefault="00DD7026">
            <w:r w:rsidRPr="004364C7">
              <w:t>46.2 / 53.8</w:t>
            </w:r>
          </w:p>
        </w:tc>
      </w:tr>
    </w:tbl>
    <w:p w14:paraId="0EEB3438" w14:textId="77777777" w:rsidR="00F46AC0" w:rsidRPr="004364C7" w:rsidRDefault="00F46AC0">
      <w:pPr>
        <w:jc w:val="both"/>
        <w:rPr>
          <w:sz w:val="22"/>
          <w:szCs w:val="22"/>
        </w:rPr>
      </w:pPr>
    </w:p>
    <w:p w14:paraId="51F5B86F" w14:textId="3D9E10CC" w:rsidR="00EE3845" w:rsidRPr="004364C7" w:rsidRDefault="00EE3845" w:rsidP="00EE3845">
      <w:pPr>
        <w:pStyle w:val="NormalWeb"/>
        <w:rPr>
          <w:rStyle w:val="relative"/>
          <w:rFonts w:ascii="Helvetica" w:hAnsi="Helvetica"/>
          <w:sz w:val="22"/>
          <w:szCs w:val="22"/>
          <w:lang w:val="en-US"/>
        </w:rPr>
      </w:pPr>
      <w:r w:rsidRPr="004364C7">
        <w:rPr>
          <w:rFonts w:ascii="Helvetica" w:hAnsi="Helvetica"/>
          <w:color w:val="000000"/>
          <w:sz w:val="22"/>
          <w:szCs w:val="22"/>
          <w:lang w:val="en-US"/>
        </w:rPr>
        <w:t>Themes from free-text responses converge on</w:t>
      </w:r>
      <w:r w:rsidRPr="004364C7">
        <w:rPr>
          <w:rStyle w:val="apple-converted-space"/>
          <w:rFonts w:ascii="Helvetica" w:hAnsi="Helvetica"/>
          <w:color w:val="000000"/>
          <w:sz w:val="22"/>
          <w:szCs w:val="22"/>
          <w:lang w:val="en-US"/>
        </w:rPr>
        <w:t> </w:t>
      </w:r>
      <w:r w:rsidRPr="004364C7">
        <w:rPr>
          <w:rStyle w:val="Strong"/>
          <w:rFonts w:ascii="Helvetica" w:hAnsi="Helvetica"/>
          <w:b w:val="0"/>
          <w:bCs w:val="0"/>
          <w:color w:val="000000"/>
          <w:sz w:val="22"/>
          <w:szCs w:val="22"/>
          <w:lang w:val="en-US"/>
        </w:rPr>
        <w:t>pre-analytical vulnerabilities</w:t>
      </w:r>
      <w:r w:rsidRPr="004364C7">
        <w:rPr>
          <w:rFonts w:ascii="Helvetica" w:hAnsi="Helvetica"/>
          <w:color w:val="000000"/>
          <w:sz w:val="22"/>
          <w:szCs w:val="22"/>
          <w:lang w:val="en-US"/>
        </w:rPr>
        <w:t>—notably the</w:t>
      </w:r>
      <w:r w:rsidRPr="004364C7">
        <w:rPr>
          <w:rStyle w:val="apple-converted-space"/>
          <w:rFonts w:ascii="Helvetica" w:hAnsi="Helvetica"/>
          <w:color w:val="000000"/>
          <w:sz w:val="22"/>
          <w:szCs w:val="22"/>
          <w:lang w:val="en-US"/>
        </w:rPr>
        <w:t> </w:t>
      </w:r>
      <w:r w:rsidRPr="004364C7">
        <w:rPr>
          <w:rStyle w:val="Strong"/>
          <w:rFonts w:ascii="Helvetica" w:hAnsi="Helvetica"/>
          <w:b w:val="0"/>
          <w:bCs w:val="0"/>
          <w:color w:val="000000"/>
          <w:sz w:val="22"/>
          <w:szCs w:val="22"/>
          <w:lang w:val="en-US"/>
        </w:rPr>
        <w:t>collection/handling</w:t>
      </w:r>
      <w:r w:rsidRPr="004364C7">
        <w:rPr>
          <w:rStyle w:val="apple-converted-space"/>
          <w:rFonts w:ascii="Helvetica" w:hAnsi="Helvetica"/>
          <w:b/>
          <w:bCs/>
          <w:color w:val="000000"/>
          <w:sz w:val="22"/>
          <w:szCs w:val="22"/>
          <w:lang w:val="en-US"/>
        </w:rPr>
        <w:t> </w:t>
      </w:r>
      <w:r w:rsidRPr="004364C7">
        <w:rPr>
          <w:rFonts w:ascii="Helvetica" w:hAnsi="Helvetica"/>
          <w:color w:val="000000"/>
          <w:sz w:val="22"/>
          <w:szCs w:val="22"/>
          <w:lang w:val="en-US"/>
        </w:rPr>
        <w:t>phase (mentioned by 44% of staff, 4/9)—and the persistence</w:t>
      </w:r>
      <w:r w:rsidRPr="004364C7">
        <w:rPr>
          <w:rFonts w:ascii="Helvetica" w:hAnsi="Helvetica"/>
          <w:b/>
          <w:bCs/>
          <w:color w:val="000000"/>
          <w:sz w:val="22"/>
          <w:szCs w:val="22"/>
          <w:lang w:val="en-US"/>
        </w:rPr>
        <w:t xml:space="preserve"> of</w:t>
      </w:r>
      <w:r w:rsidRPr="004364C7">
        <w:rPr>
          <w:rStyle w:val="apple-converted-space"/>
          <w:rFonts w:ascii="Helvetica" w:hAnsi="Helvetica"/>
          <w:b/>
          <w:bCs/>
          <w:color w:val="000000"/>
          <w:sz w:val="22"/>
          <w:szCs w:val="22"/>
          <w:lang w:val="en-US"/>
        </w:rPr>
        <w:t> </w:t>
      </w:r>
      <w:r w:rsidRPr="004364C7">
        <w:rPr>
          <w:rStyle w:val="Strong"/>
          <w:rFonts w:ascii="Helvetica" w:hAnsi="Helvetica"/>
          <w:b w:val="0"/>
          <w:bCs w:val="0"/>
          <w:color w:val="000000"/>
          <w:sz w:val="22"/>
          <w:szCs w:val="22"/>
          <w:lang w:val="en-US"/>
        </w:rPr>
        <w:t>manual pipetting</w:t>
      </w:r>
      <w:r w:rsidRPr="004364C7">
        <w:rPr>
          <w:rStyle w:val="apple-converted-space"/>
          <w:rFonts w:ascii="Helvetica" w:hAnsi="Helvetica"/>
          <w:color w:val="000000"/>
          <w:sz w:val="22"/>
          <w:szCs w:val="22"/>
          <w:lang w:val="en-US"/>
        </w:rPr>
        <w:t> </w:t>
      </w:r>
      <w:r w:rsidRPr="004364C7">
        <w:rPr>
          <w:rFonts w:ascii="Helvetica" w:hAnsi="Helvetica"/>
          <w:color w:val="000000"/>
          <w:sz w:val="22"/>
          <w:szCs w:val="22"/>
          <w:lang w:val="en-US"/>
        </w:rPr>
        <w:t>(33%, 3/9), both of which are established sources of imprecision in coagulation testing. In addition,</w:t>
      </w:r>
      <w:r w:rsidRPr="004364C7">
        <w:rPr>
          <w:rStyle w:val="apple-converted-space"/>
          <w:rFonts w:ascii="Helvetica" w:hAnsi="Helvetica"/>
          <w:color w:val="000000"/>
          <w:sz w:val="22"/>
          <w:szCs w:val="22"/>
          <w:lang w:val="en-US"/>
        </w:rPr>
        <w:t> </w:t>
      </w:r>
      <w:r w:rsidRPr="004364C7">
        <w:rPr>
          <w:rStyle w:val="Strong"/>
          <w:rFonts w:ascii="Helvetica" w:hAnsi="Helvetica"/>
          <w:b w:val="0"/>
          <w:bCs w:val="0"/>
          <w:color w:val="000000"/>
          <w:sz w:val="22"/>
          <w:szCs w:val="22"/>
          <w:lang w:val="en-US"/>
        </w:rPr>
        <w:t>misinterpreted automated alerts</w:t>
      </w:r>
      <w:r w:rsidRPr="004364C7">
        <w:rPr>
          <w:rStyle w:val="apple-converted-space"/>
          <w:rFonts w:ascii="Helvetica" w:hAnsi="Helvetica"/>
          <w:b/>
          <w:bCs/>
          <w:color w:val="000000"/>
          <w:sz w:val="22"/>
          <w:szCs w:val="22"/>
          <w:lang w:val="en-US"/>
        </w:rPr>
        <w:t> </w:t>
      </w:r>
      <w:r w:rsidRPr="004364C7">
        <w:rPr>
          <w:rFonts w:ascii="Helvetica" w:hAnsi="Helvetica"/>
          <w:color w:val="000000"/>
          <w:sz w:val="22"/>
          <w:szCs w:val="22"/>
          <w:lang w:val="en-US"/>
        </w:rPr>
        <w:t>were cited by 22% (2/9), suggesting a need for refresher training on instrument flag interpretation and escalation criteria. Addressing these issues through checklists, competency assessments, and clearer alert pathways is likely to yield rapid, durable gains in INR stability.</w:t>
      </w:r>
      <w:r w:rsidRPr="004364C7">
        <w:rPr>
          <w:rStyle w:val="apple-converted-space"/>
          <w:rFonts w:ascii="Helvetica" w:hAnsi="Helvetica"/>
          <w:color w:val="000000"/>
          <w:sz w:val="22"/>
          <w:szCs w:val="22"/>
          <w:lang w:val="en-US"/>
        </w:rPr>
        <w:t> </w:t>
      </w:r>
    </w:p>
    <w:p w14:paraId="39B46B75" w14:textId="77777777" w:rsidR="00F46AC0" w:rsidRPr="004364C7" w:rsidRDefault="00F46AC0">
      <w:pPr>
        <w:jc w:val="both"/>
        <w:rPr>
          <w:sz w:val="22"/>
          <w:szCs w:val="22"/>
        </w:rPr>
      </w:pPr>
    </w:p>
    <w:p w14:paraId="7FA900BC" w14:textId="77777777" w:rsidR="00E026DC" w:rsidRPr="004364C7" w:rsidRDefault="00E026DC">
      <w:pPr>
        <w:jc w:val="both"/>
        <w:rPr>
          <w:sz w:val="22"/>
          <w:szCs w:val="22"/>
        </w:rPr>
      </w:pPr>
    </w:p>
    <w:p w14:paraId="14FACB83" w14:textId="77777777" w:rsidR="00E026DC" w:rsidRPr="004364C7" w:rsidRDefault="00E026DC">
      <w:pPr>
        <w:jc w:val="both"/>
        <w:rPr>
          <w:sz w:val="22"/>
          <w:szCs w:val="22"/>
        </w:rPr>
      </w:pPr>
    </w:p>
    <w:p w14:paraId="57518C10" w14:textId="77777777" w:rsidR="00E026DC" w:rsidRPr="004364C7" w:rsidRDefault="00E026DC">
      <w:pPr>
        <w:jc w:val="both"/>
        <w:rPr>
          <w:sz w:val="22"/>
          <w:szCs w:val="22"/>
        </w:rPr>
      </w:pPr>
    </w:p>
    <w:p w14:paraId="6D2A07C8" w14:textId="77777777" w:rsidR="00E026DC" w:rsidRPr="004364C7" w:rsidRDefault="00E026DC">
      <w:pPr>
        <w:jc w:val="both"/>
        <w:rPr>
          <w:sz w:val="22"/>
          <w:szCs w:val="22"/>
        </w:rPr>
      </w:pPr>
    </w:p>
    <w:p w14:paraId="31E0855A" w14:textId="77777777" w:rsidR="00E026DC" w:rsidRPr="004364C7" w:rsidRDefault="00E026DC">
      <w:pPr>
        <w:jc w:val="both"/>
        <w:rPr>
          <w:sz w:val="22"/>
          <w:szCs w:val="22"/>
        </w:rPr>
      </w:pPr>
    </w:p>
    <w:p w14:paraId="03C79ABF" w14:textId="77777777" w:rsidR="00E026DC" w:rsidRPr="004364C7" w:rsidRDefault="00E026DC">
      <w:pPr>
        <w:jc w:val="both"/>
        <w:rPr>
          <w:sz w:val="22"/>
          <w:szCs w:val="22"/>
        </w:rPr>
      </w:pPr>
    </w:p>
    <w:p w14:paraId="5562087B" w14:textId="77777777" w:rsidR="00E026DC" w:rsidRPr="004364C7" w:rsidRDefault="00E026DC">
      <w:pPr>
        <w:jc w:val="both"/>
        <w:rPr>
          <w:sz w:val="22"/>
          <w:szCs w:val="22"/>
        </w:rPr>
      </w:pPr>
    </w:p>
    <w:p w14:paraId="3BE14965" w14:textId="77777777" w:rsidR="00E026DC" w:rsidRPr="004364C7" w:rsidRDefault="00E026DC">
      <w:pPr>
        <w:jc w:val="both"/>
        <w:rPr>
          <w:sz w:val="22"/>
          <w:szCs w:val="22"/>
        </w:rPr>
      </w:pPr>
    </w:p>
    <w:p w14:paraId="4F7CAF69" w14:textId="77777777" w:rsidR="00E026DC" w:rsidRPr="004364C7" w:rsidRDefault="00E026DC">
      <w:pPr>
        <w:jc w:val="both"/>
        <w:rPr>
          <w:sz w:val="22"/>
          <w:szCs w:val="22"/>
        </w:rPr>
      </w:pPr>
    </w:p>
    <w:p w14:paraId="3C2F6D23" w14:textId="77777777" w:rsidR="00E026DC" w:rsidRPr="004364C7" w:rsidRDefault="00E026DC">
      <w:pPr>
        <w:jc w:val="both"/>
        <w:rPr>
          <w:sz w:val="22"/>
          <w:szCs w:val="22"/>
        </w:rPr>
      </w:pPr>
    </w:p>
    <w:p w14:paraId="3764ECFC" w14:textId="77777777" w:rsidR="00E026DC" w:rsidRPr="004364C7" w:rsidRDefault="00E026DC">
      <w:pPr>
        <w:jc w:val="both"/>
        <w:rPr>
          <w:sz w:val="22"/>
          <w:szCs w:val="22"/>
        </w:rPr>
      </w:pPr>
    </w:p>
    <w:p w14:paraId="0502B27B" w14:textId="703EF11A" w:rsidR="00862424" w:rsidRPr="004364C7" w:rsidRDefault="00DD7026" w:rsidP="00F46AC0">
      <w:pPr>
        <w:pBdr>
          <w:bottom w:val="single" w:sz="4" w:space="1" w:color="auto"/>
        </w:pBdr>
        <w:jc w:val="both"/>
        <w:rPr>
          <w:sz w:val="22"/>
          <w:szCs w:val="22"/>
        </w:rPr>
      </w:pPr>
      <w:r w:rsidRPr="004364C7">
        <w:rPr>
          <w:sz w:val="22"/>
          <w:szCs w:val="22"/>
        </w:rPr>
        <w:t>Table 8. Open questions—clinicians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3600"/>
        <w:gridCol w:w="3600"/>
      </w:tblGrid>
      <w:tr w:rsidR="00862424" w:rsidRPr="004364C7" w14:paraId="05C02E86" w14:textId="77777777" w:rsidTr="00F46AC0">
        <w:tc>
          <w:tcPr>
            <w:tcW w:w="3600" w:type="dxa"/>
          </w:tcPr>
          <w:p w14:paraId="5385B9BA" w14:textId="77777777" w:rsidR="00862424" w:rsidRPr="004364C7" w:rsidRDefault="00DD7026" w:rsidP="00F46AC0">
            <w:pPr>
              <w:pBdr>
                <w:bottom w:val="single" w:sz="4" w:space="1" w:color="auto"/>
              </w:pBdr>
            </w:pPr>
            <w:r w:rsidRPr="004364C7">
              <w:t>Theme</w:t>
            </w:r>
          </w:p>
        </w:tc>
        <w:tc>
          <w:tcPr>
            <w:tcW w:w="3600" w:type="dxa"/>
          </w:tcPr>
          <w:p w14:paraId="4C32F261" w14:textId="77777777" w:rsidR="00862424" w:rsidRPr="004364C7" w:rsidRDefault="00DD7026" w:rsidP="00F46AC0">
            <w:pPr>
              <w:pBdr>
                <w:bottom w:val="single" w:sz="4" w:space="1" w:color="auto"/>
              </w:pBdr>
            </w:pPr>
            <w:r w:rsidRPr="004364C7">
              <w:t>Mentions</w:t>
            </w:r>
          </w:p>
        </w:tc>
        <w:tc>
          <w:tcPr>
            <w:tcW w:w="3600" w:type="dxa"/>
          </w:tcPr>
          <w:p w14:paraId="59895CF6" w14:textId="77777777" w:rsidR="00862424" w:rsidRPr="004364C7" w:rsidRDefault="00DD7026" w:rsidP="00F46AC0">
            <w:pPr>
              <w:pBdr>
                <w:bottom w:val="single" w:sz="4" w:space="1" w:color="auto"/>
              </w:pBdr>
            </w:pPr>
            <w:r w:rsidRPr="004364C7">
              <w:t>% of respondents</w:t>
            </w:r>
          </w:p>
        </w:tc>
      </w:tr>
      <w:tr w:rsidR="00862424" w:rsidRPr="004364C7" w14:paraId="025A68B1" w14:textId="77777777" w:rsidTr="00F46AC0">
        <w:tc>
          <w:tcPr>
            <w:tcW w:w="3600" w:type="dxa"/>
          </w:tcPr>
          <w:p w14:paraId="38C58666" w14:textId="77777777" w:rsidR="00862424" w:rsidRPr="004364C7" w:rsidRDefault="00DD7026">
            <w:r w:rsidRPr="004364C7">
              <w:t>Improve labo–clinician communication</w:t>
            </w:r>
          </w:p>
        </w:tc>
        <w:tc>
          <w:tcPr>
            <w:tcW w:w="3600" w:type="dxa"/>
          </w:tcPr>
          <w:p w14:paraId="0CC1C7FB" w14:textId="77777777" w:rsidR="00862424" w:rsidRPr="004364C7" w:rsidRDefault="00DD7026">
            <w:r w:rsidRPr="004364C7">
              <w:t>5</w:t>
            </w:r>
          </w:p>
        </w:tc>
        <w:tc>
          <w:tcPr>
            <w:tcW w:w="3600" w:type="dxa"/>
          </w:tcPr>
          <w:p w14:paraId="0121A242" w14:textId="77777777" w:rsidR="00862424" w:rsidRPr="004364C7" w:rsidRDefault="00DD7026">
            <w:r w:rsidRPr="004364C7">
              <w:t>38%</w:t>
            </w:r>
          </w:p>
        </w:tc>
      </w:tr>
      <w:tr w:rsidR="00862424" w:rsidRPr="004364C7" w14:paraId="4C95A215" w14:textId="77777777" w:rsidTr="00F46AC0">
        <w:tc>
          <w:tcPr>
            <w:tcW w:w="3600" w:type="dxa"/>
          </w:tcPr>
          <w:p w14:paraId="616EEFF1" w14:textId="77777777" w:rsidR="00862424" w:rsidRPr="004364C7" w:rsidRDefault="00DD7026">
            <w:r w:rsidRPr="004364C7">
              <w:t>Faster result delivery</w:t>
            </w:r>
          </w:p>
        </w:tc>
        <w:tc>
          <w:tcPr>
            <w:tcW w:w="3600" w:type="dxa"/>
          </w:tcPr>
          <w:p w14:paraId="77F7EB3E" w14:textId="77777777" w:rsidR="00862424" w:rsidRPr="004364C7" w:rsidRDefault="00DD7026">
            <w:r w:rsidRPr="004364C7">
              <w:t>4</w:t>
            </w:r>
          </w:p>
        </w:tc>
        <w:tc>
          <w:tcPr>
            <w:tcW w:w="3600" w:type="dxa"/>
          </w:tcPr>
          <w:p w14:paraId="7D089052" w14:textId="77777777" w:rsidR="00862424" w:rsidRPr="004364C7" w:rsidRDefault="00DD7026">
            <w:r w:rsidRPr="004364C7">
              <w:t>31%</w:t>
            </w:r>
          </w:p>
        </w:tc>
      </w:tr>
      <w:tr w:rsidR="00862424" w:rsidRPr="004364C7" w14:paraId="3553651F" w14:textId="77777777" w:rsidTr="00F46AC0">
        <w:tc>
          <w:tcPr>
            <w:tcW w:w="3600" w:type="dxa"/>
          </w:tcPr>
          <w:p w14:paraId="2377E90E" w14:textId="77777777" w:rsidR="00862424" w:rsidRPr="004364C7" w:rsidRDefault="00DD7026">
            <w:r w:rsidRPr="004364C7">
              <w:t>Clearer reliability/interpretation</w:t>
            </w:r>
          </w:p>
        </w:tc>
        <w:tc>
          <w:tcPr>
            <w:tcW w:w="3600" w:type="dxa"/>
          </w:tcPr>
          <w:p w14:paraId="4A34875E" w14:textId="77777777" w:rsidR="00862424" w:rsidRPr="004364C7" w:rsidRDefault="00DD7026">
            <w:r w:rsidRPr="004364C7">
              <w:t>3</w:t>
            </w:r>
          </w:p>
        </w:tc>
        <w:tc>
          <w:tcPr>
            <w:tcW w:w="3600" w:type="dxa"/>
          </w:tcPr>
          <w:p w14:paraId="5C39ED59" w14:textId="77777777" w:rsidR="00862424" w:rsidRPr="004364C7" w:rsidRDefault="00DD7026">
            <w:r w:rsidRPr="004364C7">
              <w:t>23%</w:t>
            </w:r>
          </w:p>
        </w:tc>
      </w:tr>
      <w:tr w:rsidR="00F46AC0" w:rsidRPr="004364C7" w14:paraId="6A61B5A6" w14:textId="77777777" w:rsidTr="00F46AC0">
        <w:tc>
          <w:tcPr>
            <w:tcW w:w="3600" w:type="dxa"/>
          </w:tcPr>
          <w:p w14:paraId="477B77F0" w14:textId="77777777" w:rsidR="00F46AC0" w:rsidRPr="004364C7" w:rsidRDefault="00F46AC0"/>
          <w:p w14:paraId="607F1BD5" w14:textId="77777777" w:rsidR="00F46AC0" w:rsidRPr="004364C7" w:rsidRDefault="00F46AC0"/>
        </w:tc>
        <w:tc>
          <w:tcPr>
            <w:tcW w:w="3600" w:type="dxa"/>
          </w:tcPr>
          <w:p w14:paraId="075BA83A" w14:textId="77777777" w:rsidR="00F46AC0" w:rsidRPr="004364C7" w:rsidRDefault="00F46AC0"/>
        </w:tc>
        <w:tc>
          <w:tcPr>
            <w:tcW w:w="3600" w:type="dxa"/>
          </w:tcPr>
          <w:p w14:paraId="6251777C" w14:textId="77777777" w:rsidR="00F46AC0" w:rsidRPr="004364C7" w:rsidRDefault="00F46AC0"/>
        </w:tc>
      </w:tr>
    </w:tbl>
    <w:p w14:paraId="4310F8A7" w14:textId="77777777" w:rsidR="00E026DC" w:rsidRPr="004364C7" w:rsidRDefault="00E026DC" w:rsidP="00E026DC">
      <w:pPr>
        <w:jc w:val="both"/>
        <w:rPr>
          <w:color w:val="000000"/>
          <w:sz w:val="22"/>
          <w:szCs w:val="22"/>
        </w:rPr>
      </w:pPr>
    </w:p>
    <w:p w14:paraId="70756CF5" w14:textId="339A5739" w:rsidR="00E026DC" w:rsidRPr="004364C7" w:rsidRDefault="00E026DC" w:rsidP="00E026DC">
      <w:pPr>
        <w:jc w:val="both"/>
        <w:rPr>
          <w:sz w:val="22"/>
          <w:szCs w:val="22"/>
        </w:rPr>
      </w:pPr>
      <w:r w:rsidRPr="004364C7">
        <w:rPr>
          <w:color w:val="000000"/>
          <w:sz w:val="22"/>
          <w:szCs w:val="22"/>
        </w:rPr>
        <w:t>Open-ended priorities are operational and actionable:</w:t>
      </w:r>
      <w:r w:rsidRPr="004364C7">
        <w:rPr>
          <w:rStyle w:val="apple-converted-space"/>
          <w:color w:val="000000"/>
          <w:sz w:val="22"/>
          <w:szCs w:val="22"/>
        </w:rPr>
        <w:t> </w:t>
      </w:r>
      <w:r w:rsidRPr="004364C7">
        <w:rPr>
          <w:rStyle w:val="Strong"/>
          <w:b w:val="0"/>
          <w:bCs w:val="0"/>
          <w:color w:val="000000"/>
          <w:sz w:val="22"/>
          <w:szCs w:val="22"/>
        </w:rPr>
        <w:t>improved labo–clinician communication</w:t>
      </w:r>
      <w:r w:rsidRPr="004364C7">
        <w:rPr>
          <w:rStyle w:val="apple-converted-space"/>
          <w:b/>
          <w:bCs/>
          <w:color w:val="000000"/>
          <w:sz w:val="22"/>
          <w:szCs w:val="22"/>
        </w:rPr>
        <w:t> </w:t>
      </w:r>
      <w:r w:rsidRPr="004364C7">
        <w:rPr>
          <w:color w:val="000000"/>
          <w:sz w:val="22"/>
          <w:szCs w:val="22"/>
        </w:rPr>
        <w:t>(38%, 5/13),</w:t>
      </w:r>
      <w:r w:rsidRPr="004364C7">
        <w:rPr>
          <w:rStyle w:val="apple-converted-space"/>
          <w:b/>
          <w:bCs/>
          <w:color w:val="000000"/>
          <w:sz w:val="22"/>
          <w:szCs w:val="22"/>
        </w:rPr>
        <w:t> </w:t>
      </w:r>
      <w:r w:rsidRPr="004364C7">
        <w:rPr>
          <w:rStyle w:val="Strong"/>
          <w:b w:val="0"/>
          <w:bCs w:val="0"/>
          <w:color w:val="000000"/>
          <w:sz w:val="22"/>
          <w:szCs w:val="22"/>
        </w:rPr>
        <w:t>faster result delivery</w:t>
      </w:r>
      <w:r w:rsidRPr="004364C7">
        <w:rPr>
          <w:rStyle w:val="apple-converted-space"/>
          <w:color w:val="000000"/>
          <w:sz w:val="22"/>
          <w:szCs w:val="22"/>
        </w:rPr>
        <w:t> </w:t>
      </w:r>
      <w:r w:rsidRPr="004364C7">
        <w:rPr>
          <w:color w:val="000000"/>
          <w:sz w:val="22"/>
          <w:szCs w:val="22"/>
        </w:rPr>
        <w:t>(31%, 4/13), and</w:t>
      </w:r>
      <w:r w:rsidRPr="004364C7">
        <w:rPr>
          <w:rStyle w:val="apple-converted-space"/>
          <w:b/>
          <w:bCs/>
          <w:color w:val="000000"/>
          <w:sz w:val="22"/>
          <w:szCs w:val="22"/>
        </w:rPr>
        <w:t> </w:t>
      </w:r>
      <w:r w:rsidRPr="004364C7">
        <w:rPr>
          <w:rStyle w:val="Strong"/>
          <w:b w:val="0"/>
          <w:bCs w:val="0"/>
          <w:color w:val="000000"/>
          <w:sz w:val="22"/>
          <w:szCs w:val="22"/>
        </w:rPr>
        <w:t>clearer statements on analytical reliability/interpretation</w:t>
      </w:r>
      <w:r w:rsidRPr="004364C7">
        <w:rPr>
          <w:rStyle w:val="apple-converted-space"/>
          <w:color w:val="000000"/>
          <w:sz w:val="22"/>
          <w:szCs w:val="22"/>
        </w:rPr>
        <w:t> </w:t>
      </w:r>
      <w:r w:rsidRPr="004364C7">
        <w:rPr>
          <w:color w:val="000000"/>
          <w:sz w:val="22"/>
          <w:szCs w:val="22"/>
        </w:rPr>
        <w:t xml:space="preserve">(23%, 3/13). Together with the closed-question findings, these themes delineate a focused improvement agenda </w:t>
      </w:r>
      <w:proofErr w:type="spellStart"/>
      <w:r w:rsidRPr="004364C7">
        <w:rPr>
          <w:color w:val="000000"/>
          <w:sz w:val="22"/>
          <w:szCs w:val="22"/>
        </w:rPr>
        <w:t>centred</w:t>
      </w:r>
      <w:proofErr w:type="spellEnd"/>
      <w:r w:rsidRPr="004364C7">
        <w:rPr>
          <w:color w:val="000000"/>
          <w:sz w:val="22"/>
          <w:szCs w:val="22"/>
        </w:rPr>
        <w:t xml:space="preserve"> on communication timeliness, interpretative reporting, and transparency about analytical limitations.</w:t>
      </w:r>
    </w:p>
    <w:p w14:paraId="0A4E28F9" w14:textId="77777777" w:rsidR="00F46AC0" w:rsidRPr="004364C7" w:rsidRDefault="00F46AC0">
      <w:pPr>
        <w:jc w:val="both"/>
        <w:rPr>
          <w:sz w:val="22"/>
          <w:szCs w:val="22"/>
        </w:rPr>
      </w:pPr>
    </w:p>
    <w:p w14:paraId="7A827325" w14:textId="77777777" w:rsidR="00E026DC" w:rsidRPr="004364C7" w:rsidRDefault="00E026DC">
      <w:pPr>
        <w:jc w:val="both"/>
        <w:rPr>
          <w:b/>
          <w:bCs/>
          <w:sz w:val="22"/>
          <w:szCs w:val="22"/>
        </w:rPr>
      </w:pPr>
    </w:p>
    <w:p w14:paraId="0E22E570" w14:textId="75B9F895" w:rsidR="00F46AC0" w:rsidRPr="004364C7" w:rsidRDefault="00ED04EE">
      <w:pPr>
        <w:jc w:val="both"/>
        <w:rPr>
          <w:b/>
          <w:bCs/>
          <w:sz w:val="22"/>
          <w:szCs w:val="22"/>
        </w:rPr>
      </w:pPr>
      <w:r w:rsidRPr="004364C7">
        <w:rPr>
          <w:b/>
          <w:bCs/>
          <w:sz w:val="22"/>
          <w:szCs w:val="22"/>
        </w:rPr>
        <w:t>4.</w:t>
      </w:r>
      <w:r w:rsidR="00F46AC0" w:rsidRPr="004364C7">
        <w:rPr>
          <w:b/>
          <w:bCs/>
          <w:sz w:val="22"/>
          <w:szCs w:val="22"/>
        </w:rPr>
        <w:t xml:space="preserve">DISCUSSION </w:t>
      </w:r>
    </w:p>
    <w:p w14:paraId="0AD08B25" w14:textId="77777777" w:rsidR="00F46AC0" w:rsidRPr="004364C7" w:rsidRDefault="00F46AC0">
      <w:pPr>
        <w:jc w:val="both"/>
        <w:rPr>
          <w:sz w:val="22"/>
          <w:szCs w:val="22"/>
        </w:rPr>
      </w:pPr>
    </w:p>
    <w:p w14:paraId="52CF6F72" w14:textId="77777777" w:rsidR="00F46AC0" w:rsidRPr="004364C7" w:rsidRDefault="00F46AC0" w:rsidP="00F46AC0">
      <w:pPr>
        <w:rPr>
          <w:sz w:val="22"/>
          <w:szCs w:val="22"/>
        </w:rPr>
      </w:pPr>
    </w:p>
    <w:p w14:paraId="6FD65231" w14:textId="77777777" w:rsidR="00CF029A" w:rsidRPr="004364C7" w:rsidRDefault="00CF029A" w:rsidP="00CF029A">
      <w:pPr>
        <w:pStyle w:val="NormalWeb"/>
        <w:rPr>
          <w:rFonts w:ascii="Helvetica" w:hAnsi="Helvetica"/>
          <w:color w:val="000000"/>
          <w:sz w:val="22"/>
          <w:szCs w:val="22"/>
          <w:lang w:val="en-US"/>
        </w:rPr>
      </w:pPr>
      <w:r w:rsidRPr="004364C7">
        <w:rPr>
          <w:rFonts w:ascii="Helvetica" w:hAnsi="Helvetica"/>
          <w:color w:val="000000"/>
          <w:sz w:val="22"/>
          <w:szCs w:val="22"/>
          <w:lang w:val="en-US"/>
        </w:rPr>
        <w:t xml:space="preserve">This study reveals critical areas for improvement in the monitoring of vitamin K antagonist (VKA) therapy at </w:t>
      </w:r>
      <w:proofErr w:type="spellStart"/>
      <w:r w:rsidRPr="004364C7">
        <w:rPr>
          <w:rFonts w:ascii="Helvetica" w:hAnsi="Helvetica"/>
          <w:color w:val="000000"/>
          <w:sz w:val="22"/>
          <w:szCs w:val="22"/>
          <w:lang w:val="en-US"/>
        </w:rPr>
        <w:t>Hôpital</w:t>
      </w:r>
      <w:proofErr w:type="spellEnd"/>
      <w:r w:rsidRPr="004364C7">
        <w:rPr>
          <w:rFonts w:ascii="Helvetica" w:hAnsi="Helvetica"/>
          <w:color w:val="000000"/>
          <w:sz w:val="22"/>
          <w:szCs w:val="22"/>
          <w:lang w:val="en-US"/>
        </w:rPr>
        <w:t xml:space="preserve"> de la </w:t>
      </w:r>
      <w:proofErr w:type="spellStart"/>
      <w:r w:rsidRPr="004364C7">
        <w:rPr>
          <w:rFonts w:ascii="Helvetica" w:hAnsi="Helvetica"/>
          <w:color w:val="000000"/>
          <w:sz w:val="22"/>
          <w:szCs w:val="22"/>
          <w:lang w:val="en-US"/>
        </w:rPr>
        <w:t>Paix</w:t>
      </w:r>
      <w:proofErr w:type="spellEnd"/>
      <w:r w:rsidRPr="004364C7">
        <w:rPr>
          <w:rFonts w:ascii="Helvetica" w:hAnsi="Helvetica"/>
          <w:color w:val="000000"/>
          <w:sz w:val="22"/>
          <w:szCs w:val="22"/>
          <w:lang w:val="en-US"/>
        </w:rPr>
        <w:t xml:space="preserve"> de Ziguinchor (HPZ). Although a modest decrease in subtherapeutic INR values was observed—from 14 to 10 patients—this was accompanied by a concerning rise in supratherapeutic values, which increased from 11 to 16 patients (Table 2). Nearly</w:t>
      </w:r>
      <w:r w:rsidRPr="004364C7">
        <w:rPr>
          <w:rStyle w:val="apple-converted-space"/>
          <w:rFonts w:ascii="Helvetica" w:hAnsi="Helvetica"/>
          <w:color w:val="000000"/>
          <w:sz w:val="22"/>
          <w:szCs w:val="22"/>
          <w:lang w:val="en-US"/>
        </w:rPr>
        <w:t> </w:t>
      </w:r>
      <w:r w:rsidRPr="004364C7">
        <w:rPr>
          <w:rStyle w:val="Strong"/>
          <w:rFonts w:ascii="Helvetica" w:hAnsi="Helvetica"/>
          <w:b w:val="0"/>
          <w:bCs w:val="0"/>
          <w:color w:val="000000"/>
          <w:sz w:val="22"/>
          <w:szCs w:val="22"/>
          <w:lang w:val="en-US"/>
        </w:rPr>
        <w:t>48.5%</w:t>
      </w:r>
      <w:r w:rsidRPr="004364C7">
        <w:rPr>
          <w:rStyle w:val="apple-converted-space"/>
          <w:rFonts w:ascii="Helvetica" w:hAnsi="Helvetica"/>
          <w:color w:val="000000"/>
          <w:sz w:val="22"/>
          <w:szCs w:val="22"/>
          <w:lang w:val="en-US"/>
        </w:rPr>
        <w:t> </w:t>
      </w:r>
      <w:r w:rsidRPr="004364C7">
        <w:rPr>
          <w:rFonts w:ascii="Helvetica" w:hAnsi="Helvetica"/>
          <w:color w:val="000000"/>
          <w:sz w:val="22"/>
          <w:szCs w:val="22"/>
          <w:lang w:val="en-US"/>
        </w:rPr>
        <w:t>of patients had INR values above the therapeutic range at the second visit, substantially heightening the risk of bleeding complications. Despite these changes, statistical analysis showed no significant paired difference between INR1 and INR2 (paired t-test</w:t>
      </w:r>
      <w:r w:rsidRPr="004364C7">
        <w:rPr>
          <w:rStyle w:val="apple-converted-space"/>
          <w:rFonts w:ascii="Helvetica" w:hAnsi="Helvetica"/>
          <w:color w:val="000000"/>
          <w:sz w:val="22"/>
          <w:szCs w:val="22"/>
          <w:lang w:val="en-US"/>
        </w:rPr>
        <w:t> </w:t>
      </w:r>
      <w:r w:rsidRPr="004364C7">
        <w:rPr>
          <w:rStyle w:val="Emphasis"/>
          <w:rFonts w:ascii="Helvetica" w:hAnsi="Helvetica"/>
          <w:color w:val="000000"/>
          <w:sz w:val="22"/>
          <w:szCs w:val="22"/>
          <w:lang w:val="en-US"/>
        </w:rPr>
        <w:t>p</w:t>
      </w:r>
      <w:r w:rsidRPr="004364C7">
        <w:rPr>
          <w:rStyle w:val="apple-converted-space"/>
          <w:rFonts w:ascii="Helvetica" w:hAnsi="Helvetica"/>
          <w:color w:val="000000"/>
          <w:sz w:val="22"/>
          <w:szCs w:val="22"/>
          <w:lang w:val="en-US"/>
        </w:rPr>
        <w:t> </w:t>
      </w:r>
      <w:r w:rsidRPr="004364C7">
        <w:rPr>
          <w:rFonts w:ascii="Helvetica" w:hAnsi="Helvetica"/>
          <w:color w:val="000000"/>
          <w:sz w:val="22"/>
          <w:szCs w:val="22"/>
          <w:lang w:val="en-US"/>
        </w:rPr>
        <w:t>= 0.2403; Wilcoxon</w:t>
      </w:r>
      <w:r w:rsidRPr="004364C7">
        <w:rPr>
          <w:rStyle w:val="apple-converted-space"/>
          <w:rFonts w:ascii="Helvetica" w:hAnsi="Helvetica"/>
          <w:color w:val="000000"/>
          <w:sz w:val="22"/>
          <w:szCs w:val="22"/>
          <w:lang w:val="en-US"/>
        </w:rPr>
        <w:t> </w:t>
      </w:r>
      <w:r w:rsidRPr="004364C7">
        <w:rPr>
          <w:rStyle w:val="Emphasis"/>
          <w:rFonts w:ascii="Helvetica" w:hAnsi="Helvetica"/>
          <w:color w:val="000000"/>
          <w:sz w:val="22"/>
          <w:szCs w:val="22"/>
          <w:lang w:val="en-US"/>
        </w:rPr>
        <w:t>p</w:t>
      </w:r>
      <w:r w:rsidRPr="004364C7">
        <w:rPr>
          <w:rStyle w:val="apple-converted-space"/>
          <w:rFonts w:ascii="Helvetica" w:hAnsi="Helvetica"/>
          <w:color w:val="000000"/>
          <w:sz w:val="22"/>
          <w:szCs w:val="22"/>
          <w:lang w:val="en-US"/>
        </w:rPr>
        <w:t> </w:t>
      </w:r>
      <w:r w:rsidRPr="004364C7">
        <w:rPr>
          <w:rFonts w:ascii="Helvetica" w:hAnsi="Helvetica"/>
          <w:color w:val="000000"/>
          <w:sz w:val="22"/>
          <w:szCs w:val="22"/>
          <w:lang w:val="en-US"/>
        </w:rPr>
        <w:t>= 0.3775; Table 4), indicating that mean INR values may not fully reflect the clinical risks posed by INR variability.</w:t>
      </w:r>
    </w:p>
    <w:p w14:paraId="0C1C05C2" w14:textId="77777777" w:rsidR="00CF029A" w:rsidRPr="004364C7" w:rsidRDefault="00CF029A" w:rsidP="00CF029A">
      <w:pPr>
        <w:pStyle w:val="NormalWeb"/>
        <w:rPr>
          <w:rFonts w:ascii="Helvetica" w:hAnsi="Helvetica"/>
          <w:color w:val="000000"/>
          <w:sz w:val="22"/>
          <w:szCs w:val="22"/>
          <w:lang w:val="en-US"/>
        </w:rPr>
      </w:pPr>
      <w:r w:rsidRPr="004364C7">
        <w:rPr>
          <w:rFonts w:ascii="Helvetica" w:hAnsi="Helvetica"/>
          <w:color w:val="000000"/>
          <w:sz w:val="22"/>
          <w:szCs w:val="22"/>
          <w:lang w:val="en-US"/>
        </w:rPr>
        <w:t>These findings mirror those in global literature. In the ORBIT-AF registry in the United States, the proportion of time above the therapeutic INR range rarely exceeds</w:t>
      </w:r>
      <w:r w:rsidRPr="004364C7">
        <w:rPr>
          <w:rStyle w:val="apple-converted-space"/>
          <w:rFonts w:ascii="Helvetica" w:hAnsi="Helvetica"/>
          <w:color w:val="000000"/>
          <w:sz w:val="22"/>
          <w:szCs w:val="22"/>
          <w:lang w:val="en-US"/>
        </w:rPr>
        <w:t> </w:t>
      </w:r>
      <w:r w:rsidRPr="004364C7">
        <w:rPr>
          <w:rStyle w:val="Strong"/>
          <w:rFonts w:ascii="Helvetica" w:hAnsi="Helvetica"/>
          <w:b w:val="0"/>
          <w:bCs w:val="0"/>
          <w:color w:val="000000"/>
          <w:sz w:val="22"/>
          <w:szCs w:val="22"/>
          <w:lang w:val="en-US"/>
        </w:rPr>
        <w:t>10%</w:t>
      </w:r>
      <w:r w:rsidRPr="004364C7">
        <w:rPr>
          <w:rFonts w:ascii="Helvetica" w:hAnsi="Helvetica"/>
          <w:color w:val="000000"/>
          <w:sz w:val="22"/>
          <w:szCs w:val="22"/>
          <w:lang w:val="en-US"/>
        </w:rPr>
        <w:t xml:space="preserve">, and TTR averages 65–68% [9]. In contrast, our findings suggest TTR may be substantially lower, even though it was not directly calculated due to only two time points. Similarly, in Sweden’s </w:t>
      </w:r>
      <w:proofErr w:type="spellStart"/>
      <w:r w:rsidRPr="004364C7">
        <w:rPr>
          <w:rFonts w:ascii="Helvetica" w:hAnsi="Helvetica"/>
          <w:color w:val="000000"/>
          <w:sz w:val="22"/>
          <w:szCs w:val="22"/>
          <w:lang w:val="en-US"/>
        </w:rPr>
        <w:t>AuriculA</w:t>
      </w:r>
      <w:proofErr w:type="spellEnd"/>
      <w:r w:rsidRPr="004364C7">
        <w:rPr>
          <w:rFonts w:ascii="Helvetica" w:hAnsi="Helvetica"/>
          <w:color w:val="000000"/>
          <w:sz w:val="22"/>
          <w:szCs w:val="22"/>
          <w:lang w:val="en-US"/>
        </w:rPr>
        <w:t xml:space="preserve"> program, TTR routinely exceeds</w:t>
      </w:r>
      <w:r w:rsidRPr="004364C7">
        <w:rPr>
          <w:rStyle w:val="apple-converted-space"/>
          <w:rFonts w:ascii="Helvetica" w:hAnsi="Helvetica"/>
          <w:color w:val="000000"/>
          <w:sz w:val="22"/>
          <w:szCs w:val="22"/>
          <w:lang w:val="en-US"/>
        </w:rPr>
        <w:t> </w:t>
      </w:r>
      <w:r w:rsidRPr="004364C7">
        <w:rPr>
          <w:rStyle w:val="Strong"/>
          <w:rFonts w:ascii="Helvetica" w:hAnsi="Helvetica"/>
          <w:b w:val="0"/>
          <w:bCs w:val="0"/>
          <w:color w:val="000000"/>
          <w:sz w:val="22"/>
          <w:szCs w:val="22"/>
          <w:lang w:val="en-US"/>
        </w:rPr>
        <w:t>75%</w:t>
      </w:r>
      <w:r w:rsidRPr="004364C7">
        <w:rPr>
          <w:rFonts w:ascii="Helvetica" w:hAnsi="Helvetica"/>
          <w:color w:val="000000"/>
          <w:sz w:val="22"/>
          <w:szCs w:val="22"/>
          <w:lang w:val="en-US"/>
        </w:rPr>
        <w:t>, supported by computerized decision support, systematic recall scheduling, and structured lab–clinician communication [14,15]. These data suggest that the supratherapeutic proportion observed at HPZ is alarmingly high and reflective of broader systemic gaps in INR monitoring and response.</w:t>
      </w:r>
    </w:p>
    <w:p w14:paraId="2A15A2CB" w14:textId="77777777" w:rsidR="00CF029A" w:rsidRPr="004364C7" w:rsidRDefault="00CF029A" w:rsidP="00CF029A">
      <w:pPr>
        <w:pStyle w:val="NormalWeb"/>
        <w:rPr>
          <w:rFonts w:ascii="Helvetica" w:hAnsi="Helvetica"/>
          <w:color w:val="000000"/>
          <w:sz w:val="22"/>
          <w:szCs w:val="22"/>
          <w:lang w:val="en-US"/>
        </w:rPr>
      </w:pPr>
      <w:r w:rsidRPr="004364C7">
        <w:rPr>
          <w:rFonts w:ascii="Helvetica" w:hAnsi="Helvetica"/>
          <w:color w:val="000000"/>
          <w:sz w:val="22"/>
          <w:szCs w:val="22"/>
          <w:lang w:val="en-US"/>
        </w:rPr>
        <w:t>The clinical significance of the INR variability observed at HPZ is further emphasized by the non-negligible shift in the median INR from</w:t>
      </w:r>
      <w:r w:rsidRPr="004364C7">
        <w:rPr>
          <w:rStyle w:val="apple-converted-space"/>
          <w:rFonts w:ascii="Helvetica" w:hAnsi="Helvetica"/>
          <w:color w:val="000000"/>
          <w:sz w:val="22"/>
          <w:szCs w:val="22"/>
          <w:lang w:val="en-US"/>
        </w:rPr>
        <w:t> </w:t>
      </w:r>
      <w:r w:rsidRPr="004364C7">
        <w:rPr>
          <w:rStyle w:val="Strong"/>
          <w:rFonts w:ascii="Helvetica" w:hAnsi="Helvetica"/>
          <w:b w:val="0"/>
          <w:bCs w:val="0"/>
          <w:color w:val="000000"/>
          <w:sz w:val="22"/>
          <w:szCs w:val="22"/>
          <w:lang w:val="en-US"/>
        </w:rPr>
        <w:t>2.43 to 2.79</w:t>
      </w:r>
      <w:r w:rsidRPr="004364C7">
        <w:rPr>
          <w:rStyle w:val="apple-converted-space"/>
          <w:rFonts w:ascii="Helvetica" w:hAnsi="Helvetica"/>
          <w:color w:val="000000"/>
          <w:sz w:val="22"/>
          <w:szCs w:val="22"/>
          <w:lang w:val="en-US"/>
        </w:rPr>
        <w:t> </w:t>
      </w:r>
      <w:r w:rsidRPr="004364C7">
        <w:rPr>
          <w:rFonts w:ascii="Helvetica" w:hAnsi="Helvetica"/>
          <w:color w:val="000000"/>
          <w:sz w:val="22"/>
          <w:szCs w:val="22"/>
          <w:lang w:val="en-US"/>
        </w:rPr>
        <w:t>(Table 2). Although this upward shift appears modest, it likely reflects cumulative dose titration, possibly in response to prior subtherapeutic values. However, without standardized dosing algorithms or real-time feedback loops between laboratory and prescriber, such adjustments may lead to overcorrection and loss of therapeutic control.</w:t>
      </w:r>
    </w:p>
    <w:p w14:paraId="1B130BE2" w14:textId="77777777" w:rsidR="00CF029A" w:rsidRPr="004364C7" w:rsidRDefault="00CF029A" w:rsidP="00CF029A">
      <w:pPr>
        <w:pStyle w:val="NormalWeb"/>
        <w:rPr>
          <w:rFonts w:ascii="Helvetica" w:hAnsi="Helvetica"/>
          <w:color w:val="000000"/>
          <w:sz w:val="22"/>
          <w:szCs w:val="22"/>
          <w:lang w:val="en-US"/>
        </w:rPr>
      </w:pPr>
      <w:r w:rsidRPr="004364C7">
        <w:rPr>
          <w:rFonts w:ascii="Helvetica" w:hAnsi="Helvetica"/>
          <w:color w:val="000000"/>
          <w:sz w:val="22"/>
          <w:szCs w:val="22"/>
          <w:lang w:val="en-US"/>
        </w:rPr>
        <w:t>Demographic analysis failed to identify statistically significant associations between INR status and</w:t>
      </w:r>
      <w:r w:rsidRPr="004364C7">
        <w:rPr>
          <w:rStyle w:val="apple-converted-space"/>
          <w:rFonts w:ascii="Helvetica" w:hAnsi="Helvetica"/>
          <w:color w:val="000000"/>
          <w:sz w:val="22"/>
          <w:szCs w:val="22"/>
          <w:lang w:val="en-US"/>
        </w:rPr>
        <w:t> </w:t>
      </w:r>
      <w:r w:rsidRPr="004364C7">
        <w:rPr>
          <w:rStyle w:val="Strong"/>
          <w:rFonts w:ascii="Helvetica" w:hAnsi="Helvetica"/>
          <w:b w:val="0"/>
          <w:bCs w:val="0"/>
          <w:color w:val="000000"/>
          <w:sz w:val="22"/>
          <w:szCs w:val="22"/>
          <w:lang w:val="en-US"/>
        </w:rPr>
        <w:t>age group</w:t>
      </w:r>
      <w:r w:rsidRPr="004364C7">
        <w:rPr>
          <w:rStyle w:val="apple-converted-space"/>
          <w:rFonts w:ascii="Helvetica" w:hAnsi="Helvetica"/>
          <w:color w:val="000000"/>
          <w:sz w:val="22"/>
          <w:szCs w:val="22"/>
          <w:lang w:val="en-US"/>
        </w:rPr>
        <w:t> </w:t>
      </w:r>
      <w:r w:rsidRPr="004364C7">
        <w:rPr>
          <w:rFonts w:ascii="Helvetica" w:hAnsi="Helvetica"/>
          <w:color w:val="000000"/>
          <w:sz w:val="22"/>
          <w:szCs w:val="22"/>
          <w:lang w:val="en-US"/>
        </w:rPr>
        <w:t>(</w:t>
      </w:r>
      <w:r w:rsidRPr="004364C7">
        <w:rPr>
          <w:rStyle w:val="Emphasis"/>
          <w:rFonts w:ascii="Helvetica" w:hAnsi="Helvetica"/>
          <w:color w:val="000000"/>
          <w:sz w:val="22"/>
          <w:szCs w:val="22"/>
          <w:lang w:val="en-US"/>
        </w:rPr>
        <w:t>p</w:t>
      </w:r>
      <w:r w:rsidRPr="004364C7">
        <w:rPr>
          <w:rStyle w:val="apple-converted-space"/>
          <w:rFonts w:ascii="Helvetica" w:hAnsi="Helvetica"/>
          <w:color w:val="000000"/>
          <w:sz w:val="22"/>
          <w:szCs w:val="22"/>
          <w:lang w:val="en-US"/>
        </w:rPr>
        <w:t> </w:t>
      </w:r>
      <w:r w:rsidRPr="004364C7">
        <w:rPr>
          <w:rFonts w:ascii="Helvetica" w:hAnsi="Helvetica"/>
          <w:color w:val="000000"/>
          <w:sz w:val="22"/>
          <w:szCs w:val="22"/>
          <w:lang w:val="en-US"/>
        </w:rPr>
        <w:t>= 0.0737) or</w:t>
      </w:r>
      <w:r w:rsidRPr="004364C7">
        <w:rPr>
          <w:rStyle w:val="apple-converted-space"/>
          <w:rFonts w:ascii="Helvetica" w:hAnsi="Helvetica"/>
          <w:color w:val="000000"/>
          <w:sz w:val="22"/>
          <w:szCs w:val="22"/>
          <w:lang w:val="en-US"/>
        </w:rPr>
        <w:t> </w:t>
      </w:r>
      <w:r w:rsidRPr="004364C7">
        <w:rPr>
          <w:rStyle w:val="Strong"/>
          <w:rFonts w:ascii="Helvetica" w:hAnsi="Helvetica"/>
          <w:b w:val="0"/>
          <w:bCs w:val="0"/>
          <w:color w:val="000000"/>
          <w:sz w:val="22"/>
          <w:szCs w:val="22"/>
          <w:lang w:val="en-US"/>
        </w:rPr>
        <w:t>sex</w:t>
      </w:r>
      <w:r w:rsidRPr="004364C7">
        <w:rPr>
          <w:rStyle w:val="apple-converted-space"/>
          <w:rFonts w:ascii="Helvetica" w:hAnsi="Helvetica"/>
          <w:color w:val="000000"/>
          <w:sz w:val="22"/>
          <w:szCs w:val="22"/>
          <w:lang w:val="en-US"/>
        </w:rPr>
        <w:t> </w:t>
      </w:r>
      <w:r w:rsidRPr="004364C7">
        <w:rPr>
          <w:rFonts w:ascii="Helvetica" w:hAnsi="Helvetica"/>
          <w:color w:val="000000"/>
          <w:sz w:val="22"/>
          <w:szCs w:val="22"/>
          <w:lang w:val="en-US"/>
        </w:rPr>
        <w:t>(</w:t>
      </w:r>
      <w:r w:rsidRPr="004364C7">
        <w:rPr>
          <w:rStyle w:val="Emphasis"/>
          <w:rFonts w:ascii="Helvetica" w:hAnsi="Helvetica"/>
          <w:color w:val="000000"/>
          <w:sz w:val="22"/>
          <w:szCs w:val="22"/>
          <w:lang w:val="en-US"/>
        </w:rPr>
        <w:t>p</w:t>
      </w:r>
      <w:r w:rsidRPr="004364C7">
        <w:rPr>
          <w:rStyle w:val="apple-converted-space"/>
          <w:rFonts w:ascii="Helvetica" w:hAnsi="Helvetica"/>
          <w:color w:val="000000"/>
          <w:sz w:val="22"/>
          <w:szCs w:val="22"/>
          <w:lang w:val="en-US"/>
        </w:rPr>
        <w:t> </w:t>
      </w:r>
      <w:r w:rsidRPr="004364C7">
        <w:rPr>
          <w:rFonts w:ascii="Helvetica" w:hAnsi="Helvetica"/>
          <w:color w:val="000000"/>
          <w:sz w:val="22"/>
          <w:szCs w:val="22"/>
          <w:lang w:val="en-US"/>
        </w:rPr>
        <w:t>= 0.0934), although both results approached threshold significance (Table 3). This aligns with other studies showing mixed evidence on the impact of age and sex on INR stability. While some global data suggest that elderly patients may experience more INR fluctuations due to altered pharmacokinetics or polypharmacy [11], our limited sample size (N=33) likely constrained the power to detect such associations. Nonetheless, the observed trends merit further exploration in larger cohorts.</w:t>
      </w:r>
    </w:p>
    <w:p w14:paraId="44BB912D" w14:textId="77777777" w:rsidR="00CF029A" w:rsidRPr="004364C7" w:rsidRDefault="00CF029A" w:rsidP="00CF029A">
      <w:pPr>
        <w:pStyle w:val="NormalWeb"/>
        <w:rPr>
          <w:rFonts w:ascii="Helvetica" w:hAnsi="Helvetica"/>
          <w:color w:val="000000"/>
          <w:sz w:val="22"/>
          <w:szCs w:val="22"/>
          <w:lang w:val="en-US"/>
        </w:rPr>
      </w:pPr>
      <w:r w:rsidRPr="004364C7">
        <w:rPr>
          <w:rFonts w:ascii="Helvetica" w:hAnsi="Helvetica"/>
          <w:color w:val="000000"/>
          <w:sz w:val="22"/>
          <w:szCs w:val="22"/>
          <w:lang w:val="en-US"/>
        </w:rPr>
        <w:t>International comparisons again highlight disparities. In Chinese AF cohorts, median TTR is around</w:t>
      </w:r>
      <w:r w:rsidRPr="004364C7">
        <w:rPr>
          <w:rStyle w:val="apple-converted-space"/>
          <w:rFonts w:ascii="Helvetica" w:hAnsi="Helvetica"/>
          <w:color w:val="000000"/>
          <w:sz w:val="22"/>
          <w:szCs w:val="22"/>
          <w:lang w:val="en-US"/>
        </w:rPr>
        <w:t> </w:t>
      </w:r>
      <w:r w:rsidRPr="004364C7">
        <w:rPr>
          <w:rStyle w:val="Strong"/>
          <w:rFonts w:ascii="Helvetica" w:hAnsi="Helvetica"/>
          <w:b w:val="0"/>
          <w:bCs w:val="0"/>
          <w:color w:val="000000"/>
          <w:sz w:val="22"/>
          <w:szCs w:val="22"/>
          <w:lang w:val="en-US"/>
        </w:rPr>
        <w:t>52%</w:t>
      </w:r>
      <w:r w:rsidRPr="004364C7">
        <w:rPr>
          <w:rFonts w:ascii="Helvetica" w:hAnsi="Helvetica"/>
          <w:color w:val="000000"/>
          <w:sz w:val="22"/>
          <w:szCs w:val="22"/>
          <w:lang w:val="en-US"/>
        </w:rPr>
        <w:t xml:space="preserve">, improving only when lower INR targets (1.6–2.6) are used [17]. In Malaysia, outpatient clinic studies report </w:t>
      </w:r>
      <w:proofErr w:type="gramStart"/>
      <w:r w:rsidRPr="004364C7">
        <w:rPr>
          <w:rFonts w:ascii="Helvetica" w:hAnsi="Helvetica"/>
          <w:color w:val="000000"/>
          <w:sz w:val="22"/>
          <w:szCs w:val="22"/>
          <w:lang w:val="en-US"/>
        </w:rPr>
        <w:t>mean</w:t>
      </w:r>
      <w:proofErr w:type="gramEnd"/>
      <w:r w:rsidRPr="004364C7">
        <w:rPr>
          <w:rFonts w:ascii="Helvetica" w:hAnsi="Helvetica"/>
          <w:color w:val="000000"/>
          <w:sz w:val="22"/>
          <w:szCs w:val="22"/>
          <w:lang w:val="en-US"/>
        </w:rPr>
        <w:t xml:space="preserve"> TTRs of</w:t>
      </w:r>
      <w:r w:rsidRPr="004364C7">
        <w:rPr>
          <w:rStyle w:val="apple-converted-space"/>
          <w:rFonts w:ascii="Helvetica" w:hAnsi="Helvetica"/>
          <w:color w:val="000000"/>
          <w:sz w:val="22"/>
          <w:szCs w:val="22"/>
          <w:lang w:val="en-US"/>
        </w:rPr>
        <w:t> </w:t>
      </w:r>
      <w:r w:rsidRPr="004364C7">
        <w:rPr>
          <w:rStyle w:val="Strong"/>
          <w:rFonts w:ascii="Helvetica" w:hAnsi="Helvetica"/>
          <w:b w:val="0"/>
          <w:bCs w:val="0"/>
          <w:color w:val="000000"/>
          <w:sz w:val="22"/>
          <w:szCs w:val="22"/>
          <w:lang w:val="en-US"/>
        </w:rPr>
        <w:t>~47%</w:t>
      </w:r>
      <w:r w:rsidRPr="004364C7">
        <w:rPr>
          <w:rFonts w:ascii="Helvetica" w:hAnsi="Helvetica"/>
          <w:color w:val="000000"/>
          <w:sz w:val="22"/>
          <w:szCs w:val="22"/>
          <w:lang w:val="en-US"/>
        </w:rPr>
        <w:t>, while Thai multi-center data show in-range proportions between</w:t>
      </w:r>
      <w:r w:rsidRPr="004364C7">
        <w:rPr>
          <w:rStyle w:val="apple-converted-space"/>
          <w:rFonts w:ascii="Helvetica" w:hAnsi="Helvetica"/>
          <w:color w:val="000000"/>
          <w:sz w:val="22"/>
          <w:szCs w:val="22"/>
          <w:lang w:val="en-US"/>
        </w:rPr>
        <w:t> </w:t>
      </w:r>
      <w:r w:rsidRPr="004364C7">
        <w:rPr>
          <w:rStyle w:val="Strong"/>
          <w:rFonts w:ascii="Helvetica" w:hAnsi="Helvetica"/>
          <w:b w:val="0"/>
          <w:bCs w:val="0"/>
          <w:color w:val="000000"/>
          <w:sz w:val="22"/>
          <w:szCs w:val="22"/>
          <w:lang w:val="en-US"/>
        </w:rPr>
        <w:t>22–32%</w:t>
      </w:r>
      <w:r w:rsidRPr="004364C7">
        <w:rPr>
          <w:rFonts w:ascii="Helvetica" w:hAnsi="Helvetica"/>
          <w:color w:val="000000"/>
          <w:sz w:val="22"/>
          <w:szCs w:val="22"/>
          <w:lang w:val="en-US"/>
        </w:rPr>
        <w:t>, and clinic-level TTRs between</w:t>
      </w:r>
      <w:r w:rsidRPr="004364C7">
        <w:rPr>
          <w:rStyle w:val="apple-converted-space"/>
          <w:rFonts w:ascii="Helvetica" w:hAnsi="Helvetica"/>
          <w:color w:val="000000"/>
          <w:sz w:val="22"/>
          <w:szCs w:val="22"/>
          <w:lang w:val="en-US"/>
        </w:rPr>
        <w:t> </w:t>
      </w:r>
      <w:r w:rsidRPr="004364C7">
        <w:rPr>
          <w:rStyle w:val="Strong"/>
          <w:rFonts w:ascii="Helvetica" w:hAnsi="Helvetica"/>
          <w:b w:val="0"/>
          <w:bCs w:val="0"/>
          <w:color w:val="000000"/>
          <w:sz w:val="22"/>
          <w:szCs w:val="22"/>
          <w:lang w:val="en-US"/>
        </w:rPr>
        <w:t>31–56%</w:t>
      </w:r>
      <w:r w:rsidRPr="004364C7">
        <w:rPr>
          <w:rStyle w:val="apple-converted-space"/>
          <w:rFonts w:ascii="Helvetica" w:hAnsi="Helvetica"/>
          <w:color w:val="000000"/>
          <w:sz w:val="22"/>
          <w:szCs w:val="22"/>
          <w:lang w:val="en-US"/>
        </w:rPr>
        <w:t> </w:t>
      </w:r>
      <w:r w:rsidRPr="004364C7">
        <w:rPr>
          <w:rFonts w:ascii="Helvetica" w:hAnsi="Helvetica"/>
          <w:color w:val="000000"/>
          <w:sz w:val="22"/>
          <w:szCs w:val="22"/>
          <w:lang w:val="en-US"/>
        </w:rPr>
        <w:t xml:space="preserve">[18–20]. These figures are comparable to the profile seen at HPZ, reinforcing the </w:t>
      </w:r>
      <w:r w:rsidRPr="004364C7">
        <w:rPr>
          <w:rFonts w:ascii="Helvetica" w:hAnsi="Helvetica"/>
          <w:color w:val="000000"/>
          <w:sz w:val="22"/>
          <w:szCs w:val="22"/>
          <w:lang w:val="en-US"/>
        </w:rPr>
        <w:lastRenderedPageBreak/>
        <w:t>notion that INR instability is a common challenge in many parts of Asia and Africa where structured anticoagulation support is lacking.</w:t>
      </w:r>
    </w:p>
    <w:p w14:paraId="6ABD4E67" w14:textId="77777777" w:rsidR="00CF029A" w:rsidRPr="004364C7" w:rsidRDefault="00CF029A" w:rsidP="00CF029A">
      <w:pPr>
        <w:pStyle w:val="NormalWeb"/>
        <w:rPr>
          <w:rFonts w:ascii="Helvetica" w:hAnsi="Helvetica"/>
          <w:color w:val="000000"/>
          <w:sz w:val="22"/>
          <w:szCs w:val="22"/>
          <w:lang w:val="en-US"/>
        </w:rPr>
      </w:pPr>
      <w:r w:rsidRPr="004364C7">
        <w:rPr>
          <w:rFonts w:ascii="Helvetica" w:hAnsi="Helvetica"/>
          <w:color w:val="000000"/>
          <w:sz w:val="22"/>
          <w:szCs w:val="22"/>
          <w:lang w:val="en-US"/>
        </w:rPr>
        <w:t>The choice of VKA therapy—primarily</w:t>
      </w:r>
      <w:r w:rsidRPr="004364C7">
        <w:rPr>
          <w:rStyle w:val="apple-converted-space"/>
          <w:rFonts w:ascii="Helvetica" w:hAnsi="Helvetica"/>
          <w:color w:val="000000"/>
          <w:sz w:val="22"/>
          <w:szCs w:val="22"/>
          <w:lang w:val="en-US"/>
        </w:rPr>
        <w:t> </w:t>
      </w:r>
      <w:proofErr w:type="spellStart"/>
      <w:r w:rsidRPr="004364C7">
        <w:rPr>
          <w:rStyle w:val="Strong"/>
          <w:rFonts w:ascii="Helvetica" w:hAnsi="Helvetica"/>
          <w:b w:val="0"/>
          <w:bCs w:val="0"/>
          <w:color w:val="000000"/>
          <w:sz w:val="22"/>
          <w:szCs w:val="22"/>
          <w:lang w:val="en-US"/>
        </w:rPr>
        <w:t>acenocoumarol</w:t>
      </w:r>
      <w:proofErr w:type="spellEnd"/>
      <w:r w:rsidRPr="004364C7">
        <w:rPr>
          <w:rStyle w:val="apple-converted-space"/>
          <w:rFonts w:ascii="Helvetica" w:hAnsi="Helvetica"/>
          <w:color w:val="000000"/>
          <w:sz w:val="22"/>
          <w:szCs w:val="22"/>
          <w:lang w:val="en-US"/>
        </w:rPr>
        <w:t> </w:t>
      </w:r>
      <w:r w:rsidRPr="004364C7">
        <w:rPr>
          <w:rFonts w:ascii="Helvetica" w:hAnsi="Helvetica"/>
          <w:color w:val="000000"/>
          <w:sz w:val="22"/>
          <w:szCs w:val="22"/>
          <w:lang w:val="en-US"/>
        </w:rPr>
        <w:t xml:space="preserve">in our setting (Table 1)—further compounds variability. </w:t>
      </w:r>
      <w:proofErr w:type="spellStart"/>
      <w:r w:rsidRPr="004364C7">
        <w:rPr>
          <w:rFonts w:ascii="Helvetica" w:hAnsi="Helvetica"/>
          <w:color w:val="000000"/>
          <w:sz w:val="22"/>
          <w:szCs w:val="22"/>
          <w:lang w:val="en-US"/>
        </w:rPr>
        <w:t>Acenocoumarol</w:t>
      </w:r>
      <w:proofErr w:type="spellEnd"/>
      <w:r w:rsidRPr="004364C7">
        <w:rPr>
          <w:rFonts w:ascii="Helvetica" w:hAnsi="Helvetica"/>
          <w:color w:val="000000"/>
          <w:sz w:val="22"/>
          <w:szCs w:val="22"/>
          <w:lang w:val="en-US"/>
        </w:rPr>
        <w:t xml:space="preserve"> has a</w:t>
      </w:r>
      <w:r w:rsidRPr="004364C7">
        <w:rPr>
          <w:rStyle w:val="apple-converted-space"/>
          <w:rFonts w:ascii="Helvetica" w:hAnsi="Helvetica"/>
          <w:color w:val="000000"/>
          <w:sz w:val="22"/>
          <w:szCs w:val="22"/>
          <w:lang w:val="en-US"/>
        </w:rPr>
        <w:t> </w:t>
      </w:r>
      <w:r w:rsidRPr="004364C7">
        <w:rPr>
          <w:rStyle w:val="Strong"/>
          <w:rFonts w:ascii="Helvetica" w:hAnsi="Helvetica"/>
          <w:b w:val="0"/>
          <w:bCs w:val="0"/>
          <w:color w:val="000000"/>
          <w:sz w:val="22"/>
          <w:szCs w:val="22"/>
          <w:lang w:val="en-US"/>
        </w:rPr>
        <w:t>shorter half-life</w:t>
      </w:r>
      <w:r w:rsidRPr="004364C7">
        <w:rPr>
          <w:rStyle w:val="apple-converted-space"/>
          <w:rFonts w:ascii="Helvetica" w:hAnsi="Helvetica"/>
          <w:color w:val="000000"/>
          <w:sz w:val="22"/>
          <w:szCs w:val="22"/>
          <w:lang w:val="en-US"/>
        </w:rPr>
        <w:t> </w:t>
      </w:r>
      <w:r w:rsidRPr="004364C7">
        <w:rPr>
          <w:rFonts w:ascii="Helvetica" w:hAnsi="Helvetica"/>
          <w:color w:val="000000"/>
          <w:sz w:val="22"/>
          <w:szCs w:val="22"/>
          <w:lang w:val="en-US"/>
        </w:rPr>
        <w:t>(8–11 hours) than warfarin (36–42 hours), rendering it more sensitive to changes in diet, illness, or drug interactions [21,22]. This pharmacokinetic profile demands</w:t>
      </w:r>
      <w:r w:rsidRPr="004364C7">
        <w:rPr>
          <w:rStyle w:val="apple-converted-space"/>
          <w:rFonts w:ascii="Helvetica" w:hAnsi="Helvetica"/>
          <w:color w:val="000000"/>
          <w:sz w:val="22"/>
          <w:szCs w:val="22"/>
          <w:lang w:val="en-US"/>
        </w:rPr>
        <w:t> </w:t>
      </w:r>
      <w:r w:rsidRPr="004364C7">
        <w:rPr>
          <w:rStyle w:val="Strong"/>
          <w:rFonts w:ascii="Helvetica" w:hAnsi="Helvetica"/>
          <w:b w:val="0"/>
          <w:bCs w:val="0"/>
          <w:color w:val="000000"/>
          <w:sz w:val="22"/>
          <w:szCs w:val="22"/>
          <w:lang w:val="en-US"/>
        </w:rPr>
        <w:t>shorter recall intervals</w:t>
      </w:r>
      <w:r w:rsidRPr="004364C7">
        <w:rPr>
          <w:rStyle w:val="apple-converted-space"/>
          <w:rFonts w:ascii="Helvetica" w:hAnsi="Helvetica"/>
          <w:color w:val="000000"/>
          <w:sz w:val="22"/>
          <w:szCs w:val="22"/>
          <w:lang w:val="en-US"/>
        </w:rPr>
        <w:t> </w:t>
      </w:r>
      <w:r w:rsidRPr="004364C7">
        <w:rPr>
          <w:rFonts w:ascii="Helvetica" w:hAnsi="Helvetica"/>
          <w:color w:val="000000"/>
          <w:sz w:val="22"/>
          <w:szCs w:val="22"/>
          <w:lang w:val="en-US"/>
        </w:rPr>
        <w:t>and</w:t>
      </w:r>
      <w:r w:rsidRPr="004364C7">
        <w:rPr>
          <w:rStyle w:val="apple-converted-space"/>
          <w:rFonts w:ascii="Helvetica" w:hAnsi="Helvetica"/>
          <w:color w:val="000000"/>
          <w:sz w:val="22"/>
          <w:szCs w:val="22"/>
          <w:lang w:val="en-US"/>
        </w:rPr>
        <w:t> </w:t>
      </w:r>
      <w:r w:rsidRPr="004364C7">
        <w:rPr>
          <w:rStyle w:val="Strong"/>
          <w:rFonts w:ascii="Helvetica" w:hAnsi="Helvetica"/>
          <w:b w:val="0"/>
          <w:bCs w:val="0"/>
          <w:color w:val="000000"/>
          <w:sz w:val="22"/>
          <w:szCs w:val="22"/>
          <w:lang w:val="en-US"/>
        </w:rPr>
        <w:t>algorithm-driven dose adjustments</w:t>
      </w:r>
      <w:r w:rsidRPr="004364C7">
        <w:rPr>
          <w:rFonts w:ascii="Helvetica" w:hAnsi="Helvetica"/>
          <w:color w:val="000000"/>
          <w:sz w:val="22"/>
          <w:szCs w:val="22"/>
          <w:lang w:val="en-US"/>
        </w:rPr>
        <w:t xml:space="preserve">, both of which were lacking in our setting. Meta-analyses confirm that patients on </w:t>
      </w:r>
      <w:proofErr w:type="spellStart"/>
      <w:r w:rsidRPr="004364C7">
        <w:rPr>
          <w:rFonts w:ascii="Helvetica" w:hAnsi="Helvetica"/>
          <w:color w:val="000000"/>
          <w:sz w:val="22"/>
          <w:szCs w:val="22"/>
          <w:lang w:val="en-US"/>
        </w:rPr>
        <w:t>acenocoumarol</w:t>
      </w:r>
      <w:proofErr w:type="spellEnd"/>
      <w:r w:rsidRPr="004364C7">
        <w:rPr>
          <w:rFonts w:ascii="Helvetica" w:hAnsi="Helvetica"/>
          <w:color w:val="000000"/>
          <w:sz w:val="22"/>
          <w:szCs w:val="22"/>
          <w:lang w:val="en-US"/>
        </w:rPr>
        <w:t xml:space="preserve"> have more frequent INR excursions and poorer TTR than those on warfarin [23,24].</w:t>
      </w:r>
    </w:p>
    <w:p w14:paraId="7B75A433" w14:textId="77777777" w:rsidR="00CF029A" w:rsidRPr="004364C7" w:rsidRDefault="00CF029A" w:rsidP="00CF029A">
      <w:pPr>
        <w:pStyle w:val="NormalWeb"/>
        <w:rPr>
          <w:rFonts w:ascii="Helvetica" w:hAnsi="Helvetica"/>
          <w:color w:val="000000"/>
          <w:sz w:val="22"/>
          <w:szCs w:val="22"/>
          <w:lang w:val="en-US"/>
        </w:rPr>
      </w:pPr>
      <w:r w:rsidRPr="004364C7">
        <w:rPr>
          <w:rFonts w:ascii="Helvetica" w:hAnsi="Helvetica"/>
          <w:color w:val="000000"/>
          <w:sz w:val="22"/>
          <w:szCs w:val="22"/>
          <w:lang w:val="en-US"/>
        </w:rPr>
        <w:t>Beyond pharmacology,</w:t>
      </w:r>
      <w:r w:rsidRPr="004364C7">
        <w:rPr>
          <w:rStyle w:val="apple-converted-space"/>
          <w:rFonts w:ascii="Helvetica" w:hAnsi="Helvetica"/>
          <w:color w:val="000000"/>
          <w:sz w:val="22"/>
          <w:szCs w:val="22"/>
          <w:lang w:val="en-US"/>
        </w:rPr>
        <w:t> </w:t>
      </w:r>
      <w:r w:rsidRPr="004364C7">
        <w:rPr>
          <w:rStyle w:val="Strong"/>
          <w:rFonts w:ascii="Helvetica" w:hAnsi="Helvetica"/>
          <w:b w:val="0"/>
          <w:bCs w:val="0"/>
          <w:color w:val="000000"/>
          <w:sz w:val="22"/>
          <w:szCs w:val="22"/>
          <w:lang w:val="en-US"/>
        </w:rPr>
        <w:t>laboratory processes</w:t>
      </w:r>
      <w:r w:rsidRPr="004364C7">
        <w:rPr>
          <w:rStyle w:val="apple-converted-space"/>
          <w:rFonts w:ascii="Helvetica" w:hAnsi="Helvetica"/>
          <w:color w:val="000000"/>
          <w:sz w:val="22"/>
          <w:szCs w:val="22"/>
          <w:lang w:val="en-US"/>
        </w:rPr>
        <w:t> </w:t>
      </w:r>
      <w:r w:rsidRPr="004364C7">
        <w:rPr>
          <w:rFonts w:ascii="Helvetica" w:hAnsi="Helvetica"/>
          <w:color w:val="000000"/>
          <w:sz w:val="22"/>
          <w:szCs w:val="22"/>
          <w:lang w:val="en-US"/>
        </w:rPr>
        <w:t>at HPZ displayed several deficiencies that likely contributed to the observed variability. According to the staff survey (Table 5),</w:t>
      </w:r>
      <w:r w:rsidRPr="004364C7">
        <w:rPr>
          <w:rStyle w:val="apple-converted-space"/>
          <w:rFonts w:ascii="Helvetica" w:hAnsi="Helvetica"/>
          <w:color w:val="000000"/>
          <w:sz w:val="22"/>
          <w:szCs w:val="22"/>
          <w:lang w:val="en-US"/>
        </w:rPr>
        <w:t> </w:t>
      </w:r>
      <w:r w:rsidRPr="004364C7">
        <w:rPr>
          <w:rStyle w:val="Strong"/>
          <w:rFonts w:ascii="Helvetica" w:hAnsi="Helvetica"/>
          <w:b w:val="0"/>
          <w:bCs w:val="0"/>
          <w:color w:val="000000"/>
          <w:sz w:val="22"/>
          <w:szCs w:val="22"/>
          <w:lang w:val="en-US"/>
        </w:rPr>
        <w:t>44.4%</w:t>
      </w:r>
      <w:r w:rsidRPr="004364C7">
        <w:rPr>
          <w:rStyle w:val="apple-converted-space"/>
          <w:rFonts w:ascii="Helvetica" w:hAnsi="Helvetica"/>
          <w:color w:val="000000"/>
          <w:sz w:val="22"/>
          <w:szCs w:val="22"/>
          <w:lang w:val="en-US"/>
        </w:rPr>
        <w:t> </w:t>
      </w:r>
      <w:r w:rsidRPr="004364C7">
        <w:rPr>
          <w:rFonts w:ascii="Helvetica" w:hAnsi="Helvetica"/>
          <w:color w:val="000000"/>
          <w:sz w:val="22"/>
          <w:szCs w:val="22"/>
          <w:lang w:val="en-US"/>
        </w:rPr>
        <w:t>of personnel had no specific training in coagulation testing, and</w:t>
      </w:r>
      <w:r w:rsidRPr="004364C7">
        <w:rPr>
          <w:rStyle w:val="apple-converted-space"/>
          <w:rFonts w:ascii="Helvetica" w:hAnsi="Helvetica"/>
          <w:color w:val="000000"/>
          <w:sz w:val="22"/>
          <w:szCs w:val="22"/>
          <w:lang w:val="en-US"/>
        </w:rPr>
        <w:t> </w:t>
      </w:r>
      <w:r w:rsidRPr="004364C7">
        <w:rPr>
          <w:rStyle w:val="Strong"/>
          <w:rFonts w:ascii="Helvetica" w:hAnsi="Helvetica"/>
          <w:b w:val="0"/>
          <w:bCs w:val="0"/>
          <w:color w:val="000000"/>
          <w:sz w:val="22"/>
          <w:szCs w:val="22"/>
          <w:lang w:val="en-US"/>
        </w:rPr>
        <w:t>22.2%</w:t>
      </w:r>
      <w:r w:rsidRPr="004364C7">
        <w:rPr>
          <w:rStyle w:val="apple-converted-space"/>
          <w:rFonts w:ascii="Helvetica" w:hAnsi="Helvetica"/>
          <w:color w:val="000000"/>
          <w:sz w:val="22"/>
          <w:szCs w:val="22"/>
          <w:lang w:val="en-US"/>
        </w:rPr>
        <w:t> </w:t>
      </w:r>
      <w:r w:rsidRPr="004364C7">
        <w:rPr>
          <w:rFonts w:ascii="Helvetica" w:hAnsi="Helvetica"/>
          <w:color w:val="000000"/>
          <w:sz w:val="22"/>
          <w:szCs w:val="22"/>
          <w:lang w:val="en-US"/>
        </w:rPr>
        <w:t>did not conduct regular internal quality control (IQC). One-third of staff continued to use</w:t>
      </w:r>
      <w:r w:rsidRPr="004364C7">
        <w:rPr>
          <w:rStyle w:val="apple-converted-space"/>
          <w:rFonts w:ascii="Helvetica" w:hAnsi="Helvetica"/>
          <w:color w:val="000000"/>
          <w:sz w:val="22"/>
          <w:szCs w:val="22"/>
          <w:lang w:val="en-US"/>
        </w:rPr>
        <w:t> </w:t>
      </w:r>
      <w:r w:rsidRPr="004364C7">
        <w:rPr>
          <w:rStyle w:val="Strong"/>
          <w:rFonts w:ascii="Helvetica" w:hAnsi="Helvetica"/>
          <w:b w:val="0"/>
          <w:bCs w:val="0"/>
          <w:color w:val="000000"/>
          <w:sz w:val="22"/>
          <w:szCs w:val="22"/>
          <w:lang w:val="en-US"/>
        </w:rPr>
        <w:t>manual pipetting</w:t>
      </w:r>
      <w:r w:rsidRPr="004364C7">
        <w:rPr>
          <w:rFonts w:ascii="Helvetica" w:hAnsi="Helvetica"/>
          <w:color w:val="000000"/>
          <w:sz w:val="22"/>
          <w:szCs w:val="22"/>
          <w:lang w:val="en-US"/>
        </w:rPr>
        <w:t>, and 22% reported difficulties interpreting</w:t>
      </w:r>
      <w:r w:rsidRPr="004364C7">
        <w:rPr>
          <w:rStyle w:val="apple-converted-space"/>
          <w:rFonts w:ascii="Helvetica" w:hAnsi="Helvetica"/>
          <w:color w:val="000000"/>
          <w:sz w:val="22"/>
          <w:szCs w:val="22"/>
          <w:lang w:val="en-US"/>
        </w:rPr>
        <w:t> </w:t>
      </w:r>
      <w:r w:rsidRPr="004364C7">
        <w:rPr>
          <w:rStyle w:val="Strong"/>
          <w:rFonts w:ascii="Helvetica" w:hAnsi="Helvetica"/>
          <w:b w:val="0"/>
          <w:bCs w:val="0"/>
          <w:color w:val="000000"/>
          <w:sz w:val="22"/>
          <w:szCs w:val="22"/>
          <w:lang w:val="en-US"/>
        </w:rPr>
        <w:t>automated analyzer alerts</w:t>
      </w:r>
      <w:r w:rsidRPr="004364C7">
        <w:rPr>
          <w:rFonts w:ascii="Helvetica" w:hAnsi="Helvetica"/>
          <w:color w:val="000000"/>
          <w:sz w:val="22"/>
          <w:szCs w:val="22"/>
          <w:lang w:val="en-US"/>
        </w:rPr>
        <w:t>. These issues resonate with guidance from ICSH and ISO 15189:2022, which emphasize strict control over</w:t>
      </w:r>
      <w:r w:rsidRPr="004364C7">
        <w:rPr>
          <w:rStyle w:val="apple-converted-space"/>
          <w:rFonts w:ascii="Helvetica" w:hAnsi="Helvetica"/>
          <w:color w:val="000000"/>
          <w:sz w:val="22"/>
          <w:szCs w:val="22"/>
          <w:lang w:val="en-US"/>
        </w:rPr>
        <w:t> </w:t>
      </w:r>
      <w:r w:rsidRPr="004364C7">
        <w:rPr>
          <w:rStyle w:val="Strong"/>
          <w:rFonts w:ascii="Helvetica" w:hAnsi="Helvetica"/>
          <w:b w:val="0"/>
          <w:bCs w:val="0"/>
          <w:color w:val="000000"/>
          <w:sz w:val="22"/>
          <w:szCs w:val="22"/>
          <w:lang w:val="en-US"/>
        </w:rPr>
        <w:t>pre-analytical variables</w:t>
      </w:r>
      <w:r w:rsidRPr="004364C7">
        <w:rPr>
          <w:rFonts w:ascii="Helvetica" w:hAnsi="Helvetica"/>
          <w:color w:val="000000"/>
          <w:sz w:val="22"/>
          <w:szCs w:val="22"/>
          <w:lang w:val="en-US"/>
        </w:rPr>
        <w:t>—including citrate fill ratio, mixing, and prompt transport—to minimize INR error [1,3,25].</w:t>
      </w:r>
    </w:p>
    <w:p w14:paraId="6B29301C" w14:textId="77777777" w:rsidR="00CF029A" w:rsidRPr="004364C7" w:rsidRDefault="00CF029A" w:rsidP="00CF029A">
      <w:pPr>
        <w:pStyle w:val="NormalWeb"/>
        <w:rPr>
          <w:rFonts w:ascii="Helvetica" w:hAnsi="Helvetica"/>
          <w:color w:val="000000"/>
          <w:sz w:val="22"/>
          <w:szCs w:val="22"/>
          <w:lang w:val="en-US"/>
        </w:rPr>
      </w:pPr>
      <w:r w:rsidRPr="004364C7">
        <w:rPr>
          <w:rStyle w:val="Strong"/>
          <w:rFonts w:ascii="Helvetica" w:hAnsi="Helvetica"/>
          <w:b w:val="0"/>
          <w:bCs w:val="0"/>
          <w:color w:val="000000"/>
          <w:sz w:val="22"/>
          <w:szCs w:val="22"/>
          <w:lang w:val="en-US"/>
        </w:rPr>
        <w:t>Table 5</w:t>
      </w:r>
      <w:r w:rsidRPr="004364C7">
        <w:rPr>
          <w:rStyle w:val="apple-converted-space"/>
          <w:rFonts w:ascii="Helvetica" w:hAnsi="Helvetica"/>
          <w:color w:val="000000"/>
          <w:sz w:val="22"/>
          <w:szCs w:val="22"/>
          <w:lang w:val="en-US"/>
        </w:rPr>
        <w:t> </w:t>
      </w:r>
      <w:r w:rsidRPr="004364C7">
        <w:rPr>
          <w:rFonts w:ascii="Helvetica" w:hAnsi="Helvetica"/>
          <w:color w:val="000000"/>
          <w:sz w:val="22"/>
          <w:szCs w:val="22"/>
          <w:lang w:val="en-US"/>
        </w:rPr>
        <w:t>also highlights that while most staff found the equipment adequate (100%) and reported using standardized protocols (88.9%), there were gaps in</w:t>
      </w:r>
      <w:r w:rsidRPr="004364C7">
        <w:rPr>
          <w:rStyle w:val="apple-converted-space"/>
          <w:rFonts w:ascii="Helvetica" w:hAnsi="Helvetica"/>
          <w:color w:val="000000"/>
          <w:sz w:val="22"/>
          <w:szCs w:val="22"/>
          <w:lang w:val="en-US"/>
        </w:rPr>
        <w:t> </w:t>
      </w:r>
      <w:r w:rsidRPr="004364C7">
        <w:rPr>
          <w:rStyle w:val="Strong"/>
          <w:rFonts w:ascii="Helvetica" w:hAnsi="Helvetica"/>
          <w:b w:val="0"/>
          <w:bCs w:val="0"/>
          <w:color w:val="000000"/>
          <w:sz w:val="22"/>
          <w:szCs w:val="22"/>
          <w:lang w:val="en-US"/>
        </w:rPr>
        <w:t>training coverage</w:t>
      </w:r>
      <w:r w:rsidRPr="004364C7">
        <w:rPr>
          <w:rStyle w:val="apple-converted-space"/>
          <w:rFonts w:ascii="Helvetica" w:hAnsi="Helvetica"/>
          <w:color w:val="000000"/>
          <w:sz w:val="22"/>
          <w:szCs w:val="22"/>
          <w:lang w:val="en-US"/>
        </w:rPr>
        <w:t> </w:t>
      </w:r>
      <w:r w:rsidRPr="004364C7">
        <w:rPr>
          <w:rFonts w:ascii="Helvetica" w:hAnsi="Helvetica"/>
          <w:color w:val="000000"/>
          <w:sz w:val="22"/>
          <w:szCs w:val="22"/>
          <w:lang w:val="en-US"/>
        </w:rPr>
        <w:t>and</w:t>
      </w:r>
      <w:r w:rsidRPr="004364C7">
        <w:rPr>
          <w:rStyle w:val="apple-converted-space"/>
          <w:rFonts w:ascii="Helvetica" w:hAnsi="Helvetica"/>
          <w:color w:val="000000"/>
          <w:sz w:val="22"/>
          <w:szCs w:val="22"/>
          <w:lang w:val="en-US"/>
        </w:rPr>
        <w:t> </w:t>
      </w:r>
      <w:r w:rsidRPr="004364C7">
        <w:rPr>
          <w:rStyle w:val="Strong"/>
          <w:rFonts w:ascii="Helvetica" w:hAnsi="Helvetica"/>
          <w:b w:val="0"/>
          <w:bCs w:val="0"/>
          <w:color w:val="000000"/>
          <w:sz w:val="22"/>
          <w:szCs w:val="22"/>
          <w:lang w:val="en-US"/>
        </w:rPr>
        <w:t>confidence in result reliability</w:t>
      </w:r>
      <w:r w:rsidRPr="004364C7">
        <w:rPr>
          <w:rFonts w:ascii="Helvetica" w:hAnsi="Helvetica"/>
          <w:color w:val="000000"/>
          <w:sz w:val="22"/>
          <w:szCs w:val="22"/>
          <w:lang w:val="en-US"/>
        </w:rPr>
        <w:t>. Notably, 22% of respondents were either unsure or did not consider results consistently reliable, indicating a risk of</w:t>
      </w:r>
      <w:r w:rsidRPr="004364C7">
        <w:rPr>
          <w:rStyle w:val="apple-converted-space"/>
          <w:rFonts w:ascii="Helvetica" w:hAnsi="Helvetica"/>
          <w:color w:val="000000"/>
          <w:sz w:val="22"/>
          <w:szCs w:val="22"/>
          <w:lang w:val="en-US"/>
        </w:rPr>
        <w:t> </w:t>
      </w:r>
      <w:r w:rsidRPr="004364C7">
        <w:rPr>
          <w:rStyle w:val="Strong"/>
          <w:rFonts w:ascii="Helvetica" w:hAnsi="Helvetica"/>
          <w:b w:val="0"/>
          <w:bCs w:val="0"/>
          <w:color w:val="000000"/>
          <w:sz w:val="22"/>
          <w:szCs w:val="22"/>
          <w:lang w:val="en-US"/>
        </w:rPr>
        <w:t>undetected analytical variability</w:t>
      </w:r>
      <w:r w:rsidRPr="004364C7">
        <w:rPr>
          <w:rFonts w:ascii="Helvetica" w:hAnsi="Helvetica"/>
          <w:color w:val="000000"/>
          <w:sz w:val="22"/>
          <w:szCs w:val="22"/>
          <w:lang w:val="en-US"/>
        </w:rPr>
        <w:t>.</w:t>
      </w:r>
    </w:p>
    <w:p w14:paraId="26279E7B" w14:textId="77777777" w:rsidR="00CF029A" w:rsidRPr="004364C7" w:rsidRDefault="00CF029A" w:rsidP="00CF029A">
      <w:pPr>
        <w:pStyle w:val="NormalWeb"/>
        <w:rPr>
          <w:rFonts w:ascii="Helvetica" w:hAnsi="Helvetica"/>
          <w:color w:val="000000"/>
          <w:sz w:val="22"/>
          <w:szCs w:val="22"/>
          <w:lang w:val="en-US"/>
        </w:rPr>
      </w:pPr>
      <w:r w:rsidRPr="004364C7">
        <w:rPr>
          <w:rFonts w:ascii="Helvetica" w:hAnsi="Helvetica"/>
          <w:color w:val="000000"/>
          <w:sz w:val="22"/>
          <w:szCs w:val="22"/>
          <w:lang w:val="en-US"/>
        </w:rPr>
        <w:t>Clinician feedback further supports the operational challenges faced at HPZ. According to</w:t>
      </w:r>
      <w:r w:rsidRPr="004364C7">
        <w:rPr>
          <w:rStyle w:val="apple-converted-space"/>
          <w:rFonts w:ascii="Helvetica" w:hAnsi="Helvetica"/>
          <w:color w:val="000000"/>
          <w:sz w:val="22"/>
          <w:szCs w:val="22"/>
          <w:lang w:val="en-US"/>
        </w:rPr>
        <w:t> </w:t>
      </w:r>
      <w:r w:rsidRPr="004364C7">
        <w:rPr>
          <w:rStyle w:val="Strong"/>
          <w:rFonts w:ascii="Helvetica" w:hAnsi="Helvetica"/>
          <w:b w:val="0"/>
          <w:bCs w:val="0"/>
          <w:color w:val="000000"/>
          <w:sz w:val="22"/>
          <w:szCs w:val="22"/>
          <w:lang w:val="en-US"/>
        </w:rPr>
        <w:t>Table 7</w:t>
      </w:r>
      <w:r w:rsidRPr="004364C7">
        <w:rPr>
          <w:rFonts w:ascii="Helvetica" w:hAnsi="Helvetica"/>
          <w:color w:val="000000"/>
          <w:sz w:val="22"/>
          <w:szCs w:val="22"/>
          <w:lang w:val="en-US"/>
        </w:rPr>
        <w:t>, only</w:t>
      </w:r>
      <w:r w:rsidRPr="004364C7">
        <w:rPr>
          <w:rStyle w:val="apple-converted-space"/>
          <w:rFonts w:ascii="Helvetica" w:hAnsi="Helvetica"/>
          <w:color w:val="000000"/>
          <w:sz w:val="22"/>
          <w:szCs w:val="22"/>
          <w:lang w:val="en-US"/>
        </w:rPr>
        <w:t> </w:t>
      </w:r>
      <w:r w:rsidRPr="004364C7">
        <w:rPr>
          <w:rStyle w:val="Strong"/>
          <w:rFonts w:ascii="Helvetica" w:hAnsi="Helvetica"/>
          <w:b w:val="0"/>
          <w:bCs w:val="0"/>
          <w:color w:val="000000"/>
          <w:sz w:val="22"/>
          <w:szCs w:val="22"/>
          <w:lang w:val="en-US"/>
        </w:rPr>
        <w:t>23.1%</w:t>
      </w:r>
      <w:r w:rsidRPr="004364C7">
        <w:rPr>
          <w:rStyle w:val="apple-converted-space"/>
          <w:rFonts w:ascii="Helvetica" w:hAnsi="Helvetica"/>
          <w:color w:val="000000"/>
          <w:sz w:val="22"/>
          <w:szCs w:val="22"/>
          <w:lang w:val="en-US"/>
        </w:rPr>
        <w:t> </w:t>
      </w:r>
      <w:r w:rsidRPr="004364C7">
        <w:rPr>
          <w:rFonts w:ascii="Helvetica" w:hAnsi="Helvetica"/>
          <w:color w:val="000000"/>
          <w:sz w:val="22"/>
          <w:szCs w:val="22"/>
          <w:lang w:val="en-US"/>
        </w:rPr>
        <w:t>of clinicians received interpretive comments with INR reports, and</w:t>
      </w:r>
      <w:r w:rsidRPr="004364C7">
        <w:rPr>
          <w:rStyle w:val="apple-converted-space"/>
          <w:rFonts w:ascii="Helvetica" w:hAnsi="Helvetica"/>
          <w:color w:val="000000"/>
          <w:sz w:val="22"/>
          <w:szCs w:val="22"/>
          <w:lang w:val="en-US"/>
        </w:rPr>
        <w:t> </w:t>
      </w:r>
      <w:r w:rsidRPr="004364C7">
        <w:rPr>
          <w:rStyle w:val="Strong"/>
          <w:rFonts w:ascii="Helvetica" w:hAnsi="Helvetica"/>
          <w:b w:val="0"/>
          <w:bCs w:val="0"/>
          <w:color w:val="000000"/>
          <w:sz w:val="22"/>
          <w:szCs w:val="22"/>
          <w:lang w:val="en-US"/>
        </w:rPr>
        <w:t>38.5%</w:t>
      </w:r>
      <w:r w:rsidRPr="004364C7">
        <w:rPr>
          <w:rStyle w:val="apple-converted-space"/>
          <w:rFonts w:ascii="Helvetica" w:hAnsi="Helvetica"/>
          <w:color w:val="000000"/>
          <w:sz w:val="22"/>
          <w:szCs w:val="22"/>
          <w:lang w:val="en-US"/>
        </w:rPr>
        <w:t> </w:t>
      </w:r>
      <w:r w:rsidRPr="004364C7">
        <w:rPr>
          <w:rFonts w:ascii="Helvetica" w:hAnsi="Helvetica"/>
          <w:color w:val="000000"/>
          <w:sz w:val="22"/>
          <w:szCs w:val="22"/>
          <w:lang w:val="en-US"/>
        </w:rPr>
        <w:t>judged turnaround times unsatisfactory. Nearly</w:t>
      </w:r>
      <w:r w:rsidRPr="004364C7">
        <w:rPr>
          <w:rStyle w:val="apple-converted-space"/>
          <w:rFonts w:ascii="Helvetica" w:hAnsi="Helvetica"/>
          <w:color w:val="000000"/>
          <w:sz w:val="22"/>
          <w:szCs w:val="22"/>
          <w:lang w:val="en-US"/>
        </w:rPr>
        <w:t> </w:t>
      </w:r>
      <w:r w:rsidRPr="004364C7">
        <w:rPr>
          <w:rStyle w:val="Strong"/>
          <w:rFonts w:ascii="Helvetica" w:hAnsi="Helvetica"/>
          <w:b w:val="0"/>
          <w:bCs w:val="0"/>
          <w:color w:val="000000"/>
          <w:sz w:val="22"/>
          <w:szCs w:val="22"/>
          <w:lang w:val="en-US"/>
        </w:rPr>
        <w:t>47%</w:t>
      </w:r>
      <w:r w:rsidRPr="004364C7">
        <w:rPr>
          <w:rStyle w:val="apple-converted-space"/>
          <w:rFonts w:ascii="Helvetica" w:hAnsi="Helvetica"/>
          <w:color w:val="000000"/>
          <w:sz w:val="22"/>
          <w:szCs w:val="22"/>
          <w:lang w:val="en-US"/>
        </w:rPr>
        <w:t> </w:t>
      </w:r>
      <w:r w:rsidRPr="004364C7">
        <w:rPr>
          <w:rFonts w:ascii="Helvetica" w:hAnsi="Helvetica"/>
          <w:color w:val="000000"/>
          <w:sz w:val="22"/>
          <w:szCs w:val="22"/>
          <w:lang w:val="en-US"/>
        </w:rPr>
        <w:t>stated that lab–clinician communication was ineffective, and several reported complications attributable to</w:t>
      </w:r>
      <w:r w:rsidRPr="004364C7">
        <w:rPr>
          <w:rStyle w:val="apple-converted-space"/>
          <w:rFonts w:ascii="Helvetica" w:hAnsi="Helvetica"/>
          <w:color w:val="000000"/>
          <w:sz w:val="22"/>
          <w:szCs w:val="22"/>
          <w:lang w:val="en-US"/>
        </w:rPr>
        <w:t> </w:t>
      </w:r>
      <w:r w:rsidRPr="004364C7">
        <w:rPr>
          <w:rStyle w:val="Strong"/>
          <w:rFonts w:ascii="Helvetica" w:hAnsi="Helvetica"/>
          <w:b w:val="0"/>
          <w:bCs w:val="0"/>
          <w:color w:val="000000"/>
          <w:sz w:val="22"/>
          <w:szCs w:val="22"/>
          <w:lang w:val="en-US"/>
        </w:rPr>
        <w:t>delayed or unclear results</w:t>
      </w:r>
      <w:r w:rsidRPr="004364C7">
        <w:rPr>
          <w:rFonts w:ascii="Helvetica" w:hAnsi="Helvetica"/>
          <w:color w:val="000000"/>
          <w:sz w:val="22"/>
          <w:szCs w:val="22"/>
          <w:lang w:val="en-US"/>
        </w:rPr>
        <w:t>. These findings are consistent with open-ended responses (Table 8), where clinicians called for</w:t>
      </w:r>
      <w:r w:rsidRPr="004364C7">
        <w:rPr>
          <w:rStyle w:val="apple-converted-space"/>
          <w:rFonts w:ascii="Helvetica" w:hAnsi="Helvetica"/>
          <w:color w:val="000000"/>
          <w:sz w:val="22"/>
          <w:szCs w:val="22"/>
          <w:lang w:val="en-US"/>
        </w:rPr>
        <w:t> </w:t>
      </w:r>
      <w:r w:rsidRPr="004364C7">
        <w:rPr>
          <w:rStyle w:val="Strong"/>
          <w:rFonts w:ascii="Helvetica" w:hAnsi="Helvetica"/>
          <w:b w:val="0"/>
          <w:bCs w:val="0"/>
          <w:color w:val="000000"/>
          <w:sz w:val="22"/>
          <w:szCs w:val="22"/>
          <w:lang w:val="en-US"/>
        </w:rPr>
        <w:t>improved communication</w:t>
      </w:r>
      <w:r w:rsidRPr="004364C7">
        <w:rPr>
          <w:rFonts w:ascii="Helvetica" w:hAnsi="Helvetica"/>
          <w:color w:val="000000"/>
          <w:sz w:val="22"/>
          <w:szCs w:val="22"/>
          <w:lang w:val="en-US"/>
        </w:rPr>
        <w:t>,</w:t>
      </w:r>
      <w:r w:rsidRPr="004364C7">
        <w:rPr>
          <w:rStyle w:val="apple-converted-space"/>
          <w:rFonts w:ascii="Helvetica" w:hAnsi="Helvetica"/>
          <w:color w:val="000000"/>
          <w:sz w:val="22"/>
          <w:szCs w:val="22"/>
          <w:lang w:val="en-US"/>
        </w:rPr>
        <w:t> </w:t>
      </w:r>
      <w:r w:rsidRPr="004364C7">
        <w:rPr>
          <w:rStyle w:val="Strong"/>
          <w:rFonts w:ascii="Helvetica" w:hAnsi="Helvetica"/>
          <w:b w:val="0"/>
          <w:bCs w:val="0"/>
          <w:color w:val="000000"/>
          <w:sz w:val="22"/>
          <w:szCs w:val="22"/>
          <w:lang w:val="en-US"/>
        </w:rPr>
        <w:t>faster result delivery</w:t>
      </w:r>
      <w:r w:rsidRPr="004364C7">
        <w:rPr>
          <w:rFonts w:ascii="Helvetica" w:hAnsi="Helvetica"/>
          <w:color w:val="000000"/>
          <w:sz w:val="22"/>
          <w:szCs w:val="22"/>
          <w:lang w:val="en-US"/>
        </w:rPr>
        <w:t>, and</w:t>
      </w:r>
      <w:r w:rsidRPr="004364C7">
        <w:rPr>
          <w:rStyle w:val="apple-converted-space"/>
          <w:rFonts w:ascii="Helvetica" w:hAnsi="Helvetica"/>
          <w:color w:val="000000"/>
          <w:sz w:val="22"/>
          <w:szCs w:val="22"/>
          <w:lang w:val="en-US"/>
        </w:rPr>
        <w:t> </w:t>
      </w:r>
      <w:r w:rsidRPr="004364C7">
        <w:rPr>
          <w:rStyle w:val="Strong"/>
          <w:rFonts w:ascii="Helvetica" w:hAnsi="Helvetica"/>
          <w:b w:val="0"/>
          <w:bCs w:val="0"/>
          <w:color w:val="000000"/>
          <w:sz w:val="22"/>
          <w:szCs w:val="22"/>
          <w:lang w:val="en-US"/>
        </w:rPr>
        <w:t>clearer interpretive reporting</w:t>
      </w:r>
      <w:r w:rsidRPr="004364C7">
        <w:rPr>
          <w:rFonts w:ascii="Helvetica" w:hAnsi="Helvetica"/>
          <w:color w:val="000000"/>
          <w:sz w:val="22"/>
          <w:szCs w:val="22"/>
          <w:lang w:val="en-US"/>
        </w:rPr>
        <w:t>.</w:t>
      </w:r>
    </w:p>
    <w:p w14:paraId="58F79558" w14:textId="77777777" w:rsidR="00CF029A" w:rsidRPr="004364C7" w:rsidRDefault="00CF029A" w:rsidP="00CF029A">
      <w:pPr>
        <w:pStyle w:val="NormalWeb"/>
        <w:rPr>
          <w:rFonts w:ascii="Helvetica" w:hAnsi="Helvetica"/>
          <w:color w:val="000000"/>
          <w:sz w:val="22"/>
          <w:szCs w:val="22"/>
          <w:lang w:val="en-US"/>
        </w:rPr>
      </w:pPr>
      <w:r w:rsidRPr="004364C7">
        <w:rPr>
          <w:rFonts w:ascii="Helvetica" w:hAnsi="Helvetica"/>
          <w:color w:val="000000"/>
          <w:sz w:val="22"/>
          <w:szCs w:val="22"/>
          <w:lang w:val="en-US"/>
        </w:rPr>
        <w:t>The absence of a formal</w:t>
      </w:r>
      <w:r w:rsidRPr="004364C7">
        <w:rPr>
          <w:rStyle w:val="apple-converted-space"/>
          <w:rFonts w:ascii="Helvetica" w:hAnsi="Helvetica"/>
          <w:color w:val="000000"/>
          <w:sz w:val="22"/>
          <w:szCs w:val="22"/>
          <w:lang w:val="en-US"/>
        </w:rPr>
        <w:t> </w:t>
      </w:r>
      <w:r w:rsidRPr="004364C7">
        <w:rPr>
          <w:rStyle w:val="Strong"/>
          <w:rFonts w:ascii="Helvetica" w:hAnsi="Helvetica"/>
          <w:b w:val="0"/>
          <w:bCs w:val="0"/>
          <w:color w:val="000000"/>
          <w:sz w:val="22"/>
          <w:szCs w:val="22"/>
          <w:lang w:val="en-US"/>
        </w:rPr>
        <w:t>critical-INR escalation pathway</w:t>
      </w:r>
      <w:r w:rsidRPr="004364C7">
        <w:rPr>
          <w:rStyle w:val="apple-converted-space"/>
          <w:rFonts w:ascii="Helvetica" w:hAnsi="Helvetica"/>
          <w:color w:val="000000"/>
          <w:sz w:val="22"/>
          <w:szCs w:val="22"/>
          <w:lang w:val="en-US"/>
        </w:rPr>
        <w:t> </w:t>
      </w:r>
      <w:r w:rsidRPr="004364C7">
        <w:rPr>
          <w:rFonts w:ascii="Helvetica" w:hAnsi="Helvetica"/>
          <w:color w:val="000000"/>
          <w:sz w:val="22"/>
          <w:szCs w:val="22"/>
          <w:lang w:val="en-US"/>
        </w:rPr>
        <w:t>is another key vulnerability. ISO and CLSI standards require that results above defined thresholds—e.g., INR &gt;4.5 or &gt;5.0—be urgently communicated with</w:t>
      </w:r>
      <w:r w:rsidRPr="004364C7">
        <w:rPr>
          <w:rStyle w:val="apple-converted-space"/>
          <w:rFonts w:ascii="Helvetica" w:hAnsi="Helvetica"/>
          <w:color w:val="000000"/>
          <w:sz w:val="22"/>
          <w:szCs w:val="22"/>
          <w:lang w:val="en-US"/>
        </w:rPr>
        <w:t> </w:t>
      </w:r>
      <w:r w:rsidRPr="004364C7">
        <w:rPr>
          <w:rStyle w:val="Strong"/>
          <w:rFonts w:ascii="Helvetica" w:hAnsi="Helvetica"/>
          <w:b w:val="0"/>
          <w:bCs w:val="0"/>
          <w:color w:val="000000"/>
          <w:sz w:val="22"/>
          <w:szCs w:val="22"/>
          <w:lang w:val="en-US"/>
        </w:rPr>
        <w:t>read-back documentation</w:t>
      </w:r>
      <w:r w:rsidRPr="004364C7">
        <w:rPr>
          <w:rStyle w:val="apple-converted-space"/>
          <w:rFonts w:ascii="Helvetica" w:hAnsi="Helvetica"/>
          <w:color w:val="000000"/>
          <w:sz w:val="22"/>
          <w:szCs w:val="22"/>
          <w:lang w:val="en-US"/>
        </w:rPr>
        <w:t> </w:t>
      </w:r>
      <w:r w:rsidRPr="004364C7">
        <w:rPr>
          <w:rFonts w:ascii="Helvetica" w:hAnsi="Helvetica"/>
          <w:color w:val="000000"/>
          <w:sz w:val="22"/>
          <w:szCs w:val="22"/>
          <w:lang w:val="en-US"/>
        </w:rPr>
        <w:t>[4,26,27]. Yet at HPZ, critical values appear to be conveyed informally and inconsistently. Given that nearly</w:t>
      </w:r>
      <w:r w:rsidRPr="004364C7">
        <w:rPr>
          <w:rStyle w:val="apple-converted-space"/>
          <w:rFonts w:ascii="Helvetica" w:hAnsi="Helvetica"/>
          <w:color w:val="000000"/>
          <w:sz w:val="22"/>
          <w:szCs w:val="22"/>
          <w:lang w:val="en-US"/>
        </w:rPr>
        <w:t> </w:t>
      </w:r>
      <w:r w:rsidRPr="004364C7">
        <w:rPr>
          <w:rStyle w:val="Strong"/>
          <w:rFonts w:ascii="Helvetica" w:hAnsi="Helvetica"/>
          <w:b w:val="0"/>
          <w:bCs w:val="0"/>
          <w:color w:val="000000"/>
          <w:sz w:val="22"/>
          <w:szCs w:val="22"/>
          <w:lang w:val="en-US"/>
        </w:rPr>
        <w:t>half of patients</w:t>
      </w:r>
      <w:r w:rsidRPr="004364C7">
        <w:rPr>
          <w:rStyle w:val="apple-converted-space"/>
          <w:rFonts w:ascii="Helvetica" w:hAnsi="Helvetica"/>
          <w:color w:val="000000"/>
          <w:sz w:val="22"/>
          <w:szCs w:val="22"/>
          <w:lang w:val="en-US"/>
        </w:rPr>
        <w:t> </w:t>
      </w:r>
      <w:r w:rsidRPr="004364C7">
        <w:rPr>
          <w:rFonts w:ascii="Helvetica" w:hAnsi="Helvetica"/>
          <w:color w:val="000000"/>
          <w:sz w:val="22"/>
          <w:szCs w:val="22"/>
          <w:lang w:val="en-US"/>
        </w:rPr>
        <w:t>had supratherapeutic INRs (Table 2), this represents a</w:t>
      </w:r>
      <w:r w:rsidRPr="004364C7">
        <w:rPr>
          <w:rStyle w:val="apple-converted-space"/>
          <w:rFonts w:ascii="Helvetica" w:hAnsi="Helvetica"/>
          <w:color w:val="000000"/>
          <w:sz w:val="22"/>
          <w:szCs w:val="22"/>
          <w:lang w:val="en-US"/>
        </w:rPr>
        <w:t> </w:t>
      </w:r>
      <w:r w:rsidRPr="004364C7">
        <w:rPr>
          <w:rStyle w:val="Strong"/>
          <w:rFonts w:ascii="Helvetica" w:hAnsi="Helvetica"/>
          <w:b w:val="0"/>
          <w:bCs w:val="0"/>
          <w:color w:val="000000"/>
          <w:sz w:val="22"/>
          <w:szCs w:val="22"/>
          <w:lang w:val="en-US"/>
        </w:rPr>
        <w:t>systemic safety concern</w:t>
      </w:r>
      <w:r w:rsidRPr="004364C7">
        <w:rPr>
          <w:rFonts w:ascii="Helvetica" w:hAnsi="Helvetica"/>
          <w:color w:val="000000"/>
          <w:sz w:val="22"/>
          <w:szCs w:val="22"/>
          <w:lang w:val="en-US"/>
        </w:rPr>
        <w:t>.</w:t>
      </w:r>
    </w:p>
    <w:p w14:paraId="2D2947CE" w14:textId="77777777" w:rsidR="00CF029A" w:rsidRPr="004364C7" w:rsidRDefault="00CF029A" w:rsidP="00CF029A">
      <w:pPr>
        <w:pStyle w:val="NormalWeb"/>
        <w:rPr>
          <w:rFonts w:ascii="Helvetica" w:hAnsi="Helvetica"/>
          <w:color w:val="000000"/>
          <w:sz w:val="22"/>
          <w:szCs w:val="22"/>
          <w:lang w:val="en-US"/>
        </w:rPr>
      </w:pPr>
      <w:r w:rsidRPr="004364C7">
        <w:rPr>
          <w:rFonts w:ascii="Helvetica" w:hAnsi="Helvetica"/>
          <w:color w:val="000000"/>
          <w:sz w:val="22"/>
          <w:szCs w:val="22"/>
          <w:lang w:val="en-US"/>
        </w:rPr>
        <w:t>Globally, structured alert systems—via phone, SMS, or EHR dashboards—are increasingly used to reduce</w:t>
      </w:r>
      <w:r w:rsidRPr="004364C7">
        <w:rPr>
          <w:rStyle w:val="apple-converted-space"/>
          <w:rFonts w:ascii="Helvetica" w:hAnsi="Helvetica"/>
          <w:color w:val="000000"/>
          <w:sz w:val="22"/>
          <w:szCs w:val="22"/>
          <w:lang w:val="en-US"/>
        </w:rPr>
        <w:t> </w:t>
      </w:r>
      <w:r w:rsidRPr="004364C7">
        <w:rPr>
          <w:rStyle w:val="Strong"/>
          <w:rFonts w:ascii="Helvetica" w:hAnsi="Helvetica"/>
          <w:b w:val="0"/>
          <w:bCs w:val="0"/>
          <w:color w:val="000000"/>
          <w:sz w:val="22"/>
          <w:szCs w:val="22"/>
          <w:lang w:val="en-US"/>
        </w:rPr>
        <w:t>time-to-intervention</w:t>
      </w:r>
      <w:r w:rsidRPr="004364C7">
        <w:rPr>
          <w:rStyle w:val="apple-converted-space"/>
          <w:rFonts w:ascii="Helvetica" w:hAnsi="Helvetica"/>
          <w:color w:val="000000"/>
          <w:sz w:val="22"/>
          <w:szCs w:val="22"/>
          <w:lang w:val="en-US"/>
        </w:rPr>
        <w:t> </w:t>
      </w:r>
      <w:r w:rsidRPr="004364C7">
        <w:rPr>
          <w:rFonts w:ascii="Helvetica" w:hAnsi="Helvetica"/>
          <w:color w:val="000000"/>
          <w:sz w:val="22"/>
          <w:szCs w:val="22"/>
          <w:lang w:val="en-US"/>
        </w:rPr>
        <w:t>for critical lab results [30–32]. Their absence at HPZ creates unnecessary delays and heightens the risk of hemorrhagic events. Moreover, the lack of</w:t>
      </w:r>
      <w:r w:rsidRPr="004364C7">
        <w:rPr>
          <w:rStyle w:val="apple-converted-space"/>
          <w:rFonts w:ascii="Helvetica" w:hAnsi="Helvetica"/>
          <w:color w:val="000000"/>
          <w:sz w:val="22"/>
          <w:szCs w:val="22"/>
          <w:lang w:val="en-US"/>
        </w:rPr>
        <w:t> </w:t>
      </w:r>
      <w:r w:rsidRPr="004364C7">
        <w:rPr>
          <w:rStyle w:val="Strong"/>
          <w:rFonts w:ascii="Helvetica" w:hAnsi="Helvetica"/>
          <w:b w:val="0"/>
          <w:bCs w:val="0"/>
          <w:color w:val="000000"/>
          <w:sz w:val="22"/>
          <w:szCs w:val="22"/>
          <w:lang w:val="en-US"/>
        </w:rPr>
        <w:t>computerized dosing support</w:t>
      </w:r>
      <w:r w:rsidRPr="004364C7">
        <w:rPr>
          <w:rStyle w:val="apple-converted-space"/>
          <w:rFonts w:ascii="Helvetica" w:hAnsi="Helvetica"/>
          <w:color w:val="000000"/>
          <w:sz w:val="22"/>
          <w:szCs w:val="22"/>
          <w:lang w:val="en-US"/>
        </w:rPr>
        <w:t> </w:t>
      </w:r>
      <w:r w:rsidRPr="004364C7">
        <w:rPr>
          <w:rFonts w:ascii="Helvetica" w:hAnsi="Helvetica"/>
          <w:color w:val="000000"/>
          <w:sz w:val="22"/>
          <w:szCs w:val="22"/>
          <w:lang w:val="en-US"/>
        </w:rPr>
        <w:t xml:space="preserve">deprives clinicians of standardized, evidence-based tools. Sweden’s </w:t>
      </w:r>
      <w:proofErr w:type="spellStart"/>
      <w:r w:rsidRPr="004364C7">
        <w:rPr>
          <w:rFonts w:ascii="Helvetica" w:hAnsi="Helvetica"/>
          <w:color w:val="000000"/>
          <w:sz w:val="22"/>
          <w:szCs w:val="22"/>
          <w:lang w:val="en-US"/>
        </w:rPr>
        <w:t>AuriculA</w:t>
      </w:r>
      <w:proofErr w:type="spellEnd"/>
      <w:r w:rsidRPr="004364C7">
        <w:rPr>
          <w:rFonts w:ascii="Helvetica" w:hAnsi="Helvetica"/>
          <w:color w:val="000000"/>
          <w:sz w:val="22"/>
          <w:szCs w:val="22"/>
          <w:lang w:val="en-US"/>
        </w:rPr>
        <w:t xml:space="preserve"> program has demonstrated that such tools not only increase TTR but also reduce bleeding and stroke rates [14,15]. Thailand’s multi-center trials also showed that simplified INR-guided warfarin dosing improved stability in decentralized clinics [20].</w:t>
      </w:r>
    </w:p>
    <w:p w14:paraId="23B486D3" w14:textId="77777777" w:rsidR="00CF029A" w:rsidRPr="004364C7" w:rsidRDefault="00CF029A" w:rsidP="00CF029A">
      <w:pPr>
        <w:pStyle w:val="NormalWeb"/>
        <w:rPr>
          <w:rFonts w:ascii="Helvetica" w:hAnsi="Helvetica"/>
          <w:color w:val="000000"/>
          <w:sz w:val="22"/>
          <w:szCs w:val="22"/>
          <w:lang w:val="en-US"/>
        </w:rPr>
      </w:pPr>
      <w:r w:rsidRPr="004364C7">
        <w:rPr>
          <w:rFonts w:ascii="Helvetica" w:hAnsi="Helvetica"/>
          <w:color w:val="000000"/>
          <w:sz w:val="22"/>
          <w:szCs w:val="22"/>
          <w:lang w:val="en-US"/>
        </w:rPr>
        <w:t>Patient education and recall strategy represent further leverage points. Studies show that structured education on</w:t>
      </w:r>
      <w:r w:rsidRPr="004364C7">
        <w:rPr>
          <w:rStyle w:val="apple-converted-space"/>
          <w:rFonts w:ascii="Helvetica" w:hAnsi="Helvetica"/>
          <w:color w:val="000000"/>
          <w:sz w:val="22"/>
          <w:szCs w:val="22"/>
          <w:lang w:val="en-US"/>
        </w:rPr>
        <w:t> </w:t>
      </w:r>
      <w:r w:rsidRPr="004364C7">
        <w:rPr>
          <w:rStyle w:val="Strong"/>
          <w:rFonts w:ascii="Helvetica" w:hAnsi="Helvetica"/>
          <w:b w:val="0"/>
          <w:bCs w:val="0"/>
          <w:color w:val="000000"/>
          <w:sz w:val="22"/>
          <w:szCs w:val="22"/>
          <w:lang w:val="en-US"/>
        </w:rPr>
        <w:t>vitamin K intake</w:t>
      </w:r>
      <w:r w:rsidRPr="004364C7">
        <w:rPr>
          <w:rFonts w:ascii="Helvetica" w:hAnsi="Helvetica"/>
          <w:color w:val="000000"/>
          <w:sz w:val="22"/>
          <w:szCs w:val="22"/>
          <w:lang w:val="en-US"/>
        </w:rPr>
        <w:t>,</w:t>
      </w:r>
      <w:r w:rsidRPr="004364C7">
        <w:rPr>
          <w:rStyle w:val="apple-converted-space"/>
          <w:rFonts w:ascii="Helvetica" w:hAnsi="Helvetica"/>
          <w:color w:val="000000"/>
          <w:sz w:val="22"/>
          <w:szCs w:val="22"/>
          <w:lang w:val="en-US"/>
        </w:rPr>
        <w:t> </w:t>
      </w:r>
      <w:r w:rsidRPr="004364C7">
        <w:rPr>
          <w:rStyle w:val="Strong"/>
          <w:rFonts w:ascii="Helvetica" w:hAnsi="Helvetica"/>
          <w:b w:val="0"/>
          <w:bCs w:val="0"/>
          <w:color w:val="000000"/>
          <w:sz w:val="22"/>
          <w:szCs w:val="22"/>
          <w:lang w:val="en-US"/>
        </w:rPr>
        <w:t>missed dose rules</w:t>
      </w:r>
      <w:r w:rsidRPr="004364C7">
        <w:rPr>
          <w:rFonts w:ascii="Helvetica" w:hAnsi="Helvetica"/>
          <w:color w:val="000000"/>
          <w:sz w:val="22"/>
          <w:szCs w:val="22"/>
          <w:lang w:val="en-US"/>
        </w:rPr>
        <w:t>, and</w:t>
      </w:r>
      <w:r w:rsidRPr="004364C7">
        <w:rPr>
          <w:rStyle w:val="apple-converted-space"/>
          <w:rFonts w:ascii="Helvetica" w:hAnsi="Helvetica"/>
          <w:color w:val="000000"/>
          <w:sz w:val="22"/>
          <w:szCs w:val="22"/>
          <w:lang w:val="en-US"/>
        </w:rPr>
        <w:t> </w:t>
      </w:r>
      <w:r w:rsidRPr="004364C7">
        <w:rPr>
          <w:rStyle w:val="Strong"/>
          <w:rFonts w:ascii="Helvetica" w:hAnsi="Helvetica"/>
          <w:b w:val="0"/>
          <w:bCs w:val="0"/>
          <w:color w:val="000000"/>
          <w:sz w:val="22"/>
          <w:szCs w:val="22"/>
          <w:lang w:val="en-US"/>
        </w:rPr>
        <w:t>drug–food interactions</w:t>
      </w:r>
      <w:r w:rsidRPr="004364C7">
        <w:rPr>
          <w:rStyle w:val="apple-converted-space"/>
          <w:rFonts w:ascii="Helvetica" w:hAnsi="Helvetica"/>
          <w:color w:val="000000"/>
          <w:sz w:val="22"/>
          <w:szCs w:val="22"/>
          <w:lang w:val="en-US"/>
        </w:rPr>
        <w:t> </w:t>
      </w:r>
      <w:r w:rsidRPr="004364C7">
        <w:rPr>
          <w:rFonts w:ascii="Helvetica" w:hAnsi="Helvetica"/>
          <w:color w:val="000000"/>
          <w:sz w:val="22"/>
          <w:szCs w:val="22"/>
          <w:lang w:val="en-US"/>
        </w:rPr>
        <w:t>significantly improves TTR and reduces adverse events [33,34]. At HPZ, patient education is informal and unstandardized, contributing to inconsistent self-management. Bundled interventions—e.g., counseling + SMS reminders + printed handouts—have proven effective in similar LMIC settings [35].</w:t>
      </w:r>
    </w:p>
    <w:p w14:paraId="5FA51016" w14:textId="77777777" w:rsidR="00CF029A" w:rsidRPr="004364C7" w:rsidRDefault="00CF029A" w:rsidP="00CF029A">
      <w:pPr>
        <w:pStyle w:val="NormalWeb"/>
        <w:rPr>
          <w:rFonts w:ascii="Helvetica" w:hAnsi="Helvetica"/>
          <w:color w:val="000000"/>
          <w:sz w:val="22"/>
          <w:szCs w:val="22"/>
          <w:lang w:val="en-US"/>
        </w:rPr>
      </w:pPr>
      <w:r w:rsidRPr="004364C7">
        <w:rPr>
          <w:rFonts w:ascii="Helvetica" w:hAnsi="Helvetica"/>
          <w:color w:val="000000"/>
          <w:sz w:val="22"/>
          <w:szCs w:val="22"/>
          <w:lang w:val="en-US"/>
        </w:rPr>
        <w:t>Additionally,</w:t>
      </w:r>
      <w:r w:rsidRPr="004364C7">
        <w:rPr>
          <w:rStyle w:val="apple-converted-space"/>
          <w:rFonts w:ascii="Helvetica" w:hAnsi="Helvetica"/>
          <w:color w:val="000000"/>
          <w:sz w:val="22"/>
          <w:szCs w:val="22"/>
          <w:lang w:val="en-US"/>
        </w:rPr>
        <w:t> </w:t>
      </w:r>
      <w:r w:rsidRPr="004364C7">
        <w:rPr>
          <w:rStyle w:val="Strong"/>
          <w:rFonts w:ascii="Helvetica" w:hAnsi="Helvetica"/>
          <w:b w:val="0"/>
          <w:bCs w:val="0"/>
          <w:color w:val="000000"/>
          <w:sz w:val="22"/>
          <w:szCs w:val="22"/>
          <w:lang w:val="en-US"/>
        </w:rPr>
        <w:t>risk stratification tools</w:t>
      </w:r>
      <w:r w:rsidRPr="004364C7">
        <w:rPr>
          <w:rStyle w:val="apple-converted-space"/>
          <w:rFonts w:ascii="Helvetica" w:hAnsi="Helvetica"/>
          <w:color w:val="000000"/>
          <w:sz w:val="22"/>
          <w:szCs w:val="22"/>
          <w:lang w:val="en-US"/>
        </w:rPr>
        <w:t> </w:t>
      </w:r>
      <w:r w:rsidRPr="004364C7">
        <w:rPr>
          <w:rFonts w:ascii="Helvetica" w:hAnsi="Helvetica"/>
          <w:color w:val="000000"/>
          <w:sz w:val="22"/>
          <w:szCs w:val="22"/>
          <w:lang w:val="en-US"/>
        </w:rPr>
        <w:t>such as</w:t>
      </w:r>
      <w:r w:rsidRPr="004364C7">
        <w:rPr>
          <w:rStyle w:val="apple-converted-space"/>
          <w:rFonts w:ascii="Helvetica" w:hAnsi="Helvetica"/>
          <w:color w:val="000000"/>
          <w:sz w:val="22"/>
          <w:szCs w:val="22"/>
          <w:lang w:val="en-US"/>
        </w:rPr>
        <w:t> </w:t>
      </w:r>
      <w:r w:rsidRPr="004364C7">
        <w:rPr>
          <w:rStyle w:val="Strong"/>
          <w:rFonts w:ascii="Helvetica" w:hAnsi="Helvetica"/>
          <w:b w:val="0"/>
          <w:bCs w:val="0"/>
          <w:color w:val="000000"/>
          <w:sz w:val="22"/>
          <w:szCs w:val="22"/>
          <w:lang w:val="en-US"/>
        </w:rPr>
        <w:t>SAMe-TT₂R₂</w:t>
      </w:r>
      <w:r w:rsidRPr="004364C7">
        <w:rPr>
          <w:rStyle w:val="apple-converted-space"/>
          <w:rFonts w:ascii="Helvetica" w:hAnsi="Helvetica"/>
          <w:color w:val="000000"/>
          <w:sz w:val="22"/>
          <w:szCs w:val="22"/>
          <w:lang w:val="en-US"/>
        </w:rPr>
        <w:t> </w:t>
      </w:r>
      <w:r w:rsidRPr="004364C7">
        <w:rPr>
          <w:rFonts w:ascii="Helvetica" w:hAnsi="Helvetica"/>
          <w:color w:val="000000"/>
          <w:sz w:val="22"/>
          <w:szCs w:val="22"/>
          <w:lang w:val="en-US"/>
        </w:rPr>
        <w:t>have shown utility in predicting which patients are likely to achieve poor INR control. Patients with higher scores require</w:t>
      </w:r>
      <w:r w:rsidRPr="004364C7">
        <w:rPr>
          <w:rStyle w:val="apple-converted-space"/>
          <w:rFonts w:ascii="Helvetica" w:hAnsi="Helvetica"/>
          <w:color w:val="000000"/>
          <w:sz w:val="22"/>
          <w:szCs w:val="22"/>
          <w:lang w:val="en-US"/>
        </w:rPr>
        <w:t> </w:t>
      </w:r>
      <w:r w:rsidRPr="004364C7">
        <w:rPr>
          <w:rStyle w:val="Strong"/>
          <w:rFonts w:ascii="Helvetica" w:hAnsi="Helvetica"/>
          <w:b w:val="0"/>
          <w:bCs w:val="0"/>
          <w:color w:val="000000"/>
          <w:sz w:val="22"/>
          <w:szCs w:val="22"/>
          <w:lang w:val="en-US"/>
        </w:rPr>
        <w:t>closer follow-up</w:t>
      </w:r>
      <w:r w:rsidRPr="004364C7">
        <w:rPr>
          <w:rFonts w:ascii="Helvetica" w:hAnsi="Helvetica"/>
          <w:color w:val="000000"/>
          <w:sz w:val="22"/>
          <w:szCs w:val="22"/>
          <w:lang w:val="en-US"/>
        </w:rPr>
        <w:t>, potentially paired with digital dosing support [36,37]. Implementing such tools at HPZ could help personalize monitoring intervals and reduce overburdening of lab services.</w:t>
      </w:r>
    </w:p>
    <w:p w14:paraId="5A67081D" w14:textId="77777777" w:rsidR="00CF029A" w:rsidRPr="004364C7" w:rsidRDefault="00CF029A" w:rsidP="00CF029A">
      <w:pPr>
        <w:pStyle w:val="NormalWeb"/>
        <w:rPr>
          <w:rFonts w:ascii="Helvetica" w:hAnsi="Helvetica"/>
          <w:color w:val="000000"/>
          <w:sz w:val="22"/>
          <w:szCs w:val="22"/>
          <w:lang w:val="en-US"/>
        </w:rPr>
      </w:pPr>
      <w:r w:rsidRPr="004364C7">
        <w:rPr>
          <w:rFonts w:ascii="Helvetica" w:hAnsi="Helvetica"/>
          <w:color w:val="000000"/>
          <w:sz w:val="22"/>
          <w:szCs w:val="22"/>
          <w:lang w:val="en-US"/>
        </w:rPr>
        <w:t>The implications are not only clinical but economic. Poor INR control increases healthcare costs due to</w:t>
      </w:r>
      <w:r w:rsidRPr="004364C7">
        <w:rPr>
          <w:rStyle w:val="apple-converted-space"/>
          <w:rFonts w:ascii="Helvetica" w:hAnsi="Helvetica"/>
          <w:color w:val="000000"/>
          <w:sz w:val="22"/>
          <w:szCs w:val="22"/>
          <w:lang w:val="en-US"/>
        </w:rPr>
        <w:t> </w:t>
      </w:r>
      <w:r w:rsidRPr="004364C7">
        <w:rPr>
          <w:rStyle w:val="Strong"/>
          <w:rFonts w:ascii="Helvetica" w:hAnsi="Helvetica"/>
          <w:b w:val="0"/>
          <w:bCs w:val="0"/>
          <w:color w:val="000000"/>
          <w:sz w:val="22"/>
          <w:szCs w:val="22"/>
          <w:lang w:val="en-US"/>
        </w:rPr>
        <w:t>frequent lab visits</w:t>
      </w:r>
      <w:r w:rsidRPr="004364C7">
        <w:rPr>
          <w:rFonts w:ascii="Helvetica" w:hAnsi="Helvetica"/>
          <w:color w:val="000000"/>
          <w:sz w:val="22"/>
          <w:szCs w:val="22"/>
          <w:lang w:val="en-US"/>
        </w:rPr>
        <w:t>,</w:t>
      </w:r>
      <w:r w:rsidRPr="004364C7">
        <w:rPr>
          <w:rStyle w:val="apple-converted-space"/>
          <w:rFonts w:ascii="Helvetica" w:hAnsi="Helvetica"/>
          <w:color w:val="000000"/>
          <w:sz w:val="22"/>
          <w:szCs w:val="22"/>
          <w:lang w:val="en-US"/>
        </w:rPr>
        <w:t> </w:t>
      </w:r>
      <w:r w:rsidRPr="004364C7">
        <w:rPr>
          <w:rStyle w:val="Strong"/>
          <w:rFonts w:ascii="Helvetica" w:hAnsi="Helvetica"/>
          <w:b w:val="0"/>
          <w:bCs w:val="0"/>
          <w:color w:val="000000"/>
          <w:sz w:val="22"/>
          <w:szCs w:val="22"/>
          <w:lang w:val="en-US"/>
        </w:rPr>
        <w:t>dose adjustments</w:t>
      </w:r>
      <w:r w:rsidRPr="004364C7">
        <w:rPr>
          <w:rFonts w:ascii="Helvetica" w:hAnsi="Helvetica"/>
          <w:color w:val="000000"/>
          <w:sz w:val="22"/>
          <w:szCs w:val="22"/>
          <w:lang w:val="en-US"/>
        </w:rPr>
        <w:t>, and</w:t>
      </w:r>
      <w:r w:rsidRPr="004364C7">
        <w:rPr>
          <w:rStyle w:val="apple-converted-space"/>
          <w:rFonts w:ascii="Helvetica" w:hAnsi="Helvetica"/>
          <w:color w:val="000000"/>
          <w:sz w:val="22"/>
          <w:szCs w:val="22"/>
          <w:lang w:val="en-US"/>
        </w:rPr>
        <w:t> </w:t>
      </w:r>
      <w:r w:rsidRPr="004364C7">
        <w:rPr>
          <w:rStyle w:val="Strong"/>
          <w:rFonts w:ascii="Helvetica" w:hAnsi="Helvetica"/>
          <w:b w:val="0"/>
          <w:bCs w:val="0"/>
          <w:color w:val="000000"/>
          <w:sz w:val="22"/>
          <w:szCs w:val="22"/>
          <w:lang w:val="en-US"/>
        </w:rPr>
        <w:t>emergency care for bleeding or thrombosis</w:t>
      </w:r>
      <w:r w:rsidRPr="004364C7">
        <w:rPr>
          <w:rFonts w:ascii="Helvetica" w:hAnsi="Helvetica"/>
          <w:color w:val="000000"/>
          <w:sz w:val="22"/>
          <w:szCs w:val="22"/>
          <w:lang w:val="en-US"/>
        </w:rPr>
        <w:t xml:space="preserve">. Cost-effectiveness </w:t>
      </w:r>
      <w:r w:rsidRPr="004364C7">
        <w:rPr>
          <w:rFonts w:ascii="Helvetica" w:hAnsi="Helvetica"/>
          <w:color w:val="000000"/>
          <w:sz w:val="22"/>
          <w:szCs w:val="22"/>
          <w:lang w:val="en-US"/>
        </w:rPr>
        <w:lastRenderedPageBreak/>
        <w:t>analyses show that investing in</w:t>
      </w:r>
      <w:r w:rsidRPr="004364C7">
        <w:rPr>
          <w:rStyle w:val="apple-converted-space"/>
          <w:rFonts w:ascii="Helvetica" w:hAnsi="Helvetica"/>
          <w:color w:val="000000"/>
          <w:sz w:val="22"/>
          <w:szCs w:val="22"/>
          <w:lang w:val="en-US"/>
        </w:rPr>
        <w:t> </w:t>
      </w:r>
      <w:r w:rsidRPr="004364C7">
        <w:rPr>
          <w:rStyle w:val="Strong"/>
          <w:rFonts w:ascii="Helvetica" w:hAnsi="Helvetica"/>
          <w:b w:val="0"/>
          <w:bCs w:val="0"/>
          <w:color w:val="000000"/>
          <w:sz w:val="22"/>
          <w:szCs w:val="22"/>
          <w:lang w:val="en-US"/>
        </w:rPr>
        <w:t>basic laboratory quality management</w:t>
      </w:r>
      <w:r w:rsidRPr="004364C7">
        <w:rPr>
          <w:rFonts w:ascii="Helvetica" w:hAnsi="Helvetica"/>
          <w:color w:val="000000"/>
          <w:sz w:val="22"/>
          <w:szCs w:val="22"/>
          <w:lang w:val="en-US"/>
        </w:rPr>
        <w:t>,</w:t>
      </w:r>
      <w:r w:rsidRPr="004364C7">
        <w:rPr>
          <w:rStyle w:val="apple-converted-space"/>
          <w:rFonts w:ascii="Helvetica" w:hAnsi="Helvetica"/>
          <w:color w:val="000000"/>
          <w:sz w:val="22"/>
          <w:szCs w:val="22"/>
          <w:lang w:val="en-US"/>
        </w:rPr>
        <w:t> </w:t>
      </w:r>
      <w:r w:rsidRPr="004364C7">
        <w:rPr>
          <w:rStyle w:val="Strong"/>
          <w:rFonts w:ascii="Helvetica" w:hAnsi="Helvetica"/>
          <w:b w:val="0"/>
          <w:bCs w:val="0"/>
          <w:color w:val="000000"/>
          <w:sz w:val="22"/>
          <w:szCs w:val="22"/>
          <w:lang w:val="en-US"/>
        </w:rPr>
        <w:t>critical-value alerts</w:t>
      </w:r>
      <w:r w:rsidRPr="004364C7">
        <w:rPr>
          <w:rFonts w:ascii="Helvetica" w:hAnsi="Helvetica"/>
          <w:color w:val="000000"/>
          <w:sz w:val="22"/>
          <w:szCs w:val="22"/>
          <w:lang w:val="en-US"/>
        </w:rPr>
        <w:t>, and</w:t>
      </w:r>
      <w:r w:rsidRPr="004364C7">
        <w:rPr>
          <w:rStyle w:val="apple-converted-space"/>
          <w:rFonts w:ascii="Helvetica" w:hAnsi="Helvetica"/>
          <w:color w:val="000000"/>
          <w:sz w:val="22"/>
          <w:szCs w:val="22"/>
          <w:lang w:val="en-US"/>
        </w:rPr>
        <w:t> </w:t>
      </w:r>
      <w:r w:rsidRPr="004364C7">
        <w:rPr>
          <w:rStyle w:val="Strong"/>
          <w:rFonts w:ascii="Helvetica" w:hAnsi="Helvetica"/>
          <w:b w:val="0"/>
          <w:bCs w:val="0"/>
          <w:color w:val="000000"/>
          <w:sz w:val="22"/>
          <w:szCs w:val="22"/>
          <w:lang w:val="en-US"/>
        </w:rPr>
        <w:t>structured</w:t>
      </w:r>
      <w:r w:rsidRPr="004364C7">
        <w:rPr>
          <w:rStyle w:val="Strong"/>
          <w:rFonts w:ascii="Helvetica" w:hAnsi="Helvetica"/>
          <w:color w:val="000000"/>
          <w:sz w:val="22"/>
          <w:szCs w:val="22"/>
          <w:lang w:val="en-US"/>
        </w:rPr>
        <w:t xml:space="preserve"> </w:t>
      </w:r>
      <w:r w:rsidRPr="004364C7">
        <w:rPr>
          <w:rStyle w:val="Strong"/>
          <w:rFonts w:ascii="Helvetica" w:hAnsi="Helvetica"/>
          <w:b w:val="0"/>
          <w:bCs w:val="0"/>
          <w:color w:val="000000"/>
          <w:sz w:val="22"/>
          <w:szCs w:val="22"/>
          <w:lang w:val="en-US"/>
        </w:rPr>
        <w:t>education</w:t>
      </w:r>
      <w:r w:rsidRPr="004364C7">
        <w:rPr>
          <w:rStyle w:val="apple-converted-space"/>
          <w:rFonts w:ascii="Helvetica" w:hAnsi="Helvetica"/>
          <w:color w:val="000000"/>
          <w:sz w:val="22"/>
          <w:szCs w:val="22"/>
          <w:lang w:val="en-US"/>
        </w:rPr>
        <w:t> </w:t>
      </w:r>
      <w:r w:rsidRPr="004364C7">
        <w:rPr>
          <w:rFonts w:ascii="Helvetica" w:hAnsi="Helvetica"/>
          <w:color w:val="000000"/>
          <w:sz w:val="22"/>
          <w:szCs w:val="22"/>
          <w:lang w:val="en-US"/>
        </w:rPr>
        <w:t>leads to reductions in preventable complications and overall system costs [38,39].</w:t>
      </w:r>
    </w:p>
    <w:p w14:paraId="62EAF625" w14:textId="77777777" w:rsidR="00F46AC0" w:rsidRPr="004364C7" w:rsidRDefault="00F46AC0" w:rsidP="00F46AC0">
      <w:pPr>
        <w:rPr>
          <w:sz w:val="22"/>
          <w:szCs w:val="22"/>
        </w:rPr>
      </w:pPr>
    </w:p>
    <w:p w14:paraId="5861ACE1" w14:textId="77777777" w:rsidR="00F46AC0" w:rsidRPr="004364C7" w:rsidRDefault="00F46AC0" w:rsidP="00F46AC0">
      <w:pPr>
        <w:rPr>
          <w:sz w:val="22"/>
          <w:szCs w:val="22"/>
        </w:rPr>
      </w:pPr>
    </w:p>
    <w:p w14:paraId="2F9D8C42" w14:textId="77777777" w:rsidR="00862424" w:rsidRPr="004364C7" w:rsidRDefault="00DD7026">
      <w:pPr>
        <w:rPr>
          <w:sz w:val="22"/>
          <w:szCs w:val="22"/>
        </w:rPr>
      </w:pPr>
      <w:r w:rsidRPr="004364C7">
        <w:rPr>
          <w:b/>
          <w:sz w:val="22"/>
          <w:szCs w:val="22"/>
        </w:rPr>
        <w:t>5. CONCLUSION</w:t>
      </w:r>
    </w:p>
    <w:p w14:paraId="4A1A7ED7" w14:textId="77777777" w:rsidR="00862424" w:rsidRPr="004364C7" w:rsidRDefault="00DD7026">
      <w:pPr>
        <w:jc w:val="both"/>
        <w:rPr>
          <w:sz w:val="22"/>
          <w:szCs w:val="22"/>
        </w:rPr>
      </w:pPr>
      <w:r w:rsidRPr="004364C7">
        <w:rPr>
          <w:sz w:val="22"/>
          <w:szCs w:val="22"/>
        </w:rPr>
        <w:t>At HPZ, VKA control shows partial short-interval stabilization but a substantial over-anticoagulated fraction at follow-up. Combining pre-/post-analytical quality measures, algorithmic dosing with risk-stratified recall, and structured patient education should improve safety and increase time in therapeutic range.</w:t>
      </w:r>
    </w:p>
    <w:p w14:paraId="7580E727" w14:textId="77777777" w:rsidR="00862424" w:rsidRPr="004364C7" w:rsidRDefault="00DD7026">
      <w:pPr>
        <w:rPr>
          <w:sz w:val="22"/>
          <w:szCs w:val="22"/>
        </w:rPr>
      </w:pPr>
      <w:r w:rsidRPr="004364C7">
        <w:rPr>
          <w:b/>
          <w:sz w:val="22"/>
          <w:szCs w:val="22"/>
        </w:rPr>
        <w:t>6. RECOMMENDATIONS</w:t>
      </w:r>
    </w:p>
    <w:p w14:paraId="6D30B655" w14:textId="77777777" w:rsidR="00862424" w:rsidRPr="004364C7" w:rsidRDefault="00DD7026">
      <w:pPr>
        <w:jc w:val="both"/>
        <w:rPr>
          <w:sz w:val="22"/>
          <w:szCs w:val="22"/>
        </w:rPr>
      </w:pPr>
      <w:r w:rsidRPr="004364C7">
        <w:rPr>
          <w:sz w:val="22"/>
          <w:szCs w:val="22"/>
        </w:rPr>
        <w:t>- Enforce pre-analytical checklists and verification (ISI/MNPT, lot-to-lot).</w:t>
      </w:r>
    </w:p>
    <w:p w14:paraId="00CFBBC4" w14:textId="77777777" w:rsidR="00862424" w:rsidRPr="004364C7" w:rsidRDefault="00DD7026">
      <w:pPr>
        <w:jc w:val="both"/>
        <w:rPr>
          <w:sz w:val="22"/>
          <w:szCs w:val="22"/>
        </w:rPr>
      </w:pPr>
      <w:r w:rsidRPr="004364C7">
        <w:rPr>
          <w:sz w:val="22"/>
          <w:szCs w:val="22"/>
        </w:rPr>
        <w:t>- Define and operationalize critical-INR thresholds with read-back documentation and quarterly audits.</w:t>
      </w:r>
    </w:p>
    <w:p w14:paraId="3C62FC6F" w14:textId="77777777" w:rsidR="00862424" w:rsidRPr="004364C7" w:rsidRDefault="00DD7026">
      <w:pPr>
        <w:jc w:val="both"/>
        <w:rPr>
          <w:sz w:val="22"/>
          <w:szCs w:val="22"/>
        </w:rPr>
      </w:pPr>
      <w:r w:rsidRPr="004364C7">
        <w:rPr>
          <w:sz w:val="22"/>
          <w:szCs w:val="22"/>
        </w:rPr>
        <w:t>- Deploy computer-assisted dosing and SAMe-TT₂R₂–guided follow-up.</w:t>
      </w:r>
    </w:p>
    <w:p w14:paraId="3C7B0AF0" w14:textId="77777777" w:rsidR="00862424" w:rsidRPr="004364C7" w:rsidRDefault="00DD7026">
      <w:pPr>
        <w:jc w:val="both"/>
        <w:rPr>
          <w:sz w:val="22"/>
          <w:szCs w:val="22"/>
        </w:rPr>
      </w:pPr>
      <w:r w:rsidRPr="004364C7">
        <w:rPr>
          <w:sz w:val="22"/>
          <w:szCs w:val="22"/>
        </w:rPr>
        <w:t>- Start TTR (</w:t>
      </w:r>
      <w:proofErr w:type="spellStart"/>
      <w:r w:rsidRPr="004364C7">
        <w:rPr>
          <w:sz w:val="22"/>
          <w:szCs w:val="22"/>
        </w:rPr>
        <w:t>Rosendaal</w:t>
      </w:r>
      <w:proofErr w:type="spellEnd"/>
      <w:r w:rsidRPr="004364C7">
        <w:rPr>
          <w:sz w:val="22"/>
          <w:szCs w:val="22"/>
        </w:rPr>
        <w:t>) dashboards with monthly feedback to clinicians and lab staff (target ≥65–70% TTR).</w:t>
      </w:r>
    </w:p>
    <w:p w14:paraId="575F6B9C" w14:textId="77777777" w:rsidR="00862424" w:rsidRPr="004364C7" w:rsidRDefault="00DD7026">
      <w:pPr>
        <w:jc w:val="both"/>
        <w:rPr>
          <w:sz w:val="22"/>
          <w:szCs w:val="22"/>
        </w:rPr>
      </w:pPr>
      <w:r w:rsidRPr="004364C7">
        <w:rPr>
          <w:sz w:val="22"/>
          <w:szCs w:val="22"/>
        </w:rPr>
        <w:t>- Implement standardized patient education and SMS reminders for INR checks.</w:t>
      </w:r>
    </w:p>
    <w:p w14:paraId="02B01206" w14:textId="77777777" w:rsidR="00862424" w:rsidRPr="004364C7" w:rsidRDefault="00DD7026">
      <w:pPr>
        <w:rPr>
          <w:sz w:val="22"/>
          <w:szCs w:val="22"/>
        </w:rPr>
      </w:pPr>
      <w:r w:rsidRPr="004364C7">
        <w:rPr>
          <w:b/>
          <w:sz w:val="22"/>
          <w:szCs w:val="22"/>
        </w:rPr>
        <w:t>7. LIMITATIONS</w:t>
      </w:r>
    </w:p>
    <w:p w14:paraId="37B01532" w14:textId="77777777" w:rsidR="00862424" w:rsidRPr="004364C7" w:rsidRDefault="00DD7026">
      <w:pPr>
        <w:jc w:val="both"/>
        <w:rPr>
          <w:sz w:val="22"/>
          <w:szCs w:val="22"/>
        </w:rPr>
      </w:pPr>
      <w:r w:rsidRPr="004364C7">
        <w:rPr>
          <w:sz w:val="22"/>
          <w:szCs w:val="22"/>
        </w:rPr>
        <w:t>Monocentric design and small sample limit power for subgroup effects (Table 3) and generalizability. Short follow-up with only two INRs; TTR—the preferred quality metric—was not computed. Potential information bias from self-reported surveys (Tables 5–8); lack of granular data on diet, adherence, comorbidities, and interacting drugs. No adjudicated outcomes (bleeding/thromboembolism) were collected.</w:t>
      </w:r>
    </w:p>
    <w:p w14:paraId="7929EEAA" w14:textId="77777777" w:rsidR="00862424" w:rsidRPr="004364C7" w:rsidRDefault="00DD7026">
      <w:pPr>
        <w:rPr>
          <w:sz w:val="22"/>
          <w:szCs w:val="22"/>
        </w:rPr>
      </w:pPr>
      <w:r w:rsidRPr="004364C7">
        <w:rPr>
          <w:b/>
          <w:sz w:val="22"/>
          <w:szCs w:val="22"/>
        </w:rPr>
        <w:t>8. FUTURE RESEARCH</w:t>
      </w:r>
    </w:p>
    <w:p w14:paraId="58B5D5E2" w14:textId="77777777" w:rsidR="00862424" w:rsidRPr="004364C7" w:rsidRDefault="00DD7026">
      <w:pPr>
        <w:jc w:val="both"/>
        <w:rPr>
          <w:sz w:val="22"/>
          <w:szCs w:val="22"/>
        </w:rPr>
      </w:pPr>
      <w:r w:rsidRPr="004364C7">
        <w:rPr>
          <w:sz w:val="22"/>
          <w:szCs w:val="22"/>
        </w:rPr>
        <w:t>- Prospective, multicenter evaluation with TTR (</w:t>
      </w:r>
      <w:proofErr w:type="spellStart"/>
      <w:r w:rsidRPr="004364C7">
        <w:rPr>
          <w:sz w:val="22"/>
          <w:szCs w:val="22"/>
        </w:rPr>
        <w:t>Rosendaal</w:t>
      </w:r>
      <w:proofErr w:type="spellEnd"/>
      <w:r w:rsidRPr="004364C7">
        <w:rPr>
          <w:sz w:val="22"/>
          <w:szCs w:val="22"/>
        </w:rPr>
        <w:t>), bleeding/thromboembolic outcomes, and costs.</w:t>
      </w:r>
    </w:p>
    <w:p w14:paraId="52DB2F1E" w14:textId="77777777" w:rsidR="00862424" w:rsidRPr="004364C7" w:rsidRDefault="00DD7026">
      <w:pPr>
        <w:jc w:val="both"/>
        <w:rPr>
          <w:sz w:val="22"/>
          <w:szCs w:val="22"/>
        </w:rPr>
      </w:pPr>
      <w:r w:rsidRPr="004364C7">
        <w:rPr>
          <w:sz w:val="22"/>
          <w:szCs w:val="22"/>
        </w:rPr>
        <w:t>- Comparative trials of algorithmic dosing vs usual care and with/without critical-INR alerting.</w:t>
      </w:r>
    </w:p>
    <w:p w14:paraId="3DAB80F1" w14:textId="77777777" w:rsidR="00862424" w:rsidRPr="004364C7" w:rsidRDefault="00DD7026">
      <w:pPr>
        <w:jc w:val="both"/>
        <w:rPr>
          <w:sz w:val="22"/>
          <w:szCs w:val="22"/>
        </w:rPr>
      </w:pPr>
      <w:r w:rsidRPr="004364C7">
        <w:rPr>
          <w:sz w:val="22"/>
          <w:szCs w:val="22"/>
        </w:rPr>
        <w:t>- Implementation trials of risk-stratified recall and patient education bundles, measuring TTR and events.</w:t>
      </w:r>
    </w:p>
    <w:p w14:paraId="777E7EBB" w14:textId="77777777" w:rsidR="00862424" w:rsidRPr="004364C7" w:rsidRDefault="00DD7026">
      <w:pPr>
        <w:jc w:val="both"/>
        <w:rPr>
          <w:sz w:val="22"/>
          <w:szCs w:val="22"/>
        </w:rPr>
      </w:pPr>
      <w:r w:rsidRPr="004364C7">
        <w:rPr>
          <w:sz w:val="22"/>
          <w:szCs w:val="22"/>
        </w:rPr>
        <w:t>- Comparative pharmacology (</w:t>
      </w:r>
      <w:proofErr w:type="spellStart"/>
      <w:r w:rsidRPr="004364C7">
        <w:rPr>
          <w:sz w:val="22"/>
          <w:szCs w:val="22"/>
        </w:rPr>
        <w:t>acenocoumarol</w:t>
      </w:r>
      <w:proofErr w:type="spellEnd"/>
      <w:r w:rsidRPr="004364C7">
        <w:rPr>
          <w:sz w:val="22"/>
          <w:szCs w:val="22"/>
        </w:rPr>
        <w:t xml:space="preserve"> vs warfarin) on INR stability and visit burden.</w:t>
      </w:r>
    </w:p>
    <w:p w14:paraId="4AD0BC53" w14:textId="77777777" w:rsidR="00862424" w:rsidRDefault="00DD7026">
      <w:pPr>
        <w:jc w:val="both"/>
        <w:rPr>
          <w:sz w:val="22"/>
          <w:szCs w:val="22"/>
        </w:rPr>
      </w:pPr>
      <w:r w:rsidRPr="004364C7">
        <w:rPr>
          <w:sz w:val="22"/>
          <w:szCs w:val="22"/>
        </w:rPr>
        <w:t>- Quality management studies on sustainability of ICSH/ISO/CLSI compliance in resource-constrained labs.</w:t>
      </w:r>
    </w:p>
    <w:p w14:paraId="1F9F1454" w14:textId="77777777" w:rsidR="00BF2EB9" w:rsidRDefault="00BF2EB9">
      <w:pPr>
        <w:jc w:val="both"/>
        <w:rPr>
          <w:sz w:val="22"/>
          <w:szCs w:val="22"/>
        </w:rPr>
      </w:pPr>
    </w:p>
    <w:p w14:paraId="302EB99D" w14:textId="377FA4D6" w:rsidR="00BF2EB9" w:rsidRPr="004364C7" w:rsidRDefault="00BF2EB9" w:rsidP="00BF2EB9">
      <w:pPr>
        <w:rPr>
          <w:sz w:val="22"/>
          <w:szCs w:val="22"/>
        </w:rPr>
      </w:pPr>
      <w:r>
        <w:rPr>
          <w:b/>
          <w:sz w:val="22"/>
          <w:szCs w:val="22"/>
        </w:rPr>
        <w:t>Consent</w:t>
      </w:r>
    </w:p>
    <w:p w14:paraId="0B939C06" w14:textId="77777777" w:rsidR="00BF2EB9" w:rsidRPr="004364C7" w:rsidRDefault="00BF2EB9" w:rsidP="00BF2EB9">
      <w:pPr>
        <w:jc w:val="both"/>
        <w:rPr>
          <w:sz w:val="22"/>
          <w:szCs w:val="22"/>
        </w:rPr>
      </w:pPr>
      <w:r w:rsidRPr="004364C7">
        <w:rPr>
          <w:sz w:val="22"/>
          <w:szCs w:val="22"/>
        </w:rPr>
        <w:t>All the patients, clinicians and laboratory diagnosis team members were aware of the study and gave their consent to participate in the study</w:t>
      </w:r>
    </w:p>
    <w:p w14:paraId="662537F8" w14:textId="77777777" w:rsidR="00BF2EB9" w:rsidRPr="004364C7" w:rsidRDefault="00BF2EB9">
      <w:pPr>
        <w:jc w:val="both"/>
        <w:rPr>
          <w:sz w:val="22"/>
          <w:szCs w:val="22"/>
        </w:rPr>
      </w:pPr>
    </w:p>
    <w:p w14:paraId="2547F7A6" w14:textId="47A00F7F" w:rsidR="00B35C95" w:rsidRPr="00344EBB" w:rsidRDefault="00B35C95">
      <w:pPr>
        <w:rPr>
          <w:b/>
          <w:color w:val="000000" w:themeColor="text1"/>
          <w:sz w:val="24"/>
          <w:szCs w:val="24"/>
        </w:rPr>
      </w:pPr>
    </w:p>
    <w:p w14:paraId="21F33A4B" w14:textId="79CC63BE" w:rsidR="002E46D7" w:rsidRPr="00344EBB" w:rsidRDefault="002E46D7" w:rsidP="002E46D7">
      <w:pPr>
        <w:rPr>
          <w:b/>
          <w:bCs/>
        </w:rPr>
      </w:pPr>
      <w:r w:rsidRPr="00344EBB">
        <w:rPr>
          <w:b/>
          <w:bCs/>
          <w:color w:val="000000" w:themeColor="text1"/>
        </w:rPr>
        <w:t>Disclaimer (Artificial intelligence</w:t>
      </w:r>
      <w:r w:rsidRPr="00344EBB">
        <w:rPr>
          <w:b/>
          <w:bCs/>
        </w:rPr>
        <w:t>)</w:t>
      </w:r>
    </w:p>
    <w:p w14:paraId="0B100306" w14:textId="77777777" w:rsidR="002E46D7" w:rsidRPr="00F16908" w:rsidRDefault="002E46D7" w:rsidP="002E46D7">
      <w:r w:rsidRPr="00F16908">
        <w:t xml:space="preserve">Author(s) hereby declare that NO generative AI technologies such as Large Language Models (ChatGPT, COPILOT, etc.) and text-to-image generators have been used during the writing or editing of this manuscript. </w:t>
      </w:r>
    </w:p>
    <w:p w14:paraId="3FA26298" w14:textId="053E954A" w:rsidR="002E46D7" w:rsidRPr="00F16908" w:rsidRDefault="002E46D7" w:rsidP="002E46D7"/>
    <w:p w14:paraId="53AD4912" w14:textId="21A7546F" w:rsidR="002E46D7" w:rsidRPr="00F16908" w:rsidRDefault="002E46D7" w:rsidP="002E46D7"/>
    <w:p w14:paraId="39D907F0" w14:textId="746B55E3" w:rsidR="002E46D7" w:rsidRPr="00D047BB" w:rsidRDefault="002E46D7" w:rsidP="002E46D7"/>
    <w:p w14:paraId="627F654F" w14:textId="77777777" w:rsidR="0056438D" w:rsidRPr="00011BBD" w:rsidRDefault="0056438D">
      <w:pPr>
        <w:rPr>
          <w:b/>
          <w:sz w:val="24"/>
          <w:szCs w:val="24"/>
        </w:rPr>
      </w:pPr>
    </w:p>
    <w:p w14:paraId="22AF9C57" w14:textId="77777777" w:rsidR="00B35C95" w:rsidRPr="00011BBD" w:rsidRDefault="00B35C95">
      <w:pPr>
        <w:rPr>
          <w:b/>
          <w:sz w:val="24"/>
          <w:szCs w:val="24"/>
        </w:rPr>
      </w:pPr>
    </w:p>
    <w:p w14:paraId="4EB6CB2F" w14:textId="7A59B29D" w:rsidR="00C841CE" w:rsidRPr="00C841CE" w:rsidRDefault="00DD7026" w:rsidP="00D029BE">
      <w:pPr>
        <w:rPr>
          <w:b/>
          <w:sz w:val="24"/>
          <w:szCs w:val="24"/>
        </w:rPr>
      </w:pPr>
      <w:r w:rsidRPr="00011BBD">
        <w:rPr>
          <w:b/>
          <w:sz w:val="24"/>
          <w:szCs w:val="24"/>
        </w:rPr>
        <w:t>REFERENCES</w:t>
      </w:r>
    </w:p>
    <w:p w14:paraId="559DA8B5" w14:textId="7447F67B" w:rsidR="00C841CE" w:rsidRPr="00C841CE" w:rsidRDefault="00C841CE" w:rsidP="00C841CE">
      <w:pPr>
        <w:spacing w:before="100" w:beforeAutospacing="1" w:after="100" w:afterAutospacing="1"/>
        <w:outlineLvl w:val="1"/>
        <w:divId w:val="1672754359"/>
        <w:rPr>
          <w:rFonts w:ascii="Times New Roman" w:hAnsi="Times New Roman"/>
          <w:b/>
          <w:bCs/>
          <w:color w:val="000000"/>
          <w:sz w:val="36"/>
          <w:szCs w:val="36"/>
          <w:lang w:eastAsia="fr-FR"/>
        </w:rPr>
      </w:pPr>
    </w:p>
    <w:p w14:paraId="1C5E1168" w14:textId="77777777" w:rsidR="00C841CE" w:rsidRPr="00C841CE" w:rsidRDefault="00C841CE" w:rsidP="00C841CE">
      <w:pPr>
        <w:numPr>
          <w:ilvl w:val="0"/>
          <w:numId w:val="34"/>
        </w:numPr>
        <w:spacing w:before="100" w:beforeAutospacing="1" w:after="100" w:afterAutospacing="1"/>
        <w:divId w:val="1672754359"/>
        <w:rPr>
          <w:rFonts w:ascii="Times New Roman" w:eastAsiaTheme="minorEastAsia" w:hAnsi="Times New Roman"/>
          <w:color w:val="000000"/>
          <w:sz w:val="24"/>
          <w:szCs w:val="24"/>
          <w:lang w:eastAsia="fr-FR"/>
        </w:rPr>
      </w:pPr>
      <w:r w:rsidRPr="00C841CE">
        <w:rPr>
          <w:rFonts w:ascii="Times New Roman" w:eastAsiaTheme="minorEastAsia" w:hAnsi="Times New Roman"/>
          <w:color w:val="000000"/>
          <w:sz w:val="24"/>
          <w:szCs w:val="24"/>
          <w:lang w:eastAsia="fr-FR"/>
        </w:rPr>
        <w:t>Ansell J, Hirsh J, Hylek E, Jacobson A, Crowther M, Patel MR, et al. Pharmacology and management of the vitamin K antagonists: American College of Chest Physicians Evidence-Based Clinical Practice Guidelines (8th Edition). Chest. 2008;133(6 Suppl):160S-198S. doi:10.1378/chest.08-0670</w:t>
      </w:r>
    </w:p>
    <w:p w14:paraId="5FCE7A9A" w14:textId="77777777" w:rsidR="00C841CE" w:rsidRPr="00C841CE" w:rsidRDefault="00C841CE" w:rsidP="00C841CE">
      <w:pPr>
        <w:numPr>
          <w:ilvl w:val="0"/>
          <w:numId w:val="34"/>
        </w:numPr>
        <w:spacing w:before="100" w:beforeAutospacing="1" w:after="100" w:afterAutospacing="1"/>
        <w:divId w:val="1672754359"/>
        <w:rPr>
          <w:rFonts w:ascii="Times New Roman" w:eastAsiaTheme="minorEastAsia" w:hAnsi="Times New Roman"/>
          <w:color w:val="000000"/>
          <w:sz w:val="24"/>
          <w:szCs w:val="24"/>
          <w:lang w:eastAsia="fr-FR"/>
        </w:rPr>
      </w:pPr>
      <w:r w:rsidRPr="00C841CE">
        <w:rPr>
          <w:rFonts w:ascii="Times New Roman" w:eastAsiaTheme="minorEastAsia" w:hAnsi="Times New Roman"/>
          <w:color w:val="000000"/>
          <w:sz w:val="24"/>
          <w:szCs w:val="24"/>
          <w:lang w:eastAsia="fr-FR"/>
        </w:rPr>
        <w:t>Holbrook A, Schulman S, Witt DM, Vandvik PO, Fish J, Kovacs MJ, et al. Evidence-based management of anticoagulant therapy: Antithrombotic Therapy and Prevention of Thrombosis, 9th ed: American College of Chest Physicians Evidence-Based Clinical Practice Guidelines. Chest. 2012;141(2 Suppl):e152S-e184S. doi:10.1378/chest.11-2295 </w:t>
      </w:r>
      <w:r w:rsidRPr="00C841CE">
        <w:rPr>
          <w:rFonts w:ascii="Times New Roman" w:eastAsiaTheme="minorEastAsia" w:hAnsi="Times New Roman"/>
          <w:b/>
          <w:bCs/>
          <w:color w:val="000000"/>
          <w:sz w:val="24"/>
          <w:szCs w:val="24"/>
          <w:lang w:eastAsia="fr-FR"/>
        </w:rPr>
        <w:t>Lien :</w:t>
      </w:r>
      <w:r w:rsidRPr="00C841CE">
        <w:rPr>
          <w:rFonts w:ascii="Times New Roman" w:eastAsiaTheme="minorEastAsia" w:hAnsi="Times New Roman"/>
          <w:color w:val="000000"/>
          <w:sz w:val="24"/>
          <w:szCs w:val="24"/>
          <w:lang w:eastAsia="fr-FR"/>
        </w:rPr>
        <w:t> https://journal.chestnet.org/article/S0012-3692(12)60122-6/fulltext</w:t>
      </w:r>
    </w:p>
    <w:p w14:paraId="0F424C27" w14:textId="77777777" w:rsidR="00C841CE" w:rsidRPr="00C841CE" w:rsidRDefault="00C841CE" w:rsidP="00C841CE">
      <w:pPr>
        <w:numPr>
          <w:ilvl w:val="0"/>
          <w:numId w:val="34"/>
        </w:numPr>
        <w:spacing w:before="100" w:beforeAutospacing="1" w:after="100" w:afterAutospacing="1"/>
        <w:divId w:val="1672754359"/>
        <w:rPr>
          <w:rFonts w:ascii="Times New Roman" w:eastAsiaTheme="minorEastAsia" w:hAnsi="Times New Roman"/>
          <w:color w:val="000000"/>
          <w:sz w:val="24"/>
          <w:szCs w:val="24"/>
          <w:lang w:eastAsia="fr-FR"/>
        </w:rPr>
      </w:pPr>
      <w:r w:rsidRPr="00C841CE">
        <w:rPr>
          <w:rFonts w:ascii="Times New Roman" w:eastAsiaTheme="minorEastAsia" w:hAnsi="Times New Roman"/>
          <w:color w:val="000000"/>
          <w:sz w:val="24"/>
          <w:szCs w:val="24"/>
          <w:lang w:eastAsia="fr-FR"/>
        </w:rPr>
        <w:t>Garcia D, Libby E, Crowther MA. The new oral anticoagulants. Blood. 2010;115(1):15-20. doi:10.1182/blood-2009-09-241851</w:t>
      </w:r>
    </w:p>
    <w:p w14:paraId="7D701E59" w14:textId="77777777" w:rsidR="00C841CE" w:rsidRPr="00C841CE" w:rsidRDefault="00C841CE" w:rsidP="00C841CE">
      <w:pPr>
        <w:numPr>
          <w:ilvl w:val="0"/>
          <w:numId w:val="34"/>
        </w:numPr>
        <w:spacing w:before="100" w:beforeAutospacing="1" w:after="100" w:afterAutospacing="1"/>
        <w:divId w:val="1672754359"/>
        <w:rPr>
          <w:rFonts w:ascii="Times New Roman" w:eastAsiaTheme="minorEastAsia" w:hAnsi="Times New Roman"/>
          <w:color w:val="000000"/>
          <w:sz w:val="24"/>
          <w:szCs w:val="24"/>
          <w:lang w:eastAsia="fr-FR"/>
        </w:rPr>
      </w:pPr>
      <w:r w:rsidRPr="00C841CE">
        <w:rPr>
          <w:rFonts w:ascii="Times New Roman" w:eastAsiaTheme="minorEastAsia" w:hAnsi="Times New Roman"/>
          <w:color w:val="000000"/>
          <w:sz w:val="24"/>
          <w:szCs w:val="24"/>
          <w:lang w:eastAsia="fr-FR"/>
        </w:rPr>
        <w:lastRenderedPageBreak/>
        <w:t>International Organization for Standardization. ISO 15189:2022. Medical laboratories — Requirements for quality and competence. Geneva: ISO; 2022.</w:t>
      </w:r>
    </w:p>
    <w:p w14:paraId="032833FD" w14:textId="704DB16D" w:rsidR="00C841CE" w:rsidRPr="00186909" w:rsidRDefault="00C841CE" w:rsidP="000872C5">
      <w:pPr>
        <w:numPr>
          <w:ilvl w:val="0"/>
          <w:numId w:val="34"/>
        </w:numPr>
        <w:spacing w:before="100" w:beforeAutospacing="1" w:after="100" w:afterAutospacing="1"/>
        <w:divId w:val="1672754359"/>
        <w:rPr>
          <w:rFonts w:ascii="Times New Roman" w:eastAsiaTheme="minorEastAsia" w:hAnsi="Times New Roman"/>
          <w:color w:val="000000"/>
          <w:sz w:val="24"/>
          <w:szCs w:val="24"/>
          <w:highlight w:val="yellow"/>
          <w:lang w:eastAsia="fr-FR"/>
        </w:rPr>
      </w:pPr>
      <w:r w:rsidRPr="00186909">
        <w:rPr>
          <w:rFonts w:ascii="Times New Roman" w:eastAsiaTheme="minorEastAsia" w:hAnsi="Times New Roman"/>
          <w:color w:val="000000"/>
          <w:sz w:val="24"/>
          <w:szCs w:val="24"/>
          <w:highlight w:val="yellow"/>
          <w:lang w:eastAsia="fr-FR"/>
        </w:rPr>
        <w:t>Clinical and Laboratory Standards Institute (CLSI). GP47-A: Management of Critical Values and Panic Values; Approved Guideline. Wayne, PA: CLSI; 2007.</w:t>
      </w:r>
    </w:p>
    <w:p w14:paraId="385F10AE" w14:textId="77777777" w:rsidR="00C841CE" w:rsidRPr="00C841CE" w:rsidRDefault="00C841CE" w:rsidP="00C841CE">
      <w:pPr>
        <w:numPr>
          <w:ilvl w:val="0"/>
          <w:numId w:val="35"/>
        </w:numPr>
        <w:spacing w:before="100" w:beforeAutospacing="1" w:after="100" w:afterAutospacing="1"/>
        <w:divId w:val="1672754359"/>
        <w:rPr>
          <w:rFonts w:ascii="Times New Roman" w:eastAsiaTheme="minorEastAsia" w:hAnsi="Times New Roman"/>
          <w:color w:val="000000"/>
          <w:sz w:val="24"/>
          <w:szCs w:val="24"/>
          <w:lang w:eastAsia="fr-FR"/>
        </w:rPr>
      </w:pPr>
      <w:r w:rsidRPr="00C841CE">
        <w:rPr>
          <w:rFonts w:ascii="Times New Roman" w:eastAsiaTheme="minorEastAsia" w:hAnsi="Times New Roman"/>
          <w:color w:val="000000"/>
          <w:sz w:val="24"/>
          <w:szCs w:val="24"/>
          <w:lang w:eastAsia="fr-FR"/>
        </w:rPr>
        <w:t>Ngaroua NT, Djibrilla Y, Djibril M, Tankeu AT, Luma HN. Quality of oral anticoagulation therapy in sub-Saharan Africa: a systematic review. Thromb Res. 2020;191:60-66. doi:10.1016/j.thromres.2020.04.029</w:t>
      </w:r>
    </w:p>
    <w:p w14:paraId="320FBDA7" w14:textId="77777777" w:rsidR="00C841CE" w:rsidRPr="00C841CE" w:rsidRDefault="00C841CE" w:rsidP="00C841CE">
      <w:pPr>
        <w:numPr>
          <w:ilvl w:val="0"/>
          <w:numId w:val="35"/>
        </w:numPr>
        <w:spacing w:before="100" w:beforeAutospacing="1" w:after="100" w:afterAutospacing="1"/>
        <w:divId w:val="1672754359"/>
        <w:rPr>
          <w:rFonts w:ascii="Times New Roman" w:eastAsiaTheme="minorEastAsia" w:hAnsi="Times New Roman"/>
          <w:color w:val="000000"/>
          <w:sz w:val="24"/>
          <w:szCs w:val="24"/>
          <w:lang w:eastAsia="fr-FR"/>
        </w:rPr>
      </w:pPr>
      <w:r w:rsidRPr="00C841CE">
        <w:rPr>
          <w:rFonts w:ascii="Times New Roman" w:eastAsiaTheme="minorEastAsia" w:hAnsi="Times New Roman"/>
          <w:color w:val="000000"/>
          <w:sz w:val="24"/>
          <w:szCs w:val="24"/>
          <w:lang w:eastAsia="fr-FR"/>
        </w:rPr>
        <w:t>Connor A, Kwiek B, Pelsue S, Tulloch H, Reed RL, Moodley J. A cross-sectional evaluation of five warfarin anticoagulation services in Uganda and South Africa. Glob Heart. 2019;14(4):387-395. doi:10.1016/j.gheart.2019.11.007 </w:t>
      </w:r>
      <w:r w:rsidRPr="00C841CE">
        <w:rPr>
          <w:rFonts w:ascii="Times New Roman" w:eastAsiaTheme="minorEastAsia" w:hAnsi="Times New Roman"/>
          <w:b/>
          <w:bCs/>
          <w:color w:val="000000"/>
          <w:sz w:val="24"/>
          <w:szCs w:val="24"/>
          <w:lang w:eastAsia="fr-FR"/>
        </w:rPr>
        <w:t>Lien :</w:t>
      </w:r>
      <w:r w:rsidRPr="00C841CE">
        <w:rPr>
          <w:rFonts w:ascii="Times New Roman" w:eastAsiaTheme="minorEastAsia" w:hAnsi="Times New Roman"/>
          <w:color w:val="000000"/>
          <w:sz w:val="24"/>
          <w:szCs w:val="24"/>
          <w:lang w:eastAsia="fr-FR"/>
        </w:rPr>
        <w:t> https://www.ncbi.nlm.nih.gov/pmc/articles/PMC6988943/</w:t>
      </w:r>
    </w:p>
    <w:p w14:paraId="061B5C82" w14:textId="77777777" w:rsidR="00C841CE" w:rsidRPr="00C841CE" w:rsidRDefault="00C841CE" w:rsidP="00C841CE">
      <w:pPr>
        <w:numPr>
          <w:ilvl w:val="0"/>
          <w:numId w:val="35"/>
        </w:numPr>
        <w:spacing w:before="100" w:beforeAutospacing="1" w:after="100" w:afterAutospacing="1"/>
        <w:divId w:val="1672754359"/>
        <w:rPr>
          <w:rFonts w:ascii="Times New Roman" w:eastAsiaTheme="minorEastAsia" w:hAnsi="Times New Roman"/>
          <w:color w:val="000000"/>
          <w:sz w:val="24"/>
          <w:szCs w:val="24"/>
          <w:lang w:eastAsia="fr-FR"/>
        </w:rPr>
      </w:pPr>
      <w:r w:rsidRPr="00C841CE">
        <w:rPr>
          <w:rFonts w:ascii="Times New Roman" w:eastAsiaTheme="minorEastAsia" w:hAnsi="Times New Roman"/>
          <w:color w:val="000000"/>
          <w:sz w:val="24"/>
          <w:szCs w:val="24"/>
          <w:lang w:eastAsia="fr-FR"/>
        </w:rPr>
        <w:t xml:space="preserve">Manji I, </w:t>
      </w:r>
      <w:proofErr w:type="spellStart"/>
      <w:r w:rsidRPr="00C841CE">
        <w:rPr>
          <w:rFonts w:ascii="Times New Roman" w:eastAsiaTheme="minorEastAsia" w:hAnsi="Times New Roman"/>
          <w:color w:val="000000"/>
          <w:sz w:val="24"/>
          <w:szCs w:val="24"/>
          <w:lang w:eastAsia="fr-FR"/>
        </w:rPr>
        <w:t>Pastakia</w:t>
      </w:r>
      <w:proofErr w:type="spellEnd"/>
      <w:r w:rsidRPr="00C841CE">
        <w:rPr>
          <w:rFonts w:ascii="Times New Roman" w:eastAsiaTheme="minorEastAsia" w:hAnsi="Times New Roman"/>
          <w:color w:val="000000"/>
          <w:sz w:val="24"/>
          <w:szCs w:val="24"/>
          <w:lang w:eastAsia="fr-FR"/>
        </w:rPr>
        <w:t xml:space="preserve"> SD, Do AN, Ouma GO, Schellhase E, Karwa R. Performance outcomes of a clinical pharmacy anticoagulation service in a resource-constrained setting in Kenya. J Am Pharm Assoc (2003). 2017;57(1):85-90.e1. doi:10.1016/j.japh.2016.10.011</w:t>
      </w:r>
    </w:p>
    <w:p w14:paraId="5DE8CA83" w14:textId="5E356DB7" w:rsidR="00C841CE" w:rsidRPr="00C841CE" w:rsidRDefault="00C841CE" w:rsidP="000872C5">
      <w:pPr>
        <w:numPr>
          <w:ilvl w:val="0"/>
          <w:numId w:val="35"/>
        </w:numPr>
        <w:spacing w:before="100" w:beforeAutospacing="1" w:after="100" w:afterAutospacing="1"/>
        <w:divId w:val="1672754359"/>
        <w:rPr>
          <w:rFonts w:ascii="Times New Roman" w:eastAsiaTheme="minorEastAsia" w:hAnsi="Times New Roman"/>
          <w:color w:val="000000"/>
          <w:sz w:val="24"/>
          <w:szCs w:val="24"/>
          <w:lang w:eastAsia="fr-FR"/>
        </w:rPr>
      </w:pPr>
      <w:r w:rsidRPr="00C841CE">
        <w:rPr>
          <w:rFonts w:ascii="Times New Roman" w:eastAsiaTheme="minorEastAsia" w:hAnsi="Times New Roman"/>
          <w:color w:val="000000"/>
          <w:sz w:val="24"/>
          <w:szCs w:val="24"/>
          <w:lang w:eastAsia="fr-FR"/>
        </w:rPr>
        <w:t>Tiongson B, Nguyen J, Bui K. Anticoagulation quality through time in therapeutic range in Sub-Saharan Africa: a systematic review and meta-analysis. Front Med (Lausanne). 2025;12:1517162. doi:10.3389/fmed.2025.1517162</w:t>
      </w:r>
      <w:r w:rsidRPr="00C841CE">
        <w:rPr>
          <w:rFonts w:ascii="Times New Roman" w:eastAsiaTheme="minorEastAsia" w:hAnsi="Times New Roman"/>
          <w:b/>
          <w:bCs/>
          <w:color w:val="000000"/>
          <w:sz w:val="24"/>
          <w:szCs w:val="24"/>
          <w:lang w:eastAsia="fr-FR"/>
        </w:rPr>
        <w:t>Lien :</w:t>
      </w:r>
      <w:r w:rsidRPr="00C841CE">
        <w:rPr>
          <w:rFonts w:ascii="Times New Roman" w:eastAsiaTheme="minorEastAsia" w:hAnsi="Times New Roman"/>
          <w:color w:val="000000"/>
          <w:sz w:val="24"/>
          <w:szCs w:val="24"/>
          <w:lang w:eastAsia="fr-FR"/>
        </w:rPr>
        <w:t> https://www.frontiersin.org/journals/medicine/articles/10.3389/fmed.2025.1517162/full</w:t>
      </w:r>
    </w:p>
    <w:p w14:paraId="46ADE393" w14:textId="77777777" w:rsidR="00C841CE" w:rsidRPr="00C841CE" w:rsidRDefault="00C841CE" w:rsidP="00C841CE">
      <w:pPr>
        <w:numPr>
          <w:ilvl w:val="0"/>
          <w:numId w:val="36"/>
        </w:numPr>
        <w:spacing w:before="100" w:beforeAutospacing="1" w:after="100" w:afterAutospacing="1"/>
        <w:divId w:val="1672754359"/>
        <w:rPr>
          <w:rFonts w:ascii="Times New Roman" w:eastAsiaTheme="minorEastAsia" w:hAnsi="Times New Roman"/>
          <w:color w:val="000000"/>
          <w:sz w:val="24"/>
          <w:szCs w:val="24"/>
          <w:lang w:eastAsia="fr-FR"/>
        </w:rPr>
      </w:pPr>
      <w:r w:rsidRPr="00C841CE">
        <w:rPr>
          <w:rFonts w:ascii="Times New Roman" w:eastAsiaTheme="minorEastAsia" w:hAnsi="Times New Roman"/>
          <w:color w:val="000000"/>
          <w:sz w:val="24"/>
          <w:szCs w:val="24"/>
          <w:lang w:eastAsia="fr-FR"/>
        </w:rPr>
        <w:t>van Rein N, Heide-Jørgensen U, Lijfering WM, Dekkers OM, Sørensen HT, Cannegieter SC. Major bleeding rates in atrial fibrillation patients on single, dual, and triple antithrombotic therapy. Circulation. 2019;139(6):775-786. doi:10.1161/CIRCULATIONAHA.118.036248</w:t>
      </w:r>
    </w:p>
    <w:p w14:paraId="18004C08" w14:textId="77777777" w:rsidR="00C841CE" w:rsidRPr="00C841CE" w:rsidRDefault="00C841CE" w:rsidP="00C841CE">
      <w:pPr>
        <w:numPr>
          <w:ilvl w:val="0"/>
          <w:numId w:val="36"/>
        </w:numPr>
        <w:spacing w:before="100" w:beforeAutospacing="1" w:after="100" w:afterAutospacing="1"/>
        <w:divId w:val="1672754359"/>
        <w:rPr>
          <w:rFonts w:ascii="Times New Roman" w:eastAsiaTheme="minorEastAsia" w:hAnsi="Times New Roman"/>
          <w:color w:val="000000"/>
          <w:sz w:val="24"/>
          <w:szCs w:val="24"/>
          <w:lang w:eastAsia="fr-FR"/>
        </w:rPr>
      </w:pPr>
      <w:r w:rsidRPr="00C841CE">
        <w:rPr>
          <w:rFonts w:ascii="Times New Roman" w:eastAsiaTheme="minorEastAsia" w:hAnsi="Times New Roman"/>
          <w:color w:val="000000"/>
          <w:sz w:val="24"/>
          <w:szCs w:val="24"/>
          <w:lang w:eastAsia="fr-FR"/>
        </w:rPr>
        <w:t>López-López JA, Sterne JAC, Thom HH, Higgins JP, Hingorani AD, Okoli GN, et al. Oral anticoagulants for prevention of stroke in atrial fibrillation: systematic review, network meta-analysis, and cost effectiveness analysis. BMJ. 2017;359:j5058. doi:10.1136/bmj.j5058</w:t>
      </w:r>
    </w:p>
    <w:p w14:paraId="5E718946" w14:textId="77777777" w:rsidR="00C841CE" w:rsidRPr="00C841CE" w:rsidRDefault="00C841CE" w:rsidP="00C841CE">
      <w:pPr>
        <w:numPr>
          <w:ilvl w:val="0"/>
          <w:numId w:val="36"/>
        </w:numPr>
        <w:spacing w:before="100" w:beforeAutospacing="1" w:after="100" w:afterAutospacing="1"/>
        <w:divId w:val="1672754359"/>
        <w:rPr>
          <w:rFonts w:ascii="Times New Roman" w:eastAsiaTheme="minorEastAsia" w:hAnsi="Times New Roman"/>
          <w:color w:val="000000"/>
          <w:sz w:val="24"/>
          <w:szCs w:val="24"/>
          <w:lang w:eastAsia="fr-FR"/>
        </w:rPr>
      </w:pPr>
      <w:r w:rsidRPr="00C841CE">
        <w:rPr>
          <w:rFonts w:ascii="Times New Roman" w:eastAsiaTheme="minorEastAsia" w:hAnsi="Times New Roman"/>
          <w:color w:val="000000"/>
          <w:sz w:val="24"/>
          <w:szCs w:val="24"/>
          <w:lang w:eastAsia="fr-FR"/>
        </w:rPr>
        <w:t>Barrios V, Escobar C, Calderón A, Llisterri JL, González-Segovia J, Ruiz Á. Anticoagulation control in patients with nonvalvular atrial fibrillation attended in primary care in Spain. The PAULA study. Rev Esp Cardiol. 2015;68(9):769-776. doi:10.1016/j.rec.2015.05.008</w:t>
      </w:r>
    </w:p>
    <w:p w14:paraId="1CA253C3" w14:textId="7F34782A" w:rsidR="00C841CE" w:rsidRPr="00186909" w:rsidRDefault="00C841CE" w:rsidP="0079605E">
      <w:pPr>
        <w:numPr>
          <w:ilvl w:val="0"/>
          <w:numId w:val="36"/>
        </w:numPr>
        <w:spacing w:before="100" w:beforeAutospacing="1" w:after="100" w:afterAutospacing="1"/>
        <w:divId w:val="1672754359"/>
        <w:rPr>
          <w:rFonts w:ascii="Times New Roman" w:eastAsiaTheme="minorEastAsia" w:hAnsi="Times New Roman"/>
          <w:color w:val="000000"/>
          <w:sz w:val="24"/>
          <w:szCs w:val="24"/>
          <w:highlight w:val="yellow"/>
          <w:lang w:eastAsia="fr-FR"/>
        </w:rPr>
      </w:pPr>
      <w:r w:rsidRPr="00186909">
        <w:rPr>
          <w:rFonts w:ascii="Times New Roman" w:eastAsiaTheme="minorEastAsia" w:hAnsi="Times New Roman"/>
          <w:color w:val="000000"/>
          <w:sz w:val="24"/>
          <w:szCs w:val="24"/>
          <w:highlight w:val="yellow"/>
          <w:lang w:eastAsia="fr-FR"/>
        </w:rPr>
        <w:t>Palareti G, Antonucci E, Mastroiacovo D, Maggioni AP, Pengo V, Poli D, et al. The American College of Chest Physicians Grade of Recommendation and Quality of Evidence: A Statement for Clinicians and Patients. Chest. 2013;144(4):1405-1407. doi:10.1378/chest.13-1282</w:t>
      </w:r>
    </w:p>
    <w:p w14:paraId="1A742A2C" w14:textId="77777777" w:rsidR="00C841CE" w:rsidRPr="00C841CE" w:rsidRDefault="00C841CE" w:rsidP="00C841CE">
      <w:pPr>
        <w:numPr>
          <w:ilvl w:val="0"/>
          <w:numId w:val="37"/>
        </w:numPr>
        <w:spacing w:before="100" w:beforeAutospacing="1" w:after="100" w:afterAutospacing="1"/>
        <w:divId w:val="1672754359"/>
        <w:rPr>
          <w:rFonts w:ascii="Times New Roman" w:eastAsiaTheme="minorEastAsia" w:hAnsi="Times New Roman"/>
          <w:color w:val="000000"/>
          <w:sz w:val="24"/>
          <w:szCs w:val="24"/>
          <w:lang w:eastAsia="fr-FR"/>
        </w:rPr>
      </w:pPr>
      <w:r w:rsidRPr="00C841CE">
        <w:rPr>
          <w:rFonts w:ascii="Times New Roman" w:eastAsiaTheme="minorEastAsia" w:hAnsi="Times New Roman"/>
          <w:color w:val="000000"/>
          <w:sz w:val="24"/>
          <w:szCs w:val="24"/>
          <w:lang w:eastAsia="fr-FR"/>
        </w:rPr>
        <w:t>Rose AJ, Hylek EM, Ozonoff A, Ash AS, Reisman JI, Berlowitz DR. Patient characteristics associated with oral anticoagulation control: results of the Veterans AffaiRs Study to Improve Anticoagulation (VARIA). J Thromb Haemost. 2010;8(10):2182-2191. doi:10.1111/j.1538-7836.2010.03996.x</w:t>
      </w:r>
    </w:p>
    <w:p w14:paraId="758294A6" w14:textId="77777777" w:rsidR="00C841CE" w:rsidRPr="00C841CE" w:rsidRDefault="00C841CE" w:rsidP="00C841CE">
      <w:pPr>
        <w:numPr>
          <w:ilvl w:val="0"/>
          <w:numId w:val="37"/>
        </w:numPr>
        <w:spacing w:before="100" w:beforeAutospacing="1" w:after="100" w:afterAutospacing="1"/>
        <w:divId w:val="1672754359"/>
        <w:rPr>
          <w:rFonts w:ascii="Times New Roman" w:eastAsiaTheme="minorEastAsia" w:hAnsi="Times New Roman"/>
          <w:color w:val="000000"/>
          <w:sz w:val="24"/>
          <w:szCs w:val="24"/>
          <w:lang w:eastAsia="fr-FR"/>
        </w:rPr>
      </w:pPr>
      <w:r w:rsidRPr="00C841CE">
        <w:rPr>
          <w:rFonts w:ascii="Times New Roman" w:eastAsiaTheme="minorEastAsia" w:hAnsi="Times New Roman"/>
          <w:color w:val="000000"/>
          <w:sz w:val="24"/>
          <w:szCs w:val="24"/>
          <w:lang w:eastAsia="fr-FR"/>
        </w:rPr>
        <w:t>Baker WL, Cios DA, Sander SD, Coleman CI. Meta-analysis to assess the quality of warfarin control in atrial fibrillation patients in the United States. J Manag Care Pharm. 2009;15(3):244-252. doi:10.18553/jmcp.2009.15.3.244</w:t>
      </w:r>
    </w:p>
    <w:p w14:paraId="2D8DAD20" w14:textId="77777777" w:rsidR="00C841CE" w:rsidRPr="00C841CE" w:rsidRDefault="00C841CE" w:rsidP="00C841CE">
      <w:pPr>
        <w:numPr>
          <w:ilvl w:val="0"/>
          <w:numId w:val="37"/>
        </w:numPr>
        <w:spacing w:before="100" w:beforeAutospacing="1" w:after="100" w:afterAutospacing="1"/>
        <w:divId w:val="1672754359"/>
        <w:rPr>
          <w:rFonts w:ascii="Times New Roman" w:eastAsiaTheme="minorEastAsia" w:hAnsi="Times New Roman"/>
          <w:color w:val="000000"/>
          <w:sz w:val="24"/>
          <w:szCs w:val="24"/>
          <w:lang w:eastAsia="fr-FR"/>
        </w:rPr>
      </w:pPr>
      <w:r w:rsidRPr="00C841CE">
        <w:rPr>
          <w:rFonts w:ascii="Times New Roman" w:eastAsiaTheme="minorEastAsia" w:hAnsi="Times New Roman"/>
          <w:color w:val="000000"/>
          <w:sz w:val="24"/>
          <w:szCs w:val="24"/>
          <w:lang w:eastAsia="fr-FR"/>
        </w:rPr>
        <w:t>Van Spall HG, Wallentin L, Yusuf S, Eikelboom JW, Nieuwlaat R, Yang S, et al. Variation in warfarin dose adjustment practice is responsible for differences in the quality of anticoagulation control between centers and countries: an analysis of patients receiving warfarin in the randomized evaluation of long-term anticoagulation therapy (RE-LY) trial. Circulation. 2012;126(19):2309-2316. doi:10.1161/CIRCULATIONAHA.112.101808</w:t>
      </w:r>
    </w:p>
    <w:p w14:paraId="2F377207" w14:textId="77777777" w:rsidR="00C841CE" w:rsidRPr="00C841CE" w:rsidRDefault="00C841CE" w:rsidP="00C841CE">
      <w:pPr>
        <w:numPr>
          <w:ilvl w:val="0"/>
          <w:numId w:val="37"/>
        </w:numPr>
        <w:spacing w:before="100" w:beforeAutospacing="1" w:after="100" w:afterAutospacing="1"/>
        <w:divId w:val="1672754359"/>
        <w:rPr>
          <w:rFonts w:ascii="Times New Roman" w:eastAsiaTheme="minorEastAsia" w:hAnsi="Times New Roman"/>
          <w:color w:val="000000"/>
          <w:sz w:val="24"/>
          <w:szCs w:val="24"/>
          <w:lang w:eastAsia="fr-FR"/>
        </w:rPr>
      </w:pPr>
      <w:r w:rsidRPr="00C841CE">
        <w:rPr>
          <w:rFonts w:ascii="Times New Roman" w:eastAsiaTheme="minorEastAsia" w:hAnsi="Times New Roman"/>
          <w:color w:val="000000"/>
          <w:sz w:val="24"/>
          <w:szCs w:val="24"/>
          <w:lang w:eastAsia="fr-FR"/>
        </w:rPr>
        <w:t>Pokorney SD, Simon DN, Thomas L, Fonarow GC, Kowey PR, Chang P, et al. Patients' time in therapeutic range on warfarin among US patients with atrial fibrillation: Results from ORBIT-AF registry. Am Heart J. 2015;170(1):141-148. doi:10.1016/j.ahj.2015.03.017</w:t>
      </w:r>
    </w:p>
    <w:p w14:paraId="0CE50976" w14:textId="3E308590" w:rsidR="00C841CE" w:rsidRPr="00C841CE" w:rsidRDefault="00C841CE" w:rsidP="0079605E">
      <w:pPr>
        <w:numPr>
          <w:ilvl w:val="0"/>
          <w:numId w:val="37"/>
        </w:numPr>
        <w:spacing w:before="100" w:beforeAutospacing="1" w:after="100" w:afterAutospacing="1"/>
        <w:divId w:val="1672754359"/>
        <w:rPr>
          <w:rFonts w:ascii="Times New Roman" w:eastAsiaTheme="minorEastAsia" w:hAnsi="Times New Roman"/>
          <w:color w:val="000000"/>
          <w:sz w:val="24"/>
          <w:szCs w:val="24"/>
          <w:lang w:eastAsia="fr-FR"/>
        </w:rPr>
      </w:pPr>
      <w:r w:rsidRPr="00C841CE">
        <w:rPr>
          <w:rFonts w:ascii="Times New Roman" w:eastAsiaTheme="minorEastAsia" w:hAnsi="Times New Roman"/>
          <w:color w:val="000000"/>
          <w:sz w:val="24"/>
          <w:szCs w:val="24"/>
          <w:lang w:eastAsia="fr-FR"/>
        </w:rPr>
        <w:t>Melamed OC, Horowitz G, Elhayany A, Vinker S. Quality of anticoagulation control among patients with atrial fibrillation. Am J Manag Care. 2011;17(3):232-237.</w:t>
      </w:r>
    </w:p>
    <w:p w14:paraId="49A8AA57" w14:textId="77777777" w:rsidR="00C841CE" w:rsidRPr="00C841CE" w:rsidRDefault="00C841CE" w:rsidP="00C841CE">
      <w:pPr>
        <w:numPr>
          <w:ilvl w:val="0"/>
          <w:numId w:val="38"/>
        </w:numPr>
        <w:spacing w:before="100" w:beforeAutospacing="1" w:after="100" w:afterAutospacing="1"/>
        <w:divId w:val="1672754359"/>
        <w:rPr>
          <w:rFonts w:ascii="Times New Roman" w:eastAsiaTheme="minorEastAsia" w:hAnsi="Times New Roman"/>
          <w:color w:val="000000"/>
          <w:sz w:val="24"/>
          <w:szCs w:val="24"/>
          <w:lang w:eastAsia="fr-FR"/>
        </w:rPr>
      </w:pPr>
      <w:r w:rsidRPr="00C841CE">
        <w:rPr>
          <w:rFonts w:ascii="Times New Roman" w:eastAsiaTheme="minorEastAsia" w:hAnsi="Times New Roman"/>
          <w:color w:val="000000"/>
          <w:sz w:val="24"/>
          <w:szCs w:val="24"/>
          <w:lang w:eastAsia="fr-FR"/>
        </w:rPr>
        <w:lastRenderedPageBreak/>
        <w:t>Witt DM, Nieuwlaat R, Clark NP, Ansell J, Holbrook A, Skov J, et al. American Society of Hematology 2018 guidelines for management of venous thromboembolism: optimal management of anticoagulation therapy. Blood Adv. 2018;2(22):3257-3291. doi:10.1182/bloodadvances.2018024893</w:t>
      </w:r>
    </w:p>
    <w:p w14:paraId="669BA777" w14:textId="77777777" w:rsidR="00C841CE" w:rsidRPr="00C841CE" w:rsidRDefault="00C841CE" w:rsidP="00C841CE">
      <w:pPr>
        <w:numPr>
          <w:ilvl w:val="0"/>
          <w:numId w:val="38"/>
        </w:numPr>
        <w:spacing w:before="100" w:beforeAutospacing="1" w:after="100" w:afterAutospacing="1"/>
        <w:divId w:val="1672754359"/>
        <w:rPr>
          <w:rFonts w:ascii="Times New Roman" w:eastAsiaTheme="minorEastAsia" w:hAnsi="Times New Roman"/>
          <w:color w:val="000000"/>
          <w:sz w:val="24"/>
          <w:szCs w:val="24"/>
          <w:lang w:eastAsia="fr-FR"/>
        </w:rPr>
      </w:pPr>
      <w:r w:rsidRPr="00C841CE">
        <w:rPr>
          <w:rFonts w:ascii="Times New Roman" w:eastAsiaTheme="minorEastAsia" w:hAnsi="Times New Roman"/>
          <w:color w:val="000000"/>
          <w:sz w:val="24"/>
          <w:szCs w:val="24"/>
          <w:lang w:eastAsia="fr-FR"/>
        </w:rPr>
        <w:t>Dentali F, Douketis JD, Gianni M, Lim W, Crowther MA. Meta-analysis: anticoagulant prophylaxis to prevent symptomatic venous thromboembolism in hospitalized medical patients. Ann Intern Med. 2007;146(4):278-288. doi:10.7326/0003-4819-146-4-200702200-00007</w:t>
      </w:r>
    </w:p>
    <w:p w14:paraId="7C747497" w14:textId="77777777" w:rsidR="00C841CE" w:rsidRPr="00C841CE" w:rsidRDefault="00C841CE" w:rsidP="00C841CE">
      <w:pPr>
        <w:numPr>
          <w:ilvl w:val="0"/>
          <w:numId w:val="38"/>
        </w:numPr>
        <w:spacing w:before="100" w:beforeAutospacing="1" w:after="100" w:afterAutospacing="1"/>
        <w:divId w:val="1672754359"/>
        <w:rPr>
          <w:rFonts w:ascii="Times New Roman" w:eastAsiaTheme="minorEastAsia" w:hAnsi="Times New Roman"/>
          <w:color w:val="000000"/>
          <w:sz w:val="24"/>
          <w:szCs w:val="24"/>
          <w:lang w:eastAsia="fr-FR"/>
        </w:rPr>
      </w:pPr>
      <w:r w:rsidRPr="00C841CE">
        <w:rPr>
          <w:rFonts w:ascii="Times New Roman" w:eastAsiaTheme="minorEastAsia" w:hAnsi="Times New Roman"/>
          <w:color w:val="000000"/>
          <w:sz w:val="24"/>
          <w:szCs w:val="24"/>
          <w:lang w:eastAsia="fr-FR"/>
        </w:rPr>
        <w:t>Ageno W, Gallus AS, Wittkowsky A, Crowther M, Hylek EM, Palareti G, et al. Oral anticoagulant therapy: Antithrombotic Therapy and Prevention of Thrombosis, 9th ed: American College of Chest Physicians Evidence-Based Clinical Practice Guidelines. Chest. 2012;141(2 Suppl):e44S-e88S. doi:10.1378/chest.11-2292</w:t>
      </w:r>
    </w:p>
    <w:p w14:paraId="7E7AFC4C" w14:textId="435E0554" w:rsidR="00C841CE" w:rsidRPr="00C841CE" w:rsidRDefault="00C841CE" w:rsidP="0079605E">
      <w:pPr>
        <w:numPr>
          <w:ilvl w:val="0"/>
          <w:numId w:val="38"/>
        </w:numPr>
        <w:spacing w:before="100" w:beforeAutospacing="1" w:after="100" w:afterAutospacing="1"/>
        <w:divId w:val="1672754359"/>
        <w:rPr>
          <w:rFonts w:ascii="Times New Roman" w:eastAsiaTheme="minorEastAsia" w:hAnsi="Times New Roman"/>
          <w:color w:val="000000"/>
          <w:sz w:val="24"/>
          <w:szCs w:val="24"/>
          <w:lang w:eastAsia="fr-FR"/>
        </w:rPr>
      </w:pPr>
      <w:r w:rsidRPr="00C841CE">
        <w:rPr>
          <w:rFonts w:ascii="Times New Roman" w:eastAsiaTheme="minorEastAsia" w:hAnsi="Times New Roman"/>
          <w:color w:val="000000"/>
          <w:sz w:val="24"/>
          <w:szCs w:val="24"/>
          <w:lang w:eastAsia="fr-FR"/>
        </w:rPr>
        <w:t>Linkins LA, Dans AL, Moores LK, Bona R, Davidson BL, Schulman S, et al. Treatment and prevention of heparin-induced thrombocytopenia: Antithrombotic Therapy and Prevention of Thrombosis, 9th ed: American College of Chest Physicians Evidence-Based Clinical Practice Guidelines. Chest. 2012;141(2 Suppl):e495S-e530S. doi:10.1378/chest.11-2303</w:t>
      </w:r>
    </w:p>
    <w:p w14:paraId="4F2DF5BB" w14:textId="77777777" w:rsidR="00C841CE" w:rsidRPr="00C841CE" w:rsidRDefault="00C841CE" w:rsidP="00C841CE">
      <w:pPr>
        <w:numPr>
          <w:ilvl w:val="0"/>
          <w:numId w:val="39"/>
        </w:numPr>
        <w:spacing w:before="100" w:beforeAutospacing="1" w:after="100" w:afterAutospacing="1"/>
        <w:divId w:val="1672754359"/>
        <w:rPr>
          <w:rFonts w:ascii="Times New Roman" w:eastAsiaTheme="minorEastAsia" w:hAnsi="Times New Roman"/>
          <w:color w:val="000000"/>
          <w:sz w:val="24"/>
          <w:szCs w:val="24"/>
          <w:lang w:eastAsia="fr-FR"/>
        </w:rPr>
      </w:pPr>
      <w:r w:rsidRPr="00C841CE">
        <w:rPr>
          <w:rFonts w:ascii="Times New Roman" w:eastAsiaTheme="minorEastAsia" w:hAnsi="Times New Roman"/>
          <w:color w:val="000000"/>
          <w:sz w:val="24"/>
          <w:szCs w:val="24"/>
          <w:lang w:eastAsia="fr-FR"/>
        </w:rPr>
        <w:t>Clarkesmith DE, Pattison HM, Lip GY, Lane DA. Educational intervention improves anticoagulation control in atrial fibrillation patients: the TREAT randomised trial. PLoS One. 2013;8(9):e74037. doi:10.1371/journal.pone.0074037</w:t>
      </w:r>
    </w:p>
    <w:p w14:paraId="3138E605" w14:textId="77777777" w:rsidR="00C841CE" w:rsidRPr="00C841CE" w:rsidRDefault="00C841CE" w:rsidP="00C841CE">
      <w:pPr>
        <w:numPr>
          <w:ilvl w:val="0"/>
          <w:numId w:val="39"/>
        </w:numPr>
        <w:spacing w:before="100" w:beforeAutospacing="1" w:after="100" w:afterAutospacing="1"/>
        <w:divId w:val="1672754359"/>
        <w:rPr>
          <w:rFonts w:ascii="Times New Roman" w:eastAsiaTheme="minorEastAsia" w:hAnsi="Times New Roman"/>
          <w:color w:val="000000"/>
          <w:sz w:val="24"/>
          <w:szCs w:val="24"/>
          <w:lang w:eastAsia="fr-FR"/>
        </w:rPr>
      </w:pPr>
      <w:r w:rsidRPr="00C841CE">
        <w:rPr>
          <w:rFonts w:ascii="Times New Roman" w:eastAsiaTheme="minorEastAsia" w:hAnsi="Times New Roman"/>
          <w:color w:val="000000"/>
          <w:sz w:val="24"/>
          <w:szCs w:val="24"/>
          <w:lang w:eastAsia="fr-FR"/>
        </w:rPr>
        <w:t>Man-Son-Hing M, Nichol G, Lau A, Laupacis A. Choosing antithrombotic therapy for elderly patients with atrial fibrillation who are at risk for falls. Arch Intern Med. 1999;159(7):677-685. doi:10.1001/archinte.159.7.677</w:t>
      </w:r>
    </w:p>
    <w:p w14:paraId="326A2AAF" w14:textId="4227CE03" w:rsidR="00C841CE" w:rsidRPr="00C841CE" w:rsidRDefault="00C841CE" w:rsidP="0042704C">
      <w:pPr>
        <w:numPr>
          <w:ilvl w:val="0"/>
          <w:numId w:val="39"/>
        </w:numPr>
        <w:spacing w:before="100" w:beforeAutospacing="1" w:after="100" w:afterAutospacing="1"/>
        <w:divId w:val="1672754359"/>
        <w:rPr>
          <w:rFonts w:ascii="Times New Roman" w:eastAsiaTheme="minorEastAsia" w:hAnsi="Times New Roman"/>
          <w:color w:val="000000"/>
          <w:sz w:val="24"/>
          <w:szCs w:val="24"/>
          <w:lang w:eastAsia="fr-FR"/>
        </w:rPr>
      </w:pPr>
      <w:r w:rsidRPr="00C841CE">
        <w:rPr>
          <w:rFonts w:ascii="Times New Roman" w:eastAsiaTheme="minorEastAsia" w:hAnsi="Times New Roman"/>
          <w:color w:val="000000"/>
          <w:sz w:val="24"/>
          <w:szCs w:val="24"/>
          <w:lang w:eastAsia="fr-FR"/>
        </w:rPr>
        <w:t>Saokaew S, Permsuwan U, Chaiyakunapruk N, Nathisuwan S, Sukonthasarn A. Effectiveness of pharmacist-participated warfarin therapy management: a systematic review and meta-analysis. J Thromb Haemost. 2010;8(11):2418-2427. doi:10.1111/j.1538-7836.2010.04018.x</w:t>
      </w:r>
    </w:p>
    <w:p w14:paraId="2DF43DBD" w14:textId="77777777" w:rsidR="00C841CE" w:rsidRPr="00C841CE" w:rsidRDefault="00C841CE" w:rsidP="00C841CE">
      <w:pPr>
        <w:numPr>
          <w:ilvl w:val="0"/>
          <w:numId w:val="40"/>
        </w:numPr>
        <w:spacing w:before="100" w:beforeAutospacing="1" w:after="100" w:afterAutospacing="1"/>
        <w:divId w:val="1672754359"/>
        <w:rPr>
          <w:rFonts w:ascii="Times New Roman" w:eastAsiaTheme="minorEastAsia" w:hAnsi="Times New Roman"/>
          <w:color w:val="000000"/>
          <w:sz w:val="24"/>
          <w:szCs w:val="24"/>
          <w:lang w:eastAsia="fr-FR"/>
        </w:rPr>
      </w:pPr>
      <w:r w:rsidRPr="00C841CE">
        <w:rPr>
          <w:rFonts w:ascii="Times New Roman" w:eastAsiaTheme="minorEastAsia" w:hAnsi="Times New Roman"/>
          <w:color w:val="000000"/>
          <w:sz w:val="24"/>
          <w:szCs w:val="24"/>
          <w:lang w:eastAsia="fr-FR"/>
        </w:rPr>
        <w:t>Burnett AE, Mahan CE, Vazquez SR, Oertel LB, Garcia DA, Ansell J. Guidance for the practical management of the direct oral anticoagulants (DOACs) in VTE treatment. J Thromb Thrombolysis. 2016;41(1):206-232. doi:10.1007/s11239-015-1310-7</w:t>
      </w:r>
    </w:p>
    <w:p w14:paraId="0DF13E0D" w14:textId="77777777" w:rsidR="00C841CE" w:rsidRPr="00C841CE" w:rsidRDefault="00C841CE" w:rsidP="00C841CE">
      <w:pPr>
        <w:numPr>
          <w:ilvl w:val="0"/>
          <w:numId w:val="40"/>
        </w:numPr>
        <w:spacing w:before="100" w:beforeAutospacing="1" w:after="100" w:afterAutospacing="1"/>
        <w:divId w:val="1672754359"/>
        <w:rPr>
          <w:rFonts w:ascii="Times New Roman" w:eastAsiaTheme="minorEastAsia" w:hAnsi="Times New Roman"/>
          <w:color w:val="000000"/>
          <w:sz w:val="24"/>
          <w:szCs w:val="24"/>
          <w:lang w:eastAsia="fr-FR"/>
        </w:rPr>
      </w:pPr>
      <w:r w:rsidRPr="00C841CE">
        <w:rPr>
          <w:rFonts w:ascii="Times New Roman" w:eastAsiaTheme="minorEastAsia" w:hAnsi="Times New Roman"/>
          <w:color w:val="000000"/>
          <w:sz w:val="24"/>
          <w:szCs w:val="24"/>
          <w:lang w:eastAsia="fr-FR"/>
        </w:rPr>
        <w:t>Heneghan C, Alonso-Coello P, Garcia-Alamino JM, Perera R, Meats E, Glasziou P. Self-monitoring of oral anticoagulation: a systematic review and meta-analysis. Lancet. 2006;367(9508):404-411. doi:10.1016/S0140-6736(06)68139-7</w:t>
      </w:r>
    </w:p>
    <w:p w14:paraId="6AD8B698" w14:textId="7ACD31AE" w:rsidR="00C841CE" w:rsidRPr="00C841CE" w:rsidRDefault="00C841CE" w:rsidP="0079605E">
      <w:pPr>
        <w:numPr>
          <w:ilvl w:val="0"/>
          <w:numId w:val="40"/>
        </w:numPr>
        <w:spacing w:before="100" w:beforeAutospacing="1" w:after="100" w:afterAutospacing="1"/>
        <w:divId w:val="1672754359"/>
        <w:rPr>
          <w:rFonts w:ascii="Times New Roman" w:eastAsiaTheme="minorEastAsia" w:hAnsi="Times New Roman"/>
          <w:color w:val="000000"/>
          <w:sz w:val="24"/>
          <w:szCs w:val="24"/>
          <w:lang w:eastAsia="fr-FR"/>
        </w:rPr>
      </w:pPr>
      <w:r w:rsidRPr="00C841CE">
        <w:rPr>
          <w:rFonts w:ascii="Times New Roman" w:eastAsiaTheme="minorEastAsia" w:hAnsi="Times New Roman"/>
          <w:color w:val="000000"/>
          <w:sz w:val="24"/>
          <w:szCs w:val="24"/>
          <w:lang w:eastAsia="fr-FR"/>
        </w:rPr>
        <w:t>Christensen TD, Johnsen SP, Hjortdal VE, Hasenkam JM. Self-management of oral anticoagulant therapy: a systematic review and meta-analysis. Int J Cardiol. 2007;118(1):54-61. doi:10.1016/j.ijcard.2006.05.067</w:t>
      </w:r>
    </w:p>
    <w:p w14:paraId="010A7293" w14:textId="77777777" w:rsidR="00186909" w:rsidRDefault="00186909" w:rsidP="00C841CE">
      <w:pPr>
        <w:numPr>
          <w:ilvl w:val="0"/>
          <w:numId w:val="41"/>
        </w:numPr>
        <w:spacing w:before="100" w:beforeAutospacing="1" w:after="100" w:afterAutospacing="1"/>
        <w:divId w:val="1672754359"/>
        <w:rPr>
          <w:rFonts w:ascii="Times New Roman" w:eastAsiaTheme="minorEastAsia" w:hAnsi="Times New Roman"/>
          <w:color w:val="000000"/>
          <w:sz w:val="24"/>
          <w:szCs w:val="24"/>
          <w:lang w:eastAsia="fr-FR"/>
        </w:rPr>
      </w:pPr>
      <w:r w:rsidRPr="00186909">
        <w:rPr>
          <w:rFonts w:ascii="Times New Roman" w:eastAsiaTheme="minorEastAsia" w:hAnsi="Times New Roman"/>
          <w:color w:val="000000"/>
          <w:sz w:val="24"/>
          <w:szCs w:val="24"/>
          <w:lang w:eastAsia="fr-FR"/>
        </w:rPr>
        <w:t xml:space="preserve">Patel, J. P., &amp; Arya, R. (2014). The current status of bridging anticoagulation. British journal of </w:t>
      </w:r>
      <w:proofErr w:type="spellStart"/>
      <w:r w:rsidRPr="00186909">
        <w:rPr>
          <w:rFonts w:ascii="Times New Roman" w:eastAsiaTheme="minorEastAsia" w:hAnsi="Times New Roman"/>
          <w:color w:val="000000"/>
          <w:sz w:val="24"/>
          <w:szCs w:val="24"/>
          <w:lang w:eastAsia="fr-FR"/>
        </w:rPr>
        <w:t>haematology</w:t>
      </w:r>
      <w:proofErr w:type="spellEnd"/>
      <w:r w:rsidRPr="00186909">
        <w:rPr>
          <w:rFonts w:ascii="Times New Roman" w:eastAsiaTheme="minorEastAsia" w:hAnsi="Times New Roman"/>
          <w:color w:val="000000"/>
          <w:sz w:val="24"/>
          <w:szCs w:val="24"/>
          <w:lang w:eastAsia="fr-FR"/>
        </w:rPr>
        <w:t>, 164(5), 619-629.</w:t>
      </w:r>
    </w:p>
    <w:p w14:paraId="711A49C6" w14:textId="7858C856" w:rsidR="00C841CE" w:rsidRPr="00C841CE" w:rsidRDefault="00C841CE" w:rsidP="00C841CE">
      <w:pPr>
        <w:numPr>
          <w:ilvl w:val="0"/>
          <w:numId w:val="41"/>
        </w:numPr>
        <w:spacing w:before="100" w:beforeAutospacing="1" w:after="100" w:afterAutospacing="1"/>
        <w:divId w:val="1672754359"/>
        <w:rPr>
          <w:rFonts w:ascii="Times New Roman" w:eastAsiaTheme="minorEastAsia" w:hAnsi="Times New Roman"/>
          <w:color w:val="000000"/>
          <w:sz w:val="24"/>
          <w:szCs w:val="24"/>
          <w:lang w:eastAsia="fr-FR"/>
        </w:rPr>
      </w:pPr>
      <w:bookmarkStart w:id="0" w:name="_GoBack"/>
      <w:bookmarkEnd w:id="0"/>
      <w:r w:rsidRPr="00C841CE">
        <w:rPr>
          <w:rFonts w:ascii="Times New Roman" w:eastAsiaTheme="minorEastAsia" w:hAnsi="Times New Roman"/>
          <w:color w:val="000000"/>
          <w:sz w:val="24"/>
          <w:szCs w:val="24"/>
          <w:lang w:eastAsia="fr-FR"/>
        </w:rPr>
        <w:t>Clinical and Laboratory Standards Institute (CLSI). Collection, Transport, and Processing of Blood Specimens for Testing Plasma-Based Coagulation Assays and Molecular Hemostasis Assays; Approved Guideline-Fifth Edition. CLSI document H21-A5. Wayne, PA: Clinical and Laboratory Standards Institute; 2008.</w:t>
      </w:r>
    </w:p>
    <w:p w14:paraId="7B43DB4A" w14:textId="24ACCC30" w:rsidR="00C841CE" w:rsidRPr="00C841CE" w:rsidRDefault="00C841CE" w:rsidP="0042704C">
      <w:pPr>
        <w:numPr>
          <w:ilvl w:val="0"/>
          <w:numId w:val="41"/>
        </w:numPr>
        <w:spacing w:before="100" w:beforeAutospacing="1" w:after="100" w:afterAutospacing="1"/>
        <w:divId w:val="1672754359"/>
        <w:rPr>
          <w:rFonts w:ascii="Times New Roman" w:eastAsiaTheme="minorEastAsia" w:hAnsi="Times New Roman"/>
          <w:color w:val="000000"/>
          <w:sz w:val="24"/>
          <w:szCs w:val="24"/>
          <w:lang w:eastAsia="fr-FR"/>
        </w:rPr>
      </w:pPr>
      <w:r w:rsidRPr="00C841CE">
        <w:rPr>
          <w:rFonts w:ascii="Times New Roman" w:eastAsiaTheme="minorEastAsia" w:hAnsi="Times New Roman"/>
          <w:color w:val="000000"/>
          <w:sz w:val="24"/>
          <w:szCs w:val="24"/>
          <w:lang w:eastAsia="fr-FR"/>
        </w:rPr>
        <w:t>Lippi G, Salvagno GL, Montagnana M, Lima-Oliveira G, Guidi GC, Favaloro EJ. Quality standards for sample collection in coagulation testing. Semin Thromb Hemost. 2012;38(6):565-575. doi:10.1055/s-0032-1315961</w:t>
      </w:r>
    </w:p>
    <w:p w14:paraId="7540942D" w14:textId="77777777" w:rsidR="00C841CE" w:rsidRPr="00C841CE" w:rsidRDefault="00C841CE" w:rsidP="00C841CE">
      <w:pPr>
        <w:numPr>
          <w:ilvl w:val="0"/>
          <w:numId w:val="42"/>
        </w:numPr>
        <w:spacing w:before="100" w:beforeAutospacing="1" w:after="100" w:afterAutospacing="1"/>
        <w:divId w:val="1672754359"/>
        <w:rPr>
          <w:rFonts w:ascii="Times New Roman" w:eastAsiaTheme="minorEastAsia" w:hAnsi="Times New Roman"/>
          <w:color w:val="000000"/>
          <w:sz w:val="24"/>
          <w:szCs w:val="24"/>
          <w:lang w:eastAsia="fr-FR"/>
        </w:rPr>
      </w:pPr>
      <w:r w:rsidRPr="00C841CE">
        <w:rPr>
          <w:rFonts w:ascii="Times New Roman" w:eastAsiaTheme="minorEastAsia" w:hAnsi="Times New Roman"/>
          <w:color w:val="000000"/>
          <w:sz w:val="24"/>
          <w:szCs w:val="24"/>
          <w:lang w:eastAsia="fr-FR"/>
        </w:rPr>
        <w:t>International Warfarin Pharmacogenetics Consortium, Klein TE, Altman RB, Eriksson N, Gage BF, Kimmel SE, et al. Estimation of the warfarin dose with clinical and pharmacogenetic data. N Engl J Med. 2009;360(8):753-764. doi:10.1056/NEJMoa0809329</w:t>
      </w:r>
    </w:p>
    <w:p w14:paraId="49816A93" w14:textId="77777777" w:rsidR="00C841CE" w:rsidRPr="00C841CE" w:rsidRDefault="00C841CE" w:rsidP="00C841CE">
      <w:pPr>
        <w:numPr>
          <w:ilvl w:val="0"/>
          <w:numId w:val="42"/>
        </w:numPr>
        <w:spacing w:before="100" w:beforeAutospacing="1" w:after="100" w:afterAutospacing="1"/>
        <w:divId w:val="1672754359"/>
        <w:rPr>
          <w:rFonts w:ascii="Times New Roman" w:eastAsiaTheme="minorEastAsia" w:hAnsi="Times New Roman"/>
          <w:color w:val="000000"/>
          <w:sz w:val="24"/>
          <w:szCs w:val="24"/>
          <w:lang w:eastAsia="fr-FR"/>
        </w:rPr>
      </w:pPr>
      <w:r w:rsidRPr="00C841CE">
        <w:rPr>
          <w:rFonts w:ascii="Times New Roman" w:eastAsiaTheme="minorEastAsia" w:hAnsi="Times New Roman"/>
          <w:color w:val="000000"/>
          <w:sz w:val="24"/>
          <w:szCs w:val="24"/>
          <w:lang w:eastAsia="fr-FR"/>
        </w:rPr>
        <w:t>Gage BF, Eby C, Johnson JA, Deych E, Rieder MJ, Ridker PM, et al. Use of pharmacogenetic and clinical factors to predict the therapeutic dose of warfarin. Clin Pharmacol Ther. 2008;84(3):326-331. doi:10.1038/clpt.2008.10</w:t>
      </w:r>
    </w:p>
    <w:p w14:paraId="04E2565C" w14:textId="77777777" w:rsidR="00C841CE" w:rsidRPr="00C841CE" w:rsidRDefault="00C841CE" w:rsidP="00C841CE">
      <w:pPr>
        <w:numPr>
          <w:ilvl w:val="0"/>
          <w:numId w:val="42"/>
        </w:numPr>
        <w:spacing w:before="100" w:beforeAutospacing="1" w:after="100" w:afterAutospacing="1"/>
        <w:divId w:val="1672754359"/>
        <w:rPr>
          <w:rFonts w:ascii="Times New Roman" w:eastAsiaTheme="minorEastAsia" w:hAnsi="Times New Roman"/>
          <w:color w:val="000000"/>
          <w:sz w:val="24"/>
          <w:szCs w:val="24"/>
          <w:lang w:eastAsia="fr-FR"/>
        </w:rPr>
      </w:pPr>
      <w:r w:rsidRPr="00C841CE">
        <w:rPr>
          <w:rFonts w:ascii="Times New Roman" w:eastAsiaTheme="minorEastAsia" w:hAnsi="Times New Roman"/>
          <w:color w:val="000000"/>
          <w:sz w:val="24"/>
          <w:szCs w:val="24"/>
          <w:lang w:eastAsia="fr-FR"/>
        </w:rPr>
        <w:lastRenderedPageBreak/>
        <w:t>Johnson JA, Gong L, Whirl-Carrillo M, Gage BF, Scott SA, Stein CM, et al. Clinical Pharmacogenetics Implementation Consortium Guidelines for CYP2C9 and VKORC1 genotypes and warfarin dosing. Clin Pharmacol Ther. 2011;90(4):625-629. doi:10.1038/clpt.2011.185</w:t>
      </w:r>
    </w:p>
    <w:p w14:paraId="7A17A970" w14:textId="6ECE5599" w:rsidR="00C841CE" w:rsidRPr="00C841CE" w:rsidRDefault="00C841CE" w:rsidP="00C841CE">
      <w:pPr>
        <w:spacing w:before="100" w:beforeAutospacing="1" w:after="100" w:afterAutospacing="1"/>
        <w:outlineLvl w:val="1"/>
        <w:divId w:val="1672754359"/>
        <w:rPr>
          <w:rFonts w:ascii="Times New Roman" w:hAnsi="Times New Roman"/>
          <w:b/>
          <w:bCs/>
          <w:color w:val="000000"/>
          <w:sz w:val="36"/>
          <w:szCs w:val="36"/>
          <w:lang w:eastAsia="fr-FR"/>
        </w:rPr>
      </w:pPr>
    </w:p>
    <w:p w14:paraId="78CC195B" w14:textId="77777777" w:rsidR="00C841CE" w:rsidRPr="00C841CE" w:rsidRDefault="00C841CE" w:rsidP="00C841CE">
      <w:pPr>
        <w:numPr>
          <w:ilvl w:val="0"/>
          <w:numId w:val="43"/>
        </w:numPr>
        <w:spacing w:before="100" w:beforeAutospacing="1" w:after="100" w:afterAutospacing="1"/>
        <w:divId w:val="1672754359"/>
        <w:rPr>
          <w:rFonts w:ascii="Times New Roman" w:eastAsiaTheme="minorEastAsia" w:hAnsi="Times New Roman"/>
          <w:color w:val="000000"/>
          <w:sz w:val="24"/>
          <w:szCs w:val="24"/>
          <w:lang w:eastAsia="fr-FR"/>
        </w:rPr>
      </w:pPr>
      <w:r w:rsidRPr="00C841CE">
        <w:rPr>
          <w:rFonts w:ascii="Times New Roman" w:eastAsiaTheme="minorEastAsia" w:hAnsi="Times New Roman"/>
          <w:color w:val="000000"/>
          <w:sz w:val="24"/>
          <w:szCs w:val="24"/>
          <w:lang w:eastAsia="fr-FR"/>
        </w:rPr>
        <w:t>Eckman MH, Rosand J, Knudsen KA, Singer DE, Greenberg SM. Can patients be anticoagulated after intracerebral hemorrhage? A decision analysis. Stroke. 2003;34(7):1710-1716. doi:10.1161/01.STR.0000078311.18928.16</w:t>
      </w:r>
    </w:p>
    <w:p w14:paraId="48F5B903" w14:textId="77777777" w:rsidR="00C841CE" w:rsidRPr="00C841CE" w:rsidRDefault="00C841CE" w:rsidP="00C841CE">
      <w:pPr>
        <w:numPr>
          <w:ilvl w:val="0"/>
          <w:numId w:val="43"/>
        </w:numPr>
        <w:spacing w:before="100" w:beforeAutospacing="1" w:after="100" w:afterAutospacing="1"/>
        <w:divId w:val="1672754359"/>
        <w:rPr>
          <w:rFonts w:ascii="Times New Roman" w:eastAsiaTheme="minorEastAsia" w:hAnsi="Times New Roman"/>
          <w:color w:val="000000"/>
          <w:sz w:val="24"/>
          <w:szCs w:val="24"/>
          <w:lang w:eastAsia="fr-FR"/>
        </w:rPr>
      </w:pPr>
      <w:r w:rsidRPr="00C841CE">
        <w:rPr>
          <w:rFonts w:ascii="Times New Roman" w:eastAsiaTheme="minorEastAsia" w:hAnsi="Times New Roman"/>
          <w:color w:val="000000"/>
          <w:sz w:val="24"/>
          <w:szCs w:val="24"/>
          <w:lang w:eastAsia="fr-FR"/>
        </w:rPr>
        <w:t>Freeman JV, Zhu RP, Owens DK, Garber AM, Hutton DW, Go AS, et al. Cost-effectiveness of dabigatran compared with warfarin for stroke prevention in atrial fibrillation. Ann Intern Med. 2011;154(1):1-11. doi:10.7326/0003-4819-154-1-201101040-00289</w:t>
      </w:r>
    </w:p>
    <w:p w14:paraId="15C772CC" w14:textId="3E04F497" w:rsidR="00C841CE" w:rsidRPr="00C841CE" w:rsidRDefault="00C841CE" w:rsidP="00C841CE">
      <w:pPr>
        <w:spacing w:before="100" w:beforeAutospacing="1" w:after="100" w:afterAutospacing="1"/>
        <w:outlineLvl w:val="1"/>
        <w:divId w:val="1672754359"/>
        <w:rPr>
          <w:rFonts w:ascii="Times New Roman" w:hAnsi="Times New Roman"/>
          <w:b/>
          <w:bCs/>
          <w:color w:val="000000"/>
          <w:sz w:val="36"/>
          <w:szCs w:val="36"/>
          <w:lang w:eastAsia="fr-FR"/>
        </w:rPr>
      </w:pPr>
    </w:p>
    <w:p w14:paraId="1F8BB342" w14:textId="77777777" w:rsidR="00C841CE" w:rsidRPr="00C841CE" w:rsidRDefault="00C841CE" w:rsidP="00C841CE">
      <w:pPr>
        <w:numPr>
          <w:ilvl w:val="0"/>
          <w:numId w:val="44"/>
        </w:numPr>
        <w:spacing w:before="100" w:beforeAutospacing="1" w:after="100" w:afterAutospacing="1"/>
        <w:divId w:val="1672754359"/>
        <w:rPr>
          <w:rFonts w:ascii="Times New Roman" w:eastAsiaTheme="minorEastAsia" w:hAnsi="Times New Roman"/>
          <w:color w:val="000000"/>
          <w:sz w:val="24"/>
          <w:szCs w:val="24"/>
          <w:lang w:eastAsia="fr-FR"/>
        </w:rPr>
      </w:pPr>
      <w:r w:rsidRPr="00C841CE">
        <w:rPr>
          <w:rFonts w:ascii="Times New Roman" w:eastAsiaTheme="minorEastAsia" w:hAnsi="Times New Roman"/>
          <w:color w:val="000000"/>
          <w:sz w:val="24"/>
          <w:szCs w:val="24"/>
          <w:lang w:eastAsia="fr-FR"/>
        </w:rPr>
        <w:t>Bajorek BV, Ogle SJ, Duguid MJ, Shenfield GM, Krass I. Management of warfarin in atrial fibrillation: evaluation of an educational intervention. Am J Geriatr Pharmacother. 2007;5(1):22-30. doi:10.1016/j.amjopharm.2007.03.002</w:t>
      </w:r>
    </w:p>
    <w:p w14:paraId="450D7B86" w14:textId="77777777" w:rsidR="00B612C5" w:rsidRDefault="00C841CE" w:rsidP="00C841CE">
      <w:pPr>
        <w:numPr>
          <w:ilvl w:val="0"/>
          <w:numId w:val="44"/>
        </w:numPr>
        <w:spacing w:before="100" w:beforeAutospacing="1" w:after="100" w:afterAutospacing="1"/>
        <w:divId w:val="1672754359"/>
        <w:rPr>
          <w:rFonts w:ascii="Times New Roman" w:eastAsiaTheme="minorEastAsia" w:hAnsi="Times New Roman"/>
          <w:color w:val="000000"/>
          <w:sz w:val="24"/>
          <w:szCs w:val="24"/>
          <w:lang w:eastAsia="fr-FR"/>
        </w:rPr>
      </w:pPr>
      <w:r w:rsidRPr="00C841CE">
        <w:rPr>
          <w:rFonts w:ascii="Times New Roman" w:eastAsiaTheme="minorEastAsia" w:hAnsi="Times New Roman"/>
          <w:color w:val="000000"/>
          <w:sz w:val="24"/>
          <w:szCs w:val="24"/>
          <w:lang w:eastAsia="fr-FR"/>
        </w:rPr>
        <w:t>Wittkowsky AK, Nutescu EA, Blackburn J, Mullins J, Hardman J, Mitchell J, et al. Outcomes of oral anticoagulant therapy managed by telephone vs in-office visits in an anticoagulation clinic setting. Chest. 2006;130(5):1385-1389. doi:10.1378/chest.130.5.1385</w:t>
      </w:r>
    </w:p>
    <w:p w14:paraId="4C9E68A8" w14:textId="77777777" w:rsidR="00B612C5" w:rsidRDefault="00B612C5" w:rsidP="00B612C5">
      <w:pPr>
        <w:spacing w:before="100" w:beforeAutospacing="1" w:after="100" w:afterAutospacing="1"/>
        <w:ind w:left="720"/>
        <w:divId w:val="1672754359"/>
        <w:rPr>
          <w:rFonts w:ascii="Times New Roman" w:eastAsiaTheme="minorEastAsia" w:hAnsi="Times New Roman"/>
          <w:color w:val="000000"/>
          <w:sz w:val="24"/>
          <w:szCs w:val="24"/>
          <w:lang w:eastAsia="fr-FR"/>
        </w:rPr>
      </w:pPr>
    </w:p>
    <w:p w14:paraId="45876C4A" w14:textId="103A925F" w:rsidR="00C841CE" w:rsidRPr="00C841CE" w:rsidRDefault="00C841CE" w:rsidP="00B612C5">
      <w:pPr>
        <w:spacing w:before="100" w:beforeAutospacing="1" w:after="100" w:afterAutospacing="1"/>
        <w:ind w:left="720"/>
        <w:divId w:val="1672754359"/>
        <w:rPr>
          <w:rFonts w:ascii="Times New Roman" w:eastAsiaTheme="minorEastAsia" w:hAnsi="Times New Roman"/>
          <w:color w:val="000000"/>
          <w:sz w:val="24"/>
          <w:szCs w:val="24"/>
          <w:lang w:eastAsia="fr-FR"/>
        </w:rPr>
      </w:pPr>
    </w:p>
    <w:p w14:paraId="4D742A21" w14:textId="77777777" w:rsidR="00C841CE" w:rsidRPr="00011BBD" w:rsidRDefault="00C841CE">
      <w:pPr>
        <w:rPr>
          <w:sz w:val="24"/>
          <w:szCs w:val="24"/>
        </w:rPr>
      </w:pPr>
    </w:p>
    <w:sectPr w:rsidR="00C841CE" w:rsidRPr="00011BBD" w:rsidSect="0056438D">
      <w:headerReference w:type="even" r:id="rId8"/>
      <w:headerReference w:type="default" r:id="rId9"/>
      <w:headerReference w:type="first" r:id="rId1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5B73B" w14:textId="77777777" w:rsidR="007F0997" w:rsidRDefault="007F0997" w:rsidP="00C37E61">
      <w:r>
        <w:separator/>
      </w:r>
    </w:p>
  </w:endnote>
  <w:endnote w:type="continuationSeparator" w:id="0">
    <w:p w14:paraId="69CAFB61" w14:textId="77777777" w:rsidR="007F0997" w:rsidRDefault="007F099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aavi">
    <w:altName w:val="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A8000" w14:textId="77777777" w:rsidR="007F0997" w:rsidRDefault="007F0997" w:rsidP="00C37E61">
      <w:r>
        <w:separator/>
      </w:r>
    </w:p>
  </w:footnote>
  <w:footnote w:type="continuationSeparator" w:id="0">
    <w:p w14:paraId="73F28617" w14:textId="77777777" w:rsidR="007F0997" w:rsidRDefault="007F099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9AA84" w14:textId="07F3DFD7" w:rsidR="0056438D" w:rsidRDefault="00186909">
    <w:pPr>
      <w:pStyle w:val="Header"/>
    </w:pPr>
    <w:r>
      <w:rPr>
        <w:noProof/>
      </w:rPr>
      <w:pict w14:anchorId="063DB2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326235" o:spid="_x0000_s2051" type="#_x0000_t136" alt="" style="position:absolute;margin-left:0;margin-top:0;width:424.85pt;height:47.15pt;rotation:315;z-index:-2516597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6E487" w14:textId="43FB93DC" w:rsidR="0056438D" w:rsidRDefault="00186909">
    <w:pPr>
      <w:pStyle w:val="Header"/>
    </w:pPr>
    <w:r>
      <w:rPr>
        <w:noProof/>
      </w:rPr>
      <w:pict w14:anchorId="6A651C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326236" o:spid="_x0000_s2050" type="#_x0000_t136" alt="" style="position:absolute;margin-left:0;margin-top:0;width:424.85pt;height:47.1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7BAA9" w14:textId="0D423D0E" w:rsidR="0056438D" w:rsidRDefault="00186909">
    <w:pPr>
      <w:pStyle w:val="Header"/>
    </w:pPr>
    <w:r>
      <w:rPr>
        <w:noProof/>
      </w:rPr>
      <w:pict w14:anchorId="502743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326234" o:spid="_x0000_s2049" type="#_x0000_t136" alt="" style="position:absolute;margin-left:0;margin-top:0;width:424.85pt;height:47.15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6726FB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AD3933"/>
    <w:multiLevelType w:val="multilevel"/>
    <w:tmpl w:val="FFFFFFFF"/>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CC62945"/>
    <w:multiLevelType w:val="hybridMultilevel"/>
    <w:tmpl w:val="14600796"/>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7387BF5"/>
    <w:multiLevelType w:val="multilevel"/>
    <w:tmpl w:val="FFFFFFFF"/>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D62BF"/>
    <w:multiLevelType w:val="multilevel"/>
    <w:tmpl w:val="FFFFFFFF"/>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C484568"/>
    <w:multiLevelType w:val="multilevel"/>
    <w:tmpl w:val="EB9C7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6C3F50"/>
    <w:multiLevelType w:val="multilevel"/>
    <w:tmpl w:val="43743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9230DF"/>
    <w:multiLevelType w:val="multilevel"/>
    <w:tmpl w:val="FFFFFFFF"/>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4BF65022"/>
    <w:multiLevelType w:val="multilevel"/>
    <w:tmpl w:val="FFFFFFFF"/>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BE05F8"/>
    <w:multiLevelType w:val="multilevel"/>
    <w:tmpl w:val="FFFFFFFF"/>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EB4614"/>
    <w:multiLevelType w:val="multilevel"/>
    <w:tmpl w:val="FFFFFFFF"/>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69C3A42"/>
    <w:multiLevelType w:val="multilevel"/>
    <w:tmpl w:val="FFFFFFFF"/>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6" w15:restartNumberingAfterBreak="0">
    <w:nsid w:val="76A724C7"/>
    <w:multiLevelType w:val="multilevel"/>
    <w:tmpl w:val="FFFFFFFF"/>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2339BA"/>
    <w:multiLevelType w:val="multilevel"/>
    <w:tmpl w:val="FFFFFFFF"/>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9"/>
  </w:num>
  <w:num w:numId="7">
    <w:abstractNumId w:val="1"/>
  </w:num>
  <w:num w:numId="8">
    <w:abstractNumId w:val="16"/>
  </w:num>
  <w:num w:numId="9">
    <w:abstractNumId w:val="39"/>
  </w:num>
  <w:num w:numId="10">
    <w:abstractNumId w:val="2"/>
  </w:num>
  <w:num w:numId="11">
    <w:abstractNumId w:val="30"/>
  </w:num>
  <w:num w:numId="12">
    <w:abstractNumId w:val="5"/>
  </w:num>
  <w:num w:numId="13">
    <w:abstractNumId w:val="28"/>
  </w:num>
  <w:num w:numId="14">
    <w:abstractNumId w:val="12"/>
  </w:num>
  <w:num w:numId="15">
    <w:abstractNumId w:val="33"/>
  </w:num>
  <w:num w:numId="16">
    <w:abstractNumId w:val="7"/>
  </w:num>
  <w:num w:numId="17">
    <w:abstractNumId w:val="34"/>
  </w:num>
  <w:num w:numId="18">
    <w:abstractNumId w:val="19"/>
  </w:num>
  <w:num w:numId="19">
    <w:abstractNumId w:val="42"/>
  </w:num>
  <w:num w:numId="20">
    <w:abstractNumId w:val="15"/>
  </w:num>
  <w:num w:numId="21">
    <w:abstractNumId w:val="13"/>
  </w:num>
  <w:num w:numId="22">
    <w:abstractNumId w:val="17"/>
  </w:num>
  <w:num w:numId="23">
    <w:abstractNumId w:val="31"/>
  </w:num>
  <w:num w:numId="24">
    <w:abstractNumId w:val="40"/>
  </w:num>
  <w:num w:numId="25">
    <w:abstractNumId w:val="6"/>
  </w:num>
  <w:num w:numId="26">
    <w:abstractNumId w:val="25"/>
  </w:num>
  <w:num w:numId="27">
    <w:abstractNumId w:val="32"/>
  </w:num>
  <w:num w:numId="28">
    <w:abstractNumId w:val="41"/>
  </w:num>
  <w:num w:numId="29">
    <w:abstractNumId w:val="37"/>
  </w:num>
  <w:num w:numId="30">
    <w:abstractNumId w:val="14"/>
  </w:num>
  <w:num w:numId="31">
    <w:abstractNumId w:val="20"/>
  </w:num>
  <w:num w:numId="32">
    <w:abstractNumId w:val="8"/>
  </w:num>
  <w:num w:numId="33">
    <w:abstractNumId w:val="21"/>
  </w:num>
  <w:num w:numId="34">
    <w:abstractNumId w:val="3"/>
  </w:num>
  <w:num w:numId="35">
    <w:abstractNumId w:val="26"/>
  </w:num>
  <w:num w:numId="36">
    <w:abstractNumId w:val="27"/>
  </w:num>
  <w:num w:numId="37">
    <w:abstractNumId w:val="4"/>
  </w:num>
  <w:num w:numId="38">
    <w:abstractNumId w:val="18"/>
  </w:num>
  <w:num w:numId="39">
    <w:abstractNumId w:val="29"/>
  </w:num>
  <w:num w:numId="40">
    <w:abstractNumId w:val="24"/>
  </w:num>
  <w:num w:numId="41">
    <w:abstractNumId w:val="22"/>
  </w:num>
  <w:num w:numId="42">
    <w:abstractNumId w:val="10"/>
  </w:num>
  <w:num w:numId="43">
    <w:abstractNumId w:val="36"/>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zNzA2MDY1sbQ0MzRV0lEKTi0uzszPAykwrAUAbmHWxiwAAAA="/>
  </w:docVars>
  <w:rsids>
    <w:rsidRoot w:val="00AA6219"/>
    <w:rsid w:val="00000F8F"/>
    <w:rsid w:val="00011BBD"/>
    <w:rsid w:val="00024F92"/>
    <w:rsid w:val="00030174"/>
    <w:rsid w:val="00036EBF"/>
    <w:rsid w:val="0004579C"/>
    <w:rsid w:val="00080055"/>
    <w:rsid w:val="00085797"/>
    <w:rsid w:val="000872C5"/>
    <w:rsid w:val="000925C1"/>
    <w:rsid w:val="000A47FA"/>
    <w:rsid w:val="000A65D3"/>
    <w:rsid w:val="000B1E33"/>
    <w:rsid w:val="000D689F"/>
    <w:rsid w:val="000E7B7B"/>
    <w:rsid w:val="000E7D62"/>
    <w:rsid w:val="00103357"/>
    <w:rsid w:val="00123C9F"/>
    <w:rsid w:val="00126190"/>
    <w:rsid w:val="00130F17"/>
    <w:rsid w:val="001320BF"/>
    <w:rsid w:val="001406F6"/>
    <w:rsid w:val="001564BB"/>
    <w:rsid w:val="00163BC4"/>
    <w:rsid w:val="0016668B"/>
    <w:rsid w:val="001756E5"/>
    <w:rsid w:val="00186909"/>
    <w:rsid w:val="00191062"/>
    <w:rsid w:val="00192B72"/>
    <w:rsid w:val="001A29D8"/>
    <w:rsid w:val="001A4838"/>
    <w:rsid w:val="001A5CAA"/>
    <w:rsid w:val="001B0427"/>
    <w:rsid w:val="001D02BC"/>
    <w:rsid w:val="001D390A"/>
    <w:rsid w:val="001D3A51"/>
    <w:rsid w:val="001D5593"/>
    <w:rsid w:val="001E10D2"/>
    <w:rsid w:val="001E25B4"/>
    <w:rsid w:val="001E44FE"/>
    <w:rsid w:val="001E6DDA"/>
    <w:rsid w:val="001F65AF"/>
    <w:rsid w:val="00200595"/>
    <w:rsid w:val="00204835"/>
    <w:rsid w:val="0020600C"/>
    <w:rsid w:val="002273F0"/>
    <w:rsid w:val="00231920"/>
    <w:rsid w:val="0023195C"/>
    <w:rsid w:val="0024282C"/>
    <w:rsid w:val="002460DC"/>
    <w:rsid w:val="00250985"/>
    <w:rsid w:val="002556F6"/>
    <w:rsid w:val="00283105"/>
    <w:rsid w:val="00284C4C"/>
    <w:rsid w:val="00287E68"/>
    <w:rsid w:val="0029514B"/>
    <w:rsid w:val="00296529"/>
    <w:rsid w:val="002B27FB"/>
    <w:rsid w:val="002B685A"/>
    <w:rsid w:val="002C57D2"/>
    <w:rsid w:val="002E0D56"/>
    <w:rsid w:val="002E46D7"/>
    <w:rsid w:val="002E7ACA"/>
    <w:rsid w:val="00300A73"/>
    <w:rsid w:val="00315186"/>
    <w:rsid w:val="0033343E"/>
    <w:rsid w:val="00344EBB"/>
    <w:rsid w:val="003512C2"/>
    <w:rsid w:val="00367556"/>
    <w:rsid w:val="00371FB6"/>
    <w:rsid w:val="003763C1"/>
    <w:rsid w:val="00376BBE"/>
    <w:rsid w:val="00391459"/>
    <w:rsid w:val="0039224F"/>
    <w:rsid w:val="00392E7E"/>
    <w:rsid w:val="003A43A4"/>
    <w:rsid w:val="003A7E18"/>
    <w:rsid w:val="003C4C86"/>
    <w:rsid w:val="003C6258"/>
    <w:rsid w:val="003C7CD6"/>
    <w:rsid w:val="003E2904"/>
    <w:rsid w:val="0040057A"/>
    <w:rsid w:val="00401927"/>
    <w:rsid w:val="0041027F"/>
    <w:rsid w:val="00412475"/>
    <w:rsid w:val="00423789"/>
    <w:rsid w:val="0042437F"/>
    <w:rsid w:val="0042704C"/>
    <w:rsid w:val="004364C7"/>
    <w:rsid w:val="00440F43"/>
    <w:rsid w:val="00441B6F"/>
    <w:rsid w:val="00446221"/>
    <w:rsid w:val="00450E62"/>
    <w:rsid w:val="004539DB"/>
    <w:rsid w:val="00461867"/>
    <w:rsid w:val="004629E9"/>
    <w:rsid w:val="004708BC"/>
    <w:rsid w:val="00471A80"/>
    <w:rsid w:val="00496437"/>
    <w:rsid w:val="004D13B7"/>
    <w:rsid w:val="004D305E"/>
    <w:rsid w:val="004D4277"/>
    <w:rsid w:val="004E7AA4"/>
    <w:rsid w:val="004F3A2F"/>
    <w:rsid w:val="00502516"/>
    <w:rsid w:val="00505F06"/>
    <w:rsid w:val="00506828"/>
    <w:rsid w:val="0053056E"/>
    <w:rsid w:val="00543B1D"/>
    <w:rsid w:val="00550482"/>
    <w:rsid w:val="00554FDA"/>
    <w:rsid w:val="0056438D"/>
    <w:rsid w:val="00585DFE"/>
    <w:rsid w:val="0059280E"/>
    <w:rsid w:val="005A268C"/>
    <w:rsid w:val="005C784C"/>
    <w:rsid w:val="005D17F6"/>
    <w:rsid w:val="005E5539"/>
    <w:rsid w:val="00602BF5"/>
    <w:rsid w:val="006062A5"/>
    <w:rsid w:val="00617FDD"/>
    <w:rsid w:val="00627454"/>
    <w:rsid w:val="00633614"/>
    <w:rsid w:val="00633C72"/>
    <w:rsid w:val="00633F68"/>
    <w:rsid w:val="00636B7E"/>
    <w:rsid w:val="00636EB2"/>
    <w:rsid w:val="006375B8"/>
    <w:rsid w:val="006515A4"/>
    <w:rsid w:val="0066510A"/>
    <w:rsid w:val="00673F9F"/>
    <w:rsid w:val="00686953"/>
    <w:rsid w:val="00687DEA"/>
    <w:rsid w:val="00687E67"/>
    <w:rsid w:val="00692B2C"/>
    <w:rsid w:val="006967F7"/>
    <w:rsid w:val="006A250C"/>
    <w:rsid w:val="006B21D3"/>
    <w:rsid w:val="006B57D0"/>
    <w:rsid w:val="006D30FF"/>
    <w:rsid w:val="006D6940"/>
    <w:rsid w:val="006F0400"/>
    <w:rsid w:val="006F11EC"/>
    <w:rsid w:val="006F2901"/>
    <w:rsid w:val="0070082C"/>
    <w:rsid w:val="007369E6"/>
    <w:rsid w:val="00746E59"/>
    <w:rsid w:val="00754C9A"/>
    <w:rsid w:val="0075599A"/>
    <w:rsid w:val="00761D52"/>
    <w:rsid w:val="00773D26"/>
    <w:rsid w:val="0077749E"/>
    <w:rsid w:val="00790ADA"/>
    <w:rsid w:val="0079605E"/>
    <w:rsid w:val="007D2288"/>
    <w:rsid w:val="007E088F"/>
    <w:rsid w:val="007F0997"/>
    <w:rsid w:val="007F7B32"/>
    <w:rsid w:val="00804BC2"/>
    <w:rsid w:val="008111B0"/>
    <w:rsid w:val="0081431A"/>
    <w:rsid w:val="0083216F"/>
    <w:rsid w:val="00860000"/>
    <w:rsid w:val="00862424"/>
    <w:rsid w:val="00863BD3"/>
    <w:rsid w:val="008641ED"/>
    <w:rsid w:val="00866D66"/>
    <w:rsid w:val="008671C6"/>
    <w:rsid w:val="00875803"/>
    <w:rsid w:val="008B459E"/>
    <w:rsid w:val="008E11D2"/>
    <w:rsid w:val="008E13AE"/>
    <w:rsid w:val="008E1506"/>
    <w:rsid w:val="008E710C"/>
    <w:rsid w:val="008F69D6"/>
    <w:rsid w:val="00902823"/>
    <w:rsid w:val="00915CA6"/>
    <w:rsid w:val="009274BC"/>
    <w:rsid w:val="00927834"/>
    <w:rsid w:val="009500A6"/>
    <w:rsid w:val="00957C18"/>
    <w:rsid w:val="009659BA"/>
    <w:rsid w:val="009737C5"/>
    <w:rsid w:val="00983040"/>
    <w:rsid w:val="009B2763"/>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015D"/>
    <w:rsid w:val="00A61DF9"/>
    <w:rsid w:val="00A658E0"/>
    <w:rsid w:val="00A70FD8"/>
    <w:rsid w:val="00A721D0"/>
    <w:rsid w:val="00A94063"/>
    <w:rsid w:val="00AA6219"/>
    <w:rsid w:val="00AA74E0"/>
    <w:rsid w:val="00AB703F"/>
    <w:rsid w:val="00AC6BB8"/>
    <w:rsid w:val="00AD6F52"/>
    <w:rsid w:val="00AE008F"/>
    <w:rsid w:val="00B01FCD"/>
    <w:rsid w:val="00B1776C"/>
    <w:rsid w:val="00B30CCE"/>
    <w:rsid w:val="00B35C95"/>
    <w:rsid w:val="00B37F60"/>
    <w:rsid w:val="00B51AF4"/>
    <w:rsid w:val="00B52583"/>
    <w:rsid w:val="00B52896"/>
    <w:rsid w:val="00B612C5"/>
    <w:rsid w:val="00B72FAB"/>
    <w:rsid w:val="00B95236"/>
    <w:rsid w:val="00B96BD9"/>
    <w:rsid w:val="00BA1B01"/>
    <w:rsid w:val="00BA2641"/>
    <w:rsid w:val="00BB37AA"/>
    <w:rsid w:val="00BC53A0"/>
    <w:rsid w:val="00BC7F54"/>
    <w:rsid w:val="00BE62AD"/>
    <w:rsid w:val="00BF121F"/>
    <w:rsid w:val="00BF1F80"/>
    <w:rsid w:val="00BF2EB9"/>
    <w:rsid w:val="00C0617F"/>
    <w:rsid w:val="00C166EF"/>
    <w:rsid w:val="00C17EB0"/>
    <w:rsid w:val="00C21DA7"/>
    <w:rsid w:val="00C24F88"/>
    <w:rsid w:val="00C27F5F"/>
    <w:rsid w:val="00C30A0F"/>
    <w:rsid w:val="00C34B79"/>
    <w:rsid w:val="00C37E61"/>
    <w:rsid w:val="00C70F1B"/>
    <w:rsid w:val="00C71A47"/>
    <w:rsid w:val="00C745E8"/>
    <w:rsid w:val="00C7464C"/>
    <w:rsid w:val="00C80250"/>
    <w:rsid w:val="00C841CE"/>
    <w:rsid w:val="00C85588"/>
    <w:rsid w:val="00CD2846"/>
    <w:rsid w:val="00CD6755"/>
    <w:rsid w:val="00CD6856"/>
    <w:rsid w:val="00CE0089"/>
    <w:rsid w:val="00CE793C"/>
    <w:rsid w:val="00CF029A"/>
    <w:rsid w:val="00CF193C"/>
    <w:rsid w:val="00CF40A7"/>
    <w:rsid w:val="00D029BE"/>
    <w:rsid w:val="00D11EBB"/>
    <w:rsid w:val="00D173F1"/>
    <w:rsid w:val="00D25CAC"/>
    <w:rsid w:val="00D30F13"/>
    <w:rsid w:val="00D346BC"/>
    <w:rsid w:val="00D46A61"/>
    <w:rsid w:val="00D50A80"/>
    <w:rsid w:val="00D723B2"/>
    <w:rsid w:val="00D74CB0"/>
    <w:rsid w:val="00D8295D"/>
    <w:rsid w:val="00DC2A65"/>
    <w:rsid w:val="00DD7026"/>
    <w:rsid w:val="00DE12B4"/>
    <w:rsid w:val="00DE15F0"/>
    <w:rsid w:val="00DE5663"/>
    <w:rsid w:val="00DE78AA"/>
    <w:rsid w:val="00E026DC"/>
    <w:rsid w:val="00E053D0"/>
    <w:rsid w:val="00E15994"/>
    <w:rsid w:val="00E16A67"/>
    <w:rsid w:val="00E3114E"/>
    <w:rsid w:val="00E31A70"/>
    <w:rsid w:val="00E32CE0"/>
    <w:rsid w:val="00E33822"/>
    <w:rsid w:val="00E35B02"/>
    <w:rsid w:val="00E66496"/>
    <w:rsid w:val="00E66B35"/>
    <w:rsid w:val="00E66E10"/>
    <w:rsid w:val="00E705E1"/>
    <w:rsid w:val="00E73C33"/>
    <w:rsid w:val="00E7654E"/>
    <w:rsid w:val="00E769F6"/>
    <w:rsid w:val="00E8407C"/>
    <w:rsid w:val="00E84F3C"/>
    <w:rsid w:val="00EA012C"/>
    <w:rsid w:val="00EC6A55"/>
    <w:rsid w:val="00ED0288"/>
    <w:rsid w:val="00ED04EE"/>
    <w:rsid w:val="00EE3845"/>
    <w:rsid w:val="00EE52CB"/>
    <w:rsid w:val="00EF581D"/>
    <w:rsid w:val="00EF7FD8"/>
    <w:rsid w:val="00F06F59"/>
    <w:rsid w:val="00F16908"/>
    <w:rsid w:val="00F17988"/>
    <w:rsid w:val="00F41AF4"/>
    <w:rsid w:val="00F469F0"/>
    <w:rsid w:val="00F46AC0"/>
    <w:rsid w:val="00F53273"/>
    <w:rsid w:val="00F716EE"/>
    <w:rsid w:val="00F755E4"/>
    <w:rsid w:val="00F77D02"/>
    <w:rsid w:val="00FB3A86"/>
    <w:rsid w:val="00FD36C8"/>
    <w:rsid w:val="00FD383E"/>
    <w:rsid w:val="00FD4BE2"/>
    <w:rsid w:val="00FE2402"/>
    <w:rsid w:val="00FE58E8"/>
    <w:rsid w:val="00FF3CC3"/>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E6C218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C841C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1564B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1564BB"/>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semiHidden/>
    <w:unhideWhenUsed/>
    <w:rsid w:val="004708BC"/>
    <w:rPr>
      <w:rFonts w:ascii="Helvetica" w:hAnsi="Helvetica"/>
      <w:b/>
      <w:bCs/>
      <w:lang w:val="en-US" w:eastAsia="en-US"/>
    </w:rPr>
  </w:style>
  <w:style w:type="character" w:customStyle="1" w:styleId="CommentSubjectChar">
    <w:name w:val="Comment Subject Char"/>
    <w:basedOn w:val="CommentTextChar"/>
    <w:link w:val="CommentSubject"/>
    <w:semiHidden/>
    <w:rsid w:val="004708BC"/>
    <w:rPr>
      <w:rFonts w:ascii="Helvetica" w:hAnsi="Helvetica"/>
      <w:b/>
      <w:bCs/>
      <w:lang w:val="nb-NO" w:eastAsia="nb-NO"/>
    </w:rPr>
  </w:style>
  <w:style w:type="paragraph" w:styleId="NormalWeb">
    <w:name w:val="Normal (Web)"/>
    <w:basedOn w:val="Normal"/>
    <w:uiPriority w:val="99"/>
    <w:semiHidden/>
    <w:unhideWhenUsed/>
    <w:rsid w:val="006F2901"/>
    <w:pPr>
      <w:spacing w:before="100" w:beforeAutospacing="1" w:after="100" w:afterAutospacing="1"/>
    </w:pPr>
    <w:rPr>
      <w:rFonts w:ascii="Times New Roman" w:hAnsi="Times New Roman"/>
      <w:sz w:val="24"/>
      <w:szCs w:val="24"/>
      <w:lang w:val="fr-SN" w:eastAsia="fr-FR"/>
    </w:rPr>
  </w:style>
  <w:style w:type="character" w:customStyle="1" w:styleId="apple-converted-space">
    <w:name w:val="apple-converted-space"/>
    <w:basedOn w:val="DefaultParagraphFont"/>
    <w:rsid w:val="006F2901"/>
  </w:style>
  <w:style w:type="character" w:styleId="Strong">
    <w:name w:val="Strong"/>
    <w:basedOn w:val="DefaultParagraphFont"/>
    <w:uiPriority w:val="22"/>
    <w:qFormat/>
    <w:rsid w:val="00DE12B4"/>
    <w:rPr>
      <w:b/>
      <w:bCs/>
    </w:rPr>
  </w:style>
  <w:style w:type="character" w:customStyle="1" w:styleId="relative">
    <w:name w:val="relative"/>
    <w:basedOn w:val="DefaultParagraphFont"/>
    <w:rsid w:val="00DE12B4"/>
  </w:style>
  <w:style w:type="paragraph" w:customStyle="1" w:styleId="not-prose">
    <w:name w:val="not-prose"/>
    <w:basedOn w:val="Normal"/>
    <w:rsid w:val="00DE12B4"/>
    <w:pPr>
      <w:spacing w:before="100" w:beforeAutospacing="1" w:after="100" w:afterAutospacing="1"/>
    </w:pPr>
    <w:rPr>
      <w:rFonts w:ascii="Times New Roman" w:hAnsi="Times New Roman"/>
      <w:sz w:val="24"/>
      <w:szCs w:val="24"/>
      <w:lang w:val="fr-SN" w:eastAsia="fr-FR"/>
    </w:rPr>
  </w:style>
  <w:style w:type="character" w:customStyle="1" w:styleId="Heading2Char">
    <w:name w:val="Heading 2 Char"/>
    <w:basedOn w:val="DefaultParagraphFont"/>
    <w:link w:val="Heading2"/>
    <w:uiPriority w:val="9"/>
    <w:semiHidden/>
    <w:rsid w:val="00C841CE"/>
    <w:rPr>
      <w:rFonts w:asciiTheme="majorHAnsi" w:eastAsiaTheme="majorEastAsia" w:hAnsiTheme="majorHAnsi" w:cstheme="majorBidi"/>
      <w:color w:val="365F91" w:themeColor="accent1" w:themeShade="BF"/>
      <w:sz w:val="32"/>
      <w:szCs w:val="32"/>
    </w:rPr>
  </w:style>
  <w:style w:type="character" w:customStyle="1" w:styleId="Heading1Char">
    <w:name w:val="Heading 1 Char"/>
    <w:basedOn w:val="DefaultParagraphFont"/>
    <w:link w:val="Heading1"/>
    <w:uiPriority w:val="9"/>
    <w:rsid w:val="00C841CE"/>
    <w:rPr>
      <w:rFonts w:ascii="Arial" w:hAnsi="Arial"/>
      <w:b/>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44298907">
      <w:bodyDiv w:val="1"/>
      <w:marLeft w:val="0"/>
      <w:marRight w:val="0"/>
      <w:marTop w:val="0"/>
      <w:marBottom w:val="0"/>
      <w:divBdr>
        <w:top w:val="none" w:sz="0" w:space="0" w:color="auto"/>
        <w:left w:val="none" w:sz="0" w:space="0" w:color="auto"/>
        <w:bottom w:val="none" w:sz="0" w:space="0" w:color="auto"/>
        <w:right w:val="none" w:sz="0" w:space="0" w:color="auto"/>
      </w:divBdr>
    </w:div>
    <w:div w:id="167275435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E08D4-89C7-4AE5-9F5C-E9438464F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TotalTime>
  <Pages>10</Pages>
  <Words>4197</Words>
  <Characters>26840</Characters>
  <Application>Microsoft Office Word</Application>
  <DocSecurity>0</DocSecurity>
  <Lines>223</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30976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4</cp:revision>
  <cp:lastPrinted>1999-07-06T11:00:00Z</cp:lastPrinted>
  <dcterms:created xsi:type="dcterms:W3CDTF">2025-09-18T10:12:00Z</dcterms:created>
  <dcterms:modified xsi:type="dcterms:W3CDTF">2025-09-18T12:00:00Z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6cf6339f-c824-471c-ac6c-710e7f9702e6</vt:lpwstr>
  </property>
</Properties>
</file>