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E06F1F" w14:textId="77777777" w:rsidR="00754C9A" w:rsidRDefault="00754C9A" w:rsidP="00441B6F">
      <w:pPr>
        <w:pStyle w:val="Title"/>
        <w:spacing w:after="0"/>
        <w:jc w:val="both"/>
        <w:rPr>
          <w:rFonts w:ascii="Arial" w:hAnsi="Arial" w:cs="Arial"/>
        </w:rPr>
      </w:pPr>
    </w:p>
    <w:p w14:paraId="6C13EAE6" w14:textId="16E18224" w:rsidR="00A258C3" w:rsidRDefault="00232F91" w:rsidP="00441B6F">
      <w:pPr>
        <w:pStyle w:val="Author"/>
        <w:spacing w:line="240" w:lineRule="auto"/>
        <w:jc w:val="both"/>
        <w:rPr>
          <w:rFonts w:ascii="Arial" w:hAnsi="Arial" w:cs="Arial"/>
          <w:sz w:val="36"/>
        </w:rPr>
      </w:pPr>
      <w:r w:rsidRPr="00232F91">
        <w:rPr>
          <w:rFonts w:ascii="Arial" w:hAnsi="Arial" w:cs="Arial"/>
          <w:sz w:val="36"/>
        </w:rPr>
        <w:t>Consumer Preferences for</w:t>
      </w:r>
      <w:r w:rsidR="00FF61F1">
        <w:rPr>
          <w:rFonts w:ascii="Arial" w:hAnsi="Arial" w:cs="Arial"/>
          <w:sz w:val="36"/>
        </w:rPr>
        <w:t xml:space="preserve"> Urban Farming Kits </w:t>
      </w:r>
      <w:r w:rsidR="004A0CB1">
        <w:rPr>
          <w:rFonts w:ascii="Arial" w:hAnsi="Arial" w:cs="Arial"/>
          <w:sz w:val="36"/>
        </w:rPr>
        <w:t>across Residential categories</w:t>
      </w:r>
      <w:r w:rsidR="00FF61F1">
        <w:rPr>
          <w:rFonts w:ascii="Arial" w:hAnsi="Arial" w:cs="Arial"/>
          <w:sz w:val="36"/>
        </w:rPr>
        <w:t xml:space="preserve">: Evidence from </w:t>
      </w:r>
      <w:r w:rsidR="004A0CB1">
        <w:rPr>
          <w:rFonts w:ascii="Arial" w:hAnsi="Arial" w:cs="Arial"/>
          <w:sz w:val="36"/>
        </w:rPr>
        <w:t>Hyderabad</w:t>
      </w:r>
    </w:p>
    <w:p w14:paraId="230CB5E3" w14:textId="77777777" w:rsidR="00CC33D5" w:rsidRPr="00790ADA" w:rsidRDefault="00CC33D5" w:rsidP="00441B6F">
      <w:pPr>
        <w:pStyle w:val="Author"/>
        <w:spacing w:line="240" w:lineRule="auto"/>
        <w:jc w:val="both"/>
        <w:rPr>
          <w:rFonts w:ascii="Arial" w:hAnsi="Arial" w:cs="Arial"/>
          <w:sz w:val="36"/>
        </w:rPr>
      </w:pPr>
    </w:p>
    <w:p w14:paraId="656F6022" w14:textId="77777777" w:rsidR="002C57D2" w:rsidRPr="00FB3A86" w:rsidRDefault="002C57D2" w:rsidP="00441B6F">
      <w:pPr>
        <w:pStyle w:val="Affiliation"/>
        <w:spacing w:after="0" w:line="240" w:lineRule="auto"/>
        <w:jc w:val="both"/>
        <w:rPr>
          <w:rFonts w:ascii="Arial" w:hAnsi="Arial" w:cs="Arial"/>
        </w:rPr>
      </w:pPr>
    </w:p>
    <w:p w14:paraId="7CC7EC7D" w14:textId="77777777" w:rsidR="00B01FCD" w:rsidRPr="00FB3A86" w:rsidRDefault="0099063D" w:rsidP="00441B6F">
      <w:pPr>
        <w:pStyle w:val="Copyright"/>
        <w:spacing w:after="0" w:line="240" w:lineRule="auto"/>
        <w:jc w:val="both"/>
        <w:rPr>
          <w:rFonts w:ascii="Arial" w:hAnsi="Arial" w:cs="Arial"/>
        </w:rPr>
        <w:sectPr w:rsidR="00B01FCD" w:rsidRPr="00FB3A86" w:rsidSect="00BA7084">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EA099A5">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CC86615" w14:textId="4244F08E" w:rsidR="00B01FCD" w:rsidRDefault="00CC33D5" w:rsidP="00441B6F">
      <w:pPr>
        <w:pStyle w:val="AbstHead"/>
        <w:spacing w:after="0"/>
        <w:jc w:val="both"/>
        <w:rPr>
          <w:rFonts w:ascii="Arial" w:hAnsi="Arial" w:cs="Arial"/>
        </w:rPr>
      </w:pPr>
      <w:r>
        <w:rPr>
          <w:rFonts w:ascii="Arial" w:hAnsi="Arial" w:cs="Arial"/>
        </w:rPr>
        <w:t>Abstract</w:t>
      </w:r>
    </w:p>
    <w:p w14:paraId="4F00F20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E9F926C" w14:textId="77777777" w:rsidTr="001E44FE">
        <w:tc>
          <w:tcPr>
            <w:tcW w:w="9576" w:type="dxa"/>
            <w:shd w:val="clear" w:color="auto" w:fill="F2F2F2"/>
          </w:tcPr>
          <w:p w14:paraId="72527599" w14:textId="77777777" w:rsidR="00E3114E" w:rsidRDefault="00E3114E" w:rsidP="00441B6F">
            <w:pPr>
              <w:pStyle w:val="Body"/>
              <w:spacing w:after="0"/>
              <w:rPr>
                <w:rFonts w:ascii="Arial" w:eastAsia="Calibri" w:hAnsi="Arial" w:cs="Arial"/>
                <w:b/>
                <w:szCs w:val="22"/>
              </w:rPr>
            </w:pPr>
          </w:p>
          <w:p w14:paraId="6076541C" w14:textId="77777777" w:rsidR="00F23ACB" w:rsidRPr="007907E7" w:rsidRDefault="00BA1B01" w:rsidP="00441B6F">
            <w:pPr>
              <w:pStyle w:val="Body"/>
              <w:spacing w:after="0"/>
              <w:rPr>
                <w:rFonts w:ascii="Arial" w:eastAsia="Calibri" w:hAnsi="Arial" w:cs="Arial"/>
                <w:b/>
                <w:szCs w:val="22"/>
              </w:rPr>
            </w:pPr>
            <w:r w:rsidRPr="007907E7">
              <w:rPr>
                <w:rFonts w:ascii="Arial" w:eastAsia="Calibri" w:hAnsi="Arial" w:cs="Arial"/>
                <w:b/>
                <w:szCs w:val="22"/>
              </w:rPr>
              <w:t xml:space="preserve">Aims: </w:t>
            </w:r>
            <w:r w:rsidR="00F23ACB" w:rsidRPr="007907E7">
              <w:rPr>
                <w:rFonts w:ascii="Arial" w:hAnsi="Arial" w:cs="Arial"/>
              </w:rPr>
              <w:t>The present study aimed to analyze consumer preferences for various attributes of urban farming kits and services and to compare these preferences across different residential categories in Hyderabad.</w:t>
            </w:r>
            <w:r w:rsidR="00F23ACB" w:rsidRPr="007907E7">
              <w:rPr>
                <w:rFonts w:ascii="Arial" w:eastAsia="Calibri" w:hAnsi="Arial" w:cs="Arial"/>
                <w:b/>
                <w:szCs w:val="22"/>
              </w:rPr>
              <w:t xml:space="preserve"> </w:t>
            </w:r>
          </w:p>
          <w:p w14:paraId="368594CF" w14:textId="139C761F" w:rsidR="00BA1B01" w:rsidRPr="007907E7" w:rsidRDefault="00BA1B01" w:rsidP="00441B6F">
            <w:pPr>
              <w:pStyle w:val="Body"/>
              <w:spacing w:after="0"/>
              <w:rPr>
                <w:rFonts w:ascii="Arial" w:eastAsia="Calibri" w:hAnsi="Arial" w:cs="Arial"/>
                <w:szCs w:val="22"/>
              </w:rPr>
            </w:pPr>
            <w:r w:rsidRPr="007907E7">
              <w:rPr>
                <w:rFonts w:ascii="Arial" w:eastAsia="Calibri" w:hAnsi="Arial" w:cs="Arial"/>
                <w:b/>
                <w:szCs w:val="22"/>
              </w:rPr>
              <w:t>Study design:</w:t>
            </w:r>
            <w:r w:rsidRPr="007907E7">
              <w:rPr>
                <w:rFonts w:ascii="Arial" w:eastAsia="Calibri" w:hAnsi="Arial" w:cs="Arial"/>
                <w:szCs w:val="22"/>
              </w:rPr>
              <w:t xml:space="preserve">  </w:t>
            </w:r>
            <w:r w:rsidR="00C77E30">
              <w:rPr>
                <w:rFonts w:ascii="Arial" w:eastAsia="Calibri" w:hAnsi="Arial" w:cs="Arial"/>
                <w:szCs w:val="22"/>
              </w:rPr>
              <w:t>A descriptive research design was used, combining exploratory and comparative analysis.</w:t>
            </w:r>
          </w:p>
          <w:p w14:paraId="3DAA8C7C" w14:textId="77777777" w:rsidR="00BA1B01" w:rsidRPr="007907E7" w:rsidRDefault="00BA1B01" w:rsidP="00441B6F">
            <w:pPr>
              <w:pStyle w:val="Body"/>
              <w:spacing w:after="0"/>
              <w:rPr>
                <w:rFonts w:ascii="Arial" w:eastAsia="Calibri" w:hAnsi="Arial" w:cs="Arial"/>
                <w:szCs w:val="22"/>
              </w:rPr>
            </w:pPr>
            <w:r w:rsidRPr="007907E7">
              <w:rPr>
                <w:rFonts w:ascii="Arial" w:eastAsia="Calibri" w:hAnsi="Arial" w:cs="Arial"/>
                <w:b/>
                <w:szCs w:val="22"/>
              </w:rPr>
              <w:t>Place and Duration of Study:</w:t>
            </w:r>
            <w:r w:rsidRPr="007907E7">
              <w:rPr>
                <w:rFonts w:ascii="Arial" w:eastAsia="Calibri" w:hAnsi="Arial" w:cs="Arial"/>
                <w:szCs w:val="22"/>
              </w:rPr>
              <w:t xml:space="preserve"> </w:t>
            </w:r>
            <w:r w:rsidR="00F23ACB" w:rsidRPr="007907E7">
              <w:t>The study was conducted in residential areas of Hyderabad, Telangana, India, between April 2025 and June 2025.</w:t>
            </w:r>
            <w:r w:rsidR="00F23ACB" w:rsidRPr="007907E7">
              <w:rPr>
                <w:rFonts w:ascii="Arial" w:eastAsia="Calibri" w:hAnsi="Arial" w:cs="Arial"/>
                <w:szCs w:val="22"/>
              </w:rPr>
              <w:t xml:space="preserve"> </w:t>
            </w:r>
          </w:p>
          <w:p w14:paraId="52DC4F3B" w14:textId="17AEDC6A" w:rsidR="00BA1B01" w:rsidRPr="007907E7" w:rsidRDefault="00BA1B01" w:rsidP="00441B6F">
            <w:pPr>
              <w:pStyle w:val="Body"/>
              <w:spacing w:after="0"/>
              <w:rPr>
                <w:rFonts w:ascii="Arial" w:eastAsia="Calibri" w:hAnsi="Arial" w:cs="Arial"/>
                <w:szCs w:val="22"/>
              </w:rPr>
            </w:pPr>
            <w:r w:rsidRPr="007907E7">
              <w:rPr>
                <w:rFonts w:ascii="Arial" w:eastAsia="Calibri" w:hAnsi="Arial" w:cs="Arial"/>
                <w:b/>
                <w:bCs/>
                <w:szCs w:val="22"/>
              </w:rPr>
              <w:t>Methodology:</w:t>
            </w:r>
            <w:r w:rsidRPr="007907E7">
              <w:rPr>
                <w:rFonts w:ascii="Arial" w:eastAsia="Calibri" w:hAnsi="Arial" w:cs="Arial"/>
                <w:szCs w:val="22"/>
              </w:rPr>
              <w:t xml:space="preserve"> </w:t>
            </w:r>
            <w:r w:rsidR="00C77E30">
              <w:rPr>
                <w:rFonts w:ascii="Arial" w:eastAsia="Calibri" w:hAnsi="Arial" w:cs="Arial"/>
                <w:szCs w:val="22"/>
              </w:rPr>
              <w:t>D</w:t>
            </w:r>
            <w:r w:rsidR="007907E7" w:rsidRPr="007907E7">
              <w:rPr>
                <w:rFonts w:ascii="Arial" w:eastAsia="Calibri" w:hAnsi="Arial" w:cs="Arial"/>
                <w:szCs w:val="22"/>
              </w:rPr>
              <w:t xml:space="preserve">ata were collected from 120 </w:t>
            </w:r>
            <w:r w:rsidR="00C77E30">
              <w:rPr>
                <w:rFonts w:ascii="Arial" w:eastAsia="Calibri" w:hAnsi="Arial" w:cs="Arial"/>
                <w:szCs w:val="22"/>
              </w:rPr>
              <w:t xml:space="preserve">households across four city zones using a structured questionnaire. Factor analysis was used to identify key preference dimensions, and variations were </w:t>
            </w:r>
            <w:proofErr w:type="gramStart"/>
            <w:r w:rsidR="00C77E30">
              <w:rPr>
                <w:rFonts w:ascii="Arial" w:eastAsia="Calibri" w:hAnsi="Arial" w:cs="Arial"/>
                <w:szCs w:val="22"/>
              </w:rPr>
              <w:t>examined  across</w:t>
            </w:r>
            <w:proofErr w:type="gramEnd"/>
            <w:r w:rsidR="00C77E30">
              <w:rPr>
                <w:rFonts w:ascii="Arial" w:eastAsia="Calibri" w:hAnsi="Arial" w:cs="Arial"/>
                <w:szCs w:val="22"/>
              </w:rPr>
              <w:t xml:space="preserve"> </w:t>
            </w:r>
            <w:r w:rsidR="007907E7" w:rsidRPr="007907E7">
              <w:rPr>
                <w:rFonts w:ascii="Arial" w:eastAsia="Calibri" w:hAnsi="Arial" w:cs="Arial"/>
                <w:szCs w:val="22"/>
              </w:rPr>
              <w:t xml:space="preserve">gated communities, independent houses, and standalone apartments. </w:t>
            </w:r>
          </w:p>
          <w:p w14:paraId="68D870A2" w14:textId="4EEF4B19" w:rsidR="007907E7" w:rsidRPr="007907E7" w:rsidRDefault="00BA1B01" w:rsidP="00441B6F">
            <w:pPr>
              <w:pStyle w:val="Body"/>
              <w:spacing w:after="0"/>
              <w:rPr>
                <w:rFonts w:ascii="Arial" w:eastAsia="Calibri" w:hAnsi="Arial" w:cs="Arial"/>
                <w:szCs w:val="22"/>
              </w:rPr>
            </w:pPr>
            <w:r w:rsidRPr="007907E7">
              <w:rPr>
                <w:rFonts w:ascii="Arial" w:eastAsia="Calibri" w:hAnsi="Arial" w:cs="Arial"/>
                <w:b/>
                <w:bCs/>
                <w:szCs w:val="22"/>
              </w:rPr>
              <w:t>Results:</w:t>
            </w:r>
            <w:r w:rsidRPr="007907E7">
              <w:rPr>
                <w:rFonts w:ascii="Arial" w:eastAsia="Calibri" w:hAnsi="Arial" w:cs="Arial"/>
                <w:szCs w:val="22"/>
              </w:rPr>
              <w:t xml:space="preserve"> </w:t>
            </w:r>
            <w:r w:rsidR="00C77E30" w:rsidRPr="00C77E30">
              <w:rPr>
                <w:rFonts w:ascii="Arial" w:eastAsia="Calibri" w:hAnsi="Arial" w:cs="Arial"/>
                <w:szCs w:val="22"/>
              </w:rPr>
              <w:t>Two main dimensions shaped consumer preferences: Kit Value and Flexibility (customization, eco-friendly features, digital support) and User Convenience (easy setup, low maintenance, reliable service). Preferences differ</w:t>
            </w:r>
            <w:r w:rsidR="00F653A4">
              <w:rPr>
                <w:rFonts w:ascii="Arial" w:eastAsia="Calibri" w:hAnsi="Arial" w:cs="Arial"/>
                <w:szCs w:val="22"/>
              </w:rPr>
              <w:t xml:space="preserve">ed by housing type, </w:t>
            </w:r>
            <w:r w:rsidR="00C77E30" w:rsidRPr="00C77E30">
              <w:rPr>
                <w:rFonts w:ascii="Arial" w:eastAsia="Calibri" w:hAnsi="Arial" w:cs="Arial"/>
                <w:szCs w:val="22"/>
              </w:rPr>
              <w:t>gated communities valued premium and customizable options, standalone apartments prioritized ease of use, while independent houses showed a balanced outlook.</w:t>
            </w:r>
          </w:p>
          <w:p w14:paraId="2B5F35CC" w14:textId="57F35B0A" w:rsidR="00505F06" w:rsidRPr="00BA1B01" w:rsidRDefault="00BA1B01" w:rsidP="00F653A4">
            <w:pPr>
              <w:pStyle w:val="Body"/>
              <w:spacing w:after="0"/>
              <w:rPr>
                <w:rFonts w:ascii="Arial" w:eastAsia="Calibri" w:hAnsi="Arial" w:cs="Arial"/>
                <w:szCs w:val="22"/>
              </w:rPr>
            </w:pPr>
            <w:r w:rsidRPr="007907E7">
              <w:rPr>
                <w:rFonts w:ascii="Arial" w:eastAsia="Calibri" w:hAnsi="Arial" w:cs="Arial"/>
                <w:b/>
                <w:bCs/>
                <w:szCs w:val="22"/>
              </w:rPr>
              <w:t>Conclusion:</w:t>
            </w:r>
            <w:r w:rsidRPr="007907E7">
              <w:rPr>
                <w:rFonts w:ascii="Arial" w:eastAsia="Calibri" w:hAnsi="Arial" w:cs="Arial"/>
                <w:szCs w:val="22"/>
              </w:rPr>
              <w:t xml:space="preserve"> </w:t>
            </w:r>
            <w:r w:rsidR="00F653A4">
              <w:t>Consumer preferences for urban farming kits are shaped by residential settings, reflecting the influence of living environments on adoption choices. This highlights the need for differentiated product designs, targeted marketing approaches, and supportive urban policies to promote wider uptake of sustainable home-farming solutions tailored to diverse urban contexts.</w:t>
            </w:r>
          </w:p>
        </w:tc>
      </w:tr>
    </w:tbl>
    <w:p w14:paraId="4AC125BB" w14:textId="77777777" w:rsidR="00636EB2" w:rsidRDefault="00636EB2" w:rsidP="00441B6F">
      <w:pPr>
        <w:pStyle w:val="Body"/>
        <w:spacing w:after="0"/>
        <w:rPr>
          <w:rFonts w:ascii="Arial" w:hAnsi="Arial" w:cs="Arial"/>
          <w:i/>
        </w:rPr>
      </w:pPr>
    </w:p>
    <w:p w14:paraId="6ED1515F" w14:textId="0A85B291" w:rsidR="00505F06" w:rsidRDefault="007907E7" w:rsidP="00441B6F">
      <w:pPr>
        <w:pStyle w:val="Body"/>
        <w:spacing w:after="0"/>
        <w:rPr>
          <w:rFonts w:ascii="Arial" w:hAnsi="Arial" w:cs="Arial"/>
          <w:i/>
        </w:rPr>
      </w:pPr>
      <w:r>
        <w:rPr>
          <w:rFonts w:ascii="Arial" w:hAnsi="Arial" w:cs="Arial"/>
          <w:i/>
        </w:rPr>
        <w:t xml:space="preserve">Keywords: </w:t>
      </w:r>
      <w:r w:rsidR="00841918">
        <w:rPr>
          <w:rFonts w:ascii="Arial" w:hAnsi="Arial" w:cs="Arial"/>
          <w:i/>
        </w:rPr>
        <w:t xml:space="preserve">Consumer preference attributes, Gated communities, Independent houses, </w:t>
      </w:r>
      <w:r w:rsidR="00442815">
        <w:rPr>
          <w:rFonts w:ascii="Arial" w:hAnsi="Arial" w:cs="Arial"/>
          <w:i/>
        </w:rPr>
        <w:t xml:space="preserve">Kit value </w:t>
      </w:r>
      <w:r w:rsidR="00841918">
        <w:rPr>
          <w:rFonts w:ascii="Arial" w:hAnsi="Arial" w:cs="Arial"/>
          <w:i/>
        </w:rPr>
        <w:t>&amp; Flexibility, Standalone apartments, User convenience.</w:t>
      </w:r>
    </w:p>
    <w:p w14:paraId="6F2B8C90" w14:textId="77777777" w:rsidR="00442815" w:rsidRPr="00A24E7E" w:rsidRDefault="00442815" w:rsidP="00441B6F">
      <w:pPr>
        <w:pStyle w:val="Body"/>
        <w:spacing w:after="0"/>
        <w:rPr>
          <w:rFonts w:ascii="Arial" w:hAnsi="Arial" w:cs="Arial"/>
          <w:i/>
        </w:rPr>
      </w:pPr>
    </w:p>
    <w:p w14:paraId="74BC759B"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852FD9">
        <w:rPr>
          <w:rFonts w:ascii="Arial" w:hAnsi="Arial" w:cs="Arial"/>
        </w:rPr>
        <w:t xml:space="preserve"> </w:t>
      </w:r>
    </w:p>
    <w:p w14:paraId="7CF8C0E7" w14:textId="77777777" w:rsidR="00790ADA" w:rsidRPr="00FB3A86" w:rsidRDefault="00790ADA" w:rsidP="00441B6F">
      <w:pPr>
        <w:pStyle w:val="AbstHead"/>
        <w:spacing w:after="0"/>
        <w:jc w:val="both"/>
        <w:rPr>
          <w:rFonts w:ascii="Arial" w:hAnsi="Arial" w:cs="Arial"/>
        </w:rPr>
      </w:pPr>
    </w:p>
    <w:p w14:paraId="0B56AC1B" w14:textId="77777777" w:rsidR="00317E03" w:rsidRPr="00317E03" w:rsidRDefault="00317E03" w:rsidP="00317E03">
      <w:pPr>
        <w:pStyle w:val="Body"/>
        <w:spacing w:after="0"/>
        <w:rPr>
          <w:rFonts w:ascii="Arial" w:hAnsi="Arial" w:cs="Arial"/>
          <w:bCs/>
          <w:lang w:val="en-IN"/>
        </w:rPr>
      </w:pPr>
      <w:r w:rsidRPr="00317E03">
        <w:rPr>
          <w:rFonts w:ascii="Arial" w:hAnsi="Arial" w:cs="Arial"/>
          <w:bCs/>
          <w:lang w:val="en-IN"/>
        </w:rPr>
        <w:t>Rapid urbanization is transforming global food systems, creating both challenges and opportunities for sustainable living. The United Nations projects that 68% of the world’s population will reside in urban areas by 2050, up from 55% in 2018, while India’s urban share is expected to exceed 40% by 2030 (United Nations, Department of Economic and Social Affairs, 2018). This demographic shift reduces cultivable land near cities, lengthens supply chains, increases food costs and carbon emissions, and amplifies dietary inequalities, with affluent groups consuming more processed foods while lower-income residents struggle to access fresh produce (Observer Research Foundation, 2023). Consequently, urban food insecurity is increasingly shaped by both spatial and socioeconomic pressures, highlighting the need for localized solutions such as urban farming. Consumer acceptance plays a crucial role in sustainability initiatives, as individuals tend to support measures that encourage sustainable choices rather than restrict personal freedom (Ammann et al., 2025).</w:t>
      </w:r>
    </w:p>
    <w:p w14:paraId="1715327C" w14:textId="77777777" w:rsidR="00317E03" w:rsidRPr="00317E03" w:rsidRDefault="00317E03" w:rsidP="00317E03">
      <w:pPr>
        <w:pStyle w:val="Body"/>
        <w:spacing w:after="0"/>
        <w:rPr>
          <w:rFonts w:ascii="Arial" w:hAnsi="Arial" w:cs="Arial"/>
          <w:bCs/>
          <w:lang w:val="en-IN"/>
        </w:rPr>
      </w:pPr>
      <w:r w:rsidRPr="00317E03">
        <w:rPr>
          <w:rFonts w:ascii="Arial" w:hAnsi="Arial" w:cs="Arial"/>
          <w:bCs/>
          <w:lang w:val="en-IN"/>
        </w:rPr>
        <w:lastRenderedPageBreak/>
        <w:t>Urban agriculture is emerging globally as a viable response, combining food production with environmental and social benefits. According to the FAO, over 800 million people are engaged in urban farming worldwide, from household gardens to commercial vertical farms. Various countries are integrating urban agriculture into national food security strategies. Singapore’s “30 by 30” policy aims to produce 30% of its nutritional needs locally by 2030 through hydroponics, vertical farming, and rooftop cultivation. In China, urban planning incorporates greenhouses and rooftop farms, with projections suggesting urban agriculture could meet 15% of the nation’s vegetable demand by 2030 (Acumen Research and Consulting, 2023). These examples indicate that urban farming is increasingly central to national strategies. Recent research emphasizes that technological and scientific support is essential to scale urban agriculture effectively, enhance crop yields and quality, optimize urban waste utilization, and deliver social and environmental benefits (O’Sullivan et al., 2019).</w:t>
      </w:r>
    </w:p>
    <w:p w14:paraId="233E7064" w14:textId="77777777" w:rsidR="00317E03" w:rsidRPr="00317E03" w:rsidRDefault="00317E03" w:rsidP="00317E03">
      <w:pPr>
        <w:pStyle w:val="Body"/>
        <w:spacing w:after="0"/>
        <w:rPr>
          <w:rFonts w:ascii="Arial" w:hAnsi="Arial" w:cs="Arial"/>
          <w:bCs/>
          <w:lang w:val="en-IN"/>
        </w:rPr>
      </w:pPr>
      <w:r w:rsidRPr="00317E03">
        <w:rPr>
          <w:rFonts w:ascii="Arial" w:hAnsi="Arial" w:cs="Arial"/>
          <w:bCs/>
          <w:lang w:val="en-IN"/>
        </w:rPr>
        <w:t>In India, the integration of urban farming into planning remains limited. National missions such as AMRUT 2.0 and the Smart Cities Mission promote green spaces but do not directly support food production, reflecting a policy gap (People’s Resource Centre, 2024). Despite this, states and communities are implementing initiatives independently. Delhi contributes substantially to its own food supply, particularly in meat, milk, and vegetables. Kerala, Tamil Nadu, and Bihar encourage rooftop and household farming through subsidies, kits, and training programs, while Pune has experimented with community-driven urban agriculture. Broader adoption is constrained by land scarcity, water availability, pollution, and lack of institutional support (Down to Earth, 2022).</w:t>
      </w:r>
    </w:p>
    <w:p w14:paraId="2D6A640A" w14:textId="3C5E0D39" w:rsidR="00317E03" w:rsidRPr="00317E03" w:rsidRDefault="00317E03" w:rsidP="00317E03">
      <w:pPr>
        <w:pStyle w:val="Body"/>
        <w:spacing w:after="0"/>
        <w:rPr>
          <w:rFonts w:ascii="Arial" w:hAnsi="Arial" w:cs="Arial"/>
          <w:bCs/>
          <w:lang w:val="en-IN"/>
        </w:rPr>
      </w:pPr>
      <w:r w:rsidRPr="00317E03">
        <w:rPr>
          <w:rFonts w:ascii="Arial" w:hAnsi="Arial" w:cs="Arial"/>
          <w:bCs/>
          <w:lang w:val="en-IN"/>
        </w:rPr>
        <w:t xml:space="preserve">Hyderabad represents a more structured local example. India’s first rooftop Urban Farming Centre was established on the CDMA building, promoting soil-free cultivation of vegetables, herbs, and medicinal plants while training women’s self-help groups to improve household nutrition and livelihoods (Krishi Jagran, 2023). The Telangana Horticulture Department has identified nearly 60,000 square meters of potential rooftop farming space and has supported terrace cultivation since 2012 under the </w:t>
      </w:r>
      <w:proofErr w:type="spellStart"/>
      <w:r w:rsidRPr="00317E03">
        <w:rPr>
          <w:rFonts w:ascii="Arial" w:hAnsi="Arial" w:cs="Arial"/>
          <w:bCs/>
          <w:lang w:val="en-IN"/>
        </w:rPr>
        <w:t>Rashtriya</w:t>
      </w:r>
      <w:proofErr w:type="spellEnd"/>
      <w:r w:rsidRPr="00317E03">
        <w:rPr>
          <w:rFonts w:ascii="Arial" w:hAnsi="Arial" w:cs="Arial"/>
          <w:bCs/>
          <w:lang w:val="en-IN"/>
        </w:rPr>
        <w:t xml:space="preserve"> Krishi Vikas Yojana (Telangana Horticulture Department). At the household level, urban farming adapts to spatial constraints. Terrace and rooftop gardens provide fresh produce while reducing indoor temperatures and improving household food security (Bhat &amp; </w:t>
      </w:r>
      <w:proofErr w:type="spellStart"/>
      <w:r w:rsidRPr="00317E03">
        <w:rPr>
          <w:rFonts w:ascii="Arial" w:hAnsi="Arial" w:cs="Arial"/>
          <w:bCs/>
          <w:lang w:val="en-IN"/>
        </w:rPr>
        <w:t>Paschapur</w:t>
      </w:r>
      <w:proofErr w:type="spellEnd"/>
      <w:r w:rsidRPr="00317E03">
        <w:rPr>
          <w:rFonts w:ascii="Arial" w:hAnsi="Arial" w:cs="Arial"/>
          <w:bCs/>
          <w:lang w:val="en-IN"/>
        </w:rPr>
        <w:t xml:space="preserve">, 2020). Balcony and container gardening in apartments </w:t>
      </w:r>
      <w:proofErr w:type="gramStart"/>
      <w:r w:rsidRPr="00317E03">
        <w:rPr>
          <w:rFonts w:ascii="Arial" w:hAnsi="Arial" w:cs="Arial"/>
          <w:bCs/>
          <w:lang w:val="en-IN"/>
        </w:rPr>
        <w:t>offers</w:t>
      </w:r>
      <w:proofErr w:type="gramEnd"/>
      <w:r w:rsidRPr="00317E03">
        <w:rPr>
          <w:rFonts w:ascii="Arial" w:hAnsi="Arial" w:cs="Arial"/>
          <w:bCs/>
          <w:lang w:val="en-IN"/>
        </w:rPr>
        <w:t xml:space="preserve"> an affordable way to grow herbs and leafy vegetables and supports mental well-being through stress relief and mindfulness (Joshi et al., 2023). In high-density areas, vertical farming enables year-round production, though high initial costs limit adoption (Teoh et al., 2024). Hydroponics and aquaponics are gaining traction for efficient water use and soil-free cultivation, with private companies offering ready-t</w:t>
      </w:r>
      <w:r w:rsidR="001C6399">
        <w:rPr>
          <w:rFonts w:ascii="Arial" w:hAnsi="Arial" w:cs="Arial"/>
          <w:bCs/>
          <w:lang w:val="en-IN"/>
        </w:rPr>
        <w:t>o-use kits and training (Vaishnavi et al.</w:t>
      </w:r>
      <w:r w:rsidRPr="00317E03">
        <w:rPr>
          <w:rFonts w:ascii="Arial" w:hAnsi="Arial" w:cs="Arial"/>
          <w:bCs/>
          <w:lang w:val="en-IN"/>
        </w:rPr>
        <w:t>, 2023). Consumer attitudes toward hydroponically grown produce are influenced by perceptions of freshness, sustainability, quality, and socio-demographic factors, highlighting the need to align product design with consumer expectations (</w:t>
      </w:r>
      <w:proofErr w:type="spellStart"/>
      <w:r w:rsidRPr="00317E03">
        <w:rPr>
          <w:rFonts w:ascii="Arial" w:hAnsi="Arial" w:cs="Arial"/>
          <w:bCs/>
          <w:lang w:val="en-IN"/>
        </w:rPr>
        <w:t>Talu</w:t>
      </w:r>
      <w:proofErr w:type="spellEnd"/>
      <w:r w:rsidRPr="00317E03">
        <w:rPr>
          <w:rFonts w:ascii="Arial" w:hAnsi="Arial" w:cs="Arial"/>
          <w:bCs/>
          <w:lang w:val="en-IN"/>
        </w:rPr>
        <w:t>, 2024). Community gardens further foster social cohesion, shared responsibility, and sustainability awareness (Tulane University School of Public Health and Tropical Medicine, 2024).</w:t>
      </w:r>
    </w:p>
    <w:p w14:paraId="658C9C33" w14:textId="77777777" w:rsidR="00317E03" w:rsidRPr="00317E03" w:rsidRDefault="00317E03" w:rsidP="00317E03">
      <w:pPr>
        <w:pStyle w:val="Body"/>
        <w:spacing w:after="0"/>
        <w:rPr>
          <w:rFonts w:ascii="Arial" w:hAnsi="Arial" w:cs="Arial"/>
          <w:bCs/>
          <w:lang w:val="en-IN"/>
        </w:rPr>
      </w:pPr>
      <w:r w:rsidRPr="00317E03">
        <w:rPr>
          <w:rFonts w:ascii="Arial" w:hAnsi="Arial" w:cs="Arial"/>
          <w:bCs/>
          <w:lang w:val="en-IN"/>
        </w:rPr>
        <w:t>Beyond food production, urban farming generates wider social and ecological benefits. It promotes recycling of organic waste, efficient water use, and pollution reduction, aligning with circular economy principles (</w:t>
      </w:r>
      <w:proofErr w:type="spellStart"/>
      <w:r w:rsidRPr="00317E03">
        <w:rPr>
          <w:rFonts w:ascii="Arial" w:hAnsi="Arial" w:cs="Arial"/>
          <w:bCs/>
          <w:lang w:val="en-IN"/>
        </w:rPr>
        <w:t>Izawati</w:t>
      </w:r>
      <w:proofErr w:type="spellEnd"/>
      <w:r w:rsidRPr="00317E03">
        <w:rPr>
          <w:rFonts w:ascii="Arial" w:hAnsi="Arial" w:cs="Arial"/>
          <w:bCs/>
          <w:lang w:val="en-IN"/>
        </w:rPr>
        <w:t xml:space="preserve"> et al., 2017). Gardening has also been associated with improved mental and physical health, providing psychological relief and a sense of purpose, benefits that were especially evident during the COVID-19 pandemic (</w:t>
      </w:r>
      <w:proofErr w:type="spellStart"/>
      <w:r w:rsidRPr="00317E03">
        <w:rPr>
          <w:rFonts w:ascii="Arial" w:hAnsi="Arial" w:cs="Arial"/>
          <w:bCs/>
          <w:lang w:val="en-IN"/>
        </w:rPr>
        <w:t>Mladenović</w:t>
      </w:r>
      <w:proofErr w:type="spellEnd"/>
      <w:r w:rsidRPr="00317E03">
        <w:rPr>
          <w:rFonts w:ascii="Arial" w:hAnsi="Arial" w:cs="Arial"/>
          <w:bCs/>
          <w:lang w:val="en-IN"/>
        </w:rPr>
        <w:t xml:space="preserve"> et al., 2017). Environmental advantages vary with methods used, with rooftop and low-tech systems generally showing positive impacts (Goldstein et al., 2016). By reducing packaging waste and lowering emissions from long-distance transportation, urban agriculture enhances sustainability and climate resilience, making it an attractive strategy for policymakers and private investors (</w:t>
      </w:r>
      <w:proofErr w:type="spellStart"/>
      <w:r w:rsidRPr="00317E03">
        <w:rPr>
          <w:rFonts w:ascii="Arial" w:hAnsi="Arial" w:cs="Arial"/>
          <w:bCs/>
          <w:lang w:val="en-IN"/>
        </w:rPr>
        <w:t>Grebitus</w:t>
      </w:r>
      <w:proofErr w:type="spellEnd"/>
      <w:r w:rsidRPr="00317E03">
        <w:rPr>
          <w:rFonts w:ascii="Arial" w:hAnsi="Arial" w:cs="Arial"/>
          <w:bCs/>
          <w:lang w:val="en-IN"/>
        </w:rPr>
        <w:t xml:space="preserve"> et al., 2020; The Business Research Company, 2025).</w:t>
      </w:r>
    </w:p>
    <w:p w14:paraId="5E513A70" w14:textId="3CD07B64" w:rsidR="00317E03" w:rsidRPr="00317E03" w:rsidRDefault="00317E03" w:rsidP="00317E03">
      <w:pPr>
        <w:pStyle w:val="Body"/>
        <w:spacing w:after="0"/>
        <w:rPr>
          <w:rFonts w:ascii="Arial" w:hAnsi="Arial" w:cs="Arial"/>
          <w:bCs/>
          <w:lang w:val="en-IN"/>
        </w:rPr>
      </w:pPr>
      <w:r w:rsidRPr="00317E03">
        <w:rPr>
          <w:rFonts w:ascii="Arial" w:hAnsi="Arial" w:cs="Arial"/>
          <w:bCs/>
          <w:lang w:val="en-IN"/>
        </w:rPr>
        <w:lastRenderedPageBreak/>
        <w:t>By combining modern t</w:t>
      </w:r>
      <w:r w:rsidR="00A31275">
        <w:rPr>
          <w:rFonts w:ascii="Arial" w:hAnsi="Arial" w:cs="Arial"/>
          <w:bCs/>
          <w:lang w:val="en-IN"/>
        </w:rPr>
        <w:t xml:space="preserve">echnologies with community-based models, </w:t>
      </w:r>
      <w:r w:rsidRPr="00317E03">
        <w:rPr>
          <w:rFonts w:ascii="Arial" w:hAnsi="Arial" w:cs="Arial"/>
          <w:bCs/>
          <w:lang w:val="en-IN"/>
        </w:rPr>
        <w:t>urban agriculture offers a pathway toward sustainable, inclusive, and resilient urban futures.</w:t>
      </w:r>
    </w:p>
    <w:p w14:paraId="7F39790B" w14:textId="77777777" w:rsidR="00F23224" w:rsidRPr="00F23224" w:rsidRDefault="00F23224" w:rsidP="00F23224">
      <w:pPr>
        <w:pStyle w:val="Body"/>
        <w:spacing w:after="0"/>
        <w:rPr>
          <w:rFonts w:ascii="Arial" w:hAnsi="Arial" w:cs="Arial"/>
          <w:lang w:val="en-IN"/>
        </w:rPr>
      </w:pPr>
      <w:r w:rsidRPr="00F23224">
        <w:rPr>
          <w:rFonts w:ascii="Arial" w:hAnsi="Arial" w:cs="Arial"/>
          <w:bCs/>
          <w:lang w:val="en-IN"/>
        </w:rPr>
        <w:t>Objectives of the study:</w:t>
      </w:r>
    </w:p>
    <w:p w14:paraId="5AE58B3D" w14:textId="77777777" w:rsidR="00F23224" w:rsidRDefault="00F23224" w:rsidP="00F23224">
      <w:pPr>
        <w:pStyle w:val="Body"/>
        <w:spacing w:after="0"/>
        <w:rPr>
          <w:rFonts w:ascii="Arial" w:hAnsi="Arial" w:cs="Arial"/>
          <w:lang w:val="en-IN"/>
        </w:rPr>
      </w:pPr>
      <w:r>
        <w:rPr>
          <w:rFonts w:ascii="Arial" w:hAnsi="Arial" w:cs="Arial"/>
          <w:lang w:val="en-IN"/>
        </w:rPr>
        <w:t xml:space="preserve">1. </w:t>
      </w:r>
      <w:r w:rsidRPr="00F23224">
        <w:rPr>
          <w:rFonts w:ascii="Arial" w:hAnsi="Arial" w:cs="Arial"/>
          <w:lang w:val="en-IN"/>
        </w:rPr>
        <w:t>To identify the determinants of consumer preferences for urban farming kits and services.</w:t>
      </w:r>
    </w:p>
    <w:p w14:paraId="331B80E6" w14:textId="77777777" w:rsidR="00F23224" w:rsidRPr="00F23224" w:rsidRDefault="00F23224" w:rsidP="00F23224">
      <w:pPr>
        <w:pStyle w:val="Body"/>
        <w:spacing w:after="0"/>
        <w:rPr>
          <w:rFonts w:ascii="Arial" w:hAnsi="Arial" w:cs="Arial"/>
          <w:lang w:val="en-IN"/>
        </w:rPr>
      </w:pPr>
      <w:r>
        <w:rPr>
          <w:rFonts w:ascii="Arial" w:hAnsi="Arial" w:cs="Arial"/>
          <w:lang w:val="en-IN"/>
        </w:rPr>
        <w:t xml:space="preserve">2. </w:t>
      </w:r>
      <w:r w:rsidRPr="00F23224">
        <w:rPr>
          <w:rFonts w:ascii="Arial" w:hAnsi="Arial" w:cs="Arial"/>
          <w:lang w:val="en-IN"/>
        </w:rPr>
        <w:t>To assess differences in preferences across residential categories in Hyderabad.</w:t>
      </w:r>
    </w:p>
    <w:p w14:paraId="412CB3F2" w14:textId="77777777" w:rsidR="007524AE" w:rsidRDefault="007524AE" w:rsidP="00441B6F">
      <w:pPr>
        <w:pStyle w:val="AbstHead"/>
        <w:spacing w:after="0"/>
        <w:jc w:val="both"/>
        <w:rPr>
          <w:rFonts w:ascii="Arial" w:hAnsi="Arial" w:cs="Arial"/>
          <w:b w:val="0"/>
          <w:caps w:val="0"/>
          <w:sz w:val="20"/>
        </w:rPr>
      </w:pPr>
    </w:p>
    <w:p w14:paraId="6B003430" w14:textId="487063D6"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1DEF726" w14:textId="77777777" w:rsidR="005A7C6A" w:rsidRDefault="005A7C6A" w:rsidP="005A7C6A">
      <w:pPr>
        <w:pStyle w:val="Body"/>
        <w:rPr>
          <w:rFonts w:ascii="Arial" w:hAnsi="Arial" w:cs="Arial"/>
          <w:b/>
          <w:bCs/>
          <w:lang w:val="en-IN"/>
        </w:rPr>
      </w:pPr>
      <w:r w:rsidRPr="005A7C6A">
        <w:rPr>
          <w:rFonts w:ascii="Arial" w:hAnsi="Arial" w:cs="Arial"/>
          <w:b/>
          <w:bCs/>
          <w:lang w:val="en-IN"/>
        </w:rPr>
        <w:t>2.1 Data</w:t>
      </w:r>
    </w:p>
    <w:p w14:paraId="61BC1AE2" w14:textId="7C55C1A8" w:rsidR="005A7C6A" w:rsidRPr="005A7C6A" w:rsidRDefault="005A7C6A" w:rsidP="005A7C6A">
      <w:pPr>
        <w:pStyle w:val="Body"/>
        <w:rPr>
          <w:rFonts w:ascii="Arial" w:hAnsi="Arial" w:cs="Arial"/>
          <w:b/>
          <w:bCs/>
          <w:lang w:val="en-IN"/>
        </w:rPr>
      </w:pPr>
      <w:r w:rsidRPr="005A7C6A">
        <w:rPr>
          <w:rFonts w:ascii="Arial" w:hAnsi="Arial" w:cs="Arial"/>
          <w:lang w:val="en-IN"/>
        </w:rPr>
        <w:t>Primary data for the study were</w:t>
      </w:r>
      <w:r w:rsidR="00A31275">
        <w:rPr>
          <w:rFonts w:ascii="Arial" w:hAnsi="Arial" w:cs="Arial"/>
          <w:lang w:val="en-IN"/>
        </w:rPr>
        <w:t xml:space="preserve"> collected in 2025 from four </w:t>
      </w:r>
      <w:r w:rsidR="00852FD9">
        <w:rPr>
          <w:rFonts w:ascii="Arial" w:hAnsi="Arial" w:cs="Arial"/>
          <w:lang w:val="en-IN"/>
        </w:rPr>
        <w:t xml:space="preserve">residential zones of Hyderabad - </w:t>
      </w:r>
      <w:r w:rsidRPr="005A7C6A">
        <w:rPr>
          <w:rFonts w:ascii="Arial" w:hAnsi="Arial" w:cs="Arial"/>
          <w:lang w:val="en-IN"/>
        </w:rPr>
        <w:t xml:space="preserve">Charminar, LB Nagar, </w:t>
      </w:r>
      <w:r w:rsidR="00852FD9">
        <w:rPr>
          <w:rFonts w:ascii="Arial" w:hAnsi="Arial" w:cs="Arial"/>
          <w:lang w:val="en-IN"/>
        </w:rPr>
        <w:t xml:space="preserve">Kukatpally, and </w:t>
      </w:r>
      <w:proofErr w:type="spellStart"/>
      <w:r w:rsidR="00852FD9">
        <w:rPr>
          <w:rFonts w:ascii="Arial" w:hAnsi="Arial" w:cs="Arial"/>
          <w:lang w:val="en-IN"/>
        </w:rPr>
        <w:t>Serilingampally</w:t>
      </w:r>
      <w:proofErr w:type="spellEnd"/>
      <w:r w:rsidR="00852FD9">
        <w:rPr>
          <w:rFonts w:ascii="Arial" w:hAnsi="Arial" w:cs="Arial"/>
          <w:lang w:val="en-IN"/>
        </w:rPr>
        <w:t xml:space="preserve">, </w:t>
      </w:r>
      <w:r w:rsidRPr="005A7C6A">
        <w:rPr>
          <w:rFonts w:ascii="Arial" w:hAnsi="Arial" w:cs="Arial"/>
          <w:lang w:val="en-IN"/>
        </w:rPr>
        <w:t>to capture diverse urban settings and socio-economic backgrounds. A multistage purposi</w:t>
      </w:r>
      <w:r w:rsidR="00A31275">
        <w:rPr>
          <w:rFonts w:ascii="Arial" w:hAnsi="Arial" w:cs="Arial"/>
          <w:lang w:val="en-IN"/>
        </w:rPr>
        <w:t>ve sampling method was used</w:t>
      </w:r>
      <w:r w:rsidRPr="005A7C6A">
        <w:rPr>
          <w:rFonts w:ascii="Arial" w:hAnsi="Arial" w:cs="Arial"/>
          <w:lang w:val="en-IN"/>
        </w:rPr>
        <w:t>. From each zone, three areas were chosen purposively, giving a total of twelve areas. In each area, ten households were selected, resulting in a total sample of 120 households. The sample included residents from three different residential categories: gated communities, standalone apartments, and independent houses, ensuring representation across socio-economic levels.</w:t>
      </w:r>
    </w:p>
    <w:p w14:paraId="08604525" w14:textId="77777777" w:rsidR="005A7C6A" w:rsidRPr="005A7C6A" w:rsidRDefault="005A7C6A" w:rsidP="005A7C6A">
      <w:pPr>
        <w:pStyle w:val="Body"/>
        <w:spacing w:after="0"/>
        <w:rPr>
          <w:rFonts w:ascii="Arial" w:hAnsi="Arial" w:cs="Arial"/>
          <w:lang w:val="en-IN"/>
        </w:rPr>
      </w:pPr>
      <w:r w:rsidRPr="005A7C6A">
        <w:rPr>
          <w:rFonts w:ascii="Arial" w:hAnsi="Arial" w:cs="Arial"/>
          <w:lang w:val="en-IN"/>
        </w:rPr>
        <w:t>A structured schedule was used to collect data on consumer preferences for urban farming kits and services. Respondents were a</w:t>
      </w:r>
      <w:r w:rsidR="00852FD9">
        <w:rPr>
          <w:rFonts w:ascii="Arial" w:hAnsi="Arial" w:cs="Arial"/>
          <w:lang w:val="en-IN"/>
        </w:rPr>
        <w:t xml:space="preserve">sked to rate various attributes </w:t>
      </w:r>
      <w:r w:rsidRPr="005A7C6A">
        <w:rPr>
          <w:rFonts w:ascii="Arial" w:hAnsi="Arial" w:cs="Arial"/>
          <w:lang w:val="en-IN"/>
        </w:rPr>
        <w:t xml:space="preserve">such as kit design, digital support, ease of use, maintenance requirements, eco-friendly </w:t>
      </w:r>
      <w:r w:rsidR="00852FD9">
        <w:rPr>
          <w:rFonts w:ascii="Arial" w:hAnsi="Arial" w:cs="Arial"/>
          <w:lang w:val="en-IN"/>
        </w:rPr>
        <w:t xml:space="preserve">materials, and aesthetic appeal </w:t>
      </w:r>
      <w:r w:rsidRPr="005A7C6A">
        <w:rPr>
          <w:rFonts w:ascii="Arial" w:hAnsi="Arial" w:cs="Arial"/>
          <w:lang w:val="en-IN"/>
        </w:rPr>
        <w:t xml:space="preserve">using a five-point Likert scale (1 = strongly disagree, 5 = strongly agree). </w:t>
      </w:r>
    </w:p>
    <w:p w14:paraId="70495C47" w14:textId="77777777" w:rsidR="00B95236" w:rsidRDefault="00B95236" w:rsidP="00441B6F">
      <w:pPr>
        <w:pStyle w:val="Body"/>
        <w:spacing w:after="0"/>
        <w:rPr>
          <w:rFonts w:ascii="Arial" w:hAnsi="Arial" w:cs="Arial"/>
        </w:rPr>
      </w:pPr>
    </w:p>
    <w:p w14:paraId="496606B4" w14:textId="77777777" w:rsidR="005A7C6A" w:rsidRDefault="005A7C6A" w:rsidP="005A7C6A">
      <w:pPr>
        <w:pStyle w:val="Body"/>
        <w:spacing w:after="0"/>
        <w:rPr>
          <w:rFonts w:ascii="Arial" w:hAnsi="Arial" w:cs="Arial"/>
          <w:b/>
          <w:bCs/>
          <w:lang w:val="en-IN"/>
        </w:rPr>
      </w:pPr>
      <w:r w:rsidRPr="005A7C6A">
        <w:rPr>
          <w:rFonts w:ascii="Arial" w:hAnsi="Arial" w:cs="Arial"/>
          <w:b/>
          <w:bCs/>
          <w:lang w:val="en-IN"/>
        </w:rPr>
        <w:t>2.2 Analytical Framework</w:t>
      </w:r>
    </w:p>
    <w:p w14:paraId="6A1C0B6B" w14:textId="77777777" w:rsidR="005A7C6A" w:rsidRPr="005A7C6A" w:rsidRDefault="005A7C6A" w:rsidP="005A7C6A">
      <w:pPr>
        <w:pStyle w:val="Body"/>
        <w:spacing w:after="0"/>
        <w:rPr>
          <w:rFonts w:ascii="Arial" w:hAnsi="Arial" w:cs="Arial"/>
          <w:b/>
          <w:bCs/>
          <w:lang w:val="en-IN"/>
        </w:rPr>
      </w:pPr>
    </w:p>
    <w:p w14:paraId="50EEF484" w14:textId="77777777" w:rsidR="005A7C6A" w:rsidRPr="005A7C6A" w:rsidRDefault="005A7C6A" w:rsidP="005A7C6A">
      <w:pPr>
        <w:pStyle w:val="Body"/>
        <w:spacing w:after="0"/>
        <w:rPr>
          <w:rFonts w:ascii="Arial" w:hAnsi="Arial" w:cs="Arial"/>
          <w:lang w:val="en-IN"/>
        </w:rPr>
      </w:pPr>
      <w:r w:rsidRPr="005A7C6A">
        <w:rPr>
          <w:rFonts w:ascii="Arial" w:hAnsi="Arial" w:cs="Arial"/>
          <w:lang w:val="en-IN"/>
        </w:rPr>
        <w:t xml:space="preserve">To identify the underlying factors influencing consumer preferences, </w:t>
      </w:r>
      <w:r w:rsidRPr="005A7C6A">
        <w:rPr>
          <w:rFonts w:ascii="Arial" w:hAnsi="Arial" w:cs="Arial"/>
          <w:bCs/>
          <w:lang w:val="en-IN"/>
        </w:rPr>
        <w:t>factor analysis</w:t>
      </w:r>
      <w:r w:rsidRPr="005A7C6A">
        <w:rPr>
          <w:rFonts w:ascii="Arial" w:hAnsi="Arial" w:cs="Arial"/>
          <w:lang w:val="en-IN"/>
        </w:rPr>
        <w:t xml:space="preserve"> was applied using SPSS. Before analysis, the adequacy of the data was tested using the Kaiser-Meyer-Olkin (KMO) measure and Bartlett’s T</w:t>
      </w:r>
      <w:r w:rsidR="00852FD9">
        <w:rPr>
          <w:rFonts w:ascii="Arial" w:hAnsi="Arial" w:cs="Arial"/>
          <w:lang w:val="en-IN"/>
        </w:rPr>
        <w:t>est of Sphericity</w:t>
      </w:r>
      <w:r w:rsidRPr="005A7C6A">
        <w:rPr>
          <w:rFonts w:ascii="Arial" w:hAnsi="Arial" w:cs="Arial"/>
          <w:lang w:val="en-IN"/>
        </w:rPr>
        <w:t>. Factor analysis helped group related attributes into common factors, reducing data complexity and revealing key dimensions of consumer preferences. Principal Component Analysis (PCA) with Varimax rotation was used to extract factors with eigenvalues greater than one, ensuring a robust solution. Variables with factor loadings above 0.50 were considered significant for inclusion in each factor.</w:t>
      </w:r>
    </w:p>
    <w:p w14:paraId="7A275453" w14:textId="77777777" w:rsidR="005A7C6A" w:rsidRPr="005A7C6A" w:rsidRDefault="005A7C6A" w:rsidP="005A7C6A">
      <w:pPr>
        <w:pStyle w:val="Body"/>
        <w:spacing w:after="0"/>
        <w:rPr>
          <w:rFonts w:ascii="Arial" w:hAnsi="Arial" w:cs="Arial"/>
          <w:lang w:val="en-IN"/>
        </w:rPr>
      </w:pPr>
      <w:r w:rsidRPr="005A7C6A">
        <w:rPr>
          <w:rFonts w:ascii="Arial" w:hAnsi="Arial" w:cs="Arial"/>
          <w:lang w:val="en-IN"/>
        </w:rPr>
        <w:t xml:space="preserve">To examine differences in preferences across residential categories, </w:t>
      </w:r>
      <w:r w:rsidRPr="005A7C6A">
        <w:rPr>
          <w:rFonts w:ascii="Arial" w:hAnsi="Arial" w:cs="Arial"/>
          <w:bCs/>
          <w:lang w:val="en-IN"/>
        </w:rPr>
        <w:t>one-way Analysis of Variance (ANOVA)</w:t>
      </w:r>
      <w:r w:rsidRPr="005A7C6A">
        <w:rPr>
          <w:rFonts w:ascii="Arial" w:hAnsi="Arial" w:cs="Arial"/>
          <w:lang w:val="en-IN"/>
        </w:rPr>
        <w:t xml:space="preserve"> was conducted. The factor scores obtained from PCA were treated as dependent variables, while residential categories (gated communities, standalone apartments, independent houses) were considered independent variables. Post hoc analysis using Tukey’s HSD test was employed to identify specific group differences. Descriptive statistics such as mean, standard deviation, and confidence intervals were computed prior to ANOVA to assess central tendencies and va</w:t>
      </w:r>
      <w:r>
        <w:rPr>
          <w:rFonts w:ascii="Arial" w:hAnsi="Arial" w:cs="Arial"/>
          <w:lang w:val="en-IN"/>
        </w:rPr>
        <w:t xml:space="preserve">riability in consumer responses. </w:t>
      </w:r>
    </w:p>
    <w:p w14:paraId="51DAF554" w14:textId="77777777" w:rsidR="005A7C6A" w:rsidRDefault="005A7C6A" w:rsidP="00441B6F">
      <w:pPr>
        <w:pStyle w:val="Body"/>
        <w:spacing w:after="0"/>
        <w:rPr>
          <w:rFonts w:ascii="Arial" w:hAnsi="Arial" w:cs="Arial"/>
        </w:rPr>
      </w:pPr>
    </w:p>
    <w:p w14:paraId="5802770C" w14:textId="77777777" w:rsidR="00790ADA" w:rsidRDefault="00790ADA" w:rsidP="00441B6F">
      <w:pPr>
        <w:pStyle w:val="Body"/>
        <w:spacing w:after="0"/>
        <w:rPr>
          <w:rFonts w:ascii="Arial" w:hAnsi="Arial" w:cs="Arial"/>
        </w:rPr>
      </w:pPr>
    </w:p>
    <w:p w14:paraId="719DF7E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43C2C03" w14:textId="77777777" w:rsidR="00790ADA" w:rsidRPr="00FB3A86" w:rsidRDefault="00790ADA" w:rsidP="00441B6F">
      <w:pPr>
        <w:pStyle w:val="Head1"/>
        <w:spacing w:after="0"/>
        <w:jc w:val="both"/>
        <w:rPr>
          <w:rFonts w:ascii="Arial" w:hAnsi="Arial" w:cs="Arial"/>
        </w:rPr>
      </w:pPr>
    </w:p>
    <w:p w14:paraId="237159DD" w14:textId="77777777" w:rsidR="00790ADA" w:rsidRDefault="00790ADA" w:rsidP="00441B6F">
      <w:pPr>
        <w:pStyle w:val="Body"/>
        <w:spacing w:after="0"/>
        <w:rPr>
          <w:rFonts w:ascii="Arial" w:hAnsi="Arial" w:cs="Arial"/>
        </w:rPr>
      </w:pPr>
    </w:p>
    <w:p w14:paraId="4E9146E8" w14:textId="77777777" w:rsidR="00EE4C3D" w:rsidRDefault="00EE4C3D" w:rsidP="00EE4C3D">
      <w:pPr>
        <w:pStyle w:val="Body"/>
        <w:spacing w:after="0"/>
        <w:rPr>
          <w:rFonts w:ascii="Arial" w:hAnsi="Arial" w:cs="Arial"/>
          <w:b/>
          <w:bCs/>
          <w:lang w:val="en-IN"/>
        </w:rPr>
      </w:pPr>
      <w:r w:rsidRPr="00EE4C3D">
        <w:rPr>
          <w:rFonts w:ascii="Arial" w:hAnsi="Arial" w:cs="Arial"/>
          <w:b/>
          <w:bCs/>
          <w:lang w:val="en-IN"/>
        </w:rPr>
        <w:t>3.1 Descriptive Statistics</w:t>
      </w:r>
    </w:p>
    <w:p w14:paraId="365A0108" w14:textId="77777777" w:rsidR="007524AE" w:rsidRDefault="007524AE" w:rsidP="00EE4C3D">
      <w:pPr>
        <w:pStyle w:val="Body"/>
        <w:spacing w:after="0"/>
        <w:rPr>
          <w:rFonts w:ascii="Arial" w:hAnsi="Arial" w:cs="Arial"/>
          <w:b/>
          <w:bCs/>
          <w:lang w:val="en-IN"/>
        </w:rPr>
      </w:pPr>
    </w:p>
    <w:p w14:paraId="648C4A13" w14:textId="77777777" w:rsidR="00F17103" w:rsidRPr="00F17103" w:rsidRDefault="00F17103" w:rsidP="00F17103">
      <w:pPr>
        <w:pStyle w:val="Body"/>
        <w:spacing w:after="0"/>
        <w:rPr>
          <w:rFonts w:ascii="Arial" w:hAnsi="Arial" w:cs="Arial"/>
          <w:lang w:val="en-IN"/>
        </w:rPr>
      </w:pPr>
      <w:r w:rsidRPr="00F17103">
        <w:rPr>
          <w:rFonts w:ascii="Arial" w:hAnsi="Arial" w:cs="Arial"/>
          <w:lang w:val="en-IN"/>
        </w:rPr>
        <w:t>The sample predominantly consisted of younger and early middle-aged individuals. About 45% of respondents were aged 25–34 years, followed by 22.5% in the 35–44 age group. Respondents under 25 years represented 16.7%, indicating engagement of younger consumers in urban farming. Only 2.5% were aged 45–54, and 13.3% were 55 and above, showing limited participation among older adults.</w:t>
      </w:r>
    </w:p>
    <w:p w14:paraId="7502ADC4" w14:textId="77777777" w:rsidR="00F17103" w:rsidRPr="00F17103" w:rsidRDefault="00F17103" w:rsidP="00F17103">
      <w:pPr>
        <w:pStyle w:val="Body"/>
        <w:spacing w:after="0"/>
        <w:rPr>
          <w:rFonts w:ascii="Arial" w:hAnsi="Arial" w:cs="Arial"/>
          <w:lang w:val="en-IN"/>
        </w:rPr>
      </w:pPr>
      <w:r w:rsidRPr="00F17103">
        <w:rPr>
          <w:rFonts w:ascii="Arial" w:hAnsi="Arial" w:cs="Arial"/>
          <w:lang w:val="en-IN"/>
        </w:rPr>
        <w:lastRenderedPageBreak/>
        <w:t>Education levels were high: 49.2% held postgraduate degrees or higher, 37.5% had undergraduate degrees, 10% completed diploma or intermediate courses, and 3.3% had schooling up to the 10th standard. No respondents reported having no formal education.</w:t>
      </w:r>
    </w:p>
    <w:p w14:paraId="02D12381" w14:textId="77777777" w:rsidR="00F17103" w:rsidRPr="00F17103" w:rsidRDefault="00F17103" w:rsidP="00F17103">
      <w:pPr>
        <w:pStyle w:val="Body"/>
        <w:spacing w:after="0"/>
        <w:rPr>
          <w:rFonts w:ascii="Arial" w:hAnsi="Arial" w:cs="Arial"/>
          <w:lang w:val="en-IN"/>
        </w:rPr>
      </w:pPr>
      <w:r w:rsidRPr="00F17103">
        <w:rPr>
          <w:rFonts w:ascii="Arial" w:hAnsi="Arial" w:cs="Arial"/>
          <w:lang w:val="en-IN"/>
        </w:rPr>
        <w:t>Occupationally, private sector employees formed the largest group (34.2%), followed by students (27.5%) and government employees (19.2%). Business owners accounted for 12.5%, and homemakers 6.7%. No retired participants were included.</w:t>
      </w:r>
    </w:p>
    <w:p w14:paraId="2C4BC389" w14:textId="77777777" w:rsidR="00F17103" w:rsidRPr="00F17103" w:rsidRDefault="00F17103" w:rsidP="00F17103">
      <w:pPr>
        <w:pStyle w:val="Body"/>
        <w:spacing w:after="0"/>
        <w:rPr>
          <w:rFonts w:ascii="Arial" w:hAnsi="Arial" w:cs="Arial"/>
          <w:lang w:val="en-IN"/>
        </w:rPr>
      </w:pPr>
      <w:r w:rsidRPr="00F17103">
        <w:rPr>
          <w:rFonts w:ascii="Arial" w:hAnsi="Arial" w:cs="Arial"/>
          <w:lang w:val="en-IN"/>
        </w:rPr>
        <w:t>Regarding family size, most households (70%) had 3–4 members, 21.7% had 5–6 members, while smaller (1–2 members) and larger households (&gt;6 members) were less common. This indicates that medium-sized nuclear families represent the primary consumer segment for urban farming products in Hyderabad.</w:t>
      </w:r>
    </w:p>
    <w:p w14:paraId="1093438E" w14:textId="77777777" w:rsidR="00EE4C3D" w:rsidRDefault="00EE4C3D" w:rsidP="00EE4C3D">
      <w:pPr>
        <w:pStyle w:val="Body"/>
        <w:spacing w:after="0"/>
        <w:rPr>
          <w:rFonts w:ascii="Arial" w:hAnsi="Arial" w:cs="Arial"/>
          <w:lang w:val="en-IN"/>
        </w:rPr>
      </w:pPr>
    </w:p>
    <w:p w14:paraId="7C935069" w14:textId="77777777" w:rsidR="00EE4C3D" w:rsidRDefault="00EE4C3D" w:rsidP="00EE4C3D">
      <w:pPr>
        <w:pStyle w:val="Body"/>
        <w:spacing w:after="0"/>
        <w:rPr>
          <w:rFonts w:ascii="Arial" w:hAnsi="Arial" w:cs="Arial"/>
          <w:b/>
          <w:lang w:val="en-IN"/>
        </w:rPr>
      </w:pPr>
      <w:r w:rsidRPr="00EE4C3D">
        <w:rPr>
          <w:rFonts w:ascii="Arial" w:hAnsi="Arial" w:cs="Arial"/>
          <w:b/>
          <w:lang w:val="en-IN"/>
        </w:rPr>
        <w:t>3.2 Consumer preference Dimensions</w:t>
      </w:r>
    </w:p>
    <w:p w14:paraId="3A80C455" w14:textId="77777777" w:rsidR="00EE4C3D" w:rsidRPr="00EE4C3D" w:rsidRDefault="00EE4C3D" w:rsidP="00EE4C3D">
      <w:pPr>
        <w:pStyle w:val="Body"/>
        <w:spacing w:after="0"/>
        <w:rPr>
          <w:rFonts w:ascii="Arial" w:hAnsi="Arial" w:cs="Arial"/>
          <w:lang w:val="en-IN"/>
        </w:rPr>
      </w:pPr>
    </w:p>
    <w:p w14:paraId="6988117B" w14:textId="0FD22890" w:rsidR="00F17103" w:rsidRPr="00F17103" w:rsidRDefault="00F17103" w:rsidP="00F17103">
      <w:pPr>
        <w:pStyle w:val="Body"/>
        <w:spacing w:after="0"/>
        <w:rPr>
          <w:rFonts w:ascii="Arial" w:hAnsi="Arial" w:cs="Arial"/>
          <w:lang w:val="en-IN"/>
        </w:rPr>
      </w:pPr>
      <w:r w:rsidRPr="00F17103">
        <w:rPr>
          <w:rFonts w:ascii="Arial" w:hAnsi="Arial" w:cs="Arial"/>
          <w:lang w:val="en-IN"/>
        </w:rPr>
        <w:t xml:space="preserve">Factor analysis was conducted to identify the underlying dimensions of consumer preferences for urban farming products. The data were suitable for analysis, with a </w:t>
      </w:r>
      <w:r w:rsidRPr="00F17103">
        <w:rPr>
          <w:rFonts w:ascii="Arial" w:hAnsi="Arial" w:cs="Arial"/>
          <w:bCs/>
          <w:lang w:val="en-IN"/>
        </w:rPr>
        <w:t>Kaiser-Meyer-Olkin (KMO) value of 0.754</w:t>
      </w:r>
      <w:r w:rsidRPr="00F17103">
        <w:rPr>
          <w:rFonts w:ascii="Arial" w:hAnsi="Arial" w:cs="Arial"/>
          <w:lang w:val="en-IN"/>
        </w:rPr>
        <w:t xml:space="preserve"> and a significant </w:t>
      </w:r>
      <w:r w:rsidRPr="00F17103">
        <w:rPr>
          <w:rFonts w:ascii="Arial" w:hAnsi="Arial" w:cs="Arial"/>
          <w:bCs/>
          <w:lang w:val="en-IN"/>
        </w:rPr>
        <w:t>Bartlett’s Test of Sphericity (χ</w:t>
      </w:r>
      <w:proofErr w:type="gramStart"/>
      <w:r w:rsidRPr="00F17103">
        <w:rPr>
          <w:rFonts w:ascii="Arial" w:hAnsi="Arial" w:cs="Arial"/>
          <w:bCs/>
          <w:lang w:val="en-IN"/>
        </w:rPr>
        <w:t>²(</w:t>
      </w:r>
      <w:proofErr w:type="gramEnd"/>
      <w:r w:rsidRPr="00F17103">
        <w:rPr>
          <w:rFonts w:ascii="Arial" w:hAnsi="Arial" w:cs="Arial"/>
          <w:bCs/>
          <w:lang w:val="en-IN"/>
        </w:rPr>
        <w:t>45) = 681.673, P &lt; 0.001)</w:t>
      </w:r>
      <w:r w:rsidRPr="00F17103">
        <w:rPr>
          <w:rFonts w:ascii="Arial" w:hAnsi="Arial" w:cs="Arial"/>
          <w:lang w:val="en-IN"/>
        </w:rPr>
        <w:t xml:space="preserve">. </w:t>
      </w:r>
      <w:r w:rsidR="00743000">
        <w:rPr>
          <w:rFonts w:ascii="Arial" w:hAnsi="Arial" w:cs="Arial"/>
          <w:lang w:val="en-IN"/>
        </w:rPr>
        <w:t>A scree plot (Figure 2</w:t>
      </w:r>
      <w:r w:rsidR="00743000" w:rsidRPr="00743000">
        <w:rPr>
          <w:rFonts w:ascii="Arial" w:hAnsi="Arial" w:cs="Arial"/>
          <w:lang w:val="en-IN"/>
        </w:rPr>
        <w:t>) was used to determine the number of factors to retain, showing a clear elbow at the second component and supporting the extraction of two factors, which together explained 63.65% of the total variance (Table 1).</w:t>
      </w:r>
    </w:p>
    <w:p w14:paraId="24138376" w14:textId="77777777" w:rsidR="00F17103" w:rsidRPr="00F17103" w:rsidRDefault="00F17103" w:rsidP="00F17103">
      <w:pPr>
        <w:pStyle w:val="Body"/>
        <w:spacing w:after="0"/>
        <w:rPr>
          <w:rFonts w:ascii="Arial" w:hAnsi="Arial" w:cs="Arial"/>
          <w:lang w:val="en-IN"/>
        </w:rPr>
      </w:pPr>
      <w:r w:rsidRPr="00F17103">
        <w:rPr>
          <w:rFonts w:ascii="Arial" w:hAnsi="Arial" w:cs="Arial"/>
          <w:bCs/>
          <w:lang w:val="en-IN"/>
        </w:rPr>
        <w:t>Factor 1</w:t>
      </w:r>
      <w:r w:rsidRPr="00F17103">
        <w:rPr>
          <w:rFonts w:ascii="Arial" w:hAnsi="Arial" w:cs="Arial"/>
          <w:lang w:val="en-IN"/>
        </w:rPr>
        <w:t xml:space="preserve">, </w:t>
      </w:r>
      <w:proofErr w:type="spellStart"/>
      <w:r w:rsidRPr="00F17103">
        <w:rPr>
          <w:rFonts w:ascii="Arial" w:hAnsi="Arial" w:cs="Arial"/>
          <w:lang w:val="en-IN"/>
        </w:rPr>
        <w:t>labeled</w:t>
      </w:r>
      <w:proofErr w:type="spellEnd"/>
      <w:r w:rsidRPr="00F17103">
        <w:rPr>
          <w:rFonts w:ascii="Arial" w:hAnsi="Arial" w:cs="Arial"/>
          <w:lang w:val="en-IN"/>
        </w:rPr>
        <w:t xml:space="preserve"> </w:t>
      </w:r>
      <w:r w:rsidRPr="00F17103">
        <w:rPr>
          <w:rFonts w:ascii="Arial" w:hAnsi="Arial" w:cs="Arial"/>
          <w:bCs/>
          <w:lang w:val="en-IN"/>
        </w:rPr>
        <w:t>“Kit Value and Flexibility,”</w:t>
      </w:r>
      <w:r w:rsidRPr="00F17103">
        <w:rPr>
          <w:rFonts w:ascii="Arial" w:hAnsi="Arial" w:cs="Arial"/>
          <w:lang w:val="en-IN"/>
        </w:rPr>
        <w:t xml:space="preserve"> included attributes such as digital support (0.856), modular/customizable design (0.852), organic seeds and compost (0.804), aesthetically appealing design (0.735), expandable components (0.721), eco-friendly materials (0.705), and high-quality features (0.590).</w:t>
      </w:r>
    </w:p>
    <w:p w14:paraId="1BA70F4D" w14:textId="77777777" w:rsidR="00F17103" w:rsidRPr="00F17103" w:rsidRDefault="00F17103" w:rsidP="00F17103">
      <w:pPr>
        <w:pStyle w:val="Body"/>
        <w:spacing w:after="0"/>
        <w:rPr>
          <w:rFonts w:ascii="Arial" w:hAnsi="Arial" w:cs="Arial"/>
          <w:lang w:val="en-IN"/>
        </w:rPr>
      </w:pPr>
      <w:r w:rsidRPr="00F17103">
        <w:rPr>
          <w:rFonts w:ascii="Arial" w:hAnsi="Arial" w:cs="Arial"/>
          <w:bCs/>
          <w:lang w:val="en-IN"/>
        </w:rPr>
        <w:t>Factor 2</w:t>
      </w:r>
      <w:r w:rsidRPr="00F17103">
        <w:rPr>
          <w:rFonts w:ascii="Arial" w:hAnsi="Arial" w:cs="Arial"/>
          <w:lang w:val="en-IN"/>
        </w:rPr>
        <w:t xml:space="preserve">, </w:t>
      </w:r>
      <w:proofErr w:type="spellStart"/>
      <w:r w:rsidRPr="00F17103">
        <w:rPr>
          <w:rFonts w:ascii="Arial" w:hAnsi="Arial" w:cs="Arial"/>
          <w:lang w:val="en-IN"/>
        </w:rPr>
        <w:t>labeled</w:t>
      </w:r>
      <w:proofErr w:type="spellEnd"/>
      <w:r w:rsidRPr="00F17103">
        <w:rPr>
          <w:rFonts w:ascii="Arial" w:hAnsi="Arial" w:cs="Arial"/>
          <w:lang w:val="en-IN"/>
        </w:rPr>
        <w:t xml:space="preserve"> </w:t>
      </w:r>
      <w:r w:rsidRPr="00F17103">
        <w:rPr>
          <w:rFonts w:ascii="Arial" w:hAnsi="Arial" w:cs="Arial"/>
          <w:bCs/>
          <w:lang w:val="en-IN"/>
        </w:rPr>
        <w:t>“User Convenience,”</w:t>
      </w:r>
      <w:r w:rsidRPr="00F17103">
        <w:rPr>
          <w:rFonts w:ascii="Arial" w:hAnsi="Arial" w:cs="Arial"/>
          <w:lang w:val="en-IN"/>
        </w:rPr>
        <w:t xml:space="preserve"> comprised minimal effort and maintenance (0.922), easy setup (0.878), and reliable customer service (0.646). These results indicate that consumer evaluation is guided by a balance between functionality, premium features, and usability, providing insights for kit design and targeted marketing (Table 2).</w:t>
      </w:r>
    </w:p>
    <w:p w14:paraId="001EADB2" w14:textId="77777777" w:rsidR="00182E0D" w:rsidRDefault="00182E0D" w:rsidP="00441B6F">
      <w:pPr>
        <w:pStyle w:val="Body"/>
        <w:spacing w:after="0"/>
        <w:rPr>
          <w:rFonts w:ascii="Arial" w:hAnsi="Arial" w:cs="Arial"/>
        </w:rPr>
      </w:pPr>
    </w:p>
    <w:p w14:paraId="33FA3C10" w14:textId="77777777" w:rsidR="007524AE" w:rsidRDefault="003577BB" w:rsidP="00441B6F">
      <w:pPr>
        <w:pStyle w:val="Body"/>
        <w:spacing w:after="0"/>
        <w:rPr>
          <w:rFonts w:ascii="Arial" w:hAnsi="Arial" w:cs="Arial"/>
          <w:b/>
        </w:rPr>
      </w:pPr>
      <w:r w:rsidRPr="003577BB">
        <w:rPr>
          <w:rFonts w:ascii="Arial" w:hAnsi="Arial" w:cs="Arial"/>
          <w:b/>
        </w:rPr>
        <w:t>3.3 Differences in Consumer Preferences across Residential Categories</w:t>
      </w:r>
    </w:p>
    <w:p w14:paraId="21DF06B6" w14:textId="77777777" w:rsidR="003577BB" w:rsidRDefault="003577BB" w:rsidP="00441B6F">
      <w:pPr>
        <w:pStyle w:val="Body"/>
        <w:spacing w:after="0"/>
        <w:rPr>
          <w:rFonts w:ascii="Arial" w:hAnsi="Arial" w:cs="Arial"/>
          <w:b/>
        </w:rPr>
      </w:pPr>
    </w:p>
    <w:p w14:paraId="7045C3FC" w14:textId="3564DCEB" w:rsidR="00F17103" w:rsidRPr="00F17103" w:rsidRDefault="00F17103" w:rsidP="00F17103">
      <w:pPr>
        <w:pStyle w:val="Body"/>
        <w:spacing w:after="0"/>
        <w:rPr>
          <w:rFonts w:ascii="Arial" w:hAnsi="Arial" w:cs="Arial"/>
          <w:lang w:val="en-IN"/>
        </w:rPr>
      </w:pPr>
      <w:r w:rsidRPr="00F17103">
        <w:rPr>
          <w:rFonts w:ascii="Arial" w:hAnsi="Arial" w:cs="Arial"/>
          <w:lang w:val="en-IN"/>
        </w:rPr>
        <w:t>Descriptive statistics</w:t>
      </w:r>
      <w:r w:rsidR="004B006C">
        <w:rPr>
          <w:rFonts w:ascii="Arial" w:hAnsi="Arial" w:cs="Arial"/>
          <w:lang w:val="en-IN"/>
        </w:rPr>
        <w:t xml:space="preserve"> illustrated in figure 1,</w:t>
      </w:r>
      <w:r w:rsidRPr="00F17103">
        <w:rPr>
          <w:rFonts w:ascii="Arial" w:hAnsi="Arial" w:cs="Arial"/>
          <w:lang w:val="en-IN"/>
        </w:rPr>
        <w:t xml:space="preserve"> indicated that </w:t>
      </w:r>
      <w:r w:rsidRPr="00F17103">
        <w:rPr>
          <w:rFonts w:ascii="Arial" w:hAnsi="Arial" w:cs="Arial"/>
          <w:bCs/>
          <w:lang w:val="en-IN"/>
        </w:rPr>
        <w:t>gated community residents</w:t>
      </w:r>
      <w:r w:rsidRPr="00F17103">
        <w:rPr>
          <w:rFonts w:ascii="Arial" w:hAnsi="Arial" w:cs="Arial"/>
          <w:lang w:val="en-IN"/>
        </w:rPr>
        <w:t xml:space="preserve"> reported the highest mean scores for Kit Value and Flexibility (0.61), compared to independent houses (–0.30) and standalone apartments (–0.30). For User Convenience, gated communities scored 0.41, standalone apartments 0.34, and independent houses 0.07.</w:t>
      </w:r>
    </w:p>
    <w:p w14:paraId="3F7C9AE6" w14:textId="77777777" w:rsidR="00F17103" w:rsidRPr="00F17103" w:rsidRDefault="00F17103" w:rsidP="00F17103">
      <w:pPr>
        <w:pStyle w:val="Body"/>
        <w:spacing w:after="0"/>
        <w:rPr>
          <w:rFonts w:ascii="Arial" w:hAnsi="Arial" w:cs="Arial"/>
          <w:lang w:val="en-IN"/>
        </w:rPr>
      </w:pPr>
      <w:r w:rsidRPr="00F17103">
        <w:rPr>
          <w:rFonts w:ascii="Arial" w:hAnsi="Arial" w:cs="Arial"/>
          <w:lang w:val="en-IN"/>
        </w:rPr>
        <w:t>One-way ANOVA confirmed significant differences across residential categories. Kit Value and Flexibility showed highly significant variation (</w:t>
      </w:r>
      <w:proofErr w:type="gramStart"/>
      <w:r w:rsidRPr="00F17103">
        <w:rPr>
          <w:rFonts w:ascii="Arial" w:hAnsi="Arial" w:cs="Arial"/>
          <w:bCs/>
          <w:lang w:val="en-IN"/>
        </w:rPr>
        <w:t>F(</w:t>
      </w:r>
      <w:proofErr w:type="gramEnd"/>
      <w:r w:rsidRPr="00F17103">
        <w:rPr>
          <w:rFonts w:ascii="Arial" w:hAnsi="Arial" w:cs="Arial"/>
          <w:bCs/>
          <w:lang w:val="en-IN"/>
        </w:rPr>
        <w:t>2,117) = 13.55, P &lt; 0.001</w:t>
      </w:r>
      <w:r w:rsidRPr="00F17103">
        <w:rPr>
          <w:rFonts w:ascii="Arial" w:hAnsi="Arial" w:cs="Arial"/>
          <w:lang w:val="en-IN"/>
        </w:rPr>
        <w:t>), and User Convenience also differed significantly (</w:t>
      </w:r>
      <w:r w:rsidRPr="00F17103">
        <w:rPr>
          <w:rFonts w:ascii="Arial" w:hAnsi="Arial" w:cs="Arial"/>
          <w:bCs/>
          <w:lang w:val="en-IN"/>
        </w:rPr>
        <w:t>F(2,117) = 6.55, P = 0.002</w:t>
      </w:r>
      <w:r w:rsidRPr="00F17103">
        <w:rPr>
          <w:rFonts w:ascii="Arial" w:hAnsi="Arial" w:cs="Arial"/>
          <w:lang w:val="en-IN"/>
        </w:rPr>
        <w:t>) (Table 3).</w:t>
      </w:r>
    </w:p>
    <w:p w14:paraId="2A4F493D" w14:textId="77777777" w:rsidR="00F17103" w:rsidRPr="00F17103" w:rsidRDefault="00F17103" w:rsidP="00F17103">
      <w:pPr>
        <w:pStyle w:val="Body"/>
        <w:spacing w:after="0"/>
        <w:rPr>
          <w:rFonts w:ascii="Arial" w:hAnsi="Arial" w:cs="Arial"/>
          <w:lang w:val="en-IN"/>
        </w:rPr>
      </w:pPr>
      <w:r w:rsidRPr="00F17103">
        <w:rPr>
          <w:rFonts w:ascii="Arial" w:hAnsi="Arial" w:cs="Arial"/>
          <w:lang w:val="en-IN"/>
        </w:rPr>
        <w:t>Tukey HSD post hoc analysis revealed that gated community residents scored significantly higher for Kit Value and Flexibility than independent houses (mean difference = 0.918, P &lt; 0.001) and standalone apartments (mean difference = 0.914, P &lt; 0.001), while no significant difference was found between independent houses and standalone apartments (P = 1.000). For User Convenience, standalone apartment residents scored higher than gated community residents (mean difference = 0.763, P = 0.002). Differences between other groups were not statistically significant (Table 4).</w:t>
      </w:r>
    </w:p>
    <w:p w14:paraId="002C632E" w14:textId="77777777" w:rsidR="00F17103" w:rsidRDefault="00F17103" w:rsidP="00441B6F">
      <w:pPr>
        <w:pStyle w:val="Body"/>
        <w:spacing w:after="0"/>
        <w:rPr>
          <w:rFonts w:ascii="Arial" w:hAnsi="Arial" w:cs="Arial"/>
        </w:rPr>
      </w:pPr>
    </w:p>
    <w:p w14:paraId="6C1D788A" w14:textId="11A5A528" w:rsidR="00B548FC" w:rsidRPr="00743000" w:rsidRDefault="00A84B81" w:rsidP="00743000">
      <w:pPr>
        <w:pStyle w:val="Body"/>
        <w:spacing w:after="0"/>
        <w:rPr>
          <w:rFonts w:ascii="Arial" w:hAnsi="Arial" w:cs="Arial"/>
          <w:b/>
        </w:rPr>
      </w:pPr>
      <w:r>
        <w:rPr>
          <w:noProof/>
          <w:lang w:val="en-IN" w:eastAsia="en-IN"/>
        </w:rPr>
        <w:lastRenderedPageBreak/>
        <w:drawing>
          <wp:anchor distT="0" distB="0" distL="114300" distR="114300" simplePos="0" relativeHeight="251659264" behindDoc="0" locked="0" layoutInCell="1" allowOverlap="1" wp14:anchorId="4CB4425B" wp14:editId="2547D0D6">
            <wp:simplePos x="0" y="0"/>
            <wp:positionH relativeFrom="column">
              <wp:posOffset>0</wp:posOffset>
            </wp:positionH>
            <wp:positionV relativeFrom="paragraph">
              <wp:posOffset>0</wp:posOffset>
            </wp:positionV>
            <wp:extent cx="5128260" cy="1828800"/>
            <wp:effectExtent l="0" t="0" r="0" b="0"/>
            <wp:wrapTopAndBottom/>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B548FC" w:rsidRPr="00743000">
        <w:rPr>
          <w:rFonts w:ascii="Arial" w:hAnsi="Arial" w:cs="Arial"/>
          <w:b/>
        </w:rPr>
        <w:t xml:space="preserve">Figure 1. </w:t>
      </w:r>
      <w:r w:rsidR="004B006C" w:rsidRPr="00743000">
        <w:rPr>
          <w:rFonts w:ascii="Arial" w:hAnsi="Arial" w:cs="Arial"/>
          <w:b/>
        </w:rPr>
        <w:t>Mean Scores of Consumer Preferences for Kit Value and Flexibility and User Convenience Across Residential Categories</w:t>
      </w:r>
    </w:p>
    <w:p w14:paraId="78EF26EA" w14:textId="479FA7C8" w:rsidR="00B548FC" w:rsidRPr="00743000" w:rsidRDefault="00B548FC" w:rsidP="00B548FC">
      <w:pPr>
        <w:tabs>
          <w:tab w:val="left" w:pos="1077"/>
        </w:tabs>
        <w:rPr>
          <w:rFonts w:ascii="Arial" w:hAnsi="Arial" w:cs="Arial"/>
        </w:rPr>
      </w:pPr>
    </w:p>
    <w:p w14:paraId="0179DA4C" w14:textId="1A7FE6D6" w:rsidR="008154C7" w:rsidRPr="00743000" w:rsidRDefault="00743000" w:rsidP="00B548FC">
      <w:pPr>
        <w:rPr>
          <w:rFonts w:ascii="Arial" w:hAnsi="Arial" w:cs="Arial"/>
        </w:rPr>
      </w:pPr>
      <w:r w:rsidRPr="00743000">
        <w:rPr>
          <w:rFonts w:ascii="Arial" w:hAnsi="Arial" w:cs="Arial"/>
        </w:rPr>
        <w:t xml:space="preserve"> </w:t>
      </w:r>
    </w:p>
    <w:p w14:paraId="4D47C700" w14:textId="77777777" w:rsidR="00743000" w:rsidRPr="00743000" w:rsidRDefault="00743000" w:rsidP="00B548FC">
      <w:pPr>
        <w:rPr>
          <w:rFonts w:ascii="Arial" w:hAnsi="Arial" w:cs="Arial"/>
        </w:rPr>
      </w:pPr>
    </w:p>
    <w:p w14:paraId="55AA237D" w14:textId="37C75983" w:rsidR="00743000" w:rsidRPr="00743000" w:rsidRDefault="00743000" w:rsidP="00B548FC">
      <w:pPr>
        <w:rPr>
          <w:rFonts w:ascii="Arial" w:hAnsi="Arial" w:cs="Arial"/>
          <w:b/>
        </w:rPr>
        <w:sectPr w:rsidR="00743000" w:rsidRPr="00743000" w:rsidSect="00BA7084">
          <w:headerReference w:type="even" r:id="rId13"/>
          <w:headerReference w:type="default" r:id="rId14"/>
          <w:footerReference w:type="default" r:id="rId15"/>
          <w:headerReference w:type="first" r:id="rId16"/>
          <w:type w:val="continuous"/>
          <w:pgSz w:w="12240" w:h="15840"/>
          <w:pgMar w:top="1440" w:right="2016" w:bottom="2016" w:left="2016" w:header="720" w:footer="1123" w:gutter="0"/>
          <w:cols w:space="720"/>
          <w:docGrid w:linePitch="272"/>
        </w:sectPr>
      </w:pPr>
      <w:r w:rsidRPr="00743000">
        <w:rPr>
          <w:rFonts w:ascii="Arial" w:hAnsi="Arial" w:cs="Arial"/>
          <w:b/>
          <w:noProof/>
          <w:lang w:val="en-IN" w:eastAsia="en-IN"/>
        </w:rPr>
        <w:drawing>
          <wp:anchor distT="0" distB="0" distL="114300" distR="114300" simplePos="0" relativeHeight="251658240" behindDoc="1" locked="0" layoutInCell="1" allowOverlap="1" wp14:anchorId="7C548239" wp14:editId="7DCC7643">
            <wp:simplePos x="0" y="0"/>
            <wp:positionH relativeFrom="column">
              <wp:posOffset>9326</wp:posOffset>
            </wp:positionH>
            <wp:positionV relativeFrom="paragraph">
              <wp:posOffset>233239</wp:posOffset>
            </wp:positionV>
            <wp:extent cx="5212080" cy="3065145"/>
            <wp:effectExtent l="19050" t="19050" r="7620" b="1905"/>
            <wp:wrapNone/>
            <wp:docPr id="11" name="Drawing 10" descr="img.emf"/>
            <wp:cNvGraphicFramePr/>
            <a:graphic xmlns:a="http://schemas.openxmlformats.org/drawingml/2006/main">
              <a:graphicData uri="http://schemas.openxmlformats.org/drawingml/2006/picture">
                <pic:pic xmlns:pic="http://schemas.openxmlformats.org/drawingml/2006/picture">
                  <pic:nvPicPr>
                    <pic:cNvPr id="0" name="Picture 10" descr="img.emf"/>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5212080" cy="306514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743000">
        <w:rPr>
          <w:rFonts w:ascii="Arial" w:hAnsi="Arial" w:cs="Arial"/>
          <w:b/>
        </w:rPr>
        <w:t>Figure 2 Scree plot for Factor analysis</w:t>
      </w:r>
    </w:p>
    <w:p w14:paraId="672E7F65" w14:textId="77777777" w:rsidR="007524AE" w:rsidRPr="00E44A9D" w:rsidRDefault="009500A6" w:rsidP="007524AE">
      <w:pPr>
        <w:tabs>
          <w:tab w:val="left" w:pos="1080"/>
        </w:tabs>
        <w:rPr>
          <w:rStyle w:val="Strong"/>
          <w:rFonts w:ascii="Arial" w:hAnsi="Arial" w:cs="Arial"/>
        </w:rPr>
      </w:pPr>
      <w:r w:rsidRPr="00E44A9D">
        <w:rPr>
          <w:rFonts w:ascii="Arial" w:hAnsi="Arial" w:cs="Arial"/>
          <w:b/>
        </w:rPr>
        <w:lastRenderedPageBreak/>
        <w:t>Table 1.</w:t>
      </w:r>
      <w:r w:rsidR="00863BD3" w:rsidRPr="00E44A9D">
        <w:rPr>
          <w:rFonts w:ascii="Arial" w:hAnsi="Arial" w:cs="Arial"/>
          <w:b/>
        </w:rPr>
        <w:tab/>
      </w:r>
      <w:r w:rsidR="007524AE" w:rsidRPr="00E44A9D">
        <w:rPr>
          <w:rStyle w:val="Strong"/>
          <w:rFonts w:ascii="Arial" w:hAnsi="Arial" w:cs="Arial"/>
        </w:rPr>
        <w:t>Total variance explained of consumer preference attributes</w:t>
      </w:r>
    </w:p>
    <w:p w14:paraId="7DDA33D5" w14:textId="77777777" w:rsidR="00AC3567" w:rsidRPr="00AC3567" w:rsidRDefault="00AC3567" w:rsidP="00AC3567">
      <w:pPr>
        <w:tabs>
          <w:tab w:val="left" w:pos="1080"/>
        </w:tabs>
        <w:rPr>
          <w:lang w:val="en-IN"/>
        </w:rPr>
      </w:pPr>
    </w:p>
    <w:tbl>
      <w:tblPr>
        <w:tblW w:w="5000" w:type="pct"/>
        <w:tblCellMar>
          <w:left w:w="0" w:type="dxa"/>
          <w:right w:w="0" w:type="dxa"/>
        </w:tblCellMar>
        <w:tblLook w:val="0000" w:firstRow="0" w:lastRow="0" w:firstColumn="0" w:lastColumn="0" w:noHBand="0" w:noVBand="0"/>
      </w:tblPr>
      <w:tblGrid>
        <w:gridCol w:w="1179"/>
        <w:gridCol w:w="1015"/>
        <w:gridCol w:w="1328"/>
        <w:gridCol w:w="1342"/>
        <w:gridCol w:w="1105"/>
        <w:gridCol w:w="1328"/>
        <w:gridCol w:w="1342"/>
        <w:gridCol w:w="1075"/>
        <w:gridCol w:w="1328"/>
        <w:gridCol w:w="1342"/>
      </w:tblGrid>
      <w:tr w:rsidR="00AC3567" w:rsidRPr="00E44A9D" w14:paraId="2D7029C3" w14:textId="77777777" w:rsidTr="00E44A9D">
        <w:trPr>
          <w:cantSplit/>
        </w:trPr>
        <w:tc>
          <w:tcPr>
            <w:tcW w:w="476" w:type="pct"/>
            <w:vMerge w:val="restart"/>
            <w:tcBorders>
              <w:top w:val="single" w:sz="4" w:space="0" w:color="auto"/>
            </w:tcBorders>
            <w:vAlign w:val="bottom"/>
          </w:tcPr>
          <w:p w14:paraId="37037308" w14:textId="77777777" w:rsidR="00AC3567" w:rsidRPr="00E44A9D" w:rsidRDefault="00AC3567" w:rsidP="00A509FD">
            <w:pPr>
              <w:tabs>
                <w:tab w:val="left" w:pos="1080"/>
              </w:tabs>
              <w:rPr>
                <w:rFonts w:ascii="Arial" w:hAnsi="Arial" w:cs="Arial"/>
                <w:b/>
                <w:lang w:val="en-IN"/>
              </w:rPr>
            </w:pPr>
            <w:r w:rsidRPr="00E44A9D">
              <w:rPr>
                <w:rFonts w:ascii="Arial" w:hAnsi="Arial" w:cs="Arial"/>
                <w:b/>
                <w:lang w:val="en-IN"/>
              </w:rPr>
              <w:t>Component</w:t>
            </w:r>
          </w:p>
        </w:tc>
        <w:tc>
          <w:tcPr>
            <w:tcW w:w="1488" w:type="pct"/>
            <w:gridSpan w:val="3"/>
            <w:tcBorders>
              <w:top w:val="single" w:sz="4" w:space="0" w:color="auto"/>
            </w:tcBorders>
            <w:vAlign w:val="bottom"/>
          </w:tcPr>
          <w:p w14:paraId="1A60CF1A" w14:textId="77777777" w:rsidR="00AC3567" w:rsidRPr="00E44A9D" w:rsidRDefault="00AC3567" w:rsidP="00A509FD">
            <w:pPr>
              <w:tabs>
                <w:tab w:val="left" w:pos="1080"/>
              </w:tabs>
              <w:rPr>
                <w:rFonts w:ascii="Arial" w:hAnsi="Arial" w:cs="Arial"/>
                <w:b/>
                <w:lang w:val="en-IN"/>
              </w:rPr>
            </w:pPr>
            <w:r w:rsidRPr="00E44A9D">
              <w:rPr>
                <w:rFonts w:ascii="Arial" w:hAnsi="Arial" w:cs="Arial"/>
                <w:b/>
                <w:lang w:val="en-IN"/>
              </w:rPr>
              <w:t>Initial Eigenvalues</w:t>
            </w:r>
          </w:p>
        </w:tc>
        <w:tc>
          <w:tcPr>
            <w:tcW w:w="1524" w:type="pct"/>
            <w:gridSpan w:val="3"/>
            <w:tcBorders>
              <w:top w:val="single" w:sz="4" w:space="0" w:color="auto"/>
            </w:tcBorders>
            <w:vAlign w:val="bottom"/>
          </w:tcPr>
          <w:p w14:paraId="0EF5E015" w14:textId="77777777" w:rsidR="00AC3567" w:rsidRPr="00E44A9D" w:rsidRDefault="00AC3567" w:rsidP="00A509FD">
            <w:pPr>
              <w:tabs>
                <w:tab w:val="left" w:pos="1080"/>
              </w:tabs>
              <w:rPr>
                <w:rFonts w:ascii="Arial" w:hAnsi="Arial" w:cs="Arial"/>
                <w:b/>
                <w:lang w:val="en-IN"/>
              </w:rPr>
            </w:pPr>
            <w:r w:rsidRPr="00E44A9D">
              <w:rPr>
                <w:rFonts w:ascii="Arial" w:hAnsi="Arial" w:cs="Arial"/>
                <w:b/>
                <w:lang w:val="en-IN"/>
              </w:rPr>
              <w:t>Extraction Sums of Squared Loadings</w:t>
            </w:r>
          </w:p>
        </w:tc>
        <w:tc>
          <w:tcPr>
            <w:tcW w:w="1512" w:type="pct"/>
            <w:gridSpan w:val="3"/>
            <w:tcBorders>
              <w:top w:val="single" w:sz="4" w:space="0" w:color="auto"/>
            </w:tcBorders>
            <w:vAlign w:val="bottom"/>
          </w:tcPr>
          <w:p w14:paraId="09A22B9F" w14:textId="77777777" w:rsidR="00AC3567" w:rsidRPr="00E44A9D" w:rsidRDefault="00AC3567" w:rsidP="00A509FD">
            <w:pPr>
              <w:tabs>
                <w:tab w:val="left" w:pos="1080"/>
              </w:tabs>
              <w:rPr>
                <w:rFonts w:ascii="Arial" w:hAnsi="Arial" w:cs="Arial"/>
                <w:b/>
                <w:lang w:val="en-IN"/>
              </w:rPr>
            </w:pPr>
            <w:r w:rsidRPr="00E44A9D">
              <w:rPr>
                <w:rFonts w:ascii="Arial" w:hAnsi="Arial" w:cs="Arial"/>
                <w:b/>
                <w:lang w:val="en-IN"/>
              </w:rPr>
              <w:t>Rotation Sums of Squared Loadings</w:t>
            </w:r>
          </w:p>
        </w:tc>
      </w:tr>
      <w:tr w:rsidR="00E44A9D" w:rsidRPr="00E44A9D" w14:paraId="523ABF14" w14:textId="77777777" w:rsidTr="00E44A9D">
        <w:trPr>
          <w:cantSplit/>
        </w:trPr>
        <w:tc>
          <w:tcPr>
            <w:tcW w:w="476" w:type="pct"/>
            <w:vMerge/>
            <w:tcBorders>
              <w:bottom w:val="single" w:sz="4" w:space="0" w:color="auto"/>
            </w:tcBorders>
            <w:vAlign w:val="bottom"/>
          </w:tcPr>
          <w:p w14:paraId="42FEDDC1" w14:textId="77777777" w:rsidR="00AC3567" w:rsidRPr="00E44A9D" w:rsidRDefault="00AC3567" w:rsidP="00A509FD">
            <w:pPr>
              <w:tabs>
                <w:tab w:val="left" w:pos="1080"/>
              </w:tabs>
              <w:rPr>
                <w:rFonts w:ascii="Arial" w:hAnsi="Arial" w:cs="Arial"/>
                <w:b/>
                <w:lang w:val="en-IN"/>
              </w:rPr>
            </w:pPr>
          </w:p>
        </w:tc>
        <w:tc>
          <w:tcPr>
            <w:tcW w:w="410" w:type="pct"/>
            <w:tcBorders>
              <w:bottom w:val="single" w:sz="4" w:space="0" w:color="auto"/>
            </w:tcBorders>
            <w:vAlign w:val="bottom"/>
          </w:tcPr>
          <w:p w14:paraId="468E0CA1" w14:textId="77777777" w:rsidR="00AC3567" w:rsidRPr="00E44A9D" w:rsidRDefault="00AC3567" w:rsidP="00A509FD">
            <w:pPr>
              <w:tabs>
                <w:tab w:val="left" w:pos="1080"/>
              </w:tabs>
              <w:rPr>
                <w:rFonts w:ascii="Arial" w:hAnsi="Arial" w:cs="Arial"/>
                <w:b/>
                <w:lang w:val="en-IN"/>
              </w:rPr>
            </w:pPr>
            <w:r w:rsidRPr="00E44A9D">
              <w:rPr>
                <w:rFonts w:ascii="Arial" w:hAnsi="Arial" w:cs="Arial"/>
                <w:b/>
                <w:lang w:val="en-IN"/>
              </w:rPr>
              <w:t>Total</w:t>
            </w:r>
          </w:p>
        </w:tc>
        <w:tc>
          <w:tcPr>
            <w:tcW w:w="536" w:type="pct"/>
            <w:tcBorders>
              <w:bottom w:val="single" w:sz="4" w:space="0" w:color="auto"/>
            </w:tcBorders>
            <w:vAlign w:val="bottom"/>
          </w:tcPr>
          <w:p w14:paraId="52875C52" w14:textId="77777777" w:rsidR="00AC3567" w:rsidRPr="00E44A9D" w:rsidRDefault="00AC3567" w:rsidP="00A509FD">
            <w:pPr>
              <w:tabs>
                <w:tab w:val="left" w:pos="1080"/>
              </w:tabs>
              <w:rPr>
                <w:rFonts w:ascii="Arial" w:hAnsi="Arial" w:cs="Arial"/>
                <w:b/>
                <w:lang w:val="en-IN"/>
              </w:rPr>
            </w:pPr>
            <w:r w:rsidRPr="00E44A9D">
              <w:rPr>
                <w:rFonts w:ascii="Arial" w:hAnsi="Arial" w:cs="Arial"/>
                <w:b/>
                <w:lang w:val="en-IN"/>
              </w:rPr>
              <w:t>% of Variance</w:t>
            </w:r>
          </w:p>
        </w:tc>
        <w:tc>
          <w:tcPr>
            <w:tcW w:w="542" w:type="pct"/>
            <w:tcBorders>
              <w:bottom w:val="single" w:sz="4" w:space="0" w:color="auto"/>
            </w:tcBorders>
            <w:vAlign w:val="bottom"/>
          </w:tcPr>
          <w:p w14:paraId="2DED9BD8" w14:textId="77777777" w:rsidR="00AC3567" w:rsidRPr="00E44A9D" w:rsidRDefault="00AC3567" w:rsidP="00A509FD">
            <w:pPr>
              <w:tabs>
                <w:tab w:val="left" w:pos="1080"/>
              </w:tabs>
              <w:rPr>
                <w:rFonts w:ascii="Arial" w:hAnsi="Arial" w:cs="Arial"/>
                <w:b/>
                <w:lang w:val="en-IN"/>
              </w:rPr>
            </w:pPr>
            <w:r w:rsidRPr="00E44A9D">
              <w:rPr>
                <w:rFonts w:ascii="Arial" w:hAnsi="Arial" w:cs="Arial"/>
                <w:b/>
                <w:lang w:val="en-IN"/>
              </w:rPr>
              <w:t>Cumulative %</w:t>
            </w:r>
          </w:p>
        </w:tc>
        <w:tc>
          <w:tcPr>
            <w:tcW w:w="446" w:type="pct"/>
            <w:tcBorders>
              <w:bottom w:val="single" w:sz="4" w:space="0" w:color="auto"/>
            </w:tcBorders>
            <w:vAlign w:val="bottom"/>
          </w:tcPr>
          <w:p w14:paraId="0F807015" w14:textId="77777777" w:rsidR="00AC3567" w:rsidRPr="00E44A9D" w:rsidRDefault="00AC3567" w:rsidP="00A509FD">
            <w:pPr>
              <w:tabs>
                <w:tab w:val="left" w:pos="1080"/>
              </w:tabs>
              <w:rPr>
                <w:rFonts w:ascii="Arial" w:hAnsi="Arial" w:cs="Arial"/>
                <w:b/>
                <w:lang w:val="en-IN"/>
              </w:rPr>
            </w:pPr>
            <w:r w:rsidRPr="00E44A9D">
              <w:rPr>
                <w:rFonts w:ascii="Arial" w:hAnsi="Arial" w:cs="Arial"/>
                <w:b/>
                <w:lang w:val="en-IN"/>
              </w:rPr>
              <w:t>Total</w:t>
            </w:r>
          </w:p>
        </w:tc>
        <w:tc>
          <w:tcPr>
            <w:tcW w:w="536" w:type="pct"/>
            <w:tcBorders>
              <w:bottom w:val="single" w:sz="4" w:space="0" w:color="auto"/>
            </w:tcBorders>
            <w:vAlign w:val="bottom"/>
          </w:tcPr>
          <w:p w14:paraId="4D589B76" w14:textId="77777777" w:rsidR="00AC3567" w:rsidRPr="00E44A9D" w:rsidRDefault="00AC3567" w:rsidP="00A509FD">
            <w:pPr>
              <w:tabs>
                <w:tab w:val="left" w:pos="1080"/>
              </w:tabs>
              <w:rPr>
                <w:rFonts w:ascii="Arial" w:hAnsi="Arial" w:cs="Arial"/>
                <w:b/>
                <w:lang w:val="en-IN"/>
              </w:rPr>
            </w:pPr>
            <w:r w:rsidRPr="00E44A9D">
              <w:rPr>
                <w:rFonts w:ascii="Arial" w:hAnsi="Arial" w:cs="Arial"/>
                <w:b/>
                <w:lang w:val="en-IN"/>
              </w:rPr>
              <w:t>% of Variance</w:t>
            </w:r>
          </w:p>
        </w:tc>
        <w:tc>
          <w:tcPr>
            <w:tcW w:w="542" w:type="pct"/>
            <w:tcBorders>
              <w:bottom w:val="single" w:sz="4" w:space="0" w:color="auto"/>
            </w:tcBorders>
            <w:vAlign w:val="bottom"/>
          </w:tcPr>
          <w:p w14:paraId="5B50E2CB" w14:textId="77777777" w:rsidR="00AC3567" w:rsidRPr="00E44A9D" w:rsidRDefault="00AC3567" w:rsidP="00A509FD">
            <w:pPr>
              <w:tabs>
                <w:tab w:val="left" w:pos="1080"/>
              </w:tabs>
              <w:rPr>
                <w:rFonts w:ascii="Arial" w:hAnsi="Arial" w:cs="Arial"/>
                <w:b/>
                <w:lang w:val="en-IN"/>
              </w:rPr>
            </w:pPr>
            <w:r w:rsidRPr="00E44A9D">
              <w:rPr>
                <w:rFonts w:ascii="Arial" w:hAnsi="Arial" w:cs="Arial"/>
                <w:b/>
                <w:lang w:val="en-IN"/>
              </w:rPr>
              <w:t>Cumulative %</w:t>
            </w:r>
          </w:p>
        </w:tc>
        <w:tc>
          <w:tcPr>
            <w:tcW w:w="434" w:type="pct"/>
            <w:tcBorders>
              <w:bottom w:val="single" w:sz="4" w:space="0" w:color="auto"/>
            </w:tcBorders>
            <w:vAlign w:val="bottom"/>
          </w:tcPr>
          <w:p w14:paraId="49197949" w14:textId="77777777" w:rsidR="00AC3567" w:rsidRPr="00E44A9D" w:rsidRDefault="00AC3567" w:rsidP="00A509FD">
            <w:pPr>
              <w:tabs>
                <w:tab w:val="left" w:pos="1080"/>
              </w:tabs>
              <w:rPr>
                <w:rFonts w:ascii="Arial" w:hAnsi="Arial" w:cs="Arial"/>
                <w:b/>
                <w:lang w:val="en-IN"/>
              </w:rPr>
            </w:pPr>
            <w:r w:rsidRPr="00E44A9D">
              <w:rPr>
                <w:rFonts w:ascii="Arial" w:hAnsi="Arial" w:cs="Arial"/>
                <w:b/>
                <w:lang w:val="en-IN"/>
              </w:rPr>
              <w:t>Total</w:t>
            </w:r>
          </w:p>
        </w:tc>
        <w:tc>
          <w:tcPr>
            <w:tcW w:w="536" w:type="pct"/>
            <w:tcBorders>
              <w:bottom w:val="single" w:sz="4" w:space="0" w:color="auto"/>
            </w:tcBorders>
            <w:vAlign w:val="bottom"/>
          </w:tcPr>
          <w:p w14:paraId="714EC2CD" w14:textId="77777777" w:rsidR="00AC3567" w:rsidRPr="00E44A9D" w:rsidRDefault="00AC3567" w:rsidP="00A509FD">
            <w:pPr>
              <w:tabs>
                <w:tab w:val="left" w:pos="1080"/>
              </w:tabs>
              <w:rPr>
                <w:rFonts w:ascii="Arial" w:hAnsi="Arial" w:cs="Arial"/>
                <w:b/>
                <w:lang w:val="en-IN"/>
              </w:rPr>
            </w:pPr>
            <w:r w:rsidRPr="00E44A9D">
              <w:rPr>
                <w:rFonts w:ascii="Arial" w:hAnsi="Arial" w:cs="Arial"/>
                <w:b/>
                <w:lang w:val="en-IN"/>
              </w:rPr>
              <w:t>% of Variance</w:t>
            </w:r>
          </w:p>
        </w:tc>
        <w:tc>
          <w:tcPr>
            <w:tcW w:w="542" w:type="pct"/>
            <w:tcBorders>
              <w:bottom w:val="single" w:sz="4" w:space="0" w:color="auto"/>
            </w:tcBorders>
            <w:vAlign w:val="bottom"/>
          </w:tcPr>
          <w:p w14:paraId="75943824" w14:textId="77777777" w:rsidR="00AC3567" w:rsidRPr="00E44A9D" w:rsidRDefault="00AC3567" w:rsidP="00A509FD">
            <w:pPr>
              <w:tabs>
                <w:tab w:val="left" w:pos="1080"/>
              </w:tabs>
              <w:rPr>
                <w:rFonts w:ascii="Arial" w:hAnsi="Arial" w:cs="Arial"/>
                <w:b/>
                <w:lang w:val="en-IN"/>
              </w:rPr>
            </w:pPr>
            <w:r w:rsidRPr="00E44A9D">
              <w:rPr>
                <w:rFonts w:ascii="Arial" w:hAnsi="Arial" w:cs="Arial"/>
                <w:b/>
                <w:lang w:val="en-IN"/>
              </w:rPr>
              <w:t>Cumulative %</w:t>
            </w:r>
          </w:p>
        </w:tc>
      </w:tr>
      <w:tr w:rsidR="00E44A9D" w:rsidRPr="00E44A9D" w14:paraId="3D854F95" w14:textId="77777777" w:rsidTr="00E44A9D">
        <w:trPr>
          <w:cantSplit/>
        </w:trPr>
        <w:tc>
          <w:tcPr>
            <w:tcW w:w="476" w:type="pct"/>
            <w:tcBorders>
              <w:top w:val="single" w:sz="4" w:space="0" w:color="auto"/>
            </w:tcBorders>
          </w:tcPr>
          <w:p w14:paraId="32C141CD"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1</w:t>
            </w:r>
          </w:p>
        </w:tc>
        <w:tc>
          <w:tcPr>
            <w:tcW w:w="410" w:type="pct"/>
            <w:tcBorders>
              <w:top w:val="single" w:sz="4" w:space="0" w:color="auto"/>
            </w:tcBorders>
          </w:tcPr>
          <w:p w14:paraId="3B061FA7"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4.168</w:t>
            </w:r>
          </w:p>
        </w:tc>
        <w:tc>
          <w:tcPr>
            <w:tcW w:w="536" w:type="pct"/>
            <w:tcBorders>
              <w:top w:val="single" w:sz="4" w:space="0" w:color="auto"/>
            </w:tcBorders>
          </w:tcPr>
          <w:p w14:paraId="74F91CC3"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41.678</w:t>
            </w:r>
          </w:p>
        </w:tc>
        <w:tc>
          <w:tcPr>
            <w:tcW w:w="542" w:type="pct"/>
            <w:tcBorders>
              <w:top w:val="single" w:sz="4" w:space="0" w:color="auto"/>
            </w:tcBorders>
          </w:tcPr>
          <w:p w14:paraId="13D14F8A"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41.678</w:t>
            </w:r>
          </w:p>
        </w:tc>
        <w:tc>
          <w:tcPr>
            <w:tcW w:w="446" w:type="pct"/>
            <w:tcBorders>
              <w:top w:val="single" w:sz="4" w:space="0" w:color="auto"/>
            </w:tcBorders>
          </w:tcPr>
          <w:p w14:paraId="5FE52DC8"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4.168</w:t>
            </w:r>
          </w:p>
        </w:tc>
        <w:tc>
          <w:tcPr>
            <w:tcW w:w="536" w:type="pct"/>
            <w:tcBorders>
              <w:top w:val="single" w:sz="4" w:space="0" w:color="auto"/>
            </w:tcBorders>
          </w:tcPr>
          <w:p w14:paraId="761A4AE3"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41.678</w:t>
            </w:r>
          </w:p>
        </w:tc>
        <w:tc>
          <w:tcPr>
            <w:tcW w:w="542" w:type="pct"/>
            <w:tcBorders>
              <w:top w:val="single" w:sz="4" w:space="0" w:color="auto"/>
            </w:tcBorders>
          </w:tcPr>
          <w:p w14:paraId="69B7E29E"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41.678</w:t>
            </w:r>
          </w:p>
        </w:tc>
        <w:tc>
          <w:tcPr>
            <w:tcW w:w="434" w:type="pct"/>
            <w:tcBorders>
              <w:top w:val="single" w:sz="4" w:space="0" w:color="auto"/>
            </w:tcBorders>
          </w:tcPr>
          <w:p w14:paraId="4E7DC6DA"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4.024</w:t>
            </w:r>
          </w:p>
        </w:tc>
        <w:tc>
          <w:tcPr>
            <w:tcW w:w="536" w:type="pct"/>
            <w:tcBorders>
              <w:top w:val="single" w:sz="4" w:space="0" w:color="auto"/>
            </w:tcBorders>
          </w:tcPr>
          <w:p w14:paraId="4A4271E9"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40.240</w:t>
            </w:r>
          </w:p>
        </w:tc>
        <w:tc>
          <w:tcPr>
            <w:tcW w:w="542" w:type="pct"/>
            <w:tcBorders>
              <w:top w:val="single" w:sz="4" w:space="0" w:color="auto"/>
            </w:tcBorders>
          </w:tcPr>
          <w:p w14:paraId="7218D3E1"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40.240</w:t>
            </w:r>
          </w:p>
        </w:tc>
      </w:tr>
      <w:tr w:rsidR="00E44A9D" w:rsidRPr="00E44A9D" w14:paraId="0AF3B37E" w14:textId="77777777" w:rsidTr="00E44A9D">
        <w:trPr>
          <w:cantSplit/>
        </w:trPr>
        <w:tc>
          <w:tcPr>
            <w:tcW w:w="476" w:type="pct"/>
          </w:tcPr>
          <w:p w14:paraId="3E4ACFE2"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2</w:t>
            </w:r>
          </w:p>
        </w:tc>
        <w:tc>
          <w:tcPr>
            <w:tcW w:w="410" w:type="pct"/>
          </w:tcPr>
          <w:p w14:paraId="5715F940"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2.197</w:t>
            </w:r>
          </w:p>
        </w:tc>
        <w:tc>
          <w:tcPr>
            <w:tcW w:w="536" w:type="pct"/>
          </w:tcPr>
          <w:p w14:paraId="0107F887"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21.974</w:t>
            </w:r>
          </w:p>
        </w:tc>
        <w:tc>
          <w:tcPr>
            <w:tcW w:w="542" w:type="pct"/>
          </w:tcPr>
          <w:p w14:paraId="29D5F237"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63.652</w:t>
            </w:r>
          </w:p>
        </w:tc>
        <w:tc>
          <w:tcPr>
            <w:tcW w:w="446" w:type="pct"/>
          </w:tcPr>
          <w:p w14:paraId="0FB9F10A"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2.197</w:t>
            </w:r>
          </w:p>
        </w:tc>
        <w:tc>
          <w:tcPr>
            <w:tcW w:w="536" w:type="pct"/>
          </w:tcPr>
          <w:p w14:paraId="6B60CF6E"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21.974</w:t>
            </w:r>
          </w:p>
        </w:tc>
        <w:tc>
          <w:tcPr>
            <w:tcW w:w="542" w:type="pct"/>
          </w:tcPr>
          <w:p w14:paraId="7C029965"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63.652</w:t>
            </w:r>
          </w:p>
        </w:tc>
        <w:tc>
          <w:tcPr>
            <w:tcW w:w="434" w:type="pct"/>
          </w:tcPr>
          <w:p w14:paraId="0AC3A59D"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2.341</w:t>
            </w:r>
          </w:p>
        </w:tc>
        <w:tc>
          <w:tcPr>
            <w:tcW w:w="536" w:type="pct"/>
          </w:tcPr>
          <w:p w14:paraId="0EB53D7F"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23.412</w:t>
            </w:r>
          </w:p>
        </w:tc>
        <w:tc>
          <w:tcPr>
            <w:tcW w:w="542" w:type="pct"/>
          </w:tcPr>
          <w:p w14:paraId="5A04F339"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63.652</w:t>
            </w:r>
          </w:p>
        </w:tc>
      </w:tr>
      <w:tr w:rsidR="00E44A9D" w:rsidRPr="00E44A9D" w14:paraId="72CB6E36" w14:textId="77777777" w:rsidTr="00E44A9D">
        <w:trPr>
          <w:cantSplit/>
        </w:trPr>
        <w:tc>
          <w:tcPr>
            <w:tcW w:w="476" w:type="pct"/>
          </w:tcPr>
          <w:p w14:paraId="42399DD3"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3</w:t>
            </w:r>
          </w:p>
        </w:tc>
        <w:tc>
          <w:tcPr>
            <w:tcW w:w="410" w:type="pct"/>
          </w:tcPr>
          <w:p w14:paraId="37687235"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.996</w:t>
            </w:r>
          </w:p>
        </w:tc>
        <w:tc>
          <w:tcPr>
            <w:tcW w:w="536" w:type="pct"/>
          </w:tcPr>
          <w:p w14:paraId="3CF22AD4"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9.960</w:t>
            </w:r>
          </w:p>
        </w:tc>
        <w:tc>
          <w:tcPr>
            <w:tcW w:w="542" w:type="pct"/>
          </w:tcPr>
          <w:p w14:paraId="3161DD1C"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73.612</w:t>
            </w:r>
          </w:p>
        </w:tc>
        <w:tc>
          <w:tcPr>
            <w:tcW w:w="446" w:type="pct"/>
            <w:vAlign w:val="center"/>
          </w:tcPr>
          <w:p w14:paraId="126C49B3" w14:textId="77777777" w:rsidR="00AC3567" w:rsidRPr="00E44A9D" w:rsidRDefault="00AC3567" w:rsidP="00A509FD">
            <w:pPr>
              <w:tabs>
                <w:tab w:val="left" w:pos="1080"/>
              </w:tabs>
              <w:rPr>
                <w:rFonts w:ascii="Arial" w:hAnsi="Arial" w:cs="Arial"/>
                <w:lang w:val="en-IN"/>
              </w:rPr>
            </w:pPr>
          </w:p>
        </w:tc>
        <w:tc>
          <w:tcPr>
            <w:tcW w:w="536" w:type="pct"/>
            <w:vAlign w:val="center"/>
          </w:tcPr>
          <w:p w14:paraId="5F54194A" w14:textId="77777777" w:rsidR="00AC3567" w:rsidRPr="00E44A9D" w:rsidRDefault="00AC3567" w:rsidP="00A509FD">
            <w:pPr>
              <w:tabs>
                <w:tab w:val="left" w:pos="1080"/>
              </w:tabs>
              <w:rPr>
                <w:rFonts w:ascii="Arial" w:hAnsi="Arial" w:cs="Arial"/>
                <w:lang w:val="en-IN"/>
              </w:rPr>
            </w:pPr>
          </w:p>
        </w:tc>
        <w:tc>
          <w:tcPr>
            <w:tcW w:w="542" w:type="pct"/>
            <w:vAlign w:val="center"/>
          </w:tcPr>
          <w:p w14:paraId="385B0DBD" w14:textId="77777777" w:rsidR="00AC3567" w:rsidRPr="00E44A9D" w:rsidRDefault="00AC3567" w:rsidP="00A509FD">
            <w:pPr>
              <w:tabs>
                <w:tab w:val="left" w:pos="1080"/>
              </w:tabs>
              <w:rPr>
                <w:rFonts w:ascii="Arial" w:hAnsi="Arial" w:cs="Arial"/>
                <w:lang w:val="en-IN"/>
              </w:rPr>
            </w:pPr>
          </w:p>
        </w:tc>
        <w:tc>
          <w:tcPr>
            <w:tcW w:w="434" w:type="pct"/>
            <w:vAlign w:val="center"/>
          </w:tcPr>
          <w:p w14:paraId="182AEE0B" w14:textId="77777777" w:rsidR="00AC3567" w:rsidRPr="00E44A9D" w:rsidRDefault="00AC3567" w:rsidP="00A509FD">
            <w:pPr>
              <w:tabs>
                <w:tab w:val="left" w:pos="1080"/>
              </w:tabs>
              <w:rPr>
                <w:rFonts w:ascii="Arial" w:hAnsi="Arial" w:cs="Arial"/>
                <w:lang w:val="en-IN"/>
              </w:rPr>
            </w:pPr>
          </w:p>
        </w:tc>
        <w:tc>
          <w:tcPr>
            <w:tcW w:w="536" w:type="pct"/>
            <w:vAlign w:val="center"/>
          </w:tcPr>
          <w:p w14:paraId="41FAE26E" w14:textId="77777777" w:rsidR="00AC3567" w:rsidRPr="00E44A9D" w:rsidRDefault="00AC3567" w:rsidP="00A509FD">
            <w:pPr>
              <w:tabs>
                <w:tab w:val="left" w:pos="1080"/>
              </w:tabs>
              <w:rPr>
                <w:rFonts w:ascii="Arial" w:hAnsi="Arial" w:cs="Arial"/>
                <w:lang w:val="en-IN"/>
              </w:rPr>
            </w:pPr>
          </w:p>
        </w:tc>
        <w:tc>
          <w:tcPr>
            <w:tcW w:w="542" w:type="pct"/>
            <w:vAlign w:val="center"/>
          </w:tcPr>
          <w:p w14:paraId="50CD65E9" w14:textId="77777777" w:rsidR="00AC3567" w:rsidRPr="00E44A9D" w:rsidRDefault="00AC3567" w:rsidP="00A509FD">
            <w:pPr>
              <w:tabs>
                <w:tab w:val="left" w:pos="1080"/>
              </w:tabs>
              <w:rPr>
                <w:rFonts w:ascii="Arial" w:hAnsi="Arial" w:cs="Arial"/>
                <w:lang w:val="en-IN"/>
              </w:rPr>
            </w:pPr>
          </w:p>
        </w:tc>
      </w:tr>
      <w:tr w:rsidR="00E44A9D" w:rsidRPr="00E44A9D" w14:paraId="27E5C549" w14:textId="77777777" w:rsidTr="00E44A9D">
        <w:trPr>
          <w:cantSplit/>
        </w:trPr>
        <w:tc>
          <w:tcPr>
            <w:tcW w:w="476" w:type="pct"/>
          </w:tcPr>
          <w:p w14:paraId="01501444"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4</w:t>
            </w:r>
          </w:p>
        </w:tc>
        <w:tc>
          <w:tcPr>
            <w:tcW w:w="410" w:type="pct"/>
          </w:tcPr>
          <w:p w14:paraId="782637E9"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.736</w:t>
            </w:r>
          </w:p>
        </w:tc>
        <w:tc>
          <w:tcPr>
            <w:tcW w:w="536" w:type="pct"/>
          </w:tcPr>
          <w:p w14:paraId="6D3BE339"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7.363</w:t>
            </w:r>
          </w:p>
        </w:tc>
        <w:tc>
          <w:tcPr>
            <w:tcW w:w="542" w:type="pct"/>
          </w:tcPr>
          <w:p w14:paraId="2D88F792"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80.976</w:t>
            </w:r>
          </w:p>
        </w:tc>
        <w:tc>
          <w:tcPr>
            <w:tcW w:w="446" w:type="pct"/>
            <w:vAlign w:val="center"/>
          </w:tcPr>
          <w:p w14:paraId="7A8E6B3C" w14:textId="77777777" w:rsidR="00AC3567" w:rsidRPr="00E44A9D" w:rsidRDefault="00AC3567" w:rsidP="00A509FD">
            <w:pPr>
              <w:tabs>
                <w:tab w:val="left" w:pos="1080"/>
              </w:tabs>
              <w:rPr>
                <w:rFonts w:ascii="Arial" w:hAnsi="Arial" w:cs="Arial"/>
                <w:lang w:val="en-IN"/>
              </w:rPr>
            </w:pPr>
          </w:p>
        </w:tc>
        <w:tc>
          <w:tcPr>
            <w:tcW w:w="536" w:type="pct"/>
            <w:vAlign w:val="center"/>
          </w:tcPr>
          <w:p w14:paraId="44B4DCC6" w14:textId="77777777" w:rsidR="00AC3567" w:rsidRPr="00E44A9D" w:rsidRDefault="00AC3567" w:rsidP="00A509FD">
            <w:pPr>
              <w:tabs>
                <w:tab w:val="left" w:pos="1080"/>
              </w:tabs>
              <w:rPr>
                <w:rFonts w:ascii="Arial" w:hAnsi="Arial" w:cs="Arial"/>
                <w:lang w:val="en-IN"/>
              </w:rPr>
            </w:pPr>
          </w:p>
        </w:tc>
        <w:tc>
          <w:tcPr>
            <w:tcW w:w="542" w:type="pct"/>
            <w:vAlign w:val="center"/>
          </w:tcPr>
          <w:p w14:paraId="69867B0F" w14:textId="77777777" w:rsidR="00AC3567" w:rsidRPr="00E44A9D" w:rsidRDefault="00AC3567" w:rsidP="00A509FD">
            <w:pPr>
              <w:tabs>
                <w:tab w:val="left" w:pos="1080"/>
              </w:tabs>
              <w:rPr>
                <w:rFonts w:ascii="Arial" w:hAnsi="Arial" w:cs="Arial"/>
                <w:lang w:val="en-IN"/>
              </w:rPr>
            </w:pPr>
          </w:p>
        </w:tc>
        <w:tc>
          <w:tcPr>
            <w:tcW w:w="434" w:type="pct"/>
            <w:vAlign w:val="center"/>
          </w:tcPr>
          <w:p w14:paraId="672BD433" w14:textId="77777777" w:rsidR="00AC3567" w:rsidRPr="00E44A9D" w:rsidRDefault="00AC3567" w:rsidP="00A509FD">
            <w:pPr>
              <w:tabs>
                <w:tab w:val="left" w:pos="1080"/>
              </w:tabs>
              <w:rPr>
                <w:rFonts w:ascii="Arial" w:hAnsi="Arial" w:cs="Arial"/>
                <w:lang w:val="en-IN"/>
              </w:rPr>
            </w:pPr>
          </w:p>
        </w:tc>
        <w:tc>
          <w:tcPr>
            <w:tcW w:w="536" w:type="pct"/>
            <w:vAlign w:val="center"/>
          </w:tcPr>
          <w:p w14:paraId="17789BFF" w14:textId="77777777" w:rsidR="00AC3567" w:rsidRPr="00E44A9D" w:rsidRDefault="00AC3567" w:rsidP="00A509FD">
            <w:pPr>
              <w:tabs>
                <w:tab w:val="left" w:pos="1080"/>
              </w:tabs>
              <w:rPr>
                <w:rFonts w:ascii="Arial" w:hAnsi="Arial" w:cs="Arial"/>
                <w:lang w:val="en-IN"/>
              </w:rPr>
            </w:pPr>
          </w:p>
        </w:tc>
        <w:tc>
          <w:tcPr>
            <w:tcW w:w="542" w:type="pct"/>
            <w:vAlign w:val="center"/>
          </w:tcPr>
          <w:p w14:paraId="09053598" w14:textId="77777777" w:rsidR="00AC3567" w:rsidRPr="00E44A9D" w:rsidRDefault="00AC3567" w:rsidP="00A509FD">
            <w:pPr>
              <w:tabs>
                <w:tab w:val="left" w:pos="1080"/>
              </w:tabs>
              <w:rPr>
                <w:rFonts w:ascii="Arial" w:hAnsi="Arial" w:cs="Arial"/>
                <w:lang w:val="en-IN"/>
              </w:rPr>
            </w:pPr>
          </w:p>
        </w:tc>
      </w:tr>
      <w:tr w:rsidR="00E44A9D" w:rsidRPr="00E44A9D" w14:paraId="68DC0FDE" w14:textId="77777777" w:rsidTr="00E44A9D">
        <w:trPr>
          <w:cantSplit/>
        </w:trPr>
        <w:tc>
          <w:tcPr>
            <w:tcW w:w="476" w:type="pct"/>
          </w:tcPr>
          <w:p w14:paraId="34CE5CC8"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5</w:t>
            </w:r>
          </w:p>
        </w:tc>
        <w:tc>
          <w:tcPr>
            <w:tcW w:w="410" w:type="pct"/>
          </w:tcPr>
          <w:p w14:paraId="6BCA47A2"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.642</w:t>
            </w:r>
          </w:p>
        </w:tc>
        <w:tc>
          <w:tcPr>
            <w:tcW w:w="536" w:type="pct"/>
          </w:tcPr>
          <w:p w14:paraId="4A2B1008"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6.421</w:t>
            </w:r>
          </w:p>
        </w:tc>
        <w:tc>
          <w:tcPr>
            <w:tcW w:w="542" w:type="pct"/>
          </w:tcPr>
          <w:p w14:paraId="7112D83F"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87.396</w:t>
            </w:r>
          </w:p>
        </w:tc>
        <w:tc>
          <w:tcPr>
            <w:tcW w:w="446" w:type="pct"/>
            <w:vAlign w:val="center"/>
          </w:tcPr>
          <w:p w14:paraId="7AFEE4D1" w14:textId="77777777" w:rsidR="00AC3567" w:rsidRPr="00E44A9D" w:rsidRDefault="00AC3567" w:rsidP="00A509FD">
            <w:pPr>
              <w:tabs>
                <w:tab w:val="left" w:pos="1080"/>
              </w:tabs>
              <w:rPr>
                <w:rFonts w:ascii="Arial" w:hAnsi="Arial" w:cs="Arial"/>
                <w:lang w:val="en-IN"/>
              </w:rPr>
            </w:pPr>
          </w:p>
        </w:tc>
        <w:tc>
          <w:tcPr>
            <w:tcW w:w="536" w:type="pct"/>
            <w:vAlign w:val="center"/>
          </w:tcPr>
          <w:p w14:paraId="1F9D108D" w14:textId="77777777" w:rsidR="00AC3567" w:rsidRPr="00E44A9D" w:rsidRDefault="00AC3567" w:rsidP="00A509FD">
            <w:pPr>
              <w:tabs>
                <w:tab w:val="left" w:pos="1080"/>
              </w:tabs>
              <w:rPr>
                <w:rFonts w:ascii="Arial" w:hAnsi="Arial" w:cs="Arial"/>
                <w:lang w:val="en-IN"/>
              </w:rPr>
            </w:pPr>
          </w:p>
        </w:tc>
        <w:tc>
          <w:tcPr>
            <w:tcW w:w="542" w:type="pct"/>
            <w:vAlign w:val="center"/>
          </w:tcPr>
          <w:p w14:paraId="6790B6FB" w14:textId="77777777" w:rsidR="00AC3567" w:rsidRPr="00E44A9D" w:rsidRDefault="00AC3567" w:rsidP="00A509FD">
            <w:pPr>
              <w:tabs>
                <w:tab w:val="left" w:pos="1080"/>
              </w:tabs>
              <w:rPr>
                <w:rFonts w:ascii="Arial" w:hAnsi="Arial" w:cs="Arial"/>
                <w:lang w:val="en-IN"/>
              </w:rPr>
            </w:pPr>
          </w:p>
        </w:tc>
        <w:tc>
          <w:tcPr>
            <w:tcW w:w="434" w:type="pct"/>
            <w:vAlign w:val="center"/>
          </w:tcPr>
          <w:p w14:paraId="35C89925" w14:textId="77777777" w:rsidR="00AC3567" w:rsidRPr="00E44A9D" w:rsidRDefault="00AC3567" w:rsidP="00A509FD">
            <w:pPr>
              <w:tabs>
                <w:tab w:val="left" w:pos="1080"/>
              </w:tabs>
              <w:rPr>
                <w:rFonts w:ascii="Arial" w:hAnsi="Arial" w:cs="Arial"/>
                <w:lang w:val="en-IN"/>
              </w:rPr>
            </w:pPr>
          </w:p>
        </w:tc>
        <w:tc>
          <w:tcPr>
            <w:tcW w:w="536" w:type="pct"/>
            <w:vAlign w:val="center"/>
          </w:tcPr>
          <w:p w14:paraId="6BA7F1BC" w14:textId="77777777" w:rsidR="00AC3567" w:rsidRPr="00E44A9D" w:rsidRDefault="00AC3567" w:rsidP="00A509FD">
            <w:pPr>
              <w:tabs>
                <w:tab w:val="left" w:pos="1080"/>
              </w:tabs>
              <w:rPr>
                <w:rFonts w:ascii="Arial" w:hAnsi="Arial" w:cs="Arial"/>
                <w:lang w:val="en-IN"/>
              </w:rPr>
            </w:pPr>
          </w:p>
        </w:tc>
        <w:tc>
          <w:tcPr>
            <w:tcW w:w="542" w:type="pct"/>
            <w:vAlign w:val="center"/>
          </w:tcPr>
          <w:p w14:paraId="24F1BC93" w14:textId="77777777" w:rsidR="00AC3567" w:rsidRPr="00E44A9D" w:rsidRDefault="00AC3567" w:rsidP="00A509FD">
            <w:pPr>
              <w:tabs>
                <w:tab w:val="left" w:pos="1080"/>
              </w:tabs>
              <w:rPr>
                <w:rFonts w:ascii="Arial" w:hAnsi="Arial" w:cs="Arial"/>
                <w:lang w:val="en-IN"/>
              </w:rPr>
            </w:pPr>
          </w:p>
        </w:tc>
      </w:tr>
      <w:tr w:rsidR="00E44A9D" w:rsidRPr="00E44A9D" w14:paraId="351D0B3E" w14:textId="77777777" w:rsidTr="00E44A9D">
        <w:trPr>
          <w:cantSplit/>
        </w:trPr>
        <w:tc>
          <w:tcPr>
            <w:tcW w:w="476" w:type="pct"/>
          </w:tcPr>
          <w:p w14:paraId="5D59A7E4"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6</w:t>
            </w:r>
          </w:p>
        </w:tc>
        <w:tc>
          <w:tcPr>
            <w:tcW w:w="410" w:type="pct"/>
          </w:tcPr>
          <w:p w14:paraId="538AB36A"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.415</w:t>
            </w:r>
          </w:p>
        </w:tc>
        <w:tc>
          <w:tcPr>
            <w:tcW w:w="536" w:type="pct"/>
          </w:tcPr>
          <w:p w14:paraId="0B11BE55"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4.153</w:t>
            </w:r>
          </w:p>
        </w:tc>
        <w:tc>
          <w:tcPr>
            <w:tcW w:w="542" w:type="pct"/>
          </w:tcPr>
          <w:p w14:paraId="42BF67AB"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91.550</w:t>
            </w:r>
          </w:p>
        </w:tc>
        <w:tc>
          <w:tcPr>
            <w:tcW w:w="446" w:type="pct"/>
            <w:vAlign w:val="center"/>
          </w:tcPr>
          <w:p w14:paraId="43F8EC14" w14:textId="77777777" w:rsidR="00AC3567" w:rsidRPr="00E44A9D" w:rsidRDefault="00AC3567" w:rsidP="00A509FD">
            <w:pPr>
              <w:tabs>
                <w:tab w:val="left" w:pos="1080"/>
              </w:tabs>
              <w:rPr>
                <w:rFonts w:ascii="Arial" w:hAnsi="Arial" w:cs="Arial"/>
                <w:lang w:val="en-IN"/>
              </w:rPr>
            </w:pPr>
          </w:p>
        </w:tc>
        <w:tc>
          <w:tcPr>
            <w:tcW w:w="536" w:type="pct"/>
            <w:vAlign w:val="center"/>
          </w:tcPr>
          <w:p w14:paraId="3F8596C1" w14:textId="77777777" w:rsidR="00AC3567" w:rsidRPr="00E44A9D" w:rsidRDefault="00AC3567" w:rsidP="00A509FD">
            <w:pPr>
              <w:tabs>
                <w:tab w:val="left" w:pos="1080"/>
              </w:tabs>
              <w:rPr>
                <w:rFonts w:ascii="Arial" w:hAnsi="Arial" w:cs="Arial"/>
                <w:lang w:val="en-IN"/>
              </w:rPr>
            </w:pPr>
          </w:p>
        </w:tc>
        <w:tc>
          <w:tcPr>
            <w:tcW w:w="542" w:type="pct"/>
            <w:vAlign w:val="center"/>
          </w:tcPr>
          <w:p w14:paraId="02F53BA4" w14:textId="77777777" w:rsidR="00AC3567" w:rsidRPr="00E44A9D" w:rsidRDefault="00AC3567" w:rsidP="00A509FD">
            <w:pPr>
              <w:tabs>
                <w:tab w:val="left" w:pos="1080"/>
              </w:tabs>
              <w:rPr>
                <w:rFonts w:ascii="Arial" w:hAnsi="Arial" w:cs="Arial"/>
                <w:lang w:val="en-IN"/>
              </w:rPr>
            </w:pPr>
          </w:p>
        </w:tc>
        <w:tc>
          <w:tcPr>
            <w:tcW w:w="434" w:type="pct"/>
            <w:vAlign w:val="center"/>
          </w:tcPr>
          <w:p w14:paraId="14FDA7AC" w14:textId="77777777" w:rsidR="00AC3567" w:rsidRPr="00E44A9D" w:rsidRDefault="00AC3567" w:rsidP="00A509FD">
            <w:pPr>
              <w:tabs>
                <w:tab w:val="left" w:pos="1080"/>
              </w:tabs>
              <w:rPr>
                <w:rFonts w:ascii="Arial" w:hAnsi="Arial" w:cs="Arial"/>
                <w:lang w:val="en-IN"/>
              </w:rPr>
            </w:pPr>
          </w:p>
        </w:tc>
        <w:tc>
          <w:tcPr>
            <w:tcW w:w="536" w:type="pct"/>
            <w:vAlign w:val="center"/>
          </w:tcPr>
          <w:p w14:paraId="62162197" w14:textId="77777777" w:rsidR="00AC3567" w:rsidRPr="00E44A9D" w:rsidRDefault="00AC3567" w:rsidP="00A509FD">
            <w:pPr>
              <w:tabs>
                <w:tab w:val="left" w:pos="1080"/>
              </w:tabs>
              <w:rPr>
                <w:rFonts w:ascii="Arial" w:hAnsi="Arial" w:cs="Arial"/>
                <w:lang w:val="en-IN"/>
              </w:rPr>
            </w:pPr>
          </w:p>
        </w:tc>
        <w:tc>
          <w:tcPr>
            <w:tcW w:w="542" w:type="pct"/>
            <w:vAlign w:val="center"/>
          </w:tcPr>
          <w:p w14:paraId="06137FDE" w14:textId="77777777" w:rsidR="00AC3567" w:rsidRPr="00E44A9D" w:rsidRDefault="00AC3567" w:rsidP="00A509FD">
            <w:pPr>
              <w:tabs>
                <w:tab w:val="left" w:pos="1080"/>
              </w:tabs>
              <w:rPr>
                <w:rFonts w:ascii="Arial" w:hAnsi="Arial" w:cs="Arial"/>
                <w:lang w:val="en-IN"/>
              </w:rPr>
            </w:pPr>
          </w:p>
        </w:tc>
      </w:tr>
      <w:tr w:rsidR="00E44A9D" w:rsidRPr="00E44A9D" w14:paraId="38C4C7B7" w14:textId="77777777" w:rsidTr="00E44A9D">
        <w:trPr>
          <w:cantSplit/>
        </w:trPr>
        <w:tc>
          <w:tcPr>
            <w:tcW w:w="476" w:type="pct"/>
          </w:tcPr>
          <w:p w14:paraId="364507B7"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7</w:t>
            </w:r>
          </w:p>
        </w:tc>
        <w:tc>
          <w:tcPr>
            <w:tcW w:w="410" w:type="pct"/>
          </w:tcPr>
          <w:p w14:paraId="1145C82E"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.324</w:t>
            </w:r>
          </w:p>
        </w:tc>
        <w:tc>
          <w:tcPr>
            <w:tcW w:w="536" w:type="pct"/>
          </w:tcPr>
          <w:p w14:paraId="3D1D583D"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3.237</w:t>
            </w:r>
          </w:p>
        </w:tc>
        <w:tc>
          <w:tcPr>
            <w:tcW w:w="542" w:type="pct"/>
          </w:tcPr>
          <w:p w14:paraId="29CEF999"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94.787</w:t>
            </w:r>
          </w:p>
        </w:tc>
        <w:tc>
          <w:tcPr>
            <w:tcW w:w="446" w:type="pct"/>
            <w:vAlign w:val="center"/>
          </w:tcPr>
          <w:p w14:paraId="044A2978" w14:textId="77777777" w:rsidR="00AC3567" w:rsidRPr="00E44A9D" w:rsidRDefault="00AC3567" w:rsidP="00A509FD">
            <w:pPr>
              <w:tabs>
                <w:tab w:val="left" w:pos="1080"/>
              </w:tabs>
              <w:rPr>
                <w:rFonts w:ascii="Arial" w:hAnsi="Arial" w:cs="Arial"/>
                <w:lang w:val="en-IN"/>
              </w:rPr>
            </w:pPr>
          </w:p>
        </w:tc>
        <w:tc>
          <w:tcPr>
            <w:tcW w:w="536" w:type="pct"/>
            <w:vAlign w:val="center"/>
          </w:tcPr>
          <w:p w14:paraId="2C258DA1" w14:textId="77777777" w:rsidR="00AC3567" w:rsidRPr="00E44A9D" w:rsidRDefault="00AC3567" w:rsidP="00A509FD">
            <w:pPr>
              <w:tabs>
                <w:tab w:val="left" w:pos="1080"/>
              </w:tabs>
              <w:rPr>
                <w:rFonts w:ascii="Arial" w:hAnsi="Arial" w:cs="Arial"/>
                <w:lang w:val="en-IN"/>
              </w:rPr>
            </w:pPr>
          </w:p>
        </w:tc>
        <w:tc>
          <w:tcPr>
            <w:tcW w:w="542" w:type="pct"/>
            <w:vAlign w:val="center"/>
          </w:tcPr>
          <w:p w14:paraId="37B71355" w14:textId="77777777" w:rsidR="00AC3567" w:rsidRPr="00E44A9D" w:rsidRDefault="00AC3567" w:rsidP="00A509FD">
            <w:pPr>
              <w:tabs>
                <w:tab w:val="left" w:pos="1080"/>
              </w:tabs>
              <w:rPr>
                <w:rFonts w:ascii="Arial" w:hAnsi="Arial" w:cs="Arial"/>
                <w:lang w:val="en-IN"/>
              </w:rPr>
            </w:pPr>
          </w:p>
        </w:tc>
        <w:tc>
          <w:tcPr>
            <w:tcW w:w="434" w:type="pct"/>
            <w:vAlign w:val="center"/>
          </w:tcPr>
          <w:p w14:paraId="056D866A" w14:textId="77777777" w:rsidR="00AC3567" w:rsidRPr="00E44A9D" w:rsidRDefault="00AC3567" w:rsidP="00A509FD">
            <w:pPr>
              <w:tabs>
                <w:tab w:val="left" w:pos="1080"/>
              </w:tabs>
              <w:rPr>
                <w:rFonts w:ascii="Arial" w:hAnsi="Arial" w:cs="Arial"/>
                <w:lang w:val="en-IN"/>
              </w:rPr>
            </w:pPr>
          </w:p>
        </w:tc>
        <w:tc>
          <w:tcPr>
            <w:tcW w:w="536" w:type="pct"/>
            <w:vAlign w:val="center"/>
          </w:tcPr>
          <w:p w14:paraId="55CA3E83" w14:textId="77777777" w:rsidR="00AC3567" w:rsidRPr="00E44A9D" w:rsidRDefault="00AC3567" w:rsidP="00A509FD">
            <w:pPr>
              <w:tabs>
                <w:tab w:val="left" w:pos="1080"/>
              </w:tabs>
              <w:rPr>
                <w:rFonts w:ascii="Arial" w:hAnsi="Arial" w:cs="Arial"/>
                <w:lang w:val="en-IN"/>
              </w:rPr>
            </w:pPr>
          </w:p>
        </w:tc>
        <w:tc>
          <w:tcPr>
            <w:tcW w:w="542" w:type="pct"/>
            <w:vAlign w:val="center"/>
          </w:tcPr>
          <w:p w14:paraId="4ACD15A9" w14:textId="77777777" w:rsidR="00AC3567" w:rsidRPr="00E44A9D" w:rsidRDefault="00AC3567" w:rsidP="00A509FD">
            <w:pPr>
              <w:tabs>
                <w:tab w:val="left" w:pos="1080"/>
              </w:tabs>
              <w:rPr>
                <w:rFonts w:ascii="Arial" w:hAnsi="Arial" w:cs="Arial"/>
                <w:lang w:val="en-IN"/>
              </w:rPr>
            </w:pPr>
          </w:p>
        </w:tc>
      </w:tr>
      <w:tr w:rsidR="00E44A9D" w:rsidRPr="00E44A9D" w14:paraId="3D557A38" w14:textId="77777777" w:rsidTr="00E44A9D">
        <w:trPr>
          <w:cantSplit/>
        </w:trPr>
        <w:tc>
          <w:tcPr>
            <w:tcW w:w="476" w:type="pct"/>
          </w:tcPr>
          <w:p w14:paraId="702E90B8"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8</w:t>
            </w:r>
          </w:p>
        </w:tc>
        <w:tc>
          <w:tcPr>
            <w:tcW w:w="410" w:type="pct"/>
          </w:tcPr>
          <w:p w14:paraId="4572C97F"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.252</w:t>
            </w:r>
          </w:p>
        </w:tc>
        <w:tc>
          <w:tcPr>
            <w:tcW w:w="536" w:type="pct"/>
          </w:tcPr>
          <w:p w14:paraId="5FA8E148"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2.523</w:t>
            </w:r>
          </w:p>
        </w:tc>
        <w:tc>
          <w:tcPr>
            <w:tcW w:w="542" w:type="pct"/>
          </w:tcPr>
          <w:p w14:paraId="6CD76052"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97.310</w:t>
            </w:r>
          </w:p>
        </w:tc>
        <w:tc>
          <w:tcPr>
            <w:tcW w:w="446" w:type="pct"/>
            <w:vAlign w:val="center"/>
          </w:tcPr>
          <w:p w14:paraId="1D97097A" w14:textId="77777777" w:rsidR="00AC3567" w:rsidRPr="00E44A9D" w:rsidRDefault="00AC3567" w:rsidP="00A509FD">
            <w:pPr>
              <w:tabs>
                <w:tab w:val="left" w:pos="1080"/>
              </w:tabs>
              <w:rPr>
                <w:rFonts w:ascii="Arial" w:hAnsi="Arial" w:cs="Arial"/>
                <w:lang w:val="en-IN"/>
              </w:rPr>
            </w:pPr>
          </w:p>
        </w:tc>
        <w:tc>
          <w:tcPr>
            <w:tcW w:w="536" w:type="pct"/>
            <w:vAlign w:val="center"/>
          </w:tcPr>
          <w:p w14:paraId="46533F26" w14:textId="77777777" w:rsidR="00AC3567" w:rsidRPr="00E44A9D" w:rsidRDefault="00AC3567" w:rsidP="00A509FD">
            <w:pPr>
              <w:tabs>
                <w:tab w:val="left" w:pos="1080"/>
              </w:tabs>
              <w:rPr>
                <w:rFonts w:ascii="Arial" w:hAnsi="Arial" w:cs="Arial"/>
                <w:lang w:val="en-IN"/>
              </w:rPr>
            </w:pPr>
          </w:p>
        </w:tc>
        <w:tc>
          <w:tcPr>
            <w:tcW w:w="542" w:type="pct"/>
            <w:vAlign w:val="center"/>
          </w:tcPr>
          <w:p w14:paraId="02AA66A1" w14:textId="77777777" w:rsidR="00AC3567" w:rsidRPr="00E44A9D" w:rsidRDefault="00AC3567" w:rsidP="00A509FD">
            <w:pPr>
              <w:tabs>
                <w:tab w:val="left" w:pos="1080"/>
              </w:tabs>
              <w:rPr>
                <w:rFonts w:ascii="Arial" w:hAnsi="Arial" w:cs="Arial"/>
                <w:lang w:val="en-IN"/>
              </w:rPr>
            </w:pPr>
          </w:p>
        </w:tc>
        <w:tc>
          <w:tcPr>
            <w:tcW w:w="434" w:type="pct"/>
            <w:vAlign w:val="center"/>
          </w:tcPr>
          <w:p w14:paraId="5E2FEF73" w14:textId="77777777" w:rsidR="00AC3567" w:rsidRPr="00E44A9D" w:rsidRDefault="00AC3567" w:rsidP="00A509FD">
            <w:pPr>
              <w:tabs>
                <w:tab w:val="left" w:pos="1080"/>
              </w:tabs>
              <w:rPr>
                <w:rFonts w:ascii="Arial" w:hAnsi="Arial" w:cs="Arial"/>
                <w:lang w:val="en-IN"/>
              </w:rPr>
            </w:pPr>
          </w:p>
        </w:tc>
        <w:tc>
          <w:tcPr>
            <w:tcW w:w="536" w:type="pct"/>
            <w:vAlign w:val="center"/>
          </w:tcPr>
          <w:p w14:paraId="7001FB20" w14:textId="77777777" w:rsidR="00AC3567" w:rsidRPr="00E44A9D" w:rsidRDefault="00AC3567" w:rsidP="00A509FD">
            <w:pPr>
              <w:tabs>
                <w:tab w:val="left" w:pos="1080"/>
              </w:tabs>
              <w:rPr>
                <w:rFonts w:ascii="Arial" w:hAnsi="Arial" w:cs="Arial"/>
                <w:lang w:val="en-IN"/>
              </w:rPr>
            </w:pPr>
          </w:p>
        </w:tc>
        <w:tc>
          <w:tcPr>
            <w:tcW w:w="542" w:type="pct"/>
            <w:vAlign w:val="center"/>
          </w:tcPr>
          <w:p w14:paraId="170BDE22" w14:textId="77777777" w:rsidR="00AC3567" w:rsidRPr="00E44A9D" w:rsidRDefault="00AC3567" w:rsidP="00A509FD">
            <w:pPr>
              <w:tabs>
                <w:tab w:val="left" w:pos="1080"/>
              </w:tabs>
              <w:rPr>
                <w:rFonts w:ascii="Arial" w:hAnsi="Arial" w:cs="Arial"/>
                <w:lang w:val="en-IN"/>
              </w:rPr>
            </w:pPr>
          </w:p>
        </w:tc>
      </w:tr>
      <w:tr w:rsidR="00E44A9D" w:rsidRPr="00E44A9D" w14:paraId="1D7035E5" w14:textId="77777777" w:rsidTr="00E44A9D">
        <w:trPr>
          <w:cantSplit/>
        </w:trPr>
        <w:tc>
          <w:tcPr>
            <w:tcW w:w="476" w:type="pct"/>
          </w:tcPr>
          <w:p w14:paraId="133E9535"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9</w:t>
            </w:r>
          </w:p>
        </w:tc>
        <w:tc>
          <w:tcPr>
            <w:tcW w:w="410" w:type="pct"/>
          </w:tcPr>
          <w:p w14:paraId="62EEC414"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.140</w:t>
            </w:r>
          </w:p>
        </w:tc>
        <w:tc>
          <w:tcPr>
            <w:tcW w:w="536" w:type="pct"/>
          </w:tcPr>
          <w:p w14:paraId="7CE52B72"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1.403</w:t>
            </w:r>
          </w:p>
        </w:tc>
        <w:tc>
          <w:tcPr>
            <w:tcW w:w="542" w:type="pct"/>
          </w:tcPr>
          <w:p w14:paraId="7EC0C21A"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98.713</w:t>
            </w:r>
          </w:p>
        </w:tc>
        <w:tc>
          <w:tcPr>
            <w:tcW w:w="446" w:type="pct"/>
            <w:vAlign w:val="center"/>
          </w:tcPr>
          <w:p w14:paraId="43E34BDE" w14:textId="77777777" w:rsidR="00AC3567" w:rsidRPr="00E44A9D" w:rsidRDefault="00AC3567" w:rsidP="00A509FD">
            <w:pPr>
              <w:tabs>
                <w:tab w:val="left" w:pos="1080"/>
              </w:tabs>
              <w:rPr>
                <w:rFonts w:ascii="Arial" w:hAnsi="Arial" w:cs="Arial"/>
                <w:lang w:val="en-IN"/>
              </w:rPr>
            </w:pPr>
          </w:p>
        </w:tc>
        <w:tc>
          <w:tcPr>
            <w:tcW w:w="536" w:type="pct"/>
            <w:vAlign w:val="center"/>
          </w:tcPr>
          <w:p w14:paraId="01E25733" w14:textId="77777777" w:rsidR="00AC3567" w:rsidRPr="00E44A9D" w:rsidRDefault="00AC3567" w:rsidP="00A509FD">
            <w:pPr>
              <w:tabs>
                <w:tab w:val="left" w:pos="1080"/>
              </w:tabs>
              <w:rPr>
                <w:rFonts w:ascii="Arial" w:hAnsi="Arial" w:cs="Arial"/>
                <w:lang w:val="en-IN"/>
              </w:rPr>
            </w:pPr>
          </w:p>
        </w:tc>
        <w:tc>
          <w:tcPr>
            <w:tcW w:w="542" w:type="pct"/>
            <w:vAlign w:val="center"/>
          </w:tcPr>
          <w:p w14:paraId="6337E0F2" w14:textId="77777777" w:rsidR="00AC3567" w:rsidRPr="00E44A9D" w:rsidRDefault="00AC3567" w:rsidP="00A509FD">
            <w:pPr>
              <w:tabs>
                <w:tab w:val="left" w:pos="1080"/>
              </w:tabs>
              <w:rPr>
                <w:rFonts w:ascii="Arial" w:hAnsi="Arial" w:cs="Arial"/>
                <w:lang w:val="en-IN"/>
              </w:rPr>
            </w:pPr>
          </w:p>
        </w:tc>
        <w:tc>
          <w:tcPr>
            <w:tcW w:w="434" w:type="pct"/>
            <w:vAlign w:val="center"/>
          </w:tcPr>
          <w:p w14:paraId="71BD7E34" w14:textId="77777777" w:rsidR="00AC3567" w:rsidRPr="00E44A9D" w:rsidRDefault="00AC3567" w:rsidP="00A509FD">
            <w:pPr>
              <w:tabs>
                <w:tab w:val="left" w:pos="1080"/>
              </w:tabs>
              <w:rPr>
                <w:rFonts w:ascii="Arial" w:hAnsi="Arial" w:cs="Arial"/>
                <w:lang w:val="en-IN"/>
              </w:rPr>
            </w:pPr>
          </w:p>
        </w:tc>
        <w:tc>
          <w:tcPr>
            <w:tcW w:w="536" w:type="pct"/>
            <w:vAlign w:val="center"/>
          </w:tcPr>
          <w:p w14:paraId="0D9F7D04" w14:textId="77777777" w:rsidR="00AC3567" w:rsidRPr="00E44A9D" w:rsidRDefault="00AC3567" w:rsidP="00A509FD">
            <w:pPr>
              <w:tabs>
                <w:tab w:val="left" w:pos="1080"/>
              </w:tabs>
              <w:rPr>
                <w:rFonts w:ascii="Arial" w:hAnsi="Arial" w:cs="Arial"/>
                <w:lang w:val="en-IN"/>
              </w:rPr>
            </w:pPr>
          </w:p>
        </w:tc>
        <w:tc>
          <w:tcPr>
            <w:tcW w:w="542" w:type="pct"/>
            <w:vAlign w:val="center"/>
          </w:tcPr>
          <w:p w14:paraId="3A8BBA20" w14:textId="77777777" w:rsidR="00AC3567" w:rsidRPr="00E44A9D" w:rsidRDefault="00AC3567" w:rsidP="00A509FD">
            <w:pPr>
              <w:tabs>
                <w:tab w:val="left" w:pos="1080"/>
              </w:tabs>
              <w:rPr>
                <w:rFonts w:ascii="Arial" w:hAnsi="Arial" w:cs="Arial"/>
                <w:lang w:val="en-IN"/>
              </w:rPr>
            </w:pPr>
          </w:p>
        </w:tc>
      </w:tr>
      <w:tr w:rsidR="00E44A9D" w:rsidRPr="00E44A9D" w14:paraId="733AA500" w14:textId="77777777" w:rsidTr="00E44A9D">
        <w:trPr>
          <w:cantSplit/>
        </w:trPr>
        <w:tc>
          <w:tcPr>
            <w:tcW w:w="476" w:type="pct"/>
          </w:tcPr>
          <w:p w14:paraId="74D0449E"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10</w:t>
            </w:r>
          </w:p>
        </w:tc>
        <w:tc>
          <w:tcPr>
            <w:tcW w:w="410" w:type="pct"/>
          </w:tcPr>
          <w:p w14:paraId="74E5449A"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.129</w:t>
            </w:r>
          </w:p>
        </w:tc>
        <w:tc>
          <w:tcPr>
            <w:tcW w:w="536" w:type="pct"/>
          </w:tcPr>
          <w:p w14:paraId="1A85B4AB"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1.287</w:t>
            </w:r>
          </w:p>
        </w:tc>
        <w:tc>
          <w:tcPr>
            <w:tcW w:w="542" w:type="pct"/>
          </w:tcPr>
          <w:p w14:paraId="1670CD2E"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100.000</w:t>
            </w:r>
          </w:p>
        </w:tc>
        <w:tc>
          <w:tcPr>
            <w:tcW w:w="446" w:type="pct"/>
            <w:vAlign w:val="center"/>
          </w:tcPr>
          <w:p w14:paraId="007C1503" w14:textId="77777777" w:rsidR="00AC3567" w:rsidRPr="00E44A9D" w:rsidRDefault="00AC3567" w:rsidP="00A509FD">
            <w:pPr>
              <w:tabs>
                <w:tab w:val="left" w:pos="1080"/>
              </w:tabs>
              <w:rPr>
                <w:rFonts w:ascii="Arial" w:hAnsi="Arial" w:cs="Arial"/>
                <w:lang w:val="en-IN"/>
              </w:rPr>
            </w:pPr>
          </w:p>
        </w:tc>
        <w:tc>
          <w:tcPr>
            <w:tcW w:w="536" w:type="pct"/>
            <w:vAlign w:val="center"/>
          </w:tcPr>
          <w:p w14:paraId="333EC984" w14:textId="77777777" w:rsidR="00AC3567" w:rsidRPr="00E44A9D" w:rsidRDefault="00AC3567" w:rsidP="00A509FD">
            <w:pPr>
              <w:tabs>
                <w:tab w:val="left" w:pos="1080"/>
              </w:tabs>
              <w:rPr>
                <w:rFonts w:ascii="Arial" w:hAnsi="Arial" w:cs="Arial"/>
                <w:lang w:val="en-IN"/>
              </w:rPr>
            </w:pPr>
          </w:p>
        </w:tc>
        <w:tc>
          <w:tcPr>
            <w:tcW w:w="542" w:type="pct"/>
            <w:vAlign w:val="center"/>
          </w:tcPr>
          <w:p w14:paraId="0AC593FD" w14:textId="77777777" w:rsidR="00AC3567" w:rsidRPr="00E44A9D" w:rsidRDefault="00AC3567" w:rsidP="00A509FD">
            <w:pPr>
              <w:tabs>
                <w:tab w:val="left" w:pos="1080"/>
              </w:tabs>
              <w:rPr>
                <w:rFonts w:ascii="Arial" w:hAnsi="Arial" w:cs="Arial"/>
                <w:lang w:val="en-IN"/>
              </w:rPr>
            </w:pPr>
          </w:p>
        </w:tc>
        <w:tc>
          <w:tcPr>
            <w:tcW w:w="434" w:type="pct"/>
            <w:vAlign w:val="center"/>
          </w:tcPr>
          <w:p w14:paraId="58CB1761" w14:textId="77777777" w:rsidR="00AC3567" w:rsidRPr="00E44A9D" w:rsidRDefault="00AC3567" w:rsidP="00A509FD">
            <w:pPr>
              <w:tabs>
                <w:tab w:val="left" w:pos="1080"/>
              </w:tabs>
              <w:rPr>
                <w:rFonts w:ascii="Arial" w:hAnsi="Arial" w:cs="Arial"/>
                <w:lang w:val="en-IN"/>
              </w:rPr>
            </w:pPr>
          </w:p>
        </w:tc>
        <w:tc>
          <w:tcPr>
            <w:tcW w:w="536" w:type="pct"/>
            <w:vAlign w:val="center"/>
          </w:tcPr>
          <w:p w14:paraId="024CCADB" w14:textId="77777777" w:rsidR="00AC3567" w:rsidRPr="00E44A9D" w:rsidRDefault="00AC3567" w:rsidP="00A509FD">
            <w:pPr>
              <w:tabs>
                <w:tab w:val="left" w:pos="1080"/>
              </w:tabs>
              <w:rPr>
                <w:rFonts w:ascii="Arial" w:hAnsi="Arial" w:cs="Arial"/>
                <w:lang w:val="en-IN"/>
              </w:rPr>
            </w:pPr>
          </w:p>
        </w:tc>
        <w:tc>
          <w:tcPr>
            <w:tcW w:w="542" w:type="pct"/>
            <w:vAlign w:val="center"/>
          </w:tcPr>
          <w:p w14:paraId="570EF0D9" w14:textId="77777777" w:rsidR="00AC3567" w:rsidRPr="00E44A9D" w:rsidRDefault="00AC3567" w:rsidP="00A509FD">
            <w:pPr>
              <w:tabs>
                <w:tab w:val="left" w:pos="1080"/>
              </w:tabs>
              <w:rPr>
                <w:rFonts w:ascii="Arial" w:hAnsi="Arial" w:cs="Arial"/>
                <w:lang w:val="en-IN"/>
              </w:rPr>
            </w:pPr>
          </w:p>
        </w:tc>
      </w:tr>
      <w:tr w:rsidR="00AC3567" w:rsidRPr="00E44A9D" w14:paraId="39E149B6" w14:textId="77777777" w:rsidTr="00D537A4">
        <w:trPr>
          <w:cantSplit/>
        </w:trPr>
        <w:tc>
          <w:tcPr>
            <w:tcW w:w="5000" w:type="pct"/>
            <w:gridSpan w:val="10"/>
            <w:tcBorders>
              <w:top w:val="single" w:sz="4" w:space="0" w:color="auto"/>
            </w:tcBorders>
          </w:tcPr>
          <w:p w14:paraId="2BD8DE9F" w14:textId="77777777" w:rsidR="00AC3567" w:rsidRPr="00E44A9D" w:rsidRDefault="00AC3567" w:rsidP="00AC3567">
            <w:pPr>
              <w:tabs>
                <w:tab w:val="left" w:pos="1080"/>
              </w:tabs>
              <w:rPr>
                <w:rFonts w:ascii="Arial" w:hAnsi="Arial" w:cs="Arial"/>
                <w:lang w:val="en-IN"/>
              </w:rPr>
            </w:pPr>
          </w:p>
        </w:tc>
      </w:tr>
    </w:tbl>
    <w:p w14:paraId="12D59DB1" w14:textId="77777777" w:rsidR="00AC3567" w:rsidRPr="00AC3567" w:rsidRDefault="00AC3567" w:rsidP="00AC3567">
      <w:pPr>
        <w:tabs>
          <w:tab w:val="left" w:pos="1080"/>
        </w:tabs>
        <w:rPr>
          <w:lang w:val="en-IN"/>
        </w:rPr>
      </w:pPr>
    </w:p>
    <w:p w14:paraId="280F4939" w14:textId="77777777" w:rsidR="003577BB" w:rsidRDefault="003577BB" w:rsidP="00A01CB4">
      <w:pPr>
        <w:tabs>
          <w:tab w:val="left" w:pos="1080"/>
        </w:tabs>
        <w:rPr>
          <w:rFonts w:ascii="Arial" w:hAnsi="Arial" w:cs="Arial"/>
          <w:b/>
          <w:lang w:val="en-IN"/>
        </w:rPr>
      </w:pPr>
    </w:p>
    <w:p w14:paraId="6D78D2D7" w14:textId="77777777" w:rsidR="00A01CB4" w:rsidRDefault="003577BB" w:rsidP="00A01CB4">
      <w:pPr>
        <w:tabs>
          <w:tab w:val="left" w:pos="1080"/>
        </w:tabs>
        <w:rPr>
          <w:rFonts w:ascii="Arial" w:hAnsi="Arial" w:cs="Arial"/>
          <w:b/>
          <w:lang w:val="en-IN"/>
        </w:rPr>
      </w:pPr>
      <w:r w:rsidRPr="003577BB">
        <w:rPr>
          <w:rFonts w:ascii="Arial" w:hAnsi="Arial" w:cs="Arial"/>
          <w:b/>
          <w:lang w:val="en-IN"/>
        </w:rPr>
        <w:t>Table 2 Rotated Component Matrix of consumer preference attributes</w:t>
      </w:r>
    </w:p>
    <w:p w14:paraId="4F3D78B7" w14:textId="77777777" w:rsidR="003577BB" w:rsidRPr="003577BB" w:rsidRDefault="003577BB" w:rsidP="00A01CB4">
      <w:pPr>
        <w:tabs>
          <w:tab w:val="left" w:pos="1080"/>
        </w:tabs>
        <w:rPr>
          <w:rFonts w:ascii="Arial" w:hAnsi="Arial" w:cs="Arial"/>
          <w:b/>
          <w:lang w:val="en-IN"/>
        </w:rPr>
      </w:pPr>
    </w:p>
    <w:tbl>
      <w:tblPr>
        <w:tblW w:w="5000" w:type="pct"/>
        <w:tblCellMar>
          <w:left w:w="0" w:type="dxa"/>
          <w:right w:w="0" w:type="dxa"/>
        </w:tblCellMar>
        <w:tblLook w:val="0000" w:firstRow="0" w:lastRow="0" w:firstColumn="0" w:lastColumn="0" w:noHBand="0" w:noVBand="0"/>
      </w:tblPr>
      <w:tblGrid>
        <w:gridCol w:w="3277"/>
        <w:gridCol w:w="4552"/>
        <w:gridCol w:w="4555"/>
      </w:tblGrid>
      <w:tr w:rsidR="00A01CB4" w:rsidRPr="00A01CB4" w14:paraId="5369CF14" w14:textId="77777777" w:rsidTr="00D537A4">
        <w:trPr>
          <w:cantSplit/>
        </w:trPr>
        <w:tc>
          <w:tcPr>
            <w:tcW w:w="1323" w:type="pct"/>
            <w:vMerge w:val="restart"/>
            <w:tcBorders>
              <w:top w:val="single" w:sz="4" w:space="0" w:color="auto"/>
            </w:tcBorders>
            <w:vAlign w:val="center"/>
          </w:tcPr>
          <w:p w14:paraId="044CF301" w14:textId="77777777" w:rsidR="00A01CB4" w:rsidRPr="00D537A4" w:rsidRDefault="00D537A4" w:rsidP="00A509FD">
            <w:pPr>
              <w:tabs>
                <w:tab w:val="left" w:pos="1080"/>
              </w:tabs>
              <w:rPr>
                <w:b/>
                <w:lang w:val="en-IN"/>
              </w:rPr>
            </w:pPr>
            <w:r w:rsidRPr="00D537A4">
              <w:rPr>
                <w:b/>
                <w:lang w:val="en-IN"/>
              </w:rPr>
              <w:t>Variable</w:t>
            </w:r>
          </w:p>
        </w:tc>
        <w:tc>
          <w:tcPr>
            <w:tcW w:w="3677" w:type="pct"/>
            <w:gridSpan w:val="2"/>
            <w:tcBorders>
              <w:top w:val="single" w:sz="4" w:space="0" w:color="auto"/>
            </w:tcBorders>
            <w:vAlign w:val="center"/>
          </w:tcPr>
          <w:p w14:paraId="17131DC5" w14:textId="77777777" w:rsidR="00A01CB4" w:rsidRPr="00ED2E5A" w:rsidRDefault="00A01CB4" w:rsidP="00A509FD">
            <w:pPr>
              <w:tabs>
                <w:tab w:val="left" w:pos="1080"/>
              </w:tabs>
              <w:jc w:val="center"/>
              <w:rPr>
                <w:rFonts w:ascii="Arial" w:hAnsi="Arial" w:cs="Arial"/>
                <w:b/>
                <w:lang w:val="en-IN"/>
              </w:rPr>
            </w:pPr>
            <w:r w:rsidRPr="00ED2E5A">
              <w:rPr>
                <w:rFonts w:ascii="Arial" w:hAnsi="Arial" w:cs="Arial"/>
                <w:b/>
                <w:lang w:val="en-IN"/>
              </w:rPr>
              <w:t>Component</w:t>
            </w:r>
          </w:p>
        </w:tc>
      </w:tr>
      <w:tr w:rsidR="00A01CB4" w:rsidRPr="00A01CB4" w14:paraId="16F088E3" w14:textId="77777777" w:rsidTr="00D537A4">
        <w:trPr>
          <w:cantSplit/>
        </w:trPr>
        <w:tc>
          <w:tcPr>
            <w:tcW w:w="1323" w:type="pct"/>
            <w:vMerge/>
            <w:tcBorders>
              <w:bottom w:val="single" w:sz="4" w:space="0" w:color="auto"/>
            </w:tcBorders>
            <w:vAlign w:val="center"/>
          </w:tcPr>
          <w:p w14:paraId="1D3A1B2B" w14:textId="77777777" w:rsidR="00A01CB4" w:rsidRPr="00A01CB4" w:rsidRDefault="00A01CB4" w:rsidP="00A509FD">
            <w:pPr>
              <w:tabs>
                <w:tab w:val="left" w:pos="1080"/>
              </w:tabs>
              <w:rPr>
                <w:lang w:val="en-IN"/>
              </w:rPr>
            </w:pPr>
          </w:p>
        </w:tc>
        <w:tc>
          <w:tcPr>
            <w:tcW w:w="1838" w:type="pct"/>
            <w:tcBorders>
              <w:bottom w:val="single" w:sz="4" w:space="0" w:color="auto"/>
            </w:tcBorders>
            <w:vAlign w:val="center"/>
          </w:tcPr>
          <w:p w14:paraId="5930FF7C" w14:textId="77777777" w:rsidR="00A01CB4" w:rsidRPr="00ED2E5A" w:rsidRDefault="00A01CB4" w:rsidP="00A509FD">
            <w:pPr>
              <w:tabs>
                <w:tab w:val="left" w:pos="1080"/>
              </w:tabs>
              <w:jc w:val="center"/>
              <w:rPr>
                <w:rFonts w:ascii="Arial" w:hAnsi="Arial" w:cs="Arial"/>
                <w:b/>
                <w:lang w:val="en-IN"/>
              </w:rPr>
            </w:pPr>
            <w:r w:rsidRPr="00ED2E5A">
              <w:rPr>
                <w:rFonts w:ascii="Arial" w:hAnsi="Arial" w:cs="Arial"/>
                <w:b/>
                <w:lang w:val="en-IN"/>
              </w:rPr>
              <w:t>1</w:t>
            </w:r>
          </w:p>
        </w:tc>
        <w:tc>
          <w:tcPr>
            <w:tcW w:w="1839" w:type="pct"/>
            <w:tcBorders>
              <w:bottom w:val="single" w:sz="4" w:space="0" w:color="auto"/>
            </w:tcBorders>
            <w:vAlign w:val="center"/>
          </w:tcPr>
          <w:p w14:paraId="47C62119" w14:textId="77777777" w:rsidR="00A01CB4" w:rsidRPr="00ED2E5A" w:rsidRDefault="00A01CB4" w:rsidP="00A509FD">
            <w:pPr>
              <w:tabs>
                <w:tab w:val="left" w:pos="1080"/>
              </w:tabs>
              <w:jc w:val="center"/>
              <w:rPr>
                <w:rFonts w:ascii="Arial" w:hAnsi="Arial" w:cs="Arial"/>
                <w:b/>
                <w:lang w:val="en-IN"/>
              </w:rPr>
            </w:pPr>
            <w:r w:rsidRPr="00ED2E5A">
              <w:rPr>
                <w:rFonts w:ascii="Arial" w:hAnsi="Arial" w:cs="Arial"/>
                <w:b/>
                <w:lang w:val="en-IN"/>
              </w:rPr>
              <w:t>2</w:t>
            </w:r>
          </w:p>
        </w:tc>
      </w:tr>
      <w:tr w:rsidR="00A01CB4" w:rsidRPr="00A01CB4" w14:paraId="793E4650" w14:textId="77777777" w:rsidTr="00D537A4">
        <w:trPr>
          <w:cantSplit/>
        </w:trPr>
        <w:tc>
          <w:tcPr>
            <w:tcW w:w="1323" w:type="pct"/>
            <w:tcBorders>
              <w:top w:val="single" w:sz="4" w:space="0" w:color="auto"/>
            </w:tcBorders>
            <w:vAlign w:val="center"/>
          </w:tcPr>
          <w:p w14:paraId="24C026E9" w14:textId="77777777" w:rsidR="00A01CB4" w:rsidRPr="00A01CB4" w:rsidRDefault="00ED2E5A" w:rsidP="00A509FD">
            <w:pPr>
              <w:tabs>
                <w:tab w:val="left" w:pos="1080"/>
              </w:tabs>
              <w:rPr>
                <w:lang w:val="en-IN"/>
              </w:rPr>
            </w:pPr>
            <w:r>
              <w:rPr>
                <w:lang w:val="en-IN"/>
              </w:rPr>
              <w:t>Digital support</w:t>
            </w:r>
          </w:p>
        </w:tc>
        <w:tc>
          <w:tcPr>
            <w:tcW w:w="1838" w:type="pct"/>
            <w:tcBorders>
              <w:top w:val="single" w:sz="4" w:space="0" w:color="auto"/>
            </w:tcBorders>
            <w:vAlign w:val="center"/>
          </w:tcPr>
          <w:p w14:paraId="7AA18631" w14:textId="77777777" w:rsidR="00A01CB4" w:rsidRPr="00A01CB4" w:rsidRDefault="00A01CB4" w:rsidP="00A509FD">
            <w:pPr>
              <w:tabs>
                <w:tab w:val="left" w:pos="1080"/>
              </w:tabs>
              <w:jc w:val="center"/>
              <w:rPr>
                <w:lang w:val="en-IN"/>
              </w:rPr>
            </w:pPr>
            <w:r w:rsidRPr="00A01CB4">
              <w:rPr>
                <w:lang w:val="en-IN"/>
              </w:rPr>
              <w:t>.856</w:t>
            </w:r>
          </w:p>
        </w:tc>
        <w:tc>
          <w:tcPr>
            <w:tcW w:w="1839" w:type="pct"/>
            <w:tcBorders>
              <w:top w:val="single" w:sz="4" w:space="0" w:color="auto"/>
            </w:tcBorders>
            <w:vAlign w:val="center"/>
          </w:tcPr>
          <w:p w14:paraId="21A605EE" w14:textId="77777777" w:rsidR="00A01CB4" w:rsidRPr="00A01CB4" w:rsidRDefault="00A01CB4" w:rsidP="00A509FD">
            <w:pPr>
              <w:tabs>
                <w:tab w:val="left" w:pos="1080"/>
              </w:tabs>
              <w:jc w:val="center"/>
              <w:rPr>
                <w:lang w:val="en-IN"/>
              </w:rPr>
            </w:pPr>
          </w:p>
        </w:tc>
      </w:tr>
      <w:tr w:rsidR="00A01CB4" w:rsidRPr="00A01CB4" w14:paraId="678E7F8B" w14:textId="77777777" w:rsidTr="00D537A4">
        <w:trPr>
          <w:cantSplit/>
        </w:trPr>
        <w:tc>
          <w:tcPr>
            <w:tcW w:w="1323" w:type="pct"/>
            <w:vAlign w:val="center"/>
          </w:tcPr>
          <w:p w14:paraId="651C5682" w14:textId="77777777" w:rsidR="00A01CB4" w:rsidRPr="00A01CB4" w:rsidRDefault="00ED2E5A" w:rsidP="00A509FD">
            <w:pPr>
              <w:tabs>
                <w:tab w:val="left" w:pos="1080"/>
              </w:tabs>
              <w:rPr>
                <w:lang w:val="en-IN"/>
              </w:rPr>
            </w:pPr>
            <w:r>
              <w:rPr>
                <w:lang w:val="en-IN"/>
              </w:rPr>
              <w:t xml:space="preserve">Modular or </w:t>
            </w:r>
            <w:proofErr w:type="spellStart"/>
            <w:r>
              <w:rPr>
                <w:lang w:val="en-IN"/>
              </w:rPr>
              <w:t>customizabe</w:t>
            </w:r>
            <w:proofErr w:type="spellEnd"/>
            <w:r>
              <w:rPr>
                <w:lang w:val="en-IN"/>
              </w:rPr>
              <w:t xml:space="preserve"> design</w:t>
            </w:r>
          </w:p>
        </w:tc>
        <w:tc>
          <w:tcPr>
            <w:tcW w:w="1838" w:type="pct"/>
            <w:vAlign w:val="center"/>
          </w:tcPr>
          <w:p w14:paraId="0B2FA55A" w14:textId="77777777" w:rsidR="00A01CB4" w:rsidRPr="00A01CB4" w:rsidRDefault="00A01CB4" w:rsidP="00A509FD">
            <w:pPr>
              <w:tabs>
                <w:tab w:val="left" w:pos="1080"/>
              </w:tabs>
              <w:jc w:val="center"/>
              <w:rPr>
                <w:lang w:val="en-IN"/>
              </w:rPr>
            </w:pPr>
            <w:r w:rsidRPr="00A01CB4">
              <w:rPr>
                <w:lang w:val="en-IN"/>
              </w:rPr>
              <w:t>.852</w:t>
            </w:r>
          </w:p>
        </w:tc>
        <w:tc>
          <w:tcPr>
            <w:tcW w:w="1839" w:type="pct"/>
            <w:vAlign w:val="center"/>
          </w:tcPr>
          <w:p w14:paraId="3DE7254B" w14:textId="77777777" w:rsidR="00A01CB4" w:rsidRPr="00A01CB4" w:rsidRDefault="00A01CB4" w:rsidP="00A509FD">
            <w:pPr>
              <w:tabs>
                <w:tab w:val="left" w:pos="1080"/>
              </w:tabs>
              <w:jc w:val="center"/>
              <w:rPr>
                <w:lang w:val="en-IN"/>
              </w:rPr>
            </w:pPr>
          </w:p>
        </w:tc>
      </w:tr>
      <w:tr w:rsidR="00A01CB4" w:rsidRPr="00A01CB4" w14:paraId="2E925A98" w14:textId="77777777" w:rsidTr="00D537A4">
        <w:trPr>
          <w:cantSplit/>
        </w:trPr>
        <w:tc>
          <w:tcPr>
            <w:tcW w:w="1323" w:type="pct"/>
            <w:vAlign w:val="center"/>
          </w:tcPr>
          <w:p w14:paraId="60BFD468" w14:textId="77777777" w:rsidR="00A01CB4" w:rsidRPr="00A01CB4" w:rsidRDefault="00ED2E5A" w:rsidP="00A509FD">
            <w:pPr>
              <w:tabs>
                <w:tab w:val="left" w:pos="1080"/>
              </w:tabs>
              <w:rPr>
                <w:lang w:val="en-IN"/>
              </w:rPr>
            </w:pPr>
            <w:r>
              <w:rPr>
                <w:lang w:val="en-IN"/>
              </w:rPr>
              <w:t>Organic seeds and compost</w:t>
            </w:r>
          </w:p>
        </w:tc>
        <w:tc>
          <w:tcPr>
            <w:tcW w:w="1838" w:type="pct"/>
            <w:vAlign w:val="center"/>
          </w:tcPr>
          <w:p w14:paraId="3A447C9D" w14:textId="77777777" w:rsidR="00A01CB4" w:rsidRPr="00A01CB4" w:rsidRDefault="00A01CB4" w:rsidP="00A509FD">
            <w:pPr>
              <w:tabs>
                <w:tab w:val="left" w:pos="1080"/>
              </w:tabs>
              <w:jc w:val="center"/>
              <w:rPr>
                <w:lang w:val="en-IN"/>
              </w:rPr>
            </w:pPr>
            <w:r w:rsidRPr="00A01CB4">
              <w:rPr>
                <w:lang w:val="en-IN"/>
              </w:rPr>
              <w:t>.804</w:t>
            </w:r>
          </w:p>
        </w:tc>
        <w:tc>
          <w:tcPr>
            <w:tcW w:w="1839" w:type="pct"/>
            <w:vAlign w:val="center"/>
          </w:tcPr>
          <w:p w14:paraId="706D5CE9" w14:textId="77777777" w:rsidR="00A01CB4" w:rsidRPr="00A01CB4" w:rsidRDefault="00A01CB4" w:rsidP="00A509FD">
            <w:pPr>
              <w:tabs>
                <w:tab w:val="left" w:pos="1080"/>
              </w:tabs>
              <w:jc w:val="center"/>
              <w:rPr>
                <w:lang w:val="en-IN"/>
              </w:rPr>
            </w:pPr>
            <w:r w:rsidRPr="00A01CB4">
              <w:rPr>
                <w:lang w:val="en-IN"/>
              </w:rPr>
              <w:t>-.142</w:t>
            </w:r>
          </w:p>
        </w:tc>
      </w:tr>
      <w:tr w:rsidR="00A01CB4" w:rsidRPr="00A01CB4" w14:paraId="7514E582" w14:textId="77777777" w:rsidTr="00D537A4">
        <w:trPr>
          <w:cantSplit/>
        </w:trPr>
        <w:tc>
          <w:tcPr>
            <w:tcW w:w="1323" w:type="pct"/>
            <w:vAlign w:val="center"/>
          </w:tcPr>
          <w:p w14:paraId="3FAA4E1D" w14:textId="77777777" w:rsidR="00A01CB4" w:rsidRPr="00A01CB4" w:rsidRDefault="00ED2E5A" w:rsidP="00A509FD">
            <w:pPr>
              <w:tabs>
                <w:tab w:val="left" w:pos="1080"/>
              </w:tabs>
              <w:rPr>
                <w:lang w:val="en-IN"/>
              </w:rPr>
            </w:pPr>
            <w:r>
              <w:rPr>
                <w:lang w:val="en-IN"/>
              </w:rPr>
              <w:t>Aesthetically appealing</w:t>
            </w:r>
          </w:p>
        </w:tc>
        <w:tc>
          <w:tcPr>
            <w:tcW w:w="1838" w:type="pct"/>
            <w:vAlign w:val="center"/>
          </w:tcPr>
          <w:p w14:paraId="038380A9" w14:textId="77777777" w:rsidR="00A01CB4" w:rsidRPr="00A01CB4" w:rsidRDefault="00A01CB4" w:rsidP="00A509FD">
            <w:pPr>
              <w:tabs>
                <w:tab w:val="left" w:pos="1080"/>
              </w:tabs>
              <w:jc w:val="center"/>
              <w:rPr>
                <w:lang w:val="en-IN"/>
              </w:rPr>
            </w:pPr>
            <w:r w:rsidRPr="00A01CB4">
              <w:rPr>
                <w:lang w:val="en-IN"/>
              </w:rPr>
              <w:t>.735</w:t>
            </w:r>
          </w:p>
        </w:tc>
        <w:tc>
          <w:tcPr>
            <w:tcW w:w="1839" w:type="pct"/>
            <w:vAlign w:val="center"/>
          </w:tcPr>
          <w:p w14:paraId="66EB89DE" w14:textId="77777777" w:rsidR="00A01CB4" w:rsidRPr="00A01CB4" w:rsidRDefault="00A01CB4" w:rsidP="00A509FD">
            <w:pPr>
              <w:tabs>
                <w:tab w:val="left" w:pos="1080"/>
              </w:tabs>
              <w:jc w:val="center"/>
              <w:rPr>
                <w:lang w:val="en-IN"/>
              </w:rPr>
            </w:pPr>
          </w:p>
        </w:tc>
      </w:tr>
      <w:tr w:rsidR="00A01CB4" w:rsidRPr="00A01CB4" w14:paraId="2546739B" w14:textId="77777777" w:rsidTr="00D537A4">
        <w:trPr>
          <w:cantSplit/>
        </w:trPr>
        <w:tc>
          <w:tcPr>
            <w:tcW w:w="1323" w:type="pct"/>
            <w:vAlign w:val="center"/>
          </w:tcPr>
          <w:p w14:paraId="3DB5A097" w14:textId="77777777" w:rsidR="00A01CB4" w:rsidRPr="00A01CB4" w:rsidRDefault="00ED2E5A" w:rsidP="00A509FD">
            <w:pPr>
              <w:tabs>
                <w:tab w:val="left" w:pos="1080"/>
              </w:tabs>
              <w:rPr>
                <w:lang w:val="en-IN"/>
              </w:rPr>
            </w:pPr>
            <w:r>
              <w:rPr>
                <w:lang w:val="en-IN"/>
              </w:rPr>
              <w:t>Expandable components</w:t>
            </w:r>
          </w:p>
        </w:tc>
        <w:tc>
          <w:tcPr>
            <w:tcW w:w="1838" w:type="pct"/>
            <w:vAlign w:val="center"/>
          </w:tcPr>
          <w:p w14:paraId="7BDE9E23" w14:textId="77777777" w:rsidR="00A01CB4" w:rsidRPr="00A01CB4" w:rsidRDefault="00A01CB4" w:rsidP="00A509FD">
            <w:pPr>
              <w:tabs>
                <w:tab w:val="left" w:pos="1080"/>
              </w:tabs>
              <w:jc w:val="center"/>
              <w:rPr>
                <w:lang w:val="en-IN"/>
              </w:rPr>
            </w:pPr>
            <w:r w:rsidRPr="00A01CB4">
              <w:rPr>
                <w:lang w:val="en-IN"/>
              </w:rPr>
              <w:t>.721</w:t>
            </w:r>
          </w:p>
        </w:tc>
        <w:tc>
          <w:tcPr>
            <w:tcW w:w="1839" w:type="pct"/>
            <w:vAlign w:val="center"/>
          </w:tcPr>
          <w:p w14:paraId="2665AA64" w14:textId="77777777" w:rsidR="00A01CB4" w:rsidRPr="00A01CB4" w:rsidRDefault="00A01CB4" w:rsidP="00A509FD">
            <w:pPr>
              <w:tabs>
                <w:tab w:val="left" w:pos="1080"/>
              </w:tabs>
              <w:jc w:val="center"/>
              <w:rPr>
                <w:lang w:val="en-IN"/>
              </w:rPr>
            </w:pPr>
            <w:r w:rsidRPr="00A01CB4">
              <w:rPr>
                <w:lang w:val="en-IN"/>
              </w:rPr>
              <w:t>.306</w:t>
            </w:r>
          </w:p>
        </w:tc>
      </w:tr>
      <w:tr w:rsidR="00A01CB4" w:rsidRPr="00A01CB4" w14:paraId="76754ABB" w14:textId="77777777" w:rsidTr="00D537A4">
        <w:trPr>
          <w:cantSplit/>
        </w:trPr>
        <w:tc>
          <w:tcPr>
            <w:tcW w:w="1323" w:type="pct"/>
            <w:vAlign w:val="center"/>
          </w:tcPr>
          <w:p w14:paraId="1ACDBA68" w14:textId="77777777" w:rsidR="00A01CB4" w:rsidRPr="00A01CB4" w:rsidRDefault="00ED2E5A" w:rsidP="00A509FD">
            <w:pPr>
              <w:tabs>
                <w:tab w:val="left" w:pos="1080"/>
              </w:tabs>
              <w:rPr>
                <w:lang w:val="en-IN"/>
              </w:rPr>
            </w:pPr>
            <w:r>
              <w:rPr>
                <w:lang w:val="en-IN"/>
              </w:rPr>
              <w:t>Eco-friendly materials</w:t>
            </w:r>
          </w:p>
        </w:tc>
        <w:tc>
          <w:tcPr>
            <w:tcW w:w="1838" w:type="pct"/>
            <w:vAlign w:val="center"/>
          </w:tcPr>
          <w:p w14:paraId="6174EAFD" w14:textId="77777777" w:rsidR="00A01CB4" w:rsidRPr="00A01CB4" w:rsidRDefault="00A01CB4" w:rsidP="00A509FD">
            <w:pPr>
              <w:tabs>
                <w:tab w:val="left" w:pos="1080"/>
              </w:tabs>
              <w:jc w:val="center"/>
              <w:rPr>
                <w:lang w:val="en-IN"/>
              </w:rPr>
            </w:pPr>
            <w:r w:rsidRPr="00A01CB4">
              <w:rPr>
                <w:lang w:val="en-IN"/>
              </w:rPr>
              <w:t>.705</w:t>
            </w:r>
          </w:p>
        </w:tc>
        <w:tc>
          <w:tcPr>
            <w:tcW w:w="1839" w:type="pct"/>
            <w:vAlign w:val="center"/>
          </w:tcPr>
          <w:p w14:paraId="5D67E97D" w14:textId="77777777" w:rsidR="00A01CB4" w:rsidRPr="00A01CB4" w:rsidRDefault="00A01CB4" w:rsidP="00A509FD">
            <w:pPr>
              <w:tabs>
                <w:tab w:val="left" w:pos="1080"/>
              </w:tabs>
              <w:jc w:val="center"/>
              <w:rPr>
                <w:lang w:val="en-IN"/>
              </w:rPr>
            </w:pPr>
            <w:r w:rsidRPr="00A01CB4">
              <w:rPr>
                <w:lang w:val="en-IN"/>
              </w:rPr>
              <w:t>-.306</w:t>
            </w:r>
          </w:p>
        </w:tc>
      </w:tr>
      <w:tr w:rsidR="00A01CB4" w:rsidRPr="00A01CB4" w14:paraId="773E85E8" w14:textId="77777777" w:rsidTr="00D537A4">
        <w:trPr>
          <w:cantSplit/>
        </w:trPr>
        <w:tc>
          <w:tcPr>
            <w:tcW w:w="1323" w:type="pct"/>
            <w:vAlign w:val="center"/>
          </w:tcPr>
          <w:p w14:paraId="0CC0DE79" w14:textId="77777777" w:rsidR="00A01CB4" w:rsidRPr="00A01CB4" w:rsidRDefault="00ED2E5A" w:rsidP="00A509FD">
            <w:pPr>
              <w:tabs>
                <w:tab w:val="left" w:pos="1080"/>
              </w:tabs>
              <w:rPr>
                <w:lang w:val="en-IN"/>
              </w:rPr>
            </w:pPr>
            <w:r>
              <w:rPr>
                <w:lang w:val="en-IN"/>
              </w:rPr>
              <w:t>High quality features</w:t>
            </w:r>
          </w:p>
        </w:tc>
        <w:tc>
          <w:tcPr>
            <w:tcW w:w="1838" w:type="pct"/>
            <w:vAlign w:val="center"/>
          </w:tcPr>
          <w:p w14:paraId="5E238938" w14:textId="77777777" w:rsidR="00A01CB4" w:rsidRPr="00A01CB4" w:rsidRDefault="00A01CB4" w:rsidP="00A509FD">
            <w:pPr>
              <w:tabs>
                <w:tab w:val="left" w:pos="1080"/>
              </w:tabs>
              <w:jc w:val="center"/>
              <w:rPr>
                <w:lang w:val="en-IN"/>
              </w:rPr>
            </w:pPr>
            <w:r w:rsidRPr="00A01CB4">
              <w:rPr>
                <w:lang w:val="en-IN"/>
              </w:rPr>
              <w:t>.590</w:t>
            </w:r>
          </w:p>
        </w:tc>
        <w:tc>
          <w:tcPr>
            <w:tcW w:w="1839" w:type="pct"/>
            <w:vAlign w:val="center"/>
          </w:tcPr>
          <w:p w14:paraId="14540B34" w14:textId="77777777" w:rsidR="00A01CB4" w:rsidRPr="00A01CB4" w:rsidRDefault="00A01CB4" w:rsidP="00A509FD">
            <w:pPr>
              <w:tabs>
                <w:tab w:val="left" w:pos="1080"/>
              </w:tabs>
              <w:jc w:val="center"/>
              <w:rPr>
                <w:lang w:val="en-IN"/>
              </w:rPr>
            </w:pPr>
            <w:r w:rsidRPr="00A01CB4">
              <w:rPr>
                <w:lang w:val="en-IN"/>
              </w:rPr>
              <w:t>-.290</w:t>
            </w:r>
          </w:p>
        </w:tc>
      </w:tr>
      <w:tr w:rsidR="00A01CB4" w:rsidRPr="00A01CB4" w14:paraId="3D296282" w14:textId="77777777" w:rsidTr="00D537A4">
        <w:trPr>
          <w:cantSplit/>
        </w:trPr>
        <w:tc>
          <w:tcPr>
            <w:tcW w:w="1323" w:type="pct"/>
            <w:vAlign w:val="center"/>
          </w:tcPr>
          <w:p w14:paraId="34A40214" w14:textId="77777777" w:rsidR="00A01CB4" w:rsidRPr="00A01CB4" w:rsidRDefault="00ED2E5A" w:rsidP="00A509FD">
            <w:pPr>
              <w:tabs>
                <w:tab w:val="left" w:pos="1080"/>
              </w:tabs>
              <w:rPr>
                <w:lang w:val="en-IN"/>
              </w:rPr>
            </w:pPr>
            <w:r>
              <w:rPr>
                <w:lang w:val="en-IN"/>
              </w:rPr>
              <w:t>Minimal effort and maintenance</w:t>
            </w:r>
          </w:p>
        </w:tc>
        <w:tc>
          <w:tcPr>
            <w:tcW w:w="1838" w:type="pct"/>
            <w:vAlign w:val="center"/>
          </w:tcPr>
          <w:p w14:paraId="12F08938" w14:textId="77777777" w:rsidR="00A01CB4" w:rsidRPr="00A01CB4" w:rsidRDefault="00A01CB4" w:rsidP="00A509FD">
            <w:pPr>
              <w:tabs>
                <w:tab w:val="left" w:pos="1080"/>
              </w:tabs>
              <w:jc w:val="center"/>
              <w:rPr>
                <w:lang w:val="en-IN"/>
              </w:rPr>
            </w:pPr>
          </w:p>
        </w:tc>
        <w:tc>
          <w:tcPr>
            <w:tcW w:w="1839" w:type="pct"/>
            <w:vAlign w:val="center"/>
          </w:tcPr>
          <w:p w14:paraId="30CCD58D" w14:textId="77777777" w:rsidR="00A01CB4" w:rsidRPr="00A01CB4" w:rsidRDefault="00A01CB4" w:rsidP="00A509FD">
            <w:pPr>
              <w:tabs>
                <w:tab w:val="left" w:pos="1080"/>
              </w:tabs>
              <w:jc w:val="center"/>
              <w:rPr>
                <w:lang w:val="en-IN"/>
              </w:rPr>
            </w:pPr>
            <w:r w:rsidRPr="00A01CB4">
              <w:rPr>
                <w:lang w:val="en-IN"/>
              </w:rPr>
              <w:t>.922</w:t>
            </w:r>
          </w:p>
        </w:tc>
      </w:tr>
      <w:tr w:rsidR="00A01CB4" w:rsidRPr="00A01CB4" w14:paraId="772E2170" w14:textId="77777777" w:rsidTr="00D537A4">
        <w:trPr>
          <w:cantSplit/>
        </w:trPr>
        <w:tc>
          <w:tcPr>
            <w:tcW w:w="1323" w:type="pct"/>
            <w:vAlign w:val="center"/>
          </w:tcPr>
          <w:p w14:paraId="77B4D85C" w14:textId="77777777" w:rsidR="00A01CB4" w:rsidRPr="00A01CB4" w:rsidRDefault="00ED2E5A" w:rsidP="00A509FD">
            <w:pPr>
              <w:tabs>
                <w:tab w:val="left" w:pos="1080"/>
              </w:tabs>
              <w:rPr>
                <w:lang w:val="en-IN"/>
              </w:rPr>
            </w:pPr>
            <w:r>
              <w:rPr>
                <w:lang w:val="en-IN"/>
              </w:rPr>
              <w:t>Easy setup</w:t>
            </w:r>
          </w:p>
        </w:tc>
        <w:tc>
          <w:tcPr>
            <w:tcW w:w="1838" w:type="pct"/>
            <w:vAlign w:val="center"/>
          </w:tcPr>
          <w:p w14:paraId="6FDD3808" w14:textId="77777777" w:rsidR="00A01CB4" w:rsidRPr="00A01CB4" w:rsidRDefault="00A01CB4" w:rsidP="00A509FD">
            <w:pPr>
              <w:tabs>
                <w:tab w:val="left" w:pos="1080"/>
              </w:tabs>
              <w:jc w:val="center"/>
              <w:rPr>
                <w:lang w:val="en-IN"/>
              </w:rPr>
            </w:pPr>
          </w:p>
        </w:tc>
        <w:tc>
          <w:tcPr>
            <w:tcW w:w="1839" w:type="pct"/>
            <w:vAlign w:val="center"/>
          </w:tcPr>
          <w:p w14:paraId="14BB796E" w14:textId="77777777" w:rsidR="00A01CB4" w:rsidRPr="00A01CB4" w:rsidRDefault="00A01CB4" w:rsidP="00A509FD">
            <w:pPr>
              <w:tabs>
                <w:tab w:val="left" w:pos="1080"/>
              </w:tabs>
              <w:jc w:val="center"/>
              <w:rPr>
                <w:lang w:val="en-IN"/>
              </w:rPr>
            </w:pPr>
            <w:r w:rsidRPr="00A01CB4">
              <w:rPr>
                <w:lang w:val="en-IN"/>
              </w:rPr>
              <w:t>.878</w:t>
            </w:r>
          </w:p>
        </w:tc>
      </w:tr>
      <w:tr w:rsidR="00A01CB4" w:rsidRPr="00A01CB4" w14:paraId="17144B29" w14:textId="77777777" w:rsidTr="00D537A4">
        <w:trPr>
          <w:cantSplit/>
        </w:trPr>
        <w:tc>
          <w:tcPr>
            <w:tcW w:w="1323" w:type="pct"/>
            <w:vAlign w:val="center"/>
          </w:tcPr>
          <w:p w14:paraId="3FC5B388" w14:textId="77777777" w:rsidR="00A01CB4" w:rsidRPr="00A01CB4" w:rsidRDefault="00ED2E5A" w:rsidP="00A509FD">
            <w:pPr>
              <w:tabs>
                <w:tab w:val="left" w:pos="1080"/>
              </w:tabs>
              <w:rPr>
                <w:lang w:val="en-IN"/>
              </w:rPr>
            </w:pPr>
            <w:r>
              <w:rPr>
                <w:lang w:val="en-IN"/>
              </w:rPr>
              <w:t>Reliable customer service</w:t>
            </w:r>
          </w:p>
        </w:tc>
        <w:tc>
          <w:tcPr>
            <w:tcW w:w="1838" w:type="pct"/>
            <w:vAlign w:val="center"/>
          </w:tcPr>
          <w:p w14:paraId="1E854D56" w14:textId="77777777" w:rsidR="00A01CB4" w:rsidRPr="00A01CB4" w:rsidRDefault="00A01CB4" w:rsidP="00A509FD">
            <w:pPr>
              <w:tabs>
                <w:tab w:val="left" w:pos="1080"/>
              </w:tabs>
              <w:jc w:val="center"/>
              <w:rPr>
                <w:lang w:val="en-IN"/>
              </w:rPr>
            </w:pPr>
          </w:p>
        </w:tc>
        <w:tc>
          <w:tcPr>
            <w:tcW w:w="1839" w:type="pct"/>
            <w:vAlign w:val="center"/>
          </w:tcPr>
          <w:p w14:paraId="7AF4A96A" w14:textId="77777777" w:rsidR="00A01CB4" w:rsidRPr="00A01CB4" w:rsidRDefault="00A01CB4" w:rsidP="00A509FD">
            <w:pPr>
              <w:tabs>
                <w:tab w:val="left" w:pos="1080"/>
              </w:tabs>
              <w:jc w:val="center"/>
              <w:rPr>
                <w:lang w:val="en-IN"/>
              </w:rPr>
            </w:pPr>
            <w:r w:rsidRPr="00A01CB4">
              <w:rPr>
                <w:lang w:val="en-IN"/>
              </w:rPr>
              <w:t>.646</w:t>
            </w:r>
          </w:p>
        </w:tc>
      </w:tr>
      <w:tr w:rsidR="00A01CB4" w:rsidRPr="00A01CB4" w14:paraId="4D261F9D" w14:textId="77777777" w:rsidTr="00D537A4">
        <w:trPr>
          <w:cantSplit/>
        </w:trPr>
        <w:tc>
          <w:tcPr>
            <w:tcW w:w="5000" w:type="pct"/>
            <w:gridSpan w:val="3"/>
            <w:tcBorders>
              <w:top w:val="single" w:sz="4" w:space="0" w:color="auto"/>
            </w:tcBorders>
            <w:vAlign w:val="center"/>
          </w:tcPr>
          <w:p w14:paraId="00941CEB" w14:textId="77777777" w:rsidR="00A01CB4" w:rsidRPr="00A01CB4" w:rsidRDefault="00A01CB4" w:rsidP="00A01CB4">
            <w:pPr>
              <w:tabs>
                <w:tab w:val="left" w:pos="1080"/>
              </w:tabs>
              <w:rPr>
                <w:lang w:val="en-IN"/>
              </w:rPr>
            </w:pPr>
          </w:p>
        </w:tc>
      </w:tr>
      <w:tr w:rsidR="00A01CB4" w:rsidRPr="00A01CB4" w14:paraId="36B022ED" w14:textId="77777777" w:rsidTr="00D537A4">
        <w:trPr>
          <w:cantSplit/>
        </w:trPr>
        <w:tc>
          <w:tcPr>
            <w:tcW w:w="5000" w:type="pct"/>
            <w:gridSpan w:val="3"/>
            <w:vAlign w:val="center"/>
          </w:tcPr>
          <w:p w14:paraId="4A97A560" w14:textId="77777777" w:rsidR="00A01CB4" w:rsidRPr="00A01CB4" w:rsidRDefault="00A01CB4" w:rsidP="00A01CB4">
            <w:pPr>
              <w:tabs>
                <w:tab w:val="left" w:pos="1080"/>
              </w:tabs>
              <w:rPr>
                <w:lang w:val="en-IN"/>
              </w:rPr>
            </w:pPr>
          </w:p>
        </w:tc>
      </w:tr>
    </w:tbl>
    <w:p w14:paraId="1E38A9C7" w14:textId="77777777" w:rsidR="00A01CB4" w:rsidRPr="00A01CB4" w:rsidRDefault="00A01CB4" w:rsidP="00A01CB4">
      <w:pPr>
        <w:tabs>
          <w:tab w:val="left" w:pos="1080"/>
        </w:tabs>
        <w:rPr>
          <w:lang w:val="en-IN"/>
        </w:rPr>
      </w:pPr>
    </w:p>
    <w:p w14:paraId="7ED5FC4C" w14:textId="77777777" w:rsidR="00065466" w:rsidRDefault="00065466" w:rsidP="00BE43FB">
      <w:pPr>
        <w:tabs>
          <w:tab w:val="left" w:pos="1080"/>
        </w:tabs>
        <w:rPr>
          <w:rFonts w:ascii="Arial" w:hAnsi="Arial" w:cs="Arial"/>
        </w:rPr>
      </w:pPr>
    </w:p>
    <w:p w14:paraId="723CFAF9" w14:textId="7F945E3A" w:rsidR="00BE43FB" w:rsidRPr="00BE43FB" w:rsidRDefault="00345501" w:rsidP="00BE43FB">
      <w:pPr>
        <w:tabs>
          <w:tab w:val="left" w:pos="1080"/>
        </w:tabs>
        <w:rPr>
          <w:rFonts w:ascii="Arial" w:hAnsi="Arial" w:cs="Arial"/>
          <w:lang w:val="en-IN"/>
        </w:rPr>
      </w:pPr>
      <w:r w:rsidRPr="00BE43FB">
        <w:rPr>
          <w:rFonts w:ascii="Arial" w:hAnsi="Arial" w:cs="Arial"/>
        </w:rPr>
        <w:lastRenderedPageBreak/>
        <w:t>Table 3</w:t>
      </w:r>
      <w:r w:rsidR="004A0CB1">
        <w:rPr>
          <w:rFonts w:ascii="Arial" w:hAnsi="Arial" w:cs="Arial"/>
        </w:rPr>
        <w:t xml:space="preserve"> </w:t>
      </w:r>
      <w:r w:rsidR="00BE43FB" w:rsidRPr="00BE43FB">
        <w:rPr>
          <w:rFonts w:ascii="Arial" w:hAnsi="Arial" w:cs="Arial"/>
          <w:lang w:val="en-IN"/>
        </w:rPr>
        <w:t>One-way ANOVA Results for Consumer Preferences across Residential</w:t>
      </w:r>
      <w:r w:rsidR="00BE43FB">
        <w:rPr>
          <w:rFonts w:ascii="Arial" w:hAnsi="Arial" w:cs="Arial"/>
          <w:lang w:val="en-IN"/>
        </w:rPr>
        <w:t xml:space="preserve"> </w:t>
      </w:r>
      <w:r w:rsidR="00BE43FB" w:rsidRPr="00BE43FB">
        <w:rPr>
          <w:rFonts w:ascii="Arial" w:hAnsi="Arial" w:cs="Arial"/>
          <w:lang w:val="en-IN"/>
        </w:rPr>
        <w:t>Categories</w:t>
      </w:r>
    </w:p>
    <w:p w14:paraId="28751CF7" w14:textId="77777777" w:rsidR="00345501" w:rsidRDefault="00345501" w:rsidP="007524AE">
      <w:pPr>
        <w:tabs>
          <w:tab w:val="left" w:pos="1080"/>
        </w:tabs>
      </w:pPr>
    </w:p>
    <w:tbl>
      <w:tblPr>
        <w:tblpPr w:leftFromText="180" w:rightFromText="180" w:vertAnchor="text" w:horzAnchor="margin" w:tblpY="134"/>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3629"/>
        <w:gridCol w:w="2566"/>
        <w:gridCol w:w="1397"/>
        <w:gridCol w:w="1077"/>
        <w:gridCol w:w="1444"/>
        <w:gridCol w:w="1238"/>
        <w:gridCol w:w="1033"/>
      </w:tblGrid>
      <w:tr w:rsidR="00345501" w:rsidRPr="00345501" w14:paraId="0865846C" w14:textId="77777777" w:rsidTr="00345501">
        <w:trPr>
          <w:cantSplit/>
        </w:trPr>
        <w:tc>
          <w:tcPr>
            <w:tcW w:w="2501" w:type="pct"/>
            <w:gridSpan w:val="2"/>
            <w:vAlign w:val="center"/>
          </w:tcPr>
          <w:p w14:paraId="2FE508F9" w14:textId="77777777" w:rsidR="00345501" w:rsidRPr="00345501" w:rsidRDefault="00345501" w:rsidP="00A509FD">
            <w:pPr>
              <w:tabs>
                <w:tab w:val="left" w:pos="1080"/>
              </w:tabs>
              <w:jc w:val="center"/>
              <w:rPr>
                <w:lang w:val="en-IN"/>
              </w:rPr>
            </w:pPr>
          </w:p>
        </w:tc>
        <w:tc>
          <w:tcPr>
            <w:tcW w:w="564" w:type="pct"/>
            <w:vAlign w:val="center"/>
          </w:tcPr>
          <w:p w14:paraId="0095F8C0" w14:textId="77777777" w:rsidR="00345501" w:rsidRPr="00345501" w:rsidRDefault="00345501" w:rsidP="00A509FD">
            <w:pPr>
              <w:tabs>
                <w:tab w:val="left" w:pos="1080"/>
              </w:tabs>
              <w:rPr>
                <w:b/>
                <w:lang w:val="en-IN"/>
              </w:rPr>
            </w:pPr>
            <w:r w:rsidRPr="00345501">
              <w:rPr>
                <w:b/>
                <w:lang w:val="en-IN"/>
              </w:rPr>
              <w:t>Sum of Squares</w:t>
            </w:r>
          </w:p>
        </w:tc>
        <w:tc>
          <w:tcPr>
            <w:tcW w:w="435" w:type="pct"/>
            <w:vAlign w:val="center"/>
          </w:tcPr>
          <w:p w14:paraId="14748B62" w14:textId="77777777" w:rsidR="00345501" w:rsidRPr="00345501" w:rsidRDefault="00345501" w:rsidP="00A509FD">
            <w:pPr>
              <w:tabs>
                <w:tab w:val="left" w:pos="1080"/>
              </w:tabs>
              <w:rPr>
                <w:b/>
                <w:lang w:val="en-IN"/>
              </w:rPr>
            </w:pPr>
            <w:r w:rsidRPr="00345501">
              <w:rPr>
                <w:b/>
                <w:lang w:val="en-IN"/>
              </w:rPr>
              <w:t>df</w:t>
            </w:r>
          </w:p>
        </w:tc>
        <w:tc>
          <w:tcPr>
            <w:tcW w:w="583" w:type="pct"/>
            <w:vAlign w:val="center"/>
          </w:tcPr>
          <w:p w14:paraId="5613F9D4" w14:textId="77777777" w:rsidR="00345501" w:rsidRPr="00345501" w:rsidRDefault="00345501" w:rsidP="00A509FD">
            <w:pPr>
              <w:tabs>
                <w:tab w:val="left" w:pos="1080"/>
              </w:tabs>
              <w:rPr>
                <w:b/>
                <w:lang w:val="en-IN"/>
              </w:rPr>
            </w:pPr>
            <w:r w:rsidRPr="00345501">
              <w:rPr>
                <w:b/>
                <w:lang w:val="en-IN"/>
              </w:rPr>
              <w:t>Mean Square</w:t>
            </w:r>
          </w:p>
        </w:tc>
        <w:tc>
          <w:tcPr>
            <w:tcW w:w="500" w:type="pct"/>
            <w:vAlign w:val="center"/>
          </w:tcPr>
          <w:p w14:paraId="57642D71" w14:textId="77777777" w:rsidR="00345501" w:rsidRPr="00345501" w:rsidRDefault="00345501" w:rsidP="00A509FD">
            <w:pPr>
              <w:tabs>
                <w:tab w:val="left" w:pos="1080"/>
              </w:tabs>
              <w:rPr>
                <w:b/>
                <w:lang w:val="en-IN"/>
              </w:rPr>
            </w:pPr>
            <w:r w:rsidRPr="00345501">
              <w:rPr>
                <w:b/>
                <w:lang w:val="en-IN"/>
              </w:rPr>
              <w:t>F</w:t>
            </w:r>
          </w:p>
        </w:tc>
        <w:tc>
          <w:tcPr>
            <w:tcW w:w="417" w:type="pct"/>
            <w:vAlign w:val="center"/>
          </w:tcPr>
          <w:p w14:paraId="39302E1B" w14:textId="77777777" w:rsidR="00345501" w:rsidRPr="00345501" w:rsidRDefault="00345501" w:rsidP="00A509FD">
            <w:pPr>
              <w:tabs>
                <w:tab w:val="left" w:pos="1080"/>
              </w:tabs>
              <w:rPr>
                <w:b/>
                <w:lang w:val="en-IN"/>
              </w:rPr>
            </w:pPr>
            <w:r w:rsidRPr="00345501">
              <w:rPr>
                <w:b/>
                <w:lang w:val="en-IN"/>
              </w:rPr>
              <w:t>Sig.</w:t>
            </w:r>
          </w:p>
        </w:tc>
      </w:tr>
      <w:tr w:rsidR="00345501" w:rsidRPr="00345501" w14:paraId="193F20BA" w14:textId="77777777" w:rsidTr="00345501">
        <w:trPr>
          <w:cantSplit/>
        </w:trPr>
        <w:tc>
          <w:tcPr>
            <w:tcW w:w="1465" w:type="pct"/>
            <w:vMerge w:val="restart"/>
            <w:tcBorders>
              <w:top w:val="single" w:sz="4" w:space="0" w:color="auto"/>
            </w:tcBorders>
            <w:vAlign w:val="center"/>
          </w:tcPr>
          <w:p w14:paraId="3995E911" w14:textId="77777777" w:rsidR="00345501" w:rsidRPr="00345501" w:rsidRDefault="00345501" w:rsidP="00A509FD">
            <w:pPr>
              <w:tabs>
                <w:tab w:val="left" w:pos="1080"/>
              </w:tabs>
              <w:rPr>
                <w:b/>
                <w:lang w:val="en-IN"/>
              </w:rPr>
            </w:pPr>
            <w:r w:rsidRPr="00345501">
              <w:rPr>
                <w:b/>
                <w:lang w:val="en-IN"/>
              </w:rPr>
              <w:t>Factor 1</w:t>
            </w:r>
          </w:p>
          <w:p w14:paraId="471B161B" w14:textId="77777777" w:rsidR="00345501" w:rsidRPr="00345501" w:rsidRDefault="00345501" w:rsidP="00A509FD">
            <w:pPr>
              <w:tabs>
                <w:tab w:val="left" w:pos="1080"/>
              </w:tabs>
              <w:rPr>
                <w:b/>
                <w:lang w:val="en-IN"/>
              </w:rPr>
            </w:pPr>
            <w:r w:rsidRPr="00345501">
              <w:rPr>
                <w:b/>
                <w:lang w:val="en-IN"/>
              </w:rPr>
              <w:t>Kit Value &amp; Flexibility</w:t>
            </w:r>
          </w:p>
        </w:tc>
        <w:tc>
          <w:tcPr>
            <w:tcW w:w="1036" w:type="pct"/>
            <w:tcBorders>
              <w:top w:val="single" w:sz="4" w:space="0" w:color="auto"/>
            </w:tcBorders>
            <w:vAlign w:val="center"/>
          </w:tcPr>
          <w:p w14:paraId="752BD6FB" w14:textId="77777777" w:rsidR="00345501" w:rsidRPr="00345501" w:rsidRDefault="00345501" w:rsidP="00A509FD">
            <w:pPr>
              <w:tabs>
                <w:tab w:val="left" w:pos="1080"/>
              </w:tabs>
              <w:rPr>
                <w:lang w:val="en-IN"/>
              </w:rPr>
            </w:pPr>
            <w:r w:rsidRPr="00345501">
              <w:rPr>
                <w:lang w:val="en-IN"/>
              </w:rPr>
              <w:t>Between Groups</w:t>
            </w:r>
          </w:p>
        </w:tc>
        <w:tc>
          <w:tcPr>
            <w:tcW w:w="564" w:type="pct"/>
            <w:tcBorders>
              <w:top w:val="single" w:sz="4" w:space="0" w:color="auto"/>
            </w:tcBorders>
            <w:vAlign w:val="center"/>
          </w:tcPr>
          <w:p w14:paraId="2DE35ED6" w14:textId="77777777" w:rsidR="00345501" w:rsidRPr="00345501" w:rsidRDefault="00345501" w:rsidP="00A509FD">
            <w:pPr>
              <w:tabs>
                <w:tab w:val="left" w:pos="1080"/>
              </w:tabs>
              <w:rPr>
                <w:lang w:val="en-IN"/>
              </w:rPr>
            </w:pPr>
            <w:r w:rsidRPr="00345501">
              <w:rPr>
                <w:lang w:val="en-IN"/>
              </w:rPr>
              <w:t>22.38</w:t>
            </w:r>
          </w:p>
        </w:tc>
        <w:tc>
          <w:tcPr>
            <w:tcW w:w="435" w:type="pct"/>
            <w:tcBorders>
              <w:top w:val="single" w:sz="4" w:space="0" w:color="auto"/>
            </w:tcBorders>
            <w:vAlign w:val="center"/>
          </w:tcPr>
          <w:p w14:paraId="06B9F0C4" w14:textId="77777777" w:rsidR="00345501" w:rsidRPr="00345501" w:rsidRDefault="00345501" w:rsidP="00A509FD">
            <w:pPr>
              <w:tabs>
                <w:tab w:val="left" w:pos="1080"/>
              </w:tabs>
              <w:rPr>
                <w:lang w:val="en-IN"/>
              </w:rPr>
            </w:pPr>
            <w:r w:rsidRPr="00345501">
              <w:rPr>
                <w:lang w:val="en-IN"/>
              </w:rPr>
              <w:t>2</w:t>
            </w:r>
          </w:p>
        </w:tc>
        <w:tc>
          <w:tcPr>
            <w:tcW w:w="583" w:type="pct"/>
            <w:tcBorders>
              <w:top w:val="single" w:sz="4" w:space="0" w:color="auto"/>
            </w:tcBorders>
            <w:vAlign w:val="center"/>
          </w:tcPr>
          <w:p w14:paraId="26564B73" w14:textId="77777777" w:rsidR="00345501" w:rsidRPr="00345501" w:rsidRDefault="00345501" w:rsidP="00A509FD">
            <w:pPr>
              <w:tabs>
                <w:tab w:val="left" w:pos="1080"/>
              </w:tabs>
              <w:rPr>
                <w:lang w:val="en-IN"/>
              </w:rPr>
            </w:pPr>
            <w:r w:rsidRPr="00345501">
              <w:rPr>
                <w:lang w:val="en-IN"/>
              </w:rPr>
              <w:t>11.19</w:t>
            </w:r>
          </w:p>
        </w:tc>
        <w:tc>
          <w:tcPr>
            <w:tcW w:w="500" w:type="pct"/>
            <w:tcBorders>
              <w:top w:val="single" w:sz="4" w:space="0" w:color="auto"/>
            </w:tcBorders>
            <w:vAlign w:val="center"/>
          </w:tcPr>
          <w:p w14:paraId="57992FC0" w14:textId="77777777" w:rsidR="00345501" w:rsidRPr="00345501" w:rsidRDefault="00345501" w:rsidP="00A509FD">
            <w:pPr>
              <w:tabs>
                <w:tab w:val="left" w:pos="1080"/>
              </w:tabs>
              <w:rPr>
                <w:lang w:val="en-IN"/>
              </w:rPr>
            </w:pPr>
            <w:r w:rsidRPr="00345501">
              <w:rPr>
                <w:lang w:val="en-IN"/>
              </w:rPr>
              <w:t>13.55</w:t>
            </w:r>
          </w:p>
        </w:tc>
        <w:tc>
          <w:tcPr>
            <w:tcW w:w="417" w:type="pct"/>
            <w:tcBorders>
              <w:top w:val="single" w:sz="4" w:space="0" w:color="auto"/>
            </w:tcBorders>
            <w:vAlign w:val="center"/>
          </w:tcPr>
          <w:p w14:paraId="2AC9C2B3" w14:textId="77777777" w:rsidR="00345501" w:rsidRPr="00345501" w:rsidRDefault="00345501" w:rsidP="00A509FD">
            <w:pPr>
              <w:tabs>
                <w:tab w:val="left" w:pos="1080"/>
              </w:tabs>
              <w:rPr>
                <w:lang w:val="en-IN"/>
              </w:rPr>
            </w:pPr>
            <w:r w:rsidRPr="00345501">
              <w:rPr>
                <w:lang w:val="en-IN"/>
              </w:rPr>
              <w:t>&lt;.001</w:t>
            </w:r>
          </w:p>
        </w:tc>
      </w:tr>
      <w:tr w:rsidR="00345501" w:rsidRPr="00345501" w14:paraId="2EF9EA9F" w14:textId="77777777" w:rsidTr="00345501">
        <w:trPr>
          <w:cantSplit/>
        </w:trPr>
        <w:tc>
          <w:tcPr>
            <w:tcW w:w="1465" w:type="pct"/>
            <w:vMerge/>
            <w:vAlign w:val="center"/>
          </w:tcPr>
          <w:p w14:paraId="25D72EED" w14:textId="77777777" w:rsidR="00345501" w:rsidRPr="00345501" w:rsidRDefault="00345501" w:rsidP="00A509FD">
            <w:pPr>
              <w:tabs>
                <w:tab w:val="left" w:pos="1080"/>
              </w:tabs>
              <w:rPr>
                <w:b/>
                <w:lang w:val="en-IN"/>
              </w:rPr>
            </w:pPr>
          </w:p>
        </w:tc>
        <w:tc>
          <w:tcPr>
            <w:tcW w:w="1036" w:type="pct"/>
            <w:vAlign w:val="center"/>
          </w:tcPr>
          <w:p w14:paraId="4B300C25" w14:textId="77777777" w:rsidR="00345501" w:rsidRPr="00345501" w:rsidRDefault="00345501" w:rsidP="00A509FD">
            <w:pPr>
              <w:tabs>
                <w:tab w:val="left" w:pos="1080"/>
              </w:tabs>
              <w:rPr>
                <w:lang w:val="en-IN"/>
              </w:rPr>
            </w:pPr>
            <w:r w:rsidRPr="00345501">
              <w:rPr>
                <w:lang w:val="en-IN"/>
              </w:rPr>
              <w:t>Within Groups</w:t>
            </w:r>
          </w:p>
        </w:tc>
        <w:tc>
          <w:tcPr>
            <w:tcW w:w="564" w:type="pct"/>
            <w:vAlign w:val="center"/>
          </w:tcPr>
          <w:p w14:paraId="0D4EBD50" w14:textId="77777777" w:rsidR="00345501" w:rsidRPr="00345501" w:rsidRDefault="00345501" w:rsidP="00A509FD">
            <w:pPr>
              <w:tabs>
                <w:tab w:val="left" w:pos="1080"/>
              </w:tabs>
              <w:rPr>
                <w:lang w:val="en-IN"/>
              </w:rPr>
            </w:pPr>
            <w:r w:rsidRPr="00345501">
              <w:rPr>
                <w:lang w:val="en-IN"/>
              </w:rPr>
              <w:t>96.61</w:t>
            </w:r>
          </w:p>
        </w:tc>
        <w:tc>
          <w:tcPr>
            <w:tcW w:w="435" w:type="pct"/>
            <w:vAlign w:val="center"/>
          </w:tcPr>
          <w:p w14:paraId="20C15FAF" w14:textId="77777777" w:rsidR="00345501" w:rsidRPr="00345501" w:rsidRDefault="00345501" w:rsidP="00A509FD">
            <w:pPr>
              <w:tabs>
                <w:tab w:val="left" w:pos="1080"/>
              </w:tabs>
              <w:rPr>
                <w:lang w:val="en-IN"/>
              </w:rPr>
            </w:pPr>
            <w:r w:rsidRPr="00345501">
              <w:rPr>
                <w:lang w:val="en-IN"/>
              </w:rPr>
              <w:t>117</w:t>
            </w:r>
          </w:p>
        </w:tc>
        <w:tc>
          <w:tcPr>
            <w:tcW w:w="583" w:type="pct"/>
            <w:vAlign w:val="center"/>
          </w:tcPr>
          <w:p w14:paraId="35808A33" w14:textId="77777777" w:rsidR="00345501" w:rsidRPr="00345501" w:rsidRDefault="00345501" w:rsidP="00A509FD">
            <w:pPr>
              <w:tabs>
                <w:tab w:val="left" w:pos="1080"/>
              </w:tabs>
              <w:rPr>
                <w:lang w:val="en-IN"/>
              </w:rPr>
            </w:pPr>
            <w:r w:rsidRPr="00345501">
              <w:rPr>
                <w:lang w:val="en-IN"/>
              </w:rPr>
              <w:t>.826</w:t>
            </w:r>
          </w:p>
        </w:tc>
        <w:tc>
          <w:tcPr>
            <w:tcW w:w="500" w:type="pct"/>
            <w:vAlign w:val="center"/>
          </w:tcPr>
          <w:p w14:paraId="1F42A743" w14:textId="77777777" w:rsidR="00345501" w:rsidRPr="00345501" w:rsidRDefault="00345501" w:rsidP="00A509FD">
            <w:pPr>
              <w:tabs>
                <w:tab w:val="left" w:pos="1080"/>
              </w:tabs>
              <w:rPr>
                <w:lang w:val="en-IN"/>
              </w:rPr>
            </w:pPr>
          </w:p>
        </w:tc>
        <w:tc>
          <w:tcPr>
            <w:tcW w:w="417" w:type="pct"/>
            <w:vAlign w:val="center"/>
          </w:tcPr>
          <w:p w14:paraId="5B177BEC" w14:textId="77777777" w:rsidR="00345501" w:rsidRPr="00345501" w:rsidRDefault="00345501" w:rsidP="00A509FD">
            <w:pPr>
              <w:tabs>
                <w:tab w:val="left" w:pos="1080"/>
              </w:tabs>
              <w:rPr>
                <w:lang w:val="en-IN"/>
              </w:rPr>
            </w:pPr>
          </w:p>
        </w:tc>
      </w:tr>
      <w:tr w:rsidR="00345501" w:rsidRPr="00345501" w14:paraId="6D7447F4" w14:textId="77777777" w:rsidTr="00A509FD">
        <w:trPr>
          <w:cantSplit/>
        </w:trPr>
        <w:tc>
          <w:tcPr>
            <w:tcW w:w="1465" w:type="pct"/>
            <w:vMerge/>
            <w:tcBorders>
              <w:bottom w:val="single" w:sz="4" w:space="0" w:color="auto"/>
            </w:tcBorders>
            <w:vAlign w:val="center"/>
          </w:tcPr>
          <w:p w14:paraId="44AAA017" w14:textId="77777777" w:rsidR="00345501" w:rsidRPr="00345501" w:rsidRDefault="00345501" w:rsidP="00A509FD">
            <w:pPr>
              <w:tabs>
                <w:tab w:val="left" w:pos="1080"/>
              </w:tabs>
              <w:rPr>
                <w:b/>
                <w:lang w:val="en-IN"/>
              </w:rPr>
            </w:pPr>
          </w:p>
        </w:tc>
        <w:tc>
          <w:tcPr>
            <w:tcW w:w="1036" w:type="pct"/>
            <w:tcBorders>
              <w:bottom w:val="single" w:sz="4" w:space="0" w:color="auto"/>
            </w:tcBorders>
            <w:vAlign w:val="center"/>
          </w:tcPr>
          <w:p w14:paraId="60CC7363" w14:textId="77777777" w:rsidR="00345501" w:rsidRPr="00345501" w:rsidRDefault="00345501" w:rsidP="00A509FD">
            <w:pPr>
              <w:tabs>
                <w:tab w:val="left" w:pos="1080"/>
              </w:tabs>
              <w:rPr>
                <w:lang w:val="en-IN"/>
              </w:rPr>
            </w:pPr>
            <w:r w:rsidRPr="00345501">
              <w:rPr>
                <w:lang w:val="en-IN"/>
              </w:rPr>
              <w:t>Total</w:t>
            </w:r>
          </w:p>
        </w:tc>
        <w:tc>
          <w:tcPr>
            <w:tcW w:w="564" w:type="pct"/>
            <w:tcBorders>
              <w:bottom w:val="single" w:sz="4" w:space="0" w:color="auto"/>
            </w:tcBorders>
            <w:vAlign w:val="center"/>
          </w:tcPr>
          <w:p w14:paraId="1E737F6C" w14:textId="77777777" w:rsidR="00345501" w:rsidRPr="00345501" w:rsidRDefault="00345501" w:rsidP="00A509FD">
            <w:pPr>
              <w:tabs>
                <w:tab w:val="left" w:pos="1080"/>
              </w:tabs>
              <w:rPr>
                <w:lang w:val="en-IN"/>
              </w:rPr>
            </w:pPr>
            <w:r w:rsidRPr="00345501">
              <w:rPr>
                <w:lang w:val="en-IN"/>
              </w:rPr>
              <w:t>119.00</w:t>
            </w:r>
          </w:p>
        </w:tc>
        <w:tc>
          <w:tcPr>
            <w:tcW w:w="435" w:type="pct"/>
            <w:tcBorders>
              <w:bottom w:val="single" w:sz="4" w:space="0" w:color="auto"/>
            </w:tcBorders>
            <w:vAlign w:val="center"/>
          </w:tcPr>
          <w:p w14:paraId="4FEC1FA2" w14:textId="77777777" w:rsidR="00345501" w:rsidRPr="00345501" w:rsidRDefault="00345501" w:rsidP="00A509FD">
            <w:pPr>
              <w:tabs>
                <w:tab w:val="left" w:pos="1080"/>
              </w:tabs>
              <w:rPr>
                <w:lang w:val="en-IN"/>
              </w:rPr>
            </w:pPr>
            <w:r w:rsidRPr="00345501">
              <w:rPr>
                <w:lang w:val="en-IN"/>
              </w:rPr>
              <w:t>119</w:t>
            </w:r>
          </w:p>
        </w:tc>
        <w:tc>
          <w:tcPr>
            <w:tcW w:w="583" w:type="pct"/>
            <w:tcBorders>
              <w:bottom w:val="single" w:sz="4" w:space="0" w:color="auto"/>
            </w:tcBorders>
            <w:vAlign w:val="center"/>
          </w:tcPr>
          <w:p w14:paraId="30867C0B" w14:textId="77777777" w:rsidR="00345501" w:rsidRPr="00345501" w:rsidRDefault="00345501" w:rsidP="00A509FD">
            <w:pPr>
              <w:tabs>
                <w:tab w:val="left" w:pos="1080"/>
              </w:tabs>
              <w:rPr>
                <w:lang w:val="en-IN"/>
              </w:rPr>
            </w:pPr>
          </w:p>
        </w:tc>
        <w:tc>
          <w:tcPr>
            <w:tcW w:w="500" w:type="pct"/>
            <w:tcBorders>
              <w:bottom w:val="single" w:sz="4" w:space="0" w:color="auto"/>
            </w:tcBorders>
            <w:vAlign w:val="center"/>
          </w:tcPr>
          <w:p w14:paraId="325184F1" w14:textId="77777777" w:rsidR="00345501" w:rsidRPr="00345501" w:rsidRDefault="00345501" w:rsidP="00A509FD">
            <w:pPr>
              <w:tabs>
                <w:tab w:val="left" w:pos="1080"/>
              </w:tabs>
              <w:rPr>
                <w:lang w:val="en-IN"/>
              </w:rPr>
            </w:pPr>
          </w:p>
        </w:tc>
        <w:tc>
          <w:tcPr>
            <w:tcW w:w="417" w:type="pct"/>
            <w:tcBorders>
              <w:bottom w:val="single" w:sz="4" w:space="0" w:color="auto"/>
            </w:tcBorders>
            <w:vAlign w:val="center"/>
          </w:tcPr>
          <w:p w14:paraId="7C65EE4F" w14:textId="77777777" w:rsidR="00345501" w:rsidRPr="00345501" w:rsidRDefault="00345501" w:rsidP="00A509FD">
            <w:pPr>
              <w:tabs>
                <w:tab w:val="left" w:pos="1080"/>
              </w:tabs>
              <w:rPr>
                <w:lang w:val="en-IN"/>
              </w:rPr>
            </w:pPr>
          </w:p>
        </w:tc>
      </w:tr>
      <w:tr w:rsidR="00345501" w:rsidRPr="00345501" w14:paraId="3C7FE4D0" w14:textId="77777777" w:rsidTr="00A509FD">
        <w:trPr>
          <w:cantSplit/>
        </w:trPr>
        <w:tc>
          <w:tcPr>
            <w:tcW w:w="1465" w:type="pct"/>
            <w:vMerge w:val="restart"/>
            <w:tcBorders>
              <w:top w:val="single" w:sz="4" w:space="0" w:color="auto"/>
            </w:tcBorders>
            <w:vAlign w:val="center"/>
          </w:tcPr>
          <w:p w14:paraId="20F95434" w14:textId="77777777" w:rsidR="00345501" w:rsidRPr="00345501" w:rsidRDefault="00345501" w:rsidP="00A509FD">
            <w:pPr>
              <w:tabs>
                <w:tab w:val="left" w:pos="1080"/>
              </w:tabs>
              <w:rPr>
                <w:b/>
                <w:lang w:val="en-IN"/>
              </w:rPr>
            </w:pPr>
            <w:r w:rsidRPr="00345501">
              <w:rPr>
                <w:b/>
                <w:lang w:val="en-IN"/>
              </w:rPr>
              <w:t>Factor 2</w:t>
            </w:r>
          </w:p>
          <w:p w14:paraId="18200C69" w14:textId="77777777" w:rsidR="00345501" w:rsidRPr="00345501" w:rsidRDefault="00345501" w:rsidP="00A509FD">
            <w:pPr>
              <w:tabs>
                <w:tab w:val="left" w:pos="1080"/>
              </w:tabs>
              <w:rPr>
                <w:b/>
                <w:lang w:val="en-IN"/>
              </w:rPr>
            </w:pPr>
            <w:r w:rsidRPr="00345501">
              <w:rPr>
                <w:b/>
                <w:lang w:val="en-IN"/>
              </w:rPr>
              <w:t>User Convenience</w:t>
            </w:r>
          </w:p>
        </w:tc>
        <w:tc>
          <w:tcPr>
            <w:tcW w:w="1036" w:type="pct"/>
            <w:tcBorders>
              <w:top w:val="single" w:sz="4" w:space="0" w:color="auto"/>
            </w:tcBorders>
            <w:vAlign w:val="center"/>
          </w:tcPr>
          <w:p w14:paraId="2088D07E" w14:textId="77777777" w:rsidR="00345501" w:rsidRPr="00345501" w:rsidRDefault="00345501" w:rsidP="00A509FD">
            <w:pPr>
              <w:tabs>
                <w:tab w:val="left" w:pos="1080"/>
              </w:tabs>
              <w:rPr>
                <w:lang w:val="en-IN"/>
              </w:rPr>
            </w:pPr>
            <w:r w:rsidRPr="00345501">
              <w:rPr>
                <w:lang w:val="en-IN"/>
              </w:rPr>
              <w:t>Between Groups</w:t>
            </w:r>
          </w:p>
        </w:tc>
        <w:tc>
          <w:tcPr>
            <w:tcW w:w="564" w:type="pct"/>
            <w:tcBorders>
              <w:top w:val="single" w:sz="4" w:space="0" w:color="auto"/>
            </w:tcBorders>
            <w:vAlign w:val="center"/>
          </w:tcPr>
          <w:p w14:paraId="3BB33C07" w14:textId="77777777" w:rsidR="00345501" w:rsidRPr="00345501" w:rsidRDefault="00345501" w:rsidP="00A509FD">
            <w:pPr>
              <w:tabs>
                <w:tab w:val="left" w:pos="1080"/>
              </w:tabs>
              <w:rPr>
                <w:lang w:val="en-IN"/>
              </w:rPr>
            </w:pPr>
            <w:r w:rsidRPr="00345501">
              <w:rPr>
                <w:lang w:val="en-IN"/>
              </w:rPr>
              <w:t>11.98</w:t>
            </w:r>
          </w:p>
        </w:tc>
        <w:tc>
          <w:tcPr>
            <w:tcW w:w="435" w:type="pct"/>
            <w:tcBorders>
              <w:top w:val="single" w:sz="4" w:space="0" w:color="auto"/>
            </w:tcBorders>
            <w:vAlign w:val="center"/>
          </w:tcPr>
          <w:p w14:paraId="6612B29B" w14:textId="77777777" w:rsidR="00345501" w:rsidRPr="00345501" w:rsidRDefault="00345501" w:rsidP="00A509FD">
            <w:pPr>
              <w:tabs>
                <w:tab w:val="left" w:pos="1080"/>
              </w:tabs>
              <w:rPr>
                <w:lang w:val="en-IN"/>
              </w:rPr>
            </w:pPr>
            <w:r w:rsidRPr="00345501">
              <w:rPr>
                <w:lang w:val="en-IN"/>
              </w:rPr>
              <w:t>2</w:t>
            </w:r>
          </w:p>
        </w:tc>
        <w:tc>
          <w:tcPr>
            <w:tcW w:w="583" w:type="pct"/>
            <w:tcBorders>
              <w:top w:val="single" w:sz="4" w:space="0" w:color="auto"/>
            </w:tcBorders>
            <w:vAlign w:val="center"/>
          </w:tcPr>
          <w:p w14:paraId="765ACAE2" w14:textId="77777777" w:rsidR="00345501" w:rsidRPr="00345501" w:rsidRDefault="00345501" w:rsidP="00A509FD">
            <w:pPr>
              <w:tabs>
                <w:tab w:val="left" w:pos="1080"/>
              </w:tabs>
              <w:rPr>
                <w:lang w:val="en-IN"/>
              </w:rPr>
            </w:pPr>
            <w:r w:rsidRPr="00345501">
              <w:rPr>
                <w:lang w:val="en-IN"/>
              </w:rPr>
              <w:t>5.99</w:t>
            </w:r>
          </w:p>
        </w:tc>
        <w:tc>
          <w:tcPr>
            <w:tcW w:w="500" w:type="pct"/>
            <w:tcBorders>
              <w:top w:val="single" w:sz="4" w:space="0" w:color="auto"/>
            </w:tcBorders>
            <w:vAlign w:val="center"/>
          </w:tcPr>
          <w:p w14:paraId="1426337E" w14:textId="77777777" w:rsidR="00345501" w:rsidRPr="00345501" w:rsidRDefault="00345501" w:rsidP="00A509FD">
            <w:pPr>
              <w:tabs>
                <w:tab w:val="left" w:pos="1080"/>
              </w:tabs>
              <w:rPr>
                <w:lang w:val="en-IN"/>
              </w:rPr>
            </w:pPr>
            <w:r w:rsidRPr="00345501">
              <w:rPr>
                <w:lang w:val="en-IN"/>
              </w:rPr>
              <w:t>6.55</w:t>
            </w:r>
          </w:p>
        </w:tc>
        <w:tc>
          <w:tcPr>
            <w:tcW w:w="417" w:type="pct"/>
            <w:tcBorders>
              <w:top w:val="single" w:sz="4" w:space="0" w:color="auto"/>
            </w:tcBorders>
            <w:vAlign w:val="center"/>
          </w:tcPr>
          <w:p w14:paraId="18923820" w14:textId="77777777" w:rsidR="00345501" w:rsidRPr="00345501" w:rsidRDefault="00345501" w:rsidP="00A509FD">
            <w:pPr>
              <w:tabs>
                <w:tab w:val="left" w:pos="1080"/>
              </w:tabs>
              <w:rPr>
                <w:lang w:val="en-IN"/>
              </w:rPr>
            </w:pPr>
            <w:r w:rsidRPr="00345501">
              <w:rPr>
                <w:lang w:val="en-IN"/>
              </w:rPr>
              <w:t>.002</w:t>
            </w:r>
          </w:p>
        </w:tc>
      </w:tr>
      <w:tr w:rsidR="00345501" w:rsidRPr="00345501" w14:paraId="306140C8" w14:textId="77777777" w:rsidTr="00345501">
        <w:trPr>
          <w:cantSplit/>
        </w:trPr>
        <w:tc>
          <w:tcPr>
            <w:tcW w:w="1465" w:type="pct"/>
            <w:vMerge/>
            <w:vAlign w:val="center"/>
          </w:tcPr>
          <w:p w14:paraId="1179DA74" w14:textId="77777777" w:rsidR="00345501" w:rsidRPr="00345501" w:rsidRDefault="00345501" w:rsidP="00A509FD">
            <w:pPr>
              <w:tabs>
                <w:tab w:val="left" w:pos="1080"/>
              </w:tabs>
              <w:rPr>
                <w:lang w:val="en-IN"/>
              </w:rPr>
            </w:pPr>
          </w:p>
        </w:tc>
        <w:tc>
          <w:tcPr>
            <w:tcW w:w="1036" w:type="pct"/>
            <w:vAlign w:val="center"/>
          </w:tcPr>
          <w:p w14:paraId="0ABE5448" w14:textId="77777777" w:rsidR="00345501" w:rsidRPr="00345501" w:rsidRDefault="00345501" w:rsidP="00A509FD">
            <w:pPr>
              <w:tabs>
                <w:tab w:val="left" w:pos="1080"/>
              </w:tabs>
              <w:rPr>
                <w:lang w:val="en-IN"/>
              </w:rPr>
            </w:pPr>
            <w:r w:rsidRPr="00345501">
              <w:rPr>
                <w:lang w:val="en-IN"/>
              </w:rPr>
              <w:t>Within Groups</w:t>
            </w:r>
          </w:p>
        </w:tc>
        <w:tc>
          <w:tcPr>
            <w:tcW w:w="564" w:type="pct"/>
            <w:vAlign w:val="center"/>
          </w:tcPr>
          <w:p w14:paraId="42B41437" w14:textId="77777777" w:rsidR="00345501" w:rsidRPr="00345501" w:rsidRDefault="00345501" w:rsidP="00A509FD">
            <w:pPr>
              <w:tabs>
                <w:tab w:val="left" w:pos="1080"/>
              </w:tabs>
              <w:rPr>
                <w:lang w:val="en-IN"/>
              </w:rPr>
            </w:pPr>
            <w:r w:rsidRPr="00345501">
              <w:rPr>
                <w:lang w:val="en-IN"/>
              </w:rPr>
              <w:t>107.01</w:t>
            </w:r>
          </w:p>
        </w:tc>
        <w:tc>
          <w:tcPr>
            <w:tcW w:w="435" w:type="pct"/>
            <w:vAlign w:val="center"/>
          </w:tcPr>
          <w:p w14:paraId="11785574" w14:textId="77777777" w:rsidR="00345501" w:rsidRPr="00345501" w:rsidRDefault="00345501" w:rsidP="00A509FD">
            <w:pPr>
              <w:tabs>
                <w:tab w:val="left" w:pos="1080"/>
              </w:tabs>
              <w:rPr>
                <w:lang w:val="en-IN"/>
              </w:rPr>
            </w:pPr>
            <w:r w:rsidRPr="00345501">
              <w:rPr>
                <w:lang w:val="en-IN"/>
              </w:rPr>
              <w:t>117</w:t>
            </w:r>
          </w:p>
        </w:tc>
        <w:tc>
          <w:tcPr>
            <w:tcW w:w="583" w:type="pct"/>
            <w:vAlign w:val="center"/>
          </w:tcPr>
          <w:p w14:paraId="507303F4" w14:textId="77777777" w:rsidR="00345501" w:rsidRPr="00345501" w:rsidRDefault="00345501" w:rsidP="00A509FD">
            <w:pPr>
              <w:tabs>
                <w:tab w:val="left" w:pos="1080"/>
              </w:tabs>
              <w:rPr>
                <w:lang w:val="en-IN"/>
              </w:rPr>
            </w:pPr>
            <w:r w:rsidRPr="00345501">
              <w:rPr>
                <w:lang w:val="en-IN"/>
              </w:rPr>
              <w:t>.915</w:t>
            </w:r>
          </w:p>
        </w:tc>
        <w:tc>
          <w:tcPr>
            <w:tcW w:w="500" w:type="pct"/>
            <w:vAlign w:val="center"/>
          </w:tcPr>
          <w:p w14:paraId="676B860C" w14:textId="77777777" w:rsidR="00345501" w:rsidRPr="00345501" w:rsidRDefault="00345501" w:rsidP="00A509FD">
            <w:pPr>
              <w:tabs>
                <w:tab w:val="left" w:pos="1080"/>
              </w:tabs>
              <w:rPr>
                <w:lang w:val="en-IN"/>
              </w:rPr>
            </w:pPr>
          </w:p>
        </w:tc>
        <w:tc>
          <w:tcPr>
            <w:tcW w:w="417" w:type="pct"/>
            <w:vAlign w:val="center"/>
          </w:tcPr>
          <w:p w14:paraId="23027578" w14:textId="77777777" w:rsidR="00345501" w:rsidRPr="00345501" w:rsidRDefault="00345501" w:rsidP="00A509FD">
            <w:pPr>
              <w:tabs>
                <w:tab w:val="left" w:pos="1080"/>
              </w:tabs>
              <w:rPr>
                <w:lang w:val="en-IN"/>
              </w:rPr>
            </w:pPr>
          </w:p>
        </w:tc>
      </w:tr>
      <w:tr w:rsidR="00345501" w:rsidRPr="00345501" w14:paraId="78E75CA8" w14:textId="77777777" w:rsidTr="00345501">
        <w:trPr>
          <w:cantSplit/>
        </w:trPr>
        <w:tc>
          <w:tcPr>
            <w:tcW w:w="1465" w:type="pct"/>
            <w:vMerge/>
            <w:vAlign w:val="center"/>
          </w:tcPr>
          <w:p w14:paraId="1DFEF760" w14:textId="77777777" w:rsidR="00345501" w:rsidRPr="00345501" w:rsidRDefault="00345501" w:rsidP="00A509FD">
            <w:pPr>
              <w:tabs>
                <w:tab w:val="left" w:pos="1080"/>
              </w:tabs>
              <w:rPr>
                <w:lang w:val="en-IN"/>
              </w:rPr>
            </w:pPr>
          </w:p>
        </w:tc>
        <w:tc>
          <w:tcPr>
            <w:tcW w:w="1036" w:type="pct"/>
            <w:vAlign w:val="center"/>
          </w:tcPr>
          <w:p w14:paraId="5964D2A0" w14:textId="77777777" w:rsidR="00345501" w:rsidRPr="00345501" w:rsidRDefault="00345501" w:rsidP="00A509FD">
            <w:pPr>
              <w:tabs>
                <w:tab w:val="left" w:pos="1080"/>
              </w:tabs>
              <w:rPr>
                <w:lang w:val="en-IN"/>
              </w:rPr>
            </w:pPr>
            <w:r w:rsidRPr="00345501">
              <w:rPr>
                <w:lang w:val="en-IN"/>
              </w:rPr>
              <w:t>Total</w:t>
            </w:r>
          </w:p>
        </w:tc>
        <w:tc>
          <w:tcPr>
            <w:tcW w:w="564" w:type="pct"/>
            <w:vAlign w:val="center"/>
          </w:tcPr>
          <w:p w14:paraId="0BF1192C" w14:textId="77777777" w:rsidR="00345501" w:rsidRPr="00345501" w:rsidRDefault="00345501" w:rsidP="00A509FD">
            <w:pPr>
              <w:tabs>
                <w:tab w:val="left" w:pos="1080"/>
              </w:tabs>
              <w:rPr>
                <w:lang w:val="en-IN"/>
              </w:rPr>
            </w:pPr>
            <w:r w:rsidRPr="00345501">
              <w:rPr>
                <w:lang w:val="en-IN"/>
              </w:rPr>
              <w:t>119.00</w:t>
            </w:r>
          </w:p>
        </w:tc>
        <w:tc>
          <w:tcPr>
            <w:tcW w:w="435" w:type="pct"/>
            <w:vAlign w:val="center"/>
          </w:tcPr>
          <w:p w14:paraId="3B5F66AE" w14:textId="77777777" w:rsidR="00345501" w:rsidRPr="00345501" w:rsidRDefault="00345501" w:rsidP="00A509FD">
            <w:pPr>
              <w:tabs>
                <w:tab w:val="left" w:pos="1080"/>
              </w:tabs>
              <w:rPr>
                <w:lang w:val="en-IN"/>
              </w:rPr>
            </w:pPr>
            <w:r w:rsidRPr="00345501">
              <w:rPr>
                <w:lang w:val="en-IN"/>
              </w:rPr>
              <w:t>119</w:t>
            </w:r>
          </w:p>
        </w:tc>
        <w:tc>
          <w:tcPr>
            <w:tcW w:w="583" w:type="pct"/>
            <w:vAlign w:val="center"/>
          </w:tcPr>
          <w:p w14:paraId="55F2F5CE" w14:textId="77777777" w:rsidR="00345501" w:rsidRPr="00345501" w:rsidRDefault="00345501" w:rsidP="00A509FD">
            <w:pPr>
              <w:tabs>
                <w:tab w:val="left" w:pos="1080"/>
              </w:tabs>
              <w:rPr>
                <w:lang w:val="en-IN"/>
              </w:rPr>
            </w:pPr>
          </w:p>
        </w:tc>
        <w:tc>
          <w:tcPr>
            <w:tcW w:w="500" w:type="pct"/>
            <w:vAlign w:val="center"/>
          </w:tcPr>
          <w:p w14:paraId="64CCBC72" w14:textId="77777777" w:rsidR="00345501" w:rsidRPr="00345501" w:rsidRDefault="00345501" w:rsidP="00A509FD">
            <w:pPr>
              <w:tabs>
                <w:tab w:val="left" w:pos="1080"/>
              </w:tabs>
              <w:rPr>
                <w:lang w:val="en-IN"/>
              </w:rPr>
            </w:pPr>
          </w:p>
        </w:tc>
        <w:tc>
          <w:tcPr>
            <w:tcW w:w="417" w:type="pct"/>
            <w:vAlign w:val="center"/>
          </w:tcPr>
          <w:p w14:paraId="1D664EBD" w14:textId="77777777" w:rsidR="00345501" w:rsidRPr="00345501" w:rsidRDefault="00345501" w:rsidP="00A509FD">
            <w:pPr>
              <w:tabs>
                <w:tab w:val="left" w:pos="1080"/>
              </w:tabs>
              <w:rPr>
                <w:lang w:val="en-IN"/>
              </w:rPr>
            </w:pPr>
          </w:p>
        </w:tc>
      </w:tr>
    </w:tbl>
    <w:p w14:paraId="5EDA9B7B" w14:textId="77777777" w:rsidR="00863BD3" w:rsidRDefault="007524AE" w:rsidP="00A509FD">
      <w:pPr>
        <w:tabs>
          <w:tab w:val="left" w:pos="1080"/>
        </w:tabs>
        <w:jc w:val="center"/>
        <w:rPr>
          <w:rFonts w:ascii="Arial" w:hAnsi="Arial"/>
          <w:b/>
        </w:rPr>
      </w:pPr>
      <w:r>
        <w:br/>
      </w:r>
    </w:p>
    <w:p w14:paraId="038BA0AB" w14:textId="77777777" w:rsidR="00863BD3" w:rsidRPr="00DC3180" w:rsidRDefault="00863BD3" w:rsidP="00441B6F">
      <w:pPr>
        <w:tabs>
          <w:tab w:val="left" w:pos="1080"/>
        </w:tabs>
        <w:jc w:val="both"/>
        <w:rPr>
          <w:rFonts w:ascii="Arial" w:hAnsi="Arial"/>
          <w:b/>
        </w:rPr>
      </w:pPr>
    </w:p>
    <w:p w14:paraId="1E9F7193" w14:textId="792617EA" w:rsidR="007524AE" w:rsidRDefault="00033025" w:rsidP="00033025">
      <w:pPr>
        <w:rPr>
          <w:rFonts w:ascii="Arial" w:hAnsi="Arial"/>
        </w:rPr>
      </w:pPr>
      <w:r>
        <w:rPr>
          <w:rFonts w:ascii="Arial" w:hAnsi="Arial"/>
        </w:rPr>
        <w:t xml:space="preserve">Table 4 </w:t>
      </w:r>
      <w:r w:rsidR="00F36C1A" w:rsidRPr="00F36C1A">
        <w:rPr>
          <w:rFonts w:ascii="Arial" w:hAnsi="Arial"/>
        </w:rPr>
        <w:t>Post Hoc Multiple Comparisons Identifying Group Differences in Consumer Preferences by Residential Category</w:t>
      </w:r>
      <w:r w:rsidR="00065466">
        <w:rPr>
          <w:rFonts w:ascii="Arial" w:hAnsi="Arial"/>
        </w:rPr>
        <w:t xml:space="preserve"> (RC)</w:t>
      </w:r>
    </w:p>
    <w:p w14:paraId="65D4E9BE" w14:textId="77777777" w:rsidR="00033025" w:rsidRDefault="00033025" w:rsidP="00033025">
      <w:pPr>
        <w:rPr>
          <w:rFonts w:ascii="Arial" w:hAnsi="Arial"/>
        </w:rPr>
      </w:pPr>
    </w:p>
    <w:tbl>
      <w:tblPr>
        <w:tblpPr w:leftFromText="180" w:rightFromText="180" w:vertAnchor="text" w:horzAnchor="margin" w:tblpX="435" w:tblpY="14"/>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724"/>
        <w:gridCol w:w="1082"/>
        <w:gridCol w:w="981"/>
        <w:gridCol w:w="2098"/>
        <w:gridCol w:w="1887"/>
        <w:gridCol w:w="1048"/>
        <w:gridCol w:w="1848"/>
        <w:gridCol w:w="1716"/>
      </w:tblGrid>
      <w:tr w:rsidR="00033025" w:rsidRPr="00033025" w14:paraId="41C10D8C" w14:textId="77777777" w:rsidTr="00033025">
        <w:trPr>
          <w:cantSplit/>
        </w:trPr>
        <w:tc>
          <w:tcPr>
            <w:tcW w:w="696" w:type="pct"/>
            <w:vMerge w:val="restart"/>
            <w:vAlign w:val="center"/>
          </w:tcPr>
          <w:p w14:paraId="341819F5" w14:textId="77777777" w:rsidR="00033025" w:rsidRPr="00033025" w:rsidRDefault="00033025" w:rsidP="00033025">
            <w:pPr>
              <w:rPr>
                <w:rFonts w:ascii="Arial" w:hAnsi="Arial"/>
                <w:b/>
                <w:lang w:val="en-IN"/>
              </w:rPr>
            </w:pPr>
            <w:r w:rsidRPr="00033025">
              <w:rPr>
                <w:rFonts w:ascii="Arial" w:hAnsi="Arial"/>
                <w:b/>
                <w:lang w:val="en-IN"/>
              </w:rPr>
              <w:t>Dependent Variable</w:t>
            </w:r>
          </w:p>
        </w:tc>
        <w:tc>
          <w:tcPr>
            <w:tcW w:w="437" w:type="pct"/>
            <w:vMerge w:val="restart"/>
            <w:vAlign w:val="center"/>
          </w:tcPr>
          <w:p w14:paraId="1BA8901E" w14:textId="77777777" w:rsidR="00033025" w:rsidRPr="00033025" w:rsidRDefault="00033025" w:rsidP="00033025">
            <w:pPr>
              <w:rPr>
                <w:rFonts w:ascii="Arial" w:hAnsi="Arial"/>
                <w:b/>
                <w:lang w:val="en-IN"/>
              </w:rPr>
            </w:pPr>
            <w:r w:rsidRPr="00033025">
              <w:rPr>
                <w:rFonts w:ascii="Arial" w:hAnsi="Arial"/>
                <w:b/>
                <w:lang w:val="en-IN"/>
              </w:rPr>
              <w:t>(I) RC</w:t>
            </w:r>
          </w:p>
        </w:tc>
        <w:tc>
          <w:tcPr>
            <w:tcW w:w="396" w:type="pct"/>
            <w:vMerge w:val="restart"/>
            <w:vAlign w:val="center"/>
          </w:tcPr>
          <w:p w14:paraId="2CAD86A6" w14:textId="77777777" w:rsidR="00033025" w:rsidRPr="00033025" w:rsidRDefault="00033025" w:rsidP="00033025">
            <w:pPr>
              <w:rPr>
                <w:rFonts w:ascii="Arial" w:hAnsi="Arial"/>
                <w:b/>
                <w:lang w:val="en-IN"/>
              </w:rPr>
            </w:pPr>
            <w:r w:rsidRPr="00033025">
              <w:rPr>
                <w:rFonts w:ascii="Arial" w:hAnsi="Arial"/>
                <w:b/>
                <w:lang w:val="en-IN"/>
              </w:rPr>
              <w:t>(J) RC</w:t>
            </w:r>
          </w:p>
        </w:tc>
        <w:tc>
          <w:tcPr>
            <w:tcW w:w="847" w:type="pct"/>
            <w:vMerge w:val="restart"/>
            <w:vAlign w:val="center"/>
          </w:tcPr>
          <w:p w14:paraId="1813472E" w14:textId="77777777" w:rsidR="00033025" w:rsidRPr="00033025" w:rsidRDefault="00033025" w:rsidP="00033025">
            <w:pPr>
              <w:rPr>
                <w:rFonts w:ascii="Arial" w:hAnsi="Arial"/>
                <w:b/>
                <w:lang w:val="en-IN"/>
              </w:rPr>
            </w:pPr>
            <w:r w:rsidRPr="00033025">
              <w:rPr>
                <w:rFonts w:ascii="Arial" w:hAnsi="Arial"/>
                <w:b/>
                <w:lang w:val="en-IN"/>
              </w:rPr>
              <w:t>Mean Difference (I-J)</w:t>
            </w:r>
          </w:p>
        </w:tc>
        <w:tc>
          <w:tcPr>
            <w:tcW w:w="762" w:type="pct"/>
            <w:vMerge w:val="restart"/>
            <w:vAlign w:val="center"/>
          </w:tcPr>
          <w:p w14:paraId="369E5E04" w14:textId="77777777" w:rsidR="00033025" w:rsidRPr="00033025" w:rsidRDefault="00033025" w:rsidP="00033025">
            <w:pPr>
              <w:rPr>
                <w:rFonts w:ascii="Arial" w:hAnsi="Arial"/>
                <w:b/>
                <w:lang w:val="en-IN"/>
              </w:rPr>
            </w:pPr>
            <w:r w:rsidRPr="00033025">
              <w:rPr>
                <w:rFonts w:ascii="Arial" w:hAnsi="Arial"/>
                <w:b/>
                <w:lang w:val="en-IN"/>
              </w:rPr>
              <w:t>Std. Error</w:t>
            </w:r>
          </w:p>
        </w:tc>
        <w:tc>
          <w:tcPr>
            <w:tcW w:w="423" w:type="pct"/>
            <w:vMerge w:val="restart"/>
            <w:vAlign w:val="center"/>
          </w:tcPr>
          <w:p w14:paraId="7489A308" w14:textId="77777777" w:rsidR="00033025" w:rsidRPr="00033025" w:rsidRDefault="00033025" w:rsidP="00033025">
            <w:pPr>
              <w:rPr>
                <w:rFonts w:ascii="Arial" w:hAnsi="Arial"/>
                <w:b/>
                <w:lang w:val="en-IN"/>
              </w:rPr>
            </w:pPr>
            <w:r w:rsidRPr="00033025">
              <w:rPr>
                <w:rFonts w:ascii="Arial" w:hAnsi="Arial"/>
                <w:b/>
                <w:lang w:val="en-IN"/>
              </w:rPr>
              <w:t>Sig.</w:t>
            </w:r>
          </w:p>
        </w:tc>
        <w:tc>
          <w:tcPr>
            <w:tcW w:w="1439" w:type="pct"/>
            <w:gridSpan w:val="2"/>
            <w:vAlign w:val="center"/>
          </w:tcPr>
          <w:p w14:paraId="5F40531B" w14:textId="77777777" w:rsidR="00033025" w:rsidRPr="00033025" w:rsidRDefault="00033025" w:rsidP="00033025">
            <w:pPr>
              <w:rPr>
                <w:rFonts w:ascii="Arial" w:hAnsi="Arial"/>
                <w:b/>
                <w:lang w:val="en-IN"/>
              </w:rPr>
            </w:pPr>
            <w:r w:rsidRPr="00033025">
              <w:rPr>
                <w:rFonts w:ascii="Arial" w:hAnsi="Arial"/>
                <w:b/>
                <w:lang w:val="en-IN"/>
              </w:rPr>
              <w:t>95 per cent Confidence Interval</w:t>
            </w:r>
          </w:p>
        </w:tc>
      </w:tr>
      <w:tr w:rsidR="00033025" w:rsidRPr="00033025" w14:paraId="14D3A770" w14:textId="77777777" w:rsidTr="00033025">
        <w:trPr>
          <w:cantSplit/>
        </w:trPr>
        <w:tc>
          <w:tcPr>
            <w:tcW w:w="696" w:type="pct"/>
            <w:vMerge/>
            <w:tcBorders>
              <w:bottom w:val="single" w:sz="4" w:space="0" w:color="auto"/>
            </w:tcBorders>
            <w:vAlign w:val="center"/>
          </w:tcPr>
          <w:p w14:paraId="26318C6D" w14:textId="77777777" w:rsidR="00033025" w:rsidRPr="00033025" w:rsidRDefault="00033025" w:rsidP="00033025">
            <w:pPr>
              <w:rPr>
                <w:rFonts w:ascii="Arial" w:hAnsi="Arial"/>
                <w:b/>
                <w:lang w:val="en-IN"/>
              </w:rPr>
            </w:pPr>
          </w:p>
        </w:tc>
        <w:tc>
          <w:tcPr>
            <w:tcW w:w="437" w:type="pct"/>
            <w:vMerge/>
            <w:tcBorders>
              <w:bottom w:val="single" w:sz="4" w:space="0" w:color="auto"/>
            </w:tcBorders>
            <w:vAlign w:val="center"/>
          </w:tcPr>
          <w:p w14:paraId="55E4FFE6" w14:textId="77777777" w:rsidR="00033025" w:rsidRPr="00033025" w:rsidRDefault="00033025" w:rsidP="00033025">
            <w:pPr>
              <w:rPr>
                <w:rFonts w:ascii="Arial" w:hAnsi="Arial"/>
                <w:b/>
                <w:lang w:val="en-IN"/>
              </w:rPr>
            </w:pPr>
          </w:p>
        </w:tc>
        <w:tc>
          <w:tcPr>
            <w:tcW w:w="396" w:type="pct"/>
            <w:vMerge/>
            <w:tcBorders>
              <w:bottom w:val="single" w:sz="4" w:space="0" w:color="auto"/>
            </w:tcBorders>
            <w:vAlign w:val="center"/>
          </w:tcPr>
          <w:p w14:paraId="4D39ED46" w14:textId="77777777" w:rsidR="00033025" w:rsidRPr="00033025" w:rsidRDefault="00033025" w:rsidP="00033025">
            <w:pPr>
              <w:rPr>
                <w:rFonts w:ascii="Arial" w:hAnsi="Arial"/>
                <w:b/>
                <w:lang w:val="en-IN"/>
              </w:rPr>
            </w:pPr>
          </w:p>
        </w:tc>
        <w:tc>
          <w:tcPr>
            <w:tcW w:w="847" w:type="pct"/>
            <w:vMerge/>
            <w:tcBorders>
              <w:bottom w:val="single" w:sz="4" w:space="0" w:color="auto"/>
            </w:tcBorders>
            <w:vAlign w:val="center"/>
          </w:tcPr>
          <w:p w14:paraId="425084A6" w14:textId="77777777" w:rsidR="00033025" w:rsidRPr="00033025" w:rsidRDefault="00033025" w:rsidP="00033025">
            <w:pPr>
              <w:rPr>
                <w:rFonts w:ascii="Arial" w:hAnsi="Arial"/>
                <w:b/>
                <w:lang w:val="en-IN"/>
              </w:rPr>
            </w:pPr>
          </w:p>
        </w:tc>
        <w:tc>
          <w:tcPr>
            <w:tcW w:w="762" w:type="pct"/>
            <w:vMerge/>
            <w:tcBorders>
              <w:bottom w:val="single" w:sz="4" w:space="0" w:color="auto"/>
            </w:tcBorders>
            <w:vAlign w:val="center"/>
          </w:tcPr>
          <w:p w14:paraId="25FDB590" w14:textId="77777777" w:rsidR="00033025" w:rsidRPr="00033025" w:rsidRDefault="00033025" w:rsidP="00033025">
            <w:pPr>
              <w:rPr>
                <w:rFonts w:ascii="Arial" w:hAnsi="Arial"/>
                <w:b/>
                <w:lang w:val="en-IN"/>
              </w:rPr>
            </w:pPr>
          </w:p>
        </w:tc>
        <w:tc>
          <w:tcPr>
            <w:tcW w:w="423" w:type="pct"/>
            <w:vMerge/>
            <w:tcBorders>
              <w:bottom w:val="single" w:sz="4" w:space="0" w:color="auto"/>
            </w:tcBorders>
            <w:vAlign w:val="center"/>
          </w:tcPr>
          <w:p w14:paraId="112B2650" w14:textId="77777777" w:rsidR="00033025" w:rsidRPr="00033025" w:rsidRDefault="00033025" w:rsidP="00033025">
            <w:pPr>
              <w:rPr>
                <w:rFonts w:ascii="Arial" w:hAnsi="Arial"/>
                <w:b/>
                <w:lang w:val="en-IN"/>
              </w:rPr>
            </w:pPr>
          </w:p>
        </w:tc>
        <w:tc>
          <w:tcPr>
            <w:tcW w:w="746" w:type="pct"/>
            <w:tcBorders>
              <w:bottom w:val="single" w:sz="4" w:space="0" w:color="auto"/>
            </w:tcBorders>
            <w:vAlign w:val="center"/>
          </w:tcPr>
          <w:p w14:paraId="3F698C1A" w14:textId="77777777" w:rsidR="00033025" w:rsidRPr="00033025" w:rsidRDefault="00033025" w:rsidP="00033025">
            <w:pPr>
              <w:rPr>
                <w:rFonts w:ascii="Arial" w:hAnsi="Arial"/>
                <w:b/>
                <w:lang w:val="en-IN"/>
              </w:rPr>
            </w:pPr>
            <w:r w:rsidRPr="00033025">
              <w:rPr>
                <w:rFonts w:ascii="Arial" w:hAnsi="Arial"/>
                <w:b/>
                <w:lang w:val="en-IN"/>
              </w:rPr>
              <w:t>Lower Bound</w:t>
            </w:r>
          </w:p>
        </w:tc>
        <w:tc>
          <w:tcPr>
            <w:tcW w:w="693" w:type="pct"/>
            <w:tcBorders>
              <w:bottom w:val="single" w:sz="4" w:space="0" w:color="auto"/>
            </w:tcBorders>
            <w:vAlign w:val="center"/>
          </w:tcPr>
          <w:p w14:paraId="4F308E65" w14:textId="77777777" w:rsidR="00033025" w:rsidRPr="00033025" w:rsidRDefault="00033025" w:rsidP="00033025">
            <w:pPr>
              <w:rPr>
                <w:rFonts w:ascii="Arial" w:hAnsi="Arial"/>
                <w:b/>
                <w:lang w:val="en-IN"/>
              </w:rPr>
            </w:pPr>
            <w:r w:rsidRPr="00033025">
              <w:rPr>
                <w:rFonts w:ascii="Arial" w:hAnsi="Arial"/>
                <w:b/>
                <w:lang w:val="en-IN"/>
              </w:rPr>
              <w:t>Upper Bound</w:t>
            </w:r>
          </w:p>
        </w:tc>
      </w:tr>
      <w:tr w:rsidR="00033025" w:rsidRPr="00033025" w14:paraId="2D377D55" w14:textId="77777777" w:rsidTr="00033025">
        <w:trPr>
          <w:cantSplit/>
        </w:trPr>
        <w:tc>
          <w:tcPr>
            <w:tcW w:w="696" w:type="pct"/>
            <w:vMerge w:val="restart"/>
            <w:tcBorders>
              <w:top w:val="single" w:sz="4" w:space="0" w:color="auto"/>
            </w:tcBorders>
            <w:vAlign w:val="center"/>
          </w:tcPr>
          <w:p w14:paraId="16CB3900" w14:textId="77777777" w:rsidR="00033025" w:rsidRPr="00033025" w:rsidRDefault="00033025" w:rsidP="00033025">
            <w:pPr>
              <w:rPr>
                <w:rFonts w:ascii="Arial" w:hAnsi="Arial"/>
                <w:b/>
                <w:lang w:val="en-IN"/>
              </w:rPr>
            </w:pPr>
            <w:r w:rsidRPr="00033025">
              <w:rPr>
                <w:rFonts w:ascii="Arial" w:hAnsi="Arial"/>
                <w:b/>
                <w:lang w:val="en-IN"/>
              </w:rPr>
              <w:t>Factor 1</w:t>
            </w:r>
          </w:p>
          <w:p w14:paraId="0D566927" w14:textId="77777777" w:rsidR="00033025" w:rsidRPr="00033025" w:rsidRDefault="00033025" w:rsidP="00033025">
            <w:pPr>
              <w:rPr>
                <w:rFonts w:ascii="Arial" w:hAnsi="Arial"/>
                <w:lang w:val="en-IN"/>
              </w:rPr>
            </w:pPr>
            <w:r w:rsidRPr="00033025">
              <w:rPr>
                <w:rFonts w:ascii="Arial" w:hAnsi="Arial"/>
                <w:b/>
                <w:lang w:val="en-IN"/>
              </w:rPr>
              <w:t>Kit Value &amp; Flexibility</w:t>
            </w:r>
          </w:p>
        </w:tc>
        <w:tc>
          <w:tcPr>
            <w:tcW w:w="437" w:type="pct"/>
            <w:vMerge w:val="restart"/>
            <w:tcBorders>
              <w:top w:val="single" w:sz="4" w:space="0" w:color="auto"/>
            </w:tcBorders>
            <w:vAlign w:val="center"/>
          </w:tcPr>
          <w:p w14:paraId="470CC0D4" w14:textId="77777777" w:rsidR="00033025" w:rsidRPr="00033025" w:rsidRDefault="00033025" w:rsidP="00033025">
            <w:pPr>
              <w:rPr>
                <w:rFonts w:ascii="Arial" w:hAnsi="Arial"/>
                <w:lang w:val="en-IN"/>
              </w:rPr>
            </w:pPr>
            <w:r w:rsidRPr="00033025">
              <w:rPr>
                <w:rFonts w:ascii="Arial" w:hAnsi="Arial"/>
                <w:lang w:val="en-IN"/>
              </w:rPr>
              <w:t>1</w:t>
            </w:r>
          </w:p>
        </w:tc>
        <w:tc>
          <w:tcPr>
            <w:tcW w:w="396" w:type="pct"/>
            <w:tcBorders>
              <w:top w:val="single" w:sz="4" w:space="0" w:color="auto"/>
            </w:tcBorders>
            <w:vAlign w:val="center"/>
          </w:tcPr>
          <w:p w14:paraId="4F4E5FAE" w14:textId="77777777" w:rsidR="00033025" w:rsidRPr="00033025" w:rsidRDefault="00033025" w:rsidP="00033025">
            <w:pPr>
              <w:rPr>
                <w:rFonts w:ascii="Arial" w:hAnsi="Arial"/>
                <w:lang w:val="en-IN"/>
              </w:rPr>
            </w:pPr>
            <w:r w:rsidRPr="00033025">
              <w:rPr>
                <w:rFonts w:ascii="Arial" w:hAnsi="Arial"/>
                <w:lang w:val="en-IN"/>
              </w:rPr>
              <w:t>2</w:t>
            </w:r>
          </w:p>
        </w:tc>
        <w:tc>
          <w:tcPr>
            <w:tcW w:w="847" w:type="pct"/>
            <w:tcBorders>
              <w:top w:val="single" w:sz="4" w:space="0" w:color="auto"/>
            </w:tcBorders>
            <w:vAlign w:val="center"/>
          </w:tcPr>
          <w:p w14:paraId="0CB967D0" w14:textId="77777777" w:rsidR="00033025" w:rsidRPr="00033025" w:rsidRDefault="00033025" w:rsidP="00033025">
            <w:pPr>
              <w:rPr>
                <w:rFonts w:ascii="Arial" w:hAnsi="Arial"/>
                <w:lang w:val="en-IN"/>
              </w:rPr>
            </w:pPr>
            <w:r w:rsidRPr="00033025">
              <w:rPr>
                <w:rFonts w:ascii="Arial" w:hAnsi="Arial"/>
                <w:lang w:val="en-IN"/>
              </w:rPr>
              <w:t>.918</w:t>
            </w:r>
            <w:r w:rsidRPr="00033025">
              <w:rPr>
                <w:rFonts w:ascii="Arial" w:hAnsi="Arial"/>
                <w:vertAlign w:val="superscript"/>
                <w:lang w:val="en-IN"/>
              </w:rPr>
              <w:t>*</w:t>
            </w:r>
          </w:p>
        </w:tc>
        <w:tc>
          <w:tcPr>
            <w:tcW w:w="762" w:type="pct"/>
            <w:tcBorders>
              <w:top w:val="single" w:sz="4" w:space="0" w:color="auto"/>
            </w:tcBorders>
            <w:vAlign w:val="center"/>
          </w:tcPr>
          <w:p w14:paraId="3FD0429F" w14:textId="77777777" w:rsidR="00033025" w:rsidRPr="00033025" w:rsidRDefault="00033025" w:rsidP="00033025">
            <w:pPr>
              <w:rPr>
                <w:rFonts w:ascii="Arial" w:hAnsi="Arial"/>
                <w:lang w:val="en-IN"/>
              </w:rPr>
            </w:pPr>
            <w:r w:rsidRPr="00033025">
              <w:rPr>
                <w:rFonts w:ascii="Arial" w:hAnsi="Arial"/>
                <w:lang w:val="en-IN"/>
              </w:rPr>
              <w:t>.203</w:t>
            </w:r>
          </w:p>
        </w:tc>
        <w:tc>
          <w:tcPr>
            <w:tcW w:w="423" w:type="pct"/>
            <w:tcBorders>
              <w:top w:val="single" w:sz="4" w:space="0" w:color="auto"/>
            </w:tcBorders>
            <w:vAlign w:val="center"/>
          </w:tcPr>
          <w:p w14:paraId="3398A01C" w14:textId="77777777" w:rsidR="00033025" w:rsidRPr="00033025" w:rsidRDefault="00033025" w:rsidP="00033025">
            <w:pPr>
              <w:rPr>
                <w:rFonts w:ascii="Arial" w:hAnsi="Arial"/>
                <w:lang w:val="en-IN"/>
              </w:rPr>
            </w:pPr>
            <w:r w:rsidRPr="00033025">
              <w:rPr>
                <w:rFonts w:ascii="Arial" w:hAnsi="Arial"/>
                <w:lang w:val="en-IN"/>
              </w:rPr>
              <w:t>&lt;.001</w:t>
            </w:r>
          </w:p>
        </w:tc>
        <w:tc>
          <w:tcPr>
            <w:tcW w:w="746" w:type="pct"/>
            <w:tcBorders>
              <w:top w:val="single" w:sz="4" w:space="0" w:color="auto"/>
            </w:tcBorders>
            <w:vAlign w:val="center"/>
          </w:tcPr>
          <w:p w14:paraId="01431D8E" w14:textId="77777777" w:rsidR="00033025" w:rsidRPr="00033025" w:rsidRDefault="00033025" w:rsidP="00033025">
            <w:pPr>
              <w:rPr>
                <w:rFonts w:ascii="Arial" w:hAnsi="Arial"/>
                <w:lang w:val="en-IN"/>
              </w:rPr>
            </w:pPr>
            <w:r w:rsidRPr="00033025">
              <w:rPr>
                <w:rFonts w:ascii="Arial" w:hAnsi="Arial"/>
                <w:lang w:val="en-IN"/>
              </w:rPr>
              <w:t>.435</w:t>
            </w:r>
          </w:p>
        </w:tc>
        <w:tc>
          <w:tcPr>
            <w:tcW w:w="693" w:type="pct"/>
            <w:tcBorders>
              <w:top w:val="single" w:sz="4" w:space="0" w:color="auto"/>
            </w:tcBorders>
            <w:vAlign w:val="center"/>
          </w:tcPr>
          <w:p w14:paraId="06D179BA" w14:textId="77777777" w:rsidR="00033025" w:rsidRPr="00033025" w:rsidRDefault="00033025" w:rsidP="00033025">
            <w:pPr>
              <w:rPr>
                <w:rFonts w:ascii="Arial" w:hAnsi="Arial"/>
                <w:lang w:val="en-IN"/>
              </w:rPr>
            </w:pPr>
            <w:r w:rsidRPr="00033025">
              <w:rPr>
                <w:rFonts w:ascii="Arial" w:hAnsi="Arial"/>
                <w:lang w:val="en-IN"/>
              </w:rPr>
              <w:t>1.400</w:t>
            </w:r>
          </w:p>
        </w:tc>
      </w:tr>
      <w:tr w:rsidR="00033025" w:rsidRPr="00033025" w14:paraId="2FB59A41" w14:textId="77777777" w:rsidTr="00033025">
        <w:trPr>
          <w:cantSplit/>
        </w:trPr>
        <w:tc>
          <w:tcPr>
            <w:tcW w:w="696" w:type="pct"/>
            <w:vMerge/>
            <w:vAlign w:val="center"/>
          </w:tcPr>
          <w:p w14:paraId="44D00407" w14:textId="77777777" w:rsidR="00033025" w:rsidRPr="00033025" w:rsidRDefault="00033025" w:rsidP="00033025">
            <w:pPr>
              <w:rPr>
                <w:rFonts w:ascii="Arial" w:hAnsi="Arial"/>
                <w:lang w:val="en-IN"/>
              </w:rPr>
            </w:pPr>
          </w:p>
        </w:tc>
        <w:tc>
          <w:tcPr>
            <w:tcW w:w="437" w:type="pct"/>
            <w:vMerge/>
            <w:vAlign w:val="center"/>
          </w:tcPr>
          <w:p w14:paraId="7B375013" w14:textId="77777777" w:rsidR="00033025" w:rsidRPr="00033025" w:rsidRDefault="00033025" w:rsidP="00033025">
            <w:pPr>
              <w:rPr>
                <w:rFonts w:ascii="Arial" w:hAnsi="Arial"/>
                <w:lang w:val="en-IN"/>
              </w:rPr>
            </w:pPr>
          </w:p>
        </w:tc>
        <w:tc>
          <w:tcPr>
            <w:tcW w:w="396" w:type="pct"/>
            <w:vAlign w:val="center"/>
          </w:tcPr>
          <w:p w14:paraId="1407F505" w14:textId="77777777" w:rsidR="00033025" w:rsidRPr="00033025" w:rsidRDefault="00033025" w:rsidP="00033025">
            <w:pPr>
              <w:rPr>
                <w:rFonts w:ascii="Arial" w:hAnsi="Arial"/>
                <w:lang w:val="en-IN"/>
              </w:rPr>
            </w:pPr>
            <w:r w:rsidRPr="00033025">
              <w:rPr>
                <w:rFonts w:ascii="Arial" w:hAnsi="Arial"/>
                <w:lang w:val="en-IN"/>
              </w:rPr>
              <w:t>3</w:t>
            </w:r>
          </w:p>
        </w:tc>
        <w:tc>
          <w:tcPr>
            <w:tcW w:w="847" w:type="pct"/>
            <w:vAlign w:val="center"/>
          </w:tcPr>
          <w:p w14:paraId="104F8E12" w14:textId="77777777" w:rsidR="00033025" w:rsidRPr="00033025" w:rsidRDefault="00033025" w:rsidP="00033025">
            <w:pPr>
              <w:rPr>
                <w:rFonts w:ascii="Arial" w:hAnsi="Arial"/>
                <w:lang w:val="en-IN"/>
              </w:rPr>
            </w:pPr>
            <w:r w:rsidRPr="00033025">
              <w:rPr>
                <w:rFonts w:ascii="Arial" w:hAnsi="Arial"/>
                <w:lang w:val="en-IN"/>
              </w:rPr>
              <w:t>.914</w:t>
            </w:r>
            <w:r w:rsidRPr="00033025">
              <w:rPr>
                <w:rFonts w:ascii="Arial" w:hAnsi="Arial"/>
                <w:vertAlign w:val="superscript"/>
                <w:lang w:val="en-IN"/>
              </w:rPr>
              <w:t>*</w:t>
            </w:r>
          </w:p>
        </w:tc>
        <w:tc>
          <w:tcPr>
            <w:tcW w:w="762" w:type="pct"/>
            <w:vAlign w:val="center"/>
          </w:tcPr>
          <w:p w14:paraId="570A066E" w14:textId="77777777" w:rsidR="00033025" w:rsidRPr="00033025" w:rsidRDefault="00033025" w:rsidP="00033025">
            <w:pPr>
              <w:rPr>
                <w:rFonts w:ascii="Arial" w:hAnsi="Arial"/>
                <w:lang w:val="en-IN"/>
              </w:rPr>
            </w:pPr>
            <w:r w:rsidRPr="00033025">
              <w:rPr>
                <w:rFonts w:ascii="Arial" w:hAnsi="Arial"/>
                <w:lang w:val="en-IN"/>
              </w:rPr>
              <w:t>.203</w:t>
            </w:r>
          </w:p>
        </w:tc>
        <w:tc>
          <w:tcPr>
            <w:tcW w:w="423" w:type="pct"/>
            <w:vAlign w:val="center"/>
          </w:tcPr>
          <w:p w14:paraId="36A58526" w14:textId="77777777" w:rsidR="00033025" w:rsidRPr="00033025" w:rsidRDefault="00033025" w:rsidP="00033025">
            <w:pPr>
              <w:rPr>
                <w:rFonts w:ascii="Arial" w:hAnsi="Arial"/>
                <w:lang w:val="en-IN"/>
              </w:rPr>
            </w:pPr>
            <w:r w:rsidRPr="00033025">
              <w:rPr>
                <w:rFonts w:ascii="Arial" w:hAnsi="Arial"/>
                <w:lang w:val="en-IN"/>
              </w:rPr>
              <w:t>&lt;.001</w:t>
            </w:r>
          </w:p>
        </w:tc>
        <w:tc>
          <w:tcPr>
            <w:tcW w:w="746" w:type="pct"/>
            <w:vAlign w:val="center"/>
          </w:tcPr>
          <w:p w14:paraId="06F1DED2" w14:textId="77777777" w:rsidR="00033025" w:rsidRPr="00033025" w:rsidRDefault="00033025" w:rsidP="00033025">
            <w:pPr>
              <w:rPr>
                <w:rFonts w:ascii="Arial" w:hAnsi="Arial"/>
                <w:lang w:val="en-IN"/>
              </w:rPr>
            </w:pPr>
            <w:r w:rsidRPr="00033025">
              <w:rPr>
                <w:rFonts w:ascii="Arial" w:hAnsi="Arial"/>
                <w:lang w:val="en-IN"/>
              </w:rPr>
              <w:t>.431</w:t>
            </w:r>
          </w:p>
        </w:tc>
        <w:tc>
          <w:tcPr>
            <w:tcW w:w="693" w:type="pct"/>
            <w:vAlign w:val="center"/>
          </w:tcPr>
          <w:p w14:paraId="07FDD3DE" w14:textId="77777777" w:rsidR="00033025" w:rsidRPr="00033025" w:rsidRDefault="00033025" w:rsidP="00033025">
            <w:pPr>
              <w:rPr>
                <w:rFonts w:ascii="Arial" w:hAnsi="Arial"/>
                <w:lang w:val="en-IN"/>
              </w:rPr>
            </w:pPr>
            <w:r w:rsidRPr="00033025">
              <w:rPr>
                <w:rFonts w:ascii="Arial" w:hAnsi="Arial"/>
                <w:lang w:val="en-IN"/>
              </w:rPr>
              <w:t>1.396</w:t>
            </w:r>
          </w:p>
        </w:tc>
      </w:tr>
      <w:tr w:rsidR="00033025" w:rsidRPr="00033025" w14:paraId="14671B58" w14:textId="77777777" w:rsidTr="00033025">
        <w:trPr>
          <w:cantSplit/>
        </w:trPr>
        <w:tc>
          <w:tcPr>
            <w:tcW w:w="696" w:type="pct"/>
            <w:vMerge/>
            <w:vAlign w:val="center"/>
          </w:tcPr>
          <w:p w14:paraId="64EB88B3" w14:textId="77777777" w:rsidR="00033025" w:rsidRPr="00033025" w:rsidRDefault="00033025" w:rsidP="00033025">
            <w:pPr>
              <w:rPr>
                <w:rFonts w:ascii="Arial" w:hAnsi="Arial"/>
                <w:lang w:val="en-IN"/>
              </w:rPr>
            </w:pPr>
          </w:p>
        </w:tc>
        <w:tc>
          <w:tcPr>
            <w:tcW w:w="437" w:type="pct"/>
            <w:vMerge w:val="restart"/>
            <w:vAlign w:val="center"/>
          </w:tcPr>
          <w:p w14:paraId="3AE83A1B" w14:textId="77777777" w:rsidR="00033025" w:rsidRPr="00033025" w:rsidRDefault="00033025" w:rsidP="00033025">
            <w:pPr>
              <w:rPr>
                <w:rFonts w:ascii="Arial" w:hAnsi="Arial"/>
                <w:lang w:val="en-IN"/>
              </w:rPr>
            </w:pPr>
            <w:r w:rsidRPr="00033025">
              <w:rPr>
                <w:rFonts w:ascii="Arial" w:hAnsi="Arial"/>
                <w:lang w:val="en-IN"/>
              </w:rPr>
              <w:t>2</w:t>
            </w:r>
          </w:p>
        </w:tc>
        <w:tc>
          <w:tcPr>
            <w:tcW w:w="396" w:type="pct"/>
            <w:vAlign w:val="center"/>
          </w:tcPr>
          <w:p w14:paraId="7A09FA0B" w14:textId="77777777" w:rsidR="00033025" w:rsidRPr="00033025" w:rsidRDefault="00033025" w:rsidP="00033025">
            <w:pPr>
              <w:rPr>
                <w:rFonts w:ascii="Arial" w:hAnsi="Arial"/>
                <w:lang w:val="en-IN"/>
              </w:rPr>
            </w:pPr>
            <w:r w:rsidRPr="00033025">
              <w:rPr>
                <w:rFonts w:ascii="Arial" w:hAnsi="Arial"/>
                <w:lang w:val="en-IN"/>
              </w:rPr>
              <w:t>1</w:t>
            </w:r>
          </w:p>
        </w:tc>
        <w:tc>
          <w:tcPr>
            <w:tcW w:w="847" w:type="pct"/>
            <w:vAlign w:val="center"/>
          </w:tcPr>
          <w:p w14:paraId="6BCA68D6" w14:textId="77777777" w:rsidR="00033025" w:rsidRPr="00033025" w:rsidRDefault="00033025" w:rsidP="00033025">
            <w:pPr>
              <w:rPr>
                <w:rFonts w:ascii="Arial" w:hAnsi="Arial"/>
                <w:lang w:val="en-IN"/>
              </w:rPr>
            </w:pPr>
            <w:r w:rsidRPr="00033025">
              <w:rPr>
                <w:rFonts w:ascii="Arial" w:hAnsi="Arial"/>
                <w:lang w:val="en-IN"/>
              </w:rPr>
              <w:t>-.918</w:t>
            </w:r>
            <w:r w:rsidRPr="00033025">
              <w:rPr>
                <w:rFonts w:ascii="Arial" w:hAnsi="Arial"/>
                <w:vertAlign w:val="superscript"/>
                <w:lang w:val="en-IN"/>
              </w:rPr>
              <w:t>*</w:t>
            </w:r>
          </w:p>
        </w:tc>
        <w:tc>
          <w:tcPr>
            <w:tcW w:w="762" w:type="pct"/>
            <w:vAlign w:val="center"/>
          </w:tcPr>
          <w:p w14:paraId="4F24C8DC" w14:textId="77777777" w:rsidR="00033025" w:rsidRPr="00033025" w:rsidRDefault="00033025" w:rsidP="00033025">
            <w:pPr>
              <w:rPr>
                <w:rFonts w:ascii="Arial" w:hAnsi="Arial"/>
                <w:lang w:val="en-IN"/>
              </w:rPr>
            </w:pPr>
            <w:r w:rsidRPr="00033025">
              <w:rPr>
                <w:rFonts w:ascii="Arial" w:hAnsi="Arial"/>
                <w:lang w:val="en-IN"/>
              </w:rPr>
              <w:t>.203</w:t>
            </w:r>
          </w:p>
        </w:tc>
        <w:tc>
          <w:tcPr>
            <w:tcW w:w="423" w:type="pct"/>
            <w:vAlign w:val="center"/>
          </w:tcPr>
          <w:p w14:paraId="513A8825" w14:textId="77777777" w:rsidR="00033025" w:rsidRPr="00033025" w:rsidRDefault="00033025" w:rsidP="00033025">
            <w:pPr>
              <w:rPr>
                <w:rFonts w:ascii="Arial" w:hAnsi="Arial"/>
                <w:lang w:val="en-IN"/>
              </w:rPr>
            </w:pPr>
            <w:r w:rsidRPr="00033025">
              <w:rPr>
                <w:rFonts w:ascii="Arial" w:hAnsi="Arial"/>
                <w:lang w:val="en-IN"/>
              </w:rPr>
              <w:t>&lt;.001</w:t>
            </w:r>
          </w:p>
        </w:tc>
        <w:tc>
          <w:tcPr>
            <w:tcW w:w="746" w:type="pct"/>
            <w:vAlign w:val="center"/>
          </w:tcPr>
          <w:p w14:paraId="4D85E6AE" w14:textId="77777777" w:rsidR="00033025" w:rsidRPr="00033025" w:rsidRDefault="00033025" w:rsidP="00033025">
            <w:pPr>
              <w:rPr>
                <w:rFonts w:ascii="Arial" w:hAnsi="Arial"/>
                <w:lang w:val="en-IN"/>
              </w:rPr>
            </w:pPr>
            <w:r w:rsidRPr="00033025">
              <w:rPr>
                <w:rFonts w:ascii="Arial" w:hAnsi="Arial"/>
                <w:lang w:val="en-IN"/>
              </w:rPr>
              <w:t>-1.400</w:t>
            </w:r>
          </w:p>
        </w:tc>
        <w:tc>
          <w:tcPr>
            <w:tcW w:w="693" w:type="pct"/>
            <w:vAlign w:val="center"/>
          </w:tcPr>
          <w:p w14:paraId="24EF88FD" w14:textId="77777777" w:rsidR="00033025" w:rsidRPr="00033025" w:rsidRDefault="00033025" w:rsidP="00033025">
            <w:pPr>
              <w:rPr>
                <w:rFonts w:ascii="Arial" w:hAnsi="Arial"/>
                <w:lang w:val="en-IN"/>
              </w:rPr>
            </w:pPr>
            <w:r w:rsidRPr="00033025">
              <w:rPr>
                <w:rFonts w:ascii="Arial" w:hAnsi="Arial"/>
                <w:lang w:val="en-IN"/>
              </w:rPr>
              <w:t>-.435</w:t>
            </w:r>
          </w:p>
        </w:tc>
      </w:tr>
      <w:tr w:rsidR="00033025" w:rsidRPr="00033025" w14:paraId="2E02D542" w14:textId="77777777" w:rsidTr="00033025">
        <w:trPr>
          <w:cantSplit/>
        </w:trPr>
        <w:tc>
          <w:tcPr>
            <w:tcW w:w="696" w:type="pct"/>
            <w:vMerge/>
            <w:vAlign w:val="center"/>
          </w:tcPr>
          <w:p w14:paraId="5290B2BE" w14:textId="77777777" w:rsidR="00033025" w:rsidRPr="00033025" w:rsidRDefault="00033025" w:rsidP="00033025">
            <w:pPr>
              <w:rPr>
                <w:rFonts w:ascii="Arial" w:hAnsi="Arial"/>
                <w:lang w:val="en-IN"/>
              </w:rPr>
            </w:pPr>
          </w:p>
        </w:tc>
        <w:tc>
          <w:tcPr>
            <w:tcW w:w="437" w:type="pct"/>
            <w:vMerge/>
            <w:vAlign w:val="center"/>
          </w:tcPr>
          <w:p w14:paraId="14261092" w14:textId="77777777" w:rsidR="00033025" w:rsidRPr="00033025" w:rsidRDefault="00033025" w:rsidP="00033025">
            <w:pPr>
              <w:rPr>
                <w:rFonts w:ascii="Arial" w:hAnsi="Arial"/>
                <w:lang w:val="en-IN"/>
              </w:rPr>
            </w:pPr>
          </w:p>
        </w:tc>
        <w:tc>
          <w:tcPr>
            <w:tcW w:w="396" w:type="pct"/>
            <w:vAlign w:val="center"/>
          </w:tcPr>
          <w:p w14:paraId="135679F3" w14:textId="77777777" w:rsidR="00033025" w:rsidRPr="00033025" w:rsidRDefault="00033025" w:rsidP="00033025">
            <w:pPr>
              <w:rPr>
                <w:rFonts w:ascii="Arial" w:hAnsi="Arial"/>
                <w:lang w:val="en-IN"/>
              </w:rPr>
            </w:pPr>
            <w:r w:rsidRPr="00033025">
              <w:rPr>
                <w:rFonts w:ascii="Arial" w:hAnsi="Arial"/>
                <w:lang w:val="en-IN"/>
              </w:rPr>
              <w:t>3</w:t>
            </w:r>
          </w:p>
        </w:tc>
        <w:tc>
          <w:tcPr>
            <w:tcW w:w="847" w:type="pct"/>
            <w:vAlign w:val="center"/>
          </w:tcPr>
          <w:p w14:paraId="779108A2" w14:textId="77777777" w:rsidR="00033025" w:rsidRPr="00033025" w:rsidRDefault="00033025" w:rsidP="00033025">
            <w:pPr>
              <w:rPr>
                <w:rFonts w:ascii="Arial" w:hAnsi="Arial"/>
                <w:lang w:val="en-IN"/>
              </w:rPr>
            </w:pPr>
            <w:r w:rsidRPr="00033025">
              <w:rPr>
                <w:rFonts w:ascii="Arial" w:hAnsi="Arial"/>
                <w:lang w:val="en-IN"/>
              </w:rPr>
              <w:t>-.004</w:t>
            </w:r>
          </w:p>
        </w:tc>
        <w:tc>
          <w:tcPr>
            <w:tcW w:w="762" w:type="pct"/>
            <w:vAlign w:val="center"/>
          </w:tcPr>
          <w:p w14:paraId="1205393F" w14:textId="77777777" w:rsidR="00033025" w:rsidRPr="00033025" w:rsidRDefault="00033025" w:rsidP="00033025">
            <w:pPr>
              <w:rPr>
                <w:rFonts w:ascii="Arial" w:hAnsi="Arial"/>
                <w:lang w:val="en-IN"/>
              </w:rPr>
            </w:pPr>
            <w:r w:rsidRPr="00033025">
              <w:rPr>
                <w:rFonts w:ascii="Arial" w:hAnsi="Arial"/>
                <w:lang w:val="en-IN"/>
              </w:rPr>
              <w:t>.203</w:t>
            </w:r>
          </w:p>
        </w:tc>
        <w:tc>
          <w:tcPr>
            <w:tcW w:w="423" w:type="pct"/>
            <w:vAlign w:val="center"/>
          </w:tcPr>
          <w:p w14:paraId="6D71EC3E" w14:textId="77777777" w:rsidR="00033025" w:rsidRPr="00033025" w:rsidRDefault="00033025" w:rsidP="00033025">
            <w:pPr>
              <w:rPr>
                <w:rFonts w:ascii="Arial" w:hAnsi="Arial"/>
                <w:lang w:val="en-IN"/>
              </w:rPr>
            </w:pPr>
            <w:r w:rsidRPr="00033025">
              <w:rPr>
                <w:rFonts w:ascii="Arial" w:hAnsi="Arial"/>
                <w:lang w:val="en-IN"/>
              </w:rPr>
              <w:t>1.000</w:t>
            </w:r>
          </w:p>
        </w:tc>
        <w:tc>
          <w:tcPr>
            <w:tcW w:w="746" w:type="pct"/>
            <w:vAlign w:val="center"/>
          </w:tcPr>
          <w:p w14:paraId="4680F5DE" w14:textId="77777777" w:rsidR="00033025" w:rsidRPr="00033025" w:rsidRDefault="00033025" w:rsidP="00033025">
            <w:pPr>
              <w:rPr>
                <w:rFonts w:ascii="Arial" w:hAnsi="Arial"/>
                <w:lang w:val="en-IN"/>
              </w:rPr>
            </w:pPr>
            <w:r w:rsidRPr="00033025">
              <w:rPr>
                <w:rFonts w:ascii="Arial" w:hAnsi="Arial"/>
                <w:lang w:val="en-IN"/>
              </w:rPr>
              <w:t>-.486</w:t>
            </w:r>
          </w:p>
        </w:tc>
        <w:tc>
          <w:tcPr>
            <w:tcW w:w="693" w:type="pct"/>
            <w:vAlign w:val="center"/>
          </w:tcPr>
          <w:p w14:paraId="5C651C7D" w14:textId="77777777" w:rsidR="00033025" w:rsidRPr="00033025" w:rsidRDefault="00033025" w:rsidP="00033025">
            <w:pPr>
              <w:rPr>
                <w:rFonts w:ascii="Arial" w:hAnsi="Arial"/>
                <w:lang w:val="en-IN"/>
              </w:rPr>
            </w:pPr>
            <w:r w:rsidRPr="00033025">
              <w:rPr>
                <w:rFonts w:ascii="Arial" w:hAnsi="Arial"/>
                <w:lang w:val="en-IN"/>
              </w:rPr>
              <w:t>.478</w:t>
            </w:r>
          </w:p>
        </w:tc>
      </w:tr>
      <w:tr w:rsidR="00033025" w:rsidRPr="00033025" w14:paraId="7B31D72B" w14:textId="77777777" w:rsidTr="00033025">
        <w:trPr>
          <w:cantSplit/>
        </w:trPr>
        <w:tc>
          <w:tcPr>
            <w:tcW w:w="696" w:type="pct"/>
            <w:vMerge/>
            <w:vAlign w:val="center"/>
          </w:tcPr>
          <w:p w14:paraId="3DBC0364" w14:textId="77777777" w:rsidR="00033025" w:rsidRPr="00033025" w:rsidRDefault="00033025" w:rsidP="00033025">
            <w:pPr>
              <w:rPr>
                <w:rFonts w:ascii="Arial" w:hAnsi="Arial"/>
                <w:lang w:val="en-IN"/>
              </w:rPr>
            </w:pPr>
          </w:p>
        </w:tc>
        <w:tc>
          <w:tcPr>
            <w:tcW w:w="437" w:type="pct"/>
            <w:vMerge w:val="restart"/>
            <w:vAlign w:val="center"/>
          </w:tcPr>
          <w:p w14:paraId="70DAF8EE" w14:textId="77777777" w:rsidR="00033025" w:rsidRPr="00033025" w:rsidRDefault="00033025" w:rsidP="00033025">
            <w:pPr>
              <w:rPr>
                <w:rFonts w:ascii="Arial" w:hAnsi="Arial"/>
                <w:lang w:val="en-IN"/>
              </w:rPr>
            </w:pPr>
            <w:r w:rsidRPr="00033025">
              <w:rPr>
                <w:rFonts w:ascii="Arial" w:hAnsi="Arial"/>
                <w:lang w:val="en-IN"/>
              </w:rPr>
              <w:t>3</w:t>
            </w:r>
          </w:p>
        </w:tc>
        <w:tc>
          <w:tcPr>
            <w:tcW w:w="396" w:type="pct"/>
            <w:vAlign w:val="center"/>
          </w:tcPr>
          <w:p w14:paraId="1B8CA7FE" w14:textId="77777777" w:rsidR="00033025" w:rsidRPr="00033025" w:rsidRDefault="00033025" w:rsidP="00033025">
            <w:pPr>
              <w:rPr>
                <w:rFonts w:ascii="Arial" w:hAnsi="Arial"/>
                <w:lang w:val="en-IN"/>
              </w:rPr>
            </w:pPr>
            <w:r w:rsidRPr="00033025">
              <w:rPr>
                <w:rFonts w:ascii="Arial" w:hAnsi="Arial"/>
                <w:lang w:val="en-IN"/>
              </w:rPr>
              <w:t>1</w:t>
            </w:r>
          </w:p>
        </w:tc>
        <w:tc>
          <w:tcPr>
            <w:tcW w:w="847" w:type="pct"/>
            <w:vAlign w:val="center"/>
          </w:tcPr>
          <w:p w14:paraId="7E15738B" w14:textId="77777777" w:rsidR="00033025" w:rsidRPr="00033025" w:rsidRDefault="00033025" w:rsidP="00033025">
            <w:pPr>
              <w:rPr>
                <w:rFonts w:ascii="Arial" w:hAnsi="Arial"/>
                <w:lang w:val="en-IN"/>
              </w:rPr>
            </w:pPr>
            <w:r w:rsidRPr="00033025">
              <w:rPr>
                <w:rFonts w:ascii="Arial" w:hAnsi="Arial"/>
                <w:lang w:val="en-IN"/>
              </w:rPr>
              <w:t>-.914</w:t>
            </w:r>
            <w:r w:rsidRPr="00033025">
              <w:rPr>
                <w:rFonts w:ascii="Arial" w:hAnsi="Arial"/>
                <w:vertAlign w:val="superscript"/>
                <w:lang w:val="en-IN"/>
              </w:rPr>
              <w:t>*</w:t>
            </w:r>
          </w:p>
        </w:tc>
        <w:tc>
          <w:tcPr>
            <w:tcW w:w="762" w:type="pct"/>
            <w:vAlign w:val="center"/>
          </w:tcPr>
          <w:p w14:paraId="17FE8526" w14:textId="77777777" w:rsidR="00033025" w:rsidRPr="00033025" w:rsidRDefault="00033025" w:rsidP="00033025">
            <w:pPr>
              <w:rPr>
                <w:rFonts w:ascii="Arial" w:hAnsi="Arial"/>
                <w:lang w:val="en-IN"/>
              </w:rPr>
            </w:pPr>
            <w:r w:rsidRPr="00033025">
              <w:rPr>
                <w:rFonts w:ascii="Arial" w:hAnsi="Arial"/>
                <w:lang w:val="en-IN"/>
              </w:rPr>
              <w:t>.203</w:t>
            </w:r>
          </w:p>
        </w:tc>
        <w:tc>
          <w:tcPr>
            <w:tcW w:w="423" w:type="pct"/>
            <w:vAlign w:val="center"/>
          </w:tcPr>
          <w:p w14:paraId="1A46BAC7" w14:textId="77777777" w:rsidR="00033025" w:rsidRPr="00033025" w:rsidRDefault="00033025" w:rsidP="00033025">
            <w:pPr>
              <w:rPr>
                <w:rFonts w:ascii="Arial" w:hAnsi="Arial"/>
                <w:lang w:val="en-IN"/>
              </w:rPr>
            </w:pPr>
            <w:r w:rsidRPr="00033025">
              <w:rPr>
                <w:rFonts w:ascii="Arial" w:hAnsi="Arial"/>
                <w:lang w:val="en-IN"/>
              </w:rPr>
              <w:t>&lt;.001</w:t>
            </w:r>
          </w:p>
        </w:tc>
        <w:tc>
          <w:tcPr>
            <w:tcW w:w="746" w:type="pct"/>
            <w:vAlign w:val="center"/>
          </w:tcPr>
          <w:p w14:paraId="26783212" w14:textId="77777777" w:rsidR="00033025" w:rsidRPr="00033025" w:rsidRDefault="00033025" w:rsidP="00033025">
            <w:pPr>
              <w:rPr>
                <w:rFonts w:ascii="Arial" w:hAnsi="Arial"/>
                <w:lang w:val="en-IN"/>
              </w:rPr>
            </w:pPr>
            <w:r w:rsidRPr="00033025">
              <w:rPr>
                <w:rFonts w:ascii="Arial" w:hAnsi="Arial"/>
                <w:lang w:val="en-IN"/>
              </w:rPr>
              <w:t>-1.396</w:t>
            </w:r>
          </w:p>
        </w:tc>
        <w:tc>
          <w:tcPr>
            <w:tcW w:w="693" w:type="pct"/>
            <w:vAlign w:val="center"/>
          </w:tcPr>
          <w:p w14:paraId="6C25A4D8" w14:textId="77777777" w:rsidR="00033025" w:rsidRPr="00033025" w:rsidRDefault="00033025" w:rsidP="00033025">
            <w:pPr>
              <w:rPr>
                <w:rFonts w:ascii="Arial" w:hAnsi="Arial"/>
                <w:lang w:val="en-IN"/>
              </w:rPr>
            </w:pPr>
            <w:r w:rsidRPr="00033025">
              <w:rPr>
                <w:rFonts w:ascii="Arial" w:hAnsi="Arial"/>
                <w:lang w:val="en-IN"/>
              </w:rPr>
              <w:t>-.431</w:t>
            </w:r>
          </w:p>
        </w:tc>
      </w:tr>
      <w:tr w:rsidR="00033025" w:rsidRPr="00033025" w14:paraId="0937F563" w14:textId="77777777" w:rsidTr="00033025">
        <w:trPr>
          <w:cantSplit/>
        </w:trPr>
        <w:tc>
          <w:tcPr>
            <w:tcW w:w="696" w:type="pct"/>
            <w:vMerge/>
            <w:vAlign w:val="center"/>
          </w:tcPr>
          <w:p w14:paraId="4218919E" w14:textId="77777777" w:rsidR="00033025" w:rsidRPr="00033025" w:rsidRDefault="00033025" w:rsidP="00033025">
            <w:pPr>
              <w:rPr>
                <w:rFonts w:ascii="Arial" w:hAnsi="Arial"/>
                <w:lang w:val="en-IN"/>
              </w:rPr>
            </w:pPr>
          </w:p>
        </w:tc>
        <w:tc>
          <w:tcPr>
            <w:tcW w:w="437" w:type="pct"/>
            <w:vMerge/>
            <w:vAlign w:val="center"/>
          </w:tcPr>
          <w:p w14:paraId="4397441F" w14:textId="77777777" w:rsidR="00033025" w:rsidRPr="00033025" w:rsidRDefault="00033025" w:rsidP="00033025">
            <w:pPr>
              <w:rPr>
                <w:rFonts w:ascii="Arial" w:hAnsi="Arial"/>
                <w:lang w:val="en-IN"/>
              </w:rPr>
            </w:pPr>
          </w:p>
        </w:tc>
        <w:tc>
          <w:tcPr>
            <w:tcW w:w="396" w:type="pct"/>
            <w:vAlign w:val="center"/>
          </w:tcPr>
          <w:p w14:paraId="1D1D3E6B" w14:textId="77777777" w:rsidR="00033025" w:rsidRPr="00033025" w:rsidRDefault="00033025" w:rsidP="00033025">
            <w:pPr>
              <w:rPr>
                <w:rFonts w:ascii="Arial" w:hAnsi="Arial"/>
                <w:lang w:val="en-IN"/>
              </w:rPr>
            </w:pPr>
            <w:r w:rsidRPr="00033025">
              <w:rPr>
                <w:rFonts w:ascii="Arial" w:hAnsi="Arial"/>
                <w:lang w:val="en-IN"/>
              </w:rPr>
              <w:t>2</w:t>
            </w:r>
          </w:p>
        </w:tc>
        <w:tc>
          <w:tcPr>
            <w:tcW w:w="847" w:type="pct"/>
            <w:vAlign w:val="center"/>
          </w:tcPr>
          <w:p w14:paraId="05F04A98" w14:textId="77777777" w:rsidR="00033025" w:rsidRPr="00033025" w:rsidRDefault="00033025" w:rsidP="00033025">
            <w:pPr>
              <w:rPr>
                <w:rFonts w:ascii="Arial" w:hAnsi="Arial"/>
                <w:lang w:val="en-IN"/>
              </w:rPr>
            </w:pPr>
            <w:r w:rsidRPr="00033025">
              <w:rPr>
                <w:rFonts w:ascii="Arial" w:hAnsi="Arial"/>
                <w:lang w:val="en-IN"/>
              </w:rPr>
              <w:t>.004</w:t>
            </w:r>
          </w:p>
        </w:tc>
        <w:tc>
          <w:tcPr>
            <w:tcW w:w="762" w:type="pct"/>
            <w:vAlign w:val="center"/>
          </w:tcPr>
          <w:p w14:paraId="6E6A53C7" w14:textId="77777777" w:rsidR="00033025" w:rsidRPr="00033025" w:rsidRDefault="00033025" w:rsidP="00033025">
            <w:pPr>
              <w:rPr>
                <w:rFonts w:ascii="Arial" w:hAnsi="Arial"/>
                <w:lang w:val="en-IN"/>
              </w:rPr>
            </w:pPr>
            <w:r w:rsidRPr="00033025">
              <w:rPr>
                <w:rFonts w:ascii="Arial" w:hAnsi="Arial"/>
                <w:lang w:val="en-IN"/>
              </w:rPr>
              <w:t>.203</w:t>
            </w:r>
          </w:p>
        </w:tc>
        <w:tc>
          <w:tcPr>
            <w:tcW w:w="423" w:type="pct"/>
            <w:vAlign w:val="center"/>
          </w:tcPr>
          <w:p w14:paraId="001CD9BB" w14:textId="77777777" w:rsidR="00033025" w:rsidRPr="00033025" w:rsidRDefault="00033025" w:rsidP="00033025">
            <w:pPr>
              <w:rPr>
                <w:rFonts w:ascii="Arial" w:hAnsi="Arial"/>
                <w:lang w:val="en-IN"/>
              </w:rPr>
            </w:pPr>
            <w:r w:rsidRPr="00033025">
              <w:rPr>
                <w:rFonts w:ascii="Arial" w:hAnsi="Arial"/>
                <w:lang w:val="en-IN"/>
              </w:rPr>
              <w:t>1.000</w:t>
            </w:r>
          </w:p>
        </w:tc>
        <w:tc>
          <w:tcPr>
            <w:tcW w:w="746" w:type="pct"/>
            <w:vAlign w:val="center"/>
          </w:tcPr>
          <w:p w14:paraId="6DD985B7" w14:textId="77777777" w:rsidR="00033025" w:rsidRPr="00033025" w:rsidRDefault="00033025" w:rsidP="00033025">
            <w:pPr>
              <w:rPr>
                <w:rFonts w:ascii="Arial" w:hAnsi="Arial"/>
                <w:lang w:val="en-IN"/>
              </w:rPr>
            </w:pPr>
            <w:r w:rsidRPr="00033025">
              <w:rPr>
                <w:rFonts w:ascii="Arial" w:hAnsi="Arial"/>
                <w:lang w:val="en-IN"/>
              </w:rPr>
              <w:t>-.478</w:t>
            </w:r>
          </w:p>
        </w:tc>
        <w:tc>
          <w:tcPr>
            <w:tcW w:w="693" w:type="pct"/>
            <w:vAlign w:val="center"/>
          </w:tcPr>
          <w:p w14:paraId="4CEBB2D2" w14:textId="77777777" w:rsidR="00033025" w:rsidRPr="00033025" w:rsidRDefault="00033025" w:rsidP="00033025">
            <w:pPr>
              <w:rPr>
                <w:rFonts w:ascii="Arial" w:hAnsi="Arial"/>
                <w:lang w:val="en-IN"/>
              </w:rPr>
            </w:pPr>
            <w:r w:rsidRPr="00033025">
              <w:rPr>
                <w:rFonts w:ascii="Arial" w:hAnsi="Arial"/>
                <w:lang w:val="en-IN"/>
              </w:rPr>
              <w:t>.486</w:t>
            </w:r>
          </w:p>
        </w:tc>
      </w:tr>
      <w:tr w:rsidR="00033025" w:rsidRPr="00033025" w14:paraId="13DDFFBA" w14:textId="77777777" w:rsidTr="00033025">
        <w:trPr>
          <w:cantSplit/>
        </w:trPr>
        <w:tc>
          <w:tcPr>
            <w:tcW w:w="696" w:type="pct"/>
            <w:vMerge w:val="restart"/>
            <w:vAlign w:val="center"/>
          </w:tcPr>
          <w:p w14:paraId="42CD9B4D" w14:textId="77777777" w:rsidR="00033025" w:rsidRPr="00033025" w:rsidRDefault="00033025" w:rsidP="00033025">
            <w:pPr>
              <w:rPr>
                <w:rFonts w:ascii="Arial" w:hAnsi="Arial"/>
                <w:b/>
                <w:lang w:val="en-IN"/>
              </w:rPr>
            </w:pPr>
            <w:r w:rsidRPr="00033025">
              <w:rPr>
                <w:rFonts w:ascii="Arial" w:hAnsi="Arial"/>
                <w:b/>
                <w:lang w:val="en-IN"/>
              </w:rPr>
              <w:t>Factor 2</w:t>
            </w:r>
          </w:p>
          <w:p w14:paraId="64CBA59F" w14:textId="77777777" w:rsidR="00033025" w:rsidRPr="00033025" w:rsidRDefault="00033025" w:rsidP="00033025">
            <w:pPr>
              <w:rPr>
                <w:rFonts w:ascii="Arial" w:hAnsi="Arial"/>
                <w:lang w:val="en-IN"/>
              </w:rPr>
            </w:pPr>
            <w:r w:rsidRPr="00033025">
              <w:rPr>
                <w:rFonts w:ascii="Arial" w:hAnsi="Arial"/>
                <w:b/>
                <w:lang w:val="en-IN"/>
              </w:rPr>
              <w:t>User Convenience</w:t>
            </w:r>
          </w:p>
        </w:tc>
        <w:tc>
          <w:tcPr>
            <w:tcW w:w="437" w:type="pct"/>
            <w:vMerge w:val="restart"/>
            <w:vAlign w:val="center"/>
          </w:tcPr>
          <w:p w14:paraId="739DBDFE" w14:textId="77777777" w:rsidR="00033025" w:rsidRPr="00033025" w:rsidRDefault="00033025" w:rsidP="00033025">
            <w:pPr>
              <w:rPr>
                <w:rFonts w:ascii="Arial" w:hAnsi="Arial"/>
                <w:lang w:val="en-IN"/>
              </w:rPr>
            </w:pPr>
            <w:r w:rsidRPr="00033025">
              <w:rPr>
                <w:rFonts w:ascii="Arial" w:hAnsi="Arial"/>
                <w:lang w:val="en-IN"/>
              </w:rPr>
              <w:t>1</w:t>
            </w:r>
          </w:p>
        </w:tc>
        <w:tc>
          <w:tcPr>
            <w:tcW w:w="396" w:type="pct"/>
            <w:vAlign w:val="center"/>
          </w:tcPr>
          <w:p w14:paraId="058EB56F" w14:textId="77777777" w:rsidR="00033025" w:rsidRPr="00033025" w:rsidRDefault="00033025" w:rsidP="00033025">
            <w:pPr>
              <w:rPr>
                <w:rFonts w:ascii="Arial" w:hAnsi="Arial"/>
                <w:lang w:val="en-IN"/>
              </w:rPr>
            </w:pPr>
            <w:r w:rsidRPr="00033025">
              <w:rPr>
                <w:rFonts w:ascii="Arial" w:hAnsi="Arial"/>
                <w:lang w:val="en-IN"/>
              </w:rPr>
              <w:t>2</w:t>
            </w:r>
          </w:p>
        </w:tc>
        <w:tc>
          <w:tcPr>
            <w:tcW w:w="847" w:type="pct"/>
            <w:vAlign w:val="center"/>
          </w:tcPr>
          <w:p w14:paraId="4ED3160D" w14:textId="77777777" w:rsidR="00033025" w:rsidRPr="00033025" w:rsidRDefault="00033025" w:rsidP="00033025">
            <w:pPr>
              <w:rPr>
                <w:rFonts w:ascii="Arial" w:hAnsi="Arial"/>
                <w:lang w:val="en-IN"/>
              </w:rPr>
            </w:pPr>
            <w:r w:rsidRPr="00033025">
              <w:rPr>
                <w:rFonts w:ascii="Arial" w:hAnsi="Arial"/>
                <w:lang w:val="en-IN"/>
              </w:rPr>
              <w:t>-.493</w:t>
            </w:r>
          </w:p>
        </w:tc>
        <w:tc>
          <w:tcPr>
            <w:tcW w:w="762" w:type="pct"/>
            <w:vAlign w:val="center"/>
          </w:tcPr>
          <w:p w14:paraId="1301C971" w14:textId="77777777" w:rsidR="00033025" w:rsidRPr="00033025" w:rsidRDefault="00033025" w:rsidP="00033025">
            <w:pPr>
              <w:rPr>
                <w:rFonts w:ascii="Arial" w:hAnsi="Arial"/>
                <w:lang w:val="en-IN"/>
              </w:rPr>
            </w:pPr>
            <w:r w:rsidRPr="00033025">
              <w:rPr>
                <w:rFonts w:ascii="Arial" w:hAnsi="Arial"/>
                <w:lang w:val="en-IN"/>
              </w:rPr>
              <w:t>.213</w:t>
            </w:r>
          </w:p>
        </w:tc>
        <w:tc>
          <w:tcPr>
            <w:tcW w:w="423" w:type="pct"/>
            <w:vAlign w:val="center"/>
          </w:tcPr>
          <w:p w14:paraId="4699A9ED" w14:textId="77777777" w:rsidR="00033025" w:rsidRPr="00033025" w:rsidRDefault="00033025" w:rsidP="00033025">
            <w:pPr>
              <w:rPr>
                <w:rFonts w:ascii="Arial" w:hAnsi="Arial"/>
                <w:lang w:val="en-IN"/>
              </w:rPr>
            </w:pPr>
            <w:r w:rsidRPr="00033025">
              <w:rPr>
                <w:rFonts w:ascii="Arial" w:hAnsi="Arial"/>
                <w:lang w:val="en-IN"/>
              </w:rPr>
              <w:t>.059</w:t>
            </w:r>
          </w:p>
        </w:tc>
        <w:tc>
          <w:tcPr>
            <w:tcW w:w="746" w:type="pct"/>
            <w:vAlign w:val="center"/>
          </w:tcPr>
          <w:p w14:paraId="1018B394" w14:textId="77777777" w:rsidR="00033025" w:rsidRPr="00033025" w:rsidRDefault="00033025" w:rsidP="00033025">
            <w:pPr>
              <w:rPr>
                <w:rFonts w:ascii="Arial" w:hAnsi="Arial"/>
                <w:lang w:val="en-IN"/>
              </w:rPr>
            </w:pPr>
            <w:r w:rsidRPr="00033025">
              <w:rPr>
                <w:rFonts w:ascii="Arial" w:hAnsi="Arial"/>
                <w:lang w:val="en-IN"/>
              </w:rPr>
              <w:t>-1.001</w:t>
            </w:r>
          </w:p>
        </w:tc>
        <w:tc>
          <w:tcPr>
            <w:tcW w:w="693" w:type="pct"/>
            <w:vAlign w:val="center"/>
          </w:tcPr>
          <w:p w14:paraId="1EADFD60" w14:textId="77777777" w:rsidR="00033025" w:rsidRPr="00033025" w:rsidRDefault="00033025" w:rsidP="00033025">
            <w:pPr>
              <w:rPr>
                <w:rFonts w:ascii="Arial" w:hAnsi="Arial"/>
                <w:lang w:val="en-IN"/>
              </w:rPr>
            </w:pPr>
            <w:r w:rsidRPr="00033025">
              <w:rPr>
                <w:rFonts w:ascii="Arial" w:hAnsi="Arial"/>
                <w:lang w:val="en-IN"/>
              </w:rPr>
              <w:t>.0143</w:t>
            </w:r>
          </w:p>
        </w:tc>
      </w:tr>
      <w:tr w:rsidR="00033025" w:rsidRPr="00033025" w14:paraId="6ACA71FF" w14:textId="77777777" w:rsidTr="00033025">
        <w:trPr>
          <w:cantSplit/>
        </w:trPr>
        <w:tc>
          <w:tcPr>
            <w:tcW w:w="696" w:type="pct"/>
            <w:vMerge/>
            <w:vAlign w:val="center"/>
          </w:tcPr>
          <w:p w14:paraId="46A850B8" w14:textId="77777777" w:rsidR="00033025" w:rsidRPr="00033025" w:rsidRDefault="00033025" w:rsidP="00033025">
            <w:pPr>
              <w:rPr>
                <w:rFonts w:ascii="Arial" w:hAnsi="Arial"/>
                <w:lang w:val="en-IN"/>
              </w:rPr>
            </w:pPr>
          </w:p>
        </w:tc>
        <w:tc>
          <w:tcPr>
            <w:tcW w:w="437" w:type="pct"/>
            <w:vMerge/>
            <w:vAlign w:val="center"/>
          </w:tcPr>
          <w:p w14:paraId="422D8DFE" w14:textId="77777777" w:rsidR="00033025" w:rsidRPr="00033025" w:rsidRDefault="00033025" w:rsidP="00033025">
            <w:pPr>
              <w:rPr>
                <w:rFonts w:ascii="Arial" w:hAnsi="Arial"/>
                <w:lang w:val="en-IN"/>
              </w:rPr>
            </w:pPr>
          </w:p>
        </w:tc>
        <w:tc>
          <w:tcPr>
            <w:tcW w:w="396" w:type="pct"/>
            <w:vAlign w:val="center"/>
          </w:tcPr>
          <w:p w14:paraId="68AD195F" w14:textId="77777777" w:rsidR="00033025" w:rsidRPr="00033025" w:rsidRDefault="00033025" w:rsidP="00033025">
            <w:pPr>
              <w:rPr>
                <w:rFonts w:ascii="Arial" w:hAnsi="Arial"/>
                <w:lang w:val="en-IN"/>
              </w:rPr>
            </w:pPr>
            <w:r w:rsidRPr="00033025">
              <w:rPr>
                <w:rFonts w:ascii="Arial" w:hAnsi="Arial"/>
                <w:lang w:val="en-IN"/>
              </w:rPr>
              <w:t>3</w:t>
            </w:r>
          </w:p>
        </w:tc>
        <w:tc>
          <w:tcPr>
            <w:tcW w:w="847" w:type="pct"/>
            <w:vAlign w:val="center"/>
          </w:tcPr>
          <w:p w14:paraId="53B33205" w14:textId="77777777" w:rsidR="00033025" w:rsidRPr="00033025" w:rsidRDefault="00033025" w:rsidP="00033025">
            <w:pPr>
              <w:rPr>
                <w:rFonts w:ascii="Arial" w:hAnsi="Arial"/>
                <w:lang w:val="en-IN"/>
              </w:rPr>
            </w:pPr>
            <w:r w:rsidRPr="00033025">
              <w:rPr>
                <w:rFonts w:ascii="Arial" w:hAnsi="Arial"/>
                <w:lang w:val="en-IN"/>
              </w:rPr>
              <w:t>-.763</w:t>
            </w:r>
            <w:r w:rsidRPr="00033025">
              <w:rPr>
                <w:rFonts w:ascii="Arial" w:hAnsi="Arial"/>
                <w:vertAlign w:val="superscript"/>
                <w:lang w:val="en-IN"/>
              </w:rPr>
              <w:t>*</w:t>
            </w:r>
          </w:p>
        </w:tc>
        <w:tc>
          <w:tcPr>
            <w:tcW w:w="762" w:type="pct"/>
            <w:vAlign w:val="center"/>
          </w:tcPr>
          <w:p w14:paraId="1C92C1DC" w14:textId="77777777" w:rsidR="00033025" w:rsidRPr="00033025" w:rsidRDefault="00033025" w:rsidP="00033025">
            <w:pPr>
              <w:rPr>
                <w:rFonts w:ascii="Arial" w:hAnsi="Arial"/>
                <w:lang w:val="en-IN"/>
              </w:rPr>
            </w:pPr>
            <w:r w:rsidRPr="00033025">
              <w:rPr>
                <w:rFonts w:ascii="Arial" w:hAnsi="Arial"/>
                <w:lang w:val="en-IN"/>
              </w:rPr>
              <w:t>.213</w:t>
            </w:r>
          </w:p>
        </w:tc>
        <w:tc>
          <w:tcPr>
            <w:tcW w:w="423" w:type="pct"/>
            <w:vAlign w:val="center"/>
          </w:tcPr>
          <w:p w14:paraId="4523D8CF" w14:textId="77777777" w:rsidR="00033025" w:rsidRPr="00033025" w:rsidRDefault="00033025" w:rsidP="00033025">
            <w:pPr>
              <w:rPr>
                <w:rFonts w:ascii="Arial" w:hAnsi="Arial"/>
                <w:lang w:val="en-IN"/>
              </w:rPr>
            </w:pPr>
            <w:r w:rsidRPr="00033025">
              <w:rPr>
                <w:rFonts w:ascii="Arial" w:hAnsi="Arial"/>
                <w:lang w:val="en-IN"/>
              </w:rPr>
              <w:t>.002</w:t>
            </w:r>
          </w:p>
        </w:tc>
        <w:tc>
          <w:tcPr>
            <w:tcW w:w="746" w:type="pct"/>
            <w:vAlign w:val="center"/>
          </w:tcPr>
          <w:p w14:paraId="0B414668" w14:textId="77777777" w:rsidR="00033025" w:rsidRPr="00033025" w:rsidRDefault="00033025" w:rsidP="00033025">
            <w:pPr>
              <w:rPr>
                <w:rFonts w:ascii="Arial" w:hAnsi="Arial"/>
                <w:lang w:val="en-IN"/>
              </w:rPr>
            </w:pPr>
            <w:r w:rsidRPr="00033025">
              <w:rPr>
                <w:rFonts w:ascii="Arial" w:hAnsi="Arial"/>
                <w:lang w:val="en-IN"/>
              </w:rPr>
              <w:t>-1.270</w:t>
            </w:r>
          </w:p>
        </w:tc>
        <w:tc>
          <w:tcPr>
            <w:tcW w:w="693" w:type="pct"/>
            <w:vAlign w:val="center"/>
          </w:tcPr>
          <w:p w14:paraId="6236C903" w14:textId="77777777" w:rsidR="00033025" w:rsidRPr="00033025" w:rsidRDefault="00033025" w:rsidP="00033025">
            <w:pPr>
              <w:rPr>
                <w:rFonts w:ascii="Arial" w:hAnsi="Arial"/>
                <w:lang w:val="en-IN"/>
              </w:rPr>
            </w:pPr>
            <w:r w:rsidRPr="00033025">
              <w:rPr>
                <w:rFonts w:ascii="Arial" w:hAnsi="Arial"/>
                <w:lang w:val="en-IN"/>
              </w:rPr>
              <w:t>-.255</w:t>
            </w:r>
          </w:p>
        </w:tc>
      </w:tr>
      <w:tr w:rsidR="00033025" w:rsidRPr="00033025" w14:paraId="6DF59B5C" w14:textId="77777777" w:rsidTr="00033025">
        <w:trPr>
          <w:cantSplit/>
        </w:trPr>
        <w:tc>
          <w:tcPr>
            <w:tcW w:w="696" w:type="pct"/>
            <w:vMerge/>
            <w:vAlign w:val="center"/>
          </w:tcPr>
          <w:p w14:paraId="738431C7" w14:textId="77777777" w:rsidR="00033025" w:rsidRPr="00033025" w:rsidRDefault="00033025" w:rsidP="00033025">
            <w:pPr>
              <w:rPr>
                <w:rFonts w:ascii="Arial" w:hAnsi="Arial"/>
                <w:lang w:val="en-IN"/>
              </w:rPr>
            </w:pPr>
          </w:p>
        </w:tc>
        <w:tc>
          <w:tcPr>
            <w:tcW w:w="437" w:type="pct"/>
            <w:vMerge w:val="restart"/>
            <w:vAlign w:val="center"/>
          </w:tcPr>
          <w:p w14:paraId="3176A019" w14:textId="77777777" w:rsidR="00033025" w:rsidRPr="00033025" w:rsidRDefault="00033025" w:rsidP="00033025">
            <w:pPr>
              <w:rPr>
                <w:rFonts w:ascii="Arial" w:hAnsi="Arial"/>
                <w:lang w:val="en-IN"/>
              </w:rPr>
            </w:pPr>
            <w:r w:rsidRPr="00033025">
              <w:rPr>
                <w:rFonts w:ascii="Arial" w:hAnsi="Arial"/>
                <w:lang w:val="en-IN"/>
              </w:rPr>
              <w:t>2</w:t>
            </w:r>
          </w:p>
        </w:tc>
        <w:tc>
          <w:tcPr>
            <w:tcW w:w="396" w:type="pct"/>
            <w:vAlign w:val="center"/>
          </w:tcPr>
          <w:p w14:paraId="2EE89BDA" w14:textId="77777777" w:rsidR="00033025" w:rsidRPr="00033025" w:rsidRDefault="00033025" w:rsidP="00033025">
            <w:pPr>
              <w:rPr>
                <w:rFonts w:ascii="Arial" w:hAnsi="Arial"/>
                <w:lang w:val="en-IN"/>
              </w:rPr>
            </w:pPr>
            <w:r w:rsidRPr="00033025">
              <w:rPr>
                <w:rFonts w:ascii="Arial" w:hAnsi="Arial"/>
                <w:lang w:val="en-IN"/>
              </w:rPr>
              <w:t>1</w:t>
            </w:r>
          </w:p>
        </w:tc>
        <w:tc>
          <w:tcPr>
            <w:tcW w:w="847" w:type="pct"/>
            <w:vAlign w:val="center"/>
          </w:tcPr>
          <w:p w14:paraId="2CAFB996" w14:textId="77777777" w:rsidR="00033025" w:rsidRPr="00033025" w:rsidRDefault="00033025" w:rsidP="00033025">
            <w:pPr>
              <w:rPr>
                <w:rFonts w:ascii="Arial" w:hAnsi="Arial"/>
                <w:lang w:val="en-IN"/>
              </w:rPr>
            </w:pPr>
            <w:r w:rsidRPr="00033025">
              <w:rPr>
                <w:rFonts w:ascii="Arial" w:hAnsi="Arial"/>
                <w:lang w:val="en-IN"/>
              </w:rPr>
              <w:t>.493</w:t>
            </w:r>
          </w:p>
        </w:tc>
        <w:tc>
          <w:tcPr>
            <w:tcW w:w="762" w:type="pct"/>
            <w:vAlign w:val="center"/>
          </w:tcPr>
          <w:p w14:paraId="6C6F7C97" w14:textId="77777777" w:rsidR="00033025" w:rsidRPr="00033025" w:rsidRDefault="00033025" w:rsidP="00033025">
            <w:pPr>
              <w:rPr>
                <w:rFonts w:ascii="Arial" w:hAnsi="Arial"/>
                <w:lang w:val="en-IN"/>
              </w:rPr>
            </w:pPr>
            <w:r w:rsidRPr="00033025">
              <w:rPr>
                <w:rFonts w:ascii="Arial" w:hAnsi="Arial"/>
                <w:lang w:val="en-IN"/>
              </w:rPr>
              <w:t>.213</w:t>
            </w:r>
          </w:p>
        </w:tc>
        <w:tc>
          <w:tcPr>
            <w:tcW w:w="423" w:type="pct"/>
            <w:vAlign w:val="center"/>
          </w:tcPr>
          <w:p w14:paraId="0C0BA98A" w14:textId="77777777" w:rsidR="00033025" w:rsidRPr="00033025" w:rsidRDefault="00033025" w:rsidP="00033025">
            <w:pPr>
              <w:rPr>
                <w:rFonts w:ascii="Arial" w:hAnsi="Arial"/>
                <w:lang w:val="en-IN"/>
              </w:rPr>
            </w:pPr>
            <w:r w:rsidRPr="00033025">
              <w:rPr>
                <w:rFonts w:ascii="Arial" w:hAnsi="Arial"/>
                <w:lang w:val="en-IN"/>
              </w:rPr>
              <w:t>.059</w:t>
            </w:r>
          </w:p>
        </w:tc>
        <w:tc>
          <w:tcPr>
            <w:tcW w:w="746" w:type="pct"/>
            <w:vAlign w:val="center"/>
          </w:tcPr>
          <w:p w14:paraId="3673D033" w14:textId="77777777" w:rsidR="00033025" w:rsidRPr="00033025" w:rsidRDefault="00033025" w:rsidP="00033025">
            <w:pPr>
              <w:rPr>
                <w:rFonts w:ascii="Arial" w:hAnsi="Arial"/>
                <w:lang w:val="en-IN"/>
              </w:rPr>
            </w:pPr>
            <w:r w:rsidRPr="00033025">
              <w:rPr>
                <w:rFonts w:ascii="Arial" w:hAnsi="Arial"/>
                <w:lang w:val="en-IN"/>
              </w:rPr>
              <w:t>-.014</w:t>
            </w:r>
          </w:p>
        </w:tc>
        <w:tc>
          <w:tcPr>
            <w:tcW w:w="693" w:type="pct"/>
            <w:vAlign w:val="center"/>
          </w:tcPr>
          <w:p w14:paraId="14070FCB" w14:textId="77777777" w:rsidR="00033025" w:rsidRPr="00033025" w:rsidRDefault="00033025" w:rsidP="00033025">
            <w:pPr>
              <w:rPr>
                <w:rFonts w:ascii="Arial" w:hAnsi="Arial"/>
                <w:lang w:val="en-IN"/>
              </w:rPr>
            </w:pPr>
            <w:r w:rsidRPr="00033025">
              <w:rPr>
                <w:rFonts w:ascii="Arial" w:hAnsi="Arial"/>
                <w:lang w:val="en-IN"/>
              </w:rPr>
              <w:t>1.001</w:t>
            </w:r>
          </w:p>
        </w:tc>
      </w:tr>
      <w:tr w:rsidR="00033025" w:rsidRPr="00033025" w14:paraId="3B6D40C9" w14:textId="77777777" w:rsidTr="00033025">
        <w:trPr>
          <w:cantSplit/>
        </w:trPr>
        <w:tc>
          <w:tcPr>
            <w:tcW w:w="696" w:type="pct"/>
            <w:vMerge/>
            <w:vAlign w:val="center"/>
          </w:tcPr>
          <w:p w14:paraId="0256169B" w14:textId="77777777" w:rsidR="00033025" w:rsidRPr="00033025" w:rsidRDefault="00033025" w:rsidP="00033025">
            <w:pPr>
              <w:rPr>
                <w:rFonts w:ascii="Arial" w:hAnsi="Arial"/>
                <w:lang w:val="en-IN"/>
              </w:rPr>
            </w:pPr>
          </w:p>
        </w:tc>
        <w:tc>
          <w:tcPr>
            <w:tcW w:w="437" w:type="pct"/>
            <w:vMerge/>
            <w:vAlign w:val="center"/>
          </w:tcPr>
          <w:p w14:paraId="3BADE74A" w14:textId="77777777" w:rsidR="00033025" w:rsidRPr="00033025" w:rsidRDefault="00033025" w:rsidP="00033025">
            <w:pPr>
              <w:rPr>
                <w:rFonts w:ascii="Arial" w:hAnsi="Arial"/>
                <w:lang w:val="en-IN"/>
              </w:rPr>
            </w:pPr>
          </w:p>
        </w:tc>
        <w:tc>
          <w:tcPr>
            <w:tcW w:w="396" w:type="pct"/>
            <w:vAlign w:val="center"/>
          </w:tcPr>
          <w:p w14:paraId="198ED775" w14:textId="77777777" w:rsidR="00033025" w:rsidRPr="00033025" w:rsidRDefault="00033025" w:rsidP="00033025">
            <w:pPr>
              <w:rPr>
                <w:rFonts w:ascii="Arial" w:hAnsi="Arial"/>
                <w:lang w:val="en-IN"/>
              </w:rPr>
            </w:pPr>
            <w:r w:rsidRPr="00033025">
              <w:rPr>
                <w:rFonts w:ascii="Arial" w:hAnsi="Arial"/>
                <w:lang w:val="en-IN"/>
              </w:rPr>
              <w:t>3</w:t>
            </w:r>
          </w:p>
        </w:tc>
        <w:tc>
          <w:tcPr>
            <w:tcW w:w="847" w:type="pct"/>
            <w:vAlign w:val="center"/>
          </w:tcPr>
          <w:p w14:paraId="17EC5842" w14:textId="77777777" w:rsidR="00033025" w:rsidRPr="00033025" w:rsidRDefault="00033025" w:rsidP="00033025">
            <w:pPr>
              <w:rPr>
                <w:rFonts w:ascii="Arial" w:hAnsi="Arial"/>
                <w:lang w:val="en-IN"/>
              </w:rPr>
            </w:pPr>
            <w:r w:rsidRPr="00033025">
              <w:rPr>
                <w:rFonts w:ascii="Arial" w:hAnsi="Arial"/>
                <w:lang w:val="en-IN"/>
              </w:rPr>
              <w:t>-.269</w:t>
            </w:r>
          </w:p>
        </w:tc>
        <w:tc>
          <w:tcPr>
            <w:tcW w:w="762" w:type="pct"/>
            <w:vAlign w:val="center"/>
          </w:tcPr>
          <w:p w14:paraId="61028AA8" w14:textId="77777777" w:rsidR="00033025" w:rsidRPr="00033025" w:rsidRDefault="00033025" w:rsidP="00033025">
            <w:pPr>
              <w:rPr>
                <w:rFonts w:ascii="Arial" w:hAnsi="Arial"/>
                <w:lang w:val="en-IN"/>
              </w:rPr>
            </w:pPr>
            <w:r w:rsidRPr="00033025">
              <w:rPr>
                <w:rFonts w:ascii="Arial" w:hAnsi="Arial"/>
                <w:lang w:val="en-IN"/>
              </w:rPr>
              <w:t>.213</w:t>
            </w:r>
          </w:p>
        </w:tc>
        <w:tc>
          <w:tcPr>
            <w:tcW w:w="423" w:type="pct"/>
            <w:vAlign w:val="center"/>
          </w:tcPr>
          <w:p w14:paraId="398E2F17" w14:textId="77777777" w:rsidR="00033025" w:rsidRPr="00033025" w:rsidRDefault="00033025" w:rsidP="00033025">
            <w:pPr>
              <w:rPr>
                <w:rFonts w:ascii="Arial" w:hAnsi="Arial"/>
                <w:lang w:val="en-IN"/>
              </w:rPr>
            </w:pPr>
            <w:r w:rsidRPr="00033025">
              <w:rPr>
                <w:rFonts w:ascii="Arial" w:hAnsi="Arial"/>
                <w:lang w:val="en-IN"/>
              </w:rPr>
              <w:t>.419</w:t>
            </w:r>
          </w:p>
        </w:tc>
        <w:tc>
          <w:tcPr>
            <w:tcW w:w="746" w:type="pct"/>
            <w:vAlign w:val="center"/>
          </w:tcPr>
          <w:p w14:paraId="1EB159F4" w14:textId="77777777" w:rsidR="00033025" w:rsidRPr="00033025" w:rsidRDefault="00033025" w:rsidP="00033025">
            <w:pPr>
              <w:rPr>
                <w:rFonts w:ascii="Arial" w:hAnsi="Arial"/>
                <w:lang w:val="en-IN"/>
              </w:rPr>
            </w:pPr>
            <w:r w:rsidRPr="00033025">
              <w:rPr>
                <w:rFonts w:ascii="Arial" w:hAnsi="Arial"/>
                <w:lang w:val="en-IN"/>
              </w:rPr>
              <w:t>-.777</w:t>
            </w:r>
          </w:p>
        </w:tc>
        <w:tc>
          <w:tcPr>
            <w:tcW w:w="693" w:type="pct"/>
            <w:vAlign w:val="center"/>
          </w:tcPr>
          <w:p w14:paraId="14D49BE4" w14:textId="77777777" w:rsidR="00033025" w:rsidRPr="00033025" w:rsidRDefault="00033025" w:rsidP="00033025">
            <w:pPr>
              <w:rPr>
                <w:rFonts w:ascii="Arial" w:hAnsi="Arial"/>
                <w:lang w:val="en-IN"/>
              </w:rPr>
            </w:pPr>
            <w:r w:rsidRPr="00033025">
              <w:rPr>
                <w:rFonts w:ascii="Arial" w:hAnsi="Arial"/>
                <w:lang w:val="en-IN"/>
              </w:rPr>
              <w:t>.237</w:t>
            </w:r>
          </w:p>
        </w:tc>
      </w:tr>
      <w:tr w:rsidR="00033025" w:rsidRPr="00033025" w14:paraId="42020FC6" w14:textId="77777777" w:rsidTr="00033025">
        <w:trPr>
          <w:cantSplit/>
        </w:trPr>
        <w:tc>
          <w:tcPr>
            <w:tcW w:w="696" w:type="pct"/>
            <w:vMerge/>
            <w:vAlign w:val="center"/>
          </w:tcPr>
          <w:p w14:paraId="695B3961" w14:textId="77777777" w:rsidR="00033025" w:rsidRPr="00033025" w:rsidRDefault="00033025" w:rsidP="00033025">
            <w:pPr>
              <w:rPr>
                <w:rFonts w:ascii="Arial" w:hAnsi="Arial"/>
                <w:lang w:val="en-IN"/>
              </w:rPr>
            </w:pPr>
          </w:p>
        </w:tc>
        <w:tc>
          <w:tcPr>
            <w:tcW w:w="437" w:type="pct"/>
            <w:vMerge w:val="restart"/>
            <w:vAlign w:val="center"/>
          </w:tcPr>
          <w:p w14:paraId="6BB540B0" w14:textId="77777777" w:rsidR="00033025" w:rsidRPr="00033025" w:rsidRDefault="00033025" w:rsidP="00033025">
            <w:pPr>
              <w:rPr>
                <w:rFonts w:ascii="Arial" w:hAnsi="Arial"/>
                <w:lang w:val="en-IN"/>
              </w:rPr>
            </w:pPr>
            <w:r w:rsidRPr="00033025">
              <w:rPr>
                <w:rFonts w:ascii="Arial" w:hAnsi="Arial"/>
                <w:lang w:val="en-IN"/>
              </w:rPr>
              <w:t>3</w:t>
            </w:r>
          </w:p>
        </w:tc>
        <w:tc>
          <w:tcPr>
            <w:tcW w:w="396" w:type="pct"/>
            <w:vAlign w:val="center"/>
          </w:tcPr>
          <w:p w14:paraId="237F82D8" w14:textId="77777777" w:rsidR="00033025" w:rsidRPr="00033025" w:rsidRDefault="00033025" w:rsidP="00033025">
            <w:pPr>
              <w:rPr>
                <w:rFonts w:ascii="Arial" w:hAnsi="Arial"/>
                <w:lang w:val="en-IN"/>
              </w:rPr>
            </w:pPr>
            <w:r w:rsidRPr="00033025">
              <w:rPr>
                <w:rFonts w:ascii="Arial" w:hAnsi="Arial"/>
                <w:lang w:val="en-IN"/>
              </w:rPr>
              <w:t>1</w:t>
            </w:r>
          </w:p>
        </w:tc>
        <w:tc>
          <w:tcPr>
            <w:tcW w:w="847" w:type="pct"/>
            <w:vAlign w:val="center"/>
          </w:tcPr>
          <w:p w14:paraId="6DCB6950" w14:textId="77777777" w:rsidR="00033025" w:rsidRPr="00033025" w:rsidRDefault="00033025" w:rsidP="00033025">
            <w:pPr>
              <w:rPr>
                <w:rFonts w:ascii="Arial" w:hAnsi="Arial"/>
                <w:lang w:val="en-IN"/>
              </w:rPr>
            </w:pPr>
            <w:r w:rsidRPr="00033025">
              <w:rPr>
                <w:rFonts w:ascii="Arial" w:hAnsi="Arial"/>
                <w:lang w:val="en-IN"/>
              </w:rPr>
              <w:t>.763</w:t>
            </w:r>
            <w:r w:rsidRPr="00033025">
              <w:rPr>
                <w:rFonts w:ascii="Arial" w:hAnsi="Arial"/>
                <w:vertAlign w:val="superscript"/>
                <w:lang w:val="en-IN"/>
              </w:rPr>
              <w:t>*</w:t>
            </w:r>
          </w:p>
        </w:tc>
        <w:tc>
          <w:tcPr>
            <w:tcW w:w="762" w:type="pct"/>
            <w:vAlign w:val="center"/>
          </w:tcPr>
          <w:p w14:paraId="2F9421E4" w14:textId="77777777" w:rsidR="00033025" w:rsidRPr="00033025" w:rsidRDefault="00033025" w:rsidP="00033025">
            <w:pPr>
              <w:rPr>
                <w:rFonts w:ascii="Arial" w:hAnsi="Arial"/>
                <w:lang w:val="en-IN"/>
              </w:rPr>
            </w:pPr>
            <w:r w:rsidRPr="00033025">
              <w:rPr>
                <w:rFonts w:ascii="Arial" w:hAnsi="Arial"/>
                <w:lang w:val="en-IN"/>
              </w:rPr>
              <w:t>.213</w:t>
            </w:r>
          </w:p>
        </w:tc>
        <w:tc>
          <w:tcPr>
            <w:tcW w:w="423" w:type="pct"/>
            <w:vAlign w:val="center"/>
          </w:tcPr>
          <w:p w14:paraId="60E4FD2B" w14:textId="77777777" w:rsidR="00033025" w:rsidRPr="00033025" w:rsidRDefault="00033025" w:rsidP="00033025">
            <w:pPr>
              <w:rPr>
                <w:rFonts w:ascii="Arial" w:hAnsi="Arial"/>
                <w:lang w:val="en-IN"/>
              </w:rPr>
            </w:pPr>
            <w:r w:rsidRPr="00033025">
              <w:rPr>
                <w:rFonts w:ascii="Arial" w:hAnsi="Arial"/>
                <w:lang w:val="en-IN"/>
              </w:rPr>
              <w:t>.002</w:t>
            </w:r>
          </w:p>
        </w:tc>
        <w:tc>
          <w:tcPr>
            <w:tcW w:w="746" w:type="pct"/>
            <w:vAlign w:val="center"/>
          </w:tcPr>
          <w:p w14:paraId="4BD1568D" w14:textId="77777777" w:rsidR="00033025" w:rsidRPr="00033025" w:rsidRDefault="00033025" w:rsidP="00033025">
            <w:pPr>
              <w:rPr>
                <w:rFonts w:ascii="Arial" w:hAnsi="Arial"/>
                <w:lang w:val="en-IN"/>
              </w:rPr>
            </w:pPr>
            <w:r w:rsidRPr="00033025">
              <w:rPr>
                <w:rFonts w:ascii="Arial" w:hAnsi="Arial"/>
                <w:lang w:val="en-IN"/>
              </w:rPr>
              <w:t>.255</w:t>
            </w:r>
          </w:p>
        </w:tc>
        <w:tc>
          <w:tcPr>
            <w:tcW w:w="693" w:type="pct"/>
            <w:vAlign w:val="center"/>
          </w:tcPr>
          <w:p w14:paraId="38F249B2" w14:textId="77777777" w:rsidR="00033025" w:rsidRPr="00033025" w:rsidRDefault="00033025" w:rsidP="00033025">
            <w:pPr>
              <w:rPr>
                <w:rFonts w:ascii="Arial" w:hAnsi="Arial"/>
                <w:lang w:val="en-IN"/>
              </w:rPr>
            </w:pPr>
            <w:r w:rsidRPr="00033025">
              <w:rPr>
                <w:rFonts w:ascii="Arial" w:hAnsi="Arial"/>
                <w:lang w:val="en-IN"/>
              </w:rPr>
              <w:t>1.270</w:t>
            </w:r>
          </w:p>
        </w:tc>
      </w:tr>
      <w:tr w:rsidR="00033025" w:rsidRPr="00033025" w14:paraId="7430F1A1" w14:textId="77777777" w:rsidTr="00033025">
        <w:trPr>
          <w:cantSplit/>
        </w:trPr>
        <w:tc>
          <w:tcPr>
            <w:tcW w:w="696" w:type="pct"/>
            <w:vMerge/>
            <w:vAlign w:val="center"/>
          </w:tcPr>
          <w:p w14:paraId="6423FE29" w14:textId="77777777" w:rsidR="00033025" w:rsidRPr="00033025" w:rsidRDefault="00033025" w:rsidP="00033025">
            <w:pPr>
              <w:rPr>
                <w:rFonts w:ascii="Arial" w:hAnsi="Arial"/>
                <w:lang w:val="en-IN"/>
              </w:rPr>
            </w:pPr>
          </w:p>
        </w:tc>
        <w:tc>
          <w:tcPr>
            <w:tcW w:w="437" w:type="pct"/>
            <w:vMerge/>
            <w:vAlign w:val="center"/>
          </w:tcPr>
          <w:p w14:paraId="53DA65ED" w14:textId="77777777" w:rsidR="00033025" w:rsidRPr="00033025" w:rsidRDefault="00033025" w:rsidP="00033025">
            <w:pPr>
              <w:rPr>
                <w:rFonts w:ascii="Arial" w:hAnsi="Arial"/>
                <w:lang w:val="en-IN"/>
              </w:rPr>
            </w:pPr>
          </w:p>
        </w:tc>
        <w:tc>
          <w:tcPr>
            <w:tcW w:w="396" w:type="pct"/>
            <w:vAlign w:val="center"/>
          </w:tcPr>
          <w:p w14:paraId="7C8518AD" w14:textId="77777777" w:rsidR="00033025" w:rsidRPr="00033025" w:rsidRDefault="00033025" w:rsidP="00033025">
            <w:pPr>
              <w:rPr>
                <w:rFonts w:ascii="Arial" w:hAnsi="Arial"/>
                <w:lang w:val="en-IN"/>
              </w:rPr>
            </w:pPr>
            <w:r w:rsidRPr="00033025">
              <w:rPr>
                <w:rFonts w:ascii="Arial" w:hAnsi="Arial"/>
                <w:lang w:val="en-IN"/>
              </w:rPr>
              <w:t>2</w:t>
            </w:r>
          </w:p>
        </w:tc>
        <w:tc>
          <w:tcPr>
            <w:tcW w:w="847" w:type="pct"/>
            <w:vAlign w:val="center"/>
          </w:tcPr>
          <w:p w14:paraId="19108E0D" w14:textId="77777777" w:rsidR="00033025" w:rsidRPr="00033025" w:rsidRDefault="00033025" w:rsidP="00033025">
            <w:pPr>
              <w:rPr>
                <w:rFonts w:ascii="Arial" w:hAnsi="Arial"/>
                <w:lang w:val="en-IN"/>
              </w:rPr>
            </w:pPr>
            <w:r w:rsidRPr="00033025">
              <w:rPr>
                <w:rFonts w:ascii="Arial" w:hAnsi="Arial"/>
                <w:lang w:val="en-IN"/>
              </w:rPr>
              <w:t>.269</w:t>
            </w:r>
          </w:p>
        </w:tc>
        <w:tc>
          <w:tcPr>
            <w:tcW w:w="762" w:type="pct"/>
            <w:vAlign w:val="center"/>
          </w:tcPr>
          <w:p w14:paraId="2B263D19" w14:textId="77777777" w:rsidR="00033025" w:rsidRPr="00033025" w:rsidRDefault="00033025" w:rsidP="00033025">
            <w:pPr>
              <w:rPr>
                <w:rFonts w:ascii="Arial" w:hAnsi="Arial"/>
                <w:lang w:val="en-IN"/>
              </w:rPr>
            </w:pPr>
            <w:r w:rsidRPr="00033025">
              <w:rPr>
                <w:rFonts w:ascii="Arial" w:hAnsi="Arial"/>
                <w:lang w:val="en-IN"/>
              </w:rPr>
              <w:t>.213</w:t>
            </w:r>
          </w:p>
        </w:tc>
        <w:tc>
          <w:tcPr>
            <w:tcW w:w="423" w:type="pct"/>
            <w:vAlign w:val="center"/>
          </w:tcPr>
          <w:p w14:paraId="7502C0A5" w14:textId="77777777" w:rsidR="00033025" w:rsidRPr="00033025" w:rsidRDefault="00033025" w:rsidP="00033025">
            <w:pPr>
              <w:rPr>
                <w:rFonts w:ascii="Arial" w:hAnsi="Arial"/>
                <w:lang w:val="en-IN"/>
              </w:rPr>
            </w:pPr>
            <w:r w:rsidRPr="00033025">
              <w:rPr>
                <w:rFonts w:ascii="Arial" w:hAnsi="Arial"/>
                <w:lang w:val="en-IN"/>
              </w:rPr>
              <w:t>.419</w:t>
            </w:r>
          </w:p>
        </w:tc>
        <w:tc>
          <w:tcPr>
            <w:tcW w:w="746" w:type="pct"/>
            <w:vAlign w:val="center"/>
          </w:tcPr>
          <w:p w14:paraId="05A56E9C" w14:textId="77777777" w:rsidR="00033025" w:rsidRPr="00033025" w:rsidRDefault="00033025" w:rsidP="00033025">
            <w:pPr>
              <w:rPr>
                <w:rFonts w:ascii="Arial" w:hAnsi="Arial"/>
                <w:lang w:val="en-IN"/>
              </w:rPr>
            </w:pPr>
            <w:r w:rsidRPr="00033025">
              <w:rPr>
                <w:rFonts w:ascii="Arial" w:hAnsi="Arial"/>
                <w:lang w:val="en-IN"/>
              </w:rPr>
              <w:t>-.237</w:t>
            </w:r>
          </w:p>
        </w:tc>
        <w:tc>
          <w:tcPr>
            <w:tcW w:w="693" w:type="pct"/>
            <w:vAlign w:val="center"/>
          </w:tcPr>
          <w:p w14:paraId="3691031B" w14:textId="77777777" w:rsidR="00033025" w:rsidRPr="00033025" w:rsidRDefault="00033025" w:rsidP="00033025">
            <w:pPr>
              <w:rPr>
                <w:rFonts w:ascii="Arial" w:hAnsi="Arial"/>
                <w:lang w:val="en-IN"/>
              </w:rPr>
            </w:pPr>
            <w:r w:rsidRPr="00033025">
              <w:rPr>
                <w:rFonts w:ascii="Arial" w:hAnsi="Arial"/>
                <w:lang w:val="en-IN"/>
              </w:rPr>
              <w:t>.777</w:t>
            </w:r>
          </w:p>
        </w:tc>
      </w:tr>
      <w:tr w:rsidR="00033025" w:rsidRPr="00033025" w14:paraId="263CAB5C" w14:textId="77777777" w:rsidTr="00033025">
        <w:trPr>
          <w:cantSplit/>
        </w:trPr>
        <w:tc>
          <w:tcPr>
            <w:tcW w:w="5000" w:type="pct"/>
            <w:gridSpan w:val="8"/>
            <w:vAlign w:val="center"/>
          </w:tcPr>
          <w:p w14:paraId="14B2B0FE" w14:textId="77777777" w:rsidR="00033025" w:rsidRPr="00033025" w:rsidRDefault="00033025" w:rsidP="00033025">
            <w:pPr>
              <w:rPr>
                <w:rFonts w:ascii="Arial" w:hAnsi="Arial"/>
                <w:lang w:val="en-IN"/>
              </w:rPr>
            </w:pPr>
            <w:r w:rsidRPr="00033025">
              <w:rPr>
                <w:rFonts w:ascii="Arial" w:hAnsi="Arial"/>
                <w:lang w:val="en-IN"/>
              </w:rPr>
              <w:t>*. The mean difference is significant at the 0.05 level.</w:t>
            </w:r>
          </w:p>
        </w:tc>
      </w:tr>
    </w:tbl>
    <w:p w14:paraId="0086ACE9" w14:textId="77777777" w:rsidR="00033025" w:rsidRDefault="00033025" w:rsidP="00033025">
      <w:pPr>
        <w:rPr>
          <w:rFonts w:ascii="Arial" w:hAnsi="Arial"/>
        </w:rPr>
        <w:sectPr w:rsidR="00033025" w:rsidSect="00BA7084">
          <w:pgSz w:w="15840" w:h="12240" w:orient="landscape"/>
          <w:pgMar w:top="2016" w:right="1440" w:bottom="2016" w:left="2016" w:header="720" w:footer="1123" w:gutter="0"/>
          <w:cols w:space="720"/>
          <w:docGrid w:linePitch="272"/>
        </w:sectPr>
      </w:pPr>
    </w:p>
    <w:p w14:paraId="49A41ADF" w14:textId="77777777" w:rsidR="00E053D0" w:rsidRDefault="00E053D0" w:rsidP="00441B6F">
      <w:pPr>
        <w:pStyle w:val="Body"/>
        <w:spacing w:after="0"/>
        <w:rPr>
          <w:rFonts w:ascii="Arial" w:hAnsi="Arial" w:cs="Arial"/>
        </w:rPr>
      </w:pPr>
    </w:p>
    <w:p w14:paraId="482FC9FB" w14:textId="61E95809" w:rsidR="00F17103" w:rsidRDefault="00F17103" w:rsidP="00F17103">
      <w:pPr>
        <w:pStyle w:val="Heading3"/>
        <w:rPr>
          <w:rFonts w:ascii="Arial" w:hAnsi="Arial" w:cs="Arial"/>
          <w:color w:val="000000" w:themeColor="text1"/>
          <w:sz w:val="22"/>
          <w:szCs w:val="22"/>
        </w:rPr>
      </w:pPr>
      <w:r>
        <w:rPr>
          <w:rFonts w:ascii="Arial" w:hAnsi="Arial" w:cs="Arial"/>
          <w:color w:val="000000" w:themeColor="text1"/>
          <w:sz w:val="22"/>
          <w:szCs w:val="22"/>
        </w:rPr>
        <w:t>4. DISCUSSION</w:t>
      </w:r>
    </w:p>
    <w:p w14:paraId="1DE128DD" w14:textId="77777777" w:rsidR="00F17103" w:rsidRPr="00F17103" w:rsidRDefault="00F17103" w:rsidP="00F17103"/>
    <w:p w14:paraId="53105690" w14:textId="77777777" w:rsidR="0024529C" w:rsidRPr="0024529C" w:rsidRDefault="0024529C" w:rsidP="0024529C">
      <w:pPr>
        <w:spacing w:before="100" w:beforeAutospacing="1" w:after="100" w:afterAutospacing="1"/>
        <w:rPr>
          <w:rFonts w:ascii="Arial" w:hAnsi="Arial" w:cs="Arial"/>
          <w:lang w:val="en-IN" w:eastAsia="en-IN"/>
        </w:rPr>
      </w:pPr>
      <w:r w:rsidRPr="0024529C">
        <w:rPr>
          <w:rFonts w:ascii="Arial" w:hAnsi="Arial" w:cs="Arial"/>
          <w:lang w:val="en-IN" w:eastAsia="en-IN"/>
        </w:rPr>
        <w:t>The study demonstrates that residential context significantly shapes consumer priorities for urban agriculture products. Gated community residents tend to value premium features, modularity, and eco-friendly components, reflecting higher disposable income and a preference for customizable solutions. In contrast, apartment residents prioritize ease of use, low maintenance, and convenience, likely due to space constraints and time limitations. Independent house residents show moderate interest in both dimensions, bridging the preferences observed in other residential types.</w:t>
      </w:r>
    </w:p>
    <w:p w14:paraId="34D5B093" w14:textId="1007FFB2" w:rsidR="0024529C" w:rsidRPr="0024529C" w:rsidRDefault="00B548FC" w:rsidP="0024529C">
      <w:pPr>
        <w:spacing w:before="100" w:beforeAutospacing="1" w:after="100" w:afterAutospacing="1"/>
        <w:rPr>
          <w:rFonts w:ascii="Arial" w:hAnsi="Arial" w:cs="Arial"/>
          <w:lang w:val="en-IN" w:eastAsia="en-IN"/>
        </w:rPr>
      </w:pPr>
      <w:r>
        <w:t>These patterns suggest that consumer preferences in urban agriculture are influenced by housing type and lifestyle factors.</w:t>
      </w:r>
      <w:r w:rsidRPr="0024529C">
        <w:rPr>
          <w:rFonts w:ascii="Arial" w:hAnsi="Arial" w:cs="Arial"/>
          <w:lang w:val="en-IN" w:eastAsia="en-IN"/>
        </w:rPr>
        <w:t xml:space="preserve"> </w:t>
      </w:r>
      <w:r w:rsidR="0024529C" w:rsidRPr="0024529C">
        <w:rPr>
          <w:rFonts w:ascii="Arial" w:hAnsi="Arial" w:cs="Arial"/>
          <w:lang w:val="en-IN" w:eastAsia="en-IN"/>
        </w:rPr>
        <w:t xml:space="preserve">The findings suggest opportunities for service providers to develop </w:t>
      </w:r>
      <w:r w:rsidR="0024529C" w:rsidRPr="0024529C">
        <w:rPr>
          <w:rFonts w:ascii="Arial" w:hAnsi="Arial" w:cs="Arial"/>
          <w:bCs/>
          <w:lang w:val="en-IN" w:eastAsia="en-IN"/>
        </w:rPr>
        <w:t>compact, user-friendly kits</w:t>
      </w:r>
      <w:r w:rsidR="0024529C" w:rsidRPr="0024529C">
        <w:rPr>
          <w:rFonts w:ascii="Arial" w:hAnsi="Arial" w:cs="Arial"/>
          <w:lang w:val="en-IN" w:eastAsia="en-IN"/>
        </w:rPr>
        <w:t xml:space="preserve"> for apartment dwellers, while offering </w:t>
      </w:r>
      <w:r w:rsidR="0024529C" w:rsidRPr="0024529C">
        <w:rPr>
          <w:rFonts w:ascii="Arial" w:hAnsi="Arial" w:cs="Arial"/>
          <w:bCs/>
          <w:lang w:val="en-IN" w:eastAsia="en-IN"/>
        </w:rPr>
        <w:t>premium, feature-rich products</w:t>
      </w:r>
      <w:r w:rsidR="0024529C" w:rsidRPr="0024529C">
        <w:rPr>
          <w:rFonts w:ascii="Arial" w:hAnsi="Arial" w:cs="Arial"/>
          <w:lang w:val="en-IN" w:eastAsia="en-IN"/>
        </w:rPr>
        <w:t xml:space="preserve"> for gated community households. Residentially targeted marketing and product design strategies can ensure that offerings meet diverse consumer needs, fostering greater adoption and satisfaction.</w:t>
      </w:r>
    </w:p>
    <w:p w14:paraId="6B8EF845" w14:textId="77777777" w:rsidR="00F17103" w:rsidRPr="0024529C" w:rsidRDefault="00F17103" w:rsidP="00441B6F">
      <w:pPr>
        <w:pStyle w:val="ConcHead"/>
        <w:spacing w:after="0"/>
        <w:jc w:val="both"/>
        <w:rPr>
          <w:rFonts w:ascii="Arial" w:hAnsi="Arial" w:cs="Arial"/>
          <w:sz w:val="20"/>
        </w:rPr>
      </w:pPr>
    </w:p>
    <w:p w14:paraId="37A7A7A4" w14:textId="77777777" w:rsidR="00B01FCD" w:rsidRDefault="00F36C1A" w:rsidP="00441B6F">
      <w:pPr>
        <w:pStyle w:val="ConcHead"/>
        <w:spacing w:after="0"/>
        <w:jc w:val="both"/>
        <w:rPr>
          <w:rFonts w:ascii="Arial" w:hAnsi="Arial" w:cs="Arial"/>
        </w:rPr>
      </w:pPr>
      <w:r>
        <w:rPr>
          <w:rFonts w:ascii="Arial" w:hAnsi="Arial" w:cs="Arial"/>
        </w:rPr>
        <w:t xml:space="preserve">4. </w:t>
      </w:r>
      <w:r w:rsidR="00295C49">
        <w:rPr>
          <w:rFonts w:ascii="Arial" w:hAnsi="Arial" w:cs="Arial"/>
        </w:rPr>
        <w:t>Conclusion</w:t>
      </w:r>
    </w:p>
    <w:p w14:paraId="5B81E6DF" w14:textId="5D7183DE" w:rsidR="0024529C" w:rsidRPr="0024529C" w:rsidRDefault="0024529C" w:rsidP="0024529C">
      <w:pPr>
        <w:pStyle w:val="Body"/>
        <w:rPr>
          <w:rFonts w:ascii="Arial" w:hAnsi="Arial" w:cs="Arial"/>
          <w:lang w:val="en-IN"/>
        </w:rPr>
      </w:pPr>
      <w:r w:rsidRPr="0024529C">
        <w:rPr>
          <w:rFonts w:ascii="Arial" w:hAnsi="Arial" w:cs="Arial"/>
          <w:lang w:val="en-IN"/>
        </w:rPr>
        <w:t xml:space="preserve">This study underscores the role of residential context in shaping consumer preferences for urban agriculture products in Hyderabad. The findings provide actionable insights for service providers: product design and marketing strategies should be tailored to housing types, balancing functionality, sustainability, and ease of use. By aligning offerings with the specific needs of urban households, providers can enhance engagement, adoption, and satisfaction with urban agriculture initiatives. Overall, the study contributes to understanding consumer </w:t>
      </w:r>
      <w:proofErr w:type="spellStart"/>
      <w:r w:rsidRPr="0024529C">
        <w:rPr>
          <w:rFonts w:ascii="Arial" w:hAnsi="Arial" w:cs="Arial"/>
          <w:lang w:val="en-IN"/>
        </w:rPr>
        <w:t>behavior</w:t>
      </w:r>
      <w:proofErr w:type="spellEnd"/>
      <w:r w:rsidRPr="0024529C">
        <w:rPr>
          <w:rFonts w:ascii="Arial" w:hAnsi="Arial" w:cs="Arial"/>
          <w:lang w:val="en-IN"/>
        </w:rPr>
        <w:t xml:space="preserve"> in urban agriculture and supports the development of targeted interventions to promote sustainable food practices in urban settings.</w:t>
      </w:r>
    </w:p>
    <w:p w14:paraId="3566ADB5" w14:textId="77777777" w:rsidR="00176937" w:rsidRDefault="00176937" w:rsidP="00176937">
      <w:pPr>
        <w:rPr>
          <w:rFonts w:ascii="Calibri" w:eastAsia="Calibri" w:hAnsi="Calibri"/>
          <w:kern w:val="2"/>
          <w:highlight w:val="yellow"/>
        </w:rPr>
      </w:pPr>
      <w:bookmarkStart w:id="0" w:name="_Hlk204003461"/>
      <w:r>
        <w:rPr>
          <w:rFonts w:ascii="Calibri" w:eastAsia="Calibri" w:hAnsi="Calibri"/>
          <w:kern w:val="2"/>
          <w:highlight w:val="yellow"/>
        </w:rPr>
        <w:t>Disclaimer (Artificial intelligence)</w:t>
      </w:r>
    </w:p>
    <w:p w14:paraId="0D182B89" w14:textId="0F4FEB91" w:rsidR="00315186" w:rsidRPr="00315186" w:rsidRDefault="00B548FC" w:rsidP="00441B6F">
      <w:bookmarkStart w:id="1" w:name="_GoBack"/>
      <w:bookmarkEnd w:id="0"/>
      <w:bookmarkEnd w:id="1"/>
      <w:r w:rsidRPr="00B548FC">
        <w:t>The author(s) hereby declare that NO generative AI technologies, such as Large Language Models (</w:t>
      </w:r>
      <w:proofErr w:type="spellStart"/>
      <w:r w:rsidRPr="00B548FC">
        <w:t>ChatGPT</w:t>
      </w:r>
      <w:proofErr w:type="spellEnd"/>
      <w:r w:rsidRPr="00B548FC">
        <w:t>, Copilot, etc.) or text-to-image generators, have been used during the writing or editing of this manuscript.</w:t>
      </w:r>
    </w:p>
    <w:p w14:paraId="4B6EC564" w14:textId="77777777" w:rsidR="00371FB6" w:rsidRDefault="00371FB6" w:rsidP="00441B6F">
      <w:pPr>
        <w:pStyle w:val="ReferHead"/>
        <w:spacing w:after="0"/>
        <w:jc w:val="both"/>
        <w:rPr>
          <w:rFonts w:ascii="Arial" w:hAnsi="Arial" w:cs="Arial"/>
          <w:b w:val="0"/>
          <w:caps w:val="0"/>
          <w:sz w:val="20"/>
        </w:rPr>
      </w:pPr>
    </w:p>
    <w:p w14:paraId="67A96E2F" w14:textId="77777777" w:rsidR="002B685A" w:rsidRDefault="002B685A" w:rsidP="00441B6F">
      <w:pPr>
        <w:pStyle w:val="ReferHead"/>
        <w:spacing w:after="0"/>
        <w:jc w:val="both"/>
        <w:rPr>
          <w:rFonts w:ascii="Arial" w:hAnsi="Arial" w:cs="Arial"/>
          <w:b w:val="0"/>
          <w:caps w:val="0"/>
          <w:sz w:val="20"/>
        </w:rPr>
      </w:pPr>
    </w:p>
    <w:p w14:paraId="69F4FB9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6645C4A" w14:textId="77777777" w:rsidR="00790ADA" w:rsidRPr="00FB3A86" w:rsidRDefault="00790ADA" w:rsidP="00441B6F">
      <w:pPr>
        <w:pStyle w:val="ReferHead"/>
        <w:spacing w:after="0"/>
        <w:jc w:val="both"/>
        <w:rPr>
          <w:rFonts w:ascii="Arial" w:hAnsi="Arial" w:cs="Arial"/>
        </w:rPr>
      </w:pPr>
    </w:p>
    <w:p w14:paraId="72099554" w14:textId="77777777" w:rsidR="00743000" w:rsidRPr="00743000" w:rsidRDefault="00743000" w:rsidP="001C6399">
      <w:pPr>
        <w:pStyle w:val="Body"/>
        <w:spacing w:before="240" w:after="0"/>
        <w:ind w:left="720" w:hanging="720"/>
        <w:rPr>
          <w:lang w:val="en-IN"/>
        </w:rPr>
      </w:pPr>
      <w:r w:rsidRPr="00743000">
        <w:rPr>
          <w:lang w:val="en-IN"/>
        </w:rPr>
        <w:t xml:space="preserve">Acumen Research and Consulting. (2023). </w:t>
      </w:r>
      <w:r w:rsidRPr="001C6399">
        <w:rPr>
          <w:iCs/>
          <w:lang w:val="en-IN"/>
        </w:rPr>
        <w:t>Urban Farming Market Size – Global Industry, Share, Analysis, Trends and Forecast 2023–2032.</w:t>
      </w:r>
      <w:r w:rsidRPr="001C6399">
        <w:rPr>
          <w:lang w:val="en-IN"/>
        </w:rPr>
        <w:t xml:space="preserve"> </w:t>
      </w:r>
      <w:r w:rsidRPr="00743000">
        <w:rPr>
          <w:lang w:val="en-IN"/>
        </w:rPr>
        <w:t xml:space="preserve">Accessed from </w:t>
      </w:r>
      <w:hyperlink r:id="rId18" w:tgtFrame="_new" w:history="1">
        <w:r w:rsidRPr="00743000">
          <w:rPr>
            <w:rStyle w:val="Hyperlink"/>
            <w:lang w:val="en-IN"/>
          </w:rPr>
          <w:t>https://www.acumenresearchandconsulting.com/urban-farming-market</w:t>
        </w:r>
      </w:hyperlink>
    </w:p>
    <w:p w14:paraId="74B2B6BE" w14:textId="77777777" w:rsidR="00743000" w:rsidRPr="00743000" w:rsidRDefault="00743000" w:rsidP="001C6399">
      <w:pPr>
        <w:pStyle w:val="Body"/>
        <w:spacing w:before="240" w:after="0"/>
        <w:ind w:left="720" w:hanging="720"/>
        <w:rPr>
          <w:lang w:val="en-IN"/>
        </w:rPr>
      </w:pPr>
      <w:r w:rsidRPr="00743000">
        <w:rPr>
          <w:lang w:val="en-IN"/>
        </w:rPr>
        <w:t xml:space="preserve">Ammann, J., Arbenz, A., Mack, G., &amp; Siegrist, M. (2025). Consumer support of policy measures to increase sustainability in food consumption. </w:t>
      </w:r>
      <w:r w:rsidRPr="00743000">
        <w:rPr>
          <w:i/>
          <w:iCs/>
          <w:lang w:val="en-IN"/>
        </w:rPr>
        <w:t>Food Policy, 131,</w:t>
      </w:r>
      <w:r w:rsidRPr="00743000">
        <w:rPr>
          <w:lang w:val="en-IN"/>
        </w:rPr>
        <w:t xml:space="preserve"> 102822.</w:t>
      </w:r>
    </w:p>
    <w:p w14:paraId="07198133" w14:textId="77777777" w:rsidR="00743000" w:rsidRPr="00743000" w:rsidRDefault="00743000" w:rsidP="001C6399">
      <w:pPr>
        <w:pStyle w:val="Body"/>
        <w:spacing w:before="240" w:after="0"/>
        <w:ind w:left="720" w:hanging="720"/>
        <w:rPr>
          <w:lang w:val="en-IN"/>
        </w:rPr>
      </w:pPr>
      <w:r w:rsidRPr="00743000">
        <w:rPr>
          <w:lang w:val="en-IN"/>
        </w:rPr>
        <w:t xml:space="preserve">Bhat, C., &amp; </w:t>
      </w:r>
      <w:proofErr w:type="spellStart"/>
      <w:r w:rsidRPr="00743000">
        <w:rPr>
          <w:lang w:val="en-IN"/>
        </w:rPr>
        <w:t>Paschapur</w:t>
      </w:r>
      <w:proofErr w:type="spellEnd"/>
      <w:r w:rsidRPr="00743000">
        <w:rPr>
          <w:lang w:val="en-IN"/>
        </w:rPr>
        <w:t xml:space="preserve">, A. (2020). Urban agriculture: The saviour of rapid urbanization. </w:t>
      </w:r>
      <w:r w:rsidRPr="00743000">
        <w:rPr>
          <w:i/>
          <w:iCs/>
          <w:lang w:val="en-IN"/>
        </w:rPr>
        <w:t>Indian Farmer, 7</w:t>
      </w:r>
      <w:r w:rsidRPr="00743000">
        <w:rPr>
          <w:lang w:val="en-IN"/>
        </w:rPr>
        <w:t>(01), 01–09.</w:t>
      </w:r>
    </w:p>
    <w:p w14:paraId="787E43D6" w14:textId="77777777" w:rsidR="00743000" w:rsidRPr="00743000" w:rsidRDefault="00743000" w:rsidP="001C6399">
      <w:pPr>
        <w:pStyle w:val="Body"/>
        <w:spacing w:before="240" w:after="0"/>
        <w:ind w:left="720" w:hanging="720"/>
        <w:rPr>
          <w:lang w:val="en-IN"/>
        </w:rPr>
      </w:pPr>
      <w:r w:rsidRPr="00743000">
        <w:rPr>
          <w:lang w:val="en-IN"/>
        </w:rPr>
        <w:lastRenderedPageBreak/>
        <w:t xml:space="preserve">Down to Earth. (2022). Cultivated idea: Urban farming in India requires holistic policy support. Accessed from </w:t>
      </w:r>
      <w:hyperlink r:id="rId19" w:tgtFrame="_new" w:history="1">
        <w:r w:rsidRPr="00743000">
          <w:rPr>
            <w:rStyle w:val="Hyperlink"/>
            <w:lang w:val="en-IN"/>
          </w:rPr>
          <w:t>https://www.downtoearth.org.in/agriculture/cultivated-idea-urban-farming-in-india</w:t>
        </w:r>
      </w:hyperlink>
    </w:p>
    <w:p w14:paraId="1EFD5F6E" w14:textId="77777777" w:rsidR="00743000" w:rsidRPr="00743000" w:rsidRDefault="00743000" w:rsidP="001C6399">
      <w:pPr>
        <w:pStyle w:val="Body"/>
        <w:spacing w:before="240" w:after="0"/>
        <w:ind w:left="720" w:hanging="720"/>
        <w:rPr>
          <w:lang w:val="en-IN"/>
        </w:rPr>
      </w:pPr>
      <w:r w:rsidRPr="00743000">
        <w:rPr>
          <w:lang w:val="en-IN"/>
        </w:rPr>
        <w:t xml:space="preserve">Goldstein, B. P., </w:t>
      </w:r>
      <w:proofErr w:type="spellStart"/>
      <w:r w:rsidRPr="00743000">
        <w:rPr>
          <w:lang w:val="en-IN"/>
        </w:rPr>
        <w:t>Hauschild</w:t>
      </w:r>
      <w:proofErr w:type="spellEnd"/>
      <w:r w:rsidRPr="00743000">
        <w:rPr>
          <w:lang w:val="en-IN"/>
        </w:rPr>
        <w:t xml:space="preserve">, M. Z., Fernandez, J., &amp; </w:t>
      </w:r>
      <w:proofErr w:type="spellStart"/>
      <w:r w:rsidRPr="00743000">
        <w:rPr>
          <w:lang w:val="en-IN"/>
        </w:rPr>
        <w:t>Birkved</w:t>
      </w:r>
      <w:proofErr w:type="spellEnd"/>
      <w:r w:rsidRPr="00743000">
        <w:rPr>
          <w:lang w:val="en-IN"/>
        </w:rPr>
        <w:t xml:space="preserve">, M. (2016). Testing the environmental performance of urban agriculture as a food supply in northern climates. </w:t>
      </w:r>
      <w:r w:rsidRPr="00743000">
        <w:rPr>
          <w:i/>
          <w:iCs/>
          <w:lang w:val="en-IN"/>
        </w:rPr>
        <w:t>Journal of Cleaner Production, 135,</w:t>
      </w:r>
      <w:r w:rsidRPr="00743000">
        <w:rPr>
          <w:lang w:val="en-IN"/>
        </w:rPr>
        <w:t xml:space="preserve"> 984–994.</w:t>
      </w:r>
    </w:p>
    <w:p w14:paraId="7942CE02" w14:textId="77777777" w:rsidR="00743000" w:rsidRPr="00743000" w:rsidRDefault="00743000" w:rsidP="001C6399">
      <w:pPr>
        <w:pStyle w:val="Body"/>
        <w:spacing w:before="240" w:after="0"/>
        <w:ind w:left="720" w:hanging="720"/>
        <w:rPr>
          <w:lang w:val="en-IN"/>
        </w:rPr>
      </w:pPr>
      <w:proofErr w:type="spellStart"/>
      <w:r w:rsidRPr="00743000">
        <w:rPr>
          <w:lang w:val="en-IN"/>
        </w:rPr>
        <w:t>Grebitus</w:t>
      </w:r>
      <w:proofErr w:type="spellEnd"/>
      <w:r w:rsidRPr="00743000">
        <w:rPr>
          <w:lang w:val="en-IN"/>
        </w:rPr>
        <w:t xml:space="preserve">, C., </w:t>
      </w:r>
      <w:proofErr w:type="spellStart"/>
      <w:r w:rsidRPr="00743000">
        <w:rPr>
          <w:lang w:val="en-IN"/>
        </w:rPr>
        <w:t>Chenarides</w:t>
      </w:r>
      <w:proofErr w:type="spellEnd"/>
      <w:r w:rsidRPr="00743000">
        <w:rPr>
          <w:lang w:val="en-IN"/>
        </w:rPr>
        <w:t xml:space="preserve">, L., </w:t>
      </w:r>
      <w:proofErr w:type="spellStart"/>
      <w:r w:rsidRPr="00743000">
        <w:rPr>
          <w:lang w:val="en-IN"/>
        </w:rPr>
        <w:t>Muenich</w:t>
      </w:r>
      <w:proofErr w:type="spellEnd"/>
      <w:r w:rsidRPr="00743000">
        <w:rPr>
          <w:lang w:val="en-IN"/>
        </w:rPr>
        <w:t xml:space="preserve">, R., &amp; </w:t>
      </w:r>
      <w:proofErr w:type="spellStart"/>
      <w:r w:rsidRPr="00743000">
        <w:rPr>
          <w:lang w:val="en-IN"/>
        </w:rPr>
        <w:t>Mahalov</w:t>
      </w:r>
      <w:proofErr w:type="spellEnd"/>
      <w:r w:rsidRPr="00743000">
        <w:rPr>
          <w:lang w:val="en-IN"/>
        </w:rPr>
        <w:t xml:space="preserve">, A. (2020). Consumers' perception of urban farming—An exploratory study. </w:t>
      </w:r>
      <w:r w:rsidRPr="00743000">
        <w:rPr>
          <w:i/>
          <w:iCs/>
          <w:lang w:val="en-IN"/>
        </w:rPr>
        <w:t>Frontiers in Sustainable Food Systems, 4,</w:t>
      </w:r>
      <w:r w:rsidRPr="00743000">
        <w:rPr>
          <w:lang w:val="en-IN"/>
        </w:rPr>
        <w:t xml:space="preserve"> 79.</w:t>
      </w:r>
    </w:p>
    <w:p w14:paraId="12E614C5" w14:textId="77777777" w:rsidR="00743000" w:rsidRPr="00743000" w:rsidRDefault="00743000" w:rsidP="001C6399">
      <w:pPr>
        <w:pStyle w:val="Body"/>
        <w:spacing w:before="240" w:after="0"/>
        <w:ind w:left="720" w:hanging="720"/>
        <w:rPr>
          <w:lang w:val="en-IN"/>
        </w:rPr>
      </w:pPr>
      <w:proofErr w:type="spellStart"/>
      <w:r w:rsidRPr="00743000">
        <w:rPr>
          <w:lang w:val="en-IN"/>
        </w:rPr>
        <w:t>Izawati</w:t>
      </w:r>
      <w:proofErr w:type="spellEnd"/>
      <w:r w:rsidRPr="00743000">
        <w:rPr>
          <w:lang w:val="en-IN"/>
        </w:rPr>
        <w:t xml:space="preserve"> </w:t>
      </w:r>
      <w:proofErr w:type="spellStart"/>
      <w:r w:rsidRPr="00743000">
        <w:rPr>
          <w:lang w:val="en-IN"/>
        </w:rPr>
        <w:t>Tukiman</w:t>
      </w:r>
      <w:proofErr w:type="spellEnd"/>
      <w:r w:rsidRPr="00743000">
        <w:rPr>
          <w:lang w:val="en-IN"/>
        </w:rPr>
        <w:t xml:space="preserve">, M. R. M. Hussain, &amp; N. H. </w:t>
      </w:r>
      <w:proofErr w:type="spellStart"/>
      <w:r w:rsidRPr="00743000">
        <w:rPr>
          <w:lang w:val="en-IN"/>
        </w:rPr>
        <w:t>Yusoff</w:t>
      </w:r>
      <w:proofErr w:type="spellEnd"/>
      <w:r w:rsidRPr="00743000">
        <w:rPr>
          <w:lang w:val="en-IN"/>
        </w:rPr>
        <w:t xml:space="preserve">. (2017). Urban farming and its importance for environmental sustainability. </w:t>
      </w:r>
      <w:r w:rsidRPr="00743000">
        <w:rPr>
          <w:i/>
          <w:iCs/>
          <w:lang w:val="en-IN"/>
        </w:rPr>
        <w:t>International Journal of Advances in Science, Engineering and Technology (IJASEAT), 5</w:t>
      </w:r>
      <w:r w:rsidRPr="00743000">
        <w:rPr>
          <w:lang w:val="en-IN"/>
        </w:rPr>
        <w:t>(4), 1–4.</w:t>
      </w:r>
    </w:p>
    <w:p w14:paraId="1FB78E94" w14:textId="77777777" w:rsidR="00743000" w:rsidRPr="00743000" w:rsidRDefault="00743000" w:rsidP="001C6399">
      <w:pPr>
        <w:pStyle w:val="Body"/>
        <w:spacing w:before="240" w:after="0"/>
        <w:ind w:left="720" w:hanging="720"/>
        <w:rPr>
          <w:lang w:val="en-IN"/>
        </w:rPr>
      </w:pPr>
      <w:r w:rsidRPr="00743000">
        <w:rPr>
          <w:lang w:val="en-IN"/>
        </w:rPr>
        <w:t xml:space="preserve">Joshi, N. R., Sebastian, R., &amp; </w:t>
      </w:r>
      <w:proofErr w:type="spellStart"/>
      <w:r w:rsidRPr="00743000">
        <w:rPr>
          <w:lang w:val="en-IN"/>
        </w:rPr>
        <w:t>Gopani</w:t>
      </w:r>
      <w:proofErr w:type="spellEnd"/>
      <w:r w:rsidRPr="00743000">
        <w:rPr>
          <w:lang w:val="en-IN"/>
        </w:rPr>
        <w:t xml:space="preserve">, V. (2023). Awareness &amp; adoption of terrace/balcony gardening during COVID-19 pandemic in India. </w:t>
      </w:r>
      <w:r w:rsidRPr="00743000">
        <w:rPr>
          <w:i/>
          <w:iCs/>
          <w:lang w:val="en-IN"/>
        </w:rPr>
        <w:t>International Journal of Biology, Pharmacy and Allied Sciences (IJBPAS), 12</w:t>
      </w:r>
      <w:r w:rsidRPr="00743000">
        <w:rPr>
          <w:lang w:val="en-IN"/>
        </w:rPr>
        <w:t>(5), 2193–2204.</w:t>
      </w:r>
    </w:p>
    <w:p w14:paraId="02C8A3EE" w14:textId="77777777" w:rsidR="00743000" w:rsidRPr="00743000" w:rsidRDefault="00743000" w:rsidP="001C6399">
      <w:pPr>
        <w:pStyle w:val="Body"/>
        <w:spacing w:before="240" w:after="0"/>
        <w:ind w:left="720" w:hanging="720"/>
        <w:rPr>
          <w:lang w:val="en-IN"/>
        </w:rPr>
      </w:pPr>
      <w:r w:rsidRPr="00743000">
        <w:rPr>
          <w:lang w:val="en-IN"/>
        </w:rPr>
        <w:t xml:space="preserve">Krishi Jagran. (2023). India's first urban farming centre inaugurated on rooftop of Hyderabad's CDMA. Accessed from </w:t>
      </w:r>
      <w:hyperlink r:id="rId20" w:tgtFrame="_new" w:history="1">
        <w:r w:rsidRPr="00743000">
          <w:rPr>
            <w:rStyle w:val="Hyperlink"/>
            <w:lang w:val="en-IN"/>
          </w:rPr>
          <w:t>https://krishijagran.com/news</w:t>
        </w:r>
      </w:hyperlink>
    </w:p>
    <w:p w14:paraId="66459443" w14:textId="77777777" w:rsidR="00743000" w:rsidRPr="00743000" w:rsidRDefault="00743000" w:rsidP="001C6399">
      <w:pPr>
        <w:pStyle w:val="Body"/>
        <w:spacing w:before="240" w:after="0"/>
        <w:ind w:left="720" w:hanging="720"/>
        <w:rPr>
          <w:lang w:val="en-IN"/>
        </w:rPr>
      </w:pPr>
      <w:proofErr w:type="spellStart"/>
      <w:r w:rsidRPr="00743000">
        <w:rPr>
          <w:lang w:val="en-IN"/>
        </w:rPr>
        <w:t>Mladenović</w:t>
      </w:r>
      <w:proofErr w:type="spellEnd"/>
      <w:r w:rsidRPr="00743000">
        <w:rPr>
          <w:lang w:val="en-IN"/>
        </w:rPr>
        <w:t xml:space="preserve">, E., </w:t>
      </w:r>
      <w:proofErr w:type="spellStart"/>
      <w:r w:rsidRPr="00743000">
        <w:rPr>
          <w:lang w:val="en-IN"/>
        </w:rPr>
        <w:t>Lakićević</w:t>
      </w:r>
      <w:proofErr w:type="spellEnd"/>
      <w:r w:rsidRPr="00743000">
        <w:rPr>
          <w:lang w:val="en-IN"/>
        </w:rPr>
        <w:t xml:space="preserve">, M., Pavlović, L., </w:t>
      </w:r>
      <w:proofErr w:type="spellStart"/>
      <w:r w:rsidRPr="00743000">
        <w:rPr>
          <w:lang w:val="en-IN"/>
        </w:rPr>
        <w:t>Hiel</w:t>
      </w:r>
      <w:proofErr w:type="spellEnd"/>
      <w:r w:rsidRPr="00743000">
        <w:rPr>
          <w:lang w:val="en-IN"/>
        </w:rPr>
        <w:t xml:space="preserve">, K., &amp; </w:t>
      </w:r>
      <w:proofErr w:type="spellStart"/>
      <w:r w:rsidRPr="00743000">
        <w:rPr>
          <w:lang w:val="en-IN"/>
        </w:rPr>
        <w:t>Padejčev</w:t>
      </w:r>
      <w:proofErr w:type="spellEnd"/>
      <w:r w:rsidRPr="00743000">
        <w:rPr>
          <w:lang w:val="en-IN"/>
        </w:rPr>
        <w:t xml:space="preserve">, J. (2017). Opportunities and benefits of green balconies and terraces in urban conditions. </w:t>
      </w:r>
      <w:r w:rsidRPr="00743000">
        <w:rPr>
          <w:i/>
          <w:iCs/>
          <w:lang w:val="en-IN"/>
        </w:rPr>
        <w:t>The Serbian Journal of Agricultural Sciences, Contemporary Agriculture, 66,</w:t>
      </w:r>
      <w:r w:rsidRPr="00743000">
        <w:rPr>
          <w:lang w:val="en-IN"/>
        </w:rPr>
        <w:t xml:space="preserve"> 38–45.</w:t>
      </w:r>
    </w:p>
    <w:p w14:paraId="1655AE07" w14:textId="77777777" w:rsidR="00743000" w:rsidRPr="00743000" w:rsidRDefault="00743000" w:rsidP="001C6399">
      <w:pPr>
        <w:pStyle w:val="Body"/>
        <w:spacing w:before="240" w:after="0"/>
        <w:ind w:left="720" w:hanging="720"/>
        <w:rPr>
          <w:lang w:val="en-IN"/>
        </w:rPr>
      </w:pPr>
      <w:r w:rsidRPr="00743000">
        <w:rPr>
          <w:lang w:val="en-IN"/>
        </w:rPr>
        <w:t xml:space="preserve">Observer Research Foundation. (2023). Optimising urban agriculture: A pathway to food security in India. Accessed from </w:t>
      </w:r>
      <w:hyperlink r:id="rId21" w:tgtFrame="_new" w:history="1">
        <w:r w:rsidRPr="00743000">
          <w:rPr>
            <w:rStyle w:val="Hyperlink"/>
            <w:lang w:val="en-IN"/>
          </w:rPr>
          <w:t>https://www.orfonline.org/research/</w:t>
        </w:r>
      </w:hyperlink>
    </w:p>
    <w:p w14:paraId="70020B4C" w14:textId="77777777" w:rsidR="00743000" w:rsidRPr="00743000" w:rsidRDefault="00743000" w:rsidP="001C6399">
      <w:pPr>
        <w:pStyle w:val="Body"/>
        <w:spacing w:before="240" w:after="0"/>
        <w:ind w:left="720" w:hanging="720"/>
        <w:rPr>
          <w:lang w:val="en-IN"/>
        </w:rPr>
      </w:pPr>
      <w:r w:rsidRPr="00743000">
        <w:rPr>
          <w:lang w:val="en-IN"/>
        </w:rPr>
        <w:t xml:space="preserve">O'Sullivan, C. A., </w:t>
      </w:r>
      <w:proofErr w:type="spellStart"/>
      <w:r w:rsidRPr="00743000">
        <w:rPr>
          <w:lang w:val="en-IN"/>
        </w:rPr>
        <w:t>Bonnett</w:t>
      </w:r>
      <w:proofErr w:type="spellEnd"/>
      <w:r w:rsidRPr="00743000">
        <w:rPr>
          <w:lang w:val="en-IN"/>
        </w:rPr>
        <w:t xml:space="preserve">, G. D., McIntyre, C. L., Hochman, Z., &amp; Wasson, A. P. (2019). Strategies to improve the productivity, product diversity and profitability of urban agriculture. </w:t>
      </w:r>
      <w:r w:rsidRPr="00743000">
        <w:rPr>
          <w:i/>
          <w:iCs/>
          <w:lang w:val="en-IN"/>
        </w:rPr>
        <w:t>Agricultural Systems, 174,</w:t>
      </w:r>
      <w:r w:rsidRPr="00743000">
        <w:rPr>
          <w:lang w:val="en-IN"/>
        </w:rPr>
        <w:t xml:space="preserve"> 133–144.</w:t>
      </w:r>
    </w:p>
    <w:p w14:paraId="19784AC3" w14:textId="77777777" w:rsidR="00743000" w:rsidRPr="00743000" w:rsidRDefault="00743000" w:rsidP="001C6399">
      <w:pPr>
        <w:pStyle w:val="Body"/>
        <w:spacing w:before="240" w:after="0"/>
        <w:ind w:left="720" w:hanging="720"/>
        <w:rPr>
          <w:lang w:val="en-IN"/>
        </w:rPr>
      </w:pPr>
      <w:r w:rsidRPr="00743000">
        <w:rPr>
          <w:lang w:val="en-IN"/>
        </w:rPr>
        <w:t xml:space="preserve">People’s Resource Centre. (2024). </w:t>
      </w:r>
      <w:r w:rsidRPr="001C6399">
        <w:rPr>
          <w:iCs/>
          <w:lang w:val="en-IN"/>
        </w:rPr>
        <w:t>Urban agriculture in India: A report on policies, strategies and contemporary practices</w:t>
      </w:r>
      <w:r w:rsidRPr="00743000">
        <w:rPr>
          <w:i/>
          <w:iCs/>
          <w:lang w:val="en-IN"/>
        </w:rPr>
        <w:t>.</w:t>
      </w:r>
      <w:r w:rsidRPr="00743000">
        <w:rPr>
          <w:lang w:val="en-IN"/>
        </w:rPr>
        <w:t xml:space="preserve"> Accessed from </w:t>
      </w:r>
      <w:hyperlink r:id="rId22" w:tgtFrame="_new" w:history="1">
        <w:r w:rsidRPr="00743000">
          <w:rPr>
            <w:rStyle w:val="Hyperlink"/>
            <w:lang w:val="en-IN"/>
          </w:rPr>
          <w:t>https://prcindia.in/publications/urban-agriculture-in-india</w:t>
        </w:r>
      </w:hyperlink>
    </w:p>
    <w:p w14:paraId="36D8E0C0" w14:textId="77777777" w:rsidR="00743000" w:rsidRPr="00743000" w:rsidRDefault="00743000" w:rsidP="001C6399">
      <w:pPr>
        <w:pStyle w:val="Body"/>
        <w:spacing w:before="240" w:after="0"/>
        <w:ind w:left="720" w:hanging="720"/>
        <w:rPr>
          <w:lang w:val="en-IN"/>
        </w:rPr>
      </w:pPr>
      <w:proofErr w:type="spellStart"/>
      <w:r w:rsidRPr="00743000">
        <w:rPr>
          <w:lang w:val="en-IN"/>
        </w:rPr>
        <w:t>Ţălu</w:t>
      </w:r>
      <w:proofErr w:type="spellEnd"/>
      <w:r w:rsidRPr="00743000">
        <w:rPr>
          <w:lang w:val="en-IN"/>
        </w:rPr>
        <w:t xml:space="preserve">, Ş. (2024). Insights on hydroponic systems: Understanding consumer attitudes in the cultivation of hydroponically grown fruits and vegetables. </w:t>
      </w:r>
      <w:r w:rsidRPr="00743000">
        <w:rPr>
          <w:i/>
          <w:iCs/>
          <w:lang w:val="en-IN"/>
        </w:rPr>
        <w:t>HIDRAULICA, (1),</w:t>
      </w:r>
      <w:r w:rsidRPr="00743000">
        <w:rPr>
          <w:lang w:val="en-IN"/>
        </w:rPr>
        <w:t xml:space="preserve"> 56–67.</w:t>
      </w:r>
    </w:p>
    <w:p w14:paraId="3932EB49" w14:textId="77777777" w:rsidR="00743000" w:rsidRPr="00743000" w:rsidRDefault="00743000" w:rsidP="001C6399">
      <w:pPr>
        <w:pStyle w:val="Body"/>
        <w:spacing w:before="240" w:after="0"/>
        <w:ind w:left="720" w:hanging="720"/>
        <w:rPr>
          <w:lang w:val="en-IN"/>
        </w:rPr>
      </w:pPr>
      <w:r w:rsidRPr="00743000">
        <w:rPr>
          <w:lang w:val="en-IN"/>
        </w:rPr>
        <w:t xml:space="preserve">Telangana Horticulture Department. </w:t>
      </w:r>
      <w:r w:rsidRPr="00743000">
        <w:rPr>
          <w:i/>
          <w:iCs/>
          <w:lang w:val="en-IN"/>
        </w:rPr>
        <w:t>Urban Farming.</w:t>
      </w:r>
      <w:r w:rsidRPr="00743000">
        <w:rPr>
          <w:lang w:val="en-IN"/>
        </w:rPr>
        <w:t xml:space="preserve"> Government of Telangana. Accessed from </w:t>
      </w:r>
      <w:hyperlink r:id="rId23" w:tgtFrame="_new" w:history="1">
        <w:r w:rsidRPr="00743000">
          <w:rPr>
            <w:rStyle w:val="Hyperlink"/>
            <w:lang w:val="en-IN"/>
          </w:rPr>
          <w:t>https://horticulture.tg.nic.in/Ufarming/UFarming.html</w:t>
        </w:r>
      </w:hyperlink>
    </w:p>
    <w:p w14:paraId="71791892" w14:textId="77777777" w:rsidR="00743000" w:rsidRPr="00743000" w:rsidRDefault="00743000" w:rsidP="001C6399">
      <w:pPr>
        <w:pStyle w:val="Body"/>
        <w:spacing w:before="240" w:after="0"/>
        <w:ind w:left="720" w:hanging="720"/>
        <w:rPr>
          <w:lang w:val="en-IN"/>
        </w:rPr>
      </w:pPr>
      <w:r w:rsidRPr="00743000">
        <w:rPr>
          <w:lang w:val="en-IN"/>
        </w:rPr>
        <w:t xml:space="preserve">Teoh, S. H., Wong, G. R., &amp; Mazumdar, P. (2024). A review on urban farming: Potential, challenges and opportunities. </w:t>
      </w:r>
      <w:r w:rsidRPr="00743000">
        <w:rPr>
          <w:i/>
          <w:iCs/>
          <w:lang w:val="en-IN"/>
        </w:rPr>
        <w:t>Innovations in Agriculture, 7,</w:t>
      </w:r>
      <w:r w:rsidRPr="00743000">
        <w:rPr>
          <w:lang w:val="en-IN"/>
        </w:rPr>
        <w:t xml:space="preserve"> 1–11.</w:t>
      </w:r>
    </w:p>
    <w:p w14:paraId="4DB09D10" w14:textId="77777777" w:rsidR="00743000" w:rsidRPr="00743000" w:rsidRDefault="00743000" w:rsidP="001C6399">
      <w:pPr>
        <w:pStyle w:val="Body"/>
        <w:spacing w:before="240" w:after="0"/>
        <w:ind w:left="720" w:hanging="720"/>
        <w:rPr>
          <w:lang w:val="en-IN"/>
        </w:rPr>
      </w:pPr>
      <w:r w:rsidRPr="00743000">
        <w:rPr>
          <w:lang w:val="en-IN"/>
        </w:rPr>
        <w:t xml:space="preserve">The Business Research Company. (2025). </w:t>
      </w:r>
      <w:r w:rsidRPr="001C6399">
        <w:rPr>
          <w:iCs/>
          <w:lang w:val="en-IN"/>
        </w:rPr>
        <w:t>Urban Farming Global Market Report</w:t>
      </w:r>
      <w:r w:rsidRPr="00743000">
        <w:rPr>
          <w:i/>
          <w:iCs/>
          <w:lang w:val="en-IN"/>
        </w:rPr>
        <w:t>.</w:t>
      </w:r>
      <w:r w:rsidRPr="00743000">
        <w:rPr>
          <w:lang w:val="en-IN"/>
        </w:rPr>
        <w:t xml:space="preserve"> Accessed from </w:t>
      </w:r>
      <w:hyperlink r:id="rId24" w:tgtFrame="_new" w:history="1">
        <w:r w:rsidRPr="00743000">
          <w:rPr>
            <w:rStyle w:val="Hyperlink"/>
            <w:lang w:val="en-IN"/>
          </w:rPr>
          <w:t>https://www.thebusinessresearchcompany.com/</w:t>
        </w:r>
      </w:hyperlink>
    </w:p>
    <w:p w14:paraId="0B864A9A" w14:textId="77777777" w:rsidR="00743000" w:rsidRPr="00743000" w:rsidRDefault="00743000" w:rsidP="001C6399">
      <w:pPr>
        <w:pStyle w:val="Body"/>
        <w:spacing w:before="240" w:after="0"/>
        <w:ind w:left="720" w:hanging="720"/>
        <w:rPr>
          <w:lang w:val="en-IN"/>
        </w:rPr>
      </w:pPr>
      <w:r w:rsidRPr="00743000">
        <w:rPr>
          <w:lang w:val="en-IN"/>
        </w:rPr>
        <w:t xml:space="preserve">Tulane University School of Public Health and Tropical Medicine. (2024). Public health benefits of community gardens. Accessed from </w:t>
      </w:r>
      <w:hyperlink r:id="rId25" w:tgtFrame="_new" w:history="1">
        <w:r w:rsidRPr="00743000">
          <w:rPr>
            <w:rStyle w:val="Hyperlink"/>
            <w:lang w:val="en-IN"/>
          </w:rPr>
          <w:t>https://publichealth.tulane.edu/blog/benefits-of-community-gardens/</w:t>
        </w:r>
      </w:hyperlink>
    </w:p>
    <w:p w14:paraId="39E8BCFA" w14:textId="77777777" w:rsidR="00743000" w:rsidRPr="00743000" w:rsidRDefault="00743000" w:rsidP="001C6399">
      <w:pPr>
        <w:pStyle w:val="Body"/>
        <w:spacing w:before="240" w:after="0"/>
        <w:ind w:left="720" w:hanging="720"/>
        <w:rPr>
          <w:lang w:val="en-IN"/>
        </w:rPr>
      </w:pPr>
      <w:r w:rsidRPr="00743000">
        <w:rPr>
          <w:lang w:val="en-IN"/>
        </w:rPr>
        <w:lastRenderedPageBreak/>
        <w:t xml:space="preserve">United Nations, Department of Economic and Social Affairs. (2018). </w:t>
      </w:r>
      <w:r w:rsidRPr="001C6399">
        <w:rPr>
          <w:iCs/>
          <w:lang w:val="en-IN"/>
        </w:rPr>
        <w:t>World Urbanization Prospects: The 2018 Revision.</w:t>
      </w:r>
      <w:r w:rsidRPr="00743000">
        <w:rPr>
          <w:lang w:val="en-IN"/>
        </w:rPr>
        <w:t xml:space="preserve"> Accessed from </w:t>
      </w:r>
      <w:hyperlink r:id="rId26" w:tgtFrame="_new" w:history="1">
        <w:r w:rsidRPr="00743000">
          <w:rPr>
            <w:rStyle w:val="Hyperlink"/>
            <w:lang w:val="en-IN"/>
          </w:rPr>
          <w:t>https://www.un.org/en/desa/2018-revision-world-urbanization-prospects</w:t>
        </w:r>
      </w:hyperlink>
    </w:p>
    <w:p w14:paraId="2AF7D111" w14:textId="362BCA05" w:rsidR="00743000" w:rsidRPr="00743000" w:rsidRDefault="00743000" w:rsidP="001C6399">
      <w:pPr>
        <w:pStyle w:val="Body"/>
        <w:spacing w:before="240" w:after="0"/>
        <w:ind w:left="720" w:hanging="720"/>
        <w:rPr>
          <w:rStyle w:val="Hyperlink"/>
        </w:rPr>
      </w:pPr>
      <w:r w:rsidRPr="009A2743">
        <w:rPr>
          <w:i/>
          <w:iCs/>
        </w:rPr>
        <w:t xml:space="preserve"> </w:t>
      </w:r>
      <w:r w:rsidR="001C6399">
        <w:t xml:space="preserve">Vaishnavi, C., &amp; Prashanth, B. (2023). Cultivating the future: Exploring the prospects of urban farming in India. </w:t>
      </w:r>
      <w:r w:rsidR="001C6399">
        <w:rPr>
          <w:rStyle w:val="Emphasis"/>
        </w:rPr>
        <w:t>Just Agriculture</w:t>
      </w:r>
      <w:r w:rsidR="001C6399">
        <w:t xml:space="preserve">, 4(3), 6–11. Retrieved from </w:t>
      </w:r>
      <w:hyperlink r:id="rId27" w:tgtFrame="_new" w:history="1">
        <w:r w:rsidR="001C6399">
          <w:rPr>
            <w:rStyle w:val="Hyperlink"/>
          </w:rPr>
          <w:t>https://justagriculture.in/files/magazine/2023/november/001%20CULTIVATING%20THE%20FUTURE.pdf</w:t>
        </w:r>
      </w:hyperlink>
    </w:p>
    <w:p w14:paraId="001C4D06" w14:textId="77777777" w:rsidR="00743000" w:rsidRPr="00AB116A" w:rsidRDefault="00743000" w:rsidP="001C6399">
      <w:pPr>
        <w:spacing w:before="240"/>
        <w:ind w:left="720" w:hanging="720"/>
        <w:rPr>
          <w:rFonts w:eastAsiaTheme="majorEastAsia" w:cs="Helvetica"/>
          <w:color w:val="FF0080"/>
          <w:u w:val="single"/>
        </w:rPr>
      </w:pPr>
    </w:p>
    <w:p w14:paraId="1E847EEC" w14:textId="77777777" w:rsidR="009A2743" w:rsidRDefault="009A2743" w:rsidP="001C6399">
      <w:pPr>
        <w:pStyle w:val="Body"/>
        <w:spacing w:before="240" w:after="0"/>
      </w:pPr>
    </w:p>
    <w:p w14:paraId="7E3FCDD4" w14:textId="77777777" w:rsidR="009A2743" w:rsidRDefault="009A2743" w:rsidP="001C6399">
      <w:pPr>
        <w:pStyle w:val="Body"/>
        <w:spacing w:before="240" w:after="0"/>
      </w:pPr>
    </w:p>
    <w:p w14:paraId="70C82976" w14:textId="77777777" w:rsidR="009A2743" w:rsidRDefault="009A2743" w:rsidP="001C6399">
      <w:pPr>
        <w:pStyle w:val="Body"/>
        <w:spacing w:before="240"/>
      </w:pPr>
    </w:p>
    <w:p w14:paraId="49EB7FFD" w14:textId="77777777" w:rsidR="009A2743" w:rsidRDefault="009A2743" w:rsidP="001C6399">
      <w:pPr>
        <w:pStyle w:val="Body"/>
        <w:spacing w:before="240" w:after="0"/>
      </w:pPr>
    </w:p>
    <w:p w14:paraId="6A99EAF1" w14:textId="77777777" w:rsidR="009A2743" w:rsidRPr="009A2743" w:rsidRDefault="009A2743" w:rsidP="001C6399">
      <w:pPr>
        <w:pStyle w:val="Body"/>
        <w:spacing w:before="240"/>
      </w:pPr>
    </w:p>
    <w:p w14:paraId="2DD71E2E" w14:textId="77777777" w:rsidR="009A2743" w:rsidRPr="009A2743" w:rsidRDefault="009A2743" w:rsidP="009A2743">
      <w:pPr>
        <w:pStyle w:val="Body"/>
      </w:pPr>
    </w:p>
    <w:p w14:paraId="30ADA381" w14:textId="77777777" w:rsidR="009A2743" w:rsidRPr="009A2743" w:rsidRDefault="009A2743" w:rsidP="009A2743">
      <w:pPr>
        <w:pStyle w:val="Body"/>
      </w:pPr>
    </w:p>
    <w:p w14:paraId="106648B5" w14:textId="77777777" w:rsidR="004D4277" w:rsidRPr="00FB3A86" w:rsidRDefault="004D4277" w:rsidP="00441B6F">
      <w:pPr>
        <w:pStyle w:val="Appendix"/>
        <w:spacing w:after="0"/>
        <w:jc w:val="both"/>
        <w:rPr>
          <w:rFonts w:ascii="Arial" w:hAnsi="Arial" w:cs="Arial"/>
          <w:b w:val="0"/>
        </w:rPr>
        <w:sectPr w:rsidR="004D4277" w:rsidRPr="00FB3A86" w:rsidSect="00BA7084">
          <w:pgSz w:w="12240" w:h="15840"/>
          <w:pgMar w:top="1440" w:right="2016" w:bottom="2016" w:left="2016" w:header="720" w:footer="1123" w:gutter="0"/>
          <w:cols w:space="720"/>
          <w:docGrid w:linePitch="272"/>
        </w:sectPr>
      </w:pPr>
    </w:p>
    <w:p w14:paraId="3F000E1D" w14:textId="77777777" w:rsidR="00B01FCD" w:rsidRPr="00FB3A86" w:rsidRDefault="00B01FCD" w:rsidP="00441B6F">
      <w:pPr>
        <w:pStyle w:val="Appendix"/>
        <w:spacing w:after="0"/>
        <w:jc w:val="both"/>
        <w:rPr>
          <w:rFonts w:ascii="Arial" w:hAnsi="Arial" w:cs="Arial"/>
          <w:b w:val="0"/>
        </w:rPr>
      </w:pPr>
    </w:p>
    <w:sectPr w:rsidR="00B01FCD" w:rsidRPr="00FB3A86" w:rsidSect="00BA708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B667D3" w14:textId="77777777" w:rsidR="0099063D" w:rsidRDefault="0099063D" w:rsidP="00C37E61">
      <w:r>
        <w:separator/>
      </w:r>
    </w:p>
  </w:endnote>
  <w:endnote w:type="continuationSeparator" w:id="0">
    <w:p w14:paraId="68B4CF49" w14:textId="77777777" w:rsidR="0099063D" w:rsidRDefault="0099063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6245B" w14:textId="77777777" w:rsidR="009A2743" w:rsidRDefault="009A2743">
    <w:pPr>
      <w:pStyle w:val="Footer"/>
      <w:rPr>
        <w:rFonts w:ascii="Arial" w:hAnsi="Arial" w:cs="Arial"/>
        <w:sz w:val="16"/>
      </w:rPr>
    </w:pPr>
  </w:p>
  <w:p w14:paraId="55BDBA55" w14:textId="77777777" w:rsidR="009A2743" w:rsidRDefault="009A2743"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AA231B5" w14:textId="77777777" w:rsidR="009A2743" w:rsidRDefault="009A2743">
    <w:pPr>
      <w:pStyle w:val="Footer"/>
      <w:rPr>
        <w:rFonts w:ascii="Arial" w:hAnsi="Arial" w:cs="Arial"/>
        <w:sz w:val="16"/>
      </w:rPr>
    </w:pPr>
  </w:p>
  <w:p w14:paraId="6B59DCFF" w14:textId="77777777" w:rsidR="009A2743" w:rsidRPr="009E048A" w:rsidRDefault="009A2743">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55F9A" w14:textId="77777777" w:rsidR="009A2743" w:rsidRPr="00C37E61" w:rsidRDefault="009A2743"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1FE44" w14:textId="77777777" w:rsidR="0099063D" w:rsidRDefault="0099063D" w:rsidP="00C37E61">
      <w:r>
        <w:separator/>
      </w:r>
    </w:p>
  </w:footnote>
  <w:footnote w:type="continuationSeparator" w:id="0">
    <w:p w14:paraId="22373270" w14:textId="77777777" w:rsidR="0099063D" w:rsidRDefault="0099063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E7940" w14:textId="2E82BD44" w:rsidR="00BA7084" w:rsidRDefault="0099063D">
    <w:pPr>
      <w:pStyle w:val="Header"/>
    </w:pPr>
    <w:r>
      <w:rPr>
        <w:noProof/>
      </w:rPr>
      <w:pict w14:anchorId="5A41EF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547978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579A4" w14:textId="356EB132" w:rsidR="00BA7084" w:rsidRDefault="0099063D">
    <w:pPr>
      <w:pStyle w:val="Header"/>
    </w:pPr>
    <w:r>
      <w:rPr>
        <w:noProof/>
      </w:rPr>
      <w:pict w14:anchorId="56EF4D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547978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18DDA" w14:textId="7F0538BC" w:rsidR="009A2743" w:rsidRPr="00296529" w:rsidRDefault="0099063D" w:rsidP="00296529">
    <w:pPr>
      <w:ind w:left="2160"/>
      <w:jc w:val="center"/>
      <w:rPr>
        <w:rFonts w:ascii="Times New Roman" w:eastAsia="Calibri" w:hAnsi="Times New Roman"/>
        <w:i/>
        <w:sz w:val="18"/>
        <w:szCs w:val="22"/>
      </w:rPr>
    </w:pPr>
    <w:r>
      <w:rPr>
        <w:noProof/>
      </w:rPr>
      <w:pict w14:anchorId="11F1A9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547978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88B92F4" w14:textId="77777777" w:rsidR="009A2743" w:rsidRPr="00296529" w:rsidRDefault="009A2743"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D915B4D" w14:textId="77777777" w:rsidR="009A2743" w:rsidRPr="00296529" w:rsidRDefault="009A274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C688FCF" w14:textId="77777777" w:rsidR="009A2743" w:rsidRPr="00296529" w:rsidRDefault="009A2743"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261D52F" w14:textId="77777777" w:rsidR="009A2743" w:rsidRDefault="009A2743"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E3C55E0" w14:textId="77777777" w:rsidR="009A2743" w:rsidRDefault="009A274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BB73823" w14:textId="77777777" w:rsidR="009A2743" w:rsidRDefault="009A274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AE160" w14:textId="1539F12E" w:rsidR="00BA7084" w:rsidRDefault="0099063D">
    <w:pPr>
      <w:pStyle w:val="Header"/>
    </w:pPr>
    <w:r>
      <w:rPr>
        <w:noProof/>
      </w:rPr>
      <w:pict w14:anchorId="68EADD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547978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E6CDF" w14:textId="32A3AE66" w:rsidR="00BA7084" w:rsidRDefault="0099063D">
    <w:pPr>
      <w:pStyle w:val="Header"/>
    </w:pPr>
    <w:r>
      <w:rPr>
        <w:noProof/>
      </w:rPr>
      <w:pict w14:anchorId="6D961B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547978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93BF9" w14:textId="08ED8E59" w:rsidR="00BA7084" w:rsidRDefault="0099063D">
    <w:pPr>
      <w:pStyle w:val="Header"/>
    </w:pPr>
    <w:r>
      <w:rPr>
        <w:noProof/>
      </w:rPr>
      <w:pict w14:anchorId="1D9C1C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547978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A956900"/>
    <w:multiLevelType w:val="multilevel"/>
    <w:tmpl w:val="DCC4D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7"/>
  </w:num>
  <w:num w:numId="25">
    <w:abstractNumId w:val="4"/>
  </w:num>
  <w:num w:numId="26">
    <w:abstractNumId w:val="16"/>
  </w:num>
  <w:num w:numId="27">
    <w:abstractNumId w:val="20"/>
  </w:num>
  <w:num w:numId="28">
    <w:abstractNumId w:val="28"/>
  </w:num>
  <w:num w:numId="29">
    <w:abstractNumId w:val="24"/>
  </w:num>
  <w:num w:numId="30">
    <w:abstractNumId w:val="10"/>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2202"/>
    <w:rsid w:val="00030174"/>
    <w:rsid w:val="00033025"/>
    <w:rsid w:val="0004579C"/>
    <w:rsid w:val="00045864"/>
    <w:rsid w:val="00062D4F"/>
    <w:rsid w:val="00063C12"/>
    <w:rsid w:val="00065466"/>
    <w:rsid w:val="0009071A"/>
    <w:rsid w:val="000A47FA"/>
    <w:rsid w:val="000A65D3"/>
    <w:rsid w:val="000B1E33"/>
    <w:rsid w:val="000B2952"/>
    <w:rsid w:val="000D689F"/>
    <w:rsid w:val="000E7B7B"/>
    <w:rsid w:val="000E7D62"/>
    <w:rsid w:val="00103357"/>
    <w:rsid w:val="00123C9F"/>
    <w:rsid w:val="00126190"/>
    <w:rsid w:val="00130F17"/>
    <w:rsid w:val="001320BF"/>
    <w:rsid w:val="00161056"/>
    <w:rsid w:val="00163BC4"/>
    <w:rsid w:val="00176937"/>
    <w:rsid w:val="00182E0D"/>
    <w:rsid w:val="00191062"/>
    <w:rsid w:val="00192B72"/>
    <w:rsid w:val="001A29D8"/>
    <w:rsid w:val="001A5CAA"/>
    <w:rsid w:val="001B0427"/>
    <w:rsid w:val="001C6399"/>
    <w:rsid w:val="001D3A51"/>
    <w:rsid w:val="001E10D2"/>
    <w:rsid w:val="001E25B4"/>
    <w:rsid w:val="001E44FE"/>
    <w:rsid w:val="00200595"/>
    <w:rsid w:val="00204835"/>
    <w:rsid w:val="00231920"/>
    <w:rsid w:val="0023195C"/>
    <w:rsid w:val="00232F91"/>
    <w:rsid w:val="0024282C"/>
    <w:rsid w:val="0024529C"/>
    <w:rsid w:val="002460DC"/>
    <w:rsid w:val="00250985"/>
    <w:rsid w:val="002556F6"/>
    <w:rsid w:val="00267B43"/>
    <w:rsid w:val="002708ED"/>
    <w:rsid w:val="00274CCA"/>
    <w:rsid w:val="00276D21"/>
    <w:rsid w:val="00283105"/>
    <w:rsid w:val="00284C4C"/>
    <w:rsid w:val="00287E68"/>
    <w:rsid w:val="00295C49"/>
    <w:rsid w:val="00296529"/>
    <w:rsid w:val="002B27FB"/>
    <w:rsid w:val="002B685A"/>
    <w:rsid w:val="002C57D2"/>
    <w:rsid w:val="002E0D56"/>
    <w:rsid w:val="00314164"/>
    <w:rsid w:val="00315186"/>
    <w:rsid w:val="00317E03"/>
    <w:rsid w:val="0033343E"/>
    <w:rsid w:val="00345501"/>
    <w:rsid w:val="003512C2"/>
    <w:rsid w:val="003577BB"/>
    <w:rsid w:val="00371FB6"/>
    <w:rsid w:val="003763C1"/>
    <w:rsid w:val="00376BBE"/>
    <w:rsid w:val="0039224F"/>
    <w:rsid w:val="00393898"/>
    <w:rsid w:val="003A43A4"/>
    <w:rsid w:val="003A7D9B"/>
    <w:rsid w:val="003A7E18"/>
    <w:rsid w:val="003B081F"/>
    <w:rsid w:val="003C4C86"/>
    <w:rsid w:val="003C6258"/>
    <w:rsid w:val="003D064E"/>
    <w:rsid w:val="003E2904"/>
    <w:rsid w:val="00401927"/>
    <w:rsid w:val="00403FAD"/>
    <w:rsid w:val="0041027F"/>
    <w:rsid w:val="00412475"/>
    <w:rsid w:val="00423789"/>
    <w:rsid w:val="00440F43"/>
    <w:rsid w:val="00441B6F"/>
    <w:rsid w:val="00442815"/>
    <w:rsid w:val="00446221"/>
    <w:rsid w:val="00450E62"/>
    <w:rsid w:val="004539DB"/>
    <w:rsid w:val="00471A80"/>
    <w:rsid w:val="00477431"/>
    <w:rsid w:val="004A0CB1"/>
    <w:rsid w:val="004B006C"/>
    <w:rsid w:val="004C0723"/>
    <w:rsid w:val="004C21B2"/>
    <w:rsid w:val="004D305E"/>
    <w:rsid w:val="004D4277"/>
    <w:rsid w:val="00502516"/>
    <w:rsid w:val="00505F06"/>
    <w:rsid w:val="00506828"/>
    <w:rsid w:val="0053056E"/>
    <w:rsid w:val="00554FDA"/>
    <w:rsid w:val="005A7C6A"/>
    <w:rsid w:val="005C784C"/>
    <w:rsid w:val="005D17F6"/>
    <w:rsid w:val="005E5539"/>
    <w:rsid w:val="00602BF5"/>
    <w:rsid w:val="00617FDD"/>
    <w:rsid w:val="00627599"/>
    <w:rsid w:val="00633614"/>
    <w:rsid w:val="00633F68"/>
    <w:rsid w:val="00636EB2"/>
    <w:rsid w:val="006375B8"/>
    <w:rsid w:val="0066510A"/>
    <w:rsid w:val="00667293"/>
    <w:rsid w:val="00673F9F"/>
    <w:rsid w:val="00686953"/>
    <w:rsid w:val="00687DEA"/>
    <w:rsid w:val="00687E67"/>
    <w:rsid w:val="006967F7"/>
    <w:rsid w:val="006A250C"/>
    <w:rsid w:val="006B21D3"/>
    <w:rsid w:val="006B57D0"/>
    <w:rsid w:val="006D30FF"/>
    <w:rsid w:val="006D6940"/>
    <w:rsid w:val="006F11EC"/>
    <w:rsid w:val="0070082C"/>
    <w:rsid w:val="007369E6"/>
    <w:rsid w:val="00743000"/>
    <w:rsid w:val="00746E59"/>
    <w:rsid w:val="007524AE"/>
    <w:rsid w:val="00754C9A"/>
    <w:rsid w:val="0075599A"/>
    <w:rsid w:val="00761D52"/>
    <w:rsid w:val="0077749E"/>
    <w:rsid w:val="007907E7"/>
    <w:rsid w:val="00790ADA"/>
    <w:rsid w:val="007A049E"/>
    <w:rsid w:val="007D2288"/>
    <w:rsid w:val="007D7E0A"/>
    <w:rsid w:val="007E088F"/>
    <w:rsid w:val="007F7B32"/>
    <w:rsid w:val="00804BC2"/>
    <w:rsid w:val="0081431A"/>
    <w:rsid w:val="008154C7"/>
    <w:rsid w:val="0083216F"/>
    <w:rsid w:val="00841918"/>
    <w:rsid w:val="00852FD9"/>
    <w:rsid w:val="00860000"/>
    <w:rsid w:val="00863BD3"/>
    <w:rsid w:val="008641ED"/>
    <w:rsid w:val="00866D66"/>
    <w:rsid w:val="008671C6"/>
    <w:rsid w:val="00871CF8"/>
    <w:rsid w:val="00875803"/>
    <w:rsid w:val="008B285A"/>
    <w:rsid w:val="008B459E"/>
    <w:rsid w:val="008E13AE"/>
    <w:rsid w:val="008E1506"/>
    <w:rsid w:val="008E710C"/>
    <w:rsid w:val="008F69D6"/>
    <w:rsid w:val="00902823"/>
    <w:rsid w:val="00915CA6"/>
    <w:rsid w:val="00927834"/>
    <w:rsid w:val="00930D8C"/>
    <w:rsid w:val="009500A6"/>
    <w:rsid w:val="00957C18"/>
    <w:rsid w:val="009659BA"/>
    <w:rsid w:val="00980416"/>
    <w:rsid w:val="00983040"/>
    <w:rsid w:val="0099063D"/>
    <w:rsid w:val="009961FD"/>
    <w:rsid w:val="009A2743"/>
    <w:rsid w:val="009B3FB9"/>
    <w:rsid w:val="009C2465"/>
    <w:rsid w:val="009D35A0"/>
    <w:rsid w:val="009D7EB7"/>
    <w:rsid w:val="009E048A"/>
    <w:rsid w:val="009E08E9"/>
    <w:rsid w:val="009E3DB9"/>
    <w:rsid w:val="009E6E35"/>
    <w:rsid w:val="009F0EDA"/>
    <w:rsid w:val="00A01CB4"/>
    <w:rsid w:val="00A020AF"/>
    <w:rsid w:val="00A03B96"/>
    <w:rsid w:val="00A05B19"/>
    <w:rsid w:val="00A1134E"/>
    <w:rsid w:val="00A24E7E"/>
    <w:rsid w:val="00A258C3"/>
    <w:rsid w:val="00A31275"/>
    <w:rsid w:val="00A347C0"/>
    <w:rsid w:val="00A509FD"/>
    <w:rsid w:val="00A51431"/>
    <w:rsid w:val="00A539AD"/>
    <w:rsid w:val="00A84B81"/>
    <w:rsid w:val="00A94063"/>
    <w:rsid w:val="00AA6219"/>
    <w:rsid w:val="00AA74E0"/>
    <w:rsid w:val="00AB116A"/>
    <w:rsid w:val="00AB703F"/>
    <w:rsid w:val="00AC3567"/>
    <w:rsid w:val="00AC6BB8"/>
    <w:rsid w:val="00AE008F"/>
    <w:rsid w:val="00AF654B"/>
    <w:rsid w:val="00B01FCD"/>
    <w:rsid w:val="00B1776C"/>
    <w:rsid w:val="00B52583"/>
    <w:rsid w:val="00B52896"/>
    <w:rsid w:val="00B548FC"/>
    <w:rsid w:val="00B93E3A"/>
    <w:rsid w:val="00B95236"/>
    <w:rsid w:val="00B96BD9"/>
    <w:rsid w:val="00BA1B01"/>
    <w:rsid w:val="00BA2641"/>
    <w:rsid w:val="00BA7084"/>
    <w:rsid w:val="00BB37AA"/>
    <w:rsid w:val="00BC0481"/>
    <w:rsid w:val="00BC53A0"/>
    <w:rsid w:val="00BE43FB"/>
    <w:rsid w:val="00BE5F58"/>
    <w:rsid w:val="00BE62AD"/>
    <w:rsid w:val="00BF121F"/>
    <w:rsid w:val="00BF1F80"/>
    <w:rsid w:val="00C166EF"/>
    <w:rsid w:val="00C17EB0"/>
    <w:rsid w:val="00C27F5F"/>
    <w:rsid w:val="00C30A0F"/>
    <w:rsid w:val="00C37E61"/>
    <w:rsid w:val="00C70F1B"/>
    <w:rsid w:val="00C71A47"/>
    <w:rsid w:val="00C7464C"/>
    <w:rsid w:val="00C77E30"/>
    <w:rsid w:val="00C85588"/>
    <w:rsid w:val="00CC33D5"/>
    <w:rsid w:val="00CD12B5"/>
    <w:rsid w:val="00CD6755"/>
    <w:rsid w:val="00CD6856"/>
    <w:rsid w:val="00CE0089"/>
    <w:rsid w:val="00CE793C"/>
    <w:rsid w:val="00CF1710"/>
    <w:rsid w:val="00CF193C"/>
    <w:rsid w:val="00D0593C"/>
    <w:rsid w:val="00D173F1"/>
    <w:rsid w:val="00D537A4"/>
    <w:rsid w:val="00D74CB0"/>
    <w:rsid w:val="00D8295D"/>
    <w:rsid w:val="00DC2A65"/>
    <w:rsid w:val="00DD7408"/>
    <w:rsid w:val="00DE0F1B"/>
    <w:rsid w:val="00DE15F0"/>
    <w:rsid w:val="00DE5663"/>
    <w:rsid w:val="00DE78AA"/>
    <w:rsid w:val="00E053D0"/>
    <w:rsid w:val="00E15994"/>
    <w:rsid w:val="00E3114E"/>
    <w:rsid w:val="00E31A70"/>
    <w:rsid w:val="00E35B02"/>
    <w:rsid w:val="00E44A9D"/>
    <w:rsid w:val="00E66496"/>
    <w:rsid w:val="00E66B35"/>
    <w:rsid w:val="00E66E10"/>
    <w:rsid w:val="00E769F6"/>
    <w:rsid w:val="00E8407C"/>
    <w:rsid w:val="00E84F3C"/>
    <w:rsid w:val="00EA012C"/>
    <w:rsid w:val="00EC6A55"/>
    <w:rsid w:val="00ED0288"/>
    <w:rsid w:val="00ED2E5A"/>
    <w:rsid w:val="00EE4C3D"/>
    <w:rsid w:val="00EE52CB"/>
    <w:rsid w:val="00EF581D"/>
    <w:rsid w:val="00EF7FD8"/>
    <w:rsid w:val="00F06F59"/>
    <w:rsid w:val="00F17103"/>
    <w:rsid w:val="00F17988"/>
    <w:rsid w:val="00F23224"/>
    <w:rsid w:val="00F23ACB"/>
    <w:rsid w:val="00F36C1A"/>
    <w:rsid w:val="00F469F0"/>
    <w:rsid w:val="00F53273"/>
    <w:rsid w:val="00F653A4"/>
    <w:rsid w:val="00F755E4"/>
    <w:rsid w:val="00F77D02"/>
    <w:rsid w:val="00FB3A86"/>
    <w:rsid w:val="00FD36C8"/>
    <w:rsid w:val="00FD7195"/>
    <w:rsid w:val="00FF6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11482EB"/>
  <w15:docId w15:val="{6D2B8469-267B-4FE1-AB2A-3EB168D7F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F36C1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5A7C6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F23224"/>
    <w:rPr>
      <w:rFonts w:ascii="Times New Roman" w:hAnsi="Times New Roman"/>
      <w:sz w:val="24"/>
      <w:szCs w:val="24"/>
    </w:rPr>
  </w:style>
  <w:style w:type="character" w:customStyle="1" w:styleId="Heading4Char">
    <w:name w:val="Heading 4 Char"/>
    <w:basedOn w:val="DefaultParagraphFont"/>
    <w:link w:val="Heading4"/>
    <w:semiHidden/>
    <w:rsid w:val="005A7C6A"/>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7524AE"/>
    <w:rPr>
      <w:b/>
      <w:bCs/>
    </w:rPr>
  </w:style>
  <w:style w:type="character" w:customStyle="1" w:styleId="Heading3Char">
    <w:name w:val="Heading 3 Char"/>
    <w:basedOn w:val="DefaultParagraphFont"/>
    <w:link w:val="Heading3"/>
    <w:semiHidden/>
    <w:rsid w:val="00F36C1A"/>
    <w:rPr>
      <w:rFonts w:asciiTheme="majorHAnsi" w:eastAsiaTheme="majorEastAsia" w:hAnsiTheme="majorHAnsi" w:cstheme="majorBidi"/>
      <w:b/>
      <w:bCs/>
      <w:color w:val="4F81BD" w:themeColor="accent1"/>
    </w:rPr>
  </w:style>
  <w:style w:type="paragraph" w:styleId="BodyText">
    <w:name w:val="Body Text"/>
    <w:basedOn w:val="Normal"/>
    <w:link w:val="BodyTextChar"/>
    <w:semiHidden/>
    <w:unhideWhenUsed/>
    <w:rsid w:val="009A2743"/>
    <w:pPr>
      <w:spacing w:after="120"/>
    </w:pPr>
  </w:style>
  <w:style w:type="character" w:customStyle="1" w:styleId="BodyTextChar">
    <w:name w:val="Body Text Char"/>
    <w:basedOn w:val="DefaultParagraphFont"/>
    <w:link w:val="BodyText"/>
    <w:semiHidden/>
    <w:rsid w:val="009A2743"/>
    <w:rPr>
      <w:rFonts w:ascii="Helvetica" w:hAnsi="Helvetica"/>
    </w:rPr>
  </w:style>
  <w:style w:type="character" w:customStyle="1" w:styleId="UnresolvedMention2">
    <w:name w:val="Unresolved Mention2"/>
    <w:basedOn w:val="DefaultParagraphFont"/>
    <w:uiPriority w:val="99"/>
    <w:semiHidden/>
    <w:unhideWhenUsed/>
    <w:rsid w:val="00BE5F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25256924">
      <w:bodyDiv w:val="1"/>
      <w:marLeft w:val="0"/>
      <w:marRight w:val="0"/>
      <w:marTop w:val="0"/>
      <w:marBottom w:val="0"/>
      <w:divBdr>
        <w:top w:val="none" w:sz="0" w:space="0" w:color="auto"/>
        <w:left w:val="none" w:sz="0" w:space="0" w:color="auto"/>
        <w:bottom w:val="none" w:sz="0" w:space="0" w:color="auto"/>
        <w:right w:val="none" w:sz="0" w:space="0" w:color="auto"/>
      </w:divBdr>
    </w:div>
    <w:div w:id="70936177">
      <w:bodyDiv w:val="1"/>
      <w:marLeft w:val="0"/>
      <w:marRight w:val="0"/>
      <w:marTop w:val="0"/>
      <w:marBottom w:val="0"/>
      <w:divBdr>
        <w:top w:val="none" w:sz="0" w:space="0" w:color="auto"/>
        <w:left w:val="none" w:sz="0" w:space="0" w:color="auto"/>
        <w:bottom w:val="none" w:sz="0" w:space="0" w:color="auto"/>
        <w:right w:val="none" w:sz="0" w:space="0" w:color="auto"/>
      </w:divBdr>
    </w:div>
    <w:div w:id="72550333">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98052837">
      <w:bodyDiv w:val="1"/>
      <w:marLeft w:val="0"/>
      <w:marRight w:val="0"/>
      <w:marTop w:val="0"/>
      <w:marBottom w:val="0"/>
      <w:divBdr>
        <w:top w:val="none" w:sz="0" w:space="0" w:color="auto"/>
        <w:left w:val="none" w:sz="0" w:space="0" w:color="auto"/>
        <w:bottom w:val="none" w:sz="0" w:space="0" w:color="auto"/>
        <w:right w:val="none" w:sz="0" w:space="0" w:color="auto"/>
      </w:divBdr>
    </w:div>
    <w:div w:id="208349358">
      <w:bodyDiv w:val="1"/>
      <w:marLeft w:val="0"/>
      <w:marRight w:val="0"/>
      <w:marTop w:val="0"/>
      <w:marBottom w:val="0"/>
      <w:divBdr>
        <w:top w:val="none" w:sz="0" w:space="0" w:color="auto"/>
        <w:left w:val="none" w:sz="0" w:space="0" w:color="auto"/>
        <w:bottom w:val="none" w:sz="0" w:space="0" w:color="auto"/>
        <w:right w:val="none" w:sz="0" w:space="0" w:color="auto"/>
      </w:divBdr>
    </w:div>
    <w:div w:id="212889649">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65577890">
      <w:bodyDiv w:val="1"/>
      <w:marLeft w:val="0"/>
      <w:marRight w:val="0"/>
      <w:marTop w:val="0"/>
      <w:marBottom w:val="0"/>
      <w:divBdr>
        <w:top w:val="none" w:sz="0" w:space="0" w:color="auto"/>
        <w:left w:val="none" w:sz="0" w:space="0" w:color="auto"/>
        <w:bottom w:val="none" w:sz="0" w:space="0" w:color="auto"/>
        <w:right w:val="none" w:sz="0" w:space="0" w:color="auto"/>
      </w:divBdr>
    </w:div>
    <w:div w:id="415564547">
      <w:bodyDiv w:val="1"/>
      <w:marLeft w:val="0"/>
      <w:marRight w:val="0"/>
      <w:marTop w:val="0"/>
      <w:marBottom w:val="0"/>
      <w:divBdr>
        <w:top w:val="none" w:sz="0" w:space="0" w:color="auto"/>
        <w:left w:val="none" w:sz="0" w:space="0" w:color="auto"/>
        <w:bottom w:val="none" w:sz="0" w:space="0" w:color="auto"/>
        <w:right w:val="none" w:sz="0" w:space="0" w:color="auto"/>
      </w:divBdr>
    </w:div>
    <w:div w:id="420758941">
      <w:bodyDiv w:val="1"/>
      <w:marLeft w:val="0"/>
      <w:marRight w:val="0"/>
      <w:marTop w:val="0"/>
      <w:marBottom w:val="0"/>
      <w:divBdr>
        <w:top w:val="none" w:sz="0" w:space="0" w:color="auto"/>
        <w:left w:val="none" w:sz="0" w:space="0" w:color="auto"/>
        <w:bottom w:val="none" w:sz="0" w:space="0" w:color="auto"/>
        <w:right w:val="none" w:sz="0" w:space="0" w:color="auto"/>
      </w:divBdr>
    </w:div>
    <w:div w:id="452019545">
      <w:bodyDiv w:val="1"/>
      <w:marLeft w:val="0"/>
      <w:marRight w:val="0"/>
      <w:marTop w:val="0"/>
      <w:marBottom w:val="0"/>
      <w:divBdr>
        <w:top w:val="none" w:sz="0" w:space="0" w:color="auto"/>
        <w:left w:val="none" w:sz="0" w:space="0" w:color="auto"/>
        <w:bottom w:val="none" w:sz="0" w:space="0" w:color="auto"/>
        <w:right w:val="none" w:sz="0" w:space="0" w:color="auto"/>
      </w:divBdr>
    </w:div>
    <w:div w:id="480731714">
      <w:bodyDiv w:val="1"/>
      <w:marLeft w:val="0"/>
      <w:marRight w:val="0"/>
      <w:marTop w:val="0"/>
      <w:marBottom w:val="0"/>
      <w:divBdr>
        <w:top w:val="none" w:sz="0" w:space="0" w:color="auto"/>
        <w:left w:val="none" w:sz="0" w:space="0" w:color="auto"/>
        <w:bottom w:val="none" w:sz="0" w:space="0" w:color="auto"/>
        <w:right w:val="none" w:sz="0" w:space="0" w:color="auto"/>
      </w:divBdr>
    </w:div>
    <w:div w:id="514148093">
      <w:bodyDiv w:val="1"/>
      <w:marLeft w:val="0"/>
      <w:marRight w:val="0"/>
      <w:marTop w:val="0"/>
      <w:marBottom w:val="0"/>
      <w:divBdr>
        <w:top w:val="none" w:sz="0" w:space="0" w:color="auto"/>
        <w:left w:val="none" w:sz="0" w:space="0" w:color="auto"/>
        <w:bottom w:val="none" w:sz="0" w:space="0" w:color="auto"/>
        <w:right w:val="none" w:sz="0" w:space="0" w:color="auto"/>
      </w:divBdr>
    </w:div>
    <w:div w:id="532423753">
      <w:bodyDiv w:val="1"/>
      <w:marLeft w:val="0"/>
      <w:marRight w:val="0"/>
      <w:marTop w:val="0"/>
      <w:marBottom w:val="0"/>
      <w:divBdr>
        <w:top w:val="none" w:sz="0" w:space="0" w:color="auto"/>
        <w:left w:val="none" w:sz="0" w:space="0" w:color="auto"/>
        <w:bottom w:val="none" w:sz="0" w:space="0" w:color="auto"/>
        <w:right w:val="none" w:sz="0" w:space="0" w:color="auto"/>
      </w:divBdr>
    </w:div>
    <w:div w:id="61035713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82628798">
      <w:bodyDiv w:val="1"/>
      <w:marLeft w:val="0"/>
      <w:marRight w:val="0"/>
      <w:marTop w:val="0"/>
      <w:marBottom w:val="0"/>
      <w:divBdr>
        <w:top w:val="none" w:sz="0" w:space="0" w:color="auto"/>
        <w:left w:val="none" w:sz="0" w:space="0" w:color="auto"/>
        <w:bottom w:val="none" w:sz="0" w:space="0" w:color="auto"/>
        <w:right w:val="none" w:sz="0" w:space="0" w:color="auto"/>
      </w:divBdr>
    </w:div>
    <w:div w:id="835918239">
      <w:bodyDiv w:val="1"/>
      <w:marLeft w:val="0"/>
      <w:marRight w:val="0"/>
      <w:marTop w:val="0"/>
      <w:marBottom w:val="0"/>
      <w:divBdr>
        <w:top w:val="none" w:sz="0" w:space="0" w:color="auto"/>
        <w:left w:val="none" w:sz="0" w:space="0" w:color="auto"/>
        <w:bottom w:val="none" w:sz="0" w:space="0" w:color="auto"/>
        <w:right w:val="none" w:sz="0" w:space="0" w:color="auto"/>
      </w:divBdr>
    </w:div>
    <w:div w:id="869295313">
      <w:bodyDiv w:val="1"/>
      <w:marLeft w:val="0"/>
      <w:marRight w:val="0"/>
      <w:marTop w:val="0"/>
      <w:marBottom w:val="0"/>
      <w:divBdr>
        <w:top w:val="none" w:sz="0" w:space="0" w:color="auto"/>
        <w:left w:val="none" w:sz="0" w:space="0" w:color="auto"/>
        <w:bottom w:val="none" w:sz="0" w:space="0" w:color="auto"/>
        <w:right w:val="none" w:sz="0" w:space="0" w:color="auto"/>
      </w:divBdr>
    </w:div>
    <w:div w:id="885141395">
      <w:bodyDiv w:val="1"/>
      <w:marLeft w:val="0"/>
      <w:marRight w:val="0"/>
      <w:marTop w:val="0"/>
      <w:marBottom w:val="0"/>
      <w:divBdr>
        <w:top w:val="none" w:sz="0" w:space="0" w:color="auto"/>
        <w:left w:val="none" w:sz="0" w:space="0" w:color="auto"/>
        <w:bottom w:val="none" w:sz="0" w:space="0" w:color="auto"/>
        <w:right w:val="none" w:sz="0" w:space="0" w:color="auto"/>
      </w:divBdr>
    </w:div>
    <w:div w:id="925961254">
      <w:bodyDiv w:val="1"/>
      <w:marLeft w:val="0"/>
      <w:marRight w:val="0"/>
      <w:marTop w:val="0"/>
      <w:marBottom w:val="0"/>
      <w:divBdr>
        <w:top w:val="none" w:sz="0" w:space="0" w:color="auto"/>
        <w:left w:val="none" w:sz="0" w:space="0" w:color="auto"/>
        <w:bottom w:val="none" w:sz="0" w:space="0" w:color="auto"/>
        <w:right w:val="none" w:sz="0" w:space="0" w:color="auto"/>
      </w:divBdr>
    </w:div>
    <w:div w:id="93494612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06513480">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63022449">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7337058">
      <w:bodyDiv w:val="1"/>
      <w:marLeft w:val="0"/>
      <w:marRight w:val="0"/>
      <w:marTop w:val="0"/>
      <w:marBottom w:val="0"/>
      <w:divBdr>
        <w:top w:val="none" w:sz="0" w:space="0" w:color="auto"/>
        <w:left w:val="none" w:sz="0" w:space="0" w:color="auto"/>
        <w:bottom w:val="none" w:sz="0" w:space="0" w:color="auto"/>
        <w:right w:val="none" w:sz="0" w:space="0" w:color="auto"/>
      </w:divBdr>
    </w:div>
    <w:div w:id="1292394877">
      <w:bodyDiv w:val="1"/>
      <w:marLeft w:val="0"/>
      <w:marRight w:val="0"/>
      <w:marTop w:val="0"/>
      <w:marBottom w:val="0"/>
      <w:divBdr>
        <w:top w:val="none" w:sz="0" w:space="0" w:color="auto"/>
        <w:left w:val="none" w:sz="0" w:space="0" w:color="auto"/>
        <w:bottom w:val="none" w:sz="0" w:space="0" w:color="auto"/>
        <w:right w:val="none" w:sz="0" w:space="0" w:color="auto"/>
      </w:divBdr>
    </w:div>
    <w:div w:id="1315064141">
      <w:bodyDiv w:val="1"/>
      <w:marLeft w:val="0"/>
      <w:marRight w:val="0"/>
      <w:marTop w:val="0"/>
      <w:marBottom w:val="0"/>
      <w:divBdr>
        <w:top w:val="none" w:sz="0" w:space="0" w:color="auto"/>
        <w:left w:val="none" w:sz="0" w:space="0" w:color="auto"/>
        <w:bottom w:val="none" w:sz="0" w:space="0" w:color="auto"/>
        <w:right w:val="none" w:sz="0" w:space="0" w:color="auto"/>
      </w:divBdr>
    </w:div>
    <w:div w:id="1331063608">
      <w:bodyDiv w:val="1"/>
      <w:marLeft w:val="0"/>
      <w:marRight w:val="0"/>
      <w:marTop w:val="0"/>
      <w:marBottom w:val="0"/>
      <w:divBdr>
        <w:top w:val="none" w:sz="0" w:space="0" w:color="auto"/>
        <w:left w:val="none" w:sz="0" w:space="0" w:color="auto"/>
        <w:bottom w:val="none" w:sz="0" w:space="0" w:color="auto"/>
        <w:right w:val="none" w:sz="0" w:space="0" w:color="auto"/>
      </w:divBdr>
    </w:div>
    <w:div w:id="1332954824">
      <w:bodyDiv w:val="1"/>
      <w:marLeft w:val="0"/>
      <w:marRight w:val="0"/>
      <w:marTop w:val="0"/>
      <w:marBottom w:val="0"/>
      <w:divBdr>
        <w:top w:val="none" w:sz="0" w:space="0" w:color="auto"/>
        <w:left w:val="none" w:sz="0" w:space="0" w:color="auto"/>
        <w:bottom w:val="none" w:sz="0" w:space="0" w:color="auto"/>
        <w:right w:val="none" w:sz="0" w:space="0" w:color="auto"/>
      </w:divBdr>
    </w:div>
    <w:div w:id="1337223712">
      <w:bodyDiv w:val="1"/>
      <w:marLeft w:val="0"/>
      <w:marRight w:val="0"/>
      <w:marTop w:val="0"/>
      <w:marBottom w:val="0"/>
      <w:divBdr>
        <w:top w:val="none" w:sz="0" w:space="0" w:color="auto"/>
        <w:left w:val="none" w:sz="0" w:space="0" w:color="auto"/>
        <w:bottom w:val="none" w:sz="0" w:space="0" w:color="auto"/>
        <w:right w:val="none" w:sz="0" w:space="0" w:color="auto"/>
      </w:divBdr>
    </w:div>
    <w:div w:id="1359701536">
      <w:bodyDiv w:val="1"/>
      <w:marLeft w:val="0"/>
      <w:marRight w:val="0"/>
      <w:marTop w:val="0"/>
      <w:marBottom w:val="0"/>
      <w:divBdr>
        <w:top w:val="none" w:sz="0" w:space="0" w:color="auto"/>
        <w:left w:val="none" w:sz="0" w:space="0" w:color="auto"/>
        <w:bottom w:val="none" w:sz="0" w:space="0" w:color="auto"/>
        <w:right w:val="none" w:sz="0" w:space="0" w:color="auto"/>
      </w:divBdr>
    </w:div>
    <w:div w:id="1369450522">
      <w:bodyDiv w:val="1"/>
      <w:marLeft w:val="0"/>
      <w:marRight w:val="0"/>
      <w:marTop w:val="0"/>
      <w:marBottom w:val="0"/>
      <w:divBdr>
        <w:top w:val="none" w:sz="0" w:space="0" w:color="auto"/>
        <w:left w:val="none" w:sz="0" w:space="0" w:color="auto"/>
        <w:bottom w:val="none" w:sz="0" w:space="0" w:color="auto"/>
        <w:right w:val="none" w:sz="0" w:space="0" w:color="auto"/>
      </w:divBdr>
    </w:div>
    <w:div w:id="1379669533">
      <w:bodyDiv w:val="1"/>
      <w:marLeft w:val="0"/>
      <w:marRight w:val="0"/>
      <w:marTop w:val="0"/>
      <w:marBottom w:val="0"/>
      <w:divBdr>
        <w:top w:val="none" w:sz="0" w:space="0" w:color="auto"/>
        <w:left w:val="none" w:sz="0" w:space="0" w:color="auto"/>
        <w:bottom w:val="none" w:sz="0" w:space="0" w:color="auto"/>
        <w:right w:val="none" w:sz="0" w:space="0" w:color="auto"/>
      </w:divBdr>
    </w:div>
    <w:div w:id="1384476250">
      <w:bodyDiv w:val="1"/>
      <w:marLeft w:val="0"/>
      <w:marRight w:val="0"/>
      <w:marTop w:val="0"/>
      <w:marBottom w:val="0"/>
      <w:divBdr>
        <w:top w:val="none" w:sz="0" w:space="0" w:color="auto"/>
        <w:left w:val="none" w:sz="0" w:space="0" w:color="auto"/>
        <w:bottom w:val="none" w:sz="0" w:space="0" w:color="auto"/>
        <w:right w:val="none" w:sz="0" w:space="0" w:color="auto"/>
      </w:divBdr>
    </w:div>
    <w:div w:id="1564679102">
      <w:bodyDiv w:val="1"/>
      <w:marLeft w:val="0"/>
      <w:marRight w:val="0"/>
      <w:marTop w:val="0"/>
      <w:marBottom w:val="0"/>
      <w:divBdr>
        <w:top w:val="none" w:sz="0" w:space="0" w:color="auto"/>
        <w:left w:val="none" w:sz="0" w:space="0" w:color="auto"/>
        <w:bottom w:val="none" w:sz="0" w:space="0" w:color="auto"/>
        <w:right w:val="none" w:sz="0" w:space="0" w:color="auto"/>
      </w:divBdr>
    </w:div>
    <w:div w:id="1627006969">
      <w:bodyDiv w:val="1"/>
      <w:marLeft w:val="0"/>
      <w:marRight w:val="0"/>
      <w:marTop w:val="0"/>
      <w:marBottom w:val="0"/>
      <w:divBdr>
        <w:top w:val="none" w:sz="0" w:space="0" w:color="auto"/>
        <w:left w:val="none" w:sz="0" w:space="0" w:color="auto"/>
        <w:bottom w:val="none" w:sz="0" w:space="0" w:color="auto"/>
        <w:right w:val="none" w:sz="0" w:space="0" w:color="auto"/>
      </w:divBdr>
    </w:div>
    <w:div w:id="1644237727">
      <w:bodyDiv w:val="1"/>
      <w:marLeft w:val="0"/>
      <w:marRight w:val="0"/>
      <w:marTop w:val="0"/>
      <w:marBottom w:val="0"/>
      <w:divBdr>
        <w:top w:val="none" w:sz="0" w:space="0" w:color="auto"/>
        <w:left w:val="none" w:sz="0" w:space="0" w:color="auto"/>
        <w:bottom w:val="none" w:sz="0" w:space="0" w:color="auto"/>
        <w:right w:val="none" w:sz="0" w:space="0" w:color="auto"/>
      </w:divBdr>
    </w:div>
    <w:div w:id="1671711999">
      <w:bodyDiv w:val="1"/>
      <w:marLeft w:val="0"/>
      <w:marRight w:val="0"/>
      <w:marTop w:val="0"/>
      <w:marBottom w:val="0"/>
      <w:divBdr>
        <w:top w:val="none" w:sz="0" w:space="0" w:color="auto"/>
        <w:left w:val="none" w:sz="0" w:space="0" w:color="auto"/>
        <w:bottom w:val="none" w:sz="0" w:space="0" w:color="auto"/>
        <w:right w:val="none" w:sz="0" w:space="0" w:color="auto"/>
      </w:divBdr>
    </w:div>
    <w:div w:id="167722731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88818064">
      <w:bodyDiv w:val="1"/>
      <w:marLeft w:val="0"/>
      <w:marRight w:val="0"/>
      <w:marTop w:val="0"/>
      <w:marBottom w:val="0"/>
      <w:divBdr>
        <w:top w:val="none" w:sz="0" w:space="0" w:color="auto"/>
        <w:left w:val="none" w:sz="0" w:space="0" w:color="auto"/>
        <w:bottom w:val="none" w:sz="0" w:space="0" w:color="auto"/>
        <w:right w:val="none" w:sz="0" w:space="0" w:color="auto"/>
      </w:divBdr>
    </w:div>
    <w:div w:id="1818959417">
      <w:bodyDiv w:val="1"/>
      <w:marLeft w:val="0"/>
      <w:marRight w:val="0"/>
      <w:marTop w:val="0"/>
      <w:marBottom w:val="0"/>
      <w:divBdr>
        <w:top w:val="none" w:sz="0" w:space="0" w:color="auto"/>
        <w:left w:val="none" w:sz="0" w:space="0" w:color="auto"/>
        <w:bottom w:val="none" w:sz="0" w:space="0" w:color="auto"/>
        <w:right w:val="none" w:sz="0" w:space="0" w:color="auto"/>
      </w:divBdr>
    </w:div>
    <w:div w:id="1885479865">
      <w:bodyDiv w:val="1"/>
      <w:marLeft w:val="0"/>
      <w:marRight w:val="0"/>
      <w:marTop w:val="0"/>
      <w:marBottom w:val="0"/>
      <w:divBdr>
        <w:top w:val="none" w:sz="0" w:space="0" w:color="auto"/>
        <w:left w:val="none" w:sz="0" w:space="0" w:color="auto"/>
        <w:bottom w:val="none" w:sz="0" w:space="0" w:color="auto"/>
        <w:right w:val="none" w:sz="0" w:space="0" w:color="auto"/>
      </w:divBdr>
    </w:div>
    <w:div w:id="1886747923">
      <w:bodyDiv w:val="1"/>
      <w:marLeft w:val="0"/>
      <w:marRight w:val="0"/>
      <w:marTop w:val="0"/>
      <w:marBottom w:val="0"/>
      <w:divBdr>
        <w:top w:val="none" w:sz="0" w:space="0" w:color="auto"/>
        <w:left w:val="none" w:sz="0" w:space="0" w:color="auto"/>
        <w:bottom w:val="none" w:sz="0" w:space="0" w:color="auto"/>
        <w:right w:val="none" w:sz="0" w:space="0" w:color="auto"/>
      </w:divBdr>
    </w:div>
    <w:div w:id="190968522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23360822">
      <w:bodyDiv w:val="1"/>
      <w:marLeft w:val="0"/>
      <w:marRight w:val="0"/>
      <w:marTop w:val="0"/>
      <w:marBottom w:val="0"/>
      <w:divBdr>
        <w:top w:val="none" w:sz="0" w:space="0" w:color="auto"/>
        <w:left w:val="none" w:sz="0" w:space="0" w:color="auto"/>
        <w:bottom w:val="none" w:sz="0" w:space="0" w:color="auto"/>
        <w:right w:val="none" w:sz="0" w:space="0" w:color="auto"/>
      </w:divBdr>
    </w:div>
    <w:div w:id="202509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https://www.acumenresearchandconsulting.com/urban-farming-market" TargetMode="External"/><Relationship Id="rId26" Type="http://schemas.openxmlformats.org/officeDocument/2006/relationships/hyperlink" Target="https://www.un.org/en/desa/2018-revision-world-urbanization-prospects" TargetMode="External"/><Relationship Id="rId3" Type="http://schemas.openxmlformats.org/officeDocument/2006/relationships/styles" Target="styles.xml"/><Relationship Id="rId21" Type="http://schemas.openxmlformats.org/officeDocument/2006/relationships/hyperlink" Target="https://www.orfonline.org/research/" TargetMode="Externa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image" Target="media/image1.emf"/><Relationship Id="rId25" Type="http://schemas.openxmlformats.org/officeDocument/2006/relationships/hyperlink" Target="https://publichealth.tulane.edu/blog/benefits-of-community-gardens/" TargetMode="Externa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yperlink" Target="https://krishijagran.com/new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thebusinessresearchcompany.com/"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horticulture.tg.nic.in/Ufarming/UFarming.html" TargetMode="External"/><Relationship Id="rId28"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yperlink" Target="https://www.downtoearth.org.in/agriculture/cultivated-idea-urban-farming-in-india"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yperlink" Target="https://prcindia.in/publications/urban-agriculture-in-india" TargetMode="External"/><Relationship Id="rId27" Type="http://schemas.openxmlformats.org/officeDocument/2006/relationships/hyperlink" Target="https://justagriculture.in/files/magazine/2023/november/001%20CULTIVATING%20THE%20FUTURE.pdf?utm_source=chatgpt.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Kit value &amp; Flexibility Mean</c:v>
                </c:pt>
              </c:strCache>
            </c:strRef>
          </c:tx>
          <c:invertIfNegative val="0"/>
          <c:cat>
            <c:strRef>
              <c:f>Sheet1!$A$2:$A$4</c:f>
              <c:strCache>
                <c:ptCount val="3"/>
                <c:pt idx="0">
                  <c:v>Gated community</c:v>
                </c:pt>
                <c:pt idx="1">
                  <c:v>Independent house</c:v>
                </c:pt>
                <c:pt idx="2">
                  <c:v>Standalone apartment</c:v>
                </c:pt>
              </c:strCache>
            </c:strRef>
          </c:cat>
          <c:val>
            <c:numRef>
              <c:f>Sheet1!$B$2:$B$4</c:f>
              <c:numCache>
                <c:formatCode>General</c:formatCode>
                <c:ptCount val="3"/>
                <c:pt idx="0">
                  <c:v>0.61099999999999999</c:v>
                </c:pt>
                <c:pt idx="1">
                  <c:v>-0.307</c:v>
                </c:pt>
                <c:pt idx="2">
                  <c:v>-0.30299999999999999</c:v>
                </c:pt>
              </c:numCache>
            </c:numRef>
          </c:val>
          <c:extLst>
            <c:ext xmlns:c16="http://schemas.microsoft.com/office/drawing/2014/chart" uri="{C3380CC4-5D6E-409C-BE32-E72D297353CC}">
              <c16:uniqueId val="{00000000-FCC8-436E-BB92-B6E5C213157F}"/>
            </c:ext>
          </c:extLst>
        </c:ser>
        <c:ser>
          <c:idx val="1"/>
          <c:order val="1"/>
          <c:tx>
            <c:strRef>
              <c:f>Sheet1!$C$1</c:f>
              <c:strCache>
                <c:ptCount val="1"/>
                <c:pt idx="0">
                  <c:v>User convenience Mean</c:v>
                </c:pt>
              </c:strCache>
            </c:strRef>
          </c:tx>
          <c:invertIfNegative val="0"/>
          <c:cat>
            <c:strRef>
              <c:f>Sheet1!$A$2:$A$4</c:f>
              <c:strCache>
                <c:ptCount val="3"/>
                <c:pt idx="0">
                  <c:v>Gated community</c:v>
                </c:pt>
                <c:pt idx="1">
                  <c:v>Independent house</c:v>
                </c:pt>
                <c:pt idx="2">
                  <c:v>Standalone apartment</c:v>
                </c:pt>
              </c:strCache>
            </c:strRef>
          </c:cat>
          <c:val>
            <c:numRef>
              <c:f>Sheet1!$C$2:$C$4</c:f>
              <c:numCache>
                <c:formatCode>General</c:formatCode>
                <c:ptCount val="3"/>
                <c:pt idx="0">
                  <c:v>-0.41899999999999998</c:v>
                </c:pt>
                <c:pt idx="1">
                  <c:v>7.3999999999999996E-2</c:v>
                </c:pt>
                <c:pt idx="2">
                  <c:v>0.34399999999999997</c:v>
                </c:pt>
              </c:numCache>
            </c:numRef>
          </c:val>
          <c:extLst>
            <c:ext xmlns:c16="http://schemas.microsoft.com/office/drawing/2014/chart" uri="{C3380CC4-5D6E-409C-BE32-E72D297353CC}">
              <c16:uniqueId val="{00000001-FCC8-436E-BB92-B6E5C213157F}"/>
            </c:ext>
          </c:extLst>
        </c:ser>
        <c:dLbls>
          <c:showLegendKey val="0"/>
          <c:showVal val="0"/>
          <c:showCatName val="0"/>
          <c:showSerName val="0"/>
          <c:showPercent val="0"/>
          <c:showBubbleSize val="0"/>
        </c:dLbls>
        <c:gapWidth val="150"/>
        <c:axId val="144313728"/>
        <c:axId val="153735168"/>
      </c:barChart>
      <c:catAx>
        <c:axId val="144313728"/>
        <c:scaling>
          <c:orientation val="minMax"/>
        </c:scaling>
        <c:delete val="0"/>
        <c:axPos val="b"/>
        <c:numFmt formatCode="General" sourceLinked="0"/>
        <c:majorTickMark val="out"/>
        <c:minorTickMark val="none"/>
        <c:tickLblPos val="nextTo"/>
        <c:crossAx val="153735168"/>
        <c:crosses val="autoZero"/>
        <c:auto val="1"/>
        <c:lblAlgn val="ctr"/>
        <c:lblOffset val="100"/>
        <c:noMultiLvlLbl val="0"/>
      </c:catAx>
      <c:valAx>
        <c:axId val="153735168"/>
        <c:scaling>
          <c:orientation val="minMax"/>
        </c:scaling>
        <c:delete val="0"/>
        <c:axPos val="l"/>
        <c:majorGridlines/>
        <c:numFmt formatCode="General" sourceLinked="1"/>
        <c:majorTickMark val="out"/>
        <c:minorTickMark val="none"/>
        <c:tickLblPos val="nextTo"/>
        <c:crossAx val="144313728"/>
        <c:crosses val="autoZero"/>
        <c:crossBetween val="between"/>
      </c:valAx>
    </c:plotArea>
    <c:legend>
      <c:legendPos val="r"/>
      <c:overlay val="0"/>
    </c:legend>
    <c:plotVisOnly val="1"/>
    <c:dispBlanksAs val="gap"/>
    <c:showDLblsOverMax val="0"/>
  </c:chart>
  <c:spPr>
    <a:ln>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377A6-397E-4AF0-A04D-C851EC91A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695</TotalTime>
  <Pages>11</Pages>
  <Words>3393</Words>
  <Characters>19346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22694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33</cp:revision>
  <cp:lastPrinted>2025-09-11T04:53:00Z</cp:lastPrinted>
  <dcterms:created xsi:type="dcterms:W3CDTF">2014-10-25T14:34:00Z</dcterms:created>
  <dcterms:modified xsi:type="dcterms:W3CDTF">2025-09-16T08:41:00Z</dcterms:modified>
</cp:coreProperties>
</file>