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BDD" w:rsidRPr="000949E4" w:rsidRDefault="000949E4" w:rsidP="000949E4">
      <w:pPr>
        <w:jc w:val="center"/>
        <w:rPr>
          <w:sz w:val="28"/>
          <w:szCs w:val="28"/>
        </w:rPr>
      </w:pPr>
      <w:r>
        <w:rPr>
          <w:rStyle w:val="Strong"/>
          <w:sz w:val="28"/>
          <w:szCs w:val="28"/>
        </w:rPr>
        <w:t>“Clinical</w:t>
      </w:r>
      <w:r>
        <w:rPr>
          <w:rStyle w:val="Strong"/>
          <w:rFonts w:eastAsia="Arial Unicode MS"/>
          <w:sz w:val="28"/>
          <w:szCs w:val="28"/>
        </w:rPr>
        <w:t xml:space="preserve"> Utility of Circulating Tumor DNA (ctDNA) </w:t>
      </w:r>
      <w:r>
        <w:rPr>
          <w:b/>
          <w:bCs/>
          <w:sz w:val="28"/>
          <w:szCs w:val="28"/>
        </w:rPr>
        <w:t xml:space="preserve">in the bloodstream </w:t>
      </w:r>
      <w:r>
        <w:rPr>
          <w:rStyle w:val="Strong"/>
          <w:rFonts w:eastAsia="Arial Unicode MS"/>
          <w:sz w:val="28"/>
          <w:szCs w:val="28"/>
        </w:rPr>
        <w:t>as Predictive and Prognostic Biomarkers in Breast Cancer Management</w:t>
      </w:r>
      <w:r w:rsidR="00F86BDD" w:rsidRPr="00F86BDD">
        <w:rPr>
          <w:rStyle w:val="Strong"/>
          <w:sz w:val="28"/>
          <w:szCs w:val="28"/>
        </w:rPr>
        <w:t>"</w:t>
      </w:r>
    </w:p>
    <w:p w:rsidR="00F86BDD" w:rsidRDefault="00F86BDD" w:rsidP="00F86BDD">
      <w:pPr>
        <w:spacing w:before="100" w:beforeAutospacing="1" w:after="100" w:afterAutospacing="1" w:line="240" w:lineRule="auto"/>
        <w:rPr>
          <w:rFonts w:ascii="Times New Roman" w:eastAsia="Times New Roman" w:hAnsi="Times New Roman" w:cs="Times New Roman"/>
          <w:sz w:val="24"/>
          <w:szCs w:val="24"/>
        </w:rPr>
      </w:pPr>
    </w:p>
    <w:p w:rsidR="00BB7D01" w:rsidRPr="00BB7D01" w:rsidRDefault="00BB7D01" w:rsidP="00BB7D01">
      <w:pPr>
        <w:spacing w:before="100" w:beforeAutospacing="1" w:after="100" w:afterAutospacing="1" w:line="240" w:lineRule="auto"/>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Abstract</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Background:</w:t>
      </w:r>
      <w:r w:rsidRPr="00BB7D01">
        <w:rPr>
          <w:rFonts w:ascii="Times New Roman" w:eastAsia="Times New Roman" w:hAnsi="Times New Roman" w:cs="Times New Roman"/>
          <w:sz w:val="24"/>
          <w:szCs w:val="24"/>
        </w:rPr>
        <w:br/>
        <w:t>Breast cancer remains one of the most prevalent malignancies among women worldwide, with early detection and individualized treatment significantly improving patient outcomes. In recent years, biomarkers have emerged as pivotal tools in enhancing diagnostic precision, predicting therapeutic response, and monitoring disease progression. Among these, circulating tumor DNA (ctDNA) and liquid biopsy techniques have gained substantial attention due to their non-invasive nature and potential to provide real-time insights into tumor dynamics.</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Objective:</w:t>
      </w:r>
      <w:r w:rsidRPr="00BB7D01">
        <w:rPr>
          <w:rFonts w:ascii="Times New Roman" w:eastAsia="Times New Roman" w:hAnsi="Times New Roman" w:cs="Times New Roman"/>
          <w:sz w:val="24"/>
          <w:szCs w:val="24"/>
        </w:rPr>
        <w:br/>
        <w:t>This review aims to evaluate the clinical utility of liquid biopsy and ctDNA as predictive and prognostic biomarkers in breast cancer management.</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Methods:</w:t>
      </w:r>
      <w:r w:rsidRPr="00BB7D01">
        <w:rPr>
          <w:rFonts w:ascii="Times New Roman" w:eastAsia="Times New Roman" w:hAnsi="Times New Roman" w:cs="Times New Roman"/>
          <w:sz w:val="24"/>
          <w:szCs w:val="24"/>
        </w:rPr>
        <w:br/>
        <w:t>A comprehensive literature review was conducted using peer-reviewed publications from databases such as PubMed, Scopus, and Web of Science. Studies were selected based on relevance, recency, and clinical significance, focusing on techniques for ctDNA extraction, quantification, and mutational analysis, including digital PCR and next-generation sequencing.</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Results/Findings:</w:t>
      </w:r>
      <w:r w:rsidRPr="00BB7D01">
        <w:rPr>
          <w:rFonts w:ascii="Times New Roman" w:eastAsia="Times New Roman" w:hAnsi="Times New Roman" w:cs="Times New Roman"/>
          <w:sz w:val="24"/>
          <w:szCs w:val="24"/>
        </w:rPr>
        <w:br/>
        <w:t>Emerging evidence highlights that ctDNA can reflect tumor heterogeneity, detect minimal residual disease (MRD), and predict relapse earlier than traditional imaging methods. Liquid biopsy offers a less invasive alternative for molecular profiling and treatment monitoring, especially in metastatic settings. Mutations in genes such as PIK3CA, ESR1, and TP53 detected through ctDNA have been correlated with resistance to endocrine therapy and targeted agents, aiding in treatment planning.</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Conclusion:</w:t>
      </w:r>
      <w:r w:rsidRPr="00BB7D01">
        <w:rPr>
          <w:rFonts w:ascii="Times New Roman" w:eastAsia="Times New Roman" w:hAnsi="Times New Roman" w:cs="Times New Roman"/>
          <w:sz w:val="24"/>
          <w:szCs w:val="24"/>
        </w:rPr>
        <w:br/>
        <w:t>Liquid biopsy and ctDNA analysis represent a transformative approach in the precision medicine landscape of breast cancer. Their integration into clinical practice may optimize patient stratification, therapeutic decision-making, and surveillance. However, standardization of methods and validation through large-scale clinical trials are essential for routine implementation.</w:t>
      </w:r>
    </w:p>
    <w:p w:rsidR="00BB7D01" w:rsidRPr="00BB7D01" w:rsidRDefault="00BB7D01" w:rsidP="00BB7D01">
      <w:pPr>
        <w:spacing w:before="100" w:beforeAutospacing="1" w:after="100" w:afterAutospacing="1" w:line="240" w:lineRule="auto"/>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Keywords:</w:t>
      </w:r>
      <w:r w:rsidRPr="00BB7D01">
        <w:rPr>
          <w:rFonts w:ascii="Times New Roman" w:eastAsia="Times New Roman" w:hAnsi="Times New Roman" w:cs="Times New Roman"/>
          <w:sz w:val="24"/>
          <w:szCs w:val="24"/>
        </w:rPr>
        <w:br/>
        <w:t>Breast cancer, liquid biopsy, ctDNA, predictive biomarker, prognostic biomarker.</w:t>
      </w:r>
    </w:p>
    <w:p w:rsidR="00BB42AE" w:rsidRDefault="00BB42AE" w:rsidP="00BB7D01">
      <w:pPr>
        <w:spacing w:before="100" w:beforeAutospacing="1" w:after="100" w:afterAutospacing="1" w:line="240" w:lineRule="auto"/>
        <w:rPr>
          <w:rFonts w:ascii="Times New Roman" w:eastAsia="Times New Roman" w:hAnsi="Times New Roman" w:cs="Times New Roman"/>
          <w:b/>
          <w:bCs/>
          <w:sz w:val="24"/>
          <w:szCs w:val="24"/>
        </w:rPr>
      </w:pPr>
    </w:p>
    <w:p w:rsidR="00BB42AE" w:rsidRDefault="00BB42AE" w:rsidP="00BB7D01">
      <w:pPr>
        <w:spacing w:before="100" w:beforeAutospacing="1" w:after="100" w:afterAutospacing="1" w:line="240" w:lineRule="auto"/>
        <w:rPr>
          <w:rFonts w:ascii="Times New Roman" w:eastAsia="Times New Roman" w:hAnsi="Times New Roman" w:cs="Times New Roman"/>
          <w:b/>
          <w:bCs/>
          <w:sz w:val="24"/>
          <w:szCs w:val="24"/>
        </w:rPr>
      </w:pPr>
    </w:p>
    <w:p w:rsidR="00BB7D01" w:rsidRPr="00BB7D01" w:rsidRDefault="00BB7D01" w:rsidP="00BB7D01">
      <w:pPr>
        <w:spacing w:before="100" w:beforeAutospacing="1" w:after="100" w:afterAutospacing="1" w:line="240" w:lineRule="auto"/>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Introduction</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Breast cancer is the most commonly diagnosed cancer and a leading cause of cancer-related mortality among women worldwide. According to recent global cancer statistics, breast cancer accounts for over 2.3 million new cases and approximately 685,000 deaths annually, underscoring its significant public health burden. Despite advancements in screening, diagnosis, and therapeutic interventions, challenges persist in the early detection, real-time monitoring, and individualized treatment of breast cancer, particularly in cases of recurrence or metastasis.</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Traditionally, tissue biopsy has been the gold standard for tumor characterization, guiding diagnosis and therapeutic decisions. However, tissue biopsies are invasive, often limited by tumor accessibility, and may not adequately capture the genetic heterogeneity or dynamic evolution of the disease. Furthermore, repeated biopsies to monitor treatment response or emerging resistance are often impractical and carry procedural risks.</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To overcome these limitations, there is a growing interest in non-invasive biomarkers that can provide comprehensive and real-time insights into tumor biology. Liquid</w:t>
      </w:r>
      <w:r>
        <w:rPr>
          <w:rFonts w:ascii="Times New Roman" w:eastAsia="Times New Roman" w:hAnsi="Times New Roman" w:cs="Times New Roman"/>
          <w:sz w:val="24"/>
          <w:szCs w:val="24"/>
        </w:rPr>
        <w:t xml:space="preserve"> biopsy </w:t>
      </w:r>
      <w:r w:rsidRPr="00BB7D01">
        <w:rPr>
          <w:rFonts w:ascii="Times New Roman" w:eastAsia="Times New Roman" w:hAnsi="Times New Roman" w:cs="Times New Roman"/>
          <w:sz w:val="24"/>
          <w:szCs w:val="24"/>
        </w:rPr>
        <w:t xml:space="preserve">a technique that analyzes tumor-derived components in </w:t>
      </w:r>
      <w:r>
        <w:rPr>
          <w:rFonts w:ascii="Times New Roman" w:eastAsia="Times New Roman" w:hAnsi="Times New Roman" w:cs="Times New Roman"/>
          <w:sz w:val="24"/>
          <w:szCs w:val="24"/>
        </w:rPr>
        <w:t xml:space="preserve">body fluids, particularly blood </w:t>
      </w:r>
      <w:r w:rsidRPr="00BB7D01">
        <w:rPr>
          <w:rFonts w:ascii="Times New Roman" w:eastAsia="Times New Roman" w:hAnsi="Times New Roman" w:cs="Times New Roman"/>
          <w:sz w:val="24"/>
          <w:szCs w:val="24"/>
        </w:rPr>
        <w:t>has emerged as a promising alternative. One of the most studied components of liquid biopsy is circulating tumor DNA (ctDNA), which consists of fragmented DNA shed into the bloodstream by cancer cells through apoptosis, necrosis, or active secretion.</w:t>
      </w:r>
    </w:p>
    <w:p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ctDNA analysis offers a unique opportunity to detect specific genetic alterations, monitor treatment response, identify minimal residual disease (MRD), and predict disease recurrence with high sensitivity and specificity. As such, liquid biopsy represents a transformative shift toward precision oncology in breast cancer.</w:t>
      </w:r>
    </w:p>
    <w:p w:rsidR="00BB42AE" w:rsidRPr="00BB42AE" w:rsidRDefault="00BB7D01" w:rsidP="00BB42AE">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Objective:</w:t>
      </w:r>
      <w:r w:rsidRPr="00BB7D01">
        <w:rPr>
          <w:rFonts w:ascii="Times New Roman" w:eastAsia="Times New Roman" w:hAnsi="Times New Roman" w:cs="Times New Roman"/>
          <w:sz w:val="24"/>
          <w:szCs w:val="24"/>
        </w:rPr>
        <w:br/>
        <w:t>This article aims to explore the clinical utility of liquid biopsy and ctDNA as predictive and prognostic biomarkers in breast cancer, highlighting their advantages, technological advancements, and current challenges in clinical implementation.</w:t>
      </w:r>
    </w:p>
    <w:p w:rsidR="00BB42AE" w:rsidRPr="00BB42AE" w:rsidRDefault="00BB42AE" w:rsidP="00BB42AE">
      <w:pPr>
        <w:spacing w:before="100" w:beforeAutospacing="1" w:after="100" w:afterAutospacing="1" w:line="24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4. Molecular Basis of Circulating Tumor DNA (ctDNA)</w:t>
      </w:r>
    </w:p>
    <w:p w:rsidR="00BB42AE" w:rsidRDefault="00BB42AE" w:rsidP="00BB42AE">
      <w:pPr>
        <w:spacing w:before="100" w:beforeAutospacing="1" w:after="100" w:afterAutospacing="1" w:line="360" w:lineRule="auto"/>
        <w:jc w:val="both"/>
        <w:rPr>
          <w:rFonts w:ascii="Times New Roman" w:eastAsia="Times New Roman" w:hAnsi="Times New Roman" w:cs="Times New Roman"/>
          <w:b/>
          <w:bCs/>
          <w:sz w:val="24"/>
          <w:szCs w:val="24"/>
        </w:rPr>
      </w:pPr>
      <w:r w:rsidRPr="00BB42AE">
        <w:rPr>
          <w:rFonts w:ascii="Times New Roman" w:eastAsia="Times New Roman" w:hAnsi="Times New Roman" w:cs="Times New Roman"/>
          <w:b/>
          <w:bCs/>
          <w:sz w:val="24"/>
          <w:szCs w:val="24"/>
        </w:rPr>
        <w:t>Origin of ctDNA in the Bloodstream:</w:t>
      </w:r>
    </w:p>
    <w:p w:rsidR="00BB42AE" w:rsidRPr="00BB42AE" w:rsidRDefault="00BB42AE" w:rsidP="00BB42AE">
      <w:p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 xml:space="preserve">Circulating tumor DNA (ctDNA) refers to fragmented DNA released into the bloodstream by cancer cells through several biological processes, including apoptosis, necrosis, and active secretion. Unlike normal cell-free DNA (cfDNA), ctDNA originates specifically from malignant cells and contains </w:t>
      </w:r>
      <w:r w:rsidRPr="00BB42AE">
        <w:rPr>
          <w:rFonts w:ascii="Times New Roman" w:eastAsia="Times New Roman" w:hAnsi="Times New Roman" w:cs="Times New Roman"/>
          <w:sz w:val="24"/>
          <w:szCs w:val="24"/>
        </w:rPr>
        <w:lastRenderedPageBreak/>
        <w:t>tumor-specific genetic and epigenetic alterations. The quantity and characteristics of ctDNA in circulation often correlate with tumor burden, stage, and biological aggressiveness. In breast cancer, ctDNA can be detected across all disease stages, including early diagnosis, treatment monitoring, and detection of minimal residual disease (MRD).</w:t>
      </w:r>
    </w:p>
    <w:p w:rsidR="00BB42AE" w:rsidRPr="00BB42AE" w:rsidRDefault="00BB42AE" w:rsidP="00BB42AE">
      <w:pPr>
        <w:spacing w:before="100" w:beforeAutospacing="1" w:after="100" w:afterAutospacing="1" w:line="36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Molecular Features of ctDNA:</w:t>
      </w:r>
      <w:r w:rsidRPr="00BB42AE">
        <w:rPr>
          <w:rFonts w:ascii="Times New Roman" w:eastAsia="Times New Roman" w:hAnsi="Times New Roman" w:cs="Times New Roman"/>
          <w:sz w:val="24"/>
          <w:szCs w:val="24"/>
        </w:rPr>
        <w:br/>
        <w:t>ctDNA harbors key molecular hallmarks reflective of the tumor genome. These include:</w:t>
      </w:r>
    </w:p>
    <w:p w:rsidR="00BB42AE" w:rsidRPr="00BB42AE" w:rsidRDefault="00BB42AE" w:rsidP="00BB42A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Somatic mutations</w:t>
      </w:r>
      <w:r w:rsidRPr="00BB42AE">
        <w:rPr>
          <w:rFonts w:ascii="Times New Roman" w:eastAsia="Times New Roman" w:hAnsi="Times New Roman" w:cs="Times New Roman"/>
          <w:sz w:val="24"/>
          <w:szCs w:val="24"/>
        </w:rPr>
        <w:t xml:space="preserve">: Single nucleotide variants (SNVs), insertions/deletions (indels), and copy number alterations in cancer-related genes such as </w:t>
      </w:r>
      <w:r w:rsidRPr="00BB42AE">
        <w:rPr>
          <w:rFonts w:ascii="Times New Roman" w:eastAsia="Times New Roman" w:hAnsi="Times New Roman" w:cs="Times New Roman"/>
          <w:b/>
          <w:bCs/>
          <w:sz w:val="24"/>
          <w:szCs w:val="24"/>
        </w:rPr>
        <w:t>TP53</w:t>
      </w:r>
      <w:r w:rsidRPr="00BB42AE">
        <w:rPr>
          <w:rFonts w:ascii="Times New Roman" w:eastAsia="Times New Roman" w:hAnsi="Times New Roman" w:cs="Times New Roman"/>
          <w:sz w:val="24"/>
          <w:szCs w:val="24"/>
        </w:rPr>
        <w:t xml:space="preserve">, </w:t>
      </w:r>
      <w:r w:rsidRPr="00BB42AE">
        <w:rPr>
          <w:rFonts w:ascii="Times New Roman" w:eastAsia="Times New Roman" w:hAnsi="Times New Roman" w:cs="Times New Roman"/>
          <w:b/>
          <w:bCs/>
          <w:sz w:val="24"/>
          <w:szCs w:val="24"/>
        </w:rPr>
        <w:t>PIK3CA</w:t>
      </w:r>
      <w:r w:rsidRPr="00BB42AE">
        <w:rPr>
          <w:rFonts w:ascii="Times New Roman" w:eastAsia="Times New Roman" w:hAnsi="Times New Roman" w:cs="Times New Roman"/>
          <w:sz w:val="24"/>
          <w:szCs w:val="24"/>
        </w:rPr>
        <w:t xml:space="preserve">, </w:t>
      </w:r>
      <w:r w:rsidRPr="00BB42AE">
        <w:rPr>
          <w:rFonts w:ascii="Times New Roman" w:eastAsia="Times New Roman" w:hAnsi="Times New Roman" w:cs="Times New Roman"/>
          <w:b/>
          <w:bCs/>
          <w:sz w:val="24"/>
          <w:szCs w:val="24"/>
        </w:rPr>
        <w:t>ESR1</w:t>
      </w:r>
      <w:r w:rsidRPr="00BB42AE">
        <w:rPr>
          <w:rFonts w:ascii="Times New Roman" w:eastAsia="Times New Roman" w:hAnsi="Times New Roman" w:cs="Times New Roman"/>
          <w:sz w:val="24"/>
          <w:szCs w:val="24"/>
        </w:rPr>
        <w:t xml:space="preserve">, and </w:t>
      </w:r>
      <w:r w:rsidRPr="00BB42AE">
        <w:rPr>
          <w:rFonts w:ascii="Times New Roman" w:eastAsia="Times New Roman" w:hAnsi="Times New Roman" w:cs="Times New Roman"/>
          <w:b/>
          <w:bCs/>
          <w:sz w:val="24"/>
          <w:szCs w:val="24"/>
        </w:rPr>
        <w:t>BRCA1/2</w:t>
      </w:r>
      <w:r w:rsidRPr="00BB42AE">
        <w:rPr>
          <w:rFonts w:ascii="Times New Roman" w:eastAsia="Times New Roman" w:hAnsi="Times New Roman" w:cs="Times New Roman"/>
          <w:sz w:val="24"/>
          <w:szCs w:val="24"/>
        </w:rPr>
        <w:t>.</w:t>
      </w:r>
    </w:p>
    <w:p w:rsidR="00BB42AE" w:rsidRPr="00BB42AE" w:rsidRDefault="00BB42AE" w:rsidP="00BB42A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Epigenetic modifications</w:t>
      </w:r>
      <w:r w:rsidRPr="00BB42AE">
        <w:rPr>
          <w:rFonts w:ascii="Times New Roman" w:eastAsia="Times New Roman" w:hAnsi="Times New Roman" w:cs="Times New Roman"/>
          <w:sz w:val="24"/>
          <w:szCs w:val="24"/>
        </w:rPr>
        <w:t>: Aberrant DNA methylation patterns, particularly in promoter regions of tumor suppressor genes, serve as highly specific markers for malignancy.</w:t>
      </w:r>
    </w:p>
    <w:p w:rsidR="00BB42AE" w:rsidRPr="00BB42AE" w:rsidRDefault="00BB42AE" w:rsidP="00BB42A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Fragmentomics</w:t>
      </w:r>
      <w:r w:rsidRPr="00BB42AE">
        <w:rPr>
          <w:rFonts w:ascii="Times New Roman" w:eastAsia="Times New Roman" w:hAnsi="Times New Roman" w:cs="Times New Roman"/>
          <w:sz w:val="24"/>
          <w:szCs w:val="24"/>
        </w:rPr>
        <w:t>: The analysis of ctDNA fragment size, end motifs, and nucleosomal footprints reveals that ctDNA is typically shorter (~90–150 base pairs) than non-tumor cfDNA and carries distinct fragmentation profiles that can aid in its identification.</w:t>
      </w:r>
    </w:p>
    <w:p w:rsidR="00BB42AE" w:rsidRDefault="00BB42AE" w:rsidP="00BB42AE">
      <w:pPr>
        <w:spacing w:after="0" w:line="360" w:lineRule="auto"/>
        <w:jc w:val="both"/>
        <w:rPr>
          <w:rFonts w:ascii="Times New Roman" w:eastAsia="Times New Roman" w:hAnsi="Times New Roman" w:cs="Times New Roman"/>
          <w:b/>
          <w:bCs/>
          <w:sz w:val="24"/>
          <w:szCs w:val="24"/>
        </w:rPr>
      </w:pPr>
      <w:r w:rsidRPr="00BB42AE">
        <w:rPr>
          <w:rFonts w:ascii="Times New Roman" w:eastAsia="Times New Roman" w:hAnsi="Times New Roman" w:cs="Times New Roman"/>
          <w:b/>
          <w:bCs/>
          <w:sz w:val="24"/>
          <w:szCs w:val="24"/>
        </w:rPr>
        <w:t>Detection Methods:</w:t>
      </w:r>
    </w:p>
    <w:p w:rsidR="00BB42AE" w:rsidRPr="00BB42AE" w:rsidRDefault="00BB42AE" w:rsidP="00BB42AE">
      <w:pPr>
        <w:spacing w:after="0"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The sensitive and specific detection of ctDNA from blood samples remains a technical challenge due to its low abundance amidst high background cfDNA. However, several advanced technologies have been developed to address this:</w:t>
      </w:r>
    </w:p>
    <w:p w:rsidR="00BB42AE" w:rsidRPr="00BB42AE" w:rsidRDefault="00BB42AE" w:rsidP="00BB42AE">
      <w:pPr>
        <w:numPr>
          <w:ilvl w:val="0"/>
          <w:numId w:val="2"/>
        </w:numPr>
        <w:spacing w:after="0"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Digital PCR (dPCR):</w:t>
      </w:r>
    </w:p>
    <w:p w:rsidR="00BB42AE" w:rsidRPr="00BB42AE" w:rsidRDefault="00BB42AE" w:rsidP="00BB42AE">
      <w:pPr>
        <w:spacing w:after="0" w:line="360" w:lineRule="auto"/>
        <w:ind w:left="720"/>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A highly sensitive method that partitions a DNA sample into thousands of micro-reactions, enabling precise quantification of specific mutations. It is cost-effective and suitable for known hotspot mutations but limited in multiplexing capacity.</w:t>
      </w:r>
    </w:p>
    <w:p w:rsidR="00BB42AE" w:rsidRPr="00BB42AE" w:rsidRDefault="00BB42AE" w:rsidP="00BB42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Next-Generation Sequencing (NGS):</w:t>
      </w:r>
    </w:p>
    <w:p w:rsidR="00BB42AE" w:rsidRDefault="00BB42AE" w:rsidP="00F45F97">
      <w:pPr>
        <w:spacing w:before="100" w:beforeAutospacing="1" w:after="100" w:afterAutospacing="1" w:line="360" w:lineRule="auto"/>
        <w:ind w:left="720"/>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NGS allows for broad genomic profiling of ctDNA across multiple genes or entire exomes. Techniques such as targeted panels (e.g., Cancer SEEK, Foundation One Liquid) can detect a wide range of mutations, fusion genes, and copy number alterations. Ultra-deep sequencing with error-correction methods increases sensitivity and accuracy.</w:t>
      </w:r>
    </w:p>
    <w:p w:rsidR="00F45F97" w:rsidRDefault="00F45F97" w:rsidP="00F45F97">
      <w:pPr>
        <w:spacing w:before="100" w:beforeAutospacing="1" w:after="100" w:afterAutospacing="1" w:line="360" w:lineRule="auto"/>
        <w:ind w:left="720"/>
        <w:jc w:val="both"/>
        <w:rPr>
          <w:rFonts w:ascii="Times New Roman" w:eastAsia="Times New Roman" w:hAnsi="Times New Roman" w:cs="Times New Roman"/>
          <w:sz w:val="24"/>
          <w:szCs w:val="24"/>
        </w:rPr>
      </w:pPr>
    </w:p>
    <w:p w:rsidR="00BB42AE" w:rsidRPr="00BB42AE" w:rsidRDefault="00BB42AE" w:rsidP="00BB42AE">
      <w:pPr>
        <w:numPr>
          <w:ilvl w:val="0"/>
          <w:numId w:val="2"/>
        </w:numPr>
        <w:spacing w:after="0" w:line="24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BEAMing (Beads, Emulsion, Amplification, and Magnetics):</w:t>
      </w:r>
    </w:p>
    <w:p w:rsidR="00BB42AE" w:rsidRPr="00BB42AE" w:rsidRDefault="00BB42AE" w:rsidP="00BB42AE">
      <w:pPr>
        <w:spacing w:after="0" w:line="360" w:lineRule="auto"/>
        <w:ind w:left="720"/>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This combines emulsion PCR and flow cytometry to detect and quantify mutations in ctDNA with high sensitivity. It is especially effective for monitoring specific known mutations during treatment.</w:t>
      </w:r>
    </w:p>
    <w:p w:rsidR="00BB42AE" w:rsidRPr="00BB42AE" w:rsidRDefault="00BB42AE" w:rsidP="00BB42AE">
      <w:p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lastRenderedPageBreak/>
        <w:t>Each method has its own advantages and limitations in terms of sensitivity, cost, turnaround time, and clinical applicability. A combination of methods is often used to optimize ctDNA analysis for clinical use.</w:t>
      </w:r>
    </w:p>
    <w:p w:rsidR="00BB42AE" w:rsidRDefault="00BB42AE" w:rsidP="00BB42AE">
      <w:pPr>
        <w:pStyle w:val="Heading3"/>
        <w:spacing w:before="0" w:beforeAutospacing="0" w:after="0" w:afterAutospacing="0"/>
        <w:rPr>
          <w:rStyle w:val="Strong"/>
          <w:b/>
          <w:bCs/>
        </w:rPr>
      </w:pPr>
      <w:r>
        <w:rPr>
          <w:rStyle w:val="Strong"/>
          <w:b/>
          <w:bCs/>
        </w:rPr>
        <w:t>5. Clinical Applications of ctDNA in Breast Cancer</w:t>
      </w:r>
    </w:p>
    <w:p w:rsidR="005E66C0" w:rsidRDefault="005E66C0" w:rsidP="00BB42AE">
      <w:pPr>
        <w:pStyle w:val="Heading3"/>
        <w:spacing w:before="0" w:beforeAutospacing="0" w:after="0" w:afterAutospacing="0"/>
      </w:pPr>
    </w:p>
    <w:p w:rsidR="00BB42AE" w:rsidRDefault="00BB42AE" w:rsidP="00BB42AE">
      <w:pPr>
        <w:pStyle w:val="NormalWeb"/>
        <w:spacing w:before="0" w:beforeAutospacing="0" w:after="0" w:afterAutospacing="0" w:line="360" w:lineRule="auto"/>
        <w:jc w:val="both"/>
      </w:pPr>
      <w:r>
        <w:t xml:space="preserve">The application of </w:t>
      </w:r>
      <w:r>
        <w:rPr>
          <w:rStyle w:val="Strong"/>
        </w:rPr>
        <w:t>circulating tumor DNA (ctDNA)</w:t>
      </w:r>
      <w:r>
        <w:t xml:space="preserve"> in the clinical management of breast cancer represents a major advancement in personalized oncology. ctDNA enables non-invasive, real-time monitoring of tumor biology, which can guide clinical decision-making across several stages of disease management.</w:t>
      </w:r>
    </w:p>
    <w:p w:rsidR="00BB42AE" w:rsidRPr="00BB42AE" w:rsidRDefault="00BB42AE" w:rsidP="00BB42AE">
      <w:pPr>
        <w:pStyle w:val="Heading4"/>
        <w:spacing w:before="0"/>
        <w:rPr>
          <w:color w:val="auto"/>
        </w:rPr>
      </w:pPr>
      <w:r w:rsidRPr="00BB42AE">
        <w:rPr>
          <w:rStyle w:val="Strong"/>
          <w:b/>
          <w:bCs/>
          <w:color w:val="auto"/>
        </w:rPr>
        <w:t>A. Diagnostic Utility</w:t>
      </w:r>
    </w:p>
    <w:p w:rsidR="00BB42AE" w:rsidRDefault="00BB42AE" w:rsidP="00BB42AE">
      <w:pPr>
        <w:pStyle w:val="NormalWeb"/>
        <w:spacing w:before="0" w:beforeAutospacing="0" w:line="360" w:lineRule="auto"/>
        <w:jc w:val="both"/>
      </w:pPr>
      <w:r>
        <w:t xml:space="preserve">Early detection of breast cancer is critical for improving survival outcomes. Traditional imaging methods (e.g., mammography) have limitations, including low sensitivity in dense breast tissue and false-positive results. ctDNA offers a promising alternative as a </w:t>
      </w:r>
      <w:r>
        <w:rPr>
          <w:rStyle w:val="Strong"/>
        </w:rPr>
        <w:t>non-invasive biomarker for early detection</w:t>
      </w:r>
      <w:r>
        <w:t xml:space="preserve"> due to its ability to reflect tumor-specific mutations and epigenetic changes in plasma even before clinical symptoms arise.</w:t>
      </w:r>
    </w:p>
    <w:p w:rsidR="00BB42AE" w:rsidRDefault="00BB42AE" w:rsidP="00BB42AE">
      <w:pPr>
        <w:pStyle w:val="NormalWeb"/>
        <w:spacing w:line="360" w:lineRule="auto"/>
        <w:jc w:val="both"/>
      </w:pPr>
      <w:r>
        <w:t>Emerging studies have explored ctDNA methylation signatures as sensitive markers for breast cancer screening. However, the routine use of ctDNA for population-wide screening is still under investigation, as sensitivity in early-stage, low-burden disease remains a challenge.</w:t>
      </w:r>
    </w:p>
    <w:p w:rsidR="005E66C0" w:rsidRDefault="005E66C0" w:rsidP="00BB42AE">
      <w:pPr>
        <w:pStyle w:val="NormalWeb"/>
        <w:spacing w:line="360" w:lineRule="auto"/>
        <w:jc w:val="both"/>
      </w:pPr>
      <w:r>
        <w:rPr>
          <w:noProof/>
        </w:rPr>
        <w:drawing>
          <wp:inline distT="0" distB="0" distL="0" distR="0">
            <wp:extent cx="5645888" cy="3136604"/>
            <wp:effectExtent l="0" t="0" r="0" b="6985"/>
            <wp:docPr id="2" name="Picture 2" descr="Z:\Principal Sir\Principal Document\Zoonotic Infection Journal\Topics related Breast Cancer\1-s2.0-S193652332300102X-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Z:\Principal Sir\Principal Document\Zoonotic Infection Journal\Topics related Breast Cancer\1-s2.0-S193652332300102X-g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070" cy="3137816"/>
                    </a:xfrm>
                    <a:prstGeom prst="rect">
                      <a:avLst/>
                    </a:prstGeom>
                    <a:noFill/>
                    <a:ln>
                      <a:noFill/>
                    </a:ln>
                  </pic:spPr>
                </pic:pic>
              </a:graphicData>
            </a:graphic>
          </wp:inline>
        </w:drawing>
      </w:r>
    </w:p>
    <w:p w:rsidR="005E66C0" w:rsidRPr="000151B2" w:rsidRDefault="005E66C0" w:rsidP="005E66C0">
      <w:pPr>
        <w:pStyle w:val="NormalWeb"/>
        <w:spacing w:line="360" w:lineRule="auto"/>
        <w:jc w:val="center"/>
        <w:rPr>
          <w:b/>
          <w:sz w:val="22"/>
        </w:rPr>
      </w:pPr>
      <w:r w:rsidRPr="000151B2">
        <w:rPr>
          <w:rStyle w:val="Strong"/>
          <w:sz w:val="22"/>
        </w:rPr>
        <w:t>Figure 1:</w:t>
      </w:r>
      <w:r w:rsidRPr="000151B2">
        <w:rPr>
          <w:sz w:val="22"/>
        </w:rPr>
        <w:t xml:space="preserve"> </w:t>
      </w:r>
      <w:r w:rsidRPr="000151B2">
        <w:rPr>
          <w:b/>
          <w:sz w:val="22"/>
        </w:rPr>
        <w:t>Workflow of liquid biopsy in clinical practice</w:t>
      </w:r>
    </w:p>
    <w:p w:rsidR="00BB42AE" w:rsidRPr="00BB42AE" w:rsidRDefault="00BB42AE" w:rsidP="00BB42AE">
      <w:pPr>
        <w:pStyle w:val="Heading4"/>
        <w:spacing w:before="0"/>
        <w:rPr>
          <w:color w:val="auto"/>
        </w:rPr>
      </w:pPr>
      <w:r w:rsidRPr="00BB42AE">
        <w:rPr>
          <w:rStyle w:val="Strong"/>
          <w:b/>
          <w:bCs/>
          <w:color w:val="auto"/>
        </w:rPr>
        <w:t>B. Predictive Biomarker</w:t>
      </w:r>
    </w:p>
    <w:p w:rsidR="00BB42AE" w:rsidRDefault="00BB42AE" w:rsidP="00BB42AE">
      <w:pPr>
        <w:pStyle w:val="NormalWeb"/>
        <w:spacing w:before="0" w:beforeAutospacing="0" w:line="360" w:lineRule="auto"/>
        <w:jc w:val="both"/>
      </w:pPr>
      <w:r>
        <w:t xml:space="preserve">ctDNA is increasingly recognized for its role as a </w:t>
      </w:r>
      <w:r>
        <w:rPr>
          <w:rStyle w:val="Strong"/>
        </w:rPr>
        <w:t>predictive biomarker</w:t>
      </w:r>
      <w:r>
        <w:t>, aiding in the selection of targeted therapies and monitoring therapeutic response.</w:t>
      </w:r>
    </w:p>
    <w:p w:rsidR="00BB42AE" w:rsidRPr="00BB42AE" w:rsidRDefault="00BB42AE" w:rsidP="00BB42AE">
      <w:pPr>
        <w:pStyle w:val="NormalWeb"/>
        <w:numPr>
          <w:ilvl w:val="0"/>
          <w:numId w:val="3"/>
        </w:numPr>
        <w:spacing w:before="0" w:beforeAutospacing="0" w:after="0" w:afterAutospacing="0" w:line="360" w:lineRule="auto"/>
        <w:jc w:val="both"/>
        <w:rPr>
          <w:rStyle w:val="Strong"/>
          <w:b w:val="0"/>
          <w:bCs w:val="0"/>
        </w:rPr>
      </w:pPr>
      <w:r>
        <w:rPr>
          <w:rStyle w:val="Strong"/>
        </w:rPr>
        <w:lastRenderedPageBreak/>
        <w:t>Treatment Selection:</w:t>
      </w:r>
    </w:p>
    <w:p w:rsidR="00BB42AE" w:rsidRDefault="00BB42AE" w:rsidP="00BB42AE">
      <w:pPr>
        <w:pStyle w:val="NormalWeb"/>
        <w:spacing w:before="0" w:beforeAutospacing="0" w:after="0" w:afterAutospacing="0" w:line="360" w:lineRule="auto"/>
        <w:ind w:left="720"/>
        <w:jc w:val="both"/>
      </w:pPr>
      <w:r>
        <w:t xml:space="preserve">ctDNA analysis can detect actionable mutations such as </w:t>
      </w:r>
      <w:r>
        <w:rPr>
          <w:rStyle w:val="Strong"/>
        </w:rPr>
        <w:t>ESR1 mutations</w:t>
      </w:r>
      <w:r>
        <w:t xml:space="preserve">, which are associated with resistance to aromatase inhibitors in hormone receptor-positive breast cancer. Similarly, detection of </w:t>
      </w:r>
      <w:r>
        <w:rPr>
          <w:rStyle w:val="Strong"/>
        </w:rPr>
        <w:t>HER2 amplifications</w:t>
      </w:r>
      <w:r>
        <w:t xml:space="preserve"> in ctDNA can guide anti-HER2 therapy in HER2-positive disease, even in cases of tumor heterogeneity.</w:t>
      </w:r>
    </w:p>
    <w:p w:rsidR="00BB42AE" w:rsidRPr="00BB42AE" w:rsidRDefault="00BB42AE" w:rsidP="00BB42AE">
      <w:pPr>
        <w:pStyle w:val="NormalWeb"/>
        <w:numPr>
          <w:ilvl w:val="0"/>
          <w:numId w:val="3"/>
        </w:numPr>
        <w:spacing w:before="0" w:beforeAutospacing="0" w:after="0" w:afterAutospacing="0" w:line="360" w:lineRule="auto"/>
        <w:jc w:val="both"/>
        <w:rPr>
          <w:rStyle w:val="Strong"/>
          <w:b w:val="0"/>
          <w:bCs w:val="0"/>
        </w:rPr>
      </w:pPr>
      <w:r>
        <w:rPr>
          <w:rStyle w:val="Strong"/>
        </w:rPr>
        <w:t>Monitoring Treatment Response:</w:t>
      </w:r>
    </w:p>
    <w:p w:rsidR="00BB42AE" w:rsidRDefault="00BB42AE" w:rsidP="00BB42AE">
      <w:pPr>
        <w:pStyle w:val="NormalWeb"/>
        <w:spacing w:before="0" w:beforeAutospacing="0" w:after="0" w:afterAutospacing="0" w:line="360" w:lineRule="auto"/>
        <w:ind w:left="720"/>
        <w:jc w:val="both"/>
      </w:pPr>
      <w:r>
        <w:t>Quantitative changes in ctDNA levels during chemotherapy, endocrine therapy, or targeted therapy correlate with treatment efficacy. A rapid decline in ctDNA during treatment often reflects a good response, while persistently high or rising levels may indicate resistance or progressive disease.</w:t>
      </w:r>
    </w:p>
    <w:p w:rsidR="00BB42AE" w:rsidRPr="00F45F97" w:rsidRDefault="00BB42AE" w:rsidP="00BB42AE">
      <w:pPr>
        <w:pStyle w:val="Heading4"/>
        <w:rPr>
          <w:rFonts w:ascii="Times New Roman" w:hAnsi="Times New Roman" w:cs="Times New Roman"/>
          <w:color w:val="auto"/>
        </w:rPr>
      </w:pPr>
      <w:r w:rsidRPr="00F45F97">
        <w:rPr>
          <w:rStyle w:val="Strong"/>
          <w:rFonts w:ascii="Times New Roman" w:hAnsi="Times New Roman" w:cs="Times New Roman"/>
          <w:b/>
          <w:bCs/>
          <w:color w:val="auto"/>
        </w:rPr>
        <w:t>C. Prognostic Biomarker</w:t>
      </w:r>
    </w:p>
    <w:p w:rsidR="00BB42AE" w:rsidRDefault="00BB42AE" w:rsidP="00F45F97">
      <w:pPr>
        <w:pStyle w:val="NormalWeb"/>
        <w:spacing w:line="360" w:lineRule="auto"/>
        <w:jc w:val="both"/>
      </w:pPr>
      <w:r>
        <w:t xml:space="preserve">ctDNA serves as a powerful </w:t>
      </w:r>
      <w:r>
        <w:rPr>
          <w:rStyle w:val="Strong"/>
        </w:rPr>
        <w:t>prognostic tool</w:t>
      </w:r>
      <w:r>
        <w:t>, providing insights into disease progression, relapse risk, and survival outcomes.</w:t>
      </w:r>
    </w:p>
    <w:p w:rsidR="00F45F97" w:rsidRPr="00F45F97" w:rsidRDefault="00BB42AE" w:rsidP="00F45F97">
      <w:pPr>
        <w:pStyle w:val="NormalWeb"/>
        <w:numPr>
          <w:ilvl w:val="0"/>
          <w:numId w:val="4"/>
        </w:numPr>
        <w:spacing w:before="0" w:beforeAutospacing="0" w:after="0" w:afterAutospacing="0" w:line="360" w:lineRule="auto"/>
        <w:jc w:val="both"/>
        <w:rPr>
          <w:rStyle w:val="Strong"/>
          <w:b w:val="0"/>
          <w:bCs w:val="0"/>
        </w:rPr>
      </w:pPr>
      <w:r>
        <w:rPr>
          <w:rStyle w:val="Strong"/>
        </w:rPr>
        <w:t>Prediction of DFS and OS:</w:t>
      </w:r>
    </w:p>
    <w:p w:rsidR="00BB42AE" w:rsidRDefault="00BB42AE" w:rsidP="00F45F97">
      <w:pPr>
        <w:pStyle w:val="NormalWeb"/>
        <w:spacing w:before="0" w:beforeAutospacing="0" w:after="0" w:afterAutospacing="0" w:line="360" w:lineRule="auto"/>
        <w:ind w:left="720"/>
        <w:jc w:val="both"/>
      </w:pPr>
      <w:r>
        <w:t xml:space="preserve">Elevated ctDNA levels after surgery or during systemic therapy have been associated with </w:t>
      </w:r>
      <w:r>
        <w:rPr>
          <w:rStyle w:val="Strong"/>
        </w:rPr>
        <w:t>shorter disease-free survival (DFS)</w:t>
      </w:r>
      <w:r>
        <w:t xml:space="preserve"> and </w:t>
      </w:r>
      <w:r>
        <w:rPr>
          <w:rStyle w:val="Strong"/>
        </w:rPr>
        <w:t>overall survival (OS)</w:t>
      </w:r>
      <w:r>
        <w:t>, particularly in triple-negative and HER2-positive subtypes.</w:t>
      </w:r>
    </w:p>
    <w:p w:rsidR="00F45F97" w:rsidRDefault="00BB42AE" w:rsidP="00F45F97">
      <w:pPr>
        <w:pStyle w:val="NormalWeb"/>
        <w:numPr>
          <w:ilvl w:val="0"/>
          <w:numId w:val="4"/>
        </w:numPr>
        <w:spacing w:before="0" w:beforeAutospacing="0" w:after="0" w:afterAutospacing="0" w:line="360" w:lineRule="auto"/>
        <w:jc w:val="both"/>
        <w:rPr>
          <w:rStyle w:val="Strong"/>
          <w:b w:val="0"/>
          <w:bCs w:val="0"/>
        </w:rPr>
      </w:pPr>
      <w:r>
        <w:rPr>
          <w:rStyle w:val="Strong"/>
        </w:rPr>
        <w:t>Minimal Residual Disease (MRD) and Relapse Prediction:</w:t>
      </w:r>
    </w:p>
    <w:p w:rsidR="00BB42AE" w:rsidRDefault="00BB42AE" w:rsidP="00F45F97">
      <w:pPr>
        <w:pStyle w:val="NormalWeb"/>
        <w:spacing w:before="0" w:beforeAutospacing="0" w:after="0" w:afterAutospacing="0" w:line="360" w:lineRule="auto"/>
        <w:ind w:left="720"/>
        <w:jc w:val="both"/>
      </w:pPr>
      <w:r>
        <w:t xml:space="preserve">ctDNA is increasingly used to detect </w:t>
      </w:r>
      <w:r>
        <w:rPr>
          <w:rStyle w:val="Strong"/>
        </w:rPr>
        <w:t>MRD</w:t>
      </w:r>
      <w:r>
        <w:t xml:space="preserve"> following curative-intent therapy. ctDNA can reveal the presence of residual microscopic disease not visible on imaging, often predicting relapse </w:t>
      </w:r>
      <w:r>
        <w:rPr>
          <w:rStyle w:val="Strong"/>
        </w:rPr>
        <w:t>months before</w:t>
      </w:r>
      <w:r>
        <w:t xml:space="preserve"> clinical symptoms or radiologic findings. This allows for earlier therapeutic intervention.</w:t>
      </w:r>
    </w:p>
    <w:p w:rsidR="00BB42AE" w:rsidRPr="00F45F97" w:rsidRDefault="00BB42AE" w:rsidP="00BB42AE">
      <w:pPr>
        <w:pStyle w:val="Heading4"/>
        <w:rPr>
          <w:rFonts w:ascii="Times New Roman" w:hAnsi="Times New Roman" w:cs="Times New Roman"/>
          <w:color w:val="auto"/>
        </w:rPr>
      </w:pPr>
      <w:r w:rsidRPr="00F45F97">
        <w:rPr>
          <w:rStyle w:val="Strong"/>
          <w:rFonts w:ascii="Times New Roman" w:hAnsi="Times New Roman" w:cs="Times New Roman"/>
          <w:b/>
          <w:bCs/>
          <w:color w:val="auto"/>
        </w:rPr>
        <w:t>D. Resistance Monitoring</w:t>
      </w:r>
    </w:p>
    <w:p w:rsidR="00BB42AE" w:rsidRDefault="00BB42AE" w:rsidP="00F45F97">
      <w:pPr>
        <w:pStyle w:val="NormalWeb"/>
        <w:spacing w:line="360" w:lineRule="auto"/>
        <w:jc w:val="both"/>
      </w:pPr>
      <w:r>
        <w:t xml:space="preserve">One of the most impactful clinical applications of ctDNA is in tracking the development of </w:t>
      </w:r>
      <w:r>
        <w:rPr>
          <w:rStyle w:val="Strong"/>
        </w:rPr>
        <w:t>treatment resistance</w:t>
      </w:r>
      <w:r>
        <w:t>.</w:t>
      </w:r>
    </w:p>
    <w:p w:rsidR="00F45F97" w:rsidRPr="00F45F97" w:rsidRDefault="00BB42AE" w:rsidP="00BB42AE">
      <w:pPr>
        <w:pStyle w:val="NormalWeb"/>
        <w:numPr>
          <w:ilvl w:val="0"/>
          <w:numId w:val="5"/>
        </w:numPr>
        <w:rPr>
          <w:rStyle w:val="Strong"/>
          <w:b w:val="0"/>
          <w:bCs w:val="0"/>
        </w:rPr>
      </w:pPr>
      <w:r>
        <w:rPr>
          <w:rStyle w:val="Strong"/>
        </w:rPr>
        <w:t>Detection of Resistance Mutations:</w:t>
      </w:r>
    </w:p>
    <w:p w:rsidR="00BB42AE" w:rsidRDefault="00BB42AE" w:rsidP="00F45F97">
      <w:pPr>
        <w:pStyle w:val="NormalWeb"/>
        <w:spacing w:line="360" w:lineRule="auto"/>
        <w:ind w:left="720"/>
        <w:jc w:val="both"/>
      </w:pPr>
      <w:r>
        <w:t xml:space="preserve">Acquired mutations such as </w:t>
      </w:r>
      <w:r>
        <w:rPr>
          <w:rStyle w:val="Strong"/>
        </w:rPr>
        <w:t>PIK3CA</w:t>
      </w:r>
      <w:r>
        <w:t xml:space="preserve">, </w:t>
      </w:r>
      <w:r>
        <w:rPr>
          <w:rStyle w:val="Strong"/>
        </w:rPr>
        <w:t>ESR1</w:t>
      </w:r>
      <w:r>
        <w:t xml:space="preserve">, and </w:t>
      </w:r>
      <w:r>
        <w:rPr>
          <w:rStyle w:val="Strong"/>
        </w:rPr>
        <w:t>HER2</w:t>
      </w:r>
      <w:r>
        <w:t xml:space="preserve"> mutations can be identified via ctDNA, offering insight into evolving resistance mechanisms. For example, ESR1 mutations are associated with endocrine therapy resistance, while PIK3CA mutations may confer resistance to certain kinase inhibitors.</w:t>
      </w:r>
    </w:p>
    <w:p w:rsidR="00F45F97" w:rsidRPr="00F45F97" w:rsidRDefault="00BB42AE" w:rsidP="00BB42AE">
      <w:pPr>
        <w:pStyle w:val="NormalWeb"/>
        <w:numPr>
          <w:ilvl w:val="0"/>
          <w:numId w:val="5"/>
        </w:numPr>
        <w:rPr>
          <w:rStyle w:val="Strong"/>
          <w:b w:val="0"/>
          <w:bCs w:val="0"/>
        </w:rPr>
      </w:pPr>
      <w:r>
        <w:rPr>
          <w:rStyle w:val="Strong"/>
        </w:rPr>
        <w:t>Therapy Adjustment in Real-Time:</w:t>
      </w:r>
    </w:p>
    <w:p w:rsidR="00BB42AE" w:rsidRDefault="00BB42AE" w:rsidP="00F45F97">
      <w:pPr>
        <w:pStyle w:val="NormalWeb"/>
        <w:spacing w:line="360" w:lineRule="auto"/>
        <w:ind w:left="720"/>
        <w:jc w:val="both"/>
      </w:pPr>
      <w:r>
        <w:t xml:space="preserve">Longitudinal ctDNA monitoring enables oncologists to adjust treatment strategies dynamically based on molecular evolution. This includes switching to alternative targeted </w:t>
      </w:r>
      <w:r>
        <w:lastRenderedPageBreak/>
        <w:t xml:space="preserve">therapies or enrolling patients in mutation-specific clinical trials, thereby improving patient outcomes through a </w:t>
      </w:r>
      <w:r>
        <w:rPr>
          <w:rStyle w:val="Strong"/>
        </w:rPr>
        <w:t>precision medicine approach</w:t>
      </w:r>
      <w:r>
        <w:t>.</w:t>
      </w:r>
    </w:p>
    <w:p w:rsidR="00F45F97" w:rsidRDefault="00BB42AE" w:rsidP="00BB42AE">
      <w:pPr>
        <w:pStyle w:val="NormalWeb"/>
        <w:rPr>
          <w:rStyle w:val="Strong"/>
        </w:rPr>
      </w:pPr>
      <w:r>
        <w:rPr>
          <w:rStyle w:val="Strong"/>
        </w:rPr>
        <w:t>Conclusion of Section:</w:t>
      </w:r>
    </w:p>
    <w:p w:rsidR="00BB42AE" w:rsidRDefault="00BB42AE" w:rsidP="00F45F97">
      <w:pPr>
        <w:pStyle w:val="NormalWeb"/>
        <w:spacing w:line="360" w:lineRule="auto"/>
        <w:jc w:val="both"/>
      </w:pPr>
      <w:r>
        <w:t>The integration of ctDNA into clinical practice is reshaping the management of breast cancer. From diagnosis to resistance monitoring, ctDNA offers a minimally invasive, dynamic, and highly informative approach to personalize treatment and improve prognosis. Ongoing clinical trials and technological advancements will further enhance its clinical utility and standardization.</w:t>
      </w:r>
    </w:p>
    <w:p w:rsidR="00F45F97" w:rsidRDefault="00F45F97" w:rsidP="00F45F97">
      <w:pPr>
        <w:pStyle w:val="Heading3"/>
      </w:pPr>
      <w:r>
        <w:rPr>
          <w:rStyle w:val="Strong"/>
          <w:b/>
          <w:bCs/>
        </w:rPr>
        <w:t>6. Comparative Advantages of Liquid Biopsy</w:t>
      </w:r>
    </w:p>
    <w:p w:rsidR="00F45F97" w:rsidRDefault="00F45F97" w:rsidP="00F45F97">
      <w:pPr>
        <w:pStyle w:val="NormalWeb"/>
        <w:spacing w:line="360" w:lineRule="auto"/>
        <w:jc w:val="both"/>
      </w:pPr>
      <w:r>
        <w:t xml:space="preserve">Liquid biopsy, particularly through the analysis of </w:t>
      </w:r>
      <w:r>
        <w:rPr>
          <w:rStyle w:val="Strong"/>
        </w:rPr>
        <w:t>circulating tumor DNA (ctDNA)</w:t>
      </w:r>
      <w:r>
        <w:t>, has emerged as a valuable tool complementing or, in some instances, replacing traditional tissue biopsy. While tissue biopsy remains the gold standard for initial tumor diagnosis and histopathological evaluation, it has several limitations that can be effectively addressed by liquid biopsy.</w:t>
      </w:r>
    </w:p>
    <w:p w:rsidR="00F45F97" w:rsidRPr="00F45F97" w:rsidRDefault="00F45F97" w:rsidP="00F45F97">
      <w:pPr>
        <w:pStyle w:val="Heading4"/>
        <w:rPr>
          <w:rFonts w:ascii="Times New Roman" w:hAnsi="Times New Roman" w:cs="Times New Roman"/>
          <w:color w:val="auto"/>
        </w:rPr>
      </w:pPr>
      <w:r w:rsidRPr="00F45F97">
        <w:rPr>
          <w:rStyle w:val="Strong"/>
          <w:rFonts w:ascii="Times New Roman" w:hAnsi="Times New Roman" w:cs="Times New Roman"/>
          <w:b/>
          <w:bCs/>
          <w:color w:val="auto"/>
        </w:rPr>
        <w:t>A. Safety and Minimally Invasive Nature</w:t>
      </w:r>
    </w:p>
    <w:p w:rsidR="00F45F97" w:rsidRDefault="00F45F97" w:rsidP="00F45F97">
      <w:pPr>
        <w:pStyle w:val="NormalWeb"/>
        <w:spacing w:line="360" w:lineRule="auto"/>
        <w:jc w:val="both"/>
      </w:pPr>
      <w:r>
        <w:t>Tissue biopsy procedures, such as core needle or surgical biopsies, are inherently invasive and associated with risks, including bleeding, infection, pain, and potential complications, especially in anatomically challenging or inaccessible tumor sites (e.g., lung, brain, or bone metastases). These procedures are often not feasible in frail or elderly patients or those with comorbid conditions.</w:t>
      </w:r>
    </w:p>
    <w:p w:rsidR="00F45F97" w:rsidRDefault="00F45F97" w:rsidP="00F45F97">
      <w:pPr>
        <w:pStyle w:val="NormalWeb"/>
        <w:spacing w:line="360" w:lineRule="auto"/>
        <w:jc w:val="both"/>
      </w:pPr>
      <w:r>
        <w:t xml:space="preserve">In contrast, liquid biopsy requires only a simple </w:t>
      </w:r>
      <w:r>
        <w:rPr>
          <w:rStyle w:val="Strong"/>
        </w:rPr>
        <w:t>venipuncture (blood draw)</w:t>
      </w:r>
      <w:r>
        <w:t>, which significantly reduces procedural risks and discomfort. This makes it a safer and more acceptable option for patients, particularly for repeated sampling during treatment and follow-up.</w:t>
      </w:r>
    </w:p>
    <w:p w:rsidR="00F45F97" w:rsidRPr="00F45F97" w:rsidRDefault="00F45F97" w:rsidP="00F45F97">
      <w:pPr>
        <w:pStyle w:val="Heading4"/>
        <w:rPr>
          <w:rFonts w:ascii="Times New Roman" w:hAnsi="Times New Roman" w:cs="Times New Roman"/>
          <w:color w:val="auto"/>
        </w:rPr>
      </w:pPr>
      <w:r w:rsidRPr="00F45F97">
        <w:rPr>
          <w:rStyle w:val="Strong"/>
          <w:rFonts w:ascii="Times New Roman" w:hAnsi="Times New Roman" w:cs="Times New Roman"/>
          <w:b/>
          <w:bCs/>
          <w:color w:val="auto"/>
        </w:rPr>
        <w:t>B. Repeatability and Real-Time Monitoring</w:t>
      </w:r>
    </w:p>
    <w:p w:rsidR="00F45F97" w:rsidRDefault="00F45F97" w:rsidP="00F45F97">
      <w:pPr>
        <w:pStyle w:val="NormalWeb"/>
        <w:spacing w:line="360" w:lineRule="auto"/>
        <w:jc w:val="both"/>
      </w:pPr>
      <w:r>
        <w:t xml:space="preserve">A major limitation of tissue biopsy is its inability to be </w:t>
      </w:r>
      <w:r>
        <w:rPr>
          <w:rStyle w:val="Strong"/>
        </w:rPr>
        <w:t>repeated frequently</w:t>
      </w:r>
      <w:r>
        <w:t>. Repeated tissue sampling is not only invasive but may be logistically and ethically impractical. This restricts its use in dynamic disease monitoring.</w:t>
      </w:r>
    </w:p>
    <w:p w:rsidR="00F45F97" w:rsidRDefault="00F45F97" w:rsidP="00F45F97">
      <w:pPr>
        <w:pStyle w:val="NormalWeb"/>
        <w:spacing w:line="360" w:lineRule="auto"/>
        <w:jc w:val="both"/>
      </w:pPr>
      <w:r>
        <w:t xml:space="preserve">Liquid biopsy, being non-invasive, enables </w:t>
      </w:r>
      <w:r>
        <w:rPr>
          <w:rStyle w:val="Strong"/>
        </w:rPr>
        <w:t>serial sampling</w:t>
      </w:r>
      <w:r>
        <w:t xml:space="preserve"> at multiple time points, allowing clinicians to monitor tumor evolution, treatment response, and emergence of resistance mutations in real time. This </w:t>
      </w:r>
      <w:r>
        <w:rPr>
          <w:rStyle w:val="Strong"/>
        </w:rPr>
        <w:t>temporal tracking</w:t>
      </w:r>
      <w:r>
        <w:t xml:space="preserve"> enhances the ability to adjust treatment strategies promptly, thereby improving clinical outcomes.</w:t>
      </w:r>
    </w:p>
    <w:p w:rsidR="00F45F97" w:rsidRPr="00F45F97" w:rsidRDefault="00F45F97" w:rsidP="00F45F97">
      <w:pPr>
        <w:pStyle w:val="Heading4"/>
        <w:rPr>
          <w:rFonts w:ascii="Times New Roman" w:hAnsi="Times New Roman" w:cs="Times New Roman"/>
          <w:color w:val="auto"/>
        </w:rPr>
      </w:pPr>
      <w:r w:rsidRPr="00F45F97">
        <w:rPr>
          <w:rStyle w:val="Strong"/>
          <w:rFonts w:ascii="Times New Roman" w:hAnsi="Times New Roman" w:cs="Times New Roman"/>
          <w:b/>
          <w:bCs/>
          <w:color w:val="auto"/>
        </w:rPr>
        <w:t>C. Assessment of Tumor Heterogeneity</w:t>
      </w:r>
    </w:p>
    <w:p w:rsidR="00F45F97" w:rsidRDefault="00F45F97" w:rsidP="00F45F97">
      <w:pPr>
        <w:pStyle w:val="NormalWeb"/>
        <w:spacing w:line="360" w:lineRule="auto"/>
        <w:jc w:val="both"/>
      </w:pPr>
      <w:r>
        <w:t xml:space="preserve">Tissue biopsy samples represent only a </w:t>
      </w:r>
      <w:r>
        <w:rPr>
          <w:rStyle w:val="Strong"/>
        </w:rPr>
        <w:t>snapshot</w:t>
      </w:r>
      <w:r>
        <w:t xml:space="preserve"> of a localized portion of the tumor, often missing intratumoral and intertumoral heterogeneity—particularly relevant in metastatic or multifocal breast </w:t>
      </w:r>
      <w:r>
        <w:lastRenderedPageBreak/>
        <w:t xml:space="preserve">cancer. This can result in an </w:t>
      </w:r>
      <w:r>
        <w:rPr>
          <w:rStyle w:val="Strong"/>
        </w:rPr>
        <w:t>underestimation of molecular diversity</w:t>
      </w:r>
      <w:r>
        <w:t>, leading to suboptimal therapeutic choices.</w:t>
      </w:r>
    </w:p>
    <w:p w:rsidR="00F45F97" w:rsidRDefault="00F45F97" w:rsidP="00F45F97">
      <w:pPr>
        <w:pStyle w:val="NormalWeb"/>
        <w:spacing w:line="360" w:lineRule="auto"/>
        <w:jc w:val="both"/>
      </w:pPr>
      <w:r>
        <w:t xml:space="preserve">Liquid biopsy overcomes this limitation by capturing ctDNA shed from </w:t>
      </w:r>
      <w:r>
        <w:rPr>
          <w:rStyle w:val="Strong"/>
        </w:rPr>
        <w:t>multiple tumor sites</w:t>
      </w:r>
      <w:r>
        <w:t xml:space="preserve">, including primary and metastatic lesions. This provides a more </w:t>
      </w:r>
      <w:r>
        <w:rPr>
          <w:rStyle w:val="Strong"/>
        </w:rPr>
        <w:t>comprehensive molecular profile</w:t>
      </w:r>
      <w:r>
        <w:t xml:space="preserve"> of the entire tumor burden, reflecting both clonal and sub clonal populations. It is especially valuable in detecting emergent resistance mutations that may arise in metastatic sites not sampled by tissue biopsy.</w:t>
      </w:r>
    </w:p>
    <w:p w:rsidR="00F45F97" w:rsidRDefault="00F45F97" w:rsidP="00F45F97">
      <w:pPr>
        <w:pStyle w:val="NormalWeb"/>
        <w:spacing w:line="360" w:lineRule="auto"/>
        <w:jc w:val="both"/>
        <w:rPr>
          <w:rStyle w:val="Strong"/>
          <w:bCs w:val="0"/>
        </w:rPr>
      </w:pPr>
      <w:r w:rsidRPr="00F45F97">
        <w:rPr>
          <w:rStyle w:val="Strong"/>
          <w:bCs w:val="0"/>
        </w:rPr>
        <w:t>Table:1-Summary of Advantages</w:t>
      </w:r>
      <w:r>
        <w:rPr>
          <w:rStyle w:val="Strong"/>
          <w:bCs w:val="0"/>
        </w:rPr>
        <w:t>:</w:t>
      </w:r>
    </w:p>
    <w:tbl>
      <w:tblPr>
        <w:tblStyle w:val="TableGrid"/>
        <w:tblW w:w="10098" w:type="dxa"/>
        <w:tblLook w:val="04A0" w:firstRow="1" w:lastRow="0" w:firstColumn="1" w:lastColumn="0" w:noHBand="0" w:noVBand="1"/>
      </w:tblPr>
      <w:tblGrid>
        <w:gridCol w:w="758"/>
        <w:gridCol w:w="2654"/>
        <w:gridCol w:w="3263"/>
        <w:gridCol w:w="3423"/>
      </w:tblGrid>
      <w:tr w:rsidR="00F45F97" w:rsidTr="00F45F97">
        <w:trPr>
          <w:trHeight w:val="439"/>
        </w:trPr>
        <w:tc>
          <w:tcPr>
            <w:tcW w:w="758" w:type="dxa"/>
            <w:shd w:val="clear" w:color="auto" w:fill="BFBFBF" w:themeFill="background1" w:themeFillShade="BF"/>
            <w:vAlign w:val="center"/>
          </w:tcPr>
          <w:p w:rsidR="00F45F97" w:rsidRDefault="00F45F97" w:rsidP="005A47EC">
            <w:pPr>
              <w:jc w:val="center"/>
              <w:rPr>
                <w:b/>
                <w:bCs/>
              </w:rPr>
            </w:pPr>
            <w:r>
              <w:rPr>
                <w:b/>
                <w:bCs/>
              </w:rPr>
              <w:t>S.No</w:t>
            </w:r>
          </w:p>
        </w:tc>
        <w:tc>
          <w:tcPr>
            <w:tcW w:w="2654" w:type="dxa"/>
            <w:shd w:val="clear" w:color="auto" w:fill="BFBFBF" w:themeFill="background1" w:themeFillShade="BF"/>
            <w:vAlign w:val="center"/>
            <w:hideMark/>
          </w:tcPr>
          <w:p w:rsidR="00F45F97" w:rsidRDefault="00F45F97" w:rsidP="005A47EC">
            <w:pPr>
              <w:jc w:val="center"/>
              <w:rPr>
                <w:b/>
                <w:bCs/>
                <w:sz w:val="24"/>
                <w:szCs w:val="24"/>
              </w:rPr>
            </w:pPr>
            <w:r>
              <w:rPr>
                <w:b/>
                <w:bCs/>
              </w:rPr>
              <w:t>Feature</w:t>
            </w:r>
          </w:p>
        </w:tc>
        <w:tc>
          <w:tcPr>
            <w:tcW w:w="0" w:type="auto"/>
            <w:shd w:val="clear" w:color="auto" w:fill="BFBFBF" w:themeFill="background1" w:themeFillShade="BF"/>
            <w:vAlign w:val="center"/>
            <w:hideMark/>
          </w:tcPr>
          <w:p w:rsidR="00F45F97" w:rsidRDefault="00F45F97" w:rsidP="005A47EC">
            <w:pPr>
              <w:jc w:val="center"/>
              <w:rPr>
                <w:b/>
                <w:bCs/>
                <w:sz w:val="24"/>
                <w:szCs w:val="24"/>
              </w:rPr>
            </w:pPr>
            <w:r>
              <w:rPr>
                <w:b/>
                <w:bCs/>
              </w:rPr>
              <w:t>Tissue Biopsy</w:t>
            </w:r>
          </w:p>
        </w:tc>
        <w:tc>
          <w:tcPr>
            <w:tcW w:w="3423" w:type="dxa"/>
            <w:shd w:val="clear" w:color="auto" w:fill="BFBFBF" w:themeFill="background1" w:themeFillShade="BF"/>
            <w:vAlign w:val="center"/>
            <w:hideMark/>
          </w:tcPr>
          <w:p w:rsidR="00F45F97" w:rsidRDefault="00F45F97" w:rsidP="005A47EC">
            <w:pPr>
              <w:jc w:val="center"/>
              <w:rPr>
                <w:b/>
                <w:bCs/>
                <w:sz w:val="24"/>
                <w:szCs w:val="24"/>
              </w:rPr>
            </w:pPr>
            <w:r>
              <w:rPr>
                <w:b/>
                <w:bCs/>
              </w:rPr>
              <w:t>Liquid Biopsy</w:t>
            </w:r>
          </w:p>
        </w:tc>
      </w:tr>
      <w:tr w:rsidR="00F45F97" w:rsidTr="00F45F97">
        <w:trPr>
          <w:trHeight w:val="416"/>
        </w:trPr>
        <w:tc>
          <w:tcPr>
            <w:tcW w:w="758" w:type="dxa"/>
            <w:vAlign w:val="center"/>
          </w:tcPr>
          <w:p w:rsidR="00F45F97" w:rsidRDefault="00F45F97" w:rsidP="005A47EC">
            <w:pPr>
              <w:jc w:val="center"/>
              <w:rPr>
                <w:rStyle w:val="Strong"/>
              </w:rPr>
            </w:pPr>
            <w:r>
              <w:rPr>
                <w:rStyle w:val="Strong"/>
              </w:rPr>
              <w:t>1</w:t>
            </w:r>
          </w:p>
        </w:tc>
        <w:tc>
          <w:tcPr>
            <w:tcW w:w="2654" w:type="dxa"/>
            <w:vAlign w:val="center"/>
            <w:hideMark/>
          </w:tcPr>
          <w:p w:rsidR="00F45F97" w:rsidRDefault="00F45F97" w:rsidP="005A47EC">
            <w:pPr>
              <w:rPr>
                <w:sz w:val="24"/>
                <w:szCs w:val="24"/>
              </w:rPr>
            </w:pPr>
            <w:r>
              <w:rPr>
                <w:rStyle w:val="Strong"/>
              </w:rPr>
              <w:t>Invasiveness</w:t>
            </w:r>
          </w:p>
        </w:tc>
        <w:tc>
          <w:tcPr>
            <w:tcW w:w="0" w:type="auto"/>
            <w:vAlign w:val="center"/>
            <w:hideMark/>
          </w:tcPr>
          <w:p w:rsidR="00F45F97" w:rsidRDefault="00F45F97" w:rsidP="005A47EC">
            <w:pPr>
              <w:rPr>
                <w:sz w:val="24"/>
                <w:szCs w:val="24"/>
              </w:rPr>
            </w:pPr>
            <w:r>
              <w:t>Invasive (needle/surgical)</w:t>
            </w:r>
          </w:p>
        </w:tc>
        <w:tc>
          <w:tcPr>
            <w:tcW w:w="3423" w:type="dxa"/>
            <w:vAlign w:val="center"/>
            <w:hideMark/>
          </w:tcPr>
          <w:p w:rsidR="00F45F97" w:rsidRDefault="00F45F97" w:rsidP="005A47EC">
            <w:pPr>
              <w:rPr>
                <w:sz w:val="24"/>
                <w:szCs w:val="24"/>
              </w:rPr>
            </w:pPr>
            <w:r>
              <w:t>Minimally invasive (blood sample)</w:t>
            </w:r>
          </w:p>
        </w:tc>
      </w:tr>
      <w:tr w:rsidR="00F45F97" w:rsidTr="00F45F97">
        <w:trPr>
          <w:trHeight w:val="439"/>
        </w:trPr>
        <w:tc>
          <w:tcPr>
            <w:tcW w:w="758" w:type="dxa"/>
            <w:vAlign w:val="center"/>
          </w:tcPr>
          <w:p w:rsidR="00F45F97" w:rsidRDefault="00F45F97" w:rsidP="005A47EC">
            <w:pPr>
              <w:jc w:val="center"/>
              <w:rPr>
                <w:rStyle w:val="Strong"/>
              </w:rPr>
            </w:pPr>
            <w:r>
              <w:rPr>
                <w:rStyle w:val="Strong"/>
              </w:rPr>
              <w:t>2</w:t>
            </w:r>
          </w:p>
        </w:tc>
        <w:tc>
          <w:tcPr>
            <w:tcW w:w="2654" w:type="dxa"/>
            <w:vAlign w:val="center"/>
            <w:hideMark/>
          </w:tcPr>
          <w:p w:rsidR="00F45F97" w:rsidRDefault="00F45F97" w:rsidP="005A47EC">
            <w:pPr>
              <w:rPr>
                <w:sz w:val="24"/>
                <w:szCs w:val="24"/>
              </w:rPr>
            </w:pPr>
            <w:r>
              <w:rPr>
                <w:rStyle w:val="Strong"/>
              </w:rPr>
              <w:t>Safety</w:t>
            </w:r>
          </w:p>
        </w:tc>
        <w:tc>
          <w:tcPr>
            <w:tcW w:w="0" w:type="auto"/>
            <w:vAlign w:val="center"/>
            <w:hideMark/>
          </w:tcPr>
          <w:p w:rsidR="00F45F97" w:rsidRDefault="00F45F97" w:rsidP="005A47EC">
            <w:pPr>
              <w:rPr>
                <w:sz w:val="24"/>
                <w:szCs w:val="24"/>
              </w:rPr>
            </w:pPr>
            <w:r>
              <w:t>Risk of complications</w:t>
            </w:r>
          </w:p>
        </w:tc>
        <w:tc>
          <w:tcPr>
            <w:tcW w:w="3423" w:type="dxa"/>
            <w:vAlign w:val="center"/>
            <w:hideMark/>
          </w:tcPr>
          <w:p w:rsidR="00F45F97" w:rsidRDefault="00F45F97" w:rsidP="005A47EC">
            <w:pPr>
              <w:rPr>
                <w:sz w:val="24"/>
                <w:szCs w:val="24"/>
              </w:rPr>
            </w:pPr>
            <w:r>
              <w:t>Safe and well-tolerated</w:t>
            </w:r>
          </w:p>
        </w:tc>
      </w:tr>
      <w:tr w:rsidR="00F45F97" w:rsidTr="00F45F97">
        <w:trPr>
          <w:trHeight w:val="416"/>
        </w:trPr>
        <w:tc>
          <w:tcPr>
            <w:tcW w:w="758" w:type="dxa"/>
            <w:vAlign w:val="center"/>
          </w:tcPr>
          <w:p w:rsidR="00F45F97" w:rsidRDefault="00F45F97" w:rsidP="005A47EC">
            <w:pPr>
              <w:jc w:val="center"/>
              <w:rPr>
                <w:rStyle w:val="Strong"/>
              </w:rPr>
            </w:pPr>
            <w:r>
              <w:rPr>
                <w:rStyle w:val="Strong"/>
              </w:rPr>
              <w:t>3</w:t>
            </w:r>
          </w:p>
        </w:tc>
        <w:tc>
          <w:tcPr>
            <w:tcW w:w="2654" w:type="dxa"/>
            <w:vAlign w:val="center"/>
            <w:hideMark/>
          </w:tcPr>
          <w:p w:rsidR="00F45F97" w:rsidRDefault="00F45F97" w:rsidP="005A47EC">
            <w:pPr>
              <w:rPr>
                <w:sz w:val="24"/>
                <w:szCs w:val="24"/>
              </w:rPr>
            </w:pPr>
            <w:r>
              <w:rPr>
                <w:rStyle w:val="Strong"/>
              </w:rPr>
              <w:t>Repeatability</w:t>
            </w:r>
          </w:p>
        </w:tc>
        <w:tc>
          <w:tcPr>
            <w:tcW w:w="0" w:type="auto"/>
            <w:vAlign w:val="center"/>
            <w:hideMark/>
          </w:tcPr>
          <w:p w:rsidR="00F45F97" w:rsidRDefault="00F45F97" w:rsidP="005A47EC">
            <w:pPr>
              <w:rPr>
                <w:sz w:val="24"/>
                <w:szCs w:val="24"/>
              </w:rPr>
            </w:pPr>
            <w:r>
              <w:t>Limited</w:t>
            </w:r>
          </w:p>
        </w:tc>
        <w:tc>
          <w:tcPr>
            <w:tcW w:w="3423" w:type="dxa"/>
            <w:vAlign w:val="center"/>
            <w:hideMark/>
          </w:tcPr>
          <w:p w:rsidR="00F45F97" w:rsidRDefault="00F45F97" w:rsidP="005A47EC">
            <w:pPr>
              <w:rPr>
                <w:sz w:val="24"/>
                <w:szCs w:val="24"/>
              </w:rPr>
            </w:pPr>
            <w:r>
              <w:t>High—can be repeated frequently</w:t>
            </w:r>
          </w:p>
        </w:tc>
      </w:tr>
      <w:tr w:rsidR="00F45F97" w:rsidTr="00F45F97">
        <w:trPr>
          <w:trHeight w:val="439"/>
        </w:trPr>
        <w:tc>
          <w:tcPr>
            <w:tcW w:w="758" w:type="dxa"/>
            <w:vAlign w:val="center"/>
          </w:tcPr>
          <w:p w:rsidR="00F45F97" w:rsidRDefault="00F45F97" w:rsidP="005A47EC">
            <w:pPr>
              <w:jc w:val="center"/>
              <w:rPr>
                <w:rStyle w:val="Strong"/>
              </w:rPr>
            </w:pPr>
            <w:r>
              <w:rPr>
                <w:rStyle w:val="Strong"/>
              </w:rPr>
              <w:t>4</w:t>
            </w:r>
          </w:p>
        </w:tc>
        <w:tc>
          <w:tcPr>
            <w:tcW w:w="2654" w:type="dxa"/>
            <w:vAlign w:val="center"/>
            <w:hideMark/>
          </w:tcPr>
          <w:p w:rsidR="00F45F97" w:rsidRDefault="00F45F97" w:rsidP="005A47EC">
            <w:pPr>
              <w:rPr>
                <w:sz w:val="24"/>
                <w:szCs w:val="24"/>
              </w:rPr>
            </w:pPr>
            <w:r>
              <w:rPr>
                <w:rStyle w:val="Strong"/>
              </w:rPr>
              <w:t>Tumor Heterogeneity</w:t>
            </w:r>
          </w:p>
        </w:tc>
        <w:tc>
          <w:tcPr>
            <w:tcW w:w="0" w:type="auto"/>
            <w:vAlign w:val="center"/>
            <w:hideMark/>
          </w:tcPr>
          <w:p w:rsidR="00F45F97" w:rsidRDefault="00F45F97" w:rsidP="005A47EC">
            <w:pPr>
              <w:rPr>
                <w:sz w:val="24"/>
                <w:szCs w:val="24"/>
              </w:rPr>
            </w:pPr>
            <w:r>
              <w:t>Limited snapshot</w:t>
            </w:r>
          </w:p>
        </w:tc>
        <w:tc>
          <w:tcPr>
            <w:tcW w:w="3423" w:type="dxa"/>
            <w:vAlign w:val="center"/>
            <w:hideMark/>
          </w:tcPr>
          <w:p w:rsidR="00F45F97" w:rsidRDefault="00F45F97" w:rsidP="005A47EC">
            <w:pPr>
              <w:rPr>
                <w:sz w:val="24"/>
                <w:szCs w:val="24"/>
              </w:rPr>
            </w:pPr>
            <w:r>
              <w:t>Reflects total tumor burden</w:t>
            </w:r>
          </w:p>
        </w:tc>
      </w:tr>
      <w:tr w:rsidR="00F45F97" w:rsidTr="00F45F97">
        <w:trPr>
          <w:trHeight w:val="439"/>
        </w:trPr>
        <w:tc>
          <w:tcPr>
            <w:tcW w:w="758" w:type="dxa"/>
            <w:vAlign w:val="center"/>
          </w:tcPr>
          <w:p w:rsidR="00F45F97" w:rsidRDefault="00F45F97" w:rsidP="005A47EC">
            <w:pPr>
              <w:jc w:val="center"/>
              <w:rPr>
                <w:rStyle w:val="Strong"/>
              </w:rPr>
            </w:pPr>
            <w:r>
              <w:rPr>
                <w:rStyle w:val="Strong"/>
              </w:rPr>
              <w:t>5</w:t>
            </w:r>
          </w:p>
        </w:tc>
        <w:tc>
          <w:tcPr>
            <w:tcW w:w="2654" w:type="dxa"/>
            <w:vAlign w:val="center"/>
            <w:hideMark/>
          </w:tcPr>
          <w:p w:rsidR="00F45F97" w:rsidRDefault="00F45F97" w:rsidP="005A47EC">
            <w:pPr>
              <w:rPr>
                <w:sz w:val="24"/>
                <w:szCs w:val="24"/>
              </w:rPr>
            </w:pPr>
            <w:r>
              <w:rPr>
                <w:rStyle w:val="Strong"/>
              </w:rPr>
              <w:t>Turnaround Time</w:t>
            </w:r>
          </w:p>
        </w:tc>
        <w:tc>
          <w:tcPr>
            <w:tcW w:w="0" w:type="auto"/>
            <w:vAlign w:val="center"/>
            <w:hideMark/>
          </w:tcPr>
          <w:p w:rsidR="00F45F97" w:rsidRDefault="00F45F97" w:rsidP="005A47EC">
            <w:pPr>
              <w:rPr>
                <w:sz w:val="24"/>
                <w:szCs w:val="24"/>
              </w:rPr>
            </w:pPr>
            <w:r>
              <w:t>Days to weeks</w:t>
            </w:r>
          </w:p>
        </w:tc>
        <w:tc>
          <w:tcPr>
            <w:tcW w:w="3423" w:type="dxa"/>
            <w:vAlign w:val="center"/>
            <w:hideMark/>
          </w:tcPr>
          <w:p w:rsidR="00F45F97" w:rsidRDefault="00F45F97" w:rsidP="005A47EC">
            <w:pPr>
              <w:rPr>
                <w:sz w:val="24"/>
                <w:szCs w:val="24"/>
              </w:rPr>
            </w:pPr>
            <w:r>
              <w:t>Often faster, hours to a few days</w:t>
            </w:r>
          </w:p>
        </w:tc>
      </w:tr>
      <w:tr w:rsidR="00F45F97" w:rsidTr="00F45F97">
        <w:trPr>
          <w:trHeight w:val="488"/>
        </w:trPr>
        <w:tc>
          <w:tcPr>
            <w:tcW w:w="758" w:type="dxa"/>
            <w:vAlign w:val="center"/>
          </w:tcPr>
          <w:p w:rsidR="00F45F97" w:rsidRDefault="00F45F97" w:rsidP="005A47EC">
            <w:pPr>
              <w:jc w:val="center"/>
              <w:rPr>
                <w:rStyle w:val="Strong"/>
              </w:rPr>
            </w:pPr>
            <w:r>
              <w:rPr>
                <w:rStyle w:val="Strong"/>
              </w:rPr>
              <w:t>6</w:t>
            </w:r>
          </w:p>
        </w:tc>
        <w:tc>
          <w:tcPr>
            <w:tcW w:w="2654" w:type="dxa"/>
            <w:vAlign w:val="center"/>
            <w:hideMark/>
          </w:tcPr>
          <w:p w:rsidR="00F45F97" w:rsidRDefault="00F45F97" w:rsidP="005A47EC">
            <w:pPr>
              <w:rPr>
                <w:sz w:val="24"/>
                <w:szCs w:val="24"/>
              </w:rPr>
            </w:pPr>
            <w:r>
              <w:rPr>
                <w:rStyle w:val="Strong"/>
              </w:rPr>
              <w:t>Feasibility in Metastasis</w:t>
            </w:r>
          </w:p>
        </w:tc>
        <w:tc>
          <w:tcPr>
            <w:tcW w:w="0" w:type="auto"/>
            <w:vAlign w:val="center"/>
            <w:hideMark/>
          </w:tcPr>
          <w:p w:rsidR="00F45F97" w:rsidRDefault="00F45F97" w:rsidP="005A47EC">
            <w:pPr>
              <w:rPr>
                <w:sz w:val="24"/>
                <w:szCs w:val="24"/>
              </w:rPr>
            </w:pPr>
            <w:r>
              <w:t>Often limited or inaccessible</w:t>
            </w:r>
          </w:p>
        </w:tc>
        <w:tc>
          <w:tcPr>
            <w:tcW w:w="3423" w:type="dxa"/>
            <w:vAlign w:val="center"/>
            <w:hideMark/>
          </w:tcPr>
          <w:p w:rsidR="00F45F97" w:rsidRDefault="00F45F97" w:rsidP="005A47EC">
            <w:pPr>
              <w:rPr>
                <w:sz w:val="24"/>
                <w:szCs w:val="24"/>
              </w:rPr>
            </w:pPr>
            <w:r>
              <w:t>Accessible even in metastatic cases</w:t>
            </w:r>
          </w:p>
        </w:tc>
      </w:tr>
    </w:tbl>
    <w:p w:rsidR="00F45F97" w:rsidRDefault="00F45F97" w:rsidP="00F45F97">
      <w:pPr>
        <w:pStyle w:val="NormalWeb"/>
        <w:rPr>
          <w:rStyle w:val="Strong"/>
        </w:rPr>
      </w:pPr>
      <w:r>
        <w:rPr>
          <w:rStyle w:val="Strong"/>
        </w:rPr>
        <w:t>Conclusion of Section:</w:t>
      </w:r>
    </w:p>
    <w:p w:rsidR="000222E2" w:rsidRDefault="00F45F97" w:rsidP="000222E2">
      <w:pPr>
        <w:pStyle w:val="NormalWeb"/>
        <w:spacing w:line="360" w:lineRule="auto"/>
        <w:jc w:val="both"/>
      </w:pPr>
      <w:r>
        <w:t xml:space="preserve">While tissue biopsy remains indispensable for initial cancer diagnosis and histopathological assessment, </w:t>
      </w:r>
      <w:r>
        <w:rPr>
          <w:rStyle w:val="Strong"/>
        </w:rPr>
        <w:t>liquid biopsy offers a safer, repeatable, and more comprehensive approach</w:t>
      </w:r>
      <w:r>
        <w:t xml:space="preserve"> for monitoring tumor dynamics and guiding personalized therapy. Its integration into clinical workflows enhances precision oncology, particularly in metastatic breast cancer and in contexts requiring real-time molecular insights.</w:t>
      </w:r>
    </w:p>
    <w:p w:rsidR="000222E2" w:rsidRDefault="000222E2" w:rsidP="000222E2">
      <w:pPr>
        <w:pStyle w:val="Heading3"/>
      </w:pPr>
      <w:r>
        <w:rPr>
          <w:rStyle w:val="Strong"/>
          <w:b/>
          <w:bCs/>
        </w:rPr>
        <w:t>7. Current Limitations and Challenges</w:t>
      </w:r>
    </w:p>
    <w:p w:rsidR="000222E2" w:rsidRDefault="000222E2" w:rsidP="000222E2">
      <w:pPr>
        <w:pStyle w:val="NormalWeb"/>
        <w:spacing w:line="360" w:lineRule="auto"/>
        <w:jc w:val="both"/>
      </w:pPr>
      <w:r>
        <w:t xml:space="preserve">Despite the promising clinical utility of </w:t>
      </w:r>
      <w:r>
        <w:rPr>
          <w:rStyle w:val="Strong"/>
        </w:rPr>
        <w:t>liquid biopsy</w:t>
      </w:r>
      <w:r>
        <w:t xml:space="preserve"> and </w:t>
      </w:r>
      <w:r>
        <w:rPr>
          <w:rStyle w:val="Strong"/>
        </w:rPr>
        <w:t>circulating tumor DNA (ctDNA)</w:t>
      </w:r>
      <w:r>
        <w:t xml:space="preserve"> analysis in breast cancer management, several limitations and challenges hinder its widespread adoption and integration into routine clinical practice. These challenges span across technical, clinical, and regulatory domains.</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A. Technical Sensitivity and Specificity</w:t>
      </w:r>
    </w:p>
    <w:p w:rsidR="000222E2" w:rsidRDefault="000222E2" w:rsidP="000222E2">
      <w:pPr>
        <w:pStyle w:val="NormalWeb"/>
        <w:spacing w:line="360" w:lineRule="auto"/>
        <w:jc w:val="both"/>
      </w:pPr>
      <w:r>
        <w:t xml:space="preserve">One of the major technical challenges in ctDNA analysis is its </w:t>
      </w:r>
      <w:r>
        <w:rPr>
          <w:rStyle w:val="Strong"/>
        </w:rPr>
        <w:t>low abundance</w:t>
      </w:r>
      <w:r>
        <w:t xml:space="preserve"> in early-stage cancers or in patients with minimal residual disease (MRD). ctDNA often constitutes a very small fraction of total circulating cell-free DNA (cfDNA)—sometimes &lt;0.1%—making </w:t>
      </w:r>
      <w:r>
        <w:rPr>
          <w:rStyle w:val="Strong"/>
        </w:rPr>
        <w:t>detection and accurate quantification</w:t>
      </w:r>
      <w:r>
        <w:t xml:space="preserve"> technically demanding.</w:t>
      </w:r>
    </w:p>
    <w:p w:rsidR="000222E2" w:rsidRDefault="000222E2" w:rsidP="000222E2">
      <w:pPr>
        <w:pStyle w:val="NormalWeb"/>
        <w:spacing w:line="360" w:lineRule="auto"/>
        <w:jc w:val="both"/>
      </w:pPr>
      <w:r>
        <w:lastRenderedPageBreak/>
        <w:t xml:space="preserve">While highly sensitive technologies like </w:t>
      </w:r>
      <w:r>
        <w:rPr>
          <w:rStyle w:val="Strong"/>
        </w:rPr>
        <w:t>digital PCR</w:t>
      </w:r>
      <w:r>
        <w:t xml:space="preserve"> and </w:t>
      </w:r>
      <w:r>
        <w:rPr>
          <w:rStyle w:val="Strong"/>
        </w:rPr>
        <w:t>ultra-deep next-generation sequencing (NGS)</w:t>
      </w:r>
      <w:r>
        <w:t xml:space="preserve"> have improved detection limits, issues such as false positives (due to sequencing errors or clonal hematopoiesis) and false negatives (from insufficient ctDNA quantity) still persist. Therefore, technical sensitivity and analytical accuracy remain critical barriers, especially in early detection or MRD settings.</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B. Lack of Standardization</w:t>
      </w:r>
    </w:p>
    <w:p w:rsidR="000222E2" w:rsidRDefault="000222E2" w:rsidP="000222E2">
      <w:pPr>
        <w:pStyle w:val="NormalWeb"/>
        <w:spacing w:line="360" w:lineRule="auto"/>
        <w:jc w:val="both"/>
      </w:pPr>
      <w:r>
        <w:t xml:space="preserve">There is currently </w:t>
      </w:r>
      <w:r>
        <w:rPr>
          <w:rStyle w:val="Strong"/>
        </w:rPr>
        <w:t>no universally accepted standard</w:t>
      </w:r>
      <w:r>
        <w:t xml:space="preserve"> for ctDNA analysis in terms of:</w:t>
      </w:r>
    </w:p>
    <w:p w:rsidR="000222E2" w:rsidRDefault="000222E2" w:rsidP="000222E2">
      <w:pPr>
        <w:pStyle w:val="NormalWeb"/>
        <w:numPr>
          <w:ilvl w:val="0"/>
          <w:numId w:val="6"/>
        </w:numPr>
        <w:spacing w:line="360" w:lineRule="auto"/>
        <w:jc w:val="both"/>
      </w:pPr>
      <w:r>
        <w:t>Sample collection (e.g., blood tube type and processing time)</w:t>
      </w:r>
    </w:p>
    <w:p w:rsidR="000222E2" w:rsidRDefault="000222E2" w:rsidP="000222E2">
      <w:pPr>
        <w:pStyle w:val="NormalWeb"/>
        <w:numPr>
          <w:ilvl w:val="0"/>
          <w:numId w:val="6"/>
        </w:numPr>
        <w:spacing w:line="360" w:lineRule="auto"/>
        <w:jc w:val="both"/>
      </w:pPr>
      <w:r>
        <w:t>DNA extraction methods</w:t>
      </w:r>
    </w:p>
    <w:p w:rsidR="000222E2" w:rsidRDefault="000222E2" w:rsidP="000222E2">
      <w:pPr>
        <w:pStyle w:val="NormalWeb"/>
        <w:numPr>
          <w:ilvl w:val="0"/>
          <w:numId w:val="6"/>
        </w:numPr>
        <w:spacing w:line="360" w:lineRule="auto"/>
        <w:jc w:val="both"/>
      </w:pPr>
      <w:r>
        <w:t>Assay platforms (e.g., dPCR, NGS, BEAMing)</w:t>
      </w:r>
    </w:p>
    <w:p w:rsidR="000222E2" w:rsidRDefault="000222E2" w:rsidP="000222E2">
      <w:pPr>
        <w:pStyle w:val="NormalWeb"/>
        <w:numPr>
          <w:ilvl w:val="0"/>
          <w:numId w:val="6"/>
        </w:numPr>
        <w:spacing w:line="360" w:lineRule="auto"/>
        <w:jc w:val="both"/>
      </w:pPr>
      <w:r>
        <w:t>Data interpretation and reporting</w:t>
      </w:r>
    </w:p>
    <w:p w:rsidR="000222E2" w:rsidRDefault="000222E2" w:rsidP="000222E2">
      <w:pPr>
        <w:pStyle w:val="NormalWeb"/>
        <w:spacing w:line="360" w:lineRule="auto"/>
        <w:jc w:val="both"/>
      </w:pPr>
      <w:r>
        <w:t xml:space="preserve">This lack of </w:t>
      </w:r>
      <w:r>
        <w:rPr>
          <w:rStyle w:val="Strong"/>
        </w:rPr>
        <w:t>assay standardization and harmonization</w:t>
      </w:r>
      <w:r>
        <w:t xml:space="preserve"> across laboratories and platforms creates variability in test results, complicating clinical interpretation and limiting reproducibility. Moreover, the absence of established reference materials and quality control metrics makes validation and comparison across studies difficult.</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C. Regulatory and Clinical Integration Challenges</w:t>
      </w:r>
    </w:p>
    <w:p w:rsidR="000222E2" w:rsidRDefault="000222E2" w:rsidP="000222E2">
      <w:pPr>
        <w:pStyle w:val="NormalWeb"/>
        <w:spacing w:line="360" w:lineRule="auto"/>
        <w:jc w:val="both"/>
      </w:pPr>
      <w:r>
        <w:t xml:space="preserve">Although the U.S. FDA and other regulatory bodies have approved certain ctDNA-based assays (e.g., </w:t>
      </w:r>
      <w:r>
        <w:rPr>
          <w:rStyle w:val="Emphasis"/>
        </w:rPr>
        <w:t>Guardant360, Foundation One Liquid CDx</w:t>
      </w:r>
      <w:r>
        <w:t xml:space="preserve">) for specific indications, </w:t>
      </w:r>
      <w:r>
        <w:rPr>
          <w:rStyle w:val="Strong"/>
        </w:rPr>
        <w:t>broad clinical adoption remains limited</w:t>
      </w:r>
      <w:r>
        <w:t xml:space="preserve"> due to:</w:t>
      </w:r>
    </w:p>
    <w:p w:rsidR="000222E2" w:rsidRDefault="000222E2" w:rsidP="000222E2">
      <w:pPr>
        <w:pStyle w:val="NormalWeb"/>
        <w:numPr>
          <w:ilvl w:val="0"/>
          <w:numId w:val="7"/>
        </w:numPr>
        <w:spacing w:line="360" w:lineRule="auto"/>
        <w:jc w:val="both"/>
      </w:pPr>
      <w:r>
        <w:rPr>
          <w:rStyle w:val="Strong"/>
        </w:rPr>
        <w:t>Insufficient clinical validation</w:t>
      </w:r>
      <w:r>
        <w:t>: Many ctDNA applications are still under investigation in clinical trials and lack large-scale, prospective evidence of improved patient outcomes.</w:t>
      </w:r>
    </w:p>
    <w:p w:rsidR="000222E2" w:rsidRDefault="000222E2" w:rsidP="000222E2">
      <w:pPr>
        <w:pStyle w:val="NormalWeb"/>
        <w:numPr>
          <w:ilvl w:val="0"/>
          <w:numId w:val="7"/>
        </w:numPr>
        <w:spacing w:line="360" w:lineRule="auto"/>
        <w:jc w:val="both"/>
      </w:pPr>
      <w:r>
        <w:rPr>
          <w:rStyle w:val="Strong"/>
        </w:rPr>
        <w:t>Cost and reimbursement issues</w:t>
      </w:r>
      <w:r>
        <w:t>: ctDNA assays are often expensive, and insurance coverage is inconsistent, posing a financial burden to healthcare systems and patients.</w:t>
      </w:r>
    </w:p>
    <w:p w:rsidR="000222E2" w:rsidRDefault="000222E2" w:rsidP="000222E2">
      <w:pPr>
        <w:pStyle w:val="NormalWeb"/>
        <w:numPr>
          <w:ilvl w:val="0"/>
          <w:numId w:val="7"/>
        </w:numPr>
        <w:spacing w:line="360" w:lineRule="auto"/>
        <w:jc w:val="both"/>
      </w:pPr>
      <w:r>
        <w:rPr>
          <w:rStyle w:val="Strong"/>
        </w:rPr>
        <w:t>Clinical decision-making uncertainty</w:t>
      </w:r>
      <w:r>
        <w:t>: Clinicians may hesitate to base major treatment decisions solely on liquid biopsy results, particularly in the absence of concordant tissue data or standardized guidelines.</w:t>
      </w:r>
    </w:p>
    <w:p w:rsidR="000222E2" w:rsidRDefault="000222E2" w:rsidP="000222E2">
      <w:pPr>
        <w:pStyle w:val="NormalWeb"/>
        <w:spacing w:line="360" w:lineRule="auto"/>
        <w:jc w:val="both"/>
      </w:pPr>
      <w:r>
        <w:t xml:space="preserve">Additionally, the </w:t>
      </w:r>
      <w:r>
        <w:rPr>
          <w:rStyle w:val="Strong"/>
        </w:rPr>
        <w:t>integration of liquid biopsy into existing clinical workflows</w:t>
      </w:r>
      <w:r>
        <w:t xml:space="preserve"> requires multidisciplinary coordination among oncologists, pathologists, and molecular diagnostics experts, which can be challenging in resource-limited or non-specialized settings.</w:t>
      </w:r>
    </w:p>
    <w:p w:rsidR="000222E2" w:rsidRDefault="000222E2" w:rsidP="000222E2">
      <w:pPr>
        <w:pStyle w:val="NormalWeb"/>
        <w:rPr>
          <w:rStyle w:val="Strong"/>
        </w:rPr>
      </w:pPr>
      <w:r>
        <w:rPr>
          <w:rStyle w:val="Strong"/>
        </w:rPr>
        <w:t>Conclusion of Section:</w:t>
      </w:r>
    </w:p>
    <w:p w:rsidR="000222E2" w:rsidRDefault="000222E2" w:rsidP="000222E2">
      <w:pPr>
        <w:pStyle w:val="NormalWeb"/>
        <w:spacing w:line="360" w:lineRule="auto"/>
        <w:jc w:val="both"/>
      </w:pPr>
      <w:r>
        <w:t xml:space="preserve">While ctDNA-based liquid biopsy holds transformative potential in breast cancer care, significant hurdles including limited technical sensitivity, lack of assay standardization, and regulatory </w:t>
      </w:r>
      <w:r>
        <w:lastRenderedPageBreak/>
        <w:t>complexities must be addressed. Future efforts should focus on large-scale clinical validation, international guideline development, and technological refinement to enable robust, reliable, and accessible implementation in everyday oncology practice.</w:t>
      </w:r>
    </w:p>
    <w:p w:rsidR="000222E2" w:rsidRDefault="000222E2" w:rsidP="000222E2">
      <w:pPr>
        <w:pStyle w:val="Heading3"/>
      </w:pPr>
      <w:r>
        <w:rPr>
          <w:rStyle w:val="Strong"/>
          <w:b/>
          <w:bCs/>
        </w:rPr>
        <w:t>8. Ongoing Clinical Trials and Recent Studies</w:t>
      </w:r>
    </w:p>
    <w:p w:rsidR="000222E2" w:rsidRDefault="000222E2" w:rsidP="000222E2">
      <w:pPr>
        <w:pStyle w:val="NormalWeb"/>
        <w:spacing w:line="360" w:lineRule="auto"/>
        <w:jc w:val="both"/>
      </w:pPr>
      <w:r>
        <w:t xml:space="preserve">The clinical application of </w:t>
      </w:r>
      <w:r>
        <w:rPr>
          <w:rStyle w:val="Strong"/>
        </w:rPr>
        <w:t>circulating tumor DNA (ctDNA)</w:t>
      </w:r>
      <w:r>
        <w:t xml:space="preserve"> in breast cancer has gained substantial momentum, with several </w:t>
      </w:r>
      <w:r>
        <w:rPr>
          <w:rStyle w:val="Strong"/>
        </w:rPr>
        <w:t>landmark trials</w:t>
      </w:r>
      <w:r>
        <w:t xml:space="preserve"> currently investigating its role in early detection of recurrence, treatment stratification, and therapy monitoring. These trials aim to validate the </w:t>
      </w:r>
      <w:r>
        <w:rPr>
          <w:rStyle w:val="Strong"/>
        </w:rPr>
        <w:t>clinical utility of ctDNA</w:t>
      </w:r>
      <w:r>
        <w:t xml:space="preserve"> in real-world settings and lay the foundation for its integration into standard oncology practice.</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A. c-TRAK TN (Circulating Tumor DNA-Guided Therapy in Triple-Negative Breast Cancer)</w:t>
      </w:r>
    </w:p>
    <w:p w:rsidR="000222E2" w:rsidRDefault="000222E2" w:rsidP="000222E2">
      <w:pPr>
        <w:pStyle w:val="NormalWeb"/>
        <w:numPr>
          <w:ilvl w:val="0"/>
          <w:numId w:val="8"/>
        </w:numPr>
        <w:spacing w:line="360" w:lineRule="auto"/>
        <w:jc w:val="both"/>
      </w:pPr>
      <w:r>
        <w:rPr>
          <w:rStyle w:val="Strong"/>
        </w:rPr>
        <w:t>Sponsor:</w:t>
      </w:r>
      <w:r>
        <w:t xml:space="preserve"> Cancer Research UK</w:t>
      </w:r>
    </w:p>
    <w:p w:rsidR="000222E2" w:rsidRDefault="000222E2" w:rsidP="000222E2">
      <w:pPr>
        <w:pStyle w:val="NormalWeb"/>
        <w:numPr>
          <w:ilvl w:val="0"/>
          <w:numId w:val="8"/>
        </w:numPr>
        <w:spacing w:line="360" w:lineRule="auto"/>
        <w:jc w:val="both"/>
      </w:pPr>
      <w:r>
        <w:rPr>
          <w:rStyle w:val="Strong"/>
        </w:rPr>
        <w:t>Design:</w:t>
      </w:r>
      <w:r>
        <w:t xml:space="preserve"> Phase II, multicenter, prospective trial</w:t>
      </w:r>
    </w:p>
    <w:p w:rsidR="000222E2" w:rsidRDefault="000222E2" w:rsidP="000222E2">
      <w:pPr>
        <w:pStyle w:val="NormalWeb"/>
        <w:numPr>
          <w:ilvl w:val="0"/>
          <w:numId w:val="8"/>
        </w:numPr>
        <w:spacing w:line="360" w:lineRule="auto"/>
        <w:jc w:val="both"/>
      </w:pPr>
      <w:r>
        <w:rPr>
          <w:rStyle w:val="Strong"/>
        </w:rPr>
        <w:t>Objective:</w:t>
      </w:r>
      <w:r>
        <w:t xml:space="preserve"> To determine whether ctDNA-guided intervention improves outcomes in </w:t>
      </w:r>
      <w:r>
        <w:rPr>
          <w:rStyle w:val="Strong"/>
        </w:rPr>
        <w:t>early-stage triple-negative breast cancer (TNBC)</w:t>
      </w:r>
      <w:r>
        <w:t>.</w:t>
      </w:r>
    </w:p>
    <w:p w:rsidR="000222E2" w:rsidRDefault="000222E2" w:rsidP="000222E2">
      <w:pPr>
        <w:pStyle w:val="NormalWeb"/>
      </w:pPr>
      <w:r>
        <w:rPr>
          <w:rStyle w:val="Strong"/>
        </w:rPr>
        <w:t>Study Summary:</w:t>
      </w:r>
    </w:p>
    <w:p w:rsidR="000222E2" w:rsidRDefault="000222E2" w:rsidP="000222E2">
      <w:pPr>
        <w:pStyle w:val="NormalWeb"/>
        <w:numPr>
          <w:ilvl w:val="0"/>
          <w:numId w:val="9"/>
        </w:numPr>
        <w:spacing w:line="360" w:lineRule="auto"/>
        <w:jc w:val="both"/>
      </w:pPr>
      <w:r>
        <w:t>Enrolled patients with stage II–III TNBC who had completed standard surgery and adjuvant chemotherapy.</w:t>
      </w:r>
    </w:p>
    <w:p w:rsidR="000222E2" w:rsidRDefault="000222E2" w:rsidP="000222E2">
      <w:pPr>
        <w:pStyle w:val="NormalWeb"/>
        <w:numPr>
          <w:ilvl w:val="0"/>
          <w:numId w:val="9"/>
        </w:numPr>
        <w:spacing w:line="360" w:lineRule="auto"/>
        <w:jc w:val="both"/>
      </w:pPr>
      <w:r>
        <w:t xml:space="preserve">Serial blood samples were collected post-treatment to monitor for </w:t>
      </w:r>
      <w:r>
        <w:rPr>
          <w:rStyle w:val="Strong"/>
        </w:rPr>
        <w:t>minimal residual disease (MRD)</w:t>
      </w:r>
      <w:r>
        <w:t xml:space="preserve"> using ctDNA.</w:t>
      </w:r>
    </w:p>
    <w:p w:rsidR="000222E2" w:rsidRDefault="000222E2" w:rsidP="000222E2">
      <w:pPr>
        <w:pStyle w:val="NormalWeb"/>
        <w:numPr>
          <w:ilvl w:val="0"/>
          <w:numId w:val="9"/>
        </w:numPr>
        <w:spacing w:line="360" w:lineRule="auto"/>
        <w:jc w:val="both"/>
      </w:pPr>
      <w:r>
        <w:t xml:space="preserve">Patients with </w:t>
      </w:r>
      <w:r>
        <w:rPr>
          <w:rStyle w:val="Strong"/>
        </w:rPr>
        <w:t>ctDNA-positive status</w:t>
      </w:r>
      <w:r>
        <w:t xml:space="preserve"> (indicating molecular relapse before clinical recurrence) were offered immunotherapy with </w:t>
      </w:r>
      <w:r>
        <w:rPr>
          <w:rStyle w:val="Strong"/>
        </w:rPr>
        <w:t>atezolizumab</w:t>
      </w:r>
      <w:r>
        <w:t>, a PD-L1 checkpoint inhibitor.</w:t>
      </w:r>
    </w:p>
    <w:p w:rsidR="005E66C0" w:rsidRDefault="005E66C0" w:rsidP="005E66C0">
      <w:pPr>
        <w:pStyle w:val="NormalWeb"/>
        <w:spacing w:line="360" w:lineRule="auto"/>
        <w:ind w:left="720"/>
        <w:jc w:val="both"/>
      </w:pPr>
    </w:p>
    <w:p w:rsidR="000222E2" w:rsidRDefault="000222E2" w:rsidP="000222E2">
      <w:pPr>
        <w:pStyle w:val="NormalWeb"/>
      </w:pPr>
      <w:r>
        <w:rPr>
          <w:rStyle w:val="Strong"/>
        </w:rPr>
        <w:t>Key Findings (interim):</w:t>
      </w:r>
    </w:p>
    <w:p w:rsidR="000222E2" w:rsidRDefault="000222E2" w:rsidP="000222E2">
      <w:pPr>
        <w:pStyle w:val="NormalWeb"/>
        <w:numPr>
          <w:ilvl w:val="0"/>
          <w:numId w:val="10"/>
        </w:numPr>
        <w:spacing w:line="360" w:lineRule="auto"/>
        <w:jc w:val="both"/>
      </w:pPr>
      <w:r>
        <w:t xml:space="preserve">ctDNA was able to detect molecular relapse </w:t>
      </w:r>
      <w:r>
        <w:rPr>
          <w:rStyle w:val="Strong"/>
        </w:rPr>
        <w:t>months before radiologic recurrence</w:t>
      </w:r>
      <w:r>
        <w:t>.</w:t>
      </w:r>
    </w:p>
    <w:p w:rsidR="000222E2" w:rsidRDefault="000222E2" w:rsidP="000222E2">
      <w:pPr>
        <w:pStyle w:val="NormalWeb"/>
        <w:numPr>
          <w:ilvl w:val="0"/>
          <w:numId w:val="10"/>
        </w:numPr>
        <w:spacing w:line="360" w:lineRule="auto"/>
        <w:jc w:val="both"/>
      </w:pPr>
      <w:r>
        <w:t>Early immune intervention in ctDNA-positive patients may delay or prevent overt metastasis.</w:t>
      </w:r>
    </w:p>
    <w:p w:rsidR="000222E2" w:rsidRDefault="000222E2" w:rsidP="000222E2">
      <w:pPr>
        <w:pStyle w:val="NormalWeb"/>
        <w:numPr>
          <w:ilvl w:val="0"/>
          <w:numId w:val="10"/>
        </w:numPr>
        <w:spacing w:line="360" w:lineRule="auto"/>
        <w:jc w:val="both"/>
      </w:pPr>
      <w:r>
        <w:t xml:space="preserve">Demonstrated feasibility of </w:t>
      </w:r>
      <w:r>
        <w:rPr>
          <w:rStyle w:val="Strong"/>
        </w:rPr>
        <w:t>surveillance-guided therapeutic intervention</w:t>
      </w:r>
      <w:r>
        <w:t>, laying groundwork for personalized post-treatment monitoring.</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B. DARE Trial (Detection of Asymptomatic Recurrence Using ctDNA in Breast Cancer)</w:t>
      </w:r>
    </w:p>
    <w:p w:rsidR="000222E2" w:rsidRDefault="000222E2" w:rsidP="000222E2">
      <w:pPr>
        <w:pStyle w:val="NormalWeb"/>
        <w:numPr>
          <w:ilvl w:val="0"/>
          <w:numId w:val="11"/>
        </w:numPr>
        <w:spacing w:line="360" w:lineRule="auto"/>
        <w:jc w:val="both"/>
      </w:pPr>
      <w:r>
        <w:rPr>
          <w:rStyle w:val="Strong"/>
        </w:rPr>
        <w:t>Sponsor:</w:t>
      </w:r>
      <w:r>
        <w:t xml:space="preserve"> Dana-Farber Cancer Institute / Translational Breast Cancer Research Consortium</w:t>
      </w:r>
    </w:p>
    <w:p w:rsidR="000222E2" w:rsidRDefault="000222E2" w:rsidP="000222E2">
      <w:pPr>
        <w:pStyle w:val="NormalWeb"/>
        <w:numPr>
          <w:ilvl w:val="0"/>
          <w:numId w:val="11"/>
        </w:numPr>
        <w:spacing w:line="360" w:lineRule="auto"/>
        <w:jc w:val="both"/>
      </w:pPr>
      <w:r>
        <w:rPr>
          <w:rStyle w:val="Strong"/>
        </w:rPr>
        <w:t>Design:</w:t>
      </w:r>
      <w:r>
        <w:t xml:space="preserve"> Prospective, multicenter observational study</w:t>
      </w:r>
    </w:p>
    <w:p w:rsidR="000222E2" w:rsidRDefault="000222E2" w:rsidP="000222E2">
      <w:pPr>
        <w:pStyle w:val="NormalWeb"/>
        <w:numPr>
          <w:ilvl w:val="0"/>
          <w:numId w:val="11"/>
        </w:numPr>
        <w:spacing w:line="360" w:lineRule="auto"/>
        <w:jc w:val="both"/>
      </w:pPr>
      <w:r>
        <w:rPr>
          <w:rStyle w:val="Strong"/>
        </w:rPr>
        <w:t>Objective:</w:t>
      </w:r>
      <w:r>
        <w:t xml:space="preserve"> To evaluate whether </w:t>
      </w:r>
      <w:r>
        <w:rPr>
          <w:rStyle w:val="Strong"/>
        </w:rPr>
        <w:t>ctDNA can detect recurrence</w:t>
      </w:r>
      <w:r>
        <w:t xml:space="preserve"> in high-risk breast cancer patients before clinical or radiologic signs appear.</w:t>
      </w:r>
    </w:p>
    <w:p w:rsidR="000222E2" w:rsidRDefault="000222E2" w:rsidP="000222E2">
      <w:pPr>
        <w:pStyle w:val="NormalWeb"/>
      </w:pPr>
      <w:r>
        <w:rPr>
          <w:rStyle w:val="Strong"/>
        </w:rPr>
        <w:lastRenderedPageBreak/>
        <w:t>Study Summary:</w:t>
      </w:r>
    </w:p>
    <w:p w:rsidR="000222E2" w:rsidRDefault="000222E2" w:rsidP="000222E2">
      <w:pPr>
        <w:pStyle w:val="NormalWeb"/>
        <w:numPr>
          <w:ilvl w:val="0"/>
          <w:numId w:val="12"/>
        </w:numPr>
        <w:spacing w:line="360" w:lineRule="auto"/>
        <w:jc w:val="both"/>
      </w:pPr>
      <w:r>
        <w:t>Focused on hormone receptor-positive (HR+) and HER2-negative breast cancer survivors at high risk of late recurrence.</w:t>
      </w:r>
    </w:p>
    <w:p w:rsidR="000222E2" w:rsidRDefault="000222E2" w:rsidP="000222E2">
      <w:pPr>
        <w:pStyle w:val="NormalWeb"/>
        <w:numPr>
          <w:ilvl w:val="0"/>
          <w:numId w:val="12"/>
        </w:numPr>
        <w:spacing w:line="360" w:lineRule="auto"/>
        <w:jc w:val="both"/>
      </w:pPr>
      <w:r>
        <w:t>Blood samples collected every 6 months for up to 5 years post-primary treatment.</w:t>
      </w:r>
    </w:p>
    <w:p w:rsidR="000222E2" w:rsidRDefault="000222E2" w:rsidP="000222E2">
      <w:pPr>
        <w:pStyle w:val="NormalWeb"/>
        <w:numPr>
          <w:ilvl w:val="0"/>
          <w:numId w:val="12"/>
        </w:numPr>
        <w:spacing w:line="360" w:lineRule="auto"/>
        <w:jc w:val="both"/>
      </w:pPr>
      <w:r>
        <w:t>ctDNA detection was correlated with subsequent clinical relapse.</w:t>
      </w:r>
    </w:p>
    <w:p w:rsidR="000222E2" w:rsidRDefault="000222E2" w:rsidP="000222E2">
      <w:pPr>
        <w:pStyle w:val="NormalWeb"/>
      </w:pPr>
      <w:r>
        <w:rPr>
          <w:rStyle w:val="Strong"/>
        </w:rPr>
        <w:t>Key Insights:</w:t>
      </w:r>
    </w:p>
    <w:p w:rsidR="000222E2" w:rsidRDefault="000222E2" w:rsidP="000222E2">
      <w:pPr>
        <w:pStyle w:val="NormalWeb"/>
        <w:numPr>
          <w:ilvl w:val="0"/>
          <w:numId w:val="13"/>
        </w:numPr>
        <w:spacing w:line="360" w:lineRule="auto"/>
        <w:jc w:val="both"/>
      </w:pPr>
      <w:r>
        <w:t xml:space="preserve">ctDNA was detectable </w:t>
      </w:r>
      <w:r>
        <w:rPr>
          <w:rStyle w:val="Strong"/>
        </w:rPr>
        <w:t>well before imaging or symptom onset</w:t>
      </w:r>
      <w:r>
        <w:t>, with a median lead time of several months.</w:t>
      </w:r>
    </w:p>
    <w:p w:rsidR="000222E2" w:rsidRDefault="000222E2" w:rsidP="000222E2">
      <w:pPr>
        <w:pStyle w:val="NormalWeb"/>
        <w:numPr>
          <w:ilvl w:val="0"/>
          <w:numId w:val="13"/>
        </w:numPr>
        <w:spacing w:line="360" w:lineRule="auto"/>
        <w:jc w:val="both"/>
      </w:pPr>
      <w:r>
        <w:t xml:space="preserve">Provided critical insight into the </w:t>
      </w:r>
      <w:r>
        <w:rPr>
          <w:rStyle w:val="Strong"/>
        </w:rPr>
        <w:t>lead-time advantage</w:t>
      </w:r>
      <w:r>
        <w:t xml:space="preserve"> of ctDNA for relapse detection.</w:t>
      </w:r>
    </w:p>
    <w:p w:rsidR="000222E2" w:rsidRDefault="000222E2" w:rsidP="000222E2">
      <w:pPr>
        <w:pStyle w:val="NormalWeb"/>
        <w:numPr>
          <w:ilvl w:val="0"/>
          <w:numId w:val="13"/>
        </w:numPr>
        <w:spacing w:line="360" w:lineRule="auto"/>
        <w:jc w:val="both"/>
      </w:pPr>
      <w:r>
        <w:t xml:space="preserve">Created a platform for future </w:t>
      </w:r>
      <w:r>
        <w:rPr>
          <w:rStyle w:val="Strong"/>
        </w:rPr>
        <w:t>intervention-based trials</w:t>
      </w:r>
      <w:r>
        <w:t>, in which treatment is initiated at molecular relapse rather than clinical recurrence.</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C. Additional Notable Trials</w:t>
      </w:r>
    </w:p>
    <w:p w:rsidR="000222E2" w:rsidRDefault="000222E2" w:rsidP="000222E2">
      <w:pPr>
        <w:pStyle w:val="NormalWeb"/>
        <w:numPr>
          <w:ilvl w:val="0"/>
          <w:numId w:val="14"/>
        </w:numPr>
        <w:spacing w:line="360" w:lineRule="auto"/>
        <w:jc w:val="both"/>
      </w:pPr>
      <w:r>
        <w:rPr>
          <w:rStyle w:val="Strong"/>
        </w:rPr>
        <w:t>IMMray™ PanCan-d Trial</w:t>
      </w:r>
    </w:p>
    <w:p w:rsidR="000222E2" w:rsidRDefault="000222E2" w:rsidP="000222E2">
      <w:pPr>
        <w:pStyle w:val="NormalWeb"/>
        <w:numPr>
          <w:ilvl w:val="1"/>
          <w:numId w:val="14"/>
        </w:numPr>
        <w:spacing w:line="360" w:lineRule="auto"/>
        <w:jc w:val="both"/>
      </w:pPr>
      <w:r>
        <w:t xml:space="preserve">While focused more broadly on solid tumors, components of this trial evaluate ctDNA and methylation signatures in </w:t>
      </w:r>
      <w:r>
        <w:rPr>
          <w:rStyle w:val="Strong"/>
        </w:rPr>
        <w:t>early breast cancer</w:t>
      </w:r>
      <w:r>
        <w:t>.</w:t>
      </w:r>
    </w:p>
    <w:p w:rsidR="000222E2" w:rsidRDefault="000222E2" w:rsidP="000222E2">
      <w:pPr>
        <w:pStyle w:val="NormalWeb"/>
        <w:numPr>
          <w:ilvl w:val="0"/>
          <w:numId w:val="14"/>
        </w:numPr>
        <w:spacing w:line="360" w:lineRule="auto"/>
        <w:jc w:val="both"/>
      </w:pPr>
      <w:r>
        <w:rPr>
          <w:rStyle w:val="Strong"/>
        </w:rPr>
        <w:t>MONALEESA-7 and PALOMA-3 Sub studies</w:t>
      </w:r>
    </w:p>
    <w:p w:rsidR="000222E2" w:rsidRDefault="000222E2" w:rsidP="000222E2">
      <w:pPr>
        <w:pStyle w:val="NormalWeb"/>
        <w:numPr>
          <w:ilvl w:val="1"/>
          <w:numId w:val="14"/>
        </w:numPr>
        <w:spacing w:line="360" w:lineRule="auto"/>
        <w:jc w:val="both"/>
      </w:pPr>
      <w:r>
        <w:t xml:space="preserve">Retrospective analyses of ctDNA in patients receiving </w:t>
      </w:r>
      <w:r>
        <w:rPr>
          <w:rStyle w:val="Strong"/>
        </w:rPr>
        <w:t>CDK4/6 inhibitors</w:t>
      </w:r>
      <w:r>
        <w:t xml:space="preserve"> have shown that PIK3CA and ESR1 mutations detected in ctDNA correlate with treatment resistance.</w:t>
      </w:r>
    </w:p>
    <w:p w:rsidR="00E12FD4" w:rsidRDefault="00E12FD4" w:rsidP="00E12FD4">
      <w:pPr>
        <w:pStyle w:val="NormalWeb"/>
        <w:spacing w:line="360" w:lineRule="auto"/>
        <w:ind w:left="1440"/>
        <w:jc w:val="both"/>
      </w:pPr>
    </w:p>
    <w:p w:rsidR="000222E2" w:rsidRDefault="000222E2" w:rsidP="000222E2">
      <w:pPr>
        <w:pStyle w:val="NormalWeb"/>
        <w:numPr>
          <w:ilvl w:val="0"/>
          <w:numId w:val="14"/>
        </w:numPr>
        <w:spacing w:line="360" w:lineRule="auto"/>
        <w:jc w:val="both"/>
      </w:pPr>
      <w:r>
        <w:rPr>
          <w:rStyle w:val="Strong"/>
        </w:rPr>
        <w:t>SIGNAL Trial (NCT03728361)</w:t>
      </w:r>
    </w:p>
    <w:p w:rsidR="000222E2" w:rsidRDefault="000222E2" w:rsidP="000222E2">
      <w:pPr>
        <w:pStyle w:val="NormalWeb"/>
        <w:numPr>
          <w:ilvl w:val="1"/>
          <w:numId w:val="14"/>
        </w:numPr>
        <w:spacing w:line="360" w:lineRule="auto"/>
        <w:jc w:val="both"/>
      </w:pPr>
      <w:r>
        <w:t xml:space="preserve">Evaluates the use of </w:t>
      </w:r>
      <w:r>
        <w:rPr>
          <w:rStyle w:val="Strong"/>
        </w:rPr>
        <w:t>ctDNA-based MRD monitoring</w:t>
      </w:r>
      <w:r>
        <w:t xml:space="preserve"> to guide escalation or de-escalation of therapy in early-stage breast cancer.</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Clinical Impact and Implications</w:t>
      </w:r>
    </w:p>
    <w:p w:rsidR="000222E2" w:rsidRDefault="000222E2" w:rsidP="000222E2">
      <w:pPr>
        <w:pStyle w:val="NormalWeb"/>
        <w:spacing w:line="360" w:lineRule="auto"/>
        <w:jc w:val="both"/>
      </w:pPr>
      <w:r>
        <w:t>These studies are redefining how breast cancer is monitored and managed:</w:t>
      </w:r>
    </w:p>
    <w:p w:rsidR="000222E2" w:rsidRDefault="000222E2" w:rsidP="000222E2">
      <w:pPr>
        <w:pStyle w:val="NormalWeb"/>
        <w:numPr>
          <w:ilvl w:val="0"/>
          <w:numId w:val="15"/>
        </w:numPr>
        <w:spacing w:line="360" w:lineRule="auto"/>
        <w:jc w:val="both"/>
      </w:pPr>
      <w:r>
        <w:rPr>
          <w:rStyle w:val="Strong"/>
        </w:rPr>
        <w:t>Early relapse detection</w:t>
      </w:r>
      <w:r>
        <w:t xml:space="preserve"> via ctDNA allows for proactive intervention.</w:t>
      </w:r>
    </w:p>
    <w:p w:rsidR="000222E2" w:rsidRDefault="000222E2" w:rsidP="000222E2">
      <w:pPr>
        <w:pStyle w:val="NormalWeb"/>
        <w:numPr>
          <w:ilvl w:val="0"/>
          <w:numId w:val="15"/>
        </w:numPr>
        <w:spacing w:line="360" w:lineRule="auto"/>
        <w:jc w:val="both"/>
      </w:pPr>
      <w:r>
        <w:rPr>
          <w:rStyle w:val="Strong"/>
        </w:rPr>
        <w:t>Treatment stratification</w:t>
      </w:r>
      <w:r>
        <w:t xml:space="preserve"> based on ctDNA mutations enables personalized therapy.</w:t>
      </w:r>
    </w:p>
    <w:p w:rsidR="000222E2" w:rsidRDefault="000222E2" w:rsidP="000222E2">
      <w:pPr>
        <w:pStyle w:val="NormalWeb"/>
        <w:numPr>
          <w:ilvl w:val="0"/>
          <w:numId w:val="15"/>
        </w:numPr>
        <w:spacing w:line="360" w:lineRule="auto"/>
        <w:jc w:val="both"/>
      </w:pPr>
      <w:r>
        <w:rPr>
          <w:rStyle w:val="Strong"/>
        </w:rPr>
        <w:t>Longitudinal monitoring</w:t>
      </w:r>
      <w:r>
        <w:t xml:space="preserve"> supports dynamic, real-time decision-making.</w:t>
      </w:r>
    </w:p>
    <w:p w:rsidR="000222E2" w:rsidRDefault="000222E2" w:rsidP="000222E2">
      <w:pPr>
        <w:pStyle w:val="NormalWeb"/>
        <w:spacing w:line="360" w:lineRule="auto"/>
        <w:jc w:val="both"/>
      </w:pPr>
      <w:r>
        <w:t>While results are promising, the full clinical integration of ctDNA will require:</w:t>
      </w:r>
    </w:p>
    <w:p w:rsidR="000222E2" w:rsidRDefault="000222E2" w:rsidP="000222E2">
      <w:pPr>
        <w:pStyle w:val="NormalWeb"/>
        <w:numPr>
          <w:ilvl w:val="0"/>
          <w:numId w:val="16"/>
        </w:numPr>
        <w:spacing w:line="360" w:lineRule="auto"/>
        <w:jc w:val="both"/>
      </w:pPr>
      <w:r>
        <w:t>Completion of these and similar trials.</w:t>
      </w:r>
    </w:p>
    <w:p w:rsidR="000222E2" w:rsidRDefault="000222E2" w:rsidP="000222E2">
      <w:pPr>
        <w:pStyle w:val="NormalWeb"/>
        <w:numPr>
          <w:ilvl w:val="0"/>
          <w:numId w:val="16"/>
        </w:numPr>
        <w:spacing w:line="360" w:lineRule="auto"/>
        <w:jc w:val="both"/>
      </w:pPr>
      <w:r>
        <w:t xml:space="preserve">Robust outcome data linking </w:t>
      </w:r>
      <w:r>
        <w:rPr>
          <w:rStyle w:val="Strong"/>
        </w:rPr>
        <w:t>ctDNA-based decisions to survival benefits</w:t>
      </w:r>
      <w:r>
        <w:t>.</w:t>
      </w:r>
    </w:p>
    <w:p w:rsidR="000222E2" w:rsidRDefault="000222E2" w:rsidP="000222E2">
      <w:pPr>
        <w:pStyle w:val="NormalWeb"/>
        <w:numPr>
          <w:ilvl w:val="0"/>
          <w:numId w:val="16"/>
        </w:numPr>
        <w:spacing w:line="360" w:lineRule="auto"/>
        <w:jc w:val="both"/>
      </w:pPr>
      <w:r>
        <w:lastRenderedPageBreak/>
        <w:t>Standardization of protocols across institutions.</w:t>
      </w:r>
    </w:p>
    <w:p w:rsidR="000222E2" w:rsidRDefault="000222E2" w:rsidP="000222E2">
      <w:pPr>
        <w:pStyle w:val="NormalWeb"/>
        <w:rPr>
          <w:rStyle w:val="Strong"/>
        </w:rPr>
      </w:pPr>
      <w:r>
        <w:rPr>
          <w:rStyle w:val="Strong"/>
        </w:rPr>
        <w:t>Conclusion of Section:</w:t>
      </w:r>
    </w:p>
    <w:p w:rsidR="000222E2" w:rsidRDefault="000222E2" w:rsidP="000222E2">
      <w:pPr>
        <w:pStyle w:val="NormalWeb"/>
        <w:spacing w:line="360" w:lineRule="auto"/>
        <w:jc w:val="both"/>
      </w:pPr>
      <w:r>
        <w:t xml:space="preserve">Ongoing clinical trials such as </w:t>
      </w:r>
      <w:r>
        <w:rPr>
          <w:rStyle w:val="Strong"/>
        </w:rPr>
        <w:t>c-TRAK TN</w:t>
      </w:r>
      <w:r>
        <w:t xml:space="preserve"> and </w:t>
      </w:r>
      <w:r>
        <w:rPr>
          <w:rStyle w:val="Strong"/>
        </w:rPr>
        <w:t>DARE</w:t>
      </w:r>
      <w:r>
        <w:t xml:space="preserve"> represent critical steps toward validating ctDNA as a transformative tool in breast cancer care. The ability to detect recurrence early, tailor treatment strategies, and monitor disease in real time offers a paradigm shift from reactive to proactive oncology. The next decade is likely to see ctDNA move from experimental to routine clinical practice, particularly with successful trial outcomes and regulatory approval.</w:t>
      </w:r>
    </w:p>
    <w:p w:rsidR="000222E2" w:rsidRDefault="000222E2" w:rsidP="000222E2">
      <w:pPr>
        <w:pStyle w:val="Heading3"/>
      </w:pPr>
      <w:r>
        <w:rPr>
          <w:rStyle w:val="Strong"/>
          <w:b/>
          <w:bCs/>
        </w:rPr>
        <w:t>9. Future Directions</w:t>
      </w:r>
    </w:p>
    <w:p w:rsidR="000222E2" w:rsidRDefault="000222E2" w:rsidP="000222E2">
      <w:pPr>
        <w:pStyle w:val="NormalWeb"/>
        <w:spacing w:line="360" w:lineRule="auto"/>
        <w:jc w:val="both"/>
      </w:pPr>
      <w:r>
        <w:t xml:space="preserve">As the field of oncology continues to advance toward precision medicine, the future of </w:t>
      </w:r>
      <w:r>
        <w:rPr>
          <w:rStyle w:val="Strong"/>
        </w:rPr>
        <w:t>circulating tumor DNA (ctDNA)</w:t>
      </w:r>
      <w:r>
        <w:t xml:space="preserve"> and </w:t>
      </w:r>
      <w:r>
        <w:rPr>
          <w:rStyle w:val="Strong"/>
        </w:rPr>
        <w:t>liquid biopsy</w:t>
      </w:r>
      <w:r>
        <w:t xml:space="preserve"> in breast cancer holds immense promise. Although significant progress has been made in understanding the molecular utility of ctDNA, several key areas remain pivotal for its full clinical integration.</w:t>
      </w:r>
    </w:p>
    <w:p w:rsidR="005E66C0" w:rsidRDefault="005E66C0" w:rsidP="005E66C0">
      <w:pPr>
        <w:pStyle w:val="NormalWeb"/>
        <w:spacing w:line="360" w:lineRule="auto"/>
        <w:jc w:val="center"/>
        <w:rPr>
          <w:rStyle w:val="Strong"/>
        </w:rPr>
      </w:pPr>
    </w:p>
    <w:p w:rsidR="005E66C0" w:rsidRDefault="001350A1" w:rsidP="005E66C0">
      <w:pPr>
        <w:pStyle w:val="NormalWeb"/>
        <w:spacing w:line="360" w:lineRule="auto"/>
        <w:jc w:val="center"/>
        <w:rPr>
          <w:rStyle w:val="Strong"/>
        </w:rPr>
      </w:pPr>
      <w:r>
        <w:rPr>
          <w:noProof/>
        </w:rPr>
        <w:drawing>
          <wp:anchor distT="0" distB="0" distL="114300" distR="114300" simplePos="0" relativeHeight="251658752" behindDoc="0" locked="0" layoutInCell="1" allowOverlap="1" wp14:anchorId="1C07D89A" wp14:editId="740D4856">
            <wp:simplePos x="0" y="0"/>
            <wp:positionH relativeFrom="margin">
              <wp:posOffset>387350</wp:posOffset>
            </wp:positionH>
            <wp:positionV relativeFrom="margin">
              <wp:posOffset>4571365</wp:posOffset>
            </wp:positionV>
            <wp:extent cx="4442460" cy="2632710"/>
            <wp:effectExtent l="0" t="0" r="0" b="0"/>
            <wp:wrapSquare wrapText="bothSides"/>
            <wp:docPr id="1" name="Picture 1" descr="Z:\Principal Sir\Principal Document\Zoonotic Infection Journal\Topics related Breast Cancer\Mechanisms-of-ctDNA-release-Tumor-cells-shed-DNA-into-the-bloodstream-by-different-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Z:\Principal Sir\Principal Document\Zoonotic Infection Journal\Topics related Breast Cancer\Mechanisms-of-ctDNA-release-Tumor-cells-shed-DNA-into-the-bloodstream-by-different-typ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2460" cy="263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66C0" w:rsidRDefault="005E66C0" w:rsidP="005E66C0">
      <w:pPr>
        <w:pStyle w:val="NormalWeb"/>
        <w:spacing w:line="360" w:lineRule="auto"/>
        <w:jc w:val="center"/>
        <w:rPr>
          <w:rStyle w:val="Strong"/>
        </w:rPr>
      </w:pPr>
    </w:p>
    <w:p w:rsidR="005E66C0" w:rsidRDefault="005E66C0" w:rsidP="005E66C0">
      <w:pPr>
        <w:pStyle w:val="NormalWeb"/>
        <w:spacing w:line="360" w:lineRule="auto"/>
        <w:rPr>
          <w:rStyle w:val="Strong"/>
        </w:rPr>
      </w:pPr>
    </w:p>
    <w:p w:rsidR="000949E4" w:rsidRDefault="000949E4" w:rsidP="005E66C0">
      <w:pPr>
        <w:pStyle w:val="NormalWeb"/>
        <w:spacing w:line="360" w:lineRule="auto"/>
        <w:jc w:val="center"/>
        <w:rPr>
          <w:rStyle w:val="Strong"/>
        </w:rPr>
      </w:pPr>
    </w:p>
    <w:p w:rsidR="000949E4" w:rsidRDefault="000949E4" w:rsidP="005E66C0">
      <w:pPr>
        <w:pStyle w:val="NormalWeb"/>
        <w:spacing w:line="360" w:lineRule="auto"/>
        <w:jc w:val="center"/>
        <w:rPr>
          <w:rStyle w:val="Strong"/>
        </w:rPr>
      </w:pPr>
    </w:p>
    <w:p w:rsidR="000949E4" w:rsidRDefault="000949E4" w:rsidP="005E66C0">
      <w:pPr>
        <w:pStyle w:val="NormalWeb"/>
        <w:spacing w:line="360" w:lineRule="auto"/>
        <w:jc w:val="center"/>
        <w:rPr>
          <w:rStyle w:val="Strong"/>
        </w:rPr>
      </w:pPr>
    </w:p>
    <w:p w:rsidR="000949E4" w:rsidRDefault="000949E4" w:rsidP="005E66C0">
      <w:pPr>
        <w:pStyle w:val="NormalWeb"/>
        <w:spacing w:line="360" w:lineRule="auto"/>
        <w:jc w:val="center"/>
        <w:rPr>
          <w:rStyle w:val="Strong"/>
        </w:rPr>
      </w:pPr>
    </w:p>
    <w:p w:rsidR="000949E4" w:rsidRDefault="000949E4" w:rsidP="005E66C0">
      <w:pPr>
        <w:pStyle w:val="NormalWeb"/>
        <w:spacing w:line="360" w:lineRule="auto"/>
        <w:jc w:val="center"/>
        <w:rPr>
          <w:rStyle w:val="Strong"/>
        </w:rPr>
      </w:pPr>
    </w:p>
    <w:p w:rsidR="000949E4" w:rsidRDefault="000949E4" w:rsidP="005E66C0">
      <w:pPr>
        <w:pStyle w:val="NormalWeb"/>
        <w:spacing w:line="360" w:lineRule="auto"/>
        <w:jc w:val="center"/>
        <w:rPr>
          <w:rStyle w:val="Strong"/>
        </w:rPr>
      </w:pPr>
    </w:p>
    <w:p w:rsidR="00BC0D35" w:rsidRDefault="005E66C0" w:rsidP="005E66C0">
      <w:pPr>
        <w:pStyle w:val="NormalWeb"/>
        <w:spacing w:line="360" w:lineRule="auto"/>
        <w:jc w:val="center"/>
      </w:pPr>
      <w:r>
        <w:rPr>
          <w:rStyle w:val="Strong"/>
        </w:rPr>
        <w:t>Figure 2:</w:t>
      </w:r>
      <w:r>
        <w:t xml:space="preserve"> </w:t>
      </w:r>
      <w:r w:rsidRPr="005E66C0">
        <w:rPr>
          <w:b/>
        </w:rPr>
        <w:t>Mechanism of ctDNA release</w:t>
      </w:r>
      <w:r>
        <w:rPr>
          <w:noProof/>
        </w:rPr>
        <w:t xml:space="preserve"> </w:t>
      </w:r>
    </w:p>
    <w:p w:rsidR="000222E2" w:rsidRPr="000222E2" w:rsidRDefault="000222E2" w:rsidP="000222E2">
      <w:pPr>
        <w:pStyle w:val="Heading4"/>
        <w:rPr>
          <w:rFonts w:ascii="Times New Roman" w:hAnsi="Times New Roman" w:cs="Times New Roman"/>
        </w:rPr>
      </w:pPr>
      <w:r w:rsidRPr="000222E2">
        <w:rPr>
          <w:rStyle w:val="Strong"/>
          <w:rFonts w:ascii="Times New Roman" w:hAnsi="Times New Roman" w:cs="Times New Roman"/>
          <w:b/>
          <w:bCs/>
          <w:color w:val="auto"/>
        </w:rPr>
        <w:t>A. Integration into Clinical Guidelines</w:t>
      </w:r>
    </w:p>
    <w:p w:rsidR="000222E2" w:rsidRDefault="000222E2" w:rsidP="000222E2">
      <w:pPr>
        <w:pStyle w:val="NormalWeb"/>
        <w:spacing w:line="360" w:lineRule="auto"/>
        <w:jc w:val="both"/>
      </w:pPr>
      <w:r>
        <w:t xml:space="preserve">One of the foremost goals is the </w:t>
      </w:r>
      <w:r>
        <w:rPr>
          <w:rStyle w:val="Strong"/>
        </w:rPr>
        <w:t>formal integration of ctDNA testing into national and international clinical practice guidelines</w:t>
      </w:r>
      <w:r>
        <w:t xml:space="preserve"> for breast cancer management. At present, most professional organizations (e.g., ASCO, NCCN, </w:t>
      </w:r>
      <w:r w:rsidR="000949E4">
        <w:t>and ESMO</w:t>
      </w:r>
      <w:r>
        <w:t xml:space="preserve">) recognize ctDNA primarily in the </w:t>
      </w:r>
      <w:r>
        <w:lastRenderedPageBreak/>
        <w:t>context of investigational or emerging use. However, ongoing clinical trials and accumulating evidence are expected to provide the necessary data to:</w:t>
      </w:r>
    </w:p>
    <w:p w:rsidR="000222E2" w:rsidRDefault="000222E2" w:rsidP="000222E2">
      <w:pPr>
        <w:pStyle w:val="NormalWeb"/>
        <w:numPr>
          <w:ilvl w:val="0"/>
          <w:numId w:val="17"/>
        </w:numPr>
        <w:spacing w:line="360" w:lineRule="auto"/>
        <w:jc w:val="both"/>
      </w:pPr>
      <w:r>
        <w:t xml:space="preserve">Support </w:t>
      </w:r>
      <w:r>
        <w:rPr>
          <w:rStyle w:val="Strong"/>
        </w:rPr>
        <w:t>routine ctDNA testing for minimal residual disease (MRD)</w:t>
      </w:r>
      <w:r>
        <w:t xml:space="preserve"> and surveillance.</w:t>
      </w:r>
    </w:p>
    <w:p w:rsidR="000222E2" w:rsidRDefault="000222E2" w:rsidP="000222E2">
      <w:pPr>
        <w:pStyle w:val="NormalWeb"/>
        <w:numPr>
          <w:ilvl w:val="0"/>
          <w:numId w:val="17"/>
        </w:numPr>
        <w:spacing w:line="360" w:lineRule="auto"/>
        <w:jc w:val="both"/>
      </w:pPr>
      <w:r>
        <w:t xml:space="preserve">Establish </w:t>
      </w:r>
      <w:r>
        <w:rPr>
          <w:rStyle w:val="Strong"/>
        </w:rPr>
        <w:t>thresholds for intervention</w:t>
      </w:r>
      <w:r>
        <w:t xml:space="preserve"> based on ctDNA positivity.</w:t>
      </w:r>
    </w:p>
    <w:p w:rsidR="000222E2" w:rsidRDefault="000222E2" w:rsidP="000222E2">
      <w:pPr>
        <w:pStyle w:val="NormalWeb"/>
        <w:numPr>
          <w:ilvl w:val="0"/>
          <w:numId w:val="17"/>
        </w:numPr>
        <w:spacing w:line="360" w:lineRule="auto"/>
        <w:jc w:val="both"/>
      </w:pPr>
      <w:r>
        <w:t xml:space="preserve">Recommend </w:t>
      </w:r>
      <w:r>
        <w:rPr>
          <w:rStyle w:val="Strong"/>
        </w:rPr>
        <w:t>standardized testing intervals</w:t>
      </w:r>
      <w:r>
        <w:t xml:space="preserve"> post-treatment.</w:t>
      </w:r>
    </w:p>
    <w:p w:rsidR="000222E2" w:rsidRDefault="000222E2" w:rsidP="000222E2">
      <w:pPr>
        <w:pStyle w:val="NormalWeb"/>
        <w:numPr>
          <w:ilvl w:val="0"/>
          <w:numId w:val="17"/>
        </w:numPr>
        <w:spacing w:line="360" w:lineRule="auto"/>
        <w:jc w:val="both"/>
      </w:pPr>
      <w:r>
        <w:t xml:space="preserve">Inform regulatory approval and </w:t>
      </w:r>
      <w:r>
        <w:rPr>
          <w:rStyle w:val="Strong"/>
        </w:rPr>
        <w:t>reimbursement policies</w:t>
      </w:r>
      <w:r>
        <w:t>.</w:t>
      </w:r>
    </w:p>
    <w:p w:rsidR="000222E2" w:rsidRDefault="000222E2" w:rsidP="000222E2">
      <w:pPr>
        <w:pStyle w:val="NormalWeb"/>
        <w:spacing w:line="360" w:lineRule="auto"/>
        <w:jc w:val="both"/>
      </w:pPr>
      <w:r>
        <w:t xml:space="preserve">In the future, ctDNA testing could be included in </w:t>
      </w:r>
      <w:r>
        <w:rPr>
          <w:rStyle w:val="Strong"/>
        </w:rPr>
        <w:t>adjuvant therapy decision-making</w:t>
      </w:r>
      <w:r>
        <w:t xml:space="preserve"> and </w:t>
      </w:r>
      <w:r>
        <w:rPr>
          <w:rStyle w:val="Strong"/>
        </w:rPr>
        <w:t>surveillance algorithms</w:t>
      </w:r>
      <w:r>
        <w:t>, particularly for high-risk subtypes like triple-negative or HER2-positive breast cancer.</w:t>
      </w:r>
    </w:p>
    <w:p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B. Personalized Treatment Planning</w:t>
      </w:r>
    </w:p>
    <w:p w:rsidR="000222E2" w:rsidRDefault="000222E2" w:rsidP="000222E2">
      <w:pPr>
        <w:pStyle w:val="NormalWeb"/>
        <w:spacing w:line="360" w:lineRule="auto"/>
        <w:jc w:val="both"/>
      </w:pPr>
      <w:r>
        <w:t xml:space="preserve">ctDNA offers a unique opportunity for </w:t>
      </w:r>
      <w:r>
        <w:rPr>
          <w:rStyle w:val="Strong"/>
        </w:rPr>
        <w:t>real-time, individualized treatment planning</w:t>
      </w:r>
      <w:r>
        <w:t>:</w:t>
      </w:r>
    </w:p>
    <w:p w:rsidR="000222E2" w:rsidRDefault="000222E2" w:rsidP="000222E2">
      <w:pPr>
        <w:pStyle w:val="NormalWeb"/>
        <w:numPr>
          <w:ilvl w:val="0"/>
          <w:numId w:val="18"/>
        </w:numPr>
        <w:spacing w:line="360" w:lineRule="auto"/>
        <w:jc w:val="both"/>
      </w:pPr>
      <w:r>
        <w:rPr>
          <w:rStyle w:val="Strong"/>
        </w:rPr>
        <w:t>Treatment stratification</w:t>
      </w:r>
      <w:r>
        <w:t xml:space="preserve">: Identifying actionable mutations (e.g., </w:t>
      </w:r>
      <w:r>
        <w:rPr>
          <w:rStyle w:val="Strong"/>
        </w:rPr>
        <w:t>PIK3CA</w:t>
      </w:r>
      <w:r>
        <w:t xml:space="preserve">, </w:t>
      </w:r>
      <w:r>
        <w:rPr>
          <w:rStyle w:val="Strong"/>
        </w:rPr>
        <w:t>ESR1</w:t>
      </w:r>
      <w:r>
        <w:t>) can guide the use of targeted therapies like alpelisib or fulvestrant.</w:t>
      </w:r>
    </w:p>
    <w:p w:rsidR="000222E2" w:rsidRDefault="000222E2" w:rsidP="000222E2">
      <w:pPr>
        <w:pStyle w:val="NormalWeb"/>
        <w:numPr>
          <w:ilvl w:val="0"/>
          <w:numId w:val="18"/>
        </w:numPr>
        <w:spacing w:line="360" w:lineRule="auto"/>
        <w:jc w:val="both"/>
      </w:pPr>
      <w:r>
        <w:rPr>
          <w:rStyle w:val="Strong"/>
        </w:rPr>
        <w:t>Therapy adaptation</w:t>
      </w:r>
      <w:r>
        <w:t>: Dynamic monitoring of ctDNA levels can signal emerging resistance or treatment failure, prompting timely modifications.</w:t>
      </w:r>
    </w:p>
    <w:p w:rsidR="000222E2" w:rsidRDefault="000222E2" w:rsidP="000222E2">
      <w:pPr>
        <w:pStyle w:val="NormalWeb"/>
        <w:numPr>
          <w:ilvl w:val="0"/>
          <w:numId w:val="18"/>
        </w:numPr>
        <w:spacing w:line="360" w:lineRule="auto"/>
        <w:jc w:val="both"/>
      </w:pPr>
      <w:r>
        <w:rPr>
          <w:rStyle w:val="Strong"/>
        </w:rPr>
        <w:t>Therapy escalation/de-escalation</w:t>
      </w:r>
      <w:r>
        <w:t xml:space="preserve">: MRD status from ctDNA may allow clinicians to </w:t>
      </w:r>
      <w:r>
        <w:rPr>
          <w:rStyle w:val="Strong"/>
        </w:rPr>
        <w:t>de-escalate therapy</w:t>
      </w:r>
      <w:r>
        <w:t xml:space="preserve"> in patients with no detectable disease, reducing overtreatment and toxicity. Conversely, </w:t>
      </w:r>
      <w:r>
        <w:rPr>
          <w:rStyle w:val="Strong"/>
        </w:rPr>
        <w:t>early escalation</w:t>
      </w:r>
      <w:r>
        <w:t xml:space="preserve"> may be warranted for ctDNA-positive patients.</w:t>
      </w:r>
    </w:p>
    <w:p w:rsidR="000222E2" w:rsidRDefault="000222E2" w:rsidP="000222E2">
      <w:pPr>
        <w:pStyle w:val="NormalWeb"/>
        <w:spacing w:line="360" w:lineRule="auto"/>
        <w:jc w:val="both"/>
      </w:pPr>
      <w:r>
        <w:t xml:space="preserve">Future treatment pathways may be driven by </w:t>
      </w:r>
      <w:r>
        <w:rPr>
          <w:rStyle w:val="Strong"/>
        </w:rPr>
        <w:t>molecular relapse</w:t>
      </w:r>
      <w:r>
        <w:t xml:space="preserve"> rather than radiologic progression, enabling a shift from reactive to proactive oncology.</w:t>
      </w:r>
    </w:p>
    <w:p w:rsidR="00FD30A6" w:rsidRDefault="00FD30A6" w:rsidP="000222E2">
      <w:pPr>
        <w:pStyle w:val="NormalWeb"/>
        <w:spacing w:line="360" w:lineRule="auto"/>
        <w:jc w:val="both"/>
      </w:pPr>
    </w:p>
    <w:p w:rsidR="00FD30A6" w:rsidRDefault="00FD30A6" w:rsidP="000222E2">
      <w:pPr>
        <w:pStyle w:val="NormalWeb"/>
        <w:spacing w:line="360" w:lineRule="auto"/>
        <w:jc w:val="both"/>
      </w:pPr>
    </w:p>
    <w:p w:rsidR="00FD30A6" w:rsidRDefault="00FD30A6" w:rsidP="000222E2">
      <w:pPr>
        <w:pStyle w:val="NormalWeb"/>
        <w:spacing w:line="360" w:lineRule="auto"/>
        <w:jc w:val="both"/>
      </w:pPr>
    </w:p>
    <w:p w:rsidR="00FD30A6" w:rsidRDefault="00FD30A6" w:rsidP="000222E2">
      <w:pPr>
        <w:pStyle w:val="NormalWeb"/>
        <w:spacing w:line="360" w:lineRule="auto"/>
        <w:jc w:val="both"/>
      </w:pPr>
    </w:p>
    <w:p w:rsidR="00E12FD4" w:rsidRPr="00F60A59" w:rsidRDefault="00E12FD4" w:rsidP="00E12FD4">
      <w:pPr>
        <w:spacing w:before="100" w:beforeAutospacing="1" w:after="100" w:afterAutospacing="1" w:line="240" w:lineRule="auto"/>
        <w:rPr>
          <w:rFonts w:ascii="Times New Roman" w:eastAsia="Times New Roman" w:hAnsi="Times New Roman" w:cs="Times New Roman"/>
          <w:sz w:val="24"/>
          <w:szCs w:val="24"/>
        </w:rPr>
      </w:pPr>
      <w:r w:rsidRPr="00F60A59">
        <w:rPr>
          <w:rFonts w:ascii="Times New Roman" w:eastAsia="Times New Roman" w:hAnsi="Times New Roman" w:cs="Times New Roman"/>
          <w:b/>
          <w:bCs/>
          <w:sz w:val="24"/>
          <w:szCs w:val="24"/>
        </w:rPr>
        <w:t xml:space="preserve">Table </w:t>
      </w:r>
      <w:r w:rsidR="001350A1">
        <w:rPr>
          <w:rFonts w:ascii="Times New Roman" w:eastAsia="Times New Roman" w:hAnsi="Times New Roman" w:cs="Times New Roman"/>
          <w:b/>
          <w:bCs/>
          <w:sz w:val="24"/>
          <w:szCs w:val="24"/>
        </w:rPr>
        <w:t>2</w:t>
      </w:r>
      <w:r w:rsidRPr="00F60A59">
        <w:rPr>
          <w:rFonts w:ascii="Times New Roman" w:eastAsia="Times New Roman" w:hAnsi="Times New Roman" w:cs="Times New Roman"/>
          <w:b/>
          <w:bCs/>
          <w:sz w:val="24"/>
          <w:szCs w:val="24"/>
        </w:rPr>
        <w:t>: Comparison of Detection Techniques for ctDNA in Breast Cancer</w:t>
      </w:r>
    </w:p>
    <w:tbl>
      <w:tblPr>
        <w:tblStyle w:val="TableGrid"/>
        <w:tblW w:w="10472" w:type="dxa"/>
        <w:tblInd w:w="-432" w:type="dxa"/>
        <w:tblLook w:val="04A0" w:firstRow="1" w:lastRow="0" w:firstColumn="1" w:lastColumn="0" w:noHBand="0" w:noVBand="1"/>
      </w:tblPr>
      <w:tblGrid>
        <w:gridCol w:w="722"/>
        <w:gridCol w:w="1201"/>
        <w:gridCol w:w="1317"/>
        <w:gridCol w:w="1260"/>
        <w:gridCol w:w="1170"/>
        <w:gridCol w:w="1800"/>
        <w:gridCol w:w="1620"/>
        <w:gridCol w:w="1382"/>
      </w:tblGrid>
      <w:tr w:rsidR="00117B97" w:rsidRPr="00F60A59" w:rsidTr="005A47EC">
        <w:trPr>
          <w:trHeight w:val="530"/>
        </w:trPr>
        <w:tc>
          <w:tcPr>
            <w:tcW w:w="722" w:type="dxa"/>
            <w:shd w:val="clear" w:color="auto" w:fill="BFBFBF" w:themeFill="background1" w:themeFillShade="BF"/>
            <w:vAlign w:val="center"/>
          </w:tcPr>
          <w:p w:rsidR="00117B97" w:rsidRPr="00F6375A" w:rsidRDefault="00117B97" w:rsidP="005A47EC">
            <w:pPr>
              <w:jc w:val="center"/>
              <w:rPr>
                <w:rFonts w:ascii="Bahnschrift" w:eastAsia="Times New Roman" w:hAnsi="Bahnschrift" w:cs="Shruti"/>
                <w:b/>
                <w:bCs/>
                <w:sz w:val="16"/>
                <w:szCs w:val="20"/>
              </w:rPr>
            </w:pPr>
            <w:r w:rsidRPr="00F6375A">
              <w:rPr>
                <w:rFonts w:ascii="Bahnschrift" w:eastAsia="Times New Roman" w:hAnsi="Bahnschrift" w:cs="Shruti"/>
                <w:b/>
                <w:bCs/>
                <w:sz w:val="16"/>
                <w:szCs w:val="20"/>
              </w:rPr>
              <w:t>S.NO</w:t>
            </w:r>
          </w:p>
        </w:tc>
        <w:tc>
          <w:tcPr>
            <w:tcW w:w="1201" w:type="dxa"/>
            <w:shd w:val="clear" w:color="auto" w:fill="BFBFBF" w:themeFill="background1" w:themeFillShade="BF"/>
            <w:vAlign w:val="center"/>
            <w:hideMark/>
          </w:tcPr>
          <w:p w:rsidR="00117B97" w:rsidRPr="00F60A59" w:rsidRDefault="00117B97" w:rsidP="005A47EC">
            <w:pPr>
              <w:rPr>
                <w:rFonts w:ascii="Bahnschrift" w:eastAsia="Times New Roman" w:hAnsi="Bahnschrift" w:cs="Shruti"/>
                <w:b/>
                <w:bCs/>
                <w:sz w:val="16"/>
                <w:szCs w:val="20"/>
              </w:rPr>
            </w:pPr>
            <w:r w:rsidRPr="00F6375A">
              <w:rPr>
                <w:rFonts w:ascii="Bahnschrift" w:eastAsia="Times New Roman" w:hAnsi="Bahnschrift" w:cs="Shruti"/>
                <w:b/>
                <w:bCs/>
                <w:sz w:val="16"/>
                <w:szCs w:val="20"/>
              </w:rPr>
              <w:t xml:space="preserve">Detection </w:t>
            </w:r>
            <w:r w:rsidRPr="00F60A59">
              <w:rPr>
                <w:rFonts w:ascii="Bahnschrift" w:eastAsia="Times New Roman" w:hAnsi="Bahnschrift" w:cs="Shruti"/>
                <w:b/>
                <w:bCs/>
                <w:sz w:val="16"/>
                <w:szCs w:val="20"/>
              </w:rPr>
              <w:t>Technique</w:t>
            </w:r>
          </w:p>
        </w:tc>
        <w:tc>
          <w:tcPr>
            <w:tcW w:w="1317" w:type="dxa"/>
            <w:shd w:val="clear" w:color="auto" w:fill="BFBFBF" w:themeFill="background1" w:themeFillShade="BF"/>
            <w:vAlign w:val="center"/>
            <w:hideMark/>
          </w:tcPr>
          <w:p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Principle</w:t>
            </w:r>
          </w:p>
        </w:tc>
        <w:tc>
          <w:tcPr>
            <w:tcW w:w="1260" w:type="dxa"/>
            <w:shd w:val="clear" w:color="auto" w:fill="BFBFBF" w:themeFill="background1" w:themeFillShade="BF"/>
            <w:vAlign w:val="center"/>
            <w:hideMark/>
          </w:tcPr>
          <w:p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Sensitivity</w:t>
            </w:r>
          </w:p>
        </w:tc>
        <w:tc>
          <w:tcPr>
            <w:tcW w:w="1170" w:type="dxa"/>
            <w:shd w:val="clear" w:color="auto" w:fill="BFBFBF" w:themeFill="background1" w:themeFillShade="BF"/>
            <w:vAlign w:val="center"/>
            <w:hideMark/>
          </w:tcPr>
          <w:p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Specificity</w:t>
            </w:r>
          </w:p>
        </w:tc>
        <w:tc>
          <w:tcPr>
            <w:tcW w:w="1800" w:type="dxa"/>
            <w:shd w:val="clear" w:color="auto" w:fill="BFBFBF" w:themeFill="background1" w:themeFillShade="BF"/>
            <w:vAlign w:val="center"/>
            <w:hideMark/>
          </w:tcPr>
          <w:p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Advantages</w:t>
            </w:r>
          </w:p>
        </w:tc>
        <w:tc>
          <w:tcPr>
            <w:tcW w:w="1620" w:type="dxa"/>
            <w:shd w:val="clear" w:color="auto" w:fill="BFBFBF" w:themeFill="background1" w:themeFillShade="BF"/>
            <w:vAlign w:val="center"/>
            <w:hideMark/>
          </w:tcPr>
          <w:p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Limitations</w:t>
            </w:r>
          </w:p>
        </w:tc>
        <w:tc>
          <w:tcPr>
            <w:tcW w:w="1382" w:type="dxa"/>
            <w:shd w:val="clear" w:color="auto" w:fill="BFBFBF" w:themeFill="background1" w:themeFillShade="BF"/>
            <w:vAlign w:val="center"/>
            <w:hideMark/>
          </w:tcPr>
          <w:p w:rsidR="00117B97" w:rsidRPr="00F60A59" w:rsidRDefault="00117B97" w:rsidP="005A47EC">
            <w:pPr>
              <w:rPr>
                <w:rFonts w:ascii="Bahnschrift" w:eastAsia="Times New Roman" w:hAnsi="Bahnschrift" w:cs="Shruti"/>
                <w:b/>
                <w:bCs/>
                <w:sz w:val="16"/>
                <w:szCs w:val="20"/>
              </w:rPr>
            </w:pPr>
            <w:r w:rsidRPr="00F60A59">
              <w:rPr>
                <w:rFonts w:ascii="Bahnschrift" w:eastAsia="Times New Roman" w:hAnsi="Bahnschrift" w:cs="Shruti"/>
                <w:b/>
                <w:bCs/>
                <w:sz w:val="16"/>
                <w:szCs w:val="20"/>
              </w:rPr>
              <w:t>Common Use Cases</w:t>
            </w:r>
          </w:p>
        </w:tc>
      </w:tr>
      <w:tr w:rsidR="00117B97" w:rsidRPr="00F60A59" w:rsidTr="005A47EC">
        <w:trPr>
          <w:trHeight w:val="639"/>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1</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qPCR (Quantitative PCR)</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Amplifies known DNA sequences</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Moderate (~0.1%)</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Fast, cost-effective</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Limited to known mutations</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Mutation-specific detection</w:t>
            </w:r>
          </w:p>
        </w:tc>
      </w:tr>
      <w:tr w:rsidR="00117B97" w:rsidRPr="00F60A59" w:rsidTr="005A47EC">
        <w:trPr>
          <w:trHeight w:val="981"/>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lastRenderedPageBreak/>
              <w:t>2</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Digital PCR (dPCR)</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Partitioned PCR to detect rare alleles</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(~0.01%)</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precision, quantifies low-level mutations</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Low multiplexing, limited throughput</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Monitoring specific mutations, MRD detection</w:t>
            </w:r>
          </w:p>
        </w:tc>
      </w:tr>
      <w:tr w:rsidR="00117B97" w:rsidRPr="00F60A59" w:rsidTr="005A47EC">
        <w:trPr>
          <w:trHeight w:val="1308"/>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3</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BEAMing</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Combines emulsion PCR and flow cytometry</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Very high (~0.01%)</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Sensitive and specific</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Labor-intensive, expensive</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Rare mutation detection</w:t>
            </w:r>
          </w:p>
        </w:tc>
      </w:tr>
      <w:tr w:rsidR="00117B97" w:rsidRPr="00F60A59" w:rsidTr="005A47EC">
        <w:trPr>
          <w:trHeight w:val="1293"/>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4</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NGS (Next-Generation Sequencing)</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Massively parallel sequencing</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(0.01–1%)</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Broad mutation coverage, can detect unknown variants</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Expensive, complex data analysis</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Comprehensive mutation profiling</w:t>
            </w:r>
          </w:p>
        </w:tc>
      </w:tr>
      <w:tr w:rsidR="00117B97" w:rsidRPr="00F60A59" w:rsidTr="005A47EC">
        <w:trPr>
          <w:trHeight w:val="1308"/>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5</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CAPP-Seq</w:t>
            </w:r>
            <w:r w:rsidRPr="00F60A59">
              <w:rPr>
                <w:rFonts w:ascii="Shruti" w:eastAsia="Times New Roman" w:hAnsi="Shruti" w:cs="Shruti"/>
                <w:sz w:val="18"/>
                <w:szCs w:val="18"/>
              </w:rPr>
              <w:t xml:space="preserve"> (Cancer Personalized Profiling by Sequencing)</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Targeted NGS approach</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Very high (~0.02%)</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depth, customizable panels</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Requires design of patient-specific panels</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Tumor burden tracking, personalized profiling</w:t>
            </w:r>
          </w:p>
        </w:tc>
      </w:tr>
      <w:tr w:rsidR="00117B97" w:rsidRPr="00F60A59" w:rsidTr="005A47EC">
        <w:trPr>
          <w:trHeight w:val="981"/>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6</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Whole Genome Sequencing (WGS)</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Sequencing entire genome</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Moderate (~5%)</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Moderate</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Detects structural variants, CNVs</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Low sensitivity for ctDNA, costly</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Research, genome-wide alterations</w:t>
            </w:r>
          </w:p>
        </w:tc>
      </w:tr>
      <w:tr w:rsidR="00117B97" w:rsidRPr="00F60A59" w:rsidTr="005A47EC">
        <w:trPr>
          <w:trHeight w:val="981"/>
        </w:trPr>
        <w:tc>
          <w:tcPr>
            <w:tcW w:w="722" w:type="dxa"/>
          </w:tcPr>
          <w:p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7</w:t>
            </w:r>
          </w:p>
        </w:tc>
        <w:tc>
          <w:tcPr>
            <w:tcW w:w="1201" w:type="dxa"/>
            <w:hideMark/>
          </w:tcPr>
          <w:p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Methylation Analysis</w:t>
            </w:r>
          </w:p>
        </w:tc>
        <w:tc>
          <w:tcPr>
            <w:tcW w:w="1317"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Detects DNA methylation patterns</w:t>
            </w:r>
          </w:p>
        </w:tc>
        <w:tc>
          <w:tcPr>
            <w:tcW w:w="126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Variable</w:t>
            </w:r>
          </w:p>
        </w:tc>
        <w:tc>
          <w:tcPr>
            <w:tcW w:w="1170" w:type="dxa"/>
            <w:vAlign w:val="center"/>
            <w:hideMark/>
          </w:tcPr>
          <w:p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Epigenetic insights, early detection potential</w:t>
            </w:r>
          </w:p>
        </w:tc>
        <w:tc>
          <w:tcPr>
            <w:tcW w:w="1620"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Standardization still evolving</w:t>
            </w:r>
          </w:p>
        </w:tc>
        <w:tc>
          <w:tcPr>
            <w:tcW w:w="1382" w:type="dxa"/>
            <w:hideMark/>
          </w:tcPr>
          <w:p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Early detection, subtype differentiation</w:t>
            </w:r>
          </w:p>
        </w:tc>
      </w:tr>
    </w:tbl>
    <w:p w:rsidR="000222E2" w:rsidRPr="000222E2" w:rsidRDefault="000222E2" w:rsidP="000222E2">
      <w:pPr>
        <w:pStyle w:val="Heading4"/>
        <w:rPr>
          <w:rFonts w:ascii="Times New Roman" w:hAnsi="Times New Roman" w:cs="Times New Roman"/>
        </w:rPr>
      </w:pPr>
      <w:r w:rsidRPr="000222E2">
        <w:rPr>
          <w:rStyle w:val="Strong"/>
          <w:rFonts w:ascii="Times New Roman" w:hAnsi="Times New Roman" w:cs="Times New Roman"/>
          <w:b/>
          <w:bCs/>
          <w:color w:val="auto"/>
        </w:rPr>
        <w:t>C. Combination with Other Liquid Biomarkers</w:t>
      </w:r>
    </w:p>
    <w:p w:rsidR="000222E2" w:rsidRDefault="000222E2" w:rsidP="000222E2">
      <w:pPr>
        <w:pStyle w:val="NormalWeb"/>
        <w:spacing w:line="360" w:lineRule="auto"/>
        <w:jc w:val="both"/>
      </w:pPr>
      <w:r>
        <w:t xml:space="preserve">To enhance sensitivity, specificity, and biological insight, ctDNA is increasingly being explored in </w:t>
      </w:r>
      <w:r>
        <w:rPr>
          <w:rStyle w:val="Strong"/>
        </w:rPr>
        <w:t>combination with other circulating biomarkers</w:t>
      </w:r>
      <w:r>
        <w:t>, such as:</w:t>
      </w:r>
    </w:p>
    <w:p w:rsidR="000222E2" w:rsidRDefault="000222E2" w:rsidP="000222E2">
      <w:pPr>
        <w:pStyle w:val="NormalWeb"/>
        <w:numPr>
          <w:ilvl w:val="0"/>
          <w:numId w:val="19"/>
        </w:numPr>
        <w:spacing w:line="360" w:lineRule="auto"/>
        <w:jc w:val="both"/>
      </w:pPr>
      <w:r>
        <w:rPr>
          <w:rStyle w:val="Strong"/>
        </w:rPr>
        <w:t>Exosomes</w:t>
      </w:r>
      <w:r>
        <w:t xml:space="preserve">: Membrane-bound extracellular vesicles containing DNA, RNA, and proteins derived from tumor cells. Exosome profiling complements ctDNA by offering insight into </w:t>
      </w:r>
      <w:r>
        <w:rPr>
          <w:rStyle w:val="Strong"/>
        </w:rPr>
        <w:t>gene expression</w:t>
      </w:r>
      <w:r>
        <w:t xml:space="preserve"> and </w:t>
      </w:r>
      <w:r>
        <w:rPr>
          <w:rStyle w:val="Strong"/>
        </w:rPr>
        <w:t>protein signaling pathways</w:t>
      </w:r>
      <w:r>
        <w:t>.</w:t>
      </w:r>
    </w:p>
    <w:p w:rsidR="000222E2" w:rsidRDefault="000222E2" w:rsidP="000222E2">
      <w:pPr>
        <w:pStyle w:val="NormalWeb"/>
        <w:numPr>
          <w:ilvl w:val="0"/>
          <w:numId w:val="19"/>
        </w:numPr>
        <w:spacing w:line="360" w:lineRule="auto"/>
        <w:jc w:val="both"/>
      </w:pPr>
      <w:r>
        <w:rPr>
          <w:rStyle w:val="Strong"/>
        </w:rPr>
        <w:t>Circulating Tumor Cells (CTCs)</w:t>
      </w:r>
      <w:r>
        <w:t>: Intact cancer cells found in peripheral blood, CTCs provide cellular context and enable morphological, immunohistochemical, and functional analysis that ctDNA alone cannot.</w:t>
      </w:r>
    </w:p>
    <w:p w:rsidR="000222E2" w:rsidRDefault="000222E2" w:rsidP="000222E2">
      <w:pPr>
        <w:pStyle w:val="NormalWeb"/>
        <w:numPr>
          <w:ilvl w:val="0"/>
          <w:numId w:val="19"/>
        </w:numPr>
        <w:spacing w:line="360" w:lineRule="auto"/>
        <w:jc w:val="both"/>
      </w:pPr>
      <w:r>
        <w:rPr>
          <w:rStyle w:val="Strong"/>
        </w:rPr>
        <w:t>Circulating microRNAs (miRNAs)</w:t>
      </w:r>
      <w:r>
        <w:t xml:space="preserve"> and </w:t>
      </w:r>
      <w:r>
        <w:rPr>
          <w:rStyle w:val="Strong"/>
        </w:rPr>
        <w:t>tumor-educated platelets (TEPs)</w:t>
      </w:r>
      <w:r>
        <w:t>: These novel biomarkers are also being investigated to further refine the liquid biopsy landscape.</w:t>
      </w:r>
    </w:p>
    <w:p w:rsidR="00E12FD4" w:rsidRDefault="000222E2" w:rsidP="000222E2">
      <w:pPr>
        <w:pStyle w:val="NormalWeb"/>
        <w:spacing w:line="360" w:lineRule="auto"/>
        <w:jc w:val="both"/>
      </w:pPr>
      <w:r>
        <w:t xml:space="preserve">The integration of these markers into </w:t>
      </w:r>
      <w:r>
        <w:rPr>
          <w:rStyle w:val="Strong"/>
        </w:rPr>
        <w:t>multi-omic liquid biopsy platforms</w:t>
      </w:r>
      <w:r>
        <w:t xml:space="preserve"> will allow for comprehensive tumor profiling, improving diagnostic accuracy, therapeutic targeting, and resistance tracking.</w:t>
      </w:r>
    </w:p>
    <w:p w:rsidR="000222E2" w:rsidRDefault="000222E2" w:rsidP="000222E2">
      <w:pPr>
        <w:pStyle w:val="Heading3"/>
      </w:pPr>
      <w:r>
        <w:rPr>
          <w:rStyle w:val="Strong"/>
          <w:b/>
          <w:bCs/>
        </w:rPr>
        <w:t>Conclusion of Section</w:t>
      </w:r>
    </w:p>
    <w:p w:rsidR="00BC0D35" w:rsidRDefault="000222E2" w:rsidP="000222E2">
      <w:pPr>
        <w:pStyle w:val="NormalWeb"/>
        <w:spacing w:line="360" w:lineRule="auto"/>
        <w:jc w:val="both"/>
      </w:pPr>
      <w:r>
        <w:lastRenderedPageBreak/>
        <w:t xml:space="preserve">The future of ctDNA in breast cancer is marked by its </w:t>
      </w:r>
      <w:r>
        <w:rPr>
          <w:rStyle w:val="Strong"/>
        </w:rPr>
        <w:t>inevitable transition from research to routine clinical practice</w:t>
      </w:r>
      <w:r>
        <w:t>. Key developments such as clinical guideline inclusion, personalized therapy planning, and multi-modal liquid biopsy approaches will revolutionize how breast cancer is diagnosed, monitored, and treated. With continued innovation, validation, and collaboration across clinical and regulatory sectors, ctDNA is poised to become a cornerstone of precision oncology.</w:t>
      </w:r>
    </w:p>
    <w:p w:rsidR="00BC0D35" w:rsidRDefault="00BC0D35" w:rsidP="00BC0D35">
      <w:pPr>
        <w:pStyle w:val="Heading3"/>
      </w:pPr>
      <w:r>
        <w:rPr>
          <w:rStyle w:val="Strong"/>
          <w:b/>
          <w:bCs/>
        </w:rPr>
        <w:t>10. Conclusion</w:t>
      </w:r>
    </w:p>
    <w:p w:rsidR="00BC0D35" w:rsidRDefault="00BC0D35" w:rsidP="00BC0D35">
      <w:pPr>
        <w:pStyle w:val="NormalWeb"/>
        <w:spacing w:line="360" w:lineRule="auto"/>
        <w:jc w:val="both"/>
      </w:pPr>
      <w:r>
        <w:t xml:space="preserve">The landscape of breast cancer diagnostics and management is rapidly evolving, with </w:t>
      </w:r>
      <w:r>
        <w:rPr>
          <w:rStyle w:val="Strong"/>
        </w:rPr>
        <w:t>circulating tumor DNA (ctDNA)</w:t>
      </w:r>
      <w:r>
        <w:t xml:space="preserve"> emerging as a transformative tool in the era of precision oncology. As a core component of liquid biopsy, ctDNA offers a non-invasive, dynamic, and highly informative approach to understanding tumor biology at multiple stages of the disease continuum.</w:t>
      </w:r>
    </w:p>
    <w:tbl>
      <w:tblPr>
        <w:tblStyle w:val="TableGrid"/>
        <w:tblW w:w="10368" w:type="dxa"/>
        <w:tblLayout w:type="fixed"/>
        <w:tblLook w:val="04A0" w:firstRow="1" w:lastRow="0" w:firstColumn="1" w:lastColumn="0" w:noHBand="0" w:noVBand="1"/>
      </w:tblPr>
      <w:tblGrid>
        <w:gridCol w:w="1368"/>
        <w:gridCol w:w="1080"/>
        <w:gridCol w:w="1800"/>
        <w:gridCol w:w="1710"/>
        <w:gridCol w:w="1710"/>
        <w:gridCol w:w="1080"/>
        <w:gridCol w:w="1620"/>
      </w:tblGrid>
      <w:tr w:rsidR="00117B97" w:rsidRPr="00F60A59" w:rsidTr="00117B97">
        <w:tc>
          <w:tcPr>
            <w:tcW w:w="1368"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Trial Name / ID</w:t>
            </w:r>
          </w:p>
        </w:tc>
        <w:tc>
          <w:tcPr>
            <w:tcW w:w="1080"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Phase</w:t>
            </w:r>
          </w:p>
        </w:tc>
        <w:tc>
          <w:tcPr>
            <w:tcW w:w="1800"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Objective</w:t>
            </w:r>
          </w:p>
        </w:tc>
        <w:tc>
          <w:tcPr>
            <w:tcW w:w="1710"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Method of ctDNA Use</w:t>
            </w:r>
          </w:p>
        </w:tc>
        <w:tc>
          <w:tcPr>
            <w:tcW w:w="1710"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Patient Population</w:t>
            </w:r>
          </w:p>
        </w:tc>
        <w:tc>
          <w:tcPr>
            <w:tcW w:w="1080"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Status</w:t>
            </w:r>
          </w:p>
        </w:tc>
        <w:tc>
          <w:tcPr>
            <w:tcW w:w="1620" w:type="dxa"/>
            <w:vAlign w:val="center"/>
            <w:hideMark/>
          </w:tcPr>
          <w:p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Key Findings / Notes</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BRE12-158 (NCT03145961)</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 xml:space="preserve">Guide treatment post-neoadjuvant chemo using </w:t>
            </w:r>
            <w:proofErr w:type="spellStart"/>
            <w:r w:rsidRPr="00F60A59">
              <w:rPr>
                <w:rFonts w:ascii="Shruti" w:eastAsia="Times New Roman" w:hAnsi="Shruti" w:cs="Shruti"/>
                <w:sz w:val="16"/>
                <w:szCs w:val="16"/>
              </w:rPr>
              <w:t>ctDNA</w:t>
            </w:r>
            <w:proofErr w:type="spellEnd"/>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Detection of minimal residual disease (MRD)</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HER2-negative early BC</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ctDNA-positive patients had worse outcomes; suggests MRD utility</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Circulating Tumor DNA-Stop Trial (NCT04567420)</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III</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Stop therapy based on undetectable ctDNA</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monitoring for treatment discontinuation</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Hormone receptor-positive BC</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Recruiting</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Aims to minimize overtreatment via ctDNA-informed decisions</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proofErr w:type="spellStart"/>
            <w:r w:rsidRPr="00F6375A">
              <w:rPr>
                <w:rFonts w:ascii="Shruti" w:eastAsia="Times New Roman" w:hAnsi="Shruti" w:cs="Shruti"/>
                <w:b/>
                <w:bCs/>
                <w:sz w:val="16"/>
                <w:szCs w:val="16"/>
              </w:rPr>
              <w:t>PlasmaMATCH</w:t>
            </w:r>
            <w:proofErr w:type="spellEnd"/>
            <w:r w:rsidRPr="00F6375A">
              <w:rPr>
                <w:rFonts w:ascii="Shruti" w:eastAsia="Times New Roman" w:hAnsi="Shruti" w:cs="Shruti"/>
                <w:b/>
                <w:bCs/>
                <w:sz w:val="16"/>
                <w:szCs w:val="16"/>
              </w:rPr>
              <w:t xml:space="preserve"> (NCT03182634)</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Match targeted therapies to ctDNA-detected mutations</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genotyping for treatment allocation</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Advanced/metastatic BC</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Demonstrated feasibility of ctDNA for genomic profiling</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AURORA (BIG 14-01)</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Observational</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Understand metastatic evolution</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Serial ctDNA profiling</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Metastatic breast cancer</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Ongoing</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Integrates ctDNA to track clonal evolution</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NATALEE (NCT03701334)</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III</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 xml:space="preserve">Evaluate </w:t>
            </w:r>
            <w:proofErr w:type="spellStart"/>
            <w:r w:rsidRPr="00F60A59">
              <w:rPr>
                <w:rFonts w:ascii="Shruti" w:eastAsia="Times New Roman" w:hAnsi="Shruti" w:cs="Shruti"/>
                <w:sz w:val="16"/>
                <w:szCs w:val="16"/>
              </w:rPr>
              <w:t>ribociclib</w:t>
            </w:r>
            <w:proofErr w:type="spellEnd"/>
            <w:r w:rsidRPr="00F60A59">
              <w:rPr>
                <w:rFonts w:ascii="Shruti" w:eastAsia="Times New Roman" w:hAnsi="Shruti" w:cs="Shruti"/>
                <w:sz w:val="16"/>
                <w:szCs w:val="16"/>
              </w:rPr>
              <w:t xml:space="preserve"> in early BC</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Exploratory ctDNA endpoints</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HR+/HER2- early BC</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Ongoing</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Will inform prognostic role of ctDNA in adjuvant setting</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proofErr w:type="spellStart"/>
            <w:r w:rsidRPr="00F6375A">
              <w:rPr>
                <w:rFonts w:ascii="Shruti" w:eastAsia="Times New Roman" w:hAnsi="Shruti" w:cs="Shruti"/>
                <w:b/>
                <w:bCs/>
                <w:sz w:val="16"/>
                <w:szCs w:val="16"/>
              </w:rPr>
              <w:t>cTRAK</w:t>
            </w:r>
            <w:proofErr w:type="spellEnd"/>
            <w:r w:rsidRPr="00F6375A">
              <w:rPr>
                <w:rFonts w:ascii="Shruti" w:eastAsia="Times New Roman" w:hAnsi="Shruti" w:cs="Shruti"/>
                <w:b/>
                <w:bCs/>
                <w:sz w:val="16"/>
                <w:szCs w:val="16"/>
              </w:rPr>
              <w:t>-TN (NCT03145961)</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Detect relapse using ctDNA</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for early detection of recurrence</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Triple-negative breast cancer</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Early relapse detection feasible with ctDNA surveillance</w:t>
            </w:r>
          </w:p>
        </w:tc>
      </w:tr>
      <w:tr w:rsidR="00117B97" w:rsidRPr="00F60A59" w:rsidTr="00117B97">
        <w:tc>
          <w:tcPr>
            <w:tcW w:w="1368" w:type="dxa"/>
            <w:hideMark/>
          </w:tcPr>
          <w:p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SOLAR-1 (NCT02437318)</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III</w:t>
            </w:r>
          </w:p>
        </w:tc>
        <w:tc>
          <w:tcPr>
            <w:tcW w:w="180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Assess PIK3CA mutation status from ctDNA</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as companion diagnostic</w:t>
            </w:r>
          </w:p>
        </w:tc>
        <w:tc>
          <w:tcPr>
            <w:tcW w:w="171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HR+/HER2- advanced BC</w:t>
            </w:r>
          </w:p>
        </w:tc>
        <w:tc>
          <w:tcPr>
            <w:tcW w:w="108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PIK3CA mutations predicted response to alpelisib</w:t>
            </w:r>
          </w:p>
        </w:tc>
      </w:tr>
    </w:tbl>
    <w:p w:rsidR="00117B97" w:rsidRPr="00117B97" w:rsidRDefault="00117B97" w:rsidP="00117B97">
      <w:pPr>
        <w:pStyle w:val="NormalWeb"/>
        <w:ind w:left="720"/>
        <w:jc w:val="center"/>
        <w:rPr>
          <w:b/>
          <w:sz w:val="20"/>
          <w:szCs w:val="20"/>
        </w:rPr>
      </w:pPr>
      <w:r w:rsidRPr="00117B97">
        <w:rPr>
          <w:rStyle w:val="Strong"/>
          <w:sz w:val="20"/>
          <w:szCs w:val="20"/>
        </w:rPr>
        <w:t xml:space="preserve">Table </w:t>
      </w:r>
      <w:r w:rsidR="001350A1">
        <w:rPr>
          <w:rStyle w:val="Strong"/>
          <w:sz w:val="20"/>
          <w:szCs w:val="20"/>
        </w:rPr>
        <w:t>3</w:t>
      </w:r>
      <w:bookmarkStart w:id="0" w:name="_GoBack"/>
      <w:bookmarkEnd w:id="0"/>
      <w:r w:rsidRPr="00117B97">
        <w:rPr>
          <w:rStyle w:val="Strong"/>
          <w:sz w:val="20"/>
          <w:szCs w:val="20"/>
        </w:rPr>
        <w:t>:</w:t>
      </w:r>
      <w:r w:rsidRPr="00117B97">
        <w:rPr>
          <w:sz w:val="20"/>
          <w:szCs w:val="20"/>
        </w:rPr>
        <w:t xml:space="preserve"> </w:t>
      </w:r>
      <w:r w:rsidRPr="00117B97">
        <w:rPr>
          <w:b/>
          <w:sz w:val="20"/>
          <w:szCs w:val="20"/>
        </w:rPr>
        <w:t>Clinical trials involving ctDNA in breast cancer.</w:t>
      </w:r>
    </w:p>
    <w:p w:rsidR="00FD30A6" w:rsidRDefault="00FD30A6" w:rsidP="00FD30A6">
      <w:pPr>
        <w:pStyle w:val="NormalWeb"/>
        <w:spacing w:line="360" w:lineRule="auto"/>
        <w:jc w:val="both"/>
      </w:pPr>
      <w:r>
        <w:t xml:space="preserve">This review highlights the </w:t>
      </w:r>
      <w:r>
        <w:rPr>
          <w:rStyle w:val="Strong"/>
        </w:rPr>
        <w:t>key clinical applications of ctDNA</w:t>
      </w:r>
      <w:r>
        <w:t xml:space="preserve"> in breast cancer, including its utility in </w:t>
      </w:r>
      <w:r>
        <w:rPr>
          <w:rStyle w:val="Strong"/>
        </w:rPr>
        <w:t>early detection</w:t>
      </w:r>
      <w:r>
        <w:t xml:space="preserve">, </w:t>
      </w:r>
      <w:r>
        <w:rPr>
          <w:rStyle w:val="Strong"/>
        </w:rPr>
        <w:t>treatment selection</w:t>
      </w:r>
      <w:r>
        <w:t xml:space="preserve">, </w:t>
      </w:r>
      <w:r>
        <w:rPr>
          <w:rStyle w:val="Strong"/>
        </w:rPr>
        <w:t>response monitoring</w:t>
      </w:r>
      <w:r>
        <w:t xml:space="preserve">, </w:t>
      </w:r>
      <w:r>
        <w:rPr>
          <w:rStyle w:val="Strong"/>
        </w:rPr>
        <w:t>minimal residual disease (MRD) detection</w:t>
      </w:r>
      <w:r>
        <w:t xml:space="preserve">, and </w:t>
      </w:r>
      <w:r>
        <w:rPr>
          <w:rStyle w:val="Strong"/>
        </w:rPr>
        <w:t>resistance tracking</w:t>
      </w:r>
      <w:r>
        <w:t xml:space="preserve">. Compared to traditional tissue biopsy, liquid biopsy provides significant advantages in terms of </w:t>
      </w:r>
      <w:r>
        <w:rPr>
          <w:rStyle w:val="Strong"/>
        </w:rPr>
        <w:t>safety</w:t>
      </w:r>
      <w:r>
        <w:t xml:space="preserve">, </w:t>
      </w:r>
      <w:r>
        <w:rPr>
          <w:rStyle w:val="Strong"/>
        </w:rPr>
        <w:t>repeatability</w:t>
      </w:r>
      <w:r>
        <w:t xml:space="preserve">, and the ability to capture </w:t>
      </w:r>
      <w:r>
        <w:rPr>
          <w:rStyle w:val="Strong"/>
        </w:rPr>
        <w:t>tumor heterogeneity</w:t>
      </w:r>
      <w:r>
        <w:t xml:space="preserve">. Landmark clinical trials such as </w:t>
      </w:r>
      <w:r>
        <w:rPr>
          <w:rStyle w:val="Strong"/>
        </w:rPr>
        <w:t>c-TRAK-TN</w:t>
      </w:r>
      <w:r>
        <w:t xml:space="preserve"> and </w:t>
      </w:r>
      <w:r>
        <w:rPr>
          <w:rStyle w:val="Strong"/>
        </w:rPr>
        <w:t>DARE</w:t>
      </w:r>
      <w:r>
        <w:t xml:space="preserve"> underscore the potential of </w:t>
      </w:r>
      <w:r>
        <w:lastRenderedPageBreak/>
        <w:t>ctDNA to detect molecular relapse ahead of clinical symptoms, enabling earlier intervention and potentially improved outcomes.</w:t>
      </w:r>
    </w:p>
    <w:p w:rsidR="00FD30A6" w:rsidRDefault="00FD30A6" w:rsidP="00FD30A6">
      <w:pPr>
        <w:pStyle w:val="NormalWeb"/>
        <w:spacing w:line="360" w:lineRule="auto"/>
        <w:jc w:val="both"/>
      </w:pPr>
      <w:r>
        <w:t xml:space="preserve">However, the field must still overcome several challenges—including </w:t>
      </w:r>
      <w:r>
        <w:rPr>
          <w:rStyle w:val="Strong"/>
        </w:rPr>
        <w:t>technical sensitivity</w:t>
      </w:r>
      <w:r>
        <w:t xml:space="preserve">, </w:t>
      </w:r>
      <w:r>
        <w:rPr>
          <w:rStyle w:val="Strong"/>
        </w:rPr>
        <w:t>standardization</w:t>
      </w:r>
      <w:r>
        <w:t xml:space="preserve">, and </w:t>
      </w:r>
      <w:r>
        <w:rPr>
          <w:rStyle w:val="Strong"/>
        </w:rPr>
        <w:t>regulatory integration</w:t>
      </w:r>
      <w:r>
        <w:t>—before ctDNA can be fully adopted into routine clinical practice. Continued research, multi-center trials, and consensus-building across oncology networks will be critical to validating its clinical impact.</w:t>
      </w:r>
    </w:p>
    <w:p w:rsidR="00117B97" w:rsidRDefault="00FD30A6" w:rsidP="00FD30A6">
      <w:pPr>
        <w:pStyle w:val="NormalWeb"/>
        <w:spacing w:line="360" w:lineRule="auto"/>
        <w:jc w:val="both"/>
      </w:pPr>
      <w:r>
        <w:t xml:space="preserve">Looking forward, the </w:t>
      </w:r>
      <w:r>
        <w:rPr>
          <w:rStyle w:val="Strong"/>
        </w:rPr>
        <w:t>integration of ctDNA into clinical guidelines</w:t>
      </w:r>
      <w:r>
        <w:t xml:space="preserve">, combined with advances in </w:t>
      </w:r>
      <w:r>
        <w:rPr>
          <w:rStyle w:val="Strong"/>
        </w:rPr>
        <w:t>personalized treatment planning</w:t>
      </w:r>
      <w:r>
        <w:t xml:space="preserve"> and </w:t>
      </w:r>
      <w:r>
        <w:rPr>
          <w:rStyle w:val="Strong"/>
        </w:rPr>
        <w:t>multi-analyte liquid biopsy platforms</w:t>
      </w:r>
      <w:r>
        <w:t xml:space="preserve">, holds immense promise. CtDNA is not just a biomarker—it represents a shift toward </w:t>
      </w:r>
      <w:r>
        <w:rPr>
          <w:rStyle w:val="Strong"/>
        </w:rPr>
        <w:t>real-time, biology-driven cancer care</w:t>
      </w:r>
      <w:r>
        <w:t xml:space="preserve"> that empowers clinicians and benefits patients.</w:t>
      </w:r>
    </w:p>
    <w:p w:rsidR="00117B97" w:rsidRDefault="00117B97" w:rsidP="00BC0D35">
      <w:pPr>
        <w:pStyle w:val="NormalWeb"/>
        <w:spacing w:line="360" w:lineRule="auto"/>
        <w:jc w:val="both"/>
      </w:pPr>
    </w:p>
    <w:p w:rsidR="00BC0D35" w:rsidRDefault="00BC0D35" w:rsidP="00BC0D35">
      <w:pPr>
        <w:pStyle w:val="NormalWeb"/>
        <w:spacing w:line="360" w:lineRule="auto"/>
        <w:jc w:val="both"/>
      </w:pPr>
      <w:r>
        <w:t xml:space="preserve">In summary, ctDNA has the potential to revolutionize breast cancer management by enabling </w:t>
      </w:r>
      <w:r>
        <w:rPr>
          <w:rStyle w:val="Strong"/>
        </w:rPr>
        <w:t>earlier detection</w:t>
      </w:r>
      <w:r>
        <w:t xml:space="preserve">, </w:t>
      </w:r>
      <w:r>
        <w:rPr>
          <w:rStyle w:val="Strong"/>
        </w:rPr>
        <w:t>tailored therapies</w:t>
      </w:r>
      <w:r>
        <w:t xml:space="preserve">, and </w:t>
      </w:r>
      <w:r>
        <w:rPr>
          <w:rStyle w:val="Strong"/>
        </w:rPr>
        <w:t>proactive disease monitoring</w:t>
      </w:r>
      <w:r>
        <w:t xml:space="preserve"> ultimately contributing to improved patient survival and quality of life.</w:t>
      </w:r>
    </w:p>
    <w:p w:rsidR="001350A1" w:rsidRDefault="001350A1" w:rsidP="00BC0D35">
      <w:pPr>
        <w:pStyle w:val="NormalWeb"/>
        <w:spacing w:line="360" w:lineRule="auto"/>
        <w:jc w:val="both"/>
      </w:pPr>
    </w:p>
    <w:p w:rsidR="001350A1" w:rsidRDefault="001350A1" w:rsidP="001350A1">
      <w:r>
        <w:t>Disclaimer (Artificial intelligence)</w:t>
      </w:r>
    </w:p>
    <w:p w:rsidR="001350A1" w:rsidRDefault="001350A1" w:rsidP="001350A1">
      <w:r>
        <w:t xml:space="preserve">Option 1: </w:t>
      </w:r>
    </w:p>
    <w:p w:rsidR="001350A1" w:rsidRDefault="001350A1" w:rsidP="001350A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350A1" w:rsidRDefault="001350A1" w:rsidP="001350A1">
      <w:r>
        <w:t xml:space="preserve">Option 2: </w:t>
      </w:r>
    </w:p>
    <w:p w:rsidR="001350A1" w:rsidRDefault="001350A1" w:rsidP="001350A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350A1" w:rsidRDefault="001350A1" w:rsidP="001350A1">
      <w:r>
        <w:t>Details of the AI usage are given below:</w:t>
      </w:r>
    </w:p>
    <w:p w:rsidR="001350A1" w:rsidRDefault="001350A1" w:rsidP="001350A1">
      <w:r>
        <w:t>1.</w:t>
      </w:r>
    </w:p>
    <w:p w:rsidR="001350A1" w:rsidRDefault="001350A1" w:rsidP="001350A1">
      <w:r>
        <w:t>2.</w:t>
      </w:r>
    </w:p>
    <w:p w:rsidR="001350A1" w:rsidRDefault="001350A1" w:rsidP="001350A1">
      <w:r>
        <w:t>3.</w:t>
      </w:r>
    </w:p>
    <w:p w:rsidR="001350A1" w:rsidRDefault="001350A1" w:rsidP="001350A1"/>
    <w:p w:rsidR="001350A1" w:rsidRDefault="001350A1" w:rsidP="001350A1"/>
    <w:p w:rsidR="001350A1" w:rsidRDefault="001350A1" w:rsidP="00BC0D35">
      <w:pPr>
        <w:pStyle w:val="NormalWeb"/>
        <w:spacing w:line="360" w:lineRule="auto"/>
        <w:jc w:val="both"/>
      </w:pPr>
    </w:p>
    <w:p w:rsidR="00BC0D35" w:rsidRDefault="00BC0D35" w:rsidP="00BC0D35">
      <w:pPr>
        <w:pStyle w:val="Heading3"/>
      </w:pPr>
      <w:r>
        <w:rPr>
          <w:rStyle w:val="Strong"/>
          <w:b/>
          <w:bCs/>
        </w:rPr>
        <w:lastRenderedPageBreak/>
        <w:t>11. References</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Zhang, Y., &amp; Yuan, X. (2025). Minimal residue disease detection in early-stage breast cancer: A review. </w:t>
      </w:r>
      <w:r>
        <w:rPr>
          <w:rStyle w:val="Emphasis"/>
        </w:rPr>
        <w:t>Molecular Biology Reports, 52</w:t>
      </w:r>
      <w:r>
        <w:t>(1), 106. https://doi.org/10.1007/s11033-024-10198-0. PMID: 39777588</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Chen, J. H., </w:t>
      </w:r>
      <w:proofErr w:type="spellStart"/>
      <w:r>
        <w:t>Geng</w:t>
      </w:r>
      <w:proofErr w:type="spellEnd"/>
      <w:r>
        <w:t xml:space="preserve">, Y., &amp; </w:t>
      </w:r>
      <w:proofErr w:type="spellStart"/>
      <w:r>
        <w:t>Lucci</w:t>
      </w:r>
      <w:proofErr w:type="spellEnd"/>
      <w:r>
        <w:t xml:space="preserve">, A. (2025). Applications of ctDNA testing to monitor and detect residual disease in breast cancer. </w:t>
      </w:r>
      <w:r>
        <w:rPr>
          <w:rStyle w:val="Emphasis"/>
        </w:rPr>
        <w:t>Expert Review of Molecular Diagnostics, 25</w:t>
      </w:r>
      <w:r>
        <w:t>(6), 263–274. https://doi.org/10.1080/14737159.2025.2498545. PMID: 40288891</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t>Janni</w:t>
      </w:r>
      <w:proofErr w:type="spellEnd"/>
      <w:r>
        <w:t xml:space="preserve">, W., Rack, B., </w:t>
      </w:r>
      <w:proofErr w:type="spellStart"/>
      <w:r>
        <w:t>Friedl</w:t>
      </w:r>
      <w:proofErr w:type="spellEnd"/>
      <w:r>
        <w:t xml:space="preserve">, T. W. P., </w:t>
      </w:r>
      <w:proofErr w:type="spellStart"/>
      <w:r>
        <w:t>Hartkopf</w:t>
      </w:r>
      <w:proofErr w:type="spellEnd"/>
      <w:r>
        <w:t xml:space="preserve">, A. D., </w:t>
      </w:r>
      <w:proofErr w:type="spellStart"/>
      <w:r>
        <w:t>Wiesmüller</w:t>
      </w:r>
      <w:proofErr w:type="spellEnd"/>
      <w:r>
        <w:t xml:space="preserve">, L., Pfister, K., </w:t>
      </w:r>
      <w:proofErr w:type="spellStart"/>
      <w:r>
        <w:t>Mergel</w:t>
      </w:r>
      <w:proofErr w:type="spellEnd"/>
      <w:r>
        <w:t xml:space="preserve">, F., Fink, A., Braun, T., Mehmeti, F., </w:t>
      </w:r>
      <w:proofErr w:type="spellStart"/>
      <w:r>
        <w:t>Uhl</w:t>
      </w:r>
      <w:proofErr w:type="spellEnd"/>
      <w:r>
        <w:t xml:space="preserve">, N., De Gregorio, A., </w:t>
      </w:r>
      <w:proofErr w:type="spellStart"/>
      <w:r>
        <w:t>Huober</w:t>
      </w:r>
      <w:proofErr w:type="spellEnd"/>
      <w:r>
        <w:t xml:space="preserve">, J., </w:t>
      </w:r>
      <w:proofErr w:type="spellStart"/>
      <w:r>
        <w:t>Fehm</w:t>
      </w:r>
      <w:proofErr w:type="spellEnd"/>
      <w:r>
        <w:t xml:space="preserve">, T., Müller, V., Rich, T. A., Dustin, D. J., Zhang, S., &amp; </w:t>
      </w:r>
      <w:proofErr w:type="spellStart"/>
      <w:r>
        <w:t>Huesmann</w:t>
      </w:r>
      <w:proofErr w:type="spellEnd"/>
      <w:r>
        <w:t xml:space="preserve">, S. T. (2025). Detection of minimal residual disease and prediction of recurrence in breast cancer using a plasma-only circulating tumor DNA assay. </w:t>
      </w:r>
      <w:r>
        <w:rPr>
          <w:rStyle w:val="Emphasis"/>
        </w:rPr>
        <w:t>ESMO Open, 10</w:t>
      </w:r>
      <w:r>
        <w:t>(4), 104296. https://doi.org/10.1016/j.esmoop.2025.104296. PMID: 40120523</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t>Hadd</w:t>
      </w:r>
      <w:proofErr w:type="spellEnd"/>
      <w:r>
        <w:t>, A. G., Silvestro, A., McKelvey, B. A., Baden, J., Bormann Chung, C., Brown, B., Cruz-</w:t>
      </w:r>
      <w:proofErr w:type="spellStart"/>
      <w:r>
        <w:t>Guilloty</w:t>
      </w:r>
      <w:proofErr w:type="spellEnd"/>
      <w:r>
        <w:t xml:space="preserve">, F., Godsey, J., Jones, G., Lin, C. J., Lopez Ramos, D., Norton, D., </w:t>
      </w:r>
      <w:proofErr w:type="spellStart"/>
      <w:r>
        <w:t>Palomares</w:t>
      </w:r>
      <w:proofErr w:type="spellEnd"/>
      <w:r>
        <w:t xml:space="preserve">, M. R., Pena, C., Rich, T., Rodriguez, A., Stewart, M., Merino Vega, D., &amp; </w:t>
      </w:r>
      <w:proofErr w:type="spellStart"/>
      <w:r>
        <w:t>Leiman</w:t>
      </w:r>
      <w:proofErr w:type="spellEnd"/>
      <w:r>
        <w:t xml:space="preserve">, L. C. (2025). Establishing a common lexicon for circulating tumor DNA analysis and molecular residual disease: Insights from the BLOODPAC Consortium. </w:t>
      </w:r>
      <w:r>
        <w:rPr>
          <w:rStyle w:val="Emphasis"/>
        </w:rPr>
        <w:t>Clinical and Translational Science, 18</w:t>
      </w:r>
      <w:r>
        <w:t>(3), e70185. https://doi.org/10.1111/cts.70185. PMID: 40070025</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t>Croessmann</w:t>
      </w:r>
      <w:proofErr w:type="spellEnd"/>
      <w:r>
        <w:t xml:space="preserve">, S., &amp; Park, B. H. (2021). Circulating tumor DNA in early-stage breast cancer: New directions and potential clinical applications. </w:t>
      </w:r>
      <w:r>
        <w:rPr>
          <w:rStyle w:val="Emphasis"/>
        </w:rPr>
        <w:t>Clinical Advances in Hematology &amp; Oncology, 19</w:t>
      </w:r>
      <w:r>
        <w:t>(3), 155–161. PMID: 33739964</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Elliott, M. J., </w:t>
      </w:r>
      <w:proofErr w:type="spellStart"/>
      <w:r>
        <w:t>Echelard</w:t>
      </w:r>
      <w:proofErr w:type="spellEnd"/>
      <w:r>
        <w:t xml:space="preserve">, P., </w:t>
      </w:r>
      <w:proofErr w:type="spellStart"/>
      <w:r>
        <w:t>Pipinikas</w:t>
      </w:r>
      <w:proofErr w:type="spellEnd"/>
      <w:r>
        <w:t xml:space="preserve">, C., Main, S., Fuentes </w:t>
      </w:r>
      <w:proofErr w:type="spellStart"/>
      <w:r>
        <w:t>Antrás</w:t>
      </w:r>
      <w:proofErr w:type="spellEnd"/>
      <w:r>
        <w:t xml:space="preserve">, J., Dou, A., Veitch, Z., Amir, E., Nadler, M. B., </w:t>
      </w:r>
      <w:proofErr w:type="spellStart"/>
      <w:r>
        <w:t>Meti</w:t>
      </w:r>
      <w:proofErr w:type="spellEnd"/>
      <w:r>
        <w:t xml:space="preserve">, N., </w:t>
      </w:r>
      <w:proofErr w:type="spellStart"/>
      <w:r>
        <w:t>Atenafu</w:t>
      </w:r>
      <w:proofErr w:type="spellEnd"/>
      <w:r>
        <w:t xml:space="preserve">, E., Shah, E., Yu, C., Campbell, N., Ventura, R., Siu, L. L., Bedard, P. L., Berman, H. K., &amp; </w:t>
      </w:r>
      <w:proofErr w:type="spellStart"/>
      <w:r>
        <w:t>Cescon</w:t>
      </w:r>
      <w:proofErr w:type="spellEnd"/>
      <w:r>
        <w:t xml:space="preserve">, D. W. (2025). Longitudinal evaluation of circulating tumor DNA in patients undergoing neoadjuvant therapy for early breast cancer using a tumor-informed assay. </w:t>
      </w:r>
      <w:r>
        <w:rPr>
          <w:rStyle w:val="Emphasis"/>
        </w:rPr>
        <w:t>Nature Communications, 16</w:t>
      </w:r>
      <w:r>
        <w:t>(1), 1837. https://doi.org/10.1038/s41467-025-56658-4. PMID: 39984446</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Chen, Y., </w:t>
      </w:r>
      <w:proofErr w:type="spellStart"/>
      <w:r>
        <w:t>Xie</w:t>
      </w:r>
      <w:proofErr w:type="spellEnd"/>
      <w:r>
        <w:t xml:space="preserve">, L., Tang, W., Xiao, Q., Liu, L., </w:t>
      </w:r>
      <w:proofErr w:type="spellStart"/>
      <w:r>
        <w:t>Xie</w:t>
      </w:r>
      <w:proofErr w:type="spellEnd"/>
      <w:r>
        <w:t xml:space="preserve">, T., Huang, Y., Wang, Q., Yu, K., Gu, Y., &amp; Peng, W. (2025). MRI radiomics signatures of 21-gene recurrence score for predicting survival in ER+/HER2- breast cancer. </w:t>
      </w:r>
      <w:r>
        <w:rPr>
          <w:rStyle w:val="Emphasis"/>
        </w:rPr>
        <w:t>Cancer Medicine, 14</w:t>
      </w:r>
      <w:r>
        <w:t>(17), e71172. https://doi.org/10.1002/cam4.71172. PMID: 40891595</w:t>
      </w:r>
    </w:p>
    <w:p w:rsidR="005A47EC" w:rsidRPr="005A47EC" w:rsidRDefault="000949E4"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Dang Cao, T. L., </w:t>
      </w:r>
      <w:proofErr w:type="spellStart"/>
      <w:r>
        <w:t>Kawanishi</w:t>
      </w:r>
      <w:proofErr w:type="spellEnd"/>
      <w:r>
        <w:t xml:space="preserve">, K., Hashimoto, S., </w:t>
      </w:r>
      <w:proofErr w:type="spellStart"/>
      <w:r>
        <w:t>Hengphasatporn</w:t>
      </w:r>
      <w:proofErr w:type="spellEnd"/>
      <w:r>
        <w:t>, K., Nagai-</w:t>
      </w:r>
      <w:proofErr w:type="spellStart"/>
      <w:r>
        <w:t>Okatani</w:t>
      </w:r>
      <w:proofErr w:type="spellEnd"/>
      <w:r>
        <w:t xml:space="preserve">, C., Kimura, T., Abdelaziz, M., </w:t>
      </w:r>
      <w:proofErr w:type="spellStart"/>
      <w:r>
        <w:t>Shiratani</w:t>
      </w:r>
      <w:proofErr w:type="spellEnd"/>
      <w:r>
        <w:t xml:space="preserve">, R., </w:t>
      </w:r>
      <w:proofErr w:type="spellStart"/>
      <w:r>
        <w:t>Poullikkas</w:t>
      </w:r>
      <w:proofErr w:type="spellEnd"/>
      <w:r>
        <w:t xml:space="preserve">, T., Azmi, N. U., Baba, M., </w:t>
      </w:r>
      <w:proofErr w:type="spellStart"/>
      <w:r>
        <w:t>Okita</w:t>
      </w:r>
      <w:proofErr w:type="spellEnd"/>
      <w:r>
        <w:t xml:space="preserve">, Y., Watanabe, Y., Bando, H., Yamazaki, S., Shigeta, Y., </w:t>
      </w:r>
      <w:proofErr w:type="spellStart"/>
      <w:r>
        <w:t>Kuno</w:t>
      </w:r>
      <w:proofErr w:type="spellEnd"/>
      <w:r>
        <w:t xml:space="preserve">, A., &amp; Kato, M. (2025). Tumor-expressed GPNMB orchestrates Siglec-9⁺ TAM polarization and EMT to promote metastasis in triple-negative breast cancer. </w:t>
      </w:r>
      <w:r>
        <w:rPr>
          <w:rStyle w:val="Emphasis"/>
        </w:rPr>
        <w:t>Proceedings of the National Academy of Sciences of the United States of America, 122</w:t>
      </w:r>
      <w:r>
        <w:t>(36), e2503081122. https://doi.org/10.1073/pnas.2503081122. PMID: 40892920</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Juric</w:t>
      </w:r>
      <w:proofErr w:type="spellEnd"/>
      <w:r w:rsidRPr="005A47EC">
        <w:rPr>
          <w:rStyle w:val="HTMLCite"/>
          <w:rFonts w:ascii="Times New Roman" w:hAnsi="Times New Roman" w:cs="Times New Roman"/>
          <w:i w:val="0"/>
          <w:iCs w:val="0"/>
          <w:color w:val="1B1B1B"/>
          <w:sz w:val="20"/>
          <w:szCs w:val="20"/>
        </w:rPr>
        <w:t xml:space="preserve"> D, </w:t>
      </w:r>
      <w:proofErr w:type="spellStart"/>
      <w:r w:rsidRPr="005A47EC">
        <w:rPr>
          <w:rStyle w:val="HTMLCite"/>
          <w:rFonts w:ascii="Times New Roman" w:hAnsi="Times New Roman" w:cs="Times New Roman"/>
          <w:i w:val="0"/>
          <w:iCs w:val="0"/>
          <w:color w:val="1B1B1B"/>
          <w:sz w:val="20"/>
          <w:szCs w:val="20"/>
        </w:rPr>
        <w:t>Ciruelos</w:t>
      </w:r>
      <w:proofErr w:type="spellEnd"/>
      <w:r w:rsidRPr="005A47EC">
        <w:rPr>
          <w:rStyle w:val="HTMLCite"/>
          <w:rFonts w:ascii="Times New Roman" w:hAnsi="Times New Roman" w:cs="Times New Roman"/>
          <w:i w:val="0"/>
          <w:iCs w:val="0"/>
          <w:color w:val="1B1B1B"/>
          <w:sz w:val="20"/>
          <w:szCs w:val="20"/>
        </w:rPr>
        <w:t xml:space="preserve"> E, </w:t>
      </w:r>
      <w:proofErr w:type="spellStart"/>
      <w:r w:rsidRPr="005A47EC">
        <w:rPr>
          <w:rStyle w:val="HTMLCite"/>
          <w:rFonts w:ascii="Times New Roman" w:hAnsi="Times New Roman" w:cs="Times New Roman"/>
          <w:i w:val="0"/>
          <w:iCs w:val="0"/>
          <w:color w:val="1B1B1B"/>
          <w:sz w:val="20"/>
          <w:szCs w:val="20"/>
        </w:rPr>
        <w:t>Rubovszky</w:t>
      </w:r>
      <w:proofErr w:type="spellEnd"/>
      <w:r w:rsidRPr="005A47EC">
        <w:rPr>
          <w:rStyle w:val="HTMLCite"/>
          <w:rFonts w:ascii="Times New Roman" w:hAnsi="Times New Roman" w:cs="Times New Roman"/>
          <w:i w:val="0"/>
          <w:iCs w:val="0"/>
          <w:color w:val="1B1B1B"/>
          <w:sz w:val="20"/>
          <w:szCs w:val="20"/>
        </w:rPr>
        <w:t xml:space="preserve"> G et al. Abstract GS3–08: </w:t>
      </w:r>
      <w:proofErr w:type="spellStart"/>
      <w:r w:rsidRPr="005A47EC">
        <w:rPr>
          <w:rStyle w:val="HTMLCite"/>
          <w:rFonts w:ascii="Times New Roman" w:hAnsi="Times New Roman" w:cs="Times New Roman"/>
          <w:i w:val="0"/>
          <w:iCs w:val="0"/>
          <w:color w:val="1B1B1B"/>
          <w:sz w:val="20"/>
          <w:szCs w:val="20"/>
        </w:rPr>
        <w:t>Alpelisib</w:t>
      </w:r>
      <w:proofErr w:type="spellEnd"/>
      <w:r w:rsidRPr="005A47EC">
        <w:rPr>
          <w:rStyle w:val="HTMLCite"/>
          <w:rFonts w:ascii="Times New Roman" w:hAnsi="Times New Roman" w:cs="Times New Roman"/>
          <w:i w:val="0"/>
          <w:iCs w:val="0"/>
          <w:color w:val="1B1B1B"/>
          <w:sz w:val="20"/>
          <w:szCs w:val="20"/>
        </w:rPr>
        <w:t xml:space="preserve"> + </w:t>
      </w:r>
      <w:proofErr w:type="spellStart"/>
      <w:r w:rsidRPr="005A47EC">
        <w:rPr>
          <w:rStyle w:val="HTMLCite"/>
          <w:rFonts w:ascii="Times New Roman" w:hAnsi="Times New Roman" w:cs="Times New Roman"/>
          <w:i w:val="0"/>
          <w:iCs w:val="0"/>
          <w:color w:val="1B1B1B"/>
          <w:sz w:val="20"/>
          <w:szCs w:val="20"/>
        </w:rPr>
        <w:t>fulvestrant</w:t>
      </w:r>
      <w:proofErr w:type="spellEnd"/>
      <w:r w:rsidRPr="005A47EC">
        <w:rPr>
          <w:rStyle w:val="HTMLCite"/>
          <w:rFonts w:ascii="Times New Roman" w:hAnsi="Times New Roman" w:cs="Times New Roman"/>
          <w:i w:val="0"/>
          <w:iCs w:val="0"/>
          <w:color w:val="1B1B1B"/>
          <w:sz w:val="20"/>
          <w:szCs w:val="20"/>
        </w:rPr>
        <w:t xml:space="preserve"> for advanced breast cancer: Subgroup analyses from the phase III SOLAR-1 trial. Cancer Research, 79(4 Supplement), GS3–08-GS03–08 (2019).</w:t>
      </w:r>
      <w:r w:rsidRPr="005A47EC">
        <w:rPr>
          <w:rFonts w:ascii="Times New Roman" w:hAnsi="Times New Roman" w:cs="Times New Roman"/>
          <w:color w:val="1B1B1B"/>
          <w:sz w:val="20"/>
          <w:szCs w:val="20"/>
        </w:rPr>
        <w:t> [</w:t>
      </w:r>
      <w:hyperlink r:id="rId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André F, </w:t>
      </w:r>
      <w:proofErr w:type="spellStart"/>
      <w:r w:rsidRPr="005A47EC">
        <w:rPr>
          <w:rStyle w:val="HTMLCite"/>
          <w:rFonts w:ascii="Times New Roman" w:hAnsi="Times New Roman" w:cs="Times New Roman"/>
          <w:i w:val="0"/>
          <w:iCs w:val="0"/>
          <w:color w:val="1B1B1B"/>
          <w:sz w:val="20"/>
          <w:szCs w:val="20"/>
        </w:rPr>
        <w:t>Ciruelos</w:t>
      </w:r>
      <w:proofErr w:type="spellEnd"/>
      <w:r w:rsidRPr="005A47EC">
        <w:rPr>
          <w:rStyle w:val="HTMLCite"/>
          <w:rFonts w:ascii="Times New Roman" w:hAnsi="Times New Roman" w:cs="Times New Roman"/>
          <w:i w:val="0"/>
          <w:iCs w:val="0"/>
          <w:color w:val="1B1B1B"/>
          <w:sz w:val="20"/>
          <w:szCs w:val="20"/>
        </w:rPr>
        <w:t xml:space="preserve"> E, </w:t>
      </w:r>
      <w:proofErr w:type="spellStart"/>
      <w:r w:rsidRPr="005A47EC">
        <w:rPr>
          <w:rStyle w:val="HTMLCite"/>
          <w:rFonts w:ascii="Times New Roman" w:hAnsi="Times New Roman" w:cs="Times New Roman"/>
          <w:i w:val="0"/>
          <w:iCs w:val="0"/>
          <w:color w:val="1B1B1B"/>
          <w:sz w:val="20"/>
          <w:szCs w:val="20"/>
        </w:rPr>
        <w:t>Rubovszky</w:t>
      </w:r>
      <w:proofErr w:type="spellEnd"/>
      <w:r w:rsidRPr="005A47EC">
        <w:rPr>
          <w:rStyle w:val="HTMLCite"/>
          <w:rFonts w:ascii="Times New Roman" w:hAnsi="Times New Roman" w:cs="Times New Roman"/>
          <w:i w:val="0"/>
          <w:iCs w:val="0"/>
          <w:color w:val="1B1B1B"/>
          <w:sz w:val="20"/>
          <w:szCs w:val="20"/>
        </w:rPr>
        <w:t xml:space="preserve"> G et al. Alpelisib for PIK3CA-Mutated, Hormone Receptor–Positive Advanced Breast Cancer. New England Journal of Medicine, 380(20), 1929–1940 (2019).</w:t>
      </w:r>
      <w:r w:rsidRPr="005A47EC">
        <w:rPr>
          <w:rFonts w:ascii="Times New Roman" w:hAnsi="Times New Roman" w:cs="Times New Roman"/>
          <w:color w:val="1B1B1B"/>
          <w:sz w:val="20"/>
          <w:szCs w:val="20"/>
        </w:rPr>
        <w:t> [</w:t>
      </w:r>
      <w:hyperlink r:id="rId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9"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0"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lastRenderedPageBreak/>
        <w:t>*</w:t>
      </w:r>
      <w:proofErr w:type="gramStart"/>
      <w:r w:rsidRPr="005A47EC">
        <w:rPr>
          <w:rStyle w:val="label"/>
          <w:rFonts w:ascii="Times New Roman" w:hAnsi="Times New Roman" w:cs="Times New Roman"/>
          <w:color w:val="1B1B1B"/>
          <w:sz w:val="20"/>
          <w:szCs w:val="20"/>
        </w:rPr>
        <w:t>*.</w:t>
      </w:r>
      <w:proofErr w:type="spellStart"/>
      <w:r w:rsidRPr="005A47EC">
        <w:rPr>
          <w:rStyle w:val="HTMLCite"/>
          <w:rFonts w:ascii="Times New Roman" w:hAnsi="Times New Roman" w:cs="Times New Roman"/>
          <w:i w:val="0"/>
          <w:iCs w:val="0"/>
          <w:color w:val="1B1B1B"/>
          <w:sz w:val="20"/>
          <w:szCs w:val="20"/>
        </w:rPr>
        <w:t>Merker</w:t>
      </w:r>
      <w:proofErr w:type="spellEnd"/>
      <w:proofErr w:type="gramEnd"/>
      <w:r w:rsidRPr="005A47EC">
        <w:rPr>
          <w:rStyle w:val="HTMLCite"/>
          <w:rFonts w:ascii="Times New Roman" w:hAnsi="Times New Roman" w:cs="Times New Roman"/>
          <w:i w:val="0"/>
          <w:iCs w:val="0"/>
          <w:color w:val="1B1B1B"/>
          <w:sz w:val="20"/>
          <w:szCs w:val="20"/>
        </w:rPr>
        <w:t xml:space="preserve"> JD, Oxnard GR, Compton C et al. Circulating Tumor DNA Analysis in Patients With Cancer: American Society of Clinical Oncology and College of American Pathologists Joint Review. J Clin Oncol, 36(16), 1631–1641 (2018).</w:t>
      </w:r>
      <w:r w:rsidRPr="005A47EC">
        <w:rPr>
          <w:rFonts w:ascii="Times New Roman" w:hAnsi="Times New Roman" w:cs="Times New Roman"/>
          <w:color w:val="1B1B1B"/>
          <w:sz w:val="20"/>
          <w:szCs w:val="20"/>
        </w:rPr>
        <w:t> [</w:t>
      </w:r>
      <w:hyperlink r:id="rId11"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 </w:t>
      </w:r>
      <w:r w:rsidRPr="005A47EC">
        <w:rPr>
          <w:rStyle w:val="HTMLCite"/>
          <w:rFonts w:ascii="Times New Roman" w:hAnsi="Times New Roman" w:cs="Times New Roman"/>
          <w:i w:val="0"/>
          <w:iCs w:val="0"/>
          <w:color w:val="1B1B1B"/>
          <w:sz w:val="20"/>
          <w:szCs w:val="20"/>
        </w:rPr>
        <w:t>This article presents the opinion of the American Society of Clinical Oncology and College of American Pathologists on the use of circulating tumor DNA assays in cancer patients.</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t>Talarico</w:t>
      </w:r>
      <w:proofErr w:type="spellEnd"/>
      <w:r>
        <w:t xml:space="preserve">, G., </w:t>
      </w:r>
      <w:proofErr w:type="spellStart"/>
      <w:r>
        <w:t>Lecchi</w:t>
      </w:r>
      <w:proofErr w:type="spellEnd"/>
      <w:r>
        <w:t xml:space="preserve">, M., </w:t>
      </w:r>
      <w:proofErr w:type="spellStart"/>
      <w:r>
        <w:t>Zanichelli</w:t>
      </w:r>
      <w:proofErr w:type="spellEnd"/>
      <w:r>
        <w:t xml:space="preserve">, A., </w:t>
      </w:r>
      <w:proofErr w:type="spellStart"/>
      <w:r>
        <w:t>Portararo</w:t>
      </w:r>
      <w:proofErr w:type="spellEnd"/>
      <w:r>
        <w:t xml:space="preserve">, P., Botti, L., Cappelletti, V., Costanza, M., </w:t>
      </w:r>
      <w:proofErr w:type="spellStart"/>
      <w:r>
        <w:t>Piva</w:t>
      </w:r>
      <w:proofErr w:type="spellEnd"/>
      <w:r>
        <w:t xml:space="preserve">, A., </w:t>
      </w:r>
      <w:proofErr w:type="spellStart"/>
      <w:r>
        <w:t>Pratesi</w:t>
      </w:r>
      <w:proofErr w:type="spellEnd"/>
      <w:r>
        <w:t xml:space="preserve">, P., </w:t>
      </w:r>
      <w:proofErr w:type="spellStart"/>
      <w:r>
        <w:t>Bertolini</w:t>
      </w:r>
      <w:proofErr w:type="spellEnd"/>
      <w:r>
        <w:t xml:space="preserve">, F., Di Nicola, M., </w:t>
      </w:r>
      <w:proofErr w:type="spellStart"/>
      <w:r>
        <w:t>Tripodo</w:t>
      </w:r>
      <w:proofErr w:type="spellEnd"/>
      <w:r>
        <w:t xml:space="preserve">, C., </w:t>
      </w:r>
      <w:proofErr w:type="spellStart"/>
      <w:r>
        <w:t>Cancila</w:t>
      </w:r>
      <w:proofErr w:type="spellEnd"/>
      <w:r>
        <w:t xml:space="preserve">, V., Pupa, S. M., Colombo, M. P., </w:t>
      </w:r>
      <w:proofErr w:type="spellStart"/>
      <w:r>
        <w:t>Chiodoni</w:t>
      </w:r>
      <w:proofErr w:type="spellEnd"/>
      <w:r>
        <w:t xml:space="preserve">, C., </w:t>
      </w:r>
      <w:proofErr w:type="spellStart"/>
      <w:r>
        <w:t>Verderio</w:t>
      </w:r>
      <w:proofErr w:type="spellEnd"/>
      <w:r>
        <w:t xml:space="preserve">, P., &amp; </w:t>
      </w:r>
      <w:proofErr w:type="spellStart"/>
      <w:r>
        <w:t>Sangaletti</w:t>
      </w:r>
      <w:proofErr w:type="spellEnd"/>
      <w:r>
        <w:t xml:space="preserve">, S. (2025). ECM-induced IL-23 drives immune suppression in breast cancer via regulating PD-1 on </w:t>
      </w:r>
      <w:proofErr w:type="spellStart"/>
      <w:r>
        <w:t>Tregs</w:t>
      </w:r>
      <w:proofErr w:type="spellEnd"/>
      <w:r>
        <w:t xml:space="preserve">. </w:t>
      </w:r>
      <w:r>
        <w:rPr>
          <w:rStyle w:val="Emphasis"/>
        </w:rPr>
        <w:t>Journal of Experimental &amp; Clinical Cancer Research, 44</w:t>
      </w:r>
      <w:r>
        <w:t>(1), 264. https://doi.org/10.1186/s13046-025-03518-0. PMID: 4089083</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Sheng, W. Y., Zhu, Y., Liu, S. Q., Huang, Q. Y., Qian, W. F., Cheng, J. L., Huang, H. H., Wang, W. J., &amp; Meng, Y. (2025). A novel SWI/SNF complex promotes triple-negative breast cancer progression. </w:t>
      </w:r>
      <w:r>
        <w:rPr>
          <w:rStyle w:val="Emphasis"/>
        </w:rPr>
        <w:t>Cellular &amp; Molecular Biology Letters, 30</w:t>
      </w:r>
      <w:r>
        <w:t>(1), 105. https://doi.org/10.1186/s11658-025-00788-6. PMID: 40890601</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Wang, X., Li, J., Song, D., Wu, Y., Liu, J., Yi, Z., Sun, J., Huang, J., Wu, L., Zhang, X., Wan, J., Zhang, L., Li, C., Li, F., Wei, Y., Zhu, Y., Du, H., Ren, G., &amp; Li, H. (2025). AEBP1 drives fibroblast-mediated T cell dysfunction in tumors. </w:t>
      </w:r>
      <w:r>
        <w:rPr>
          <w:rStyle w:val="Emphasis"/>
        </w:rPr>
        <w:t>Nature Communications, 16</w:t>
      </w:r>
      <w:r>
        <w:t>(1), 8171. https://doi.org/10.1038/s41467-025-63659-w. PMID: 40890191</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Jamal-</w:t>
      </w:r>
      <w:proofErr w:type="spellStart"/>
      <w:r w:rsidRPr="005A47EC">
        <w:rPr>
          <w:rStyle w:val="HTMLCite"/>
          <w:rFonts w:ascii="Times New Roman" w:hAnsi="Times New Roman" w:cs="Times New Roman"/>
          <w:i w:val="0"/>
          <w:iCs w:val="0"/>
          <w:color w:val="1B1B1B"/>
          <w:sz w:val="20"/>
          <w:szCs w:val="20"/>
        </w:rPr>
        <w:t>Hanjani</w:t>
      </w:r>
      <w:proofErr w:type="spellEnd"/>
      <w:r w:rsidRPr="005A47EC">
        <w:rPr>
          <w:rStyle w:val="HTMLCite"/>
          <w:rFonts w:ascii="Times New Roman" w:hAnsi="Times New Roman" w:cs="Times New Roman"/>
          <w:i w:val="0"/>
          <w:iCs w:val="0"/>
          <w:color w:val="1B1B1B"/>
          <w:sz w:val="20"/>
          <w:szCs w:val="20"/>
        </w:rPr>
        <w:t xml:space="preserve"> M, Wilson GA, </w:t>
      </w:r>
      <w:proofErr w:type="spellStart"/>
      <w:r w:rsidRPr="005A47EC">
        <w:rPr>
          <w:rStyle w:val="HTMLCite"/>
          <w:rFonts w:ascii="Times New Roman" w:hAnsi="Times New Roman" w:cs="Times New Roman"/>
          <w:i w:val="0"/>
          <w:iCs w:val="0"/>
          <w:color w:val="1B1B1B"/>
          <w:sz w:val="20"/>
          <w:szCs w:val="20"/>
        </w:rPr>
        <w:t>McGranahan</w:t>
      </w:r>
      <w:proofErr w:type="spellEnd"/>
      <w:r w:rsidRPr="005A47EC">
        <w:rPr>
          <w:rStyle w:val="HTMLCite"/>
          <w:rFonts w:ascii="Times New Roman" w:hAnsi="Times New Roman" w:cs="Times New Roman"/>
          <w:i w:val="0"/>
          <w:iCs w:val="0"/>
          <w:color w:val="1B1B1B"/>
          <w:sz w:val="20"/>
          <w:szCs w:val="20"/>
        </w:rPr>
        <w:t xml:space="preserve"> N et al. Tracking the Evolution of Non–Small-Cell Lung Cancer. New England Journal of Medicine, 376(22), 2109–2121 (2017).</w:t>
      </w:r>
      <w:r w:rsidRPr="005A47EC">
        <w:rPr>
          <w:rFonts w:ascii="Times New Roman" w:hAnsi="Times New Roman" w:cs="Times New Roman"/>
          <w:color w:val="1B1B1B"/>
          <w:sz w:val="20"/>
          <w:szCs w:val="20"/>
        </w:rPr>
        <w:t> [</w:t>
      </w:r>
      <w:hyperlink r:id="rId1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5"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6"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Gerlinger</w:t>
      </w:r>
      <w:proofErr w:type="spellEnd"/>
      <w:r w:rsidRPr="005A47EC">
        <w:rPr>
          <w:rStyle w:val="HTMLCite"/>
          <w:rFonts w:ascii="Times New Roman" w:hAnsi="Times New Roman" w:cs="Times New Roman"/>
          <w:i w:val="0"/>
          <w:iCs w:val="0"/>
          <w:color w:val="1B1B1B"/>
          <w:sz w:val="20"/>
          <w:szCs w:val="20"/>
        </w:rPr>
        <w:t xml:space="preserve"> M, </w:t>
      </w:r>
      <w:proofErr w:type="spellStart"/>
      <w:r w:rsidRPr="005A47EC">
        <w:rPr>
          <w:rStyle w:val="HTMLCite"/>
          <w:rFonts w:ascii="Times New Roman" w:hAnsi="Times New Roman" w:cs="Times New Roman"/>
          <w:i w:val="0"/>
          <w:iCs w:val="0"/>
          <w:color w:val="1B1B1B"/>
          <w:sz w:val="20"/>
          <w:szCs w:val="20"/>
        </w:rPr>
        <w:t>Horswell</w:t>
      </w:r>
      <w:proofErr w:type="spellEnd"/>
      <w:r w:rsidRPr="005A47EC">
        <w:rPr>
          <w:rStyle w:val="HTMLCite"/>
          <w:rFonts w:ascii="Times New Roman" w:hAnsi="Times New Roman" w:cs="Times New Roman"/>
          <w:i w:val="0"/>
          <w:iCs w:val="0"/>
          <w:color w:val="1B1B1B"/>
          <w:sz w:val="20"/>
          <w:szCs w:val="20"/>
        </w:rPr>
        <w:t xml:space="preserve"> S, Larkin J et al. Genomic architecture and evolution of clear cell renal cell carcinomas defined by </w:t>
      </w:r>
      <w:proofErr w:type="spellStart"/>
      <w:r w:rsidRPr="005A47EC">
        <w:rPr>
          <w:rStyle w:val="HTMLCite"/>
          <w:rFonts w:ascii="Times New Roman" w:hAnsi="Times New Roman" w:cs="Times New Roman"/>
          <w:i w:val="0"/>
          <w:iCs w:val="0"/>
          <w:color w:val="1B1B1B"/>
          <w:sz w:val="20"/>
          <w:szCs w:val="20"/>
        </w:rPr>
        <w:t>multiregion</w:t>
      </w:r>
      <w:proofErr w:type="spellEnd"/>
      <w:r w:rsidRPr="005A47EC">
        <w:rPr>
          <w:rStyle w:val="HTMLCite"/>
          <w:rFonts w:ascii="Times New Roman" w:hAnsi="Times New Roman" w:cs="Times New Roman"/>
          <w:i w:val="0"/>
          <w:iCs w:val="0"/>
          <w:color w:val="1B1B1B"/>
          <w:sz w:val="20"/>
          <w:szCs w:val="20"/>
        </w:rPr>
        <w:t xml:space="preserve"> sequencing. Nat Genet, 46(3), 225–233 (2014).</w:t>
      </w:r>
      <w:r w:rsidRPr="005A47EC">
        <w:rPr>
          <w:rFonts w:ascii="Times New Roman" w:hAnsi="Times New Roman" w:cs="Times New Roman"/>
          <w:color w:val="1B1B1B"/>
          <w:sz w:val="20"/>
          <w:szCs w:val="20"/>
        </w:rPr>
        <w:t> [</w:t>
      </w:r>
      <w:hyperlink r:id="rId17"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8"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9"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0"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Zou, K., Zheng, Y., Ren, X., &amp; Cui, W. (2025). Exploring the genetic intersection of dried fruit intake and breast cancer risk: A multi-trait genomic analysis with epidemiological context. </w:t>
      </w:r>
      <w:r>
        <w:rPr>
          <w:rStyle w:val="Emphasis"/>
        </w:rPr>
        <w:t>Journal of Health, Population and Nutrition, 44</w:t>
      </w:r>
      <w:r>
        <w:t>(1), 314. https://doi.org/10.1186/s41043-025-01059-y. PMID: 4088764</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Fan, C., Cats, D., </w:t>
      </w:r>
      <w:proofErr w:type="spellStart"/>
      <w:r>
        <w:t>Selle</w:t>
      </w:r>
      <w:proofErr w:type="spellEnd"/>
      <w:r>
        <w:t xml:space="preserve">, M., </w:t>
      </w:r>
      <w:proofErr w:type="spellStart"/>
      <w:r>
        <w:t>Khorosjutina</w:t>
      </w:r>
      <w:proofErr w:type="spellEnd"/>
      <w:r>
        <w:t xml:space="preserve">, O., </w:t>
      </w:r>
      <w:proofErr w:type="spellStart"/>
      <w:r>
        <w:t>Dhanjal</w:t>
      </w:r>
      <w:proofErr w:type="spellEnd"/>
      <w:r>
        <w:t xml:space="preserve">, S., </w:t>
      </w:r>
      <w:proofErr w:type="spellStart"/>
      <w:r>
        <w:t>Schmierer</w:t>
      </w:r>
      <w:proofErr w:type="spellEnd"/>
      <w:r>
        <w:t xml:space="preserve">, B., Mei, H., Ten </w:t>
      </w:r>
      <w:proofErr w:type="spellStart"/>
      <w:r>
        <w:t>Dijke</w:t>
      </w:r>
      <w:proofErr w:type="spellEnd"/>
      <w:r>
        <w:t xml:space="preserve">, P., &amp; Wang, Q. (2025). SMAD3 and p300 complex scaffolding by long non-coding RNA LIMD1-AS1 promotes TGF-β-induced breast cancer cell plasticity. </w:t>
      </w:r>
      <w:r>
        <w:rPr>
          <w:rStyle w:val="Emphasis"/>
        </w:rPr>
        <w:t>Nucleic Acids Research, 53</w:t>
      </w:r>
      <w:r>
        <w:t>(16), gkaf841. https://doi.org/10.1093/nar/gkaf841. PMID: 40889156</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Zhang, P., Wang, R., Wang, Y., Zhang, N., &amp; Luo, K. (2025). MZB1-driven endoplasmic reticulum stress model as a predictor of breast cancer progression and survival. </w:t>
      </w:r>
      <w:r>
        <w:rPr>
          <w:rStyle w:val="Emphasis"/>
        </w:rPr>
        <w:t>Functional &amp; Integrative Genomics, 25</w:t>
      </w:r>
      <w:r>
        <w:t>(1), 179. https://doi.org/10.1007/s10142-025-01676-0. PMID: 40879787</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Xu X, Hou Y, Yin X et al. Single-cell exome sequencing reveals single-nucleotide mutation characteristics of a kidney tumor. Cell, 148(5), 886–895 (2012).</w:t>
      </w:r>
      <w:r w:rsidRPr="005A47EC">
        <w:rPr>
          <w:rFonts w:ascii="Times New Roman" w:hAnsi="Times New Roman" w:cs="Times New Roman"/>
          <w:color w:val="1B1B1B"/>
          <w:sz w:val="20"/>
          <w:szCs w:val="20"/>
        </w:rPr>
        <w:t> [</w:t>
      </w:r>
      <w:hyperlink r:id="rId21"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22"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23"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4"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Amir E, Miller N, </w:t>
      </w:r>
      <w:proofErr w:type="spellStart"/>
      <w:r w:rsidRPr="005A47EC">
        <w:rPr>
          <w:rStyle w:val="HTMLCite"/>
          <w:rFonts w:ascii="Times New Roman" w:hAnsi="Times New Roman" w:cs="Times New Roman"/>
          <w:i w:val="0"/>
          <w:iCs w:val="0"/>
          <w:color w:val="1B1B1B"/>
          <w:sz w:val="20"/>
          <w:szCs w:val="20"/>
        </w:rPr>
        <w:t>Geddie</w:t>
      </w:r>
      <w:proofErr w:type="spellEnd"/>
      <w:r w:rsidRPr="005A47EC">
        <w:rPr>
          <w:rStyle w:val="HTMLCite"/>
          <w:rFonts w:ascii="Times New Roman" w:hAnsi="Times New Roman" w:cs="Times New Roman"/>
          <w:i w:val="0"/>
          <w:iCs w:val="0"/>
          <w:color w:val="1B1B1B"/>
          <w:sz w:val="20"/>
          <w:szCs w:val="20"/>
        </w:rPr>
        <w:t xml:space="preserve"> W et al. Prospective Study Evaluating the Impact of Tissue Confirmation of Metastatic Disease in Patients With Breast Cancer. Journal of Clinical Oncology, 30(6), 587–592 (2011).</w:t>
      </w:r>
      <w:r w:rsidRPr="005A47EC">
        <w:rPr>
          <w:rFonts w:ascii="Times New Roman" w:hAnsi="Times New Roman" w:cs="Times New Roman"/>
          <w:color w:val="1B1B1B"/>
          <w:sz w:val="20"/>
          <w:szCs w:val="20"/>
        </w:rPr>
        <w:t> [</w:t>
      </w:r>
      <w:hyperlink r:id="rId25"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26"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27"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8"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Simmons C, Miller N, </w:t>
      </w:r>
      <w:proofErr w:type="spellStart"/>
      <w:r w:rsidRPr="005A47EC">
        <w:rPr>
          <w:rStyle w:val="HTMLCite"/>
          <w:rFonts w:ascii="Times New Roman" w:hAnsi="Times New Roman" w:cs="Times New Roman"/>
          <w:i w:val="0"/>
          <w:iCs w:val="0"/>
          <w:color w:val="1B1B1B"/>
          <w:sz w:val="20"/>
          <w:szCs w:val="20"/>
        </w:rPr>
        <w:t>Geddie</w:t>
      </w:r>
      <w:proofErr w:type="spellEnd"/>
      <w:r w:rsidRPr="005A47EC">
        <w:rPr>
          <w:rStyle w:val="HTMLCite"/>
          <w:rFonts w:ascii="Times New Roman" w:hAnsi="Times New Roman" w:cs="Times New Roman"/>
          <w:i w:val="0"/>
          <w:iCs w:val="0"/>
          <w:color w:val="1B1B1B"/>
          <w:sz w:val="20"/>
          <w:szCs w:val="20"/>
        </w:rPr>
        <w:t xml:space="preserve"> W et al. Does confirmatory tumor biopsy alter the management of breast cancer patients with distant metastases? Annals of oncology: official journal of the European Society for Medical Oncology, 20(9), 1499–1504 (2009).</w:t>
      </w:r>
      <w:r w:rsidRPr="005A47EC">
        <w:rPr>
          <w:rFonts w:ascii="Times New Roman" w:hAnsi="Times New Roman" w:cs="Times New Roman"/>
          <w:color w:val="1B1B1B"/>
          <w:sz w:val="20"/>
          <w:szCs w:val="20"/>
        </w:rPr>
        <w:t> [</w:t>
      </w:r>
      <w:hyperlink r:id="rId29"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30"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31"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32"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rsidR="005A47EC" w:rsidRPr="005A47EC" w:rsidRDefault="00CF2B9D"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t xml:space="preserve">Park, S. Y., Kim, Y., </w:t>
      </w:r>
      <w:proofErr w:type="spellStart"/>
      <w:r>
        <w:t>Katapodi</w:t>
      </w:r>
      <w:proofErr w:type="spellEnd"/>
      <w:r>
        <w:t xml:space="preserve">, M. C., Chun, H. J., </w:t>
      </w:r>
      <w:proofErr w:type="spellStart"/>
      <w:r>
        <w:t>Ahn</w:t>
      </w:r>
      <w:proofErr w:type="spellEnd"/>
      <w:r>
        <w:t xml:space="preserve">, D., An, M., &amp; Jung, S. Y. (2025). Challenges in decision-making for contralateral prophylactic mastectomy in Korea: A qualitative study of perspectives of patients with hereditary breast cancer and providers. </w:t>
      </w:r>
      <w:r>
        <w:rPr>
          <w:rStyle w:val="Emphasis"/>
        </w:rPr>
        <w:t>Psycho-Oncology, 34</w:t>
      </w:r>
      <w:r>
        <w:t xml:space="preserve">(9), e70266. </w:t>
      </w:r>
      <w:r>
        <w:lastRenderedPageBreak/>
        <w:t>https://doi.org/10.1002/pon.70266. PMID: 40884782</w:t>
      </w:r>
      <w:r w:rsidRPr="00CF2B9D">
        <w:t xml:space="preserve"> </w:t>
      </w:r>
      <w:r>
        <w:t xml:space="preserve">Park, S. Y., Kim, Y., </w:t>
      </w:r>
      <w:proofErr w:type="spellStart"/>
      <w:r>
        <w:t>Katapodi</w:t>
      </w:r>
      <w:proofErr w:type="spellEnd"/>
      <w:r>
        <w:t xml:space="preserve">, M. C., Chun, H. J., </w:t>
      </w:r>
      <w:proofErr w:type="spellStart"/>
      <w:r>
        <w:t>Ahn</w:t>
      </w:r>
      <w:proofErr w:type="spellEnd"/>
      <w:r>
        <w:t xml:space="preserve">, D., An, M., &amp; Jung, S. Y. (2025). Challenges in decision-making for contralateral prophylactic mastectomy in Korea: A qualitative study of perspectives of patients with hereditary breast cancer and providers. </w:t>
      </w:r>
      <w:r>
        <w:rPr>
          <w:rStyle w:val="Emphasis"/>
        </w:rPr>
        <w:t>Psycho-Oncology, 34</w:t>
      </w:r>
      <w:r>
        <w:t>(9), e70266. https://doi.org/10.1002/pon.70266. PMID: 40884782</w:t>
      </w:r>
    </w:p>
    <w:p w:rsidR="00CF2B9D" w:rsidRDefault="00CF2B9D" w:rsidP="00CF2B9D">
      <w:pPr>
        <w:pStyle w:val="ListParagraph"/>
        <w:numPr>
          <w:ilvl w:val="0"/>
          <w:numId w:val="22"/>
        </w:numPr>
        <w:jc w:val="both"/>
      </w:pPr>
      <w:r>
        <w:t xml:space="preserve">Wang, Z., Zhang, J., Chen, H., Zhang, X., Zhang, K., Zhang, F., </w:t>
      </w:r>
      <w:proofErr w:type="spellStart"/>
      <w:r>
        <w:t>Xie</w:t>
      </w:r>
      <w:proofErr w:type="spellEnd"/>
      <w:r>
        <w:t xml:space="preserve">, Y., Ma, H., Pan, L., Zhang, Q., Lu, M., Wang, H., &amp; Lian, C. (2025). Molecular characterization and prognostic modeling associated with M2-like tumor-associated macrophages in breast cancer: Revealing the immunosuppressive role of DLG3. </w:t>
      </w:r>
      <w:r>
        <w:rPr>
          <w:rStyle w:val="Emphasis"/>
        </w:rPr>
        <w:t>Frontiers in Immunology, 16,</w:t>
      </w:r>
      <w:r>
        <w:t xml:space="preserve"> 1650726. https://doi.org/10.3389/fimmu.2025.1650726. PMID: 40881682</w:t>
      </w:r>
    </w:p>
    <w:p w:rsidR="000222E2" w:rsidRPr="00CF2B9D" w:rsidRDefault="00CF2B9D" w:rsidP="00CF2B9D">
      <w:pPr>
        <w:pStyle w:val="ListParagraph"/>
        <w:numPr>
          <w:ilvl w:val="0"/>
          <w:numId w:val="22"/>
        </w:numPr>
        <w:shd w:val="clear" w:color="auto" w:fill="FFFFFF"/>
        <w:spacing w:before="225" w:after="100" w:afterAutospacing="1" w:line="360" w:lineRule="auto"/>
        <w:jc w:val="both"/>
        <w:rPr>
          <w:rFonts w:ascii="Times New Roman" w:hAnsi="Times New Roman" w:cs="Times New Roman"/>
          <w:sz w:val="20"/>
          <w:szCs w:val="20"/>
        </w:rPr>
      </w:pPr>
      <w:r>
        <w:t>Gómez-</w:t>
      </w:r>
      <w:proofErr w:type="spellStart"/>
      <w:r>
        <w:t>Trillos</w:t>
      </w:r>
      <w:proofErr w:type="spellEnd"/>
      <w:r>
        <w:t xml:space="preserve">, S., Carrera, P., Caballero, A., Sheppard, V. B., Graves, K. D., </w:t>
      </w:r>
      <w:proofErr w:type="spellStart"/>
      <w:r>
        <w:t>Peshkin</w:t>
      </w:r>
      <w:proofErr w:type="spellEnd"/>
      <w:r>
        <w:t xml:space="preserve">, B. N., Schwartz, M. D., Campos, C., </w:t>
      </w:r>
      <w:proofErr w:type="spellStart"/>
      <w:r>
        <w:t>Garcés</w:t>
      </w:r>
      <w:proofErr w:type="spellEnd"/>
      <w:r>
        <w:t xml:space="preserve">, N., &amp; Mendoza, A. H. (2025). "How did that make you feel?" Latinas' use of genetic counseling and testing for hereditary cancer risk after watching a culturally targeted video and receiving patient navigation. </w:t>
      </w:r>
      <w:r>
        <w:rPr>
          <w:rStyle w:val="Emphasis"/>
        </w:rPr>
        <w:t>Psycho-Oncology, 34</w:t>
      </w:r>
      <w:r>
        <w:t xml:space="preserve">(9), e70261. </w:t>
      </w:r>
    </w:p>
    <w:p w:rsidR="00CF2B9D" w:rsidRPr="00CF2B9D" w:rsidRDefault="00CF2B9D" w:rsidP="00CF2B9D">
      <w:pPr>
        <w:pStyle w:val="ListParagraph"/>
        <w:numPr>
          <w:ilvl w:val="0"/>
          <w:numId w:val="22"/>
        </w:numPr>
        <w:shd w:val="clear" w:color="auto" w:fill="FFFFFF"/>
        <w:jc w:val="both"/>
        <w:rPr>
          <w:rFonts w:ascii="Segoe UI" w:hAnsi="Segoe UI" w:cs="Segoe UI"/>
        </w:rPr>
      </w:pPr>
      <w:proofErr w:type="spellStart"/>
      <w:r w:rsidRPr="00CF2B9D">
        <w:t>Tuah</w:t>
      </w:r>
      <w:proofErr w:type="spellEnd"/>
      <w:r w:rsidRPr="00CF2B9D">
        <w:t xml:space="preserve">, B., </w:t>
      </w:r>
      <w:proofErr w:type="spellStart"/>
      <w:r w:rsidRPr="00CF2B9D">
        <w:t>Fosu</w:t>
      </w:r>
      <w:proofErr w:type="spellEnd"/>
      <w:r w:rsidRPr="00CF2B9D">
        <w:t xml:space="preserve">, K., </w:t>
      </w:r>
      <w:proofErr w:type="spellStart"/>
      <w:r w:rsidRPr="00CF2B9D">
        <w:t>Prah</w:t>
      </w:r>
      <w:proofErr w:type="spellEnd"/>
      <w:r w:rsidRPr="00CF2B9D">
        <w:t xml:space="preserve">, D. A., </w:t>
      </w:r>
      <w:proofErr w:type="spellStart"/>
      <w:r w:rsidRPr="00CF2B9D">
        <w:t>Hodogbe</w:t>
      </w:r>
      <w:proofErr w:type="spellEnd"/>
      <w:r w:rsidRPr="00CF2B9D">
        <w:t xml:space="preserve">, B. K. Y., </w:t>
      </w:r>
      <w:proofErr w:type="spellStart"/>
      <w:r w:rsidRPr="00CF2B9D">
        <w:t>Serwaa</w:t>
      </w:r>
      <w:proofErr w:type="spellEnd"/>
      <w:r w:rsidRPr="00CF2B9D">
        <w:t xml:space="preserve">, A., Amon, J. N. K., </w:t>
      </w:r>
      <w:proofErr w:type="spellStart"/>
      <w:r w:rsidRPr="00CF2B9D">
        <w:t>Ayine</w:t>
      </w:r>
      <w:proofErr w:type="spellEnd"/>
      <w:r w:rsidRPr="00CF2B9D">
        <w:t xml:space="preserve">-Tora, D. M., </w:t>
      </w:r>
      <w:proofErr w:type="spellStart"/>
      <w:r w:rsidRPr="00CF2B9D">
        <w:t>Amewu</w:t>
      </w:r>
      <w:proofErr w:type="spellEnd"/>
      <w:r w:rsidRPr="00CF2B9D">
        <w:t xml:space="preserve">, R. K., Sarpong, K. A. N., &amp; </w:t>
      </w:r>
      <w:proofErr w:type="spellStart"/>
      <w:r w:rsidRPr="00CF2B9D">
        <w:t>Aikins</w:t>
      </w:r>
      <w:proofErr w:type="spellEnd"/>
      <w:r w:rsidRPr="00CF2B9D">
        <w:t xml:space="preserve">, A. R. (2025). A novel </w:t>
      </w:r>
      <w:proofErr w:type="spellStart"/>
      <w:r w:rsidRPr="00CF2B9D">
        <w:t>chromen</w:t>
      </w:r>
      <w:proofErr w:type="spellEnd"/>
      <w:r w:rsidRPr="00CF2B9D">
        <w:t xml:space="preserve">-based small molecule induces apoptosis and modulates cellular response to triple-negative breast cancer. </w:t>
      </w:r>
      <w:r w:rsidRPr="00CF2B9D">
        <w:rPr>
          <w:rStyle w:val="Emphasis"/>
        </w:rPr>
        <w:t>Scientific Reports, 15</w:t>
      </w:r>
      <w:r w:rsidRPr="00CF2B9D">
        <w:t>(1), 31914. https://doi.org/10.1038/s41598-025-16195-y. PMID: 40883339</w:t>
      </w:r>
    </w:p>
    <w:p w:rsidR="00CF2B9D" w:rsidRPr="005A47EC" w:rsidRDefault="00CF2B9D" w:rsidP="00CF2B9D">
      <w:pPr>
        <w:pStyle w:val="ListParagraph"/>
        <w:shd w:val="clear" w:color="auto" w:fill="FFFFFF"/>
        <w:spacing w:before="225" w:after="100" w:afterAutospacing="1" w:line="360" w:lineRule="auto"/>
        <w:ind w:left="180"/>
        <w:jc w:val="both"/>
        <w:rPr>
          <w:rFonts w:ascii="Times New Roman" w:hAnsi="Times New Roman" w:cs="Times New Roman"/>
          <w:sz w:val="20"/>
          <w:szCs w:val="20"/>
        </w:rPr>
      </w:pPr>
    </w:p>
    <w:sectPr w:rsidR="00CF2B9D" w:rsidRPr="005A47EC" w:rsidSect="00FD30A6">
      <w:pgSz w:w="11907" w:h="16839" w:code="9"/>
      <w:pgMar w:top="810" w:right="747"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00"/>
    <w:family w:val="swiss"/>
    <w:pitch w:val="variable"/>
    <w:sig w:usb0="A00002C7" w:usb1="00000002" w:usb2="00000000"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57A"/>
    <w:multiLevelType w:val="multilevel"/>
    <w:tmpl w:val="4C8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52DA4"/>
    <w:multiLevelType w:val="multilevel"/>
    <w:tmpl w:val="71A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2A0B"/>
    <w:multiLevelType w:val="multilevel"/>
    <w:tmpl w:val="6A8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44E11"/>
    <w:multiLevelType w:val="multilevel"/>
    <w:tmpl w:val="632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F05C0"/>
    <w:multiLevelType w:val="multilevel"/>
    <w:tmpl w:val="6FE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77A88"/>
    <w:multiLevelType w:val="multilevel"/>
    <w:tmpl w:val="EF6C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6501A"/>
    <w:multiLevelType w:val="multilevel"/>
    <w:tmpl w:val="6020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C4A63"/>
    <w:multiLevelType w:val="multilevel"/>
    <w:tmpl w:val="F70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25AE7"/>
    <w:multiLevelType w:val="multilevel"/>
    <w:tmpl w:val="4C1C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A7F6A"/>
    <w:multiLevelType w:val="multilevel"/>
    <w:tmpl w:val="A1F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E6C2A"/>
    <w:multiLevelType w:val="multilevel"/>
    <w:tmpl w:val="C05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5162E"/>
    <w:multiLevelType w:val="multilevel"/>
    <w:tmpl w:val="2EB0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F2003"/>
    <w:multiLevelType w:val="multilevel"/>
    <w:tmpl w:val="7048D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D5BA5"/>
    <w:multiLevelType w:val="multilevel"/>
    <w:tmpl w:val="36EE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23943"/>
    <w:multiLevelType w:val="multilevel"/>
    <w:tmpl w:val="031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52342"/>
    <w:multiLevelType w:val="multilevel"/>
    <w:tmpl w:val="A2A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D0D95"/>
    <w:multiLevelType w:val="hybridMultilevel"/>
    <w:tmpl w:val="A0AC7F92"/>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620C30B6"/>
    <w:multiLevelType w:val="multilevel"/>
    <w:tmpl w:val="CDB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021C8"/>
    <w:multiLevelType w:val="multilevel"/>
    <w:tmpl w:val="7038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A486F"/>
    <w:multiLevelType w:val="multilevel"/>
    <w:tmpl w:val="1D9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80B97"/>
    <w:multiLevelType w:val="multilevel"/>
    <w:tmpl w:val="B382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F3601"/>
    <w:multiLevelType w:val="multilevel"/>
    <w:tmpl w:val="F61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0"/>
  </w:num>
  <w:num w:numId="4">
    <w:abstractNumId w:val="15"/>
  </w:num>
  <w:num w:numId="5">
    <w:abstractNumId w:val="0"/>
  </w:num>
  <w:num w:numId="6">
    <w:abstractNumId w:val="14"/>
  </w:num>
  <w:num w:numId="7">
    <w:abstractNumId w:val="8"/>
  </w:num>
  <w:num w:numId="8">
    <w:abstractNumId w:val="21"/>
  </w:num>
  <w:num w:numId="9">
    <w:abstractNumId w:val="6"/>
  </w:num>
  <w:num w:numId="10">
    <w:abstractNumId w:val="18"/>
  </w:num>
  <w:num w:numId="11">
    <w:abstractNumId w:val="17"/>
  </w:num>
  <w:num w:numId="12">
    <w:abstractNumId w:val="1"/>
  </w:num>
  <w:num w:numId="13">
    <w:abstractNumId w:val="2"/>
  </w:num>
  <w:num w:numId="14">
    <w:abstractNumId w:val="12"/>
  </w:num>
  <w:num w:numId="15">
    <w:abstractNumId w:val="7"/>
  </w:num>
  <w:num w:numId="16">
    <w:abstractNumId w:val="5"/>
  </w:num>
  <w:num w:numId="17">
    <w:abstractNumId w:val="4"/>
  </w:num>
  <w:num w:numId="18">
    <w:abstractNumId w:val="19"/>
  </w:num>
  <w:num w:numId="19">
    <w:abstractNumId w:val="10"/>
  </w:num>
  <w:num w:numId="20">
    <w:abstractNumId w:val="13"/>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BDD"/>
    <w:rsid w:val="000151B2"/>
    <w:rsid w:val="000222E2"/>
    <w:rsid w:val="000949E4"/>
    <w:rsid w:val="00117B97"/>
    <w:rsid w:val="001350A1"/>
    <w:rsid w:val="00425642"/>
    <w:rsid w:val="005A47EC"/>
    <w:rsid w:val="005E66C0"/>
    <w:rsid w:val="008E22A2"/>
    <w:rsid w:val="00905320"/>
    <w:rsid w:val="00BB42AE"/>
    <w:rsid w:val="00BB7D01"/>
    <w:rsid w:val="00BC0D35"/>
    <w:rsid w:val="00BC5038"/>
    <w:rsid w:val="00C647FC"/>
    <w:rsid w:val="00CF2B9D"/>
    <w:rsid w:val="00E12FD4"/>
    <w:rsid w:val="00F45F97"/>
    <w:rsid w:val="00F86BDD"/>
    <w:rsid w:val="00F96B1B"/>
    <w:rsid w:val="00FD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F57E"/>
  <w15:docId w15:val="{A6A75545-62A2-42FB-B9B6-41C7C40A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6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6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B42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B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6B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B42A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86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BDD"/>
    <w:rPr>
      <w:b/>
      <w:bCs/>
    </w:rPr>
  </w:style>
  <w:style w:type="character" w:styleId="Hyperlink">
    <w:name w:val="Hyperlink"/>
    <w:basedOn w:val="DefaultParagraphFont"/>
    <w:uiPriority w:val="99"/>
    <w:unhideWhenUsed/>
    <w:rsid w:val="00F86BDD"/>
    <w:rPr>
      <w:color w:val="0000FF"/>
      <w:u w:val="single"/>
    </w:rPr>
  </w:style>
  <w:style w:type="character" w:styleId="Emphasis">
    <w:name w:val="Emphasis"/>
    <w:basedOn w:val="DefaultParagraphFont"/>
    <w:uiPriority w:val="20"/>
    <w:qFormat/>
    <w:rsid w:val="00F86BDD"/>
    <w:rPr>
      <w:i/>
      <w:iCs/>
    </w:rPr>
  </w:style>
  <w:style w:type="table" w:styleId="TableGrid">
    <w:name w:val="Table Grid"/>
    <w:basedOn w:val="TableNormal"/>
    <w:uiPriority w:val="59"/>
    <w:rsid w:val="00F4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D35"/>
    <w:rPr>
      <w:rFonts w:ascii="Tahoma" w:hAnsi="Tahoma" w:cs="Tahoma"/>
      <w:sz w:val="16"/>
      <w:szCs w:val="16"/>
    </w:rPr>
  </w:style>
  <w:style w:type="character" w:customStyle="1" w:styleId="label">
    <w:name w:val="label"/>
    <w:basedOn w:val="DefaultParagraphFont"/>
    <w:rsid w:val="005A47EC"/>
  </w:style>
  <w:style w:type="character" w:styleId="HTMLCite">
    <w:name w:val="HTML Cite"/>
    <w:basedOn w:val="DefaultParagraphFont"/>
    <w:uiPriority w:val="99"/>
    <w:semiHidden/>
    <w:unhideWhenUsed/>
    <w:rsid w:val="005A47EC"/>
    <w:rPr>
      <w:i/>
      <w:iCs/>
    </w:rPr>
  </w:style>
  <w:style w:type="paragraph" w:styleId="ListParagraph">
    <w:name w:val="List Paragraph"/>
    <w:basedOn w:val="Normal"/>
    <w:uiPriority w:val="34"/>
    <w:qFormat/>
    <w:rsid w:val="005A47EC"/>
    <w:pPr>
      <w:ind w:left="720"/>
      <w:contextualSpacing/>
    </w:pPr>
  </w:style>
  <w:style w:type="character" w:customStyle="1" w:styleId="docsum-authors">
    <w:name w:val="docsum-authors"/>
    <w:basedOn w:val="DefaultParagraphFont"/>
    <w:rsid w:val="000949E4"/>
  </w:style>
  <w:style w:type="character" w:customStyle="1" w:styleId="docsum-journal-citation">
    <w:name w:val="docsum-journal-citation"/>
    <w:basedOn w:val="DefaultParagraphFont"/>
    <w:rsid w:val="000949E4"/>
  </w:style>
  <w:style w:type="character" w:customStyle="1" w:styleId="citation-part">
    <w:name w:val="citation-part"/>
    <w:basedOn w:val="DefaultParagraphFont"/>
    <w:rsid w:val="000949E4"/>
  </w:style>
  <w:style w:type="character" w:customStyle="1" w:styleId="docsum-pmid">
    <w:name w:val="docsum-pmid"/>
    <w:basedOn w:val="DefaultParagraphFont"/>
    <w:rsid w:val="000949E4"/>
  </w:style>
  <w:style w:type="character" w:customStyle="1" w:styleId="publication-type">
    <w:name w:val="publication-type"/>
    <w:basedOn w:val="DefaultParagraphFont"/>
    <w:rsid w:val="000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9566">
      <w:bodyDiv w:val="1"/>
      <w:marLeft w:val="0"/>
      <w:marRight w:val="0"/>
      <w:marTop w:val="0"/>
      <w:marBottom w:val="0"/>
      <w:divBdr>
        <w:top w:val="none" w:sz="0" w:space="0" w:color="auto"/>
        <w:left w:val="none" w:sz="0" w:space="0" w:color="auto"/>
        <w:bottom w:val="none" w:sz="0" w:space="0" w:color="auto"/>
        <w:right w:val="none" w:sz="0" w:space="0" w:color="auto"/>
      </w:divBdr>
    </w:div>
    <w:div w:id="899902392">
      <w:bodyDiv w:val="1"/>
      <w:marLeft w:val="0"/>
      <w:marRight w:val="0"/>
      <w:marTop w:val="0"/>
      <w:marBottom w:val="0"/>
      <w:divBdr>
        <w:top w:val="none" w:sz="0" w:space="0" w:color="auto"/>
        <w:left w:val="none" w:sz="0" w:space="0" w:color="auto"/>
        <w:bottom w:val="none" w:sz="0" w:space="0" w:color="auto"/>
        <w:right w:val="none" w:sz="0" w:space="0" w:color="auto"/>
      </w:divBdr>
    </w:div>
    <w:div w:id="926039708">
      <w:bodyDiv w:val="1"/>
      <w:marLeft w:val="0"/>
      <w:marRight w:val="0"/>
      <w:marTop w:val="0"/>
      <w:marBottom w:val="0"/>
      <w:divBdr>
        <w:top w:val="none" w:sz="0" w:space="0" w:color="auto"/>
        <w:left w:val="none" w:sz="0" w:space="0" w:color="auto"/>
        <w:bottom w:val="none" w:sz="0" w:space="0" w:color="auto"/>
        <w:right w:val="none" w:sz="0" w:space="0" w:color="auto"/>
      </w:divBdr>
    </w:div>
    <w:div w:id="1081953143">
      <w:bodyDiv w:val="1"/>
      <w:marLeft w:val="0"/>
      <w:marRight w:val="0"/>
      <w:marTop w:val="0"/>
      <w:marBottom w:val="0"/>
      <w:divBdr>
        <w:top w:val="none" w:sz="0" w:space="0" w:color="auto"/>
        <w:left w:val="none" w:sz="0" w:space="0" w:color="auto"/>
        <w:bottom w:val="none" w:sz="0" w:space="0" w:color="auto"/>
        <w:right w:val="none" w:sz="0" w:space="0" w:color="auto"/>
      </w:divBdr>
    </w:div>
    <w:div w:id="1234395790">
      <w:bodyDiv w:val="1"/>
      <w:marLeft w:val="0"/>
      <w:marRight w:val="0"/>
      <w:marTop w:val="0"/>
      <w:marBottom w:val="0"/>
      <w:divBdr>
        <w:top w:val="none" w:sz="0" w:space="0" w:color="auto"/>
        <w:left w:val="none" w:sz="0" w:space="0" w:color="auto"/>
        <w:bottom w:val="none" w:sz="0" w:space="0" w:color="auto"/>
        <w:right w:val="none" w:sz="0" w:space="0" w:color="auto"/>
      </w:divBdr>
    </w:div>
    <w:div w:id="1465779461">
      <w:bodyDiv w:val="1"/>
      <w:marLeft w:val="0"/>
      <w:marRight w:val="0"/>
      <w:marTop w:val="0"/>
      <w:marBottom w:val="0"/>
      <w:divBdr>
        <w:top w:val="none" w:sz="0" w:space="0" w:color="auto"/>
        <w:left w:val="none" w:sz="0" w:space="0" w:color="auto"/>
        <w:bottom w:val="none" w:sz="0" w:space="0" w:color="auto"/>
        <w:right w:val="none" w:sz="0" w:space="0" w:color="auto"/>
      </w:divBdr>
    </w:div>
    <w:div w:id="1482966108">
      <w:bodyDiv w:val="1"/>
      <w:marLeft w:val="0"/>
      <w:marRight w:val="0"/>
      <w:marTop w:val="0"/>
      <w:marBottom w:val="0"/>
      <w:divBdr>
        <w:top w:val="none" w:sz="0" w:space="0" w:color="auto"/>
        <w:left w:val="none" w:sz="0" w:space="0" w:color="auto"/>
        <w:bottom w:val="none" w:sz="0" w:space="0" w:color="auto"/>
        <w:right w:val="none" w:sz="0" w:space="0" w:color="auto"/>
      </w:divBdr>
      <w:divsChild>
        <w:div w:id="843320723">
          <w:marLeft w:val="0"/>
          <w:marRight w:val="0"/>
          <w:marTop w:val="0"/>
          <w:marBottom w:val="0"/>
          <w:divBdr>
            <w:top w:val="none" w:sz="0" w:space="0" w:color="auto"/>
            <w:left w:val="none" w:sz="0" w:space="0" w:color="auto"/>
            <w:bottom w:val="none" w:sz="0" w:space="0" w:color="auto"/>
            <w:right w:val="none" w:sz="0" w:space="0" w:color="auto"/>
          </w:divBdr>
        </w:div>
      </w:divsChild>
    </w:div>
    <w:div w:id="1551530463">
      <w:bodyDiv w:val="1"/>
      <w:marLeft w:val="0"/>
      <w:marRight w:val="0"/>
      <w:marTop w:val="0"/>
      <w:marBottom w:val="0"/>
      <w:divBdr>
        <w:top w:val="none" w:sz="0" w:space="0" w:color="auto"/>
        <w:left w:val="none" w:sz="0" w:space="0" w:color="auto"/>
        <w:bottom w:val="none" w:sz="0" w:space="0" w:color="auto"/>
        <w:right w:val="none" w:sz="0" w:space="0" w:color="auto"/>
      </w:divBdr>
    </w:div>
    <w:div w:id="1595432598">
      <w:bodyDiv w:val="1"/>
      <w:marLeft w:val="0"/>
      <w:marRight w:val="0"/>
      <w:marTop w:val="0"/>
      <w:marBottom w:val="0"/>
      <w:divBdr>
        <w:top w:val="none" w:sz="0" w:space="0" w:color="auto"/>
        <w:left w:val="none" w:sz="0" w:space="0" w:color="auto"/>
        <w:bottom w:val="none" w:sz="0" w:space="0" w:color="auto"/>
        <w:right w:val="none" w:sz="0" w:space="0" w:color="auto"/>
      </w:divBdr>
    </w:div>
    <w:div w:id="1678458928">
      <w:bodyDiv w:val="1"/>
      <w:marLeft w:val="0"/>
      <w:marRight w:val="0"/>
      <w:marTop w:val="0"/>
      <w:marBottom w:val="0"/>
      <w:divBdr>
        <w:top w:val="none" w:sz="0" w:space="0" w:color="auto"/>
        <w:left w:val="none" w:sz="0" w:space="0" w:color="auto"/>
        <w:bottom w:val="none" w:sz="0" w:space="0" w:color="auto"/>
        <w:right w:val="none" w:sz="0" w:space="0" w:color="auto"/>
      </w:divBdr>
    </w:div>
    <w:div w:id="1758137759">
      <w:bodyDiv w:val="1"/>
      <w:marLeft w:val="0"/>
      <w:marRight w:val="0"/>
      <w:marTop w:val="0"/>
      <w:marBottom w:val="0"/>
      <w:divBdr>
        <w:top w:val="none" w:sz="0" w:space="0" w:color="auto"/>
        <w:left w:val="none" w:sz="0" w:space="0" w:color="auto"/>
        <w:bottom w:val="none" w:sz="0" w:space="0" w:color="auto"/>
        <w:right w:val="none" w:sz="0" w:space="0" w:color="auto"/>
      </w:divBdr>
    </w:div>
    <w:div w:id="1790663130">
      <w:bodyDiv w:val="1"/>
      <w:marLeft w:val="0"/>
      <w:marRight w:val="0"/>
      <w:marTop w:val="0"/>
      <w:marBottom w:val="0"/>
      <w:divBdr>
        <w:top w:val="none" w:sz="0" w:space="0" w:color="auto"/>
        <w:left w:val="none" w:sz="0" w:space="0" w:color="auto"/>
        <w:bottom w:val="none" w:sz="0" w:space="0" w:color="auto"/>
        <w:right w:val="none" w:sz="0" w:space="0" w:color="auto"/>
      </w:divBdr>
    </w:div>
    <w:div w:id="1973559404">
      <w:bodyDiv w:val="1"/>
      <w:marLeft w:val="0"/>
      <w:marRight w:val="0"/>
      <w:marTop w:val="0"/>
      <w:marBottom w:val="0"/>
      <w:divBdr>
        <w:top w:val="none" w:sz="0" w:space="0" w:color="auto"/>
        <w:left w:val="none" w:sz="0" w:space="0" w:color="auto"/>
        <w:bottom w:val="none" w:sz="0" w:space="0" w:color="auto"/>
        <w:right w:val="none" w:sz="0" w:space="0" w:color="auto"/>
      </w:divBdr>
    </w:div>
    <w:div w:id="19858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_lookup?journal=J%20Clin%20Oncol&amp;title=Circulating%20Tumor%20DNA%20Analysis%20in%20Patients%20With%20Cancer:%20American%20Society%20of%20Clinical%20Oncology%20and%20College%20of%20American%20Pathologists%20Joint%20Review&amp;author=JD%20Merker&amp;author=GR%20Oxnard&amp;author=C%20Compton&amp;volume=36&amp;issue=16&amp;publication_year=2018&amp;pages=1631-1641&amp;pmid=29504847&amp;doi=10.1200/JCO.2017.76.8671&amp;" TargetMode="External"/><Relationship Id="rId18" Type="http://schemas.openxmlformats.org/officeDocument/2006/relationships/hyperlink" Target="https://pmc.ncbi.nlm.nih.gov/articles/PMC4636053/" TargetMode="External"/><Relationship Id="rId26" Type="http://schemas.openxmlformats.org/officeDocument/2006/relationships/hyperlink" Target="https://pmc.ncbi.nlm.nih.gov/articles/PMC5015424/" TargetMode="External"/><Relationship Id="rId3" Type="http://schemas.openxmlformats.org/officeDocument/2006/relationships/settings" Target="settings.xml"/><Relationship Id="rId21" Type="http://schemas.openxmlformats.org/officeDocument/2006/relationships/hyperlink" Target="https://doi.org/10.1016/j.cell.2012.02.025" TargetMode="External"/><Relationship Id="rId34" Type="http://schemas.openxmlformats.org/officeDocument/2006/relationships/theme" Target="theme/theme1.xml"/><Relationship Id="rId7" Type="http://schemas.openxmlformats.org/officeDocument/2006/relationships/hyperlink" Target="https://scholar.google.com/scholar_lookup?journal=Cancer%20Research&amp;title=Abstract%20GS3%E2%80%9308:%20Alpelisib%20+%20fulvestrant%20for%20advanced%20breast%20cancer:%20Subgroup%20analyses%20from%20the%20phase%20III%20SOLAR-1%20trial&amp;author=D%20Juric&amp;author=E%20Ciruelos&amp;author=G%20Rubovszky&amp;volume=79&amp;issue=4%20Supplement&amp;publication_year=2019&amp;" TargetMode="External"/><Relationship Id="rId12" Type="http://schemas.openxmlformats.org/officeDocument/2006/relationships/hyperlink" Target="https://pubmed.ncbi.nlm.nih.gov/29504847/" TargetMode="External"/><Relationship Id="rId17" Type="http://schemas.openxmlformats.org/officeDocument/2006/relationships/hyperlink" Target="https://doi.org/10.1038/ng.2891" TargetMode="External"/><Relationship Id="rId25" Type="http://schemas.openxmlformats.org/officeDocument/2006/relationships/hyperlink" Target="https://doi.org/10.1200/JCO.2010.33.523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_lookup?journal=New%20England%20Journal%20of%20Medicine&amp;title=Tracking%20the%20Evolution%20of%20Non%E2%80%93Small-Cell%20Lung%20Cancer&amp;author=M%20Jamal-Hanjani&amp;author=GA%20Wilson&amp;author=N%20McGranahan&amp;volume=376&amp;issue=22&amp;publication_year=2017&amp;pages=2109-2121&amp;pmid=28445112&amp;doi=10.1056/NEJMoa1616288&amp;" TargetMode="External"/><Relationship Id="rId20" Type="http://schemas.openxmlformats.org/officeDocument/2006/relationships/hyperlink" Target="https://scholar.google.com/scholar_lookup?journal=Nat%20Genet&amp;title=Genomic%20architecture%20and%20evolution%20of%20clear%20cell%20renal%20cell%20carcinomas%20defined%20by%20multiregion%20sequencing&amp;author=M%20Gerlinger&amp;author=S%20Horswell&amp;author=J%20Larkin&amp;volume=46&amp;issue=3&amp;publication_year=2014&amp;pages=225-233&amp;pmid=24487277&amp;doi=10.1038/ng.2891&amp;" TargetMode="External"/><Relationship Id="rId29" Type="http://schemas.openxmlformats.org/officeDocument/2006/relationships/hyperlink" Target="https://doi.org/10.1093/annonc/mdp02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200/JCO.2017.76.8671" TargetMode="External"/><Relationship Id="rId24" Type="http://schemas.openxmlformats.org/officeDocument/2006/relationships/hyperlink" Target="https://scholar.google.com/scholar_lookup?journal=Cell&amp;title=Single-cell%20exome%20sequencing%20reveals%20single-nucleotide%20mutation%20characteristics%20of%20a%20kidney%20tumor&amp;author=X%20Xu&amp;author=Y%20Hou&amp;author=X%20Yin&amp;volume=148&amp;issue=5&amp;publication_year=2012&amp;pages=886-895&amp;pmid=22385958&amp;doi=10.1016/j.cell.2012.02.025&amp;" TargetMode="External"/><Relationship Id="rId32" Type="http://schemas.openxmlformats.org/officeDocument/2006/relationships/hyperlink" Target="https://scholar.google.com/scholar_lookup?journal=Annals%20of%20oncology:%20official%20journal%20of%20the%20European%20Society%20for%20Medical%20Oncology&amp;title=Does%20confirmatory%20tumor%20biopsy%20alter%20the%20management%20of%20breast%20cancer%20patients%20with%20distant%20metastases?&amp;author=C%20Simmons&amp;author=N%20Miller&amp;author=W%20Geddie&amp;volume=20&amp;issue=9&amp;publication_year=2009&amp;pages=1499-1504&amp;pmid=19299408&amp;doi=10.1093/annonc/mdp028&amp;" TargetMode="External"/><Relationship Id="rId5" Type="http://schemas.openxmlformats.org/officeDocument/2006/relationships/image" Target="media/image1.jpeg"/><Relationship Id="rId15" Type="http://schemas.openxmlformats.org/officeDocument/2006/relationships/hyperlink" Target="https://pubmed.ncbi.nlm.nih.gov/28445112/" TargetMode="External"/><Relationship Id="rId23" Type="http://schemas.openxmlformats.org/officeDocument/2006/relationships/hyperlink" Target="https://pubmed.ncbi.nlm.nih.gov/22385958/" TargetMode="External"/><Relationship Id="rId28" Type="http://schemas.openxmlformats.org/officeDocument/2006/relationships/hyperlink" Target="https://scholar.google.com/scholar_lookup?journal=Journal%20of%20Clinical%20Oncology&amp;title=Prospective%20Study%20Evaluating%20the%20Impact%20of%20Tissue%20Confirmation%20of%20Metastatic%20Disease%20in%20Patients%20With%20Breast%20Cancer&amp;author=E%20Amir&amp;author=N%20Miller&amp;author=W%20Geddie&amp;volume=30&amp;issue=6&amp;publication_year=2011&amp;pages=587-592&amp;pmid=22124102&amp;doi=10.1200/JCO.2010.33.5232&amp;" TargetMode="External"/><Relationship Id="rId10" Type="http://schemas.openxmlformats.org/officeDocument/2006/relationships/hyperlink" Target="https://scholar.google.com/scholar_lookup?journal=New%20England%20Journal%20of%20Medicine&amp;title=Alpelisib%20for%20PIK3CA-Mutated,%20Hormone%20Receptor%E2%80%93Positive%20Advanced%20Breast%20Cancer&amp;author=F%20Andr%C3%A9&amp;author=E%20Ciruelos&amp;author=G%20Rubovszky&amp;volume=380&amp;issue=20&amp;publication_year=2019&amp;pages=1929-1940&amp;pmid=31091374&amp;doi=10.1056/NEJMoa1813904&amp;" TargetMode="External"/><Relationship Id="rId19" Type="http://schemas.openxmlformats.org/officeDocument/2006/relationships/hyperlink" Target="https://pubmed.ncbi.nlm.nih.gov/24487277/" TargetMode="External"/><Relationship Id="rId31" Type="http://schemas.openxmlformats.org/officeDocument/2006/relationships/hyperlink" Target="https://pubmed.ncbi.nlm.nih.gov/19299408/" TargetMode="External"/><Relationship Id="rId4" Type="http://schemas.openxmlformats.org/officeDocument/2006/relationships/webSettings" Target="webSettings.xml"/><Relationship Id="rId9" Type="http://schemas.openxmlformats.org/officeDocument/2006/relationships/hyperlink" Target="https://pubmed.ncbi.nlm.nih.gov/31091374/" TargetMode="External"/><Relationship Id="rId14" Type="http://schemas.openxmlformats.org/officeDocument/2006/relationships/hyperlink" Target="https://doi.org/10.1056/NEJMoa1616288" TargetMode="External"/><Relationship Id="rId22" Type="http://schemas.openxmlformats.org/officeDocument/2006/relationships/hyperlink" Target="https://pmc.ncbi.nlm.nih.gov/articles/PMC7458411/" TargetMode="External"/><Relationship Id="rId27" Type="http://schemas.openxmlformats.org/officeDocument/2006/relationships/hyperlink" Target="https://pubmed.ncbi.nlm.nih.gov/22124102/" TargetMode="External"/><Relationship Id="rId30" Type="http://schemas.openxmlformats.org/officeDocument/2006/relationships/hyperlink" Target="https://pmc.ncbi.nlm.nih.gov/articles/PMC2731014/" TargetMode="External"/><Relationship Id="rId8" Type="http://schemas.openxmlformats.org/officeDocument/2006/relationships/hyperlink" Target="https://doi.org/10.1056/NEJMoa1813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18</Pages>
  <Words>6610</Words>
  <Characters>37683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SDI 1186</cp:lastModifiedBy>
  <cp:revision>9</cp:revision>
  <dcterms:created xsi:type="dcterms:W3CDTF">2025-07-16T06:09:00Z</dcterms:created>
  <dcterms:modified xsi:type="dcterms:W3CDTF">2025-09-03T07:54:00Z</dcterms:modified>
</cp:coreProperties>
</file>