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DE8A9" w14:textId="77777777" w:rsidR="00FA056C" w:rsidRDefault="00000000">
      <w:pPr>
        <w:widowControl w:val="0"/>
        <w:pBdr>
          <w:top w:val="nil"/>
          <w:left w:val="nil"/>
          <w:bottom w:val="nil"/>
          <w:right w:val="nil"/>
          <w:between w:val="nil"/>
        </w:pBdr>
        <w:spacing w:line="276" w:lineRule="auto"/>
      </w:pPr>
      <w:r>
        <w:pict w14:anchorId="5FD36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0pt;height:50pt;z-index:251655168;visibility:hidden">
            <o:lock v:ext="edit" selection="t"/>
          </v:shape>
        </w:pict>
      </w:r>
      <w:r>
        <w:pict w14:anchorId="4D0DA1DD">
          <v:shape id="_x0000_s2055" type="#_x0000_t136" style="position:absolute;margin-left:0;margin-top:0;width:50pt;height:50pt;z-index:251656192;visibility:hidden">
            <o:lock v:ext="edit" selection="t"/>
          </v:shape>
        </w:pict>
      </w:r>
      <w:r>
        <w:pict w14:anchorId="1F077B32">
          <v:shape id="_x0000_s2054" type="#_x0000_t136" style="position:absolute;margin-left:0;margin-top:0;width:50pt;height:50pt;z-index:251657216;visibility:hidden">
            <o:lock v:ext="edit" selection="t"/>
          </v:shape>
        </w:pict>
      </w:r>
      <w:r>
        <w:pict w14:anchorId="7D0DF3D1">
          <v:shape id="_x0000_s2053" type="#_x0000_t136" style="position:absolute;margin-left:0;margin-top:0;width:50pt;height:50pt;z-index:251658240;visibility:hidden">
            <o:lock v:ext="edit" selection="t"/>
          </v:shape>
        </w:pict>
      </w:r>
      <w:r>
        <w:pict w14:anchorId="1B4FA425">
          <v:shape id="_x0000_s2052" type="#_x0000_t136" style="position:absolute;margin-left:0;margin-top:0;width:50pt;height:50pt;z-index:251659264;visibility:hidden">
            <o:lock v:ext="edit" selection="t"/>
          </v:shape>
        </w:pict>
      </w:r>
      <w:r>
        <w:pict w14:anchorId="5958E5CC">
          <v:shape id="_x0000_s2051" type="#_x0000_t136" style="position:absolute;margin-left:0;margin-top:0;width:50pt;height:50pt;z-index:251660288;visibility:hidden">
            <o:lock v:ext="edit" selection="t"/>
          </v:shape>
        </w:pict>
      </w:r>
    </w:p>
    <w:p w14:paraId="576387AA" w14:textId="77777777" w:rsidR="00FA056C" w:rsidRDefault="00FA056C">
      <w:pPr>
        <w:widowControl w:val="0"/>
        <w:pBdr>
          <w:top w:val="nil"/>
          <w:left w:val="nil"/>
          <w:bottom w:val="nil"/>
          <w:right w:val="nil"/>
          <w:between w:val="nil"/>
        </w:pBdr>
        <w:spacing w:line="276" w:lineRule="auto"/>
      </w:pPr>
    </w:p>
    <w:p w14:paraId="205870A8" w14:textId="77777777" w:rsidR="00FA056C" w:rsidRDefault="00FA056C">
      <w:pPr>
        <w:widowControl w:val="0"/>
        <w:pBdr>
          <w:top w:val="nil"/>
          <w:left w:val="nil"/>
          <w:bottom w:val="nil"/>
          <w:right w:val="nil"/>
          <w:between w:val="nil"/>
        </w:pBdr>
        <w:spacing w:line="276" w:lineRule="auto"/>
      </w:pPr>
    </w:p>
    <w:p w14:paraId="7BE6A615" w14:textId="77777777" w:rsidR="00FA056C" w:rsidRDefault="00000000">
      <w:pPr>
        <w:pBdr>
          <w:top w:val="nil"/>
          <w:left w:val="nil"/>
          <w:bottom w:val="nil"/>
          <w:right w:val="nil"/>
          <w:between w:val="nil"/>
        </w:pBdr>
        <w:jc w:val="right"/>
        <w:rPr>
          <w:rFonts w:ascii="Arial" w:eastAsia="Arial" w:hAnsi="Arial" w:cs="Arial"/>
          <w:b/>
          <w:i/>
          <w:sz w:val="36"/>
          <w:szCs w:val="36"/>
          <w:u w:val="single"/>
        </w:rPr>
      </w:pPr>
      <w:bookmarkStart w:id="0" w:name="_heading=h.ysz3g2ylb6e6" w:colFirst="0" w:colLast="0"/>
      <w:bookmarkEnd w:id="0"/>
      <w:r>
        <w:rPr>
          <w:rFonts w:ascii="Arial" w:eastAsia="Arial" w:hAnsi="Arial" w:cs="Arial"/>
          <w:b/>
          <w:i/>
          <w:sz w:val="36"/>
          <w:szCs w:val="36"/>
          <w:u w:val="single"/>
        </w:rPr>
        <w:t>Original Research Article</w:t>
      </w:r>
    </w:p>
    <w:p w14:paraId="5A7E77A7" w14:textId="77777777" w:rsidR="00FA056C" w:rsidRDefault="00FA056C">
      <w:pPr>
        <w:pBdr>
          <w:top w:val="nil"/>
          <w:left w:val="nil"/>
          <w:bottom w:val="nil"/>
          <w:right w:val="nil"/>
          <w:between w:val="nil"/>
        </w:pBdr>
        <w:jc w:val="right"/>
        <w:rPr>
          <w:rFonts w:ascii="Arial" w:eastAsia="Arial" w:hAnsi="Arial" w:cs="Arial"/>
          <w:b/>
          <w:i/>
          <w:sz w:val="36"/>
          <w:szCs w:val="36"/>
          <w:u w:val="single"/>
        </w:rPr>
      </w:pPr>
    </w:p>
    <w:p w14:paraId="40C11D9B" w14:textId="77777777" w:rsidR="00FA056C" w:rsidRDefault="00000000">
      <w:pPr>
        <w:pBdr>
          <w:top w:val="nil"/>
          <w:left w:val="nil"/>
          <w:bottom w:val="nil"/>
          <w:right w:val="nil"/>
          <w:between w:val="nil"/>
        </w:pBdr>
        <w:jc w:val="right"/>
        <w:rPr>
          <w:rFonts w:ascii="Arial" w:eastAsia="Arial" w:hAnsi="Arial" w:cs="Arial"/>
          <w:b/>
          <w:color w:val="000000"/>
          <w:sz w:val="36"/>
          <w:szCs w:val="36"/>
          <w:highlight w:val="green"/>
        </w:rPr>
      </w:pPr>
      <w:r>
        <w:rPr>
          <w:rFonts w:ascii="Arial" w:eastAsia="Arial" w:hAnsi="Arial" w:cs="Arial"/>
          <w:b/>
          <w:i/>
          <w:sz w:val="36"/>
          <w:szCs w:val="36"/>
          <w:highlight w:val="green"/>
        </w:rPr>
        <w:t>In Vitro</w:t>
      </w:r>
      <w:r>
        <w:rPr>
          <w:rFonts w:ascii="Arial" w:eastAsia="Arial" w:hAnsi="Arial" w:cs="Arial"/>
          <w:b/>
          <w:sz w:val="36"/>
          <w:szCs w:val="36"/>
          <w:highlight w:val="green"/>
        </w:rPr>
        <w:t xml:space="preserve"> Performance of a Pomegranate Dentifrice on Complete Dentures: A Step Toward Natural Oral Care</w:t>
      </w:r>
    </w:p>
    <w:p w14:paraId="4B999847" w14:textId="77777777" w:rsidR="00FA056C" w:rsidRDefault="00FA056C">
      <w:pPr>
        <w:pBdr>
          <w:top w:val="nil"/>
          <w:left w:val="nil"/>
          <w:bottom w:val="nil"/>
          <w:right w:val="nil"/>
          <w:between w:val="nil"/>
        </w:pBdr>
        <w:jc w:val="both"/>
        <w:rPr>
          <w:rFonts w:ascii="Arial" w:eastAsia="Arial" w:hAnsi="Arial" w:cs="Arial"/>
          <w:b/>
          <w:color w:val="000000"/>
          <w:sz w:val="36"/>
          <w:szCs w:val="36"/>
        </w:rPr>
      </w:pPr>
    </w:p>
    <w:p w14:paraId="5E73B4E2" w14:textId="77777777" w:rsidR="00FA056C" w:rsidRDefault="00FA056C">
      <w:pPr>
        <w:pBdr>
          <w:top w:val="nil"/>
          <w:left w:val="nil"/>
          <w:bottom w:val="nil"/>
          <w:right w:val="nil"/>
          <w:between w:val="nil"/>
        </w:pBdr>
        <w:jc w:val="right"/>
        <w:rPr>
          <w:rFonts w:ascii="Arial" w:eastAsia="Arial" w:hAnsi="Arial" w:cs="Arial"/>
          <w:i/>
          <w:color w:val="000000"/>
        </w:rPr>
      </w:pPr>
    </w:p>
    <w:p w14:paraId="17EF1AD2" w14:textId="77777777" w:rsidR="00FA056C" w:rsidRDefault="00FA056C">
      <w:pPr>
        <w:pBdr>
          <w:top w:val="nil"/>
          <w:left w:val="nil"/>
          <w:bottom w:val="nil"/>
          <w:right w:val="nil"/>
          <w:between w:val="nil"/>
        </w:pBdr>
        <w:jc w:val="both"/>
        <w:rPr>
          <w:rFonts w:ascii="Arial" w:eastAsia="Arial" w:hAnsi="Arial" w:cs="Arial"/>
        </w:rPr>
      </w:pPr>
    </w:p>
    <w:p w14:paraId="4AE4A02A" w14:textId="77777777" w:rsidR="00FA056C" w:rsidRDefault="00000000">
      <w:pPr>
        <w:pBdr>
          <w:top w:val="nil"/>
          <w:left w:val="nil"/>
          <w:bottom w:val="nil"/>
          <w:right w:val="nil"/>
          <w:between w:val="nil"/>
        </w:pBdr>
        <w:jc w:val="both"/>
        <w:rPr>
          <w:rFonts w:ascii="Arial" w:eastAsia="Arial" w:hAnsi="Arial" w:cs="Arial"/>
        </w:rPr>
        <w:sectPr w:rsidR="00FA056C">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pict w14:anchorId="4274B274">
          <v:rect id="_x0000_i1025" style="width:0;height:1.5pt" o:hralign="center" o:hrstd="t" o:hr="t" fillcolor="#a0a0a0" stroked="f"/>
        </w:pict>
      </w:r>
    </w:p>
    <w:p w14:paraId="3FE135BD" w14:textId="77777777" w:rsidR="00FA056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3DD75C44" w14:textId="77777777" w:rsidR="00FA056C" w:rsidRDefault="00FA056C">
      <w:pPr>
        <w:keepNext/>
        <w:pBdr>
          <w:top w:val="nil"/>
          <w:left w:val="nil"/>
          <w:bottom w:val="nil"/>
          <w:right w:val="nil"/>
          <w:between w:val="nil"/>
        </w:pBdr>
        <w:jc w:val="both"/>
        <w:rPr>
          <w:rFonts w:ascii="Arial" w:eastAsia="Arial" w:hAnsi="Arial" w:cs="Arial"/>
          <w:b/>
          <w:smallCaps/>
          <w:color w:val="000000"/>
          <w:sz w:val="22"/>
          <w:szCs w:val="22"/>
        </w:rPr>
      </w:pPr>
    </w:p>
    <w:tbl>
      <w:tblPr>
        <w:tblStyle w:val="ae"/>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A056C" w14:paraId="44F42C6C" w14:textId="77777777">
        <w:tc>
          <w:tcPr>
            <w:tcW w:w="8424" w:type="dxa"/>
            <w:shd w:val="clear" w:color="auto" w:fill="F2F2F2"/>
          </w:tcPr>
          <w:p w14:paraId="09FB76EC" w14:textId="77777777" w:rsidR="00FA056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rPr>
              <w:t xml:space="preserve">This study aimed to evaluate the effects of brushing with an experimental </w:t>
            </w:r>
            <w:r>
              <w:rPr>
                <w:rFonts w:ascii="Arial" w:eastAsia="Arial" w:hAnsi="Arial" w:cs="Arial"/>
                <w:highlight w:val="green"/>
              </w:rPr>
              <w:t>pomegranate dentifrice (PD)</w:t>
            </w:r>
            <w:r>
              <w:rPr>
                <w:rFonts w:ascii="Arial" w:eastAsia="Arial" w:hAnsi="Arial" w:cs="Arial"/>
              </w:rPr>
              <w:t xml:space="preserve"> on heat-polymerized acrylic resin specimens, comparing it with a </w:t>
            </w:r>
            <w:r>
              <w:rPr>
                <w:rFonts w:ascii="Arial" w:eastAsia="Arial" w:hAnsi="Arial" w:cs="Arial"/>
                <w:highlight w:val="green"/>
              </w:rPr>
              <w:t>commercial dentifrice (CD)</w:t>
            </w:r>
            <w:r>
              <w:rPr>
                <w:rFonts w:ascii="Arial" w:eastAsia="Arial" w:hAnsi="Arial" w:cs="Arial"/>
              </w:rPr>
              <w:t xml:space="preserve"> not specifically designed for dentures and </w:t>
            </w:r>
            <w:r>
              <w:rPr>
                <w:rFonts w:ascii="Arial" w:eastAsia="Arial" w:hAnsi="Arial" w:cs="Arial"/>
                <w:highlight w:val="green"/>
              </w:rPr>
              <w:t>distilled water (DW)</w:t>
            </w:r>
            <w:r>
              <w:rPr>
                <w:rFonts w:ascii="Arial" w:eastAsia="Arial" w:hAnsi="Arial" w:cs="Arial"/>
              </w:rPr>
              <w:t>.</w:t>
            </w:r>
          </w:p>
          <w:p w14:paraId="0F0DE386" w14:textId="77777777" w:rsidR="00FA056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w:t>
            </w:r>
            <w:r>
              <w:rPr>
                <w:rFonts w:ascii="Arial" w:eastAsia="Arial" w:hAnsi="Arial" w:cs="Arial"/>
              </w:rPr>
              <w:t>Original research article</w:t>
            </w:r>
            <w:r>
              <w:rPr>
                <w:rFonts w:ascii="Arial" w:eastAsia="Arial" w:hAnsi="Arial" w:cs="Arial"/>
                <w:color w:val="000000"/>
              </w:rPr>
              <w:t>.</w:t>
            </w:r>
          </w:p>
          <w:p w14:paraId="22DE5077"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Research Laboratory of the Graduate Program in Dentistry at the Federal University of Ceará, located in Fortaleza, Ceará, Brazil.</w:t>
            </w:r>
          </w:p>
          <w:p w14:paraId="45C1B554"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b/>
              </w:rPr>
              <w:t>Methodology:</w:t>
            </w:r>
            <w:r>
              <w:rPr>
                <w:rFonts w:ascii="Arial" w:eastAsia="Arial" w:hAnsi="Arial" w:cs="Arial"/>
              </w:rPr>
              <w:t xml:space="preserve"> Thirty acrylic resin specimens (n = 10) underwent five cycles of 17,800 brush strokes, simulating 60 months of accumulated brushing. The specimens were assessed for roughness, surface microhardness, mass loss, and color stability initially (T0) and after each cycle (T1: 12 months; T2: 36 months; T3: 60 months). The data were analyzed using repeated measures ANOVA, followed by the Bonferroni post-test.</w:t>
            </w:r>
          </w:p>
          <w:p w14:paraId="33563806" w14:textId="77777777" w:rsidR="00FA056C" w:rsidRDefault="00000000">
            <w:pPr>
              <w:pBdr>
                <w:top w:val="nil"/>
                <w:left w:val="nil"/>
                <w:bottom w:val="nil"/>
                <w:right w:val="nil"/>
                <w:between w:val="nil"/>
              </w:pBdr>
              <w:jc w:val="both"/>
              <w:rPr>
                <w:rFonts w:ascii="Arial" w:eastAsia="Arial" w:hAnsi="Arial" w:cs="Arial"/>
                <w:b/>
                <w:color w:val="000000"/>
                <w:highlight w:val="green"/>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rPr>
              <w:t>Intergroup comparisons revealed no significant differences for the assessed parameters. However, intragroup analysis indicated a significant increase in microhardness for the PD group (</w:t>
            </w:r>
            <w:r>
              <w:rPr>
                <w:rFonts w:ascii="Arial" w:eastAsia="Arial" w:hAnsi="Arial" w:cs="Arial"/>
                <w:i/>
              </w:rPr>
              <w:t xml:space="preserve">P </w:t>
            </w:r>
            <w:r>
              <w:rPr>
                <w:rFonts w:ascii="Arial" w:eastAsia="Arial" w:hAnsi="Arial" w:cs="Arial"/>
              </w:rPr>
              <w:t>= 0.01) and heightened surface roughness in the CD group (</w:t>
            </w:r>
            <w:r>
              <w:rPr>
                <w:rFonts w:ascii="Arial" w:eastAsia="Arial" w:hAnsi="Arial" w:cs="Arial"/>
                <w:i/>
              </w:rPr>
              <w:t xml:space="preserve">P </w:t>
            </w:r>
            <w:r>
              <w:rPr>
                <w:rFonts w:ascii="Arial" w:eastAsia="Arial" w:hAnsi="Arial" w:cs="Arial"/>
              </w:rPr>
              <w:t xml:space="preserve">&lt; 0.01). </w:t>
            </w:r>
            <w:r>
              <w:rPr>
                <w:rFonts w:ascii="Arial" w:eastAsia="Arial" w:hAnsi="Arial" w:cs="Arial"/>
                <w:highlight w:val="green"/>
              </w:rPr>
              <w:t>Overall, the results suggest that this experimental pomegranate-based dentifrice is a viable option for brushing complete dentures without compromising their structural integrity, representing a promising candidate for future denture cleaning protocols.</w:t>
            </w:r>
          </w:p>
          <w:p w14:paraId="0DB01639" w14:textId="77777777" w:rsidR="00FA056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 xml:space="preserve">The pomegranate dentifrice neither adversely affected surface roughness nor caused significant changes in mass or color of the acrylic resin. As such, </w:t>
            </w:r>
            <w:r>
              <w:rPr>
                <w:rFonts w:ascii="Arial" w:eastAsia="Arial" w:hAnsi="Arial" w:cs="Arial"/>
                <w:highlight w:val="green"/>
              </w:rPr>
              <w:t>it shows potential as a natural alternative to conventional denture cleansers, although further studies are needed to assess its biofilm removal efficacy and confirm its fungicidal effects</w:t>
            </w:r>
            <w:r>
              <w:rPr>
                <w:rFonts w:ascii="Arial" w:eastAsia="Arial" w:hAnsi="Arial" w:cs="Arial"/>
              </w:rPr>
              <w:t>.</w:t>
            </w:r>
          </w:p>
          <w:p w14:paraId="37514C98" w14:textId="77777777" w:rsidR="00FA056C" w:rsidRDefault="00FA056C">
            <w:pPr>
              <w:pBdr>
                <w:top w:val="nil"/>
                <w:left w:val="nil"/>
                <w:bottom w:val="nil"/>
                <w:right w:val="nil"/>
                <w:between w:val="nil"/>
              </w:pBdr>
              <w:jc w:val="both"/>
              <w:rPr>
                <w:rFonts w:ascii="Arial" w:eastAsia="Arial" w:hAnsi="Arial" w:cs="Arial"/>
                <w:color w:val="000000"/>
              </w:rPr>
            </w:pPr>
          </w:p>
        </w:tc>
      </w:tr>
    </w:tbl>
    <w:p w14:paraId="665916D4" w14:textId="77777777" w:rsidR="00FA056C" w:rsidRDefault="00FA056C">
      <w:pPr>
        <w:pBdr>
          <w:top w:val="nil"/>
          <w:left w:val="nil"/>
          <w:bottom w:val="nil"/>
          <w:right w:val="nil"/>
          <w:between w:val="nil"/>
        </w:pBdr>
        <w:jc w:val="both"/>
        <w:rPr>
          <w:rFonts w:ascii="Arial" w:eastAsia="Arial" w:hAnsi="Arial" w:cs="Arial"/>
          <w:i/>
          <w:color w:val="000000"/>
        </w:rPr>
      </w:pPr>
    </w:p>
    <w:p w14:paraId="02CDBCEE" w14:textId="77777777" w:rsidR="00FA056C"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Denture bases; tooth brushing; punica granatum; microhardnesss; color.</w:t>
      </w:r>
    </w:p>
    <w:p w14:paraId="29D597E1" w14:textId="77777777" w:rsidR="00FA056C" w:rsidRDefault="00FA056C">
      <w:pPr>
        <w:pBdr>
          <w:top w:val="nil"/>
          <w:left w:val="nil"/>
          <w:bottom w:val="nil"/>
          <w:right w:val="nil"/>
          <w:between w:val="nil"/>
        </w:pBdr>
        <w:jc w:val="both"/>
        <w:rPr>
          <w:rFonts w:ascii="Arial" w:eastAsia="Arial" w:hAnsi="Arial" w:cs="Arial"/>
          <w:i/>
          <w:color w:val="000000"/>
        </w:rPr>
      </w:pPr>
    </w:p>
    <w:p w14:paraId="02306D09" w14:textId="77777777" w:rsidR="00FA056C" w:rsidRDefault="00FA056C">
      <w:pPr>
        <w:pBdr>
          <w:top w:val="nil"/>
          <w:left w:val="nil"/>
          <w:bottom w:val="nil"/>
          <w:right w:val="nil"/>
          <w:between w:val="nil"/>
        </w:pBdr>
        <w:jc w:val="both"/>
        <w:rPr>
          <w:rFonts w:ascii="Arial" w:eastAsia="Arial" w:hAnsi="Arial" w:cs="Arial"/>
          <w:b/>
          <w:i/>
          <w:sz w:val="18"/>
          <w:szCs w:val="18"/>
        </w:rPr>
      </w:pPr>
    </w:p>
    <w:p w14:paraId="16D391AB" w14:textId="77777777" w:rsidR="00FA056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D8804B8" w14:textId="77777777" w:rsidR="00FA056C" w:rsidRDefault="00FA056C">
      <w:pPr>
        <w:pBdr>
          <w:top w:val="nil"/>
          <w:left w:val="nil"/>
          <w:bottom w:val="nil"/>
          <w:right w:val="nil"/>
          <w:between w:val="nil"/>
        </w:pBdr>
        <w:jc w:val="both"/>
        <w:rPr>
          <w:rFonts w:ascii="Arial" w:eastAsia="Arial" w:hAnsi="Arial" w:cs="Arial"/>
        </w:rPr>
      </w:pPr>
    </w:p>
    <w:p w14:paraId="7629EF24"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Denture stomatitis (DS) is an inflammation of the oral mucosa predominantly associated with the species </w:t>
      </w:r>
      <w:r>
        <w:rPr>
          <w:rFonts w:ascii="Arial" w:eastAsia="Arial" w:hAnsi="Arial" w:cs="Arial"/>
          <w:i/>
        </w:rPr>
        <w:t>Candida albicans</w:t>
      </w:r>
      <w:r>
        <w:rPr>
          <w:rFonts w:ascii="Arial" w:eastAsia="Arial" w:hAnsi="Arial" w:cs="Arial"/>
        </w:rPr>
        <w:t xml:space="preserve"> (Gendreau; Loewy, 2011; Patil et al., 2015). Its estimated prevalence is approximately 70% among removable denture wearers (Manikandan et al., 2022). Despite its multifactorial etiology, DS is strongly associated with poor oral hygiene and the continuous use of complete or partial dentures, particularly during sleep (Bianchi et al., </w:t>
      </w:r>
      <w:r>
        <w:rPr>
          <w:rFonts w:ascii="Arial" w:eastAsia="Arial" w:hAnsi="Arial" w:cs="Arial"/>
        </w:rPr>
        <w:lastRenderedPageBreak/>
        <w:t>2016; McReynolds et al., 2023; Ribeiro et al., 2024). Generally, DS is asymptomatic; however, some patients may report symptoms such as burning sensation or taste alterations (Altarawneh et al., 2012; Bianchi et al., 2016; Gendreau; Loewy, 2011; McReynolds et al., 2023).</w:t>
      </w:r>
    </w:p>
    <w:p w14:paraId="41C83249" w14:textId="77777777" w:rsidR="00FA056C" w:rsidRDefault="00FA056C">
      <w:pPr>
        <w:pBdr>
          <w:top w:val="nil"/>
          <w:left w:val="nil"/>
          <w:bottom w:val="nil"/>
          <w:right w:val="nil"/>
          <w:between w:val="nil"/>
        </w:pBdr>
        <w:jc w:val="both"/>
        <w:rPr>
          <w:rFonts w:ascii="Arial" w:eastAsia="Arial" w:hAnsi="Arial" w:cs="Arial"/>
          <w:color w:val="000000"/>
        </w:rPr>
      </w:pPr>
    </w:p>
    <w:p w14:paraId="383DFE40"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The management of denture stomatitis (DS) may include topical or systemic antifungal treatments, combined with patient instructions on denture biofilm cleaning and disinfection. Nystatin and miconazole are the main topical agents used to relieve signs and symptoms. For recurrent infections or in immunocompromised patients, systemic antifungals such as fluconazole, itraconazole, and amphotericin B may be prescribed (Hilgert et al., 2016). It is crucial to emphasize the growing resistance of several microorganisms to antimicrobial agents. In addition, antifungals are associated with significant hepatotoxic effects, particularly with repeated administrations (Badaró et al., 2020).</w:t>
      </w:r>
    </w:p>
    <w:p w14:paraId="3D4FAE06" w14:textId="77777777" w:rsidR="00FA056C" w:rsidRDefault="00FA056C">
      <w:pPr>
        <w:pBdr>
          <w:top w:val="nil"/>
          <w:left w:val="nil"/>
          <w:bottom w:val="nil"/>
          <w:right w:val="nil"/>
          <w:between w:val="nil"/>
        </w:pBdr>
        <w:jc w:val="both"/>
        <w:rPr>
          <w:rFonts w:ascii="Arial" w:eastAsia="Arial" w:hAnsi="Arial" w:cs="Arial"/>
        </w:rPr>
      </w:pPr>
    </w:p>
    <w:p w14:paraId="34D3EEAD"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As an alternative to conventional drugs, some studies have suggested the use of certain medicinal plants, with proven antimicrobial effects, for the management and prevention of oral candidiasis, through physical and chemical denture hygiene strategies (Badaró et al., 2020; Barreto et al., 2021; Patel et al., 2008; Pérez-Nicolas et al., 2023; Veilleux; Grenier, 2019; Villalta et al., 2006).</w:t>
      </w:r>
    </w:p>
    <w:p w14:paraId="41783C2A" w14:textId="77777777" w:rsidR="00FA056C" w:rsidRDefault="00FA056C">
      <w:pPr>
        <w:pBdr>
          <w:top w:val="nil"/>
          <w:left w:val="nil"/>
          <w:bottom w:val="nil"/>
          <w:right w:val="nil"/>
          <w:between w:val="nil"/>
        </w:pBdr>
        <w:jc w:val="both"/>
        <w:rPr>
          <w:rFonts w:ascii="Arial" w:eastAsia="Arial" w:hAnsi="Arial" w:cs="Arial"/>
        </w:rPr>
      </w:pPr>
    </w:p>
    <w:p w14:paraId="3CA8DE84" w14:textId="77777777" w:rsidR="00FA056C" w:rsidRDefault="00000000">
      <w:pPr>
        <w:pBdr>
          <w:top w:val="nil"/>
          <w:left w:val="nil"/>
          <w:bottom w:val="nil"/>
          <w:right w:val="nil"/>
          <w:between w:val="nil"/>
        </w:pBdr>
        <w:jc w:val="both"/>
        <w:rPr>
          <w:rFonts w:ascii="Arial" w:eastAsia="Arial" w:hAnsi="Arial" w:cs="Arial"/>
          <w:highlight w:val="green"/>
        </w:rPr>
      </w:pPr>
      <w:r>
        <w:rPr>
          <w:rFonts w:ascii="Arial" w:eastAsia="Arial" w:hAnsi="Arial" w:cs="Arial"/>
        </w:rPr>
        <w:t xml:space="preserve">An example of this is </w:t>
      </w:r>
      <w:r>
        <w:rPr>
          <w:rFonts w:ascii="Arial" w:eastAsia="Arial" w:hAnsi="Arial" w:cs="Arial"/>
          <w:i/>
        </w:rPr>
        <w:t>Punica granatum</w:t>
      </w:r>
      <w:r>
        <w:rPr>
          <w:rFonts w:ascii="Arial" w:eastAsia="Arial" w:hAnsi="Arial" w:cs="Arial"/>
        </w:rPr>
        <w:t xml:space="preserve"> Linné, commonly known as pomegranate, which has shown a potent fungicidal effect against Candida species for the prevention and treatment of denture stomatitis (Almeida et al., 2018; Singh et al., 2002; Vasconcelos et al., 2006; Vasconcelos et al., 2003), even at relatively low concentrations (6.25%) of the fruit peel extract (Vasconcelos et al., 2006). </w:t>
      </w:r>
      <w:r>
        <w:rPr>
          <w:rFonts w:ascii="Arial" w:eastAsia="Arial" w:hAnsi="Arial" w:cs="Arial"/>
          <w:highlight w:val="green"/>
        </w:rPr>
        <w:t xml:space="preserve">The pharmacological properties of </w:t>
      </w:r>
      <w:r>
        <w:rPr>
          <w:rFonts w:ascii="Arial" w:eastAsia="Arial" w:hAnsi="Arial" w:cs="Arial"/>
          <w:i/>
          <w:highlight w:val="green"/>
        </w:rPr>
        <w:t>Punica granatum</w:t>
      </w:r>
      <w:r>
        <w:rPr>
          <w:rFonts w:ascii="Arial" w:eastAsia="Arial" w:hAnsi="Arial" w:cs="Arial"/>
          <w:highlight w:val="green"/>
        </w:rPr>
        <w:t xml:space="preserve"> L. have been extensively documented, highlighting its potent oral antifungal and antibacterial activities (Gomes et al., 2016; Bassiri-Jahromi et al., 2018). These effects are primarily attributed to its rich bioactive composition, in which polyphenols represent the predominant phytochemical class. Among them, tannins, particularly punicalagin, stand out for their significant biological relevance. The antifungal action of tannins is believed to involve interactions with and disruption of fungal cell membranes, thereby impairing cellular integrity and function (Brighenti et al., 2021; Ferreira et al., 2025).</w:t>
      </w:r>
    </w:p>
    <w:p w14:paraId="356D3DD4" w14:textId="77777777" w:rsidR="00FA056C" w:rsidRDefault="00FA056C">
      <w:pPr>
        <w:pBdr>
          <w:top w:val="nil"/>
          <w:left w:val="nil"/>
          <w:bottom w:val="nil"/>
          <w:right w:val="nil"/>
          <w:between w:val="nil"/>
        </w:pBdr>
        <w:jc w:val="both"/>
        <w:rPr>
          <w:rFonts w:ascii="Arial" w:eastAsia="Arial" w:hAnsi="Arial" w:cs="Arial"/>
        </w:rPr>
      </w:pPr>
    </w:p>
    <w:p w14:paraId="3AE9B99E"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Several denture cleaning methods are available on the market; however, brushing remains the simplest and most cost-effective method. It is known that brushing can lead to mass loss and increased surface roughness of acrylic resin over time (Campos et al., 2023; Fouda et al., 2025), which may promote plaque retention, loss of gloss and smoothness, as well as facilitate denture staining. Thus, the availability of a dentifrice with low abrasiveness and natural-origin fungicidal properties appears to be an interesting product for the hygiene of complete dentures.</w:t>
      </w:r>
    </w:p>
    <w:p w14:paraId="3382C6CE" w14:textId="77777777" w:rsidR="00FA056C" w:rsidRDefault="00FA056C">
      <w:pPr>
        <w:pBdr>
          <w:top w:val="nil"/>
          <w:left w:val="nil"/>
          <w:bottom w:val="nil"/>
          <w:right w:val="nil"/>
          <w:between w:val="nil"/>
        </w:pBdr>
        <w:jc w:val="both"/>
        <w:rPr>
          <w:rFonts w:ascii="Arial" w:eastAsia="Arial" w:hAnsi="Arial" w:cs="Arial"/>
        </w:rPr>
      </w:pPr>
    </w:p>
    <w:p w14:paraId="3B118F99"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Hence, the present study sought to investigate the impact of brushing heat-polymerized acrylic resin specimens with an experimental dentifrice containing 6.25% </w:t>
      </w:r>
      <w:r>
        <w:rPr>
          <w:rFonts w:ascii="Arial" w:eastAsia="Arial" w:hAnsi="Arial" w:cs="Arial"/>
          <w:i/>
        </w:rPr>
        <w:t>Punica granatum</w:t>
      </w:r>
      <w:r>
        <w:rPr>
          <w:rFonts w:ascii="Arial" w:eastAsia="Arial" w:hAnsi="Arial" w:cs="Arial"/>
        </w:rPr>
        <w:t xml:space="preserve"> Linné peel extract on microhardness, surface roughness, mass loss, and color stability. The null hypothesis adopted was that brushing with the experimental pomegranate dentifrice would not differ from brushing with conventional dentifrices for any of the aforementioned parameters.</w:t>
      </w:r>
    </w:p>
    <w:p w14:paraId="2BBEB45A" w14:textId="77777777" w:rsidR="00FA056C" w:rsidRDefault="00FA056C">
      <w:pPr>
        <w:pBdr>
          <w:top w:val="nil"/>
          <w:left w:val="nil"/>
          <w:bottom w:val="nil"/>
          <w:right w:val="nil"/>
          <w:between w:val="nil"/>
        </w:pBdr>
        <w:jc w:val="both"/>
        <w:rPr>
          <w:rFonts w:ascii="Arial" w:eastAsia="Arial" w:hAnsi="Arial" w:cs="Arial"/>
        </w:rPr>
      </w:pPr>
    </w:p>
    <w:p w14:paraId="4E19BD62" w14:textId="77777777" w:rsidR="00FA056C" w:rsidRDefault="00FA056C">
      <w:pPr>
        <w:pBdr>
          <w:top w:val="nil"/>
          <w:left w:val="nil"/>
          <w:bottom w:val="nil"/>
          <w:right w:val="nil"/>
          <w:between w:val="nil"/>
        </w:pBdr>
        <w:jc w:val="both"/>
        <w:rPr>
          <w:rFonts w:ascii="Arial" w:eastAsia="Arial" w:hAnsi="Arial" w:cs="Arial"/>
        </w:rPr>
      </w:pPr>
    </w:p>
    <w:p w14:paraId="4C832687" w14:textId="77777777" w:rsidR="00FA056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MATERIAL AND METHODS</w:t>
      </w:r>
    </w:p>
    <w:p w14:paraId="5E69DF49" w14:textId="77777777" w:rsidR="00FA056C" w:rsidRDefault="00FA056C">
      <w:pPr>
        <w:pBdr>
          <w:top w:val="nil"/>
          <w:left w:val="nil"/>
          <w:bottom w:val="nil"/>
          <w:right w:val="nil"/>
          <w:between w:val="nil"/>
        </w:pBdr>
        <w:jc w:val="both"/>
        <w:rPr>
          <w:rFonts w:ascii="Arial" w:eastAsia="Arial" w:hAnsi="Arial" w:cs="Arial"/>
          <w:color w:val="000000"/>
        </w:rPr>
      </w:pPr>
    </w:p>
    <w:p w14:paraId="1EA7CFFC" w14:textId="77777777" w:rsidR="00FA056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2.1 </w:t>
      </w:r>
      <w:r>
        <w:rPr>
          <w:rFonts w:ascii="Arial" w:eastAsia="Arial" w:hAnsi="Arial" w:cs="Arial"/>
          <w:b/>
          <w:sz w:val="22"/>
          <w:szCs w:val="22"/>
        </w:rPr>
        <w:t>Experimental design</w:t>
      </w:r>
    </w:p>
    <w:p w14:paraId="26E2AF92" w14:textId="77777777" w:rsidR="00FA056C" w:rsidRDefault="00FA056C">
      <w:pPr>
        <w:pBdr>
          <w:top w:val="nil"/>
          <w:left w:val="nil"/>
          <w:bottom w:val="nil"/>
          <w:right w:val="nil"/>
          <w:between w:val="nil"/>
        </w:pBdr>
        <w:jc w:val="both"/>
        <w:rPr>
          <w:rFonts w:ascii="Arial" w:eastAsia="Arial" w:hAnsi="Arial" w:cs="Arial"/>
        </w:rPr>
      </w:pPr>
    </w:p>
    <w:p w14:paraId="61763048"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lastRenderedPageBreak/>
        <w:t>This randomized in vitro study was conducted to evaluate the effects of brushing with a pomegranate-based experimental dentifrice on heat-polymerized acrylic resin specimens. A total of 30 specimens were prepared and randomly allocated into three groups (n = 10 each): a negative control group (specimens brushed with distilled water); a positive control group (specimens brushed with a low-cost commercial dentifrice not specifically designed for dentures); and the experimental group (specimens brushed with the pomegranate-based experimental dentifrice).</w:t>
      </w:r>
    </w:p>
    <w:p w14:paraId="0E27157F" w14:textId="77777777" w:rsidR="00FA056C" w:rsidRDefault="00FA056C">
      <w:pPr>
        <w:pBdr>
          <w:top w:val="nil"/>
          <w:left w:val="nil"/>
          <w:bottom w:val="nil"/>
          <w:right w:val="nil"/>
          <w:between w:val="nil"/>
        </w:pBdr>
        <w:jc w:val="both"/>
        <w:rPr>
          <w:rFonts w:ascii="Arial" w:eastAsia="Arial" w:hAnsi="Arial" w:cs="Arial"/>
        </w:rPr>
      </w:pPr>
    </w:p>
    <w:p w14:paraId="0C706CBA"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Subsequently, the specimens underwent a brushing regimen in a mechanical simulator for a period corresponding to 60 months. Before and after the simulated brushing, the specimens were weighed using an analytical balance and assessed for surface roughness, Knoop microhardness, and color change. The experimental workflow is illustrated in Figure 1.</w:t>
      </w:r>
    </w:p>
    <w:p w14:paraId="5007C8E7" w14:textId="77777777" w:rsidR="00FA056C" w:rsidRDefault="00FA056C">
      <w:pPr>
        <w:pBdr>
          <w:top w:val="nil"/>
          <w:left w:val="nil"/>
          <w:bottom w:val="nil"/>
          <w:right w:val="nil"/>
          <w:between w:val="nil"/>
        </w:pBdr>
        <w:jc w:val="both"/>
        <w:rPr>
          <w:rFonts w:ascii="Arial" w:eastAsia="Arial" w:hAnsi="Arial" w:cs="Arial"/>
        </w:rPr>
      </w:pPr>
    </w:p>
    <w:p w14:paraId="55B31BA3" w14:textId="77777777" w:rsidR="00FA056C" w:rsidRDefault="00000000">
      <w:pPr>
        <w:jc w:val="both"/>
        <w:rPr>
          <w:rFonts w:ascii="Arial" w:eastAsia="Arial" w:hAnsi="Arial" w:cs="Arial"/>
          <w:highlight w:val="green"/>
        </w:rPr>
      </w:pPr>
      <w:r>
        <w:rPr>
          <w:rFonts w:ascii="Arial" w:eastAsia="Arial" w:hAnsi="Arial" w:cs="Arial"/>
          <w:b/>
          <w:smallCaps/>
          <w:sz w:val="22"/>
          <w:szCs w:val="22"/>
          <w:highlight w:val="green"/>
        </w:rPr>
        <w:t xml:space="preserve">2.2 </w:t>
      </w:r>
      <w:r>
        <w:rPr>
          <w:rFonts w:ascii="Arial" w:eastAsia="Arial" w:hAnsi="Arial" w:cs="Arial"/>
          <w:b/>
          <w:sz w:val="22"/>
          <w:szCs w:val="22"/>
          <w:highlight w:val="green"/>
        </w:rPr>
        <w:t>Sample calculation</w:t>
      </w:r>
    </w:p>
    <w:p w14:paraId="53380E43" w14:textId="77777777" w:rsidR="00FA056C" w:rsidRDefault="00FA056C">
      <w:pPr>
        <w:jc w:val="both"/>
        <w:rPr>
          <w:rFonts w:ascii="Arial" w:eastAsia="Arial" w:hAnsi="Arial" w:cs="Arial"/>
          <w:highlight w:val="green"/>
        </w:rPr>
      </w:pPr>
    </w:p>
    <w:p w14:paraId="2887F636" w14:textId="77777777" w:rsidR="00FA056C" w:rsidRDefault="00000000">
      <w:pPr>
        <w:jc w:val="both"/>
        <w:rPr>
          <w:rFonts w:ascii="Arial" w:eastAsia="Arial" w:hAnsi="Arial" w:cs="Arial"/>
          <w:highlight w:val="green"/>
        </w:rPr>
      </w:pPr>
      <w:r>
        <w:rPr>
          <w:rFonts w:ascii="Arial" w:eastAsia="Arial" w:hAnsi="Arial" w:cs="Arial"/>
          <w:highlight w:val="green"/>
        </w:rPr>
        <w:t>The sample size calculation was performed using the public domain website OpenEpi, based on surface loss data from a previous study (Carvalho-Neto et al., 2021). Considering that roughness and color stability differed significantly compared to the group treated with distilled water (0.897 ± 0.026 vs. 0.059 ± 0.053 / 11.560 ± 0.216 vs. 2.899 ± 0.992), it was determined that 10 samples per group would be required to achieve a 95% confidence interval with 80% power.</w:t>
      </w:r>
    </w:p>
    <w:p w14:paraId="02FD2F3E" w14:textId="77777777" w:rsidR="00FA056C" w:rsidRDefault="00FA056C">
      <w:pPr>
        <w:jc w:val="both"/>
        <w:rPr>
          <w:rFonts w:ascii="Arial" w:eastAsia="Arial" w:hAnsi="Arial" w:cs="Arial"/>
        </w:rPr>
      </w:pPr>
    </w:p>
    <w:p w14:paraId="460A04C9" w14:textId="77777777" w:rsidR="00FA056C" w:rsidRDefault="00000000">
      <w:pPr>
        <w:jc w:val="both"/>
        <w:rPr>
          <w:rFonts w:ascii="Arial" w:eastAsia="Arial" w:hAnsi="Arial" w:cs="Arial"/>
          <w:b/>
          <w:sz w:val="22"/>
          <w:szCs w:val="22"/>
        </w:rPr>
      </w:pPr>
      <w:r>
        <w:rPr>
          <w:rFonts w:ascii="Arial" w:eastAsia="Arial" w:hAnsi="Arial" w:cs="Arial"/>
          <w:b/>
          <w:smallCaps/>
          <w:sz w:val="22"/>
          <w:szCs w:val="22"/>
        </w:rPr>
        <w:t xml:space="preserve">2.3 </w:t>
      </w:r>
      <w:r>
        <w:rPr>
          <w:rFonts w:ascii="Arial" w:eastAsia="Arial" w:hAnsi="Arial" w:cs="Arial"/>
          <w:b/>
          <w:sz w:val="22"/>
          <w:szCs w:val="22"/>
        </w:rPr>
        <w:t>Specimens Preparation</w:t>
      </w:r>
    </w:p>
    <w:p w14:paraId="096673C2" w14:textId="77777777" w:rsidR="00FA056C" w:rsidRDefault="00FA056C">
      <w:pPr>
        <w:jc w:val="both"/>
        <w:rPr>
          <w:rFonts w:ascii="Arial" w:eastAsia="Arial" w:hAnsi="Arial" w:cs="Arial"/>
          <w:b/>
          <w:sz w:val="22"/>
          <w:szCs w:val="22"/>
        </w:rPr>
      </w:pPr>
    </w:p>
    <w:p w14:paraId="3A7390B3"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Thirty heat-polymerized acrylic resin specimens were fabricated in a rectangular shape with average dimensions of 30 × 20 × 5 mm. The specimens were obtained from plaster molds prepared within flasks. To create the molds, rectangular silicone matrices were produced using Zetaplus (Zhermack SpA, Badia Polesine, RO, Italy). These matrices were then embedded in type IV dental stone (Densite, Dentsply Ind. Com. Ltda., Petrópolis, RJ, Brazil). After the stone had set, its surface was treated with a separating medium (Cel-Lac, SS White Artigos Odontológicos Ltda., Rio de Janeiro, RJ, Brazil). The counter-mold was filled with an additional portion of stone poured over the matrices, and the flask was compressed for approximately 40 minutes. Upon opening the flask, the matrices were removed, leaving the plaster molds.</w:t>
      </w:r>
    </w:p>
    <w:p w14:paraId="7E82F7D8" w14:textId="77777777" w:rsidR="00FA056C" w:rsidRDefault="00FA056C">
      <w:pPr>
        <w:pBdr>
          <w:top w:val="nil"/>
          <w:left w:val="nil"/>
          <w:bottom w:val="nil"/>
          <w:right w:val="nil"/>
          <w:between w:val="nil"/>
        </w:pBdr>
        <w:jc w:val="both"/>
        <w:rPr>
          <w:rFonts w:ascii="Arial" w:eastAsia="Arial" w:hAnsi="Arial" w:cs="Arial"/>
        </w:rPr>
      </w:pPr>
    </w:p>
    <w:p w14:paraId="016B0AFD"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The acrylic resin (Artigos Odontológicos – Clássico, Campo Limpo Paulista, SP, Brazil) was mixed at a ratio of 10 g of powder to 10 ml of liquid. The mixture was placed into the flask during its plastic phase, and the flask was subsequently compressed again. The assembly was then immersed in hot water to initiate the heat-polymerization process. After the resin had set, the rectangular specimens were removed for finishing and polishing. Polishing was performed using a polishing machine (Aropol 2V, Arotec Indústria e Comércio, Cotia, Brazil) with water sandpapers of varying grits (Norton Indústria Brasileira, São Paulo, Brazil) – 600, 1200, and 2000 – each applied for one minute. Felt discs with pumice paste were also used during the polishing procedure. All materials used in the fabrication of the specimens were handled according to the manufacturers' instructions.</w:t>
      </w:r>
    </w:p>
    <w:p w14:paraId="02914695" w14:textId="77777777" w:rsidR="00FA056C" w:rsidRDefault="00FA056C">
      <w:pPr>
        <w:pBdr>
          <w:top w:val="nil"/>
          <w:left w:val="nil"/>
          <w:bottom w:val="nil"/>
          <w:right w:val="nil"/>
          <w:between w:val="nil"/>
        </w:pBdr>
        <w:jc w:val="both"/>
        <w:rPr>
          <w:rFonts w:ascii="Arial" w:eastAsia="Arial" w:hAnsi="Arial" w:cs="Arial"/>
        </w:rPr>
      </w:pPr>
    </w:p>
    <w:p w14:paraId="1A4D7E3A" w14:textId="77777777" w:rsidR="00FA056C" w:rsidRDefault="00FA056C">
      <w:pPr>
        <w:pBdr>
          <w:top w:val="nil"/>
          <w:left w:val="nil"/>
          <w:bottom w:val="nil"/>
          <w:right w:val="nil"/>
          <w:between w:val="nil"/>
        </w:pBdr>
        <w:jc w:val="both"/>
        <w:rPr>
          <w:rFonts w:ascii="Arial" w:eastAsia="Arial" w:hAnsi="Arial" w:cs="Arial"/>
        </w:rPr>
      </w:pPr>
    </w:p>
    <w:p w14:paraId="29F0299C" w14:textId="77777777" w:rsidR="00FA056C" w:rsidRDefault="00FA056C">
      <w:pPr>
        <w:pBdr>
          <w:top w:val="nil"/>
          <w:left w:val="nil"/>
          <w:bottom w:val="nil"/>
          <w:right w:val="nil"/>
          <w:between w:val="nil"/>
        </w:pBdr>
        <w:jc w:val="both"/>
        <w:rPr>
          <w:rFonts w:ascii="Arial" w:eastAsia="Arial" w:hAnsi="Arial" w:cs="Arial"/>
        </w:rPr>
      </w:pPr>
    </w:p>
    <w:p w14:paraId="7D790924" w14:textId="77777777" w:rsidR="00FA056C" w:rsidRDefault="00000000">
      <w:pPr>
        <w:pBdr>
          <w:top w:val="nil"/>
          <w:left w:val="nil"/>
          <w:bottom w:val="nil"/>
          <w:right w:val="nil"/>
          <w:between w:val="nil"/>
        </w:pBdr>
        <w:jc w:val="center"/>
        <w:rPr>
          <w:rFonts w:ascii="Arial" w:eastAsia="Arial" w:hAnsi="Arial" w:cs="Arial"/>
        </w:rPr>
      </w:pPr>
      <w:r>
        <w:rPr>
          <w:rFonts w:ascii="Arial" w:eastAsia="Arial" w:hAnsi="Arial" w:cs="Arial"/>
          <w:noProof/>
        </w:rPr>
        <w:lastRenderedPageBreak/>
        <w:drawing>
          <wp:inline distT="114300" distB="114300" distL="114300" distR="114300" wp14:anchorId="11EEE2D6" wp14:editId="1480E54A">
            <wp:extent cx="5045302" cy="4662488"/>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045302" cy="4662488"/>
                    </a:xfrm>
                    <a:prstGeom prst="rect">
                      <a:avLst/>
                    </a:prstGeom>
                    <a:ln/>
                  </pic:spPr>
                </pic:pic>
              </a:graphicData>
            </a:graphic>
          </wp:inline>
        </w:drawing>
      </w:r>
    </w:p>
    <w:p w14:paraId="2760ACDE" w14:textId="77777777" w:rsidR="00FA056C" w:rsidRDefault="00000000">
      <w:pPr>
        <w:jc w:val="both"/>
        <w:rPr>
          <w:rFonts w:ascii="Arial" w:eastAsia="Arial" w:hAnsi="Arial" w:cs="Arial"/>
          <w:b/>
        </w:rPr>
      </w:pPr>
      <w:r>
        <w:rPr>
          <w:rFonts w:ascii="Arial" w:eastAsia="Arial" w:hAnsi="Arial" w:cs="Arial"/>
          <w:b/>
        </w:rPr>
        <w:t>Fig. 1. Flowchart of the in vitro study. Distribution of specimens for each analysis (n = 10 per group).</w:t>
      </w:r>
    </w:p>
    <w:p w14:paraId="42D48967" w14:textId="77777777" w:rsidR="00FA056C" w:rsidRDefault="00000000">
      <w:pPr>
        <w:jc w:val="both"/>
        <w:rPr>
          <w:rFonts w:ascii="Arial" w:eastAsia="Arial" w:hAnsi="Arial" w:cs="Arial"/>
          <w:i/>
          <w:sz w:val="18"/>
          <w:szCs w:val="18"/>
          <w:highlight w:val="green"/>
        </w:rPr>
      </w:pPr>
      <w:r>
        <w:rPr>
          <w:rFonts w:ascii="Arial" w:eastAsia="Arial" w:hAnsi="Arial" w:cs="Arial"/>
          <w:i/>
          <w:sz w:val="18"/>
          <w:szCs w:val="18"/>
          <w:highlight w:val="green"/>
        </w:rPr>
        <w:t>Distilled Water (DW) = Negative Control Group = Specimens brushed with distilled water; Commercial Dentifrice (CD) = Positive Control Group = Specimens brushed with a commercially available, non-specific, low-cost denture toothpaste; Pomegranate Dentifrice (PD) = Experimental Group = Specimens brushed with an experimental pomegranate dentifrice with low abrasiveness (6.25% concentration)</w:t>
      </w:r>
    </w:p>
    <w:p w14:paraId="6EA81C91" w14:textId="77777777" w:rsidR="00FA056C" w:rsidRDefault="00FA056C">
      <w:pPr>
        <w:jc w:val="both"/>
        <w:rPr>
          <w:rFonts w:ascii="Arial" w:eastAsia="Arial" w:hAnsi="Arial" w:cs="Arial"/>
          <w:b/>
        </w:rPr>
      </w:pPr>
    </w:p>
    <w:p w14:paraId="425CD2F3" w14:textId="77777777" w:rsidR="00FA056C" w:rsidRDefault="00000000">
      <w:pPr>
        <w:jc w:val="both"/>
        <w:rPr>
          <w:rFonts w:ascii="Arial" w:eastAsia="Arial" w:hAnsi="Arial" w:cs="Arial"/>
          <w:b/>
          <w:sz w:val="22"/>
          <w:szCs w:val="22"/>
        </w:rPr>
      </w:pPr>
      <w:r>
        <w:rPr>
          <w:rFonts w:ascii="Arial" w:eastAsia="Arial" w:hAnsi="Arial" w:cs="Arial"/>
          <w:b/>
          <w:smallCaps/>
          <w:sz w:val="22"/>
          <w:szCs w:val="22"/>
        </w:rPr>
        <w:t xml:space="preserve">2.4 </w:t>
      </w:r>
      <w:r>
        <w:rPr>
          <w:rFonts w:ascii="Arial" w:eastAsia="Arial" w:hAnsi="Arial" w:cs="Arial"/>
          <w:b/>
          <w:sz w:val="22"/>
          <w:szCs w:val="22"/>
        </w:rPr>
        <w:t>Tested Substances</w:t>
      </w:r>
    </w:p>
    <w:p w14:paraId="7E1579E2" w14:textId="77777777" w:rsidR="00FA056C" w:rsidRDefault="00FA056C">
      <w:pPr>
        <w:jc w:val="both"/>
        <w:rPr>
          <w:rFonts w:ascii="Arial" w:eastAsia="Arial" w:hAnsi="Arial" w:cs="Arial"/>
          <w:b/>
          <w:sz w:val="22"/>
          <w:szCs w:val="22"/>
        </w:rPr>
      </w:pPr>
    </w:p>
    <w:p w14:paraId="18F1C97E"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Experimental Pomegranate Dentifrice (PD Group): A dentifrice was developed using a hydroalcoholic extract derived from the peel of </w:t>
      </w:r>
      <w:r>
        <w:rPr>
          <w:rFonts w:ascii="Arial" w:eastAsia="Arial" w:hAnsi="Arial" w:cs="Arial"/>
          <w:i/>
        </w:rPr>
        <w:t>Punica granatum</w:t>
      </w:r>
      <w:r>
        <w:rPr>
          <w:rFonts w:ascii="Arial" w:eastAsia="Arial" w:hAnsi="Arial" w:cs="Arial"/>
        </w:rPr>
        <w:t xml:space="preserve"> Linné fruit at a concentration of 6.25% (according to Invention Patent BR1020170212203, National Institute of Industrial Property, Federal University of Ceará, Brazil). The extract was provided by All Chemistry Brasil Ltda (R. Cocáis, 300 - Jardim Oriental, São Paulo - SP, ZIP 04347-190). </w:t>
      </w:r>
      <w:r>
        <w:rPr>
          <w:rFonts w:ascii="Arial" w:eastAsia="Arial" w:hAnsi="Arial" w:cs="Arial"/>
          <w:highlight w:val="green"/>
        </w:rPr>
        <w:t>The commercial extract exhibited a chromatographic profile similar to that of the extract collected from the georeferenced and characterized botanical garden source, being standardized by the tannin punicalagin</w:t>
      </w:r>
      <w:r>
        <w:rPr>
          <w:rFonts w:ascii="Arial" w:eastAsia="Arial" w:hAnsi="Arial" w:cs="Arial"/>
        </w:rPr>
        <w:t>. The dentifrice formulation includes micronized calcium carbonate (noted for its low abrasiveness), glycerin, carboxymethylcellulose, nipagin, saccharin, sodium lauryl sulfate, menthol, peppermint flavor, and the hydroalcoholic pomegranate extract.</w:t>
      </w:r>
    </w:p>
    <w:p w14:paraId="0ECB99F4" w14:textId="77777777" w:rsidR="00FA056C" w:rsidRDefault="00FA056C">
      <w:pPr>
        <w:pBdr>
          <w:top w:val="nil"/>
          <w:left w:val="nil"/>
          <w:bottom w:val="nil"/>
          <w:right w:val="nil"/>
          <w:between w:val="nil"/>
        </w:pBdr>
        <w:jc w:val="both"/>
        <w:rPr>
          <w:rFonts w:ascii="Arial" w:eastAsia="Arial" w:hAnsi="Arial" w:cs="Arial"/>
        </w:rPr>
      </w:pPr>
    </w:p>
    <w:p w14:paraId="33DDDB71"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Commercial Dentifrice (CD Group): The selected commercial dentifrice was Even (produced by Indústrias Reunidas Raymundo da Fonte S/A, Vila Torres Galvão Paulista, PE, Brazil). Its </w:t>
      </w:r>
      <w:r>
        <w:rPr>
          <w:rFonts w:ascii="Arial" w:eastAsia="Arial" w:hAnsi="Arial" w:cs="Arial"/>
        </w:rPr>
        <w:lastRenderedPageBreak/>
        <w:t>list of ingredients includes propylparaben, calcium carbonate, sodium lauryl sulfate, flavoring agents, water, and sodium monofluorophosphate.</w:t>
      </w:r>
    </w:p>
    <w:p w14:paraId="6138418F" w14:textId="77777777" w:rsidR="00FA056C" w:rsidRDefault="00FA056C">
      <w:pPr>
        <w:pBdr>
          <w:top w:val="nil"/>
          <w:left w:val="nil"/>
          <w:bottom w:val="nil"/>
          <w:right w:val="nil"/>
          <w:between w:val="nil"/>
        </w:pBdr>
        <w:jc w:val="both"/>
        <w:rPr>
          <w:rFonts w:ascii="Arial" w:eastAsia="Arial" w:hAnsi="Arial" w:cs="Arial"/>
        </w:rPr>
      </w:pPr>
    </w:p>
    <w:p w14:paraId="4637FE0A"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Distilled Water (DW Group): For the negative control, specimens were treated with distilled water.</w:t>
      </w:r>
    </w:p>
    <w:p w14:paraId="6D199F78" w14:textId="77777777" w:rsidR="00FA056C" w:rsidRDefault="00FA056C">
      <w:pPr>
        <w:pBdr>
          <w:top w:val="nil"/>
          <w:left w:val="nil"/>
          <w:bottom w:val="nil"/>
          <w:right w:val="nil"/>
          <w:between w:val="nil"/>
        </w:pBdr>
        <w:jc w:val="both"/>
        <w:rPr>
          <w:rFonts w:ascii="Arial" w:eastAsia="Arial" w:hAnsi="Arial" w:cs="Arial"/>
        </w:rPr>
      </w:pPr>
    </w:p>
    <w:p w14:paraId="0B07B6A2" w14:textId="77777777" w:rsidR="00FA056C" w:rsidRDefault="00000000">
      <w:pPr>
        <w:jc w:val="both"/>
        <w:rPr>
          <w:rFonts w:ascii="Arial" w:eastAsia="Arial" w:hAnsi="Arial" w:cs="Arial"/>
        </w:rPr>
      </w:pPr>
      <w:r>
        <w:rPr>
          <w:rFonts w:ascii="Arial" w:eastAsia="Arial" w:hAnsi="Arial" w:cs="Arial"/>
          <w:b/>
          <w:smallCaps/>
          <w:sz w:val="22"/>
          <w:szCs w:val="22"/>
        </w:rPr>
        <w:t xml:space="preserve">2.5 </w:t>
      </w:r>
      <w:r>
        <w:rPr>
          <w:rFonts w:ascii="Arial" w:eastAsia="Arial" w:hAnsi="Arial" w:cs="Arial"/>
          <w:b/>
          <w:sz w:val="22"/>
          <w:szCs w:val="22"/>
        </w:rPr>
        <w:t>Brushing Test</w:t>
      </w:r>
    </w:p>
    <w:p w14:paraId="41F61807" w14:textId="77777777" w:rsidR="00FA056C" w:rsidRDefault="00FA056C">
      <w:pPr>
        <w:pBdr>
          <w:top w:val="nil"/>
          <w:left w:val="nil"/>
          <w:bottom w:val="nil"/>
          <w:right w:val="nil"/>
          <w:between w:val="nil"/>
        </w:pBdr>
        <w:jc w:val="both"/>
        <w:rPr>
          <w:rFonts w:ascii="Arial" w:eastAsia="Arial" w:hAnsi="Arial" w:cs="Arial"/>
        </w:rPr>
      </w:pPr>
    </w:p>
    <w:p w14:paraId="1904A0B5"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Soft nylon-bristled toothbrushes (Medfio Indústria e Comércio de Artigos Odontológicos Ltda., Pinhais, Paraná, Brazil) were used for the test. Each brush contained 34 individual tufts. The handles were removed to facilitate adaptation to the brushing machine supports. Before and after the simulated brushing, the specimens were placed in an ultrasonic bath (Ultracleaner 1400, Unique, Indaiatuba, São Paulo, Brazil) for 5 minutes. A simulation of five years of hygiene for the heat-polymerized resin specimens was performed using a brushing machine (Elquip – MSEI, São Carlos, São Paulo, Brazil). In this simulation, 12 months of brushing corresponded to 17,800 cycles. Brushing strokes were applied under a 200 g load, with a movement amplitude set to 20 mm and a speed of 4.5 strokes per second. Every 30 seconds, the tested substance was dispensed onto the specimens for 4 seconds. Throughout the test, the machine temperature was maintained at 37°C.</w:t>
      </w:r>
    </w:p>
    <w:p w14:paraId="61960343" w14:textId="77777777" w:rsidR="00FA056C" w:rsidRDefault="00FA056C">
      <w:pPr>
        <w:pBdr>
          <w:top w:val="nil"/>
          <w:left w:val="nil"/>
          <w:bottom w:val="nil"/>
          <w:right w:val="nil"/>
          <w:between w:val="nil"/>
        </w:pBdr>
        <w:jc w:val="both"/>
        <w:rPr>
          <w:rFonts w:ascii="Arial" w:eastAsia="Arial" w:hAnsi="Arial" w:cs="Arial"/>
        </w:rPr>
      </w:pPr>
    </w:p>
    <w:p w14:paraId="5308146E"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To simulate the diluting effect of saliva in the oral cavity and reduce friction, a suspension was prepared by mixing 100 ml of distilled water with 100 ml of each dentifrice, creating a 1:1 ratio maintained at room temperature. After dilution, the solution was loaded into 20 ml syringes and connected to the brushing machine.</w:t>
      </w:r>
    </w:p>
    <w:p w14:paraId="780499CC" w14:textId="77777777" w:rsidR="00FA056C" w:rsidRDefault="00FA056C">
      <w:pPr>
        <w:pBdr>
          <w:top w:val="nil"/>
          <w:left w:val="nil"/>
          <w:bottom w:val="nil"/>
          <w:right w:val="nil"/>
          <w:between w:val="nil"/>
        </w:pBdr>
        <w:jc w:val="both"/>
        <w:rPr>
          <w:rFonts w:ascii="Arial" w:eastAsia="Arial" w:hAnsi="Arial" w:cs="Arial"/>
        </w:rPr>
      </w:pPr>
    </w:p>
    <w:p w14:paraId="638D1F25" w14:textId="77777777" w:rsidR="00FA056C" w:rsidRDefault="00000000">
      <w:pPr>
        <w:jc w:val="both"/>
        <w:rPr>
          <w:rFonts w:ascii="Arial" w:eastAsia="Arial" w:hAnsi="Arial" w:cs="Arial"/>
          <w:b/>
          <w:sz w:val="22"/>
          <w:szCs w:val="22"/>
        </w:rPr>
      </w:pPr>
      <w:r>
        <w:rPr>
          <w:rFonts w:ascii="Arial" w:eastAsia="Arial" w:hAnsi="Arial" w:cs="Arial"/>
          <w:b/>
          <w:smallCaps/>
          <w:sz w:val="22"/>
          <w:szCs w:val="22"/>
        </w:rPr>
        <w:t xml:space="preserve">2.6 </w:t>
      </w:r>
      <w:r>
        <w:rPr>
          <w:rFonts w:ascii="Arial" w:eastAsia="Arial" w:hAnsi="Arial" w:cs="Arial"/>
          <w:b/>
          <w:sz w:val="22"/>
          <w:szCs w:val="22"/>
        </w:rPr>
        <w:t>Color Stability Test</w:t>
      </w:r>
    </w:p>
    <w:p w14:paraId="37F0A7FB" w14:textId="77777777" w:rsidR="00FA056C" w:rsidRDefault="00FA056C">
      <w:pPr>
        <w:jc w:val="both"/>
        <w:rPr>
          <w:rFonts w:ascii="Arial" w:eastAsia="Arial" w:hAnsi="Arial" w:cs="Arial"/>
          <w:b/>
          <w:sz w:val="22"/>
          <w:szCs w:val="22"/>
        </w:rPr>
      </w:pPr>
    </w:p>
    <w:p w14:paraId="26692459"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Color evaluation was performed using a portable spectrophotometer (Vita Easyshade, Vita Zahnfabrik H. Rauter GmbH &amp; Co, Germany). This device quantified the color differences, represented as ΔE. The formula for ΔE is given by: ΔE = [(ΔL*)² + (Δa*)² + (Δb*)²]¹ᐟ². In this equation, L* indicates lightness; a* represents red-green chromaticity; and b* denotes yellow-blue chromaticity.**</w:t>
      </w:r>
    </w:p>
    <w:p w14:paraId="2AA42DD8" w14:textId="77777777" w:rsidR="00FA056C" w:rsidRDefault="00FA056C">
      <w:pPr>
        <w:pBdr>
          <w:top w:val="nil"/>
          <w:left w:val="nil"/>
          <w:bottom w:val="nil"/>
          <w:right w:val="nil"/>
          <w:between w:val="nil"/>
        </w:pBdr>
        <w:jc w:val="both"/>
        <w:rPr>
          <w:rFonts w:ascii="Arial" w:eastAsia="Arial" w:hAnsi="Arial" w:cs="Arial"/>
        </w:rPr>
      </w:pPr>
    </w:p>
    <w:p w14:paraId="777F8431"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The color difference of each specimen was determined based on the observation standard recommended by the CIE (Commission Internationale de l'Éclairage, 1978), comparing post-brushing changes with their initial characteristics. To ensure consistent readings and minimize ambient light interference, a condensation silicone mold (Reflexdenso, Yller Biomateriais S/A, Pelotas, RS, Brazil) and a white background screen were used, focusing the measurement on the center of each specimen.</w:t>
      </w:r>
    </w:p>
    <w:p w14:paraId="71FF4C00" w14:textId="77777777" w:rsidR="00FA056C" w:rsidRDefault="00FA056C">
      <w:pPr>
        <w:pBdr>
          <w:top w:val="nil"/>
          <w:left w:val="nil"/>
          <w:bottom w:val="nil"/>
          <w:right w:val="nil"/>
          <w:between w:val="nil"/>
        </w:pBdr>
        <w:jc w:val="both"/>
        <w:rPr>
          <w:rFonts w:ascii="Arial" w:eastAsia="Arial" w:hAnsi="Arial" w:cs="Arial"/>
        </w:rPr>
      </w:pPr>
    </w:p>
    <w:p w14:paraId="6A13941C"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ΔE values were interpreted as follows: values below 1 were considered imperceptible to the human eye; values between 1 and 3.3 were perceptible to trained observers; and values above 3.3 were perceptible to the average observer, being classified as clinically unacceptable (Johnston et al., 2009; Ruyter et al., 1987; Seghi et al., 1989).</w:t>
      </w:r>
    </w:p>
    <w:p w14:paraId="0C25D69C" w14:textId="77777777" w:rsidR="00FA056C" w:rsidRDefault="00FA056C">
      <w:pPr>
        <w:pBdr>
          <w:top w:val="nil"/>
          <w:left w:val="nil"/>
          <w:bottom w:val="nil"/>
          <w:right w:val="nil"/>
          <w:between w:val="nil"/>
        </w:pBdr>
        <w:jc w:val="both"/>
        <w:rPr>
          <w:rFonts w:ascii="Arial" w:eastAsia="Arial" w:hAnsi="Arial" w:cs="Arial"/>
        </w:rPr>
      </w:pPr>
    </w:p>
    <w:p w14:paraId="22A6C962" w14:textId="77777777" w:rsidR="00FA056C" w:rsidRDefault="00000000">
      <w:pPr>
        <w:jc w:val="both"/>
        <w:rPr>
          <w:rFonts w:ascii="Arial" w:eastAsia="Arial" w:hAnsi="Arial" w:cs="Arial"/>
          <w:b/>
          <w:sz w:val="22"/>
          <w:szCs w:val="22"/>
        </w:rPr>
      </w:pPr>
      <w:r>
        <w:rPr>
          <w:rFonts w:ascii="Arial" w:eastAsia="Arial" w:hAnsi="Arial" w:cs="Arial"/>
          <w:b/>
          <w:smallCaps/>
          <w:sz w:val="22"/>
          <w:szCs w:val="22"/>
        </w:rPr>
        <w:t xml:space="preserve">2.7 </w:t>
      </w:r>
      <w:r>
        <w:rPr>
          <w:rFonts w:ascii="Arial" w:eastAsia="Arial" w:hAnsi="Arial" w:cs="Arial"/>
          <w:b/>
          <w:sz w:val="22"/>
          <w:szCs w:val="22"/>
        </w:rPr>
        <w:t>Evaluation of Mass</w:t>
      </w:r>
    </w:p>
    <w:p w14:paraId="73887C9B" w14:textId="77777777" w:rsidR="00FA056C" w:rsidRDefault="00FA056C">
      <w:pPr>
        <w:jc w:val="both"/>
        <w:rPr>
          <w:rFonts w:ascii="Arial" w:eastAsia="Arial" w:hAnsi="Arial" w:cs="Arial"/>
          <w:b/>
          <w:sz w:val="22"/>
          <w:szCs w:val="22"/>
        </w:rPr>
      </w:pPr>
    </w:p>
    <w:p w14:paraId="56213580" w14:textId="77777777" w:rsidR="00FA056C" w:rsidRDefault="00000000">
      <w:pPr>
        <w:pBdr>
          <w:top w:val="nil"/>
          <w:left w:val="nil"/>
          <w:bottom w:val="nil"/>
          <w:right w:val="nil"/>
          <w:between w:val="nil"/>
        </w:pBdr>
        <w:jc w:val="both"/>
        <w:rPr>
          <w:rFonts w:ascii="Arial" w:eastAsia="Arial" w:hAnsi="Arial" w:cs="Arial"/>
        </w:rPr>
      </w:pPr>
      <w:sdt>
        <w:sdtPr>
          <w:tag w:val="goog_rdk_0"/>
          <w:id w:val="1990551500"/>
        </w:sdtPr>
        <w:sdtContent>
          <w:r>
            <w:rPr>
              <w:rFonts w:ascii="Arial Unicode MS" w:eastAsia="Arial Unicode MS" w:hAnsi="Arial Unicode MS" w:cs="Arial Unicode MS"/>
            </w:rPr>
            <w:t xml:space="preserve">An electronic analytical balance (MARK 210A, Bel Engineering, Piracicaba, São Paulo, Brazil) with a sensitivity of 0.1 g was used. Before each measurement, the balance was calibrated and allowed a 30-minute warm-up period. Mass variation (Δm) was calculated in grams using the formula: Δm = m₁ − m₂, where m₁ represents the initial weight and m₂ corresponds to the post-brushing weight. Measurements were performed before and after brushing with each </w:t>
          </w:r>
          <w:r>
            <w:rPr>
              <w:rFonts w:ascii="Arial Unicode MS" w:eastAsia="Arial Unicode MS" w:hAnsi="Arial Unicode MS" w:cs="Arial Unicode MS"/>
            </w:rPr>
            <w:lastRenderedPageBreak/>
            <w:t>substance, ensuring that the specimens were previously sonicated with distilled water and dried with absorbent paper.</w:t>
          </w:r>
        </w:sdtContent>
      </w:sdt>
    </w:p>
    <w:p w14:paraId="530E5E9E" w14:textId="77777777" w:rsidR="00FA056C" w:rsidRDefault="00FA056C">
      <w:pPr>
        <w:pBdr>
          <w:top w:val="nil"/>
          <w:left w:val="nil"/>
          <w:bottom w:val="nil"/>
          <w:right w:val="nil"/>
          <w:between w:val="nil"/>
        </w:pBdr>
        <w:jc w:val="both"/>
        <w:rPr>
          <w:rFonts w:ascii="Arial" w:eastAsia="Arial" w:hAnsi="Arial" w:cs="Arial"/>
        </w:rPr>
      </w:pPr>
    </w:p>
    <w:p w14:paraId="6950BB8C" w14:textId="77777777" w:rsidR="00FA056C" w:rsidRDefault="00000000">
      <w:pPr>
        <w:jc w:val="both"/>
        <w:rPr>
          <w:rFonts w:ascii="Arial" w:eastAsia="Arial" w:hAnsi="Arial" w:cs="Arial"/>
          <w:b/>
          <w:sz w:val="22"/>
          <w:szCs w:val="22"/>
        </w:rPr>
      </w:pPr>
      <w:r>
        <w:rPr>
          <w:rFonts w:ascii="Arial" w:eastAsia="Arial" w:hAnsi="Arial" w:cs="Arial"/>
          <w:b/>
          <w:smallCaps/>
          <w:sz w:val="22"/>
          <w:szCs w:val="22"/>
        </w:rPr>
        <w:t xml:space="preserve">2.8 </w:t>
      </w:r>
      <w:r>
        <w:rPr>
          <w:rFonts w:ascii="Arial" w:eastAsia="Arial" w:hAnsi="Arial" w:cs="Arial"/>
          <w:b/>
          <w:sz w:val="22"/>
          <w:szCs w:val="22"/>
        </w:rPr>
        <w:t>Surface Roughness</w:t>
      </w:r>
    </w:p>
    <w:p w14:paraId="5937D621" w14:textId="77777777" w:rsidR="00FA056C" w:rsidRDefault="00FA056C">
      <w:pPr>
        <w:jc w:val="both"/>
        <w:rPr>
          <w:rFonts w:ascii="Arial" w:eastAsia="Arial" w:hAnsi="Arial" w:cs="Arial"/>
          <w:b/>
          <w:sz w:val="22"/>
          <w:szCs w:val="22"/>
        </w:rPr>
      </w:pPr>
    </w:p>
    <w:p w14:paraId="4E1E9BE2"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Surface roughness was measured using a benchtop profilometer (T1000, Hommel Tester, Hommelwerke, Gbh, Schwenningen, Schwarzwald-Baar, Germany), which moved a diamond tip with a 5 μm radius along a 4.8 mm path for 10 seconds. Each specimen underwent three roughness (Ra) measurements on the flattest surface. The arithmetic mean of these readings was considered as the statistical unit (Sartori et al., 2008).</w:t>
      </w:r>
    </w:p>
    <w:p w14:paraId="074F1C86" w14:textId="77777777" w:rsidR="00FA056C" w:rsidRDefault="00FA056C">
      <w:pPr>
        <w:pBdr>
          <w:top w:val="nil"/>
          <w:left w:val="nil"/>
          <w:bottom w:val="nil"/>
          <w:right w:val="nil"/>
          <w:between w:val="nil"/>
        </w:pBdr>
        <w:jc w:val="both"/>
        <w:rPr>
          <w:rFonts w:ascii="Arial" w:eastAsia="Arial" w:hAnsi="Arial" w:cs="Arial"/>
        </w:rPr>
      </w:pPr>
    </w:p>
    <w:p w14:paraId="0105F7FB" w14:textId="77777777" w:rsidR="00FA056C" w:rsidRDefault="00000000">
      <w:pPr>
        <w:jc w:val="both"/>
        <w:rPr>
          <w:rFonts w:ascii="Arial" w:eastAsia="Arial" w:hAnsi="Arial" w:cs="Arial"/>
          <w:b/>
          <w:sz w:val="22"/>
          <w:szCs w:val="22"/>
        </w:rPr>
      </w:pPr>
      <w:r>
        <w:rPr>
          <w:rFonts w:ascii="Arial" w:eastAsia="Arial" w:hAnsi="Arial" w:cs="Arial"/>
          <w:b/>
          <w:smallCaps/>
          <w:sz w:val="22"/>
          <w:szCs w:val="22"/>
        </w:rPr>
        <w:t xml:space="preserve">2.9 </w:t>
      </w:r>
      <w:r>
        <w:rPr>
          <w:rFonts w:ascii="Arial" w:eastAsia="Arial" w:hAnsi="Arial" w:cs="Arial"/>
          <w:b/>
          <w:sz w:val="22"/>
          <w:szCs w:val="22"/>
        </w:rPr>
        <w:t>Microhardness Knoop</w:t>
      </w:r>
    </w:p>
    <w:p w14:paraId="5D070D9B" w14:textId="77777777" w:rsidR="00FA056C" w:rsidRDefault="00FA056C">
      <w:pPr>
        <w:jc w:val="both"/>
        <w:rPr>
          <w:rFonts w:ascii="Arial" w:eastAsia="Arial" w:hAnsi="Arial" w:cs="Arial"/>
          <w:b/>
          <w:sz w:val="22"/>
          <w:szCs w:val="22"/>
        </w:rPr>
      </w:pPr>
    </w:p>
    <w:p w14:paraId="72A1E0B4"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Microhardness levels were evaluated using a microhardness tester (FM-ARS 9000 and FM-100, Future-Tech Corp., Kawasaki, Kanagawa, Japan) connected to a computer with image analysis software. Each specimen was subjected to a calibrated vertical load of 10 g for 5 seconds. Five random indentations were made on each specimen. The mean values of the control group were calculated for subsequent comparison with the means of the experimental group (Carvalho-Neto et al., 2021).</w:t>
      </w:r>
    </w:p>
    <w:p w14:paraId="47364630" w14:textId="77777777" w:rsidR="00FA056C" w:rsidRDefault="00FA056C">
      <w:pPr>
        <w:pBdr>
          <w:top w:val="nil"/>
          <w:left w:val="nil"/>
          <w:bottom w:val="nil"/>
          <w:right w:val="nil"/>
          <w:between w:val="nil"/>
        </w:pBdr>
        <w:jc w:val="both"/>
        <w:rPr>
          <w:rFonts w:ascii="Arial" w:eastAsia="Arial" w:hAnsi="Arial" w:cs="Arial"/>
        </w:rPr>
      </w:pPr>
    </w:p>
    <w:p w14:paraId="082F6F64" w14:textId="77777777" w:rsidR="00FA056C" w:rsidRDefault="00000000">
      <w:pPr>
        <w:jc w:val="both"/>
        <w:rPr>
          <w:rFonts w:ascii="Arial" w:eastAsia="Arial" w:hAnsi="Arial" w:cs="Arial"/>
          <w:b/>
          <w:sz w:val="22"/>
          <w:szCs w:val="22"/>
        </w:rPr>
      </w:pPr>
      <w:r>
        <w:rPr>
          <w:rFonts w:ascii="Arial" w:eastAsia="Arial" w:hAnsi="Arial" w:cs="Arial"/>
          <w:b/>
          <w:smallCaps/>
          <w:sz w:val="22"/>
          <w:szCs w:val="22"/>
        </w:rPr>
        <w:t xml:space="preserve">2.10 </w:t>
      </w:r>
      <w:r>
        <w:rPr>
          <w:rFonts w:ascii="Arial" w:eastAsia="Arial" w:hAnsi="Arial" w:cs="Arial"/>
          <w:b/>
          <w:sz w:val="22"/>
          <w:szCs w:val="22"/>
        </w:rPr>
        <w:t>Statistical Analysis</w:t>
      </w:r>
    </w:p>
    <w:p w14:paraId="1ED0FB8A" w14:textId="77777777" w:rsidR="00FA056C" w:rsidRDefault="00FA056C">
      <w:pPr>
        <w:jc w:val="both"/>
        <w:rPr>
          <w:rFonts w:ascii="Arial" w:eastAsia="Arial" w:hAnsi="Arial" w:cs="Arial"/>
          <w:b/>
          <w:sz w:val="22"/>
          <w:szCs w:val="22"/>
        </w:rPr>
      </w:pPr>
    </w:p>
    <w:p w14:paraId="524E970D" w14:textId="77777777" w:rsidR="00FA056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Data obtained from surface roughness, Knoop microhardness, color change, and mass variation tests were tabulated in Microsoft Excel and transferred to GraphPad Prism 5.0 for statistical analysis. A 95% confidence level and a significance threshold of </w:t>
      </w:r>
      <w:r>
        <w:rPr>
          <w:rFonts w:ascii="Arial" w:eastAsia="Arial" w:hAnsi="Arial" w:cs="Arial"/>
          <w:i/>
        </w:rPr>
        <w:t xml:space="preserve">P </w:t>
      </w:r>
      <w:r>
        <w:rPr>
          <w:rFonts w:ascii="Arial" w:eastAsia="Arial" w:hAnsi="Arial" w:cs="Arial"/>
        </w:rPr>
        <w:t>&lt; 0.05 were adopted. After verifying data normality using the Kolmogorov-Smirnov test, results were expressed as mean values with standard errors. The data were analyzed by repeated-measures ANOVA, followed by Bonferroni post hoc tests.</w:t>
      </w:r>
    </w:p>
    <w:p w14:paraId="2C05B739" w14:textId="77777777" w:rsidR="00FA056C" w:rsidRDefault="00FA056C">
      <w:pPr>
        <w:pBdr>
          <w:top w:val="nil"/>
          <w:left w:val="nil"/>
          <w:bottom w:val="nil"/>
          <w:right w:val="nil"/>
          <w:between w:val="nil"/>
        </w:pBdr>
        <w:jc w:val="both"/>
        <w:rPr>
          <w:rFonts w:ascii="Arial" w:eastAsia="Arial" w:hAnsi="Arial" w:cs="Arial"/>
          <w:color w:val="000000"/>
        </w:rPr>
      </w:pPr>
    </w:p>
    <w:p w14:paraId="7252D5F4" w14:textId="77777777" w:rsidR="00FA056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RESULTS AND DISCUSSION</w:t>
      </w:r>
    </w:p>
    <w:p w14:paraId="6EE6E015" w14:textId="77777777" w:rsidR="00FA056C" w:rsidRDefault="00FA056C">
      <w:pPr>
        <w:keepNext/>
        <w:pBdr>
          <w:top w:val="nil"/>
          <w:left w:val="nil"/>
          <w:bottom w:val="nil"/>
          <w:right w:val="nil"/>
          <w:between w:val="nil"/>
        </w:pBdr>
        <w:jc w:val="both"/>
        <w:rPr>
          <w:rFonts w:ascii="Arial" w:eastAsia="Arial" w:hAnsi="Arial" w:cs="Arial"/>
          <w:b/>
          <w:smallCaps/>
          <w:sz w:val="22"/>
          <w:szCs w:val="22"/>
        </w:rPr>
      </w:pPr>
    </w:p>
    <w:p w14:paraId="2A2F7BF1" w14:textId="77777777" w:rsidR="00FA056C" w:rsidRDefault="00000000">
      <w:pPr>
        <w:jc w:val="both"/>
        <w:rPr>
          <w:rFonts w:ascii="Arial" w:eastAsia="Arial" w:hAnsi="Arial" w:cs="Arial"/>
          <w:b/>
          <w:smallCaps/>
          <w:sz w:val="22"/>
          <w:szCs w:val="22"/>
        </w:rPr>
      </w:pPr>
      <w:r>
        <w:rPr>
          <w:rFonts w:ascii="Arial" w:eastAsia="Arial" w:hAnsi="Arial" w:cs="Arial"/>
          <w:b/>
          <w:smallCaps/>
          <w:sz w:val="22"/>
          <w:szCs w:val="22"/>
        </w:rPr>
        <w:t xml:space="preserve">3.1 </w:t>
      </w:r>
      <w:r>
        <w:rPr>
          <w:rFonts w:ascii="Arial" w:eastAsia="Arial" w:hAnsi="Arial" w:cs="Arial"/>
          <w:b/>
          <w:sz w:val="22"/>
          <w:szCs w:val="22"/>
        </w:rPr>
        <w:t>Results</w:t>
      </w:r>
    </w:p>
    <w:p w14:paraId="7AB29F32" w14:textId="77777777" w:rsidR="00FA056C" w:rsidRDefault="00FA056C">
      <w:pPr>
        <w:keepNext/>
        <w:pBdr>
          <w:top w:val="nil"/>
          <w:left w:val="nil"/>
          <w:bottom w:val="nil"/>
          <w:right w:val="nil"/>
          <w:between w:val="nil"/>
        </w:pBdr>
        <w:jc w:val="both"/>
        <w:rPr>
          <w:rFonts w:ascii="Arial" w:eastAsia="Arial" w:hAnsi="Arial" w:cs="Arial"/>
          <w:b/>
          <w:smallCaps/>
          <w:sz w:val="22"/>
          <w:szCs w:val="22"/>
        </w:rPr>
      </w:pPr>
    </w:p>
    <w:p w14:paraId="3192286B" w14:textId="77777777" w:rsidR="00FA056C" w:rsidRDefault="00000000">
      <w:pPr>
        <w:jc w:val="both"/>
        <w:rPr>
          <w:rFonts w:ascii="Arial" w:eastAsia="Arial" w:hAnsi="Arial" w:cs="Arial"/>
        </w:rPr>
      </w:pPr>
      <w:r>
        <w:rPr>
          <w:rFonts w:ascii="Arial" w:eastAsia="Arial" w:hAnsi="Arial" w:cs="Arial"/>
          <w:b/>
          <w:smallCaps/>
          <w:sz w:val="22"/>
          <w:szCs w:val="22"/>
        </w:rPr>
        <w:t xml:space="preserve">3.1.1 </w:t>
      </w:r>
      <w:r>
        <w:rPr>
          <w:rFonts w:ascii="Arial" w:eastAsia="Arial" w:hAnsi="Arial" w:cs="Arial"/>
          <w:b/>
          <w:sz w:val="22"/>
          <w:szCs w:val="22"/>
        </w:rPr>
        <w:t>Evaluation of Mass</w:t>
      </w:r>
    </w:p>
    <w:p w14:paraId="4F255009" w14:textId="77777777" w:rsidR="00FA056C" w:rsidRDefault="00FA056C">
      <w:pPr>
        <w:keepNext/>
        <w:pBdr>
          <w:top w:val="nil"/>
          <w:left w:val="nil"/>
          <w:bottom w:val="nil"/>
          <w:right w:val="nil"/>
          <w:between w:val="nil"/>
        </w:pBdr>
        <w:jc w:val="both"/>
        <w:rPr>
          <w:rFonts w:ascii="Arial" w:eastAsia="Arial" w:hAnsi="Arial" w:cs="Arial"/>
          <w:b/>
          <w:smallCaps/>
          <w:sz w:val="22"/>
          <w:szCs w:val="22"/>
        </w:rPr>
      </w:pPr>
    </w:p>
    <w:p w14:paraId="657C47D4"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Table 1 presents the mass results recorded before and after the simulated brushing over a period corresponding to 60 months. No statistically significant differences in mass loss were observed among the experimental groups (</w:t>
      </w:r>
      <w:r>
        <w:rPr>
          <w:rFonts w:ascii="Arial" w:eastAsia="Arial" w:hAnsi="Arial" w:cs="Arial"/>
          <w:i/>
        </w:rPr>
        <w:t>P</w:t>
      </w:r>
      <w:r>
        <w:rPr>
          <w:rFonts w:ascii="Arial" w:eastAsia="Arial" w:hAnsi="Arial" w:cs="Arial"/>
        </w:rPr>
        <w:t xml:space="preserve"> = 0.560).</w:t>
      </w:r>
    </w:p>
    <w:p w14:paraId="6BDC72B2" w14:textId="77777777" w:rsidR="00FA056C" w:rsidRDefault="00FA056C">
      <w:pPr>
        <w:pBdr>
          <w:top w:val="nil"/>
          <w:left w:val="nil"/>
          <w:bottom w:val="nil"/>
          <w:right w:val="nil"/>
          <w:between w:val="nil"/>
        </w:pBdr>
        <w:jc w:val="both"/>
        <w:rPr>
          <w:rFonts w:ascii="Arial" w:eastAsia="Arial" w:hAnsi="Arial" w:cs="Arial"/>
        </w:rPr>
      </w:pPr>
    </w:p>
    <w:p w14:paraId="0328F8F9" w14:textId="77777777" w:rsidR="00FA056C" w:rsidRDefault="00000000">
      <w:pPr>
        <w:spacing w:line="360" w:lineRule="auto"/>
        <w:jc w:val="both"/>
        <w:rPr>
          <w:rFonts w:ascii="Arial" w:eastAsia="Arial" w:hAnsi="Arial" w:cs="Arial"/>
          <w:b/>
        </w:rPr>
      </w:pPr>
      <w:r>
        <w:rPr>
          <w:rFonts w:ascii="Arial" w:eastAsia="Arial" w:hAnsi="Arial" w:cs="Arial"/>
          <w:b/>
        </w:rPr>
        <w:t>Table 1. Means and standard deviation of mass, in grams, according to the treatment and time.</w:t>
      </w:r>
    </w:p>
    <w:p w14:paraId="55E427EC" w14:textId="77777777" w:rsidR="00FA056C" w:rsidRDefault="00000000">
      <w:pPr>
        <w:pStyle w:val="Ttulo1"/>
        <w:keepNext w:val="0"/>
        <w:spacing w:before="0" w:after="0"/>
        <w:ind w:left="2340" w:right="2040"/>
        <w:jc w:val="center"/>
        <w:rPr>
          <w:sz w:val="20"/>
          <w:szCs w:val="20"/>
        </w:rPr>
      </w:pPr>
      <w:bookmarkStart w:id="1" w:name="_heading=h.a2qev2o4xe5v" w:colFirst="0" w:colLast="0"/>
      <w:bookmarkEnd w:id="1"/>
      <w:r>
        <w:rPr>
          <w:sz w:val="20"/>
          <w:szCs w:val="20"/>
        </w:rPr>
        <w:t>Time</w:t>
      </w:r>
    </w:p>
    <w:tbl>
      <w:tblPr>
        <w:tblStyle w:val="af"/>
        <w:tblW w:w="8280" w:type="dxa"/>
        <w:tblBorders>
          <w:top w:val="nil"/>
          <w:left w:val="nil"/>
          <w:bottom w:val="nil"/>
          <w:right w:val="nil"/>
          <w:insideH w:val="nil"/>
          <w:insideV w:val="nil"/>
        </w:tblBorders>
        <w:tblLayout w:type="fixed"/>
        <w:tblLook w:val="0600" w:firstRow="0" w:lastRow="0" w:firstColumn="0" w:lastColumn="0" w:noHBand="1" w:noVBand="1"/>
      </w:tblPr>
      <w:tblGrid>
        <w:gridCol w:w="1500"/>
        <w:gridCol w:w="1365"/>
        <w:gridCol w:w="1380"/>
        <w:gridCol w:w="1410"/>
        <w:gridCol w:w="1395"/>
        <w:gridCol w:w="1230"/>
      </w:tblGrid>
      <w:tr w:rsidR="00FA056C" w14:paraId="453388FC" w14:textId="77777777">
        <w:trPr>
          <w:trHeight w:val="304"/>
        </w:trPr>
        <w:tc>
          <w:tcPr>
            <w:tcW w:w="1500" w:type="dxa"/>
            <w:tcBorders>
              <w:top w:val="nil"/>
              <w:left w:val="nil"/>
              <w:bottom w:val="single" w:sz="6" w:space="0" w:color="000000"/>
              <w:right w:val="nil"/>
            </w:tcBorders>
            <w:tcMar>
              <w:top w:w="0" w:type="dxa"/>
              <w:left w:w="0" w:type="dxa"/>
              <w:bottom w:w="0" w:type="dxa"/>
              <w:right w:w="0" w:type="dxa"/>
            </w:tcMar>
          </w:tcPr>
          <w:p w14:paraId="2CDC5CCF" w14:textId="77777777" w:rsidR="00FA056C" w:rsidRDefault="00000000">
            <w:pPr>
              <w:ind w:left="120"/>
              <w:rPr>
                <w:rFonts w:ascii="Arial" w:eastAsia="Arial" w:hAnsi="Arial" w:cs="Arial"/>
              </w:rPr>
            </w:pPr>
            <w:r>
              <w:rPr>
                <w:rFonts w:ascii="Arial" w:eastAsia="Arial" w:hAnsi="Arial" w:cs="Arial"/>
              </w:rPr>
              <w:t xml:space="preserve"> </w:t>
            </w:r>
          </w:p>
        </w:tc>
        <w:tc>
          <w:tcPr>
            <w:tcW w:w="1365" w:type="dxa"/>
            <w:tcBorders>
              <w:top w:val="single" w:sz="6" w:space="0" w:color="000000"/>
              <w:left w:val="nil"/>
              <w:bottom w:val="single" w:sz="6" w:space="0" w:color="000000"/>
              <w:right w:val="nil"/>
            </w:tcBorders>
            <w:tcMar>
              <w:top w:w="0" w:type="dxa"/>
              <w:left w:w="0" w:type="dxa"/>
              <w:bottom w:w="0" w:type="dxa"/>
              <w:right w:w="0" w:type="dxa"/>
            </w:tcMar>
          </w:tcPr>
          <w:p w14:paraId="1CE1340A" w14:textId="77777777" w:rsidR="00FA056C" w:rsidRDefault="00000000">
            <w:pPr>
              <w:ind w:left="160" w:right="40"/>
              <w:jc w:val="center"/>
              <w:rPr>
                <w:rFonts w:ascii="Arial" w:eastAsia="Arial" w:hAnsi="Arial" w:cs="Arial"/>
                <w:b/>
              </w:rPr>
            </w:pPr>
            <w:r>
              <w:rPr>
                <w:rFonts w:ascii="Arial" w:eastAsia="Arial" w:hAnsi="Arial" w:cs="Arial"/>
                <w:b/>
              </w:rPr>
              <w:t>T0</w:t>
            </w:r>
          </w:p>
        </w:tc>
        <w:tc>
          <w:tcPr>
            <w:tcW w:w="1380" w:type="dxa"/>
            <w:tcBorders>
              <w:top w:val="single" w:sz="6" w:space="0" w:color="000000"/>
              <w:left w:val="nil"/>
              <w:bottom w:val="single" w:sz="6" w:space="0" w:color="000000"/>
              <w:right w:val="nil"/>
            </w:tcBorders>
            <w:tcMar>
              <w:top w:w="0" w:type="dxa"/>
              <w:left w:w="0" w:type="dxa"/>
              <w:bottom w:w="0" w:type="dxa"/>
              <w:right w:w="0" w:type="dxa"/>
            </w:tcMar>
          </w:tcPr>
          <w:p w14:paraId="06961803" w14:textId="77777777" w:rsidR="00FA056C" w:rsidRDefault="00000000">
            <w:pPr>
              <w:ind w:left="220" w:right="100"/>
              <w:jc w:val="center"/>
              <w:rPr>
                <w:rFonts w:ascii="Arial" w:eastAsia="Arial" w:hAnsi="Arial" w:cs="Arial"/>
                <w:b/>
              </w:rPr>
            </w:pPr>
            <w:r>
              <w:rPr>
                <w:rFonts w:ascii="Arial" w:eastAsia="Arial" w:hAnsi="Arial" w:cs="Arial"/>
                <w:b/>
              </w:rPr>
              <w:t>T1</w:t>
            </w:r>
          </w:p>
        </w:tc>
        <w:tc>
          <w:tcPr>
            <w:tcW w:w="1410" w:type="dxa"/>
            <w:tcBorders>
              <w:top w:val="single" w:sz="6" w:space="0" w:color="000000"/>
              <w:left w:val="nil"/>
              <w:bottom w:val="single" w:sz="6" w:space="0" w:color="000000"/>
              <w:right w:val="nil"/>
            </w:tcBorders>
            <w:tcMar>
              <w:top w:w="0" w:type="dxa"/>
              <w:left w:w="0" w:type="dxa"/>
              <w:bottom w:w="0" w:type="dxa"/>
              <w:right w:w="0" w:type="dxa"/>
            </w:tcMar>
          </w:tcPr>
          <w:p w14:paraId="4723DD4B" w14:textId="77777777" w:rsidR="00FA056C" w:rsidRDefault="00000000">
            <w:pPr>
              <w:ind w:left="240" w:right="100"/>
              <w:jc w:val="center"/>
              <w:rPr>
                <w:rFonts w:ascii="Arial" w:eastAsia="Arial" w:hAnsi="Arial" w:cs="Arial"/>
                <w:b/>
              </w:rPr>
            </w:pPr>
            <w:r>
              <w:rPr>
                <w:rFonts w:ascii="Arial" w:eastAsia="Arial" w:hAnsi="Arial" w:cs="Arial"/>
                <w:b/>
              </w:rPr>
              <w:t>T2</w:t>
            </w:r>
          </w:p>
        </w:tc>
        <w:tc>
          <w:tcPr>
            <w:tcW w:w="1395" w:type="dxa"/>
            <w:tcBorders>
              <w:top w:val="single" w:sz="6" w:space="0" w:color="000000"/>
              <w:left w:val="nil"/>
              <w:bottom w:val="single" w:sz="6" w:space="0" w:color="000000"/>
              <w:right w:val="nil"/>
            </w:tcBorders>
            <w:tcMar>
              <w:top w:w="0" w:type="dxa"/>
              <w:left w:w="0" w:type="dxa"/>
              <w:bottom w:w="0" w:type="dxa"/>
              <w:right w:w="0" w:type="dxa"/>
            </w:tcMar>
          </w:tcPr>
          <w:p w14:paraId="45ED548C" w14:textId="77777777" w:rsidR="00FA056C" w:rsidRDefault="00000000">
            <w:pPr>
              <w:ind w:left="240" w:right="100"/>
              <w:jc w:val="center"/>
              <w:rPr>
                <w:rFonts w:ascii="Arial" w:eastAsia="Arial" w:hAnsi="Arial" w:cs="Arial"/>
                <w:b/>
              </w:rPr>
            </w:pPr>
            <w:r>
              <w:rPr>
                <w:rFonts w:ascii="Arial" w:eastAsia="Arial" w:hAnsi="Arial" w:cs="Arial"/>
                <w:b/>
              </w:rPr>
              <w:t>T3</w:t>
            </w:r>
          </w:p>
        </w:tc>
        <w:tc>
          <w:tcPr>
            <w:tcW w:w="1230" w:type="dxa"/>
            <w:tcBorders>
              <w:top w:val="nil"/>
              <w:left w:val="nil"/>
              <w:bottom w:val="single" w:sz="6" w:space="0" w:color="000000"/>
              <w:right w:val="nil"/>
            </w:tcBorders>
            <w:tcMar>
              <w:top w:w="0" w:type="dxa"/>
              <w:left w:w="0" w:type="dxa"/>
              <w:bottom w:w="0" w:type="dxa"/>
              <w:right w:w="0" w:type="dxa"/>
            </w:tcMar>
          </w:tcPr>
          <w:p w14:paraId="3CD15195" w14:textId="77777777" w:rsidR="00FA056C" w:rsidRDefault="00000000">
            <w:pPr>
              <w:ind w:left="280" w:right="160"/>
              <w:jc w:val="both"/>
              <w:rPr>
                <w:rFonts w:ascii="Arial" w:eastAsia="Arial" w:hAnsi="Arial" w:cs="Arial"/>
                <w:b/>
              </w:rPr>
            </w:pPr>
            <w:r>
              <w:rPr>
                <w:rFonts w:ascii="Arial" w:eastAsia="Arial" w:hAnsi="Arial" w:cs="Arial"/>
                <w:b/>
                <w:i/>
              </w:rPr>
              <w:t>P</w:t>
            </w:r>
            <w:r>
              <w:rPr>
                <w:rFonts w:ascii="Arial" w:eastAsia="Arial" w:hAnsi="Arial" w:cs="Arial"/>
                <w:b/>
              </w:rPr>
              <w:t>-Value</w:t>
            </w:r>
          </w:p>
        </w:tc>
      </w:tr>
      <w:tr w:rsidR="00FA056C" w14:paraId="494C4E34" w14:textId="77777777">
        <w:trPr>
          <w:trHeight w:val="375"/>
        </w:trPr>
        <w:tc>
          <w:tcPr>
            <w:tcW w:w="1500" w:type="dxa"/>
            <w:tcBorders>
              <w:top w:val="nil"/>
              <w:left w:val="nil"/>
              <w:bottom w:val="nil"/>
              <w:right w:val="nil"/>
            </w:tcBorders>
            <w:tcMar>
              <w:top w:w="0" w:type="dxa"/>
              <w:left w:w="0" w:type="dxa"/>
              <w:bottom w:w="0" w:type="dxa"/>
              <w:right w:w="0" w:type="dxa"/>
            </w:tcMar>
          </w:tcPr>
          <w:p w14:paraId="651B0CCD" w14:textId="77777777" w:rsidR="00FA056C" w:rsidRDefault="00000000">
            <w:pPr>
              <w:ind w:left="200"/>
              <w:rPr>
                <w:rFonts w:ascii="Arial" w:eastAsia="Arial" w:hAnsi="Arial" w:cs="Arial"/>
                <w:b/>
              </w:rPr>
            </w:pPr>
            <w:r>
              <w:rPr>
                <w:rFonts w:ascii="Arial" w:eastAsia="Arial" w:hAnsi="Arial" w:cs="Arial"/>
                <w:b/>
              </w:rPr>
              <w:t>Mass</w:t>
            </w:r>
          </w:p>
        </w:tc>
        <w:tc>
          <w:tcPr>
            <w:tcW w:w="1365" w:type="dxa"/>
            <w:tcBorders>
              <w:top w:val="nil"/>
              <w:left w:val="nil"/>
              <w:bottom w:val="nil"/>
              <w:right w:val="nil"/>
            </w:tcBorders>
            <w:tcMar>
              <w:top w:w="0" w:type="dxa"/>
              <w:left w:w="0" w:type="dxa"/>
              <w:bottom w:w="0" w:type="dxa"/>
              <w:right w:w="0" w:type="dxa"/>
            </w:tcMar>
          </w:tcPr>
          <w:p w14:paraId="59C70BD5" w14:textId="77777777" w:rsidR="00FA056C" w:rsidRDefault="00000000">
            <w:pPr>
              <w:ind w:left="120"/>
              <w:rPr>
                <w:rFonts w:ascii="Arial" w:eastAsia="Arial" w:hAnsi="Arial" w:cs="Arial"/>
              </w:rPr>
            </w:pPr>
            <w:r>
              <w:rPr>
                <w:rFonts w:ascii="Arial" w:eastAsia="Arial" w:hAnsi="Arial" w:cs="Arial"/>
              </w:rPr>
              <w:t xml:space="preserve"> </w:t>
            </w:r>
          </w:p>
        </w:tc>
        <w:tc>
          <w:tcPr>
            <w:tcW w:w="1380" w:type="dxa"/>
            <w:tcBorders>
              <w:top w:val="nil"/>
              <w:left w:val="nil"/>
              <w:bottom w:val="nil"/>
              <w:right w:val="nil"/>
            </w:tcBorders>
            <w:tcMar>
              <w:top w:w="0" w:type="dxa"/>
              <w:left w:w="0" w:type="dxa"/>
              <w:bottom w:w="0" w:type="dxa"/>
              <w:right w:w="0" w:type="dxa"/>
            </w:tcMar>
          </w:tcPr>
          <w:p w14:paraId="441DD1C8" w14:textId="77777777" w:rsidR="00FA056C" w:rsidRDefault="00000000">
            <w:pPr>
              <w:ind w:left="120"/>
              <w:rPr>
                <w:rFonts w:ascii="Arial" w:eastAsia="Arial" w:hAnsi="Arial" w:cs="Arial"/>
              </w:rPr>
            </w:pPr>
            <w:r>
              <w:rPr>
                <w:rFonts w:ascii="Arial" w:eastAsia="Arial" w:hAnsi="Arial" w:cs="Arial"/>
              </w:rPr>
              <w:t xml:space="preserve"> </w:t>
            </w:r>
          </w:p>
        </w:tc>
        <w:tc>
          <w:tcPr>
            <w:tcW w:w="1410" w:type="dxa"/>
            <w:tcBorders>
              <w:top w:val="nil"/>
              <w:left w:val="nil"/>
              <w:bottom w:val="nil"/>
              <w:right w:val="nil"/>
            </w:tcBorders>
            <w:tcMar>
              <w:top w:w="0" w:type="dxa"/>
              <w:left w:w="0" w:type="dxa"/>
              <w:bottom w:w="0" w:type="dxa"/>
              <w:right w:w="0" w:type="dxa"/>
            </w:tcMar>
          </w:tcPr>
          <w:p w14:paraId="4705B29C" w14:textId="77777777" w:rsidR="00FA056C" w:rsidRDefault="00000000">
            <w:pPr>
              <w:ind w:left="120"/>
              <w:rPr>
                <w:rFonts w:ascii="Arial" w:eastAsia="Arial" w:hAnsi="Arial" w:cs="Arial"/>
              </w:rPr>
            </w:pPr>
            <w:r>
              <w:rPr>
                <w:rFonts w:ascii="Arial" w:eastAsia="Arial" w:hAnsi="Arial" w:cs="Arial"/>
              </w:rPr>
              <w:t xml:space="preserve"> </w:t>
            </w:r>
          </w:p>
        </w:tc>
        <w:tc>
          <w:tcPr>
            <w:tcW w:w="1395" w:type="dxa"/>
            <w:tcBorders>
              <w:top w:val="nil"/>
              <w:left w:val="nil"/>
              <w:bottom w:val="nil"/>
              <w:right w:val="nil"/>
            </w:tcBorders>
            <w:tcMar>
              <w:top w:w="0" w:type="dxa"/>
              <w:left w:w="0" w:type="dxa"/>
              <w:bottom w:w="0" w:type="dxa"/>
              <w:right w:w="0" w:type="dxa"/>
            </w:tcMar>
          </w:tcPr>
          <w:p w14:paraId="40A1D30E" w14:textId="77777777" w:rsidR="00FA056C" w:rsidRDefault="00000000">
            <w:pPr>
              <w:ind w:left="120"/>
              <w:rPr>
                <w:rFonts w:ascii="Arial" w:eastAsia="Arial" w:hAnsi="Arial" w:cs="Arial"/>
              </w:rPr>
            </w:pPr>
            <w:r>
              <w:rPr>
                <w:rFonts w:ascii="Arial" w:eastAsia="Arial" w:hAnsi="Arial" w:cs="Arial"/>
              </w:rPr>
              <w:t xml:space="preserve"> </w:t>
            </w:r>
          </w:p>
        </w:tc>
        <w:tc>
          <w:tcPr>
            <w:tcW w:w="1230" w:type="dxa"/>
            <w:tcBorders>
              <w:top w:val="nil"/>
              <w:left w:val="nil"/>
              <w:bottom w:val="nil"/>
              <w:right w:val="nil"/>
            </w:tcBorders>
            <w:tcMar>
              <w:top w:w="0" w:type="dxa"/>
              <w:left w:w="0" w:type="dxa"/>
              <w:bottom w:w="0" w:type="dxa"/>
              <w:right w:w="0" w:type="dxa"/>
            </w:tcMar>
          </w:tcPr>
          <w:p w14:paraId="1B2A8566" w14:textId="77777777" w:rsidR="00FA056C" w:rsidRDefault="00000000">
            <w:pPr>
              <w:ind w:left="120"/>
              <w:rPr>
                <w:rFonts w:ascii="Arial" w:eastAsia="Arial" w:hAnsi="Arial" w:cs="Arial"/>
              </w:rPr>
            </w:pPr>
            <w:r>
              <w:rPr>
                <w:rFonts w:ascii="Arial" w:eastAsia="Arial" w:hAnsi="Arial" w:cs="Arial"/>
              </w:rPr>
              <w:t xml:space="preserve"> </w:t>
            </w:r>
          </w:p>
        </w:tc>
      </w:tr>
      <w:tr w:rsidR="00FA056C" w14:paraId="18AC95DF" w14:textId="77777777">
        <w:trPr>
          <w:trHeight w:val="510"/>
        </w:trPr>
        <w:tc>
          <w:tcPr>
            <w:tcW w:w="1500" w:type="dxa"/>
            <w:tcBorders>
              <w:top w:val="nil"/>
              <w:left w:val="nil"/>
              <w:bottom w:val="nil"/>
              <w:right w:val="nil"/>
            </w:tcBorders>
            <w:tcMar>
              <w:top w:w="0" w:type="dxa"/>
              <w:left w:w="0" w:type="dxa"/>
              <w:bottom w:w="0" w:type="dxa"/>
              <w:right w:w="0" w:type="dxa"/>
            </w:tcMar>
          </w:tcPr>
          <w:p w14:paraId="0F610AEB" w14:textId="77777777" w:rsidR="00FA056C" w:rsidRDefault="00000000">
            <w:pPr>
              <w:ind w:left="260"/>
              <w:rPr>
                <w:rFonts w:ascii="Arial" w:eastAsia="Arial" w:hAnsi="Arial" w:cs="Arial"/>
              </w:rPr>
            </w:pPr>
            <w:r>
              <w:rPr>
                <w:rFonts w:ascii="Arial" w:eastAsia="Arial" w:hAnsi="Arial" w:cs="Arial"/>
              </w:rPr>
              <w:t>DW</w:t>
            </w:r>
          </w:p>
        </w:tc>
        <w:tc>
          <w:tcPr>
            <w:tcW w:w="1365" w:type="dxa"/>
            <w:tcBorders>
              <w:top w:val="nil"/>
              <w:left w:val="nil"/>
              <w:bottom w:val="nil"/>
              <w:right w:val="nil"/>
            </w:tcBorders>
            <w:tcMar>
              <w:top w:w="0" w:type="dxa"/>
              <w:left w:w="0" w:type="dxa"/>
              <w:bottom w:w="0" w:type="dxa"/>
              <w:right w:w="0" w:type="dxa"/>
            </w:tcMar>
          </w:tcPr>
          <w:p w14:paraId="18EC8DAC" w14:textId="77777777" w:rsidR="00FA056C" w:rsidRDefault="00000000">
            <w:pPr>
              <w:ind w:left="160" w:right="40"/>
              <w:jc w:val="center"/>
              <w:rPr>
                <w:rFonts w:ascii="Arial" w:eastAsia="Arial" w:hAnsi="Arial" w:cs="Arial"/>
                <w:vertAlign w:val="superscript"/>
              </w:rPr>
            </w:pPr>
            <w:r>
              <w:rPr>
                <w:rFonts w:ascii="Arial" w:eastAsia="Arial" w:hAnsi="Arial" w:cs="Arial"/>
              </w:rPr>
              <w:t>3.15±0.21</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4603D115" w14:textId="77777777" w:rsidR="00FA056C" w:rsidRDefault="00000000">
            <w:pPr>
              <w:ind w:left="220" w:right="100"/>
              <w:jc w:val="center"/>
              <w:rPr>
                <w:rFonts w:ascii="Arial" w:eastAsia="Arial" w:hAnsi="Arial" w:cs="Arial"/>
                <w:vertAlign w:val="superscript"/>
              </w:rPr>
            </w:pPr>
            <w:r>
              <w:rPr>
                <w:rFonts w:ascii="Arial" w:eastAsia="Arial" w:hAnsi="Arial" w:cs="Arial"/>
              </w:rPr>
              <w:t>3.14±0.22</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1B78E50D" w14:textId="77777777" w:rsidR="00FA056C" w:rsidRDefault="00000000">
            <w:pPr>
              <w:ind w:left="240" w:right="120"/>
              <w:jc w:val="center"/>
              <w:rPr>
                <w:rFonts w:ascii="Arial" w:eastAsia="Arial" w:hAnsi="Arial" w:cs="Arial"/>
                <w:vertAlign w:val="superscript"/>
              </w:rPr>
            </w:pPr>
            <w:r>
              <w:rPr>
                <w:rFonts w:ascii="Arial" w:eastAsia="Arial" w:hAnsi="Arial" w:cs="Arial"/>
              </w:rPr>
              <w:t>3.14±0.22</w:t>
            </w:r>
            <w:r>
              <w:rPr>
                <w:rFonts w:ascii="Arial" w:eastAsia="Arial" w:hAnsi="Arial" w:cs="Arial"/>
                <w:vertAlign w:val="superscript"/>
              </w:rPr>
              <w:t>Aa</w:t>
            </w:r>
          </w:p>
        </w:tc>
        <w:tc>
          <w:tcPr>
            <w:tcW w:w="1395" w:type="dxa"/>
            <w:tcBorders>
              <w:top w:val="nil"/>
              <w:left w:val="nil"/>
              <w:bottom w:val="nil"/>
              <w:right w:val="nil"/>
            </w:tcBorders>
            <w:tcMar>
              <w:top w:w="0" w:type="dxa"/>
              <w:left w:w="0" w:type="dxa"/>
              <w:bottom w:w="0" w:type="dxa"/>
              <w:right w:w="0" w:type="dxa"/>
            </w:tcMar>
          </w:tcPr>
          <w:p w14:paraId="07F7F613" w14:textId="77777777" w:rsidR="00FA056C" w:rsidRDefault="00000000">
            <w:pPr>
              <w:ind w:left="240" w:right="120"/>
              <w:jc w:val="center"/>
              <w:rPr>
                <w:rFonts w:ascii="Arial" w:eastAsia="Arial" w:hAnsi="Arial" w:cs="Arial"/>
                <w:vertAlign w:val="superscript"/>
              </w:rPr>
            </w:pPr>
            <w:r>
              <w:rPr>
                <w:rFonts w:ascii="Arial" w:eastAsia="Arial" w:hAnsi="Arial" w:cs="Arial"/>
              </w:rPr>
              <w:t>3.14±0.22</w:t>
            </w:r>
            <w:r>
              <w:rPr>
                <w:rFonts w:ascii="Arial" w:eastAsia="Arial" w:hAnsi="Arial" w:cs="Arial"/>
                <w:vertAlign w:val="superscript"/>
              </w:rPr>
              <w:t>Aa</w:t>
            </w:r>
          </w:p>
        </w:tc>
        <w:tc>
          <w:tcPr>
            <w:tcW w:w="1230" w:type="dxa"/>
            <w:tcBorders>
              <w:top w:val="nil"/>
              <w:left w:val="nil"/>
              <w:bottom w:val="nil"/>
              <w:right w:val="nil"/>
            </w:tcBorders>
            <w:tcMar>
              <w:top w:w="0" w:type="dxa"/>
              <w:left w:w="0" w:type="dxa"/>
              <w:bottom w:w="0" w:type="dxa"/>
              <w:right w:w="0" w:type="dxa"/>
            </w:tcMar>
          </w:tcPr>
          <w:p w14:paraId="4EA7DBEB" w14:textId="77777777" w:rsidR="00FA056C" w:rsidRDefault="00000000">
            <w:pPr>
              <w:ind w:left="280" w:right="160"/>
              <w:jc w:val="center"/>
              <w:rPr>
                <w:rFonts w:ascii="Arial" w:eastAsia="Arial" w:hAnsi="Arial" w:cs="Arial"/>
              </w:rPr>
            </w:pPr>
            <w:r>
              <w:rPr>
                <w:rFonts w:ascii="Arial" w:eastAsia="Arial" w:hAnsi="Arial" w:cs="Arial"/>
              </w:rPr>
              <w:t>1.000</w:t>
            </w:r>
          </w:p>
        </w:tc>
      </w:tr>
      <w:tr w:rsidR="00FA056C" w14:paraId="5E5D2E56" w14:textId="77777777">
        <w:trPr>
          <w:trHeight w:val="510"/>
        </w:trPr>
        <w:tc>
          <w:tcPr>
            <w:tcW w:w="1500" w:type="dxa"/>
            <w:tcBorders>
              <w:top w:val="nil"/>
              <w:left w:val="nil"/>
              <w:bottom w:val="nil"/>
              <w:right w:val="nil"/>
            </w:tcBorders>
            <w:tcMar>
              <w:top w:w="0" w:type="dxa"/>
              <w:left w:w="0" w:type="dxa"/>
              <w:bottom w:w="0" w:type="dxa"/>
              <w:right w:w="0" w:type="dxa"/>
            </w:tcMar>
          </w:tcPr>
          <w:p w14:paraId="2FFE5B23" w14:textId="77777777" w:rsidR="00FA056C" w:rsidRDefault="00000000">
            <w:pPr>
              <w:ind w:left="260"/>
              <w:rPr>
                <w:rFonts w:ascii="Arial" w:eastAsia="Arial" w:hAnsi="Arial" w:cs="Arial"/>
              </w:rPr>
            </w:pPr>
            <w:r>
              <w:rPr>
                <w:rFonts w:ascii="Arial" w:eastAsia="Arial" w:hAnsi="Arial" w:cs="Arial"/>
              </w:rPr>
              <w:t>PD</w:t>
            </w:r>
          </w:p>
        </w:tc>
        <w:tc>
          <w:tcPr>
            <w:tcW w:w="1365" w:type="dxa"/>
            <w:tcBorders>
              <w:top w:val="nil"/>
              <w:left w:val="nil"/>
              <w:bottom w:val="nil"/>
              <w:right w:val="nil"/>
            </w:tcBorders>
            <w:tcMar>
              <w:top w:w="0" w:type="dxa"/>
              <w:left w:w="0" w:type="dxa"/>
              <w:bottom w:w="0" w:type="dxa"/>
              <w:right w:w="0" w:type="dxa"/>
            </w:tcMar>
          </w:tcPr>
          <w:p w14:paraId="4BFB205C" w14:textId="77777777" w:rsidR="00FA056C" w:rsidRDefault="00000000">
            <w:pPr>
              <w:ind w:left="160" w:right="40"/>
              <w:jc w:val="center"/>
              <w:rPr>
                <w:rFonts w:ascii="Arial" w:eastAsia="Arial" w:hAnsi="Arial" w:cs="Arial"/>
                <w:vertAlign w:val="superscript"/>
              </w:rPr>
            </w:pPr>
            <w:r>
              <w:rPr>
                <w:rFonts w:ascii="Arial" w:eastAsia="Arial" w:hAnsi="Arial" w:cs="Arial"/>
              </w:rPr>
              <w:t>3.13±0.22</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7C1550AB" w14:textId="77777777" w:rsidR="00FA056C" w:rsidRDefault="00000000">
            <w:pPr>
              <w:ind w:left="220" w:right="100"/>
              <w:jc w:val="center"/>
              <w:rPr>
                <w:rFonts w:ascii="Arial" w:eastAsia="Arial" w:hAnsi="Arial" w:cs="Arial"/>
                <w:vertAlign w:val="superscript"/>
              </w:rPr>
            </w:pPr>
            <w:r>
              <w:rPr>
                <w:rFonts w:ascii="Arial" w:eastAsia="Arial" w:hAnsi="Arial" w:cs="Arial"/>
              </w:rPr>
              <w:t>3.05±0.33</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58C4BBDC" w14:textId="77777777" w:rsidR="00FA056C" w:rsidRDefault="00000000">
            <w:pPr>
              <w:ind w:left="240" w:right="120"/>
              <w:jc w:val="center"/>
              <w:rPr>
                <w:rFonts w:ascii="Arial" w:eastAsia="Arial" w:hAnsi="Arial" w:cs="Arial"/>
                <w:vertAlign w:val="superscript"/>
              </w:rPr>
            </w:pPr>
            <w:r>
              <w:rPr>
                <w:rFonts w:ascii="Arial" w:eastAsia="Arial" w:hAnsi="Arial" w:cs="Arial"/>
              </w:rPr>
              <w:t>3.04±0.33</w:t>
            </w:r>
            <w:r>
              <w:rPr>
                <w:rFonts w:ascii="Arial" w:eastAsia="Arial" w:hAnsi="Arial" w:cs="Arial"/>
                <w:vertAlign w:val="superscript"/>
              </w:rPr>
              <w:t>Aa</w:t>
            </w:r>
          </w:p>
        </w:tc>
        <w:tc>
          <w:tcPr>
            <w:tcW w:w="1395" w:type="dxa"/>
            <w:tcBorders>
              <w:top w:val="nil"/>
              <w:left w:val="nil"/>
              <w:bottom w:val="nil"/>
              <w:right w:val="nil"/>
            </w:tcBorders>
            <w:tcMar>
              <w:top w:w="0" w:type="dxa"/>
              <w:left w:w="0" w:type="dxa"/>
              <w:bottom w:w="0" w:type="dxa"/>
              <w:right w:w="0" w:type="dxa"/>
            </w:tcMar>
          </w:tcPr>
          <w:p w14:paraId="0E67DDFC" w14:textId="77777777" w:rsidR="00FA056C" w:rsidRDefault="00000000">
            <w:pPr>
              <w:ind w:left="240" w:right="120"/>
              <w:jc w:val="center"/>
              <w:rPr>
                <w:rFonts w:ascii="Arial" w:eastAsia="Arial" w:hAnsi="Arial" w:cs="Arial"/>
                <w:vertAlign w:val="superscript"/>
              </w:rPr>
            </w:pPr>
            <w:r>
              <w:rPr>
                <w:rFonts w:ascii="Arial" w:eastAsia="Arial" w:hAnsi="Arial" w:cs="Arial"/>
              </w:rPr>
              <w:t>3.05±0.33</w:t>
            </w:r>
            <w:r>
              <w:rPr>
                <w:rFonts w:ascii="Arial" w:eastAsia="Arial" w:hAnsi="Arial" w:cs="Arial"/>
                <w:vertAlign w:val="superscript"/>
              </w:rPr>
              <w:t>Aa</w:t>
            </w:r>
          </w:p>
        </w:tc>
        <w:tc>
          <w:tcPr>
            <w:tcW w:w="1230" w:type="dxa"/>
            <w:tcBorders>
              <w:top w:val="nil"/>
              <w:left w:val="nil"/>
              <w:bottom w:val="nil"/>
              <w:right w:val="nil"/>
            </w:tcBorders>
            <w:tcMar>
              <w:top w:w="0" w:type="dxa"/>
              <w:left w:w="0" w:type="dxa"/>
              <w:bottom w:w="0" w:type="dxa"/>
              <w:right w:w="0" w:type="dxa"/>
            </w:tcMar>
          </w:tcPr>
          <w:p w14:paraId="41BBD813" w14:textId="77777777" w:rsidR="00FA056C" w:rsidRDefault="00000000">
            <w:pPr>
              <w:ind w:left="280" w:right="160"/>
              <w:jc w:val="center"/>
              <w:rPr>
                <w:rFonts w:ascii="Arial" w:eastAsia="Arial" w:hAnsi="Arial" w:cs="Arial"/>
              </w:rPr>
            </w:pPr>
            <w:r>
              <w:rPr>
                <w:rFonts w:ascii="Arial" w:eastAsia="Arial" w:hAnsi="Arial" w:cs="Arial"/>
              </w:rPr>
              <w:t>0.792</w:t>
            </w:r>
          </w:p>
        </w:tc>
      </w:tr>
      <w:tr w:rsidR="00FA056C" w14:paraId="37BB7D0C" w14:textId="77777777">
        <w:trPr>
          <w:trHeight w:val="525"/>
        </w:trPr>
        <w:tc>
          <w:tcPr>
            <w:tcW w:w="1500" w:type="dxa"/>
            <w:tcBorders>
              <w:top w:val="nil"/>
              <w:left w:val="nil"/>
              <w:bottom w:val="single" w:sz="6" w:space="0" w:color="000000"/>
              <w:right w:val="nil"/>
            </w:tcBorders>
            <w:tcMar>
              <w:top w:w="0" w:type="dxa"/>
              <w:left w:w="0" w:type="dxa"/>
              <w:bottom w:w="0" w:type="dxa"/>
              <w:right w:w="0" w:type="dxa"/>
            </w:tcMar>
          </w:tcPr>
          <w:p w14:paraId="37C7867D" w14:textId="77777777" w:rsidR="00FA056C" w:rsidRDefault="00000000">
            <w:pPr>
              <w:ind w:left="260"/>
              <w:rPr>
                <w:rFonts w:ascii="Arial" w:eastAsia="Arial" w:hAnsi="Arial" w:cs="Arial"/>
              </w:rPr>
            </w:pPr>
            <w:r>
              <w:rPr>
                <w:rFonts w:ascii="Arial" w:eastAsia="Arial" w:hAnsi="Arial" w:cs="Arial"/>
              </w:rPr>
              <w:lastRenderedPageBreak/>
              <w:t>CD</w:t>
            </w:r>
          </w:p>
        </w:tc>
        <w:tc>
          <w:tcPr>
            <w:tcW w:w="1365" w:type="dxa"/>
            <w:tcBorders>
              <w:top w:val="nil"/>
              <w:left w:val="nil"/>
              <w:bottom w:val="single" w:sz="6" w:space="0" w:color="000000"/>
              <w:right w:val="nil"/>
            </w:tcBorders>
            <w:tcMar>
              <w:top w:w="0" w:type="dxa"/>
              <w:left w:w="0" w:type="dxa"/>
              <w:bottom w:w="0" w:type="dxa"/>
              <w:right w:w="0" w:type="dxa"/>
            </w:tcMar>
          </w:tcPr>
          <w:p w14:paraId="7C7F3CCD" w14:textId="77777777" w:rsidR="00FA056C" w:rsidRDefault="00000000">
            <w:pPr>
              <w:ind w:left="160" w:right="40"/>
              <w:jc w:val="center"/>
              <w:rPr>
                <w:rFonts w:ascii="Arial" w:eastAsia="Arial" w:hAnsi="Arial" w:cs="Arial"/>
                <w:vertAlign w:val="superscript"/>
              </w:rPr>
            </w:pPr>
            <w:r>
              <w:rPr>
                <w:rFonts w:ascii="Arial" w:eastAsia="Arial" w:hAnsi="Arial" w:cs="Arial"/>
              </w:rPr>
              <w:t>3.14±0.21</w:t>
            </w:r>
            <w:r>
              <w:rPr>
                <w:rFonts w:ascii="Arial" w:eastAsia="Arial" w:hAnsi="Arial" w:cs="Arial"/>
                <w:vertAlign w:val="superscript"/>
              </w:rPr>
              <w:t>Aa</w:t>
            </w:r>
          </w:p>
        </w:tc>
        <w:tc>
          <w:tcPr>
            <w:tcW w:w="1380" w:type="dxa"/>
            <w:tcBorders>
              <w:top w:val="nil"/>
              <w:left w:val="nil"/>
              <w:bottom w:val="single" w:sz="6" w:space="0" w:color="000000"/>
              <w:right w:val="nil"/>
            </w:tcBorders>
            <w:tcMar>
              <w:top w:w="0" w:type="dxa"/>
              <w:left w:w="0" w:type="dxa"/>
              <w:bottom w:w="0" w:type="dxa"/>
              <w:right w:w="0" w:type="dxa"/>
            </w:tcMar>
          </w:tcPr>
          <w:p w14:paraId="384C8B0B" w14:textId="77777777" w:rsidR="00FA056C" w:rsidRDefault="00000000">
            <w:pPr>
              <w:ind w:left="220" w:right="100"/>
              <w:jc w:val="center"/>
              <w:rPr>
                <w:rFonts w:ascii="Arial" w:eastAsia="Arial" w:hAnsi="Arial" w:cs="Arial"/>
                <w:vertAlign w:val="superscript"/>
              </w:rPr>
            </w:pPr>
            <w:r>
              <w:rPr>
                <w:rFonts w:ascii="Arial" w:eastAsia="Arial" w:hAnsi="Arial" w:cs="Arial"/>
              </w:rPr>
              <w:t>3.16±0.18</w:t>
            </w:r>
            <w:r>
              <w:rPr>
                <w:rFonts w:ascii="Arial" w:eastAsia="Arial" w:hAnsi="Arial" w:cs="Arial"/>
                <w:vertAlign w:val="superscript"/>
              </w:rPr>
              <w:t>Aa</w:t>
            </w:r>
          </w:p>
        </w:tc>
        <w:tc>
          <w:tcPr>
            <w:tcW w:w="1410" w:type="dxa"/>
            <w:tcBorders>
              <w:top w:val="nil"/>
              <w:left w:val="nil"/>
              <w:bottom w:val="single" w:sz="6" w:space="0" w:color="000000"/>
              <w:right w:val="nil"/>
            </w:tcBorders>
            <w:tcMar>
              <w:top w:w="0" w:type="dxa"/>
              <w:left w:w="0" w:type="dxa"/>
              <w:bottom w:w="0" w:type="dxa"/>
              <w:right w:w="0" w:type="dxa"/>
            </w:tcMar>
          </w:tcPr>
          <w:p w14:paraId="6B7F0786" w14:textId="77777777" w:rsidR="00FA056C" w:rsidRDefault="00000000">
            <w:pPr>
              <w:ind w:left="240" w:right="120"/>
              <w:jc w:val="center"/>
              <w:rPr>
                <w:rFonts w:ascii="Arial" w:eastAsia="Arial" w:hAnsi="Arial" w:cs="Arial"/>
                <w:vertAlign w:val="superscript"/>
              </w:rPr>
            </w:pPr>
            <w:r>
              <w:rPr>
                <w:rFonts w:ascii="Arial" w:eastAsia="Arial" w:hAnsi="Arial" w:cs="Arial"/>
              </w:rPr>
              <w:t>3.17±0.18</w:t>
            </w:r>
            <w:r>
              <w:rPr>
                <w:rFonts w:ascii="Arial" w:eastAsia="Arial" w:hAnsi="Arial" w:cs="Arial"/>
                <w:vertAlign w:val="superscript"/>
              </w:rPr>
              <w:t>Aa</w:t>
            </w:r>
          </w:p>
        </w:tc>
        <w:tc>
          <w:tcPr>
            <w:tcW w:w="1395" w:type="dxa"/>
            <w:tcBorders>
              <w:top w:val="nil"/>
              <w:left w:val="nil"/>
              <w:bottom w:val="single" w:sz="6" w:space="0" w:color="000000"/>
              <w:right w:val="nil"/>
            </w:tcBorders>
            <w:tcMar>
              <w:top w:w="0" w:type="dxa"/>
              <w:left w:w="0" w:type="dxa"/>
              <w:bottom w:w="0" w:type="dxa"/>
              <w:right w:w="0" w:type="dxa"/>
            </w:tcMar>
          </w:tcPr>
          <w:p w14:paraId="03509A6B" w14:textId="77777777" w:rsidR="00FA056C" w:rsidRDefault="00000000">
            <w:pPr>
              <w:ind w:left="240" w:right="120"/>
              <w:jc w:val="center"/>
              <w:rPr>
                <w:rFonts w:ascii="Arial" w:eastAsia="Arial" w:hAnsi="Arial" w:cs="Arial"/>
                <w:vertAlign w:val="superscript"/>
              </w:rPr>
            </w:pPr>
            <w:r>
              <w:rPr>
                <w:rFonts w:ascii="Arial" w:eastAsia="Arial" w:hAnsi="Arial" w:cs="Arial"/>
              </w:rPr>
              <w:t>3.17±0.19</w:t>
            </w:r>
            <w:r>
              <w:rPr>
                <w:rFonts w:ascii="Arial" w:eastAsia="Arial" w:hAnsi="Arial" w:cs="Arial"/>
                <w:vertAlign w:val="superscript"/>
              </w:rPr>
              <w:t>Aa</w:t>
            </w:r>
          </w:p>
        </w:tc>
        <w:tc>
          <w:tcPr>
            <w:tcW w:w="1230" w:type="dxa"/>
            <w:tcBorders>
              <w:top w:val="nil"/>
              <w:left w:val="nil"/>
              <w:bottom w:val="single" w:sz="6" w:space="0" w:color="000000"/>
              <w:right w:val="nil"/>
            </w:tcBorders>
            <w:tcMar>
              <w:top w:w="0" w:type="dxa"/>
              <w:left w:w="0" w:type="dxa"/>
              <w:bottom w:w="0" w:type="dxa"/>
              <w:right w:w="0" w:type="dxa"/>
            </w:tcMar>
          </w:tcPr>
          <w:p w14:paraId="46409C5D" w14:textId="77777777" w:rsidR="00FA056C" w:rsidRDefault="00000000">
            <w:pPr>
              <w:ind w:left="280" w:right="160"/>
              <w:jc w:val="center"/>
              <w:rPr>
                <w:rFonts w:ascii="Arial" w:eastAsia="Arial" w:hAnsi="Arial" w:cs="Arial"/>
              </w:rPr>
            </w:pPr>
            <w:r>
              <w:rPr>
                <w:rFonts w:ascii="Arial" w:eastAsia="Arial" w:hAnsi="Arial" w:cs="Arial"/>
              </w:rPr>
              <w:t>0.893</w:t>
            </w:r>
          </w:p>
        </w:tc>
      </w:tr>
      <w:tr w:rsidR="00FA056C" w14:paraId="568F8256" w14:textId="77777777">
        <w:trPr>
          <w:trHeight w:val="420"/>
        </w:trPr>
        <w:tc>
          <w:tcPr>
            <w:tcW w:w="1500" w:type="dxa"/>
            <w:tcBorders>
              <w:top w:val="nil"/>
              <w:left w:val="nil"/>
              <w:bottom w:val="single" w:sz="6" w:space="0" w:color="000000"/>
              <w:right w:val="nil"/>
            </w:tcBorders>
            <w:tcMar>
              <w:top w:w="0" w:type="dxa"/>
              <w:left w:w="0" w:type="dxa"/>
              <w:bottom w:w="0" w:type="dxa"/>
              <w:right w:w="0" w:type="dxa"/>
            </w:tcMar>
          </w:tcPr>
          <w:p w14:paraId="2EB8F6FF" w14:textId="77777777" w:rsidR="00FA056C" w:rsidRDefault="00000000">
            <w:pPr>
              <w:ind w:left="400"/>
              <w:rPr>
                <w:rFonts w:ascii="Arial" w:eastAsia="Arial" w:hAnsi="Arial" w:cs="Arial"/>
                <w:b/>
              </w:rPr>
            </w:pPr>
            <w:r>
              <w:rPr>
                <w:rFonts w:ascii="Arial" w:eastAsia="Arial" w:hAnsi="Arial" w:cs="Arial"/>
                <w:b/>
                <w:i/>
              </w:rPr>
              <w:t>P</w:t>
            </w:r>
            <w:r>
              <w:rPr>
                <w:rFonts w:ascii="Arial" w:eastAsia="Arial" w:hAnsi="Arial" w:cs="Arial"/>
                <w:b/>
              </w:rPr>
              <w:t>-Value</w:t>
            </w:r>
          </w:p>
        </w:tc>
        <w:tc>
          <w:tcPr>
            <w:tcW w:w="1365" w:type="dxa"/>
            <w:tcBorders>
              <w:top w:val="nil"/>
              <w:left w:val="nil"/>
              <w:bottom w:val="single" w:sz="6" w:space="0" w:color="000000"/>
              <w:right w:val="nil"/>
            </w:tcBorders>
            <w:tcMar>
              <w:top w:w="0" w:type="dxa"/>
              <w:left w:w="0" w:type="dxa"/>
              <w:bottom w:w="0" w:type="dxa"/>
              <w:right w:w="0" w:type="dxa"/>
            </w:tcMar>
          </w:tcPr>
          <w:p w14:paraId="08E872FA" w14:textId="77777777" w:rsidR="00FA056C" w:rsidRDefault="00000000">
            <w:pPr>
              <w:ind w:left="160" w:right="40"/>
              <w:jc w:val="center"/>
              <w:rPr>
                <w:rFonts w:ascii="Arial" w:eastAsia="Arial" w:hAnsi="Arial" w:cs="Arial"/>
              </w:rPr>
            </w:pPr>
            <w:r>
              <w:rPr>
                <w:rFonts w:ascii="Arial" w:eastAsia="Arial" w:hAnsi="Arial" w:cs="Arial"/>
              </w:rPr>
              <w:t>1.000</w:t>
            </w:r>
          </w:p>
        </w:tc>
        <w:tc>
          <w:tcPr>
            <w:tcW w:w="1380" w:type="dxa"/>
            <w:tcBorders>
              <w:top w:val="nil"/>
              <w:left w:val="nil"/>
              <w:bottom w:val="single" w:sz="6" w:space="0" w:color="000000"/>
              <w:right w:val="nil"/>
            </w:tcBorders>
            <w:tcMar>
              <w:top w:w="0" w:type="dxa"/>
              <w:left w:w="0" w:type="dxa"/>
              <w:bottom w:w="0" w:type="dxa"/>
              <w:right w:w="0" w:type="dxa"/>
            </w:tcMar>
          </w:tcPr>
          <w:p w14:paraId="588F883B" w14:textId="77777777" w:rsidR="00FA056C" w:rsidRDefault="00000000">
            <w:pPr>
              <w:ind w:left="220" w:right="100"/>
              <w:jc w:val="center"/>
              <w:rPr>
                <w:rFonts w:ascii="Arial" w:eastAsia="Arial" w:hAnsi="Arial" w:cs="Arial"/>
              </w:rPr>
            </w:pPr>
            <w:r>
              <w:rPr>
                <w:rFonts w:ascii="Arial" w:eastAsia="Arial" w:hAnsi="Arial" w:cs="Arial"/>
              </w:rPr>
              <w:t>0.567</w:t>
            </w:r>
          </w:p>
        </w:tc>
        <w:tc>
          <w:tcPr>
            <w:tcW w:w="1410" w:type="dxa"/>
            <w:tcBorders>
              <w:top w:val="nil"/>
              <w:left w:val="nil"/>
              <w:bottom w:val="single" w:sz="6" w:space="0" w:color="000000"/>
              <w:right w:val="nil"/>
            </w:tcBorders>
            <w:tcMar>
              <w:top w:w="0" w:type="dxa"/>
              <w:left w:w="0" w:type="dxa"/>
              <w:bottom w:w="0" w:type="dxa"/>
              <w:right w:w="0" w:type="dxa"/>
            </w:tcMar>
          </w:tcPr>
          <w:p w14:paraId="156A2E1B" w14:textId="77777777" w:rsidR="00FA056C" w:rsidRDefault="00000000">
            <w:pPr>
              <w:ind w:left="240" w:right="100"/>
              <w:jc w:val="center"/>
              <w:rPr>
                <w:rFonts w:ascii="Arial" w:eastAsia="Arial" w:hAnsi="Arial" w:cs="Arial"/>
              </w:rPr>
            </w:pPr>
            <w:r>
              <w:rPr>
                <w:rFonts w:ascii="Arial" w:eastAsia="Arial" w:hAnsi="Arial" w:cs="Arial"/>
              </w:rPr>
              <w:t>0.529</w:t>
            </w:r>
          </w:p>
        </w:tc>
        <w:tc>
          <w:tcPr>
            <w:tcW w:w="1395" w:type="dxa"/>
            <w:tcBorders>
              <w:top w:val="nil"/>
              <w:left w:val="nil"/>
              <w:bottom w:val="single" w:sz="6" w:space="0" w:color="000000"/>
              <w:right w:val="nil"/>
            </w:tcBorders>
            <w:tcMar>
              <w:top w:w="0" w:type="dxa"/>
              <w:left w:w="0" w:type="dxa"/>
              <w:bottom w:w="0" w:type="dxa"/>
              <w:right w:w="0" w:type="dxa"/>
            </w:tcMar>
          </w:tcPr>
          <w:p w14:paraId="25778027" w14:textId="77777777" w:rsidR="00FA056C" w:rsidRDefault="00000000">
            <w:pPr>
              <w:ind w:left="240" w:right="100"/>
              <w:jc w:val="center"/>
              <w:rPr>
                <w:rFonts w:ascii="Arial" w:eastAsia="Arial" w:hAnsi="Arial" w:cs="Arial"/>
              </w:rPr>
            </w:pPr>
            <w:r>
              <w:rPr>
                <w:rFonts w:ascii="Arial" w:eastAsia="Arial" w:hAnsi="Arial" w:cs="Arial"/>
              </w:rPr>
              <w:t>0.560</w:t>
            </w:r>
          </w:p>
        </w:tc>
        <w:tc>
          <w:tcPr>
            <w:tcW w:w="1230" w:type="dxa"/>
            <w:tcBorders>
              <w:top w:val="nil"/>
              <w:left w:val="nil"/>
              <w:bottom w:val="single" w:sz="6" w:space="0" w:color="000000"/>
              <w:right w:val="nil"/>
            </w:tcBorders>
            <w:tcMar>
              <w:top w:w="0" w:type="dxa"/>
              <w:left w:w="0" w:type="dxa"/>
              <w:bottom w:w="0" w:type="dxa"/>
              <w:right w:w="0" w:type="dxa"/>
            </w:tcMar>
          </w:tcPr>
          <w:p w14:paraId="747C1070" w14:textId="77777777" w:rsidR="00FA056C" w:rsidRDefault="00000000">
            <w:pPr>
              <w:ind w:left="120"/>
              <w:rPr>
                <w:rFonts w:ascii="Arial" w:eastAsia="Arial" w:hAnsi="Arial" w:cs="Arial"/>
              </w:rPr>
            </w:pPr>
            <w:r>
              <w:rPr>
                <w:rFonts w:ascii="Arial" w:eastAsia="Arial" w:hAnsi="Arial" w:cs="Arial"/>
              </w:rPr>
              <w:t xml:space="preserve"> </w:t>
            </w:r>
          </w:p>
        </w:tc>
      </w:tr>
    </w:tbl>
    <w:p w14:paraId="5A87FB93" w14:textId="77777777" w:rsidR="00FA056C" w:rsidRDefault="00000000">
      <w:pPr>
        <w:jc w:val="both"/>
        <w:rPr>
          <w:rFonts w:ascii="Arial" w:eastAsia="Arial" w:hAnsi="Arial" w:cs="Arial"/>
          <w:i/>
          <w:sz w:val="18"/>
          <w:szCs w:val="18"/>
        </w:rPr>
      </w:pPr>
      <w:r>
        <w:rPr>
          <w:rFonts w:ascii="Arial" w:eastAsia="Arial" w:hAnsi="Arial" w:cs="Arial"/>
          <w:i/>
          <w:sz w:val="18"/>
          <w:szCs w:val="18"/>
        </w:rPr>
        <w:t>Different lowercase letters = significant difference between evaluation periods of the same group. Different capital letters = significant difference between groups in the same evaluation period.</w:t>
      </w:r>
    </w:p>
    <w:p w14:paraId="2DCB2A8B" w14:textId="77777777" w:rsidR="00FA056C" w:rsidRDefault="00FA056C">
      <w:pPr>
        <w:pBdr>
          <w:top w:val="nil"/>
          <w:left w:val="nil"/>
          <w:bottom w:val="nil"/>
          <w:right w:val="nil"/>
          <w:between w:val="nil"/>
        </w:pBdr>
        <w:jc w:val="both"/>
        <w:rPr>
          <w:rFonts w:ascii="Arial" w:eastAsia="Arial" w:hAnsi="Arial" w:cs="Arial"/>
        </w:rPr>
      </w:pPr>
    </w:p>
    <w:p w14:paraId="662BDECD" w14:textId="77777777" w:rsidR="00FA056C" w:rsidRDefault="00FA056C">
      <w:pPr>
        <w:pBdr>
          <w:top w:val="nil"/>
          <w:left w:val="nil"/>
          <w:bottom w:val="nil"/>
          <w:right w:val="nil"/>
          <w:between w:val="nil"/>
        </w:pBdr>
        <w:jc w:val="both"/>
        <w:rPr>
          <w:rFonts w:ascii="Arial" w:eastAsia="Arial" w:hAnsi="Arial" w:cs="Arial"/>
        </w:rPr>
      </w:pPr>
    </w:p>
    <w:p w14:paraId="3C0F432D" w14:textId="77777777" w:rsidR="00FA056C" w:rsidRDefault="00FA056C">
      <w:pPr>
        <w:pBdr>
          <w:top w:val="nil"/>
          <w:left w:val="nil"/>
          <w:bottom w:val="nil"/>
          <w:right w:val="nil"/>
          <w:between w:val="nil"/>
        </w:pBdr>
        <w:jc w:val="both"/>
        <w:rPr>
          <w:rFonts w:ascii="Arial" w:eastAsia="Arial" w:hAnsi="Arial" w:cs="Arial"/>
        </w:rPr>
      </w:pPr>
    </w:p>
    <w:p w14:paraId="3090F3FC" w14:textId="77777777" w:rsidR="00FA056C" w:rsidRDefault="00000000">
      <w:pPr>
        <w:jc w:val="both"/>
        <w:rPr>
          <w:rFonts w:ascii="Arial" w:eastAsia="Arial" w:hAnsi="Arial" w:cs="Arial"/>
        </w:rPr>
      </w:pPr>
      <w:r>
        <w:rPr>
          <w:rFonts w:ascii="Arial" w:eastAsia="Arial" w:hAnsi="Arial" w:cs="Arial"/>
          <w:b/>
          <w:smallCaps/>
          <w:sz w:val="22"/>
          <w:szCs w:val="22"/>
        </w:rPr>
        <w:t xml:space="preserve">3.1.2 </w:t>
      </w:r>
      <w:r>
        <w:rPr>
          <w:rFonts w:ascii="Arial" w:eastAsia="Arial" w:hAnsi="Arial" w:cs="Arial"/>
          <w:b/>
          <w:sz w:val="22"/>
          <w:szCs w:val="22"/>
        </w:rPr>
        <w:t>Surface Roughness (Ra)</w:t>
      </w:r>
    </w:p>
    <w:p w14:paraId="43ECCDD5" w14:textId="77777777" w:rsidR="00FA056C" w:rsidRDefault="00FA056C">
      <w:pPr>
        <w:pBdr>
          <w:top w:val="nil"/>
          <w:left w:val="nil"/>
          <w:bottom w:val="nil"/>
          <w:right w:val="nil"/>
          <w:between w:val="nil"/>
        </w:pBdr>
        <w:jc w:val="both"/>
        <w:rPr>
          <w:rFonts w:ascii="Arial" w:eastAsia="Arial" w:hAnsi="Arial" w:cs="Arial"/>
        </w:rPr>
      </w:pPr>
    </w:p>
    <w:p w14:paraId="6EA14290"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At the end of the simulated brushing period, a significant increase in surface roughness (Ra) was observed in the commercial dentifrice (CD) group (</w:t>
      </w:r>
      <w:r>
        <w:rPr>
          <w:rFonts w:ascii="Arial" w:eastAsia="Arial" w:hAnsi="Arial" w:cs="Arial"/>
          <w:i/>
        </w:rPr>
        <w:t>P</w:t>
      </w:r>
      <w:r>
        <w:rPr>
          <w:rFonts w:ascii="Arial" w:eastAsia="Arial" w:hAnsi="Arial" w:cs="Arial"/>
        </w:rPr>
        <w:t xml:space="preserve"> &lt; 0.001) compared to the other groups (</w:t>
      </w:r>
      <w:r>
        <w:rPr>
          <w:rFonts w:ascii="Arial" w:eastAsia="Arial" w:hAnsi="Arial" w:cs="Arial"/>
          <w:i/>
        </w:rPr>
        <w:t>P</w:t>
      </w:r>
      <w:r>
        <w:rPr>
          <w:rFonts w:ascii="Arial" w:eastAsia="Arial" w:hAnsi="Arial" w:cs="Arial"/>
        </w:rPr>
        <w:t xml:space="preserve"> = 0.009). Table 2 details the Ra values for all groups.</w:t>
      </w:r>
    </w:p>
    <w:p w14:paraId="3B837484" w14:textId="77777777" w:rsidR="00FA056C" w:rsidRDefault="00FA056C">
      <w:pPr>
        <w:pBdr>
          <w:top w:val="nil"/>
          <w:left w:val="nil"/>
          <w:bottom w:val="nil"/>
          <w:right w:val="nil"/>
          <w:between w:val="nil"/>
        </w:pBdr>
        <w:jc w:val="both"/>
        <w:rPr>
          <w:rFonts w:ascii="Arial" w:eastAsia="Arial" w:hAnsi="Arial" w:cs="Arial"/>
        </w:rPr>
      </w:pPr>
    </w:p>
    <w:p w14:paraId="3D19BC80" w14:textId="77777777" w:rsidR="00FA056C" w:rsidRDefault="00000000">
      <w:pPr>
        <w:spacing w:line="360" w:lineRule="auto"/>
        <w:jc w:val="both"/>
        <w:rPr>
          <w:rFonts w:ascii="Arial" w:eastAsia="Arial" w:hAnsi="Arial" w:cs="Arial"/>
          <w:b/>
        </w:rPr>
      </w:pPr>
      <w:r>
        <w:rPr>
          <w:rFonts w:ascii="Arial" w:eastAsia="Arial" w:hAnsi="Arial" w:cs="Arial"/>
          <w:b/>
        </w:rPr>
        <w:t>Table 2. Means and standard deviation of roughness (µm), according to the treatment and time.</w:t>
      </w:r>
    </w:p>
    <w:p w14:paraId="1F615E75" w14:textId="77777777" w:rsidR="00FA056C" w:rsidRDefault="00000000">
      <w:pPr>
        <w:pStyle w:val="Ttulo1"/>
        <w:keepNext w:val="0"/>
        <w:spacing w:before="0" w:after="0"/>
        <w:ind w:left="2340" w:right="2040"/>
        <w:jc w:val="center"/>
        <w:rPr>
          <w:sz w:val="20"/>
          <w:szCs w:val="20"/>
        </w:rPr>
      </w:pPr>
      <w:bookmarkStart w:id="2" w:name="_heading=h.i57hchvbz6ba" w:colFirst="0" w:colLast="0"/>
      <w:bookmarkEnd w:id="2"/>
      <w:r>
        <w:rPr>
          <w:sz w:val="20"/>
          <w:szCs w:val="20"/>
        </w:rPr>
        <w:t>Time</w:t>
      </w:r>
    </w:p>
    <w:tbl>
      <w:tblPr>
        <w:tblStyle w:val="af0"/>
        <w:tblW w:w="8208" w:type="dxa"/>
        <w:tblBorders>
          <w:top w:val="nil"/>
          <w:left w:val="nil"/>
          <w:bottom w:val="nil"/>
          <w:right w:val="nil"/>
          <w:insideH w:val="nil"/>
          <w:insideV w:val="nil"/>
        </w:tblBorders>
        <w:tblLayout w:type="fixed"/>
        <w:tblLook w:val="0600" w:firstRow="0" w:lastRow="0" w:firstColumn="0" w:lastColumn="0" w:noHBand="1" w:noVBand="1"/>
      </w:tblPr>
      <w:tblGrid>
        <w:gridCol w:w="1506"/>
        <w:gridCol w:w="1361"/>
        <w:gridCol w:w="1375"/>
        <w:gridCol w:w="1375"/>
        <w:gridCol w:w="1375"/>
        <w:gridCol w:w="1216"/>
      </w:tblGrid>
      <w:tr w:rsidR="00FA056C" w14:paraId="25B7222A" w14:textId="77777777">
        <w:trPr>
          <w:trHeight w:val="405"/>
        </w:trPr>
        <w:tc>
          <w:tcPr>
            <w:tcW w:w="1506" w:type="dxa"/>
            <w:tcBorders>
              <w:top w:val="nil"/>
              <w:left w:val="nil"/>
              <w:bottom w:val="single" w:sz="6" w:space="0" w:color="000000"/>
              <w:right w:val="nil"/>
            </w:tcBorders>
            <w:tcMar>
              <w:top w:w="0" w:type="dxa"/>
              <w:left w:w="0" w:type="dxa"/>
              <w:bottom w:w="0" w:type="dxa"/>
              <w:right w:w="0" w:type="dxa"/>
            </w:tcMar>
          </w:tcPr>
          <w:p w14:paraId="75716DD1" w14:textId="77777777" w:rsidR="00FA056C" w:rsidRDefault="00000000">
            <w:pPr>
              <w:ind w:left="120"/>
              <w:rPr>
                <w:rFonts w:ascii="Arial" w:eastAsia="Arial" w:hAnsi="Arial" w:cs="Arial"/>
              </w:rPr>
            </w:pPr>
            <w:r>
              <w:rPr>
                <w:rFonts w:ascii="Arial" w:eastAsia="Arial" w:hAnsi="Arial" w:cs="Arial"/>
              </w:rPr>
              <w:t xml:space="preserve"> </w:t>
            </w:r>
          </w:p>
        </w:tc>
        <w:tc>
          <w:tcPr>
            <w:tcW w:w="1361" w:type="dxa"/>
            <w:tcBorders>
              <w:top w:val="single" w:sz="6" w:space="0" w:color="000000"/>
              <w:left w:val="nil"/>
              <w:bottom w:val="single" w:sz="6" w:space="0" w:color="000000"/>
              <w:right w:val="nil"/>
            </w:tcBorders>
            <w:tcMar>
              <w:top w:w="0" w:type="dxa"/>
              <w:left w:w="0" w:type="dxa"/>
              <w:bottom w:w="0" w:type="dxa"/>
              <w:right w:w="0" w:type="dxa"/>
            </w:tcMar>
          </w:tcPr>
          <w:p w14:paraId="1B8ED76D" w14:textId="77777777" w:rsidR="00FA056C" w:rsidRDefault="00000000">
            <w:pPr>
              <w:ind w:left="160" w:right="40"/>
              <w:jc w:val="center"/>
              <w:rPr>
                <w:rFonts w:ascii="Arial" w:eastAsia="Arial" w:hAnsi="Arial" w:cs="Arial"/>
                <w:b/>
              </w:rPr>
            </w:pPr>
            <w:r>
              <w:rPr>
                <w:rFonts w:ascii="Arial" w:eastAsia="Arial" w:hAnsi="Arial" w:cs="Arial"/>
                <w:b/>
              </w:rPr>
              <w:t>T0</w:t>
            </w:r>
          </w:p>
        </w:tc>
        <w:tc>
          <w:tcPr>
            <w:tcW w:w="1375" w:type="dxa"/>
            <w:tcBorders>
              <w:top w:val="single" w:sz="6" w:space="0" w:color="000000"/>
              <w:left w:val="nil"/>
              <w:bottom w:val="single" w:sz="6" w:space="0" w:color="000000"/>
              <w:right w:val="nil"/>
            </w:tcBorders>
            <w:tcMar>
              <w:top w:w="0" w:type="dxa"/>
              <w:left w:w="0" w:type="dxa"/>
              <w:bottom w:w="0" w:type="dxa"/>
              <w:right w:w="0" w:type="dxa"/>
            </w:tcMar>
          </w:tcPr>
          <w:p w14:paraId="51EB24AC" w14:textId="77777777" w:rsidR="00FA056C" w:rsidRDefault="00000000">
            <w:pPr>
              <w:ind w:left="220" w:right="100"/>
              <w:jc w:val="center"/>
              <w:rPr>
                <w:rFonts w:ascii="Arial" w:eastAsia="Arial" w:hAnsi="Arial" w:cs="Arial"/>
                <w:b/>
              </w:rPr>
            </w:pPr>
            <w:r>
              <w:rPr>
                <w:rFonts w:ascii="Arial" w:eastAsia="Arial" w:hAnsi="Arial" w:cs="Arial"/>
                <w:b/>
              </w:rPr>
              <w:t>T1</w:t>
            </w:r>
          </w:p>
        </w:tc>
        <w:tc>
          <w:tcPr>
            <w:tcW w:w="1375" w:type="dxa"/>
            <w:tcBorders>
              <w:top w:val="single" w:sz="6" w:space="0" w:color="000000"/>
              <w:left w:val="nil"/>
              <w:bottom w:val="single" w:sz="6" w:space="0" w:color="000000"/>
              <w:right w:val="nil"/>
            </w:tcBorders>
            <w:tcMar>
              <w:top w:w="0" w:type="dxa"/>
              <w:left w:w="0" w:type="dxa"/>
              <w:bottom w:w="0" w:type="dxa"/>
              <w:right w:w="0" w:type="dxa"/>
            </w:tcMar>
          </w:tcPr>
          <w:p w14:paraId="44EABD8A" w14:textId="77777777" w:rsidR="00FA056C" w:rsidRDefault="00000000">
            <w:pPr>
              <w:ind w:left="240" w:right="120"/>
              <w:jc w:val="center"/>
              <w:rPr>
                <w:rFonts w:ascii="Arial" w:eastAsia="Arial" w:hAnsi="Arial" w:cs="Arial"/>
                <w:b/>
              </w:rPr>
            </w:pPr>
            <w:r>
              <w:rPr>
                <w:rFonts w:ascii="Arial" w:eastAsia="Arial" w:hAnsi="Arial" w:cs="Arial"/>
                <w:b/>
              </w:rPr>
              <w:t>T2</w:t>
            </w:r>
          </w:p>
        </w:tc>
        <w:tc>
          <w:tcPr>
            <w:tcW w:w="1375" w:type="dxa"/>
            <w:tcBorders>
              <w:top w:val="single" w:sz="6" w:space="0" w:color="000000"/>
              <w:left w:val="nil"/>
              <w:bottom w:val="single" w:sz="6" w:space="0" w:color="000000"/>
              <w:right w:val="nil"/>
            </w:tcBorders>
            <w:tcMar>
              <w:top w:w="0" w:type="dxa"/>
              <w:left w:w="0" w:type="dxa"/>
              <w:bottom w:w="0" w:type="dxa"/>
              <w:right w:w="0" w:type="dxa"/>
            </w:tcMar>
          </w:tcPr>
          <w:p w14:paraId="7C7635EA" w14:textId="77777777" w:rsidR="00FA056C" w:rsidRDefault="00000000">
            <w:pPr>
              <w:ind w:left="220" w:right="100"/>
              <w:jc w:val="center"/>
              <w:rPr>
                <w:rFonts w:ascii="Arial" w:eastAsia="Arial" w:hAnsi="Arial" w:cs="Arial"/>
                <w:b/>
              </w:rPr>
            </w:pPr>
            <w:r>
              <w:rPr>
                <w:rFonts w:ascii="Arial" w:eastAsia="Arial" w:hAnsi="Arial" w:cs="Arial"/>
                <w:b/>
              </w:rPr>
              <w:t>T3</w:t>
            </w:r>
          </w:p>
        </w:tc>
        <w:tc>
          <w:tcPr>
            <w:tcW w:w="1216" w:type="dxa"/>
            <w:tcBorders>
              <w:top w:val="nil"/>
              <w:left w:val="nil"/>
              <w:bottom w:val="single" w:sz="6" w:space="0" w:color="000000"/>
              <w:right w:val="nil"/>
            </w:tcBorders>
            <w:tcMar>
              <w:top w:w="0" w:type="dxa"/>
              <w:left w:w="0" w:type="dxa"/>
              <w:bottom w:w="0" w:type="dxa"/>
              <w:right w:w="0" w:type="dxa"/>
            </w:tcMar>
          </w:tcPr>
          <w:p w14:paraId="5DFF4998" w14:textId="77777777" w:rsidR="00FA056C" w:rsidRDefault="00000000">
            <w:pPr>
              <w:ind w:left="400"/>
              <w:rPr>
                <w:rFonts w:ascii="Arial" w:eastAsia="Arial" w:hAnsi="Arial" w:cs="Arial"/>
                <w:b/>
              </w:rPr>
            </w:pPr>
            <w:r>
              <w:rPr>
                <w:rFonts w:ascii="Arial" w:eastAsia="Arial" w:hAnsi="Arial" w:cs="Arial"/>
                <w:b/>
                <w:i/>
              </w:rPr>
              <w:t>P</w:t>
            </w:r>
            <w:r>
              <w:rPr>
                <w:rFonts w:ascii="Arial" w:eastAsia="Arial" w:hAnsi="Arial" w:cs="Arial"/>
                <w:b/>
              </w:rPr>
              <w:t>-Value</w:t>
            </w:r>
          </w:p>
        </w:tc>
      </w:tr>
      <w:tr w:rsidR="00FA056C" w14:paraId="2FF2F535" w14:textId="77777777">
        <w:trPr>
          <w:trHeight w:val="375"/>
        </w:trPr>
        <w:tc>
          <w:tcPr>
            <w:tcW w:w="1506" w:type="dxa"/>
            <w:tcBorders>
              <w:top w:val="nil"/>
              <w:left w:val="nil"/>
              <w:bottom w:val="nil"/>
              <w:right w:val="nil"/>
            </w:tcBorders>
            <w:tcMar>
              <w:top w:w="0" w:type="dxa"/>
              <w:left w:w="0" w:type="dxa"/>
              <w:bottom w:w="0" w:type="dxa"/>
              <w:right w:w="0" w:type="dxa"/>
            </w:tcMar>
          </w:tcPr>
          <w:p w14:paraId="7DA665D8" w14:textId="77777777" w:rsidR="00FA056C" w:rsidRDefault="00000000">
            <w:pPr>
              <w:ind w:left="200"/>
              <w:rPr>
                <w:rFonts w:ascii="Arial" w:eastAsia="Arial" w:hAnsi="Arial" w:cs="Arial"/>
                <w:b/>
              </w:rPr>
            </w:pPr>
            <w:r>
              <w:rPr>
                <w:rFonts w:ascii="Arial" w:eastAsia="Arial" w:hAnsi="Arial" w:cs="Arial"/>
                <w:b/>
              </w:rPr>
              <w:t>Roughness</w:t>
            </w:r>
          </w:p>
        </w:tc>
        <w:tc>
          <w:tcPr>
            <w:tcW w:w="1361" w:type="dxa"/>
            <w:tcBorders>
              <w:top w:val="nil"/>
              <w:left w:val="nil"/>
              <w:bottom w:val="nil"/>
              <w:right w:val="nil"/>
            </w:tcBorders>
            <w:tcMar>
              <w:top w:w="0" w:type="dxa"/>
              <w:left w:w="0" w:type="dxa"/>
              <w:bottom w:w="0" w:type="dxa"/>
              <w:right w:w="0" w:type="dxa"/>
            </w:tcMar>
          </w:tcPr>
          <w:p w14:paraId="739DFF55" w14:textId="77777777" w:rsidR="00FA056C" w:rsidRDefault="00000000">
            <w:pPr>
              <w:ind w:left="120"/>
              <w:rPr>
                <w:rFonts w:ascii="Arial" w:eastAsia="Arial" w:hAnsi="Arial" w:cs="Arial"/>
              </w:rPr>
            </w:pPr>
            <w:r>
              <w:rPr>
                <w:rFonts w:ascii="Arial" w:eastAsia="Arial" w:hAnsi="Arial" w:cs="Arial"/>
              </w:rPr>
              <w:t xml:space="preserve"> </w:t>
            </w:r>
          </w:p>
        </w:tc>
        <w:tc>
          <w:tcPr>
            <w:tcW w:w="1375" w:type="dxa"/>
            <w:tcBorders>
              <w:top w:val="nil"/>
              <w:left w:val="nil"/>
              <w:bottom w:val="nil"/>
              <w:right w:val="nil"/>
            </w:tcBorders>
            <w:tcMar>
              <w:top w:w="0" w:type="dxa"/>
              <w:left w:w="0" w:type="dxa"/>
              <w:bottom w:w="0" w:type="dxa"/>
              <w:right w:w="0" w:type="dxa"/>
            </w:tcMar>
          </w:tcPr>
          <w:p w14:paraId="0F59676D" w14:textId="77777777" w:rsidR="00FA056C" w:rsidRDefault="00000000">
            <w:pPr>
              <w:ind w:left="120"/>
              <w:rPr>
                <w:rFonts w:ascii="Arial" w:eastAsia="Arial" w:hAnsi="Arial" w:cs="Arial"/>
              </w:rPr>
            </w:pPr>
            <w:r>
              <w:rPr>
                <w:rFonts w:ascii="Arial" w:eastAsia="Arial" w:hAnsi="Arial" w:cs="Arial"/>
              </w:rPr>
              <w:t xml:space="preserve"> </w:t>
            </w:r>
          </w:p>
        </w:tc>
        <w:tc>
          <w:tcPr>
            <w:tcW w:w="1375" w:type="dxa"/>
            <w:tcBorders>
              <w:top w:val="nil"/>
              <w:left w:val="nil"/>
              <w:bottom w:val="nil"/>
              <w:right w:val="nil"/>
            </w:tcBorders>
            <w:tcMar>
              <w:top w:w="0" w:type="dxa"/>
              <w:left w:w="0" w:type="dxa"/>
              <w:bottom w:w="0" w:type="dxa"/>
              <w:right w:w="0" w:type="dxa"/>
            </w:tcMar>
          </w:tcPr>
          <w:p w14:paraId="73E18AB3" w14:textId="77777777" w:rsidR="00FA056C" w:rsidRDefault="00000000">
            <w:pPr>
              <w:ind w:left="120"/>
              <w:rPr>
                <w:rFonts w:ascii="Arial" w:eastAsia="Arial" w:hAnsi="Arial" w:cs="Arial"/>
              </w:rPr>
            </w:pPr>
            <w:r>
              <w:rPr>
                <w:rFonts w:ascii="Arial" w:eastAsia="Arial" w:hAnsi="Arial" w:cs="Arial"/>
              </w:rPr>
              <w:t xml:space="preserve"> </w:t>
            </w:r>
          </w:p>
        </w:tc>
        <w:tc>
          <w:tcPr>
            <w:tcW w:w="1375" w:type="dxa"/>
            <w:tcBorders>
              <w:top w:val="nil"/>
              <w:left w:val="nil"/>
              <w:bottom w:val="nil"/>
              <w:right w:val="nil"/>
            </w:tcBorders>
            <w:tcMar>
              <w:top w:w="0" w:type="dxa"/>
              <w:left w:w="0" w:type="dxa"/>
              <w:bottom w:w="0" w:type="dxa"/>
              <w:right w:w="0" w:type="dxa"/>
            </w:tcMar>
          </w:tcPr>
          <w:p w14:paraId="2E92E785" w14:textId="77777777" w:rsidR="00FA056C" w:rsidRDefault="00000000">
            <w:pPr>
              <w:ind w:left="120"/>
              <w:rPr>
                <w:rFonts w:ascii="Arial" w:eastAsia="Arial" w:hAnsi="Arial" w:cs="Arial"/>
              </w:rPr>
            </w:pPr>
            <w:r>
              <w:rPr>
                <w:rFonts w:ascii="Arial" w:eastAsia="Arial" w:hAnsi="Arial" w:cs="Arial"/>
              </w:rPr>
              <w:t xml:space="preserve"> </w:t>
            </w:r>
          </w:p>
        </w:tc>
        <w:tc>
          <w:tcPr>
            <w:tcW w:w="1216" w:type="dxa"/>
            <w:tcBorders>
              <w:top w:val="nil"/>
              <w:left w:val="nil"/>
              <w:bottom w:val="nil"/>
              <w:right w:val="nil"/>
            </w:tcBorders>
            <w:tcMar>
              <w:top w:w="0" w:type="dxa"/>
              <w:left w:w="0" w:type="dxa"/>
              <w:bottom w:w="0" w:type="dxa"/>
              <w:right w:w="0" w:type="dxa"/>
            </w:tcMar>
          </w:tcPr>
          <w:p w14:paraId="54C8A1C5" w14:textId="77777777" w:rsidR="00FA056C" w:rsidRDefault="00000000">
            <w:pPr>
              <w:ind w:left="120"/>
              <w:rPr>
                <w:rFonts w:ascii="Arial" w:eastAsia="Arial" w:hAnsi="Arial" w:cs="Arial"/>
              </w:rPr>
            </w:pPr>
            <w:r>
              <w:rPr>
                <w:rFonts w:ascii="Arial" w:eastAsia="Arial" w:hAnsi="Arial" w:cs="Arial"/>
              </w:rPr>
              <w:t xml:space="preserve"> </w:t>
            </w:r>
          </w:p>
        </w:tc>
      </w:tr>
      <w:tr w:rsidR="00FA056C" w14:paraId="2424EF7C" w14:textId="77777777">
        <w:trPr>
          <w:trHeight w:val="510"/>
        </w:trPr>
        <w:tc>
          <w:tcPr>
            <w:tcW w:w="1506" w:type="dxa"/>
            <w:tcBorders>
              <w:top w:val="nil"/>
              <w:left w:val="nil"/>
              <w:bottom w:val="nil"/>
              <w:right w:val="nil"/>
            </w:tcBorders>
            <w:tcMar>
              <w:top w:w="0" w:type="dxa"/>
              <w:left w:w="0" w:type="dxa"/>
              <w:bottom w:w="0" w:type="dxa"/>
              <w:right w:w="0" w:type="dxa"/>
            </w:tcMar>
          </w:tcPr>
          <w:p w14:paraId="16B5C8A6" w14:textId="77777777" w:rsidR="00FA056C" w:rsidRDefault="00000000">
            <w:pPr>
              <w:ind w:left="200"/>
              <w:rPr>
                <w:rFonts w:ascii="Arial" w:eastAsia="Arial" w:hAnsi="Arial" w:cs="Arial"/>
              </w:rPr>
            </w:pPr>
            <w:r>
              <w:rPr>
                <w:rFonts w:ascii="Arial" w:eastAsia="Arial" w:hAnsi="Arial" w:cs="Arial"/>
              </w:rPr>
              <w:t>DW</w:t>
            </w:r>
          </w:p>
        </w:tc>
        <w:tc>
          <w:tcPr>
            <w:tcW w:w="1361" w:type="dxa"/>
            <w:tcBorders>
              <w:top w:val="nil"/>
              <w:left w:val="nil"/>
              <w:bottom w:val="nil"/>
              <w:right w:val="nil"/>
            </w:tcBorders>
            <w:tcMar>
              <w:top w:w="0" w:type="dxa"/>
              <w:left w:w="0" w:type="dxa"/>
              <w:bottom w:w="0" w:type="dxa"/>
              <w:right w:w="0" w:type="dxa"/>
            </w:tcMar>
          </w:tcPr>
          <w:p w14:paraId="56DF4C57" w14:textId="77777777" w:rsidR="00FA056C" w:rsidRDefault="00000000">
            <w:pPr>
              <w:ind w:left="160" w:right="40"/>
              <w:jc w:val="center"/>
              <w:rPr>
                <w:rFonts w:ascii="Arial" w:eastAsia="Arial" w:hAnsi="Arial" w:cs="Arial"/>
                <w:vertAlign w:val="superscript"/>
              </w:rPr>
            </w:pPr>
            <w:r>
              <w:rPr>
                <w:rFonts w:ascii="Arial" w:eastAsia="Arial" w:hAnsi="Arial" w:cs="Arial"/>
              </w:rPr>
              <w:t>0.22±0.15</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4F807CBF" w14:textId="77777777" w:rsidR="00FA056C" w:rsidRDefault="00000000">
            <w:pPr>
              <w:ind w:left="220" w:right="120"/>
              <w:jc w:val="center"/>
              <w:rPr>
                <w:rFonts w:ascii="Arial" w:eastAsia="Arial" w:hAnsi="Arial" w:cs="Arial"/>
                <w:vertAlign w:val="superscript"/>
              </w:rPr>
            </w:pPr>
            <w:r>
              <w:rPr>
                <w:rFonts w:ascii="Arial" w:eastAsia="Arial" w:hAnsi="Arial" w:cs="Arial"/>
              </w:rPr>
              <w:t>0.22±0.15</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0F3E8EBF" w14:textId="77777777" w:rsidR="00FA056C" w:rsidRDefault="00000000">
            <w:pPr>
              <w:ind w:left="220" w:right="120"/>
              <w:jc w:val="center"/>
              <w:rPr>
                <w:rFonts w:ascii="Arial" w:eastAsia="Arial" w:hAnsi="Arial" w:cs="Arial"/>
                <w:vertAlign w:val="superscript"/>
              </w:rPr>
            </w:pPr>
            <w:r>
              <w:rPr>
                <w:rFonts w:ascii="Arial" w:eastAsia="Arial" w:hAnsi="Arial" w:cs="Arial"/>
              </w:rPr>
              <w:t>0.21±0.15</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6DF6E351" w14:textId="77777777" w:rsidR="00FA056C" w:rsidRDefault="00000000">
            <w:pPr>
              <w:ind w:left="220" w:right="120"/>
              <w:jc w:val="center"/>
              <w:rPr>
                <w:rFonts w:ascii="Arial" w:eastAsia="Arial" w:hAnsi="Arial" w:cs="Arial"/>
                <w:vertAlign w:val="superscript"/>
              </w:rPr>
            </w:pPr>
            <w:r>
              <w:rPr>
                <w:rFonts w:ascii="Arial" w:eastAsia="Arial" w:hAnsi="Arial" w:cs="Arial"/>
              </w:rPr>
              <w:t>0.22±0.13</w:t>
            </w:r>
            <w:r>
              <w:rPr>
                <w:rFonts w:ascii="Arial" w:eastAsia="Arial" w:hAnsi="Arial" w:cs="Arial"/>
                <w:vertAlign w:val="superscript"/>
              </w:rPr>
              <w:t>Aa</w:t>
            </w:r>
          </w:p>
        </w:tc>
        <w:tc>
          <w:tcPr>
            <w:tcW w:w="1216" w:type="dxa"/>
            <w:tcBorders>
              <w:top w:val="nil"/>
              <w:left w:val="nil"/>
              <w:bottom w:val="nil"/>
              <w:right w:val="nil"/>
            </w:tcBorders>
            <w:tcMar>
              <w:top w:w="0" w:type="dxa"/>
              <w:left w:w="0" w:type="dxa"/>
              <w:bottom w:w="0" w:type="dxa"/>
              <w:right w:w="0" w:type="dxa"/>
            </w:tcMar>
          </w:tcPr>
          <w:p w14:paraId="337B8187" w14:textId="77777777" w:rsidR="00FA056C" w:rsidRDefault="00000000">
            <w:pPr>
              <w:ind w:left="280" w:right="160"/>
              <w:jc w:val="center"/>
              <w:rPr>
                <w:rFonts w:ascii="Arial" w:eastAsia="Arial" w:hAnsi="Arial" w:cs="Arial"/>
              </w:rPr>
            </w:pPr>
            <w:r>
              <w:rPr>
                <w:rFonts w:ascii="Arial" w:eastAsia="Arial" w:hAnsi="Arial" w:cs="Arial"/>
              </w:rPr>
              <w:t>0.810</w:t>
            </w:r>
          </w:p>
        </w:tc>
      </w:tr>
      <w:tr w:rsidR="00FA056C" w14:paraId="66ED8F4B" w14:textId="77777777">
        <w:trPr>
          <w:trHeight w:val="510"/>
        </w:trPr>
        <w:tc>
          <w:tcPr>
            <w:tcW w:w="1506" w:type="dxa"/>
            <w:tcBorders>
              <w:top w:val="nil"/>
              <w:left w:val="nil"/>
              <w:bottom w:val="nil"/>
              <w:right w:val="nil"/>
            </w:tcBorders>
            <w:tcMar>
              <w:top w:w="0" w:type="dxa"/>
              <w:left w:w="0" w:type="dxa"/>
              <w:bottom w:w="0" w:type="dxa"/>
              <w:right w:w="0" w:type="dxa"/>
            </w:tcMar>
          </w:tcPr>
          <w:p w14:paraId="380440EA" w14:textId="77777777" w:rsidR="00FA056C" w:rsidRDefault="00000000">
            <w:pPr>
              <w:ind w:left="200"/>
              <w:rPr>
                <w:rFonts w:ascii="Arial" w:eastAsia="Arial" w:hAnsi="Arial" w:cs="Arial"/>
              </w:rPr>
            </w:pPr>
            <w:r>
              <w:rPr>
                <w:rFonts w:ascii="Arial" w:eastAsia="Arial" w:hAnsi="Arial" w:cs="Arial"/>
              </w:rPr>
              <w:t>PD</w:t>
            </w:r>
          </w:p>
        </w:tc>
        <w:tc>
          <w:tcPr>
            <w:tcW w:w="1361" w:type="dxa"/>
            <w:tcBorders>
              <w:top w:val="nil"/>
              <w:left w:val="nil"/>
              <w:bottom w:val="nil"/>
              <w:right w:val="nil"/>
            </w:tcBorders>
            <w:tcMar>
              <w:top w:w="0" w:type="dxa"/>
              <w:left w:w="0" w:type="dxa"/>
              <w:bottom w:w="0" w:type="dxa"/>
              <w:right w:w="0" w:type="dxa"/>
            </w:tcMar>
          </w:tcPr>
          <w:p w14:paraId="163B14D2" w14:textId="77777777" w:rsidR="00FA056C" w:rsidRDefault="00000000">
            <w:pPr>
              <w:ind w:left="160" w:right="40"/>
              <w:jc w:val="center"/>
              <w:rPr>
                <w:rFonts w:ascii="Arial" w:eastAsia="Arial" w:hAnsi="Arial" w:cs="Arial"/>
                <w:vertAlign w:val="superscript"/>
              </w:rPr>
            </w:pPr>
            <w:r>
              <w:rPr>
                <w:rFonts w:ascii="Arial" w:eastAsia="Arial" w:hAnsi="Arial" w:cs="Arial"/>
              </w:rPr>
              <w:t>0.19±0.08</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739A7E86" w14:textId="77777777" w:rsidR="00FA056C" w:rsidRDefault="00000000">
            <w:pPr>
              <w:ind w:left="220" w:right="120"/>
              <w:jc w:val="center"/>
              <w:rPr>
                <w:rFonts w:ascii="Arial" w:eastAsia="Arial" w:hAnsi="Arial" w:cs="Arial"/>
                <w:vertAlign w:val="superscript"/>
              </w:rPr>
            </w:pPr>
            <w:r>
              <w:rPr>
                <w:rFonts w:ascii="Arial" w:eastAsia="Arial" w:hAnsi="Arial" w:cs="Arial"/>
              </w:rPr>
              <w:t>0.20±0.06</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08F4CA67" w14:textId="77777777" w:rsidR="00FA056C" w:rsidRDefault="00000000">
            <w:pPr>
              <w:ind w:left="220" w:right="120"/>
              <w:jc w:val="center"/>
              <w:rPr>
                <w:rFonts w:ascii="Arial" w:eastAsia="Arial" w:hAnsi="Arial" w:cs="Arial"/>
                <w:vertAlign w:val="superscript"/>
              </w:rPr>
            </w:pPr>
            <w:r>
              <w:rPr>
                <w:rFonts w:ascii="Arial" w:eastAsia="Arial" w:hAnsi="Arial" w:cs="Arial"/>
              </w:rPr>
              <w:t>0.21±0.07</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32057E4D" w14:textId="77777777" w:rsidR="00FA056C" w:rsidRDefault="00000000">
            <w:pPr>
              <w:ind w:left="220" w:right="120"/>
              <w:jc w:val="center"/>
              <w:rPr>
                <w:rFonts w:ascii="Arial" w:eastAsia="Arial" w:hAnsi="Arial" w:cs="Arial"/>
                <w:vertAlign w:val="superscript"/>
              </w:rPr>
            </w:pPr>
            <w:r>
              <w:rPr>
                <w:rFonts w:ascii="Arial" w:eastAsia="Arial" w:hAnsi="Arial" w:cs="Arial"/>
              </w:rPr>
              <w:t>0.22±0.09</w:t>
            </w:r>
            <w:r>
              <w:rPr>
                <w:rFonts w:ascii="Arial" w:eastAsia="Arial" w:hAnsi="Arial" w:cs="Arial"/>
                <w:vertAlign w:val="superscript"/>
              </w:rPr>
              <w:t>Aa</w:t>
            </w:r>
          </w:p>
        </w:tc>
        <w:tc>
          <w:tcPr>
            <w:tcW w:w="1216" w:type="dxa"/>
            <w:tcBorders>
              <w:top w:val="nil"/>
              <w:left w:val="nil"/>
              <w:bottom w:val="nil"/>
              <w:right w:val="nil"/>
            </w:tcBorders>
            <w:tcMar>
              <w:top w:w="0" w:type="dxa"/>
              <w:left w:w="0" w:type="dxa"/>
              <w:bottom w:w="0" w:type="dxa"/>
              <w:right w:w="0" w:type="dxa"/>
            </w:tcMar>
          </w:tcPr>
          <w:p w14:paraId="17CB223F" w14:textId="77777777" w:rsidR="00FA056C" w:rsidRDefault="00000000">
            <w:pPr>
              <w:ind w:left="280" w:right="160"/>
              <w:jc w:val="center"/>
              <w:rPr>
                <w:rFonts w:ascii="Arial" w:eastAsia="Arial" w:hAnsi="Arial" w:cs="Arial"/>
              </w:rPr>
            </w:pPr>
            <w:r>
              <w:rPr>
                <w:rFonts w:ascii="Arial" w:eastAsia="Arial" w:hAnsi="Arial" w:cs="Arial"/>
              </w:rPr>
              <w:t>0.206</w:t>
            </w:r>
          </w:p>
        </w:tc>
      </w:tr>
      <w:tr w:rsidR="00FA056C" w14:paraId="73598722" w14:textId="77777777">
        <w:trPr>
          <w:trHeight w:val="525"/>
        </w:trPr>
        <w:tc>
          <w:tcPr>
            <w:tcW w:w="1506" w:type="dxa"/>
            <w:tcBorders>
              <w:top w:val="nil"/>
              <w:left w:val="nil"/>
              <w:bottom w:val="single" w:sz="6" w:space="0" w:color="000000"/>
              <w:right w:val="nil"/>
            </w:tcBorders>
            <w:tcMar>
              <w:top w:w="0" w:type="dxa"/>
              <w:left w:w="0" w:type="dxa"/>
              <w:bottom w:w="0" w:type="dxa"/>
              <w:right w:w="0" w:type="dxa"/>
            </w:tcMar>
          </w:tcPr>
          <w:p w14:paraId="429F2A3B" w14:textId="77777777" w:rsidR="00FA056C" w:rsidRDefault="00000000">
            <w:pPr>
              <w:ind w:left="200"/>
              <w:rPr>
                <w:rFonts w:ascii="Arial" w:eastAsia="Arial" w:hAnsi="Arial" w:cs="Arial"/>
              </w:rPr>
            </w:pPr>
            <w:r>
              <w:rPr>
                <w:rFonts w:ascii="Arial" w:eastAsia="Arial" w:hAnsi="Arial" w:cs="Arial"/>
              </w:rPr>
              <w:t>CD</w:t>
            </w:r>
          </w:p>
        </w:tc>
        <w:tc>
          <w:tcPr>
            <w:tcW w:w="1361" w:type="dxa"/>
            <w:tcBorders>
              <w:top w:val="nil"/>
              <w:left w:val="nil"/>
              <w:bottom w:val="single" w:sz="6" w:space="0" w:color="000000"/>
              <w:right w:val="nil"/>
            </w:tcBorders>
            <w:tcMar>
              <w:top w:w="0" w:type="dxa"/>
              <w:left w:w="0" w:type="dxa"/>
              <w:bottom w:w="0" w:type="dxa"/>
              <w:right w:w="0" w:type="dxa"/>
            </w:tcMar>
          </w:tcPr>
          <w:p w14:paraId="6F23E82E" w14:textId="77777777" w:rsidR="00FA056C" w:rsidRDefault="00000000">
            <w:pPr>
              <w:ind w:left="160" w:right="40"/>
              <w:jc w:val="center"/>
              <w:rPr>
                <w:rFonts w:ascii="Arial" w:eastAsia="Arial" w:hAnsi="Arial" w:cs="Arial"/>
                <w:vertAlign w:val="superscript"/>
              </w:rPr>
            </w:pPr>
            <w:r>
              <w:rPr>
                <w:rFonts w:ascii="Arial" w:eastAsia="Arial" w:hAnsi="Arial" w:cs="Arial"/>
              </w:rPr>
              <w:t>0.21±0.13</w:t>
            </w:r>
            <w:r>
              <w:rPr>
                <w:rFonts w:ascii="Arial" w:eastAsia="Arial" w:hAnsi="Arial" w:cs="Arial"/>
                <w:vertAlign w:val="superscript"/>
              </w:rPr>
              <w:t>Aa</w:t>
            </w:r>
          </w:p>
        </w:tc>
        <w:tc>
          <w:tcPr>
            <w:tcW w:w="1375" w:type="dxa"/>
            <w:tcBorders>
              <w:top w:val="nil"/>
              <w:left w:val="nil"/>
              <w:bottom w:val="single" w:sz="6" w:space="0" w:color="000000"/>
              <w:right w:val="nil"/>
            </w:tcBorders>
            <w:tcMar>
              <w:top w:w="0" w:type="dxa"/>
              <w:left w:w="0" w:type="dxa"/>
              <w:bottom w:w="0" w:type="dxa"/>
              <w:right w:w="0" w:type="dxa"/>
            </w:tcMar>
          </w:tcPr>
          <w:p w14:paraId="4F8F293E" w14:textId="77777777" w:rsidR="00FA056C" w:rsidRDefault="00000000">
            <w:pPr>
              <w:ind w:left="220" w:right="120"/>
              <w:jc w:val="center"/>
              <w:rPr>
                <w:rFonts w:ascii="Arial" w:eastAsia="Arial" w:hAnsi="Arial" w:cs="Arial"/>
                <w:vertAlign w:val="superscript"/>
              </w:rPr>
            </w:pPr>
            <w:r>
              <w:rPr>
                <w:rFonts w:ascii="Arial" w:eastAsia="Arial" w:hAnsi="Arial" w:cs="Arial"/>
              </w:rPr>
              <w:t>0.27±0.13</w:t>
            </w:r>
            <w:r>
              <w:rPr>
                <w:rFonts w:ascii="Arial" w:eastAsia="Arial" w:hAnsi="Arial" w:cs="Arial"/>
                <w:vertAlign w:val="superscript"/>
              </w:rPr>
              <w:t>Aa</w:t>
            </w:r>
          </w:p>
        </w:tc>
        <w:tc>
          <w:tcPr>
            <w:tcW w:w="1375" w:type="dxa"/>
            <w:tcBorders>
              <w:top w:val="nil"/>
              <w:left w:val="nil"/>
              <w:bottom w:val="single" w:sz="6" w:space="0" w:color="000000"/>
              <w:right w:val="nil"/>
            </w:tcBorders>
            <w:tcMar>
              <w:top w:w="0" w:type="dxa"/>
              <w:left w:w="0" w:type="dxa"/>
              <w:bottom w:w="0" w:type="dxa"/>
              <w:right w:w="0" w:type="dxa"/>
            </w:tcMar>
          </w:tcPr>
          <w:p w14:paraId="422E052B" w14:textId="77777777" w:rsidR="00FA056C" w:rsidRDefault="00000000">
            <w:pPr>
              <w:ind w:left="240" w:right="100"/>
              <w:jc w:val="center"/>
              <w:rPr>
                <w:rFonts w:ascii="Arial" w:eastAsia="Arial" w:hAnsi="Arial" w:cs="Arial"/>
                <w:vertAlign w:val="superscript"/>
              </w:rPr>
            </w:pPr>
            <w:r>
              <w:rPr>
                <w:rFonts w:ascii="Arial" w:eastAsia="Arial" w:hAnsi="Arial" w:cs="Arial"/>
              </w:rPr>
              <w:t>0.38±0.19</w:t>
            </w:r>
            <w:r>
              <w:rPr>
                <w:rFonts w:ascii="Arial" w:eastAsia="Arial" w:hAnsi="Arial" w:cs="Arial"/>
                <w:vertAlign w:val="superscript"/>
              </w:rPr>
              <w:t>Bb</w:t>
            </w:r>
          </w:p>
        </w:tc>
        <w:tc>
          <w:tcPr>
            <w:tcW w:w="1375" w:type="dxa"/>
            <w:tcBorders>
              <w:top w:val="nil"/>
              <w:left w:val="nil"/>
              <w:bottom w:val="single" w:sz="6" w:space="0" w:color="000000"/>
              <w:right w:val="nil"/>
            </w:tcBorders>
            <w:tcMar>
              <w:top w:w="0" w:type="dxa"/>
              <w:left w:w="0" w:type="dxa"/>
              <w:bottom w:w="0" w:type="dxa"/>
              <w:right w:w="0" w:type="dxa"/>
            </w:tcMar>
          </w:tcPr>
          <w:p w14:paraId="7A890DB2" w14:textId="77777777" w:rsidR="00FA056C" w:rsidRDefault="00000000">
            <w:pPr>
              <w:ind w:left="220" w:right="100"/>
              <w:jc w:val="center"/>
              <w:rPr>
                <w:rFonts w:ascii="Arial" w:eastAsia="Arial" w:hAnsi="Arial" w:cs="Arial"/>
                <w:vertAlign w:val="superscript"/>
              </w:rPr>
            </w:pPr>
            <w:r>
              <w:rPr>
                <w:rFonts w:ascii="Arial" w:eastAsia="Arial" w:hAnsi="Arial" w:cs="Arial"/>
              </w:rPr>
              <w:t>0.39±0.16</w:t>
            </w:r>
            <w:r>
              <w:rPr>
                <w:rFonts w:ascii="Arial" w:eastAsia="Arial" w:hAnsi="Arial" w:cs="Arial"/>
                <w:vertAlign w:val="superscript"/>
              </w:rPr>
              <w:t>Bb</w:t>
            </w:r>
          </w:p>
        </w:tc>
        <w:tc>
          <w:tcPr>
            <w:tcW w:w="1216" w:type="dxa"/>
            <w:tcBorders>
              <w:top w:val="nil"/>
              <w:left w:val="nil"/>
              <w:bottom w:val="single" w:sz="6" w:space="0" w:color="000000"/>
              <w:right w:val="nil"/>
            </w:tcBorders>
            <w:tcMar>
              <w:top w:w="0" w:type="dxa"/>
              <w:left w:w="0" w:type="dxa"/>
              <w:bottom w:w="0" w:type="dxa"/>
              <w:right w:w="0" w:type="dxa"/>
            </w:tcMar>
          </w:tcPr>
          <w:p w14:paraId="76DF6603" w14:textId="77777777" w:rsidR="00FA056C" w:rsidRDefault="00000000">
            <w:pPr>
              <w:ind w:left="280" w:right="160"/>
              <w:jc w:val="center"/>
              <w:rPr>
                <w:rFonts w:ascii="Arial" w:eastAsia="Arial" w:hAnsi="Arial" w:cs="Arial"/>
                <w:b/>
                <w:i/>
              </w:rPr>
            </w:pPr>
            <w:r>
              <w:rPr>
                <w:rFonts w:ascii="Arial" w:eastAsia="Arial" w:hAnsi="Arial" w:cs="Arial"/>
                <w:b/>
                <w:i/>
              </w:rPr>
              <w:t>&lt; 0.001</w:t>
            </w:r>
          </w:p>
        </w:tc>
      </w:tr>
      <w:tr w:rsidR="00FA056C" w14:paraId="6A982BD6" w14:textId="77777777">
        <w:trPr>
          <w:trHeight w:val="405"/>
        </w:trPr>
        <w:tc>
          <w:tcPr>
            <w:tcW w:w="1506" w:type="dxa"/>
            <w:tcBorders>
              <w:top w:val="nil"/>
              <w:left w:val="nil"/>
              <w:bottom w:val="single" w:sz="6" w:space="0" w:color="000000"/>
              <w:right w:val="nil"/>
            </w:tcBorders>
            <w:tcMar>
              <w:top w:w="0" w:type="dxa"/>
              <w:left w:w="0" w:type="dxa"/>
              <w:bottom w:w="0" w:type="dxa"/>
              <w:right w:w="0" w:type="dxa"/>
            </w:tcMar>
          </w:tcPr>
          <w:p w14:paraId="4CA221E8" w14:textId="77777777" w:rsidR="00FA056C" w:rsidRDefault="00000000">
            <w:pPr>
              <w:ind w:left="400"/>
              <w:rPr>
                <w:rFonts w:ascii="Arial" w:eastAsia="Arial" w:hAnsi="Arial" w:cs="Arial"/>
                <w:b/>
              </w:rPr>
            </w:pPr>
            <w:r>
              <w:rPr>
                <w:rFonts w:ascii="Arial" w:eastAsia="Arial" w:hAnsi="Arial" w:cs="Arial"/>
                <w:b/>
                <w:i/>
              </w:rPr>
              <w:t>P</w:t>
            </w:r>
            <w:r>
              <w:rPr>
                <w:rFonts w:ascii="Arial" w:eastAsia="Arial" w:hAnsi="Arial" w:cs="Arial"/>
                <w:b/>
              </w:rPr>
              <w:t>-Value</w:t>
            </w:r>
          </w:p>
        </w:tc>
        <w:tc>
          <w:tcPr>
            <w:tcW w:w="1361" w:type="dxa"/>
            <w:tcBorders>
              <w:top w:val="nil"/>
              <w:left w:val="nil"/>
              <w:bottom w:val="single" w:sz="6" w:space="0" w:color="000000"/>
              <w:right w:val="nil"/>
            </w:tcBorders>
            <w:tcMar>
              <w:top w:w="0" w:type="dxa"/>
              <w:left w:w="0" w:type="dxa"/>
              <w:bottom w:w="0" w:type="dxa"/>
              <w:right w:w="0" w:type="dxa"/>
            </w:tcMar>
          </w:tcPr>
          <w:p w14:paraId="02FB932F" w14:textId="77777777" w:rsidR="00FA056C" w:rsidRDefault="00000000">
            <w:pPr>
              <w:ind w:left="160" w:right="40"/>
              <w:jc w:val="center"/>
              <w:rPr>
                <w:rFonts w:ascii="Arial" w:eastAsia="Arial" w:hAnsi="Arial" w:cs="Arial"/>
              </w:rPr>
            </w:pPr>
            <w:r>
              <w:rPr>
                <w:rFonts w:ascii="Arial" w:eastAsia="Arial" w:hAnsi="Arial" w:cs="Arial"/>
              </w:rPr>
              <w:t>0.123</w:t>
            </w:r>
          </w:p>
        </w:tc>
        <w:tc>
          <w:tcPr>
            <w:tcW w:w="1375" w:type="dxa"/>
            <w:tcBorders>
              <w:top w:val="nil"/>
              <w:left w:val="nil"/>
              <w:bottom w:val="single" w:sz="6" w:space="0" w:color="000000"/>
              <w:right w:val="nil"/>
            </w:tcBorders>
            <w:tcMar>
              <w:top w:w="0" w:type="dxa"/>
              <w:left w:w="0" w:type="dxa"/>
              <w:bottom w:w="0" w:type="dxa"/>
              <w:right w:w="0" w:type="dxa"/>
            </w:tcMar>
          </w:tcPr>
          <w:p w14:paraId="084A13A5" w14:textId="77777777" w:rsidR="00FA056C" w:rsidRDefault="00000000">
            <w:pPr>
              <w:ind w:left="220" w:right="100"/>
              <w:jc w:val="center"/>
              <w:rPr>
                <w:rFonts w:ascii="Arial" w:eastAsia="Arial" w:hAnsi="Arial" w:cs="Arial"/>
              </w:rPr>
            </w:pPr>
            <w:r>
              <w:rPr>
                <w:rFonts w:ascii="Arial" w:eastAsia="Arial" w:hAnsi="Arial" w:cs="Arial"/>
              </w:rPr>
              <w:t>0.451</w:t>
            </w:r>
          </w:p>
        </w:tc>
        <w:tc>
          <w:tcPr>
            <w:tcW w:w="1375" w:type="dxa"/>
            <w:tcBorders>
              <w:top w:val="nil"/>
              <w:left w:val="nil"/>
              <w:bottom w:val="single" w:sz="6" w:space="0" w:color="000000"/>
              <w:right w:val="nil"/>
            </w:tcBorders>
            <w:tcMar>
              <w:top w:w="0" w:type="dxa"/>
              <w:left w:w="0" w:type="dxa"/>
              <w:bottom w:w="0" w:type="dxa"/>
              <w:right w:w="0" w:type="dxa"/>
            </w:tcMar>
          </w:tcPr>
          <w:p w14:paraId="1CE062CF" w14:textId="77777777" w:rsidR="00FA056C" w:rsidRDefault="00000000">
            <w:pPr>
              <w:ind w:left="240" w:right="120"/>
              <w:jc w:val="center"/>
              <w:rPr>
                <w:rFonts w:ascii="Arial" w:eastAsia="Arial" w:hAnsi="Arial" w:cs="Arial"/>
                <w:b/>
                <w:i/>
              </w:rPr>
            </w:pPr>
            <w:r>
              <w:rPr>
                <w:rFonts w:ascii="Arial" w:eastAsia="Arial" w:hAnsi="Arial" w:cs="Arial"/>
                <w:b/>
                <w:i/>
              </w:rPr>
              <w:t>0.020</w:t>
            </w:r>
          </w:p>
        </w:tc>
        <w:tc>
          <w:tcPr>
            <w:tcW w:w="1375" w:type="dxa"/>
            <w:tcBorders>
              <w:top w:val="nil"/>
              <w:left w:val="nil"/>
              <w:bottom w:val="single" w:sz="6" w:space="0" w:color="000000"/>
              <w:right w:val="nil"/>
            </w:tcBorders>
            <w:tcMar>
              <w:top w:w="0" w:type="dxa"/>
              <w:left w:w="0" w:type="dxa"/>
              <w:bottom w:w="0" w:type="dxa"/>
              <w:right w:w="0" w:type="dxa"/>
            </w:tcMar>
          </w:tcPr>
          <w:p w14:paraId="673B5CB4" w14:textId="77777777" w:rsidR="00FA056C" w:rsidRDefault="00000000">
            <w:pPr>
              <w:ind w:left="220" w:right="100"/>
              <w:jc w:val="center"/>
              <w:rPr>
                <w:rFonts w:ascii="Arial" w:eastAsia="Arial" w:hAnsi="Arial" w:cs="Arial"/>
                <w:b/>
                <w:i/>
              </w:rPr>
            </w:pPr>
            <w:r>
              <w:rPr>
                <w:rFonts w:ascii="Arial" w:eastAsia="Arial" w:hAnsi="Arial" w:cs="Arial"/>
                <w:b/>
                <w:i/>
              </w:rPr>
              <w:t>0.009</w:t>
            </w:r>
          </w:p>
        </w:tc>
        <w:tc>
          <w:tcPr>
            <w:tcW w:w="1216" w:type="dxa"/>
            <w:tcBorders>
              <w:top w:val="nil"/>
              <w:left w:val="nil"/>
              <w:bottom w:val="single" w:sz="6" w:space="0" w:color="000000"/>
              <w:right w:val="nil"/>
            </w:tcBorders>
            <w:tcMar>
              <w:top w:w="0" w:type="dxa"/>
              <w:left w:w="0" w:type="dxa"/>
              <w:bottom w:w="0" w:type="dxa"/>
              <w:right w:w="0" w:type="dxa"/>
            </w:tcMar>
          </w:tcPr>
          <w:p w14:paraId="6B605B37" w14:textId="77777777" w:rsidR="00FA056C" w:rsidRDefault="00000000">
            <w:pPr>
              <w:ind w:left="120"/>
              <w:rPr>
                <w:rFonts w:ascii="Arial" w:eastAsia="Arial" w:hAnsi="Arial" w:cs="Arial"/>
              </w:rPr>
            </w:pPr>
            <w:r>
              <w:rPr>
                <w:rFonts w:ascii="Arial" w:eastAsia="Arial" w:hAnsi="Arial" w:cs="Arial"/>
              </w:rPr>
              <w:t xml:space="preserve"> </w:t>
            </w:r>
          </w:p>
        </w:tc>
      </w:tr>
    </w:tbl>
    <w:p w14:paraId="6AD6AF72" w14:textId="77777777" w:rsidR="00FA056C" w:rsidRDefault="00000000">
      <w:pPr>
        <w:jc w:val="both"/>
        <w:rPr>
          <w:rFonts w:ascii="Arial" w:eastAsia="Arial" w:hAnsi="Arial" w:cs="Arial"/>
          <w:i/>
          <w:sz w:val="18"/>
          <w:szCs w:val="18"/>
        </w:rPr>
      </w:pPr>
      <w:r>
        <w:rPr>
          <w:rFonts w:ascii="Arial" w:eastAsia="Arial" w:hAnsi="Arial" w:cs="Arial"/>
          <w:i/>
          <w:sz w:val="18"/>
          <w:szCs w:val="18"/>
        </w:rPr>
        <w:t>Different lowercase letters = significant difference between evaluation periods of the same group. Different capital letters = significant difference between groups in the same evaluation period.</w:t>
      </w:r>
    </w:p>
    <w:p w14:paraId="4915882C" w14:textId="77777777" w:rsidR="00FA056C" w:rsidRDefault="00FA056C">
      <w:pPr>
        <w:pBdr>
          <w:top w:val="nil"/>
          <w:left w:val="nil"/>
          <w:bottom w:val="nil"/>
          <w:right w:val="nil"/>
          <w:between w:val="nil"/>
        </w:pBdr>
        <w:jc w:val="both"/>
        <w:rPr>
          <w:rFonts w:ascii="Arial" w:eastAsia="Arial" w:hAnsi="Arial" w:cs="Arial"/>
        </w:rPr>
      </w:pPr>
    </w:p>
    <w:p w14:paraId="5A15DF38" w14:textId="77777777" w:rsidR="00FA056C" w:rsidRDefault="00000000">
      <w:pPr>
        <w:jc w:val="both"/>
        <w:rPr>
          <w:rFonts w:ascii="Arial" w:eastAsia="Arial" w:hAnsi="Arial" w:cs="Arial"/>
          <w:b/>
          <w:sz w:val="22"/>
          <w:szCs w:val="22"/>
        </w:rPr>
      </w:pPr>
      <w:r>
        <w:rPr>
          <w:rFonts w:ascii="Arial" w:eastAsia="Arial" w:hAnsi="Arial" w:cs="Arial"/>
          <w:b/>
          <w:smallCaps/>
          <w:sz w:val="22"/>
          <w:szCs w:val="22"/>
        </w:rPr>
        <w:t xml:space="preserve">3.1.3. </w:t>
      </w:r>
      <w:r>
        <w:rPr>
          <w:rFonts w:ascii="Arial" w:eastAsia="Arial" w:hAnsi="Arial" w:cs="Arial"/>
          <w:b/>
          <w:sz w:val="22"/>
          <w:szCs w:val="22"/>
        </w:rPr>
        <w:t xml:space="preserve">Microhardness Analysis </w:t>
      </w:r>
    </w:p>
    <w:p w14:paraId="14213C04" w14:textId="77777777" w:rsidR="00FA056C" w:rsidRDefault="00FA056C">
      <w:pPr>
        <w:pBdr>
          <w:top w:val="nil"/>
          <w:left w:val="nil"/>
          <w:bottom w:val="nil"/>
          <w:right w:val="nil"/>
          <w:between w:val="nil"/>
        </w:pBdr>
        <w:jc w:val="both"/>
        <w:rPr>
          <w:rFonts w:ascii="Arial" w:eastAsia="Arial" w:hAnsi="Arial" w:cs="Arial"/>
        </w:rPr>
      </w:pPr>
    </w:p>
    <w:p w14:paraId="5A0822AB" w14:textId="77777777" w:rsidR="00FA056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rPr>
        <w:t>At the end of the 60-month simulated brushing period, the mean microhardness did not differ significantly among any of the groups. Table 3 presents the microhardness means throughout the study.</w:t>
      </w:r>
    </w:p>
    <w:p w14:paraId="0526E353" w14:textId="77777777" w:rsidR="00FA056C" w:rsidRDefault="00FA056C">
      <w:pPr>
        <w:pBdr>
          <w:top w:val="nil"/>
          <w:left w:val="nil"/>
          <w:bottom w:val="nil"/>
          <w:right w:val="nil"/>
          <w:between w:val="nil"/>
        </w:pBdr>
        <w:jc w:val="both"/>
        <w:rPr>
          <w:rFonts w:ascii="Arial" w:eastAsia="Arial" w:hAnsi="Arial" w:cs="Arial"/>
        </w:rPr>
      </w:pPr>
    </w:p>
    <w:p w14:paraId="3FEB9B87" w14:textId="77777777" w:rsidR="00FA056C" w:rsidRDefault="00000000">
      <w:pPr>
        <w:spacing w:line="360" w:lineRule="auto"/>
        <w:jc w:val="both"/>
        <w:rPr>
          <w:rFonts w:ascii="Arial" w:eastAsia="Arial" w:hAnsi="Arial" w:cs="Arial"/>
          <w:sz w:val="24"/>
          <w:szCs w:val="24"/>
        </w:rPr>
      </w:pPr>
      <w:r>
        <w:rPr>
          <w:rFonts w:ascii="Arial" w:eastAsia="Arial" w:hAnsi="Arial" w:cs="Arial"/>
          <w:b/>
        </w:rPr>
        <w:t>Table 3. Means and standard deviation of microhardness according to the treatment and time.</w:t>
      </w:r>
    </w:p>
    <w:p w14:paraId="4CBA629C" w14:textId="77777777" w:rsidR="00FA056C" w:rsidRDefault="00000000">
      <w:pPr>
        <w:pStyle w:val="Ttulo1"/>
        <w:keepNext w:val="0"/>
        <w:spacing w:before="0" w:after="0"/>
        <w:ind w:left="2340" w:right="2040"/>
        <w:jc w:val="center"/>
        <w:rPr>
          <w:sz w:val="20"/>
          <w:szCs w:val="20"/>
        </w:rPr>
      </w:pPr>
      <w:bookmarkStart w:id="3" w:name="_heading=h.8w759wx0b2fl" w:colFirst="0" w:colLast="0"/>
      <w:bookmarkEnd w:id="3"/>
      <w:r>
        <w:rPr>
          <w:sz w:val="20"/>
          <w:szCs w:val="20"/>
        </w:rPr>
        <w:t>Time</w:t>
      </w:r>
    </w:p>
    <w:tbl>
      <w:tblPr>
        <w:tblStyle w:val="af1"/>
        <w:tblW w:w="8360" w:type="dxa"/>
        <w:tblInd w:w="-140" w:type="dxa"/>
        <w:tblBorders>
          <w:top w:val="nil"/>
          <w:left w:val="nil"/>
          <w:bottom w:val="nil"/>
          <w:right w:val="nil"/>
          <w:insideH w:val="nil"/>
          <w:insideV w:val="nil"/>
        </w:tblBorders>
        <w:tblLayout w:type="fixed"/>
        <w:tblLook w:val="0600" w:firstRow="0" w:lastRow="0" w:firstColumn="0" w:lastColumn="0" w:noHBand="1" w:noVBand="1"/>
      </w:tblPr>
      <w:tblGrid>
        <w:gridCol w:w="1640"/>
        <w:gridCol w:w="1380"/>
        <w:gridCol w:w="1380"/>
        <w:gridCol w:w="1380"/>
        <w:gridCol w:w="1380"/>
        <w:gridCol w:w="1200"/>
      </w:tblGrid>
      <w:tr w:rsidR="00FA056C" w14:paraId="5105811F" w14:textId="77777777">
        <w:trPr>
          <w:trHeight w:val="420"/>
        </w:trPr>
        <w:tc>
          <w:tcPr>
            <w:tcW w:w="1640" w:type="dxa"/>
            <w:tcBorders>
              <w:top w:val="nil"/>
              <w:left w:val="nil"/>
              <w:bottom w:val="single" w:sz="6" w:space="0" w:color="000000"/>
              <w:right w:val="nil"/>
            </w:tcBorders>
            <w:tcMar>
              <w:top w:w="0" w:type="dxa"/>
              <w:left w:w="0" w:type="dxa"/>
              <w:bottom w:w="0" w:type="dxa"/>
              <w:right w:w="0" w:type="dxa"/>
            </w:tcMar>
          </w:tcPr>
          <w:p w14:paraId="2565C8F9" w14:textId="77777777" w:rsidR="00FA056C" w:rsidRDefault="00000000">
            <w:pPr>
              <w:ind w:left="120"/>
              <w:rPr>
                <w:rFonts w:ascii="Arial" w:eastAsia="Arial" w:hAnsi="Arial" w:cs="Arial"/>
              </w:rPr>
            </w:pPr>
            <w:r>
              <w:rPr>
                <w:rFonts w:ascii="Arial" w:eastAsia="Arial" w:hAnsi="Arial" w:cs="Arial"/>
              </w:rPr>
              <w:t xml:space="preserve"> </w:t>
            </w:r>
          </w:p>
        </w:tc>
        <w:tc>
          <w:tcPr>
            <w:tcW w:w="1380" w:type="dxa"/>
            <w:tcBorders>
              <w:top w:val="single" w:sz="6" w:space="0" w:color="000000"/>
              <w:left w:val="nil"/>
              <w:bottom w:val="single" w:sz="6" w:space="0" w:color="000000"/>
              <w:right w:val="nil"/>
            </w:tcBorders>
            <w:tcMar>
              <w:top w:w="0" w:type="dxa"/>
              <w:left w:w="0" w:type="dxa"/>
              <w:bottom w:w="0" w:type="dxa"/>
              <w:right w:w="0" w:type="dxa"/>
            </w:tcMar>
          </w:tcPr>
          <w:p w14:paraId="4CDBCB2D" w14:textId="77777777" w:rsidR="00FA056C" w:rsidRDefault="00000000">
            <w:pPr>
              <w:ind w:left="160" w:right="40"/>
              <w:jc w:val="center"/>
              <w:rPr>
                <w:rFonts w:ascii="Arial" w:eastAsia="Arial" w:hAnsi="Arial" w:cs="Arial"/>
                <w:b/>
              </w:rPr>
            </w:pPr>
            <w:r>
              <w:rPr>
                <w:rFonts w:ascii="Arial" w:eastAsia="Arial" w:hAnsi="Arial" w:cs="Arial"/>
                <w:b/>
              </w:rPr>
              <w:t>T0</w:t>
            </w:r>
          </w:p>
        </w:tc>
        <w:tc>
          <w:tcPr>
            <w:tcW w:w="1380" w:type="dxa"/>
            <w:tcBorders>
              <w:top w:val="single" w:sz="6" w:space="0" w:color="000000"/>
              <w:left w:val="nil"/>
              <w:bottom w:val="single" w:sz="6" w:space="0" w:color="000000"/>
              <w:right w:val="nil"/>
            </w:tcBorders>
            <w:tcMar>
              <w:top w:w="0" w:type="dxa"/>
              <w:left w:w="0" w:type="dxa"/>
              <w:bottom w:w="0" w:type="dxa"/>
              <w:right w:w="0" w:type="dxa"/>
            </w:tcMar>
          </w:tcPr>
          <w:p w14:paraId="270E6B92" w14:textId="77777777" w:rsidR="00FA056C" w:rsidRDefault="00000000">
            <w:pPr>
              <w:ind w:left="160" w:right="40"/>
              <w:jc w:val="center"/>
              <w:rPr>
                <w:rFonts w:ascii="Arial" w:eastAsia="Arial" w:hAnsi="Arial" w:cs="Arial"/>
                <w:b/>
              </w:rPr>
            </w:pPr>
            <w:r>
              <w:rPr>
                <w:rFonts w:ascii="Arial" w:eastAsia="Arial" w:hAnsi="Arial" w:cs="Arial"/>
                <w:b/>
              </w:rPr>
              <w:t>T1</w:t>
            </w:r>
          </w:p>
        </w:tc>
        <w:tc>
          <w:tcPr>
            <w:tcW w:w="1380" w:type="dxa"/>
            <w:tcBorders>
              <w:top w:val="single" w:sz="6" w:space="0" w:color="000000"/>
              <w:left w:val="nil"/>
              <w:bottom w:val="single" w:sz="6" w:space="0" w:color="000000"/>
              <w:right w:val="nil"/>
            </w:tcBorders>
            <w:tcMar>
              <w:top w:w="0" w:type="dxa"/>
              <w:left w:w="0" w:type="dxa"/>
              <w:bottom w:w="0" w:type="dxa"/>
              <w:right w:w="0" w:type="dxa"/>
            </w:tcMar>
          </w:tcPr>
          <w:p w14:paraId="6F417AEE" w14:textId="77777777" w:rsidR="00FA056C" w:rsidRDefault="00000000">
            <w:pPr>
              <w:ind w:left="160" w:right="40"/>
              <w:jc w:val="center"/>
              <w:rPr>
                <w:rFonts w:ascii="Arial" w:eastAsia="Arial" w:hAnsi="Arial" w:cs="Arial"/>
                <w:b/>
              </w:rPr>
            </w:pPr>
            <w:r>
              <w:rPr>
                <w:rFonts w:ascii="Arial" w:eastAsia="Arial" w:hAnsi="Arial" w:cs="Arial"/>
                <w:b/>
              </w:rPr>
              <w:t>T2</w:t>
            </w:r>
          </w:p>
        </w:tc>
        <w:tc>
          <w:tcPr>
            <w:tcW w:w="1380" w:type="dxa"/>
            <w:tcBorders>
              <w:top w:val="single" w:sz="6" w:space="0" w:color="000000"/>
              <w:left w:val="nil"/>
              <w:bottom w:val="single" w:sz="6" w:space="0" w:color="000000"/>
              <w:right w:val="nil"/>
            </w:tcBorders>
            <w:tcMar>
              <w:top w:w="0" w:type="dxa"/>
              <w:left w:w="0" w:type="dxa"/>
              <w:bottom w:w="0" w:type="dxa"/>
              <w:right w:w="0" w:type="dxa"/>
            </w:tcMar>
          </w:tcPr>
          <w:p w14:paraId="3E15F3D2" w14:textId="77777777" w:rsidR="00FA056C" w:rsidRDefault="00000000">
            <w:pPr>
              <w:ind w:left="160" w:right="40"/>
              <w:jc w:val="center"/>
              <w:rPr>
                <w:rFonts w:ascii="Arial" w:eastAsia="Arial" w:hAnsi="Arial" w:cs="Arial"/>
                <w:b/>
              </w:rPr>
            </w:pPr>
            <w:r>
              <w:rPr>
                <w:rFonts w:ascii="Arial" w:eastAsia="Arial" w:hAnsi="Arial" w:cs="Arial"/>
                <w:b/>
              </w:rPr>
              <w:t>T3</w:t>
            </w:r>
          </w:p>
        </w:tc>
        <w:tc>
          <w:tcPr>
            <w:tcW w:w="1200" w:type="dxa"/>
            <w:tcBorders>
              <w:top w:val="nil"/>
              <w:left w:val="nil"/>
              <w:bottom w:val="single" w:sz="6" w:space="0" w:color="000000"/>
              <w:right w:val="nil"/>
            </w:tcBorders>
            <w:tcMar>
              <w:top w:w="0" w:type="dxa"/>
              <w:left w:w="0" w:type="dxa"/>
              <w:bottom w:w="0" w:type="dxa"/>
              <w:right w:w="0" w:type="dxa"/>
            </w:tcMar>
          </w:tcPr>
          <w:p w14:paraId="6B37A6C3" w14:textId="77777777" w:rsidR="00FA056C" w:rsidRDefault="00000000">
            <w:pPr>
              <w:ind w:left="400"/>
              <w:rPr>
                <w:rFonts w:ascii="Arial" w:eastAsia="Arial" w:hAnsi="Arial" w:cs="Arial"/>
                <w:b/>
              </w:rPr>
            </w:pPr>
            <w:r>
              <w:rPr>
                <w:rFonts w:ascii="Arial" w:eastAsia="Arial" w:hAnsi="Arial" w:cs="Arial"/>
                <w:b/>
                <w:i/>
              </w:rPr>
              <w:t>P</w:t>
            </w:r>
            <w:r>
              <w:rPr>
                <w:rFonts w:ascii="Arial" w:eastAsia="Arial" w:hAnsi="Arial" w:cs="Arial"/>
                <w:b/>
              </w:rPr>
              <w:t>-Value</w:t>
            </w:r>
          </w:p>
        </w:tc>
      </w:tr>
      <w:tr w:rsidR="00FA056C" w14:paraId="56069996" w14:textId="77777777">
        <w:trPr>
          <w:trHeight w:val="375"/>
        </w:trPr>
        <w:tc>
          <w:tcPr>
            <w:tcW w:w="1640" w:type="dxa"/>
            <w:tcBorders>
              <w:top w:val="nil"/>
              <w:left w:val="nil"/>
              <w:bottom w:val="nil"/>
              <w:right w:val="nil"/>
            </w:tcBorders>
            <w:tcMar>
              <w:top w:w="0" w:type="dxa"/>
              <w:left w:w="0" w:type="dxa"/>
              <w:bottom w:w="0" w:type="dxa"/>
              <w:right w:w="0" w:type="dxa"/>
            </w:tcMar>
          </w:tcPr>
          <w:p w14:paraId="5B376CE2" w14:textId="77777777" w:rsidR="00FA056C" w:rsidRDefault="00000000">
            <w:pPr>
              <w:ind w:left="200"/>
              <w:rPr>
                <w:rFonts w:ascii="Arial" w:eastAsia="Arial" w:hAnsi="Arial" w:cs="Arial"/>
                <w:b/>
              </w:rPr>
            </w:pPr>
            <w:r>
              <w:rPr>
                <w:rFonts w:ascii="Arial" w:eastAsia="Arial" w:hAnsi="Arial" w:cs="Arial"/>
                <w:b/>
              </w:rPr>
              <w:t>Microhardness</w:t>
            </w:r>
          </w:p>
        </w:tc>
        <w:tc>
          <w:tcPr>
            <w:tcW w:w="1380" w:type="dxa"/>
            <w:tcBorders>
              <w:top w:val="nil"/>
              <w:left w:val="nil"/>
              <w:bottom w:val="nil"/>
              <w:right w:val="nil"/>
            </w:tcBorders>
            <w:tcMar>
              <w:top w:w="0" w:type="dxa"/>
              <w:left w:w="0" w:type="dxa"/>
              <w:bottom w:w="0" w:type="dxa"/>
              <w:right w:w="0" w:type="dxa"/>
            </w:tcMar>
          </w:tcPr>
          <w:p w14:paraId="78590625" w14:textId="77777777" w:rsidR="00FA056C" w:rsidRDefault="00000000">
            <w:pPr>
              <w:ind w:left="120"/>
              <w:rPr>
                <w:rFonts w:ascii="Arial" w:eastAsia="Arial" w:hAnsi="Arial" w:cs="Arial"/>
              </w:rPr>
            </w:pPr>
            <w:r>
              <w:rPr>
                <w:rFonts w:ascii="Arial" w:eastAsia="Arial" w:hAnsi="Arial" w:cs="Arial"/>
              </w:rPr>
              <w:t xml:space="preserve"> </w:t>
            </w:r>
          </w:p>
        </w:tc>
        <w:tc>
          <w:tcPr>
            <w:tcW w:w="1380" w:type="dxa"/>
            <w:tcBorders>
              <w:top w:val="nil"/>
              <w:left w:val="nil"/>
              <w:bottom w:val="nil"/>
              <w:right w:val="nil"/>
            </w:tcBorders>
            <w:tcMar>
              <w:top w:w="0" w:type="dxa"/>
              <w:left w:w="0" w:type="dxa"/>
              <w:bottom w:w="0" w:type="dxa"/>
              <w:right w:w="0" w:type="dxa"/>
            </w:tcMar>
          </w:tcPr>
          <w:p w14:paraId="0A4DB6CD" w14:textId="77777777" w:rsidR="00FA056C" w:rsidRDefault="00000000">
            <w:pPr>
              <w:ind w:left="120"/>
              <w:rPr>
                <w:rFonts w:ascii="Arial" w:eastAsia="Arial" w:hAnsi="Arial" w:cs="Arial"/>
              </w:rPr>
            </w:pPr>
            <w:r>
              <w:rPr>
                <w:rFonts w:ascii="Arial" w:eastAsia="Arial" w:hAnsi="Arial" w:cs="Arial"/>
              </w:rPr>
              <w:t xml:space="preserve"> </w:t>
            </w:r>
          </w:p>
        </w:tc>
        <w:tc>
          <w:tcPr>
            <w:tcW w:w="1380" w:type="dxa"/>
            <w:tcBorders>
              <w:top w:val="nil"/>
              <w:left w:val="nil"/>
              <w:bottom w:val="nil"/>
              <w:right w:val="nil"/>
            </w:tcBorders>
            <w:tcMar>
              <w:top w:w="0" w:type="dxa"/>
              <w:left w:w="0" w:type="dxa"/>
              <w:bottom w:w="0" w:type="dxa"/>
              <w:right w:w="0" w:type="dxa"/>
            </w:tcMar>
          </w:tcPr>
          <w:p w14:paraId="626A859A" w14:textId="77777777" w:rsidR="00FA056C" w:rsidRDefault="00000000">
            <w:pPr>
              <w:ind w:left="120"/>
              <w:rPr>
                <w:rFonts w:ascii="Arial" w:eastAsia="Arial" w:hAnsi="Arial" w:cs="Arial"/>
              </w:rPr>
            </w:pPr>
            <w:r>
              <w:rPr>
                <w:rFonts w:ascii="Arial" w:eastAsia="Arial" w:hAnsi="Arial" w:cs="Arial"/>
              </w:rPr>
              <w:t xml:space="preserve"> </w:t>
            </w:r>
          </w:p>
        </w:tc>
        <w:tc>
          <w:tcPr>
            <w:tcW w:w="1380" w:type="dxa"/>
            <w:tcBorders>
              <w:top w:val="nil"/>
              <w:left w:val="nil"/>
              <w:bottom w:val="nil"/>
              <w:right w:val="nil"/>
            </w:tcBorders>
            <w:tcMar>
              <w:top w:w="0" w:type="dxa"/>
              <w:left w:w="0" w:type="dxa"/>
              <w:bottom w:w="0" w:type="dxa"/>
              <w:right w:w="0" w:type="dxa"/>
            </w:tcMar>
          </w:tcPr>
          <w:p w14:paraId="2B944874" w14:textId="77777777" w:rsidR="00FA056C" w:rsidRDefault="00000000">
            <w:pPr>
              <w:ind w:left="120"/>
              <w:rPr>
                <w:rFonts w:ascii="Arial" w:eastAsia="Arial" w:hAnsi="Arial" w:cs="Arial"/>
              </w:rPr>
            </w:pPr>
            <w:r>
              <w:rPr>
                <w:rFonts w:ascii="Arial" w:eastAsia="Arial" w:hAnsi="Arial" w:cs="Arial"/>
              </w:rPr>
              <w:t xml:space="preserve"> </w:t>
            </w:r>
          </w:p>
        </w:tc>
        <w:tc>
          <w:tcPr>
            <w:tcW w:w="1200" w:type="dxa"/>
            <w:tcBorders>
              <w:top w:val="nil"/>
              <w:left w:val="nil"/>
              <w:bottom w:val="nil"/>
              <w:right w:val="nil"/>
            </w:tcBorders>
            <w:tcMar>
              <w:top w:w="0" w:type="dxa"/>
              <w:left w:w="0" w:type="dxa"/>
              <w:bottom w:w="0" w:type="dxa"/>
              <w:right w:w="0" w:type="dxa"/>
            </w:tcMar>
          </w:tcPr>
          <w:p w14:paraId="72AC4601" w14:textId="77777777" w:rsidR="00FA056C" w:rsidRDefault="00000000">
            <w:pPr>
              <w:ind w:left="120"/>
              <w:rPr>
                <w:rFonts w:ascii="Arial" w:eastAsia="Arial" w:hAnsi="Arial" w:cs="Arial"/>
              </w:rPr>
            </w:pPr>
            <w:r>
              <w:rPr>
                <w:rFonts w:ascii="Arial" w:eastAsia="Arial" w:hAnsi="Arial" w:cs="Arial"/>
              </w:rPr>
              <w:t xml:space="preserve"> </w:t>
            </w:r>
          </w:p>
        </w:tc>
      </w:tr>
      <w:tr w:rsidR="00FA056C" w14:paraId="0D16DE76" w14:textId="77777777">
        <w:trPr>
          <w:trHeight w:val="510"/>
        </w:trPr>
        <w:tc>
          <w:tcPr>
            <w:tcW w:w="1640" w:type="dxa"/>
            <w:tcBorders>
              <w:top w:val="nil"/>
              <w:left w:val="nil"/>
              <w:bottom w:val="nil"/>
              <w:right w:val="nil"/>
            </w:tcBorders>
            <w:tcMar>
              <w:top w:w="0" w:type="dxa"/>
              <w:left w:w="0" w:type="dxa"/>
              <w:bottom w:w="0" w:type="dxa"/>
              <w:right w:w="0" w:type="dxa"/>
            </w:tcMar>
          </w:tcPr>
          <w:p w14:paraId="563EE7D5" w14:textId="77777777" w:rsidR="00FA056C" w:rsidRDefault="00000000">
            <w:pPr>
              <w:ind w:left="280"/>
              <w:rPr>
                <w:rFonts w:ascii="Arial" w:eastAsia="Arial" w:hAnsi="Arial" w:cs="Arial"/>
              </w:rPr>
            </w:pPr>
            <w:r>
              <w:rPr>
                <w:rFonts w:ascii="Arial" w:eastAsia="Arial" w:hAnsi="Arial" w:cs="Arial"/>
              </w:rPr>
              <w:t>DW</w:t>
            </w:r>
          </w:p>
        </w:tc>
        <w:tc>
          <w:tcPr>
            <w:tcW w:w="1380" w:type="dxa"/>
            <w:tcBorders>
              <w:top w:val="nil"/>
              <w:left w:val="nil"/>
              <w:bottom w:val="nil"/>
              <w:right w:val="nil"/>
            </w:tcBorders>
            <w:tcMar>
              <w:top w:w="0" w:type="dxa"/>
              <w:left w:w="0" w:type="dxa"/>
              <w:bottom w:w="0" w:type="dxa"/>
              <w:right w:w="0" w:type="dxa"/>
            </w:tcMar>
          </w:tcPr>
          <w:p w14:paraId="4650B623" w14:textId="77777777" w:rsidR="00FA056C" w:rsidRDefault="00000000">
            <w:pPr>
              <w:ind w:left="160" w:right="40"/>
              <w:jc w:val="center"/>
              <w:rPr>
                <w:rFonts w:ascii="Arial" w:eastAsia="Arial" w:hAnsi="Arial" w:cs="Arial"/>
                <w:vertAlign w:val="superscript"/>
              </w:rPr>
            </w:pPr>
            <w:r>
              <w:rPr>
                <w:rFonts w:ascii="Arial" w:eastAsia="Arial" w:hAnsi="Arial" w:cs="Arial"/>
              </w:rPr>
              <w:t>20.40±3.90</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21683BCD" w14:textId="77777777" w:rsidR="00FA056C" w:rsidRDefault="00000000">
            <w:pPr>
              <w:ind w:left="160" w:right="40"/>
              <w:jc w:val="center"/>
              <w:rPr>
                <w:rFonts w:ascii="Arial" w:eastAsia="Arial" w:hAnsi="Arial" w:cs="Arial"/>
                <w:vertAlign w:val="superscript"/>
              </w:rPr>
            </w:pPr>
            <w:r>
              <w:rPr>
                <w:rFonts w:ascii="Arial" w:eastAsia="Arial" w:hAnsi="Arial" w:cs="Arial"/>
              </w:rPr>
              <w:t>19.14±2.59</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36CAEE35" w14:textId="77777777" w:rsidR="00FA056C" w:rsidRDefault="00000000">
            <w:pPr>
              <w:ind w:left="160" w:right="40"/>
              <w:jc w:val="center"/>
              <w:rPr>
                <w:rFonts w:ascii="Arial" w:eastAsia="Arial" w:hAnsi="Arial" w:cs="Arial"/>
                <w:vertAlign w:val="superscript"/>
              </w:rPr>
            </w:pPr>
            <w:r>
              <w:rPr>
                <w:rFonts w:ascii="Arial" w:eastAsia="Arial" w:hAnsi="Arial" w:cs="Arial"/>
              </w:rPr>
              <w:t>18.06±2.14</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22212CB7" w14:textId="77777777" w:rsidR="00FA056C" w:rsidRDefault="00000000">
            <w:pPr>
              <w:ind w:left="160" w:right="60"/>
              <w:jc w:val="center"/>
              <w:rPr>
                <w:rFonts w:ascii="Arial" w:eastAsia="Arial" w:hAnsi="Arial" w:cs="Arial"/>
                <w:vertAlign w:val="superscript"/>
              </w:rPr>
            </w:pPr>
            <w:r>
              <w:rPr>
                <w:rFonts w:ascii="Arial" w:eastAsia="Arial" w:hAnsi="Arial" w:cs="Arial"/>
              </w:rPr>
              <w:t>20.14±3.67</w:t>
            </w:r>
            <w:r>
              <w:rPr>
                <w:rFonts w:ascii="Arial" w:eastAsia="Arial" w:hAnsi="Arial" w:cs="Arial"/>
                <w:vertAlign w:val="superscript"/>
              </w:rPr>
              <w:t>Aa</w:t>
            </w:r>
          </w:p>
        </w:tc>
        <w:tc>
          <w:tcPr>
            <w:tcW w:w="1200" w:type="dxa"/>
            <w:tcBorders>
              <w:top w:val="nil"/>
              <w:left w:val="nil"/>
              <w:bottom w:val="nil"/>
              <w:right w:val="nil"/>
            </w:tcBorders>
            <w:tcMar>
              <w:top w:w="0" w:type="dxa"/>
              <w:left w:w="0" w:type="dxa"/>
              <w:bottom w:w="0" w:type="dxa"/>
              <w:right w:w="0" w:type="dxa"/>
            </w:tcMar>
          </w:tcPr>
          <w:p w14:paraId="6DBD2A91" w14:textId="77777777" w:rsidR="00FA056C" w:rsidRDefault="00000000">
            <w:pPr>
              <w:ind w:left="280" w:right="160"/>
              <w:jc w:val="center"/>
              <w:rPr>
                <w:rFonts w:ascii="Arial" w:eastAsia="Arial" w:hAnsi="Arial" w:cs="Arial"/>
              </w:rPr>
            </w:pPr>
            <w:r>
              <w:rPr>
                <w:rFonts w:ascii="Arial" w:eastAsia="Arial" w:hAnsi="Arial" w:cs="Arial"/>
              </w:rPr>
              <w:t>0.274</w:t>
            </w:r>
          </w:p>
        </w:tc>
      </w:tr>
      <w:tr w:rsidR="00FA056C" w14:paraId="6E94DC3C" w14:textId="77777777">
        <w:trPr>
          <w:trHeight w:val="510"/>
        </w:trPr>
        <w:tc>
          <w:tcPr>
            <w:tcW w:w="1640" w:type="dxa"/>
            <w:tcBorders>
              <w:top w:val="nil"/>
              <w:left w:val="nil"/>
              <w:bottom w:val="nil"/>
              <w:right w:val="nil"/>
            </w:tcBorders>
            <w:tcMar>
              <w:top w:w="0" w:type="dxa"/>
              <w:left w:w="0" w:type="dxa"/>
              <w:bottom w:w="0" w:type="dxa"/>
              <w:right w:w="0" w:type="dxa"/>
            </w:tcMar>
          </w:tcPr>
          <w:p w14:paraId="416109FE" w14:textId="77777777" w:rsidR="00FA056C" w:rsidRDefault="00000000">
            <w:pPr>
              <w:ind w:left="280"/>
              <w:rPr>
                <w:rFonts w:ascii="Arial" w:eastAsia="Arial" w:hAnsi="Arial" w:cs="Arial"/>
              </w:rPr>
            </w:pPr>
            <w:r>
              <w:rPr>
                <w:rFonts w:ascii="Arial" w:eastAsia="Arial" w:hAnsi="Arial" w:cs="Arial"/>
              </w:rPr>
              <w:t>PD</w:t>
            </w:r>
          </w:p>
        </w:tc>
        <w:tc>
          <w:tcPr>
            <w:tcW w:w="1380" w:type="dxa"/>
            <w:tcBorders>
              <w:top w:val="nil"/>
              <w:left w:val="nil"/>
              <w:bottom w:val="nil"/>
              <w:right w:val="nil"/>
            </w:tcBorders>
            <w:tcMar>
              <w:top w:w="0" w:type="dxa"/>
              <w:left w:w="0" w:type="dxa"/>
              <w:bottom w:w="0" w:type="dxa"/>
              <w:right w:w="0" w:type="dxa"/>
            </w:tcMar>
          </w:tcPr>
          <w:p w14:paraId="42C926CC" w14:textId="77777777" w:rsidR="00FA056C" w:rsidRDefault="00000000">
            <w:pPr>
              <w:ind w:left="160" w:right="40"/>
              <w:jc w:val="center"/>
              <w:rPr>
                <w:rFonts w:ascii="Arial" w:eastAsia="Arial" w:hAnsi="Arial" w:cs="Arial"/>
                <w:vertAlign w:val="superscript"/>
              </w:rPr>
            </w:pPr>
            <w:r>
              <w:rPr>
                <w:rFonts w:ascii="Arial" w:eastAsia="Arial" w:hAnsi="Arial" w:cs="Arial"/>
              </w:rPr>
              <w:t>16.34±1.72</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39E22B90" w14:textId="77777777" w:rsidR="00FA056C" w:rsidRDefault="00000000">
            <w:pPr>
              <w:ind w:left="160" w:right="40"/>
              <w:jc w:val="center"/>
              <w:rPr>
                <w:rFonts w:ascii="Arial" w:eastAsia="Arial" w:hAnsi="Arial" w:cs="Arial"/>
                <w:vertAlign w:val="superscript"/>
              </w:rPr>
            </w:pPr>
            <w:r>
              <w:rPr>
                <w:rFonts w:ascii="Arial" w:eastAsia="Arial" w:hAnsi="Arial" w:cs="Arial"/>
              </w:rPr>
              <w:t>18.00±2.24</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34AE09C8" w14:textId="77777777" w:rsidR="00FA056C" w:rsidRDefault="00000000">
            <w:pPr>
              <w:ind w:left="160" w:right="40"/>
              <w:jc w:val="center"/>
              <w:rPr>
                <w:rFonts w:ascii="Arial" w:eastAsia="Arial" w:hAnsi="Arial" w:cs="Arial"/>
                <w:vertAlign w:val="superscript"/>
              </w:rPr>
            </w:pPr>
            <w:r>
              <w:rPr>
                <w:rFonts w:ascii="Arial" w:eastAsia="Arial" w:hAnsi="Arial" w:cs="Arial"/>
              </w:rPr>
              <w:t>18.43±2.92</w:t>
            </w:r>
            <w:r>
              <w:rPr>
                <w:rFonts w:ascii="Arial" w:eastAsia="Arial" w:hAnsi="Arial" w:cs="Arial"/>
                <w:vertAlign w:val="superscript"/>
              </w:rPr>
              <w:t>Ab</w:t>
            </w:r>
          </w:p>
        </w:tc>
        <w:tc>
          <w:tcPr>
            <w:tcW w:w="1380" w:type="dxa"/>
            <w:tcBorders>
              <w:top w:val="nil"/>
              <w:left w:val="nil"/>
              <w:bottom w:val="nil"/>
              <w:right w:val="nil"/>
            </w:tcBorders>
            <w:tcMar>
              <w:top w:w="0" w:type="dxa"/>
              <w:left w:w="0" w:type="dxa"/>
              <w:bottom w:w="0" w:type="dxa"/>
              <w:right w:w="0" w:type="dxa"/>
            </w:tcMar>
          </w:tcPr>
          <w:p w14:paraId="13BA08AA" w14:textId="77777777" w:rsidR="00FA056C" w:rsidRDefault="00000000">
            <w:pPr>
              <w:ind w:left="160" w:right="60"/>
              <w:jc w:val="center"/>
              <w:rPr>
                <w:rFonts w:ascii="Arial" w:eastAsia="Arial" w:hAnsi="Arial" w:cs="Arial"/>
                <w:vertAlign w:val="superscript"/>
              </w:rPr>
            </w:pPr>
            <w:r>
              <w:rPr>
                <w:rFonts w:ascii="Arial" w:eastAsia="Arial" w:hAnsi="Arial" w:cs="Arial"/>
              </w:rPr>
              <w:t>16.43±2.97</w:t>
            </w:r>
            <w:r>
              <w:rPr>
                <w:rFonts w:ascii="Arial" w:eastAsia="Arial" w:hAnsi="Arial" w:cs="Arial"/>
                <w:vertAlign w:val="superscript"/>
              </w:rPr>
              <w:t>Aa</w:t>
            </w:r>
          </w:p>
        </w:tc>
        <w:tc>
          <w:tcPr>
            <w:tcW w:w="1200" w:type="dxa"/>
            <w:tcBorders>
              <w:top w:val="nil"/>
              <w:left w:val="nil"/>
              <w:bottom w:val="nil"/>
              <w:right w:val="nil"/>
            </w:tcBorders>
            <w:tcMar>
              <w:top w:w="0" w:type="dxa"/>
              <w:left w:w="0" w:type="dxa"/>
              <w:bottom w:w="0" w:type="dxa"/>
              <w:right w:w="0" w:type="dxa"/>
            </w:tcMar>
          </w:tcPr>
          <w:p w14:paraId="62EB0E6A" w14:textId="77777777" w:rsidR="00FA056C" w:rsidRDefault="00000000">
            <w:pPr>
              <w:ind w:left="280" w:right="160"/>
              <w:jc w:val="center"/>
              <w:rPr>
                <w:rFonts w:ascii="Arial" w:eastAsia="Arial" w:hAnsi="Arial" w:cs="Arial"/>
                <w:b/>
                <w:i/>
              </w:rPr>
            </w:pPr>
            <w:r>
              <w:rPr>
                <w:rFonts w:ascii="Arial" w:eastAsia="Arial" w:hAnsi="Arial" w:cs="Arial"/>
                <w:b/>
                <w:i/>
              </w:rPr>
              <w:t>0.010</w:t>
            </w:r>
          </w:p>
        </w:tc>
      </w:tr>
      <w:tr w:rsidR="00FA056C" w14:paraId="0EE30DD2" w14:textId="77777777">
        <w:trPr>
          <w:trHeight w:val="525"/>
        </w:trPr>
        <w:tc>
          <w:tcPr>
            <w:tcW w:w="1640" w:type="dxa"/>
            <w:tcBorders>
              <w:top w:val="nil"/>
              <w:left w:val="nil"/>
              <w:bottom w:val="single" w:sz="6" w:space="0" w:color="000000"/>
              <w:right w:val="nil"/>
            </w:tcBorders>
            <w:tcMar>
              <w:top w:w="0" w:type="dxa"/>
              <w:left w:w="0" w:type="dxa"/>
              <w:bottom w:w="0" w:type="dxa"/>
              <w:right w:w="0" w:type="dxa"/>
            </w:tcMar>
          </w:tcPr>
          <w:p w14:paraId="5FD1E0EE" w14:textId="77777777" w:rsidR="00FA056C" w:rsidRDefault="00000000">
            <w:pPr>
              <w:ind w:left="280"/>
              <w:rPr>
                <w:rFonts w:ascii="Arial" w:eastAsia="Arial" w:hAnsi="Arial" w:cs="Arial"/>
              </w:rPr>
            </w:pPr>
            <w:r>
              <w:rPr>
                <w:rFonts w:ascii="Arial" w:eastAsia="Arial" w:hAnsi="Arial" w:cs="Arial"/>
              </w:rPr>
              <w:lastRenderedPageBreak/>
              <w:t>CD</w:t>
            </w:r>
          </w:p>
        </w:tc>
        <w:tc>
          <w:tcPr>
            <w:tcW w:w="1380" w:type="dxa"/>
            <w:tcBorders>
              <w:top w:val="nil"/>
              <w:left w:val="nil"/>
              <w:bottom w:val="single" w:sz="6" w:space="0" w:color="000000"/>
              <w:right w:val="nil"/>
            </w:tcBorders>
            <w:tcMar>
              <w:top w:w="0" w:type="dxa"/>
              <w:left w:w="0" w:type="dxa"/>
              <w:bottom w:w="0" w:type="dxa"/>
              <w:right w:w="0" w:type="dxa"/>
            </w:tcMar>
          </w:tcPr>
          <w:p w14:paraId="11AF0379" w14:textId="77777777" w:rsidR="00FA056C" w:rsidRDefault="00000000">
            <w:pPr>
              <w:ind w:left="160" w:right="40"/>
              <w:jc w:val="center"/>
              <w:rPr>
                <w:rFonts w:ascii="Arial" w:eastAsia="Arial" w:hAnsi="Arial" w:cs="Arial"/>
                <w:vertAlign w:val="superscript"/>
              </w:rPr>
            </w:pPr>
            <w:r>
              <w:rPr>
                <w:rFonts w:ascii="Arial" w:eastAsia="Arial" w:hAnsi="Arial" w:cs="Arial"/>
              </w:rPr>
              <w:t>16.88±3.16</w:t>
            </w:r>
            <w:r>
              <w:rPr>
                <w:rFonts w:ascii="Arial" w:eastAsia="Arial" w:hAnsi="Arial" w:cs="Arial"/>
                <w:vertAlign w:val="superscript"/>
              </w:rPr>
              <w:t>Aa</w:t>
            </w:r>
          </w:p>
        </w:tc>
        <w:tc>
          <w:tcPr>
            <w:tcW w:w="1380" w:type="dxa"/>
            <w:tcBorders>
              <w:top w:val="nil"/>
              <w:left w:val="nil"/>
              <w:bottom w:val="single" w:sz="6" w:space="0" w:color="000000"/>
              <w:right w:val="nil"/>
            </w:tcBorders>
            <w:tcMar>
              <w:top w:w="0" w:type="dxa"/>
              <w:left w:w="0" w:type="dxa"/>
              <w:bottom w:w="0" w:type="dxa"/>
              <w:right w:w="0" w:type="dxa"/>
            </w:tcMar>
          </w:tcPr>
          <w:p w14:paraId="0224F9D9" w14:textId="77777777" w:rsidR="00FA056C" w:rsidRDefault="00000000">
            <w:pPr>
              <w:ind w:left="160" w:right="40"/>
              <w:jc w:val="center"/>
              <w:rPr>
                <w:rFonts w:ascii="Arial" w:eastAsia="Arial" w:hAnsi="Arial" w:cs="Arial"/>
                <w:vertAlign w:val="superscript"/>
              </w:rPr>
            </w:pPr>
            <w:r>
              <w:rPr>
                <w:rFonts w:ascii="Arial" w:eastAsia="Arial" w:hAnsi="Arial" w:cs="Arial"/>
              </w:rPr>
              <w:t>18.18±3.16</w:t>
            </w:r>
            <w:r>
              <w:rPr>
                <w:rFonts w:ascii="Arial" w:eastAsia="Arial" w:hAnsi="Arial" w:cs="Arial"/>
                <w:vertAlign w:val="superscript"/>
              </w:rPr>
              <w:t>Aa</w:t>
            </w:r>
          </w:p>
        </w:tc>
        <w:tc>
          <w:tcPr>
            <w:tcW w:w="1380" w:type="dxa"/>
            <w:tcBorders>
              <w:top w:val="nil"/>
              <w:left w:val="nil"/>
              <w:bottom w:val="single" w:sz="6" w:space="0" w:color="000000"/>
              <w:right w:val="nil"/>
            </w:tcBorders>
            <w:tcMar>
              <w:top w:w="0" w:type="dxa"/>
              <w:left w:w="0" w:type="dxa"/>
              <w:bottom w:w="0" w:type="dxa"/>
              <w:right w:w="0" w:type="dxa"/>
            </w:tcMar>
          </w:tcPr>
          <w:p w14:paraId="5F91B8D8" w14:textId="77777777" w:rsidR="00FA056C" w:rsidRDefault="00000000">
            <w:pPr>
              <w:ind w:left="160" w:right="40"/>
              <w:jc w:val="center"/>
              <w:rPr>
                <w:rFonts w:ascii="Arial" w:eastAsia="Arial" w:hAnsi="Arial" w:cs="Arial"/>
                <w:vertAlign w:val="superscript"/>
              </w:rPr>
            </w:pPr>
            <w:r>
              <w:rPr>
                <w:rFonts w:ascii="Arial" w:eastAsia="Arial" w:hAnsi="Arial" w:cs="Arial"/>
              </w:rPr>
              <w:t>17.34±3.11</w:t>
            </w:r>
            <w:r>
              <w:rPr>
                <w:rFonts w:ascii="Arial" w:eastAsia="Arial" w:hAnsi="Arial" w:cs="Arial"/>
                <w:vertAlign w:val="superscript"/>
              </w:rPr>
              <w:t>Aa</w:t>
            </w:r>
          </w:p>
        </w:tc>
        <w:tc>
          <w:tcPr>
            <w:tcW w:w="1380" w:type="dxa"/>
            <w:tcBorders>
              <w:top w:val="nil"/>
              <w:left w:val="nil"/>
              <w:bottom w:val="single" w:sz="6" w:space="0" w:color="000000"/>
              <w:right w:val="nil"/>
            </w:tcBorders>
            <w:tcMar>
              <w:top w:w="0" w:type="dxa"/>
              <w:left w:w="0" w:type="dxa"/>
              <w:bottom w:w="0" w:type="dxa"/>
              <w:right w:w="0" w:type="dxa"/>
            </w:tcMar>
          </w:tcPr>
          <w:p w14:paraId="746D2D74" w14:textId="77777777" w:rsidR="00FA056C" w:rsidRDefault="00000000">
            <w:pPr>
              <w:ind w:left="160" w:right="60"/>
              <w:jc w:val="center"/>
              <w:rPr>
                <w:rFonts w:ascii="Arial" w:eastAsia="Arial" w:hAnsi="Arial" w:cs="Arial"/>
                <w:vertAlign w:val="superscript"/>
              </w:rPr>
            </w:pPr>
            <w:r>
              <w:rPr>
                <w:rFonts w:ascii="Arial" w:eastAsia="Arial" w:hAnsi="Arial" w:cs="Arial"/>
              </w:rPr>
              <w:t>18.34±2.96</w:t>
            </w:r>
            <w:r>
              <w:rPr>
                <w:rFonts w:ascii="Arial" w:eastAsia="Arial" w:hAnsi="Arial" w:cs="Arial"/>
                <w:vertAlign w:val="superscript"/>
              </w:rPr>
              <w:t>Aa</w:t>
            </w:r>
          </w:p>
        </w:tc>
        <w:tc>
          <w:tcPr>
            <w:tcW w:w="1200" w:type="dxa"/>
            <w:tcBorders>
              <w:top w:val="nil"/>
              <w:left w:val="nil"/>
              <w:bottom w:val="single" w:sz="6" w:space="0" w:color="000000"/>
              <w:right w:val="nil"/>
            </w:tcBorders>
            <w:tcMar>
              <w:top w:w="0" w:type="dxa"/>
              <w:left w:w="0" w:type="dxa"/>
              <w:bottom w:w="0" w:type="dxa"/>
              <w:right w:w="0" w:type="dxa"/>
            </w:tcMar>
          </w:tcPr>
          <w:p w14:paraId="1B75BD12" w14:textId="77777777" w:rsidR="00FA056C" w:rsidRDefault="00000000">
            <w:pPr>
              <w:ind w:left="280" w:right="160"/>
              <w:jc w:val="center"/>
              <w:rPr>
                <w:rFonts w:ascii="Arial" w:eastAsia="Arial" w:hAnsi="Arial" w:cs="Arial"/>
              </w:rPr>
            </w:pPr>
            <w:r>
              <w:rPr>
                <w:rFonts w:ascii="Arial" w:eastAsia="Arial" w:hAnsi="Arial" w:cs="Arial"/>
              </w:rPr>
              <w:t>0.634</w:t>
            </w:r>
          </w:p>
        </w:tc>
      </w:tr>
      <w:tr w:rsidR="00FA056C" w14:paraId="193D95B5" w14:textId="77777777">
        <w:trPr>
          <w:trHeight w:val="420"/>
        </w:trPr>
        <w:tc>
          <w:tcPr>
            <w:tcW w:w="1640" w:type="dxa"/>
            <w:tcBorders>
              <w:top w:val="nil"/>
              <w:left w:val="nil"/>
              <w:bottom w:val="single" w:sz="6" w:space="0" w:color="000000"/>
              <w:right w:val="nil"/>
            </w:tcBorders>
            <w:tcMar>
              <w:top w:w="0" w:type="dxa"/>
              <w:left w:w="0" w:type="dxa"/>
              <w:bottom w:w="0" w:type="dxa"/>
              <w:right w:w="0" w:type="dxa"/>
            </w:tcMar>
          </w:tcPr>
          <w:p w14:paraId="3795E032" w14:textId="77777777" w:rsidR="00FA056C" w:rsidRDefault="00000000">
            <w:pPr>
              <w:ind w:left="400"/>
              <w:rPr>
                <w:rFonts w:ascii="Arial" w:eastAsia="Arial" w:hAnsi="Arial" w:cs="Arial"/>
                <w:b/>
              </w:rPr>
            </w:pPr>
            <w:r>
              <w:rPr>
                <w:rFonts w:ascii="Arial" w:eastAsia="Arial" w:hAnsi="Arial" w:cs="Arial"/>
                <w:b/>
                <w:i/>
              </w:rPr>
              <w:t>P</w:t>
            </w:r>
            <w:r>
              <w:rPr>
                <w:rFonts w:ascii="Arial" w:eastAsia="Arial" w:hAnsi="Arial" w:cs="Arial"/>
                <w:b/>
              </w:rPr>
              <w:t>-Value</w:t>
            </w:r>
          </w:p>
        </w:tc>
        <w:tc>
          <w:tcPr>
            <w:tcW w:w="1380" w:type="dxa"/>
            <w:tcBorders>
              <w:top w:val="nil"/>
              <w:left w:val="nil"/>
              <w:bottom w:val="single" w:sz="6" w:space="0" w:color="000000"/>
              <w:right w:val="nil"/>
            </w:tcBorders>
            <w:tcMar>
              <w:top w:w="0" w:type="dxa"/>
              <w:left w:w="0" w:type="dxa"/>
              <w:bottom w:w="0" w:type="dxa"/>
              <w:right w:w="0" w:type="dxa"/>
            </w:tcMar>
          </w:tcPr>
          <w:p w14:paraId="0BC6ACC4" w14:textId="77777777" w:rsidR="00FA056C" w:rsidRDefault="00000000">
            <w:pPr>
              <w:ind w:left="160" w:right="40"/>
              <w:jc w:val="center"/>
              <w:rPr>
                <w:rFonts w:ascii="Arial" w:eastAsia="Arial" w:hAnsi="Arial" w:cs="Arial"/>
              </w:rPr>
            </w:pPr>
            <w:r>
              <w:rPr>
                <w:rFonts w:ascii="Arial" w:eastAsia="Arial" w:hAnsi="Arial" w:cs="Arial"/>
              </w:rPr>
              <w:t>0.810</w:t>
            </w:r>
          </w:p>
        </w:tc>
        <w:tc>
          <w:tcPr>
            <w:tcW w:w="1380" w:type="dxa"/>
            <w:tcBorders>
              <w:top w:val="nil"/>
              <w:left w:val="nil"/>
              <w:bottom w:val="single" w:sz="6" w:space="0" w:color="000000"/>
              <w:right w:val="nil"/>
            </w:tcBorders>
            <w:tcMar>
              <w:top w:w="0" w:type="dxa"/>
              <w:left w:w="0" w:type="dxa"/>
              <w:bottom w:w="0" w:type="dxa"/>
              <w:right w:w="0" w:type="dxa"/>
            </w:tcMar>
          </w:tcPr>
          <w:p w14:paraId="5FDEA36F" w14:textId="77777777" w:rsidR="00FA056C" w:rsidRDefault="00000000">
            <w:pPr>
              <w:ind w:left="160" w:right="40"/>
              <w:jc w:val="center"/>
              <w:rPr>
                <w:rFonts w:ascii="Arial" w:eastAsia="Arial" w:hAnsi="Arial" w:cs="Arial"/>
              </w:rPr>
            </w:pPr>
            <w:r>
              <w:rPr>
                <w:rFonts w:ascii="Arial" w:eastAsia="Arial" w:hAnsi="Arial" w:cs="Arial"/>
              </w:rPr>
              <w:t>0.600</w:t>
            </w:r>
          </w:p>
        </w:tc>
        <w:tc>
          <w:tcPr>
            <w:tcW w:w="1380" w:type="dxa"/>
            <w:tcBorders>
              <w:top w:val="nil"/>
              <w:left w:val="nil"/>
              <w:bottom w:val="single" w:sz="6" w:space="0" w:color="000000"/>
              <w:right w:val="nil"/>
            </w:tcBorders>
            <w:tcMar>
              <w:top w:w="0" w:type="dxa"/>
              <w:left w:w="0" w:type="dxa"/>
              <w:bottom w:w="0" w:type="dxa"/>
              <w:right w:w="0" w:type="dxa"/>
            </w:tcMar>
          </w:tcPr>
          <w:p w14:paraId="7B30B70E" w14:textId="77777777" w:rsidR="00FA056C" w:rsidRDefault="00000000">
            <w:pPr>
              <w:ind w:left="160" w:right="40"/>
              <w:jc w:val="center"/>
              <w:rPr>
                <w:rFonts w:ascii="Arial" w:eastAsia="Arial" w:hAnsi="Arial" w:cs="Arial"/>
              </w:rPr>
            </w:pPr>
            <w:r>
              <w:rPr>
                <w:rFonts w:ascii="Arial" w:eastAsia="Arial" w:hAnsi="Arial" w:cs="Arial"/>
              </w:rPr>
              <w:t>0.671</w:t>
            </w:r>
          </w:p>
        </w:tc>
        <w:tc>
          <w:tcPr>
            <w:tcW w:w="1380" w:type="dxa"/>
            <w:tcBorders>
              <w:top w:val="nil"/>
              <w:left w:val="nil"/>
              <w:bottom w:val="single" w:sz="6" w:space="0" w:color="000000"/>
              <w:right w:val="nil"/>
            </w:tcBorders>
            <w:tcMar>
              <w:top w:w="0" w:type="dxa"/>
              <w:left w:w="0" w:type="dxa"/>
              <w:bottom w:w="0" w:type="dxa"/>
              <w:right w:w="0" w:type="dxa"/>
            </w:tcMar>
          </w:tcPr>
          <w:p w14:paraId="16EB9D35" w14:textId="77777777" w:rsidR="00FA056C" w:rsidRDefault="00000000">
            <w:pPr>
              <w:ind w:left="160" w:right="40"/>
              <w:jc w:val="center"/>
              <w:rPr>
                <w:rFonts w:ascii="Arial" w:eastAsia="Arial" w:hAnsi="Arial" w:cs="Arial"/>
              </w:rPr>
            </w:pPr>
            <w:r>
              <w:rPr>
                <w:rFonts w:ascii="Arial" w:eastAsia="Arial" w:hAnsi="Arial" w:cs="Arial"/>
              </w:rPr>
              <w:t>0.053</w:t>
            </w:r>
          </w:p>
        </w:tc>
        <w:tc>
          <w:tcPr>
            <w:tcW w:w="1200" w:type="dxa"/>
            <w:tcBorders>
              <w:top w:val="nil"/>
              <w:left w:val="nil"/>
              <w:bottom w:val="single" w:sz="6" w:space="0" w:color="000000"/>
              <w:right w:val="nil"/>
            </w:tcBorders>
            <w:tcMar>
              <w:top w:w="0" w:type="dxa"/>
              <w:left w:w="0" w:type="dxa"/>
              <w:bottom w:w="0" w:type="dxa"/>
              <w:right w:w="0" w:type="dxa"/>
            </w:tcMar>
          </w:tcPr>
          <w:p w14:paraId="67FABD50" w14:textId="77777777" w:rsidR="00FA056C" w:rsidRDefault="00000000">
            <w:pPr>
              <w:ind w:left="120"/>
              <w:rPr>
                <w:rFonts w:ascii="Arial" w:eastAsia="Arial" w:hAnsi="Arial" w:cs="Arial"/>
              </w:rPr>
            </w:pPr>
            <w:r>
              <w:rPr>
                <w:rFonts w:ascii="Arial" w:eastAsia="Arial" w:hAnsi="Arial" w:cs="Arial"/>
              </w:rPr>
              <w:t xml:space="preserve"> </w:t>
            </w:r>
          </w:p>
        </w:tc>
      </w:tr>
    </w:tbl>
    <w:p w14:paraId="6AA50CF4" w14:textId="77777777" w:rsidR="00FA056C" w:rsidRDefault="00000000">
      <w:pPr>
        <w:jc w:val="both"/>
        <w:rPr>
          <w:rFonts w:ascii="Arial" w:eastAsia="Arial" w:hAnsi="Arial" w:cs="Arial"/>
          <w:i/>
          <w:sz w:val="18"/>
          <w:szCs w:val="18"/>
        </w:rPr>
      </w:pPr>
      <w:r>
        <w:rPr>
          <w:rFonts w:ascii="Arial" w:eastAsia="Arial" w:hAnsi="Arial" w:cs="Arial"/>
          <w:i/>
          <w:sz w:val="18"/>
          <w:szCs w:val="18"/>
        </w:rPr>
        <w:t>Different lowercase letters = significant difference between evaluation periods of the same group. Different capital letters = significant difference between groups in the same evaluation period.</w:t>
      </w:r>
    </w:p>
    <w:p w14:paraId="58EEE26D" w14:textId="77777777" w:rsidR="00FA056C" w:rsidRDefault="00FA056C">
      <w:pPr>
        <w:jc w:val="both"/>
        <w:rPr>
          <w:rFonts w:ascii="Arial" w:eastAsia="Arial" w:hAnsi="Arial" w:cs="Arial"/>
          <w:b/>
          <w:smallCaps/>
          <w:sz w:val="22"/>
          <w:szCs w:val="22"/>
        </w:rPr>
      </w:pPr>
    </w:p>
    <w:p w14:paraId="5F715E1E" w14:textId="77777777" w:rsidR="00FA056C" w:rsidRDefault="00000000">
      <w:pPr>
        <w:jc w:val="both"/>
        <w:rPr>
          <w:rFonts w:ascii="Arial" w:eastAsia="Arial" w:hAnsi="Arial" w:cs="Arial"/>
        </w:rPr>
      </w:pPr>
      <w:r>
        <w:rPr>
          <w:rFonts w:ascii="Arial" w:eastAsia="Arial" w:hAnsi="Arial" w:cs="Arial"/>
          <w:b/>
          <w:smallCaps/>
          <w:sz w:val="22"/>
          <w:szCs w:val="22"/>
        </w:rPr>
        <w:t xml:space="preserve">3.1.4 </w:t>
      </w:r>
      <w:r>
        <w:rPr>
          <w:rFonts w:ascii="Arial" w:eastAsia="Arial" w:hAnsi="Arial" w:cs="Arial"/>
          <w:b/>
          <w:sz w:val="22"/>
          <w:szCs w:val="22"/>
        </w:rPr>
        <w:t xml:space="preserve">Color Stability </w:t>
      </w:r>
    </w:p>
    <w:p w14:paraId="1B347BAB" w14:textId="77777777" w:rsidR="00FA056C" w:rsidRDefault="00FA056C">
      <w:pPr>
        <w:pBdr>
          <w:top w:val="nil"/>
          <w:left w:val="nil"/>
          <w:bottom w:val="nil"/>
          <w:right w:val="nil"/>
          <w:between w:val="nil"/>
        </w:pBdr>
        <w:jc w:val="both"/>
        <w:rPr>
          <w:rFonts w:ascii="Arial" w:eastAsia="Arial" w:hAnsi="Arial" w:cs="Arial"/>
        </w:rPr>
      </w:pPr>
    </w:p>
    <w:p w14:paraId="47790FA2"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The mean color variations are presented in Table 4. No statistically significant differences in color changes were observed among the experimental groups, and none of the changes were considered clinically unacceptable (ΔE &gt; 3.3).</w:t>
      </w:r>
    </w:p>
    <w:p w14:paraId="0A59A2C1" w14:textId="77777777" w:rsidR="00FA056C" w:rsidRDefault="00FA056C">
      <w:pPr>
        <w:pBdr>
          <w:top w:val="nil"/>
          <w:left w:val="nil"/>
          <w:bottom w:val="nil"/>
          <w:right w:val="nil"/>
          <w:between w:val="nil"/>
        </w:pBdr>
        <w:jc w:val="both"/>
        <w:rPr>
          <w:rFonts w:ascii="Arial" w:eastAsia="Arial" w:hAnsi="Arial" w:cs="Arial"/>
        </w:rPr>
      </w:pPr>
    </w:p>
    <w:p w14:paraId="2BC584FB" w14:textId="77777777" w:rsidR="00FA056C" w:rsidRDefault="00000000">
      <w:pPr>
        <w:jc w:val="both"/>
        <w:rPr>
          <w:rFonts w:ascii="Arial" w:eastAsia="Arial" w:hAnsi="Arial" w:cs="Arial"/>
          <w:b/>
        </w:rPr>
      </w:pPr>
      <w:r>
        <w:rPr>
          <w:rFonts w:ascii="Arial" w:eastAsia="Arial" w:hAnsi="Arial" w:cs="Arial"/>
          <w:b/>
        </w:rPr>
        <w:t xml:space="preserve">Table 4: Means and standard deviation for </w:t>
      </w:r>
      <w:r>
        <w:rPr>
          <w:rFonts w:ascii="Arial" w:eastAsia="Arial" w:hAnsi="Arial" w:cs="Arial"/>
          <w:b/>
          <w:color w:val="202124"/>
          <w:highlight w:val="white"/>
        </w:rPr>
        <w:t>ΔE, in different periodos in relation to the baseline,</w:t>
      </w:r>
      <w:r>
        <w:rPr>
          <w:rFonts w:ascii="Arial" w:eastAsia="Arial" w:hAnsi="Arial" w:cs="Arial"/>
          <w:b/>
        </w:rPr>
        <w:t xml:space="preserve"> according to the treatment and time. </w:t>
      </w:r>
    </w:p>
    <w:p w14:paraId="538B53DE" w14:textId="77777777" w:rsidR="00FA056C" w:rsidRDefault="00000000">
      <w:pPr>
        <w:ind w:left="980"/>
        <w:jc w:val="center"/>
        <w:rPr>
          <w:rFonts w:ascii="Arial" w:eastAsia="Arial" w:hAnsi="Arial" w:cs="Arial"/>
          <w:b/>
        </w:rPr>
      </w:pPr>
      <w:r>
        <w:rPr>
          <w:rFonts w:ascii="Arial" w:eastAsia="Arial" w:hAnsi="Arial" w:cs="Arial"/>
          <w:b/>
        </w:rPr>
        <w:t>Time</w:t>
      </w:r>
    </w:p>
    <w:tbl>
      <w:tblPr>
        <w:tblStyle w:val="af2"/>
        <w:tblW w:w="8340" w:type="dxa"/>
        <w:tblBorders>
          <w:top w:val="nil"/>
          <w:left w:val="nil"/>
          <w:bottom w:val="nil"/>
          <w:right w:val="nil"/>
          <w:insideH w:val="nil"/>
          <w:insideV w:val="nil"/>
        </w:tblBorders>
        <w:tblLayout w:type="fixed"/>
        <w:tblLook w:val="0600" w:firstRow="0" w:lastRow="0" w:firstColumn="0" w:lastColumn="0" w:noHBand="1" w:noVBand="1"/>
      </w:tblPr>
      <w:tblGrid>
        <w:gridCol w:w="1395"/>
        <w:gridCol w:w="1245"/>
        <w:gridCol w:w="1665"/>
        <w:gridCol w:w="1410"/>
        <w:gridCol w:w="1410"/>
        <w:gridCol w:w="1215"/>
      </w:tblGrid>
      <w:tr w:rsidR="00FA056C" w14:paraId="197B15A9" w14:textId="77777777">
        <w:trPr>
          <w:trHeight w:val="420"/>
        </w:trPr>
        <w:tc>
          <w:tcPr>
            <w:tcW w:w="1395" w:type="dxa"/>
            <w:tcBorders>
              <w:top w:val="nil"/>
              <w:left w:val="nil"/>
              <w:bottom w:val="single" w:sz="6" w:space="0" w:color="000000"/>
              <w:right w:val="nil"/>
            </w:tcBorders>
            <w:tcMar>
              <w:top w:w="0" w:type="dxa"/>
              <w:left w:w="0" w:type="dxa"/>
              <w:bottom w:w="0" w:type="dxa"/>
              <w:right w:w="0" w:type="dxa"/>
            </w:tcMar>
          </w:tcPr>
          <w:p w14:paraId="231D5ED1" w14:textId="77777777" w:rsidR="00FA056C" w:rsidRDefault="00000000">
            <w:pPr>
              <w:ind w:left="120"/>
              <w:rPr>
                <w:rFonts w:ascii="Arial" w:eastAsia="Arial" w:hAnsi="Arial" w:cs="Arial"/>
              </w:rPr>
            </w:pPr>
            <w:r>
              <w:rPr>
                <w:rFonts w:ascii="Arial" w:eastAsia="Arial" w:hAnsi="Arial" w:cs="Arial"/>
              </w:rPr>
              <w:t xml:space="preserve"> </w:t>
            </w:r>
          </w:p>
        </w:tc>
        <w:tc>
          <w:tcPr>
            <w:tcW w:w="1245" w:type="dxa"/>
            <w:tcBorders>
              <w:top w:val="single" w:sz="6" w:space="0" w:color="000000"/>
              <w:left w:val="nil"/>
              <w:bottom w:val="single" w:sz="6" w:space="0" w:color="000000"/>
              <w:right w:val="nil"/>
            </w:tcBorders>
            <w:tcMar>
              <w:top w:w="0" w:type="dxa"/>
              <w:left w:w="0" w:type="dxa"/>
              <w:bottom w:w="0" w:type="dxa"/>
              <w:right w:w="0" w:type="dxa"/>
            </w:tcMar>
          </w:tcPr>
          <w:p w14:paraId="38CB325F" w14:textId="77777777" w:rsidR="00FA056C" w:rsidRDefault="00000000">
            <w:pPr>
              <w:ind w:left="660" w:right="280"/>
              <w:jc w:val="center"/>
              <w:rPr>
                <w:rFonts w:ascii="Arial" w:eastAsia="Arial" w:hAnsi="Arial" w:cs="Arial"/>
                <w:b/>
              </w:rPr>
            </w:pPr>
            <w:r>
              <w:rPr>
                <w:rFonts w:ascii="Arial" w:eastAsia="Arial" w:hAnsi="Arial" w:cs="Arial"/>
                <w:b/>
              </w:rPr>
              <w:t>T0</w:t>
            </w:r>
          </w:p>
        </w:tc>
        <w:tc>
          <w:tcPr>
            <w:tcW w:w="1665" w:type="dxa"/>
            <w:tcBorders>
              <w:top w:val="single" w:sz="6" w:space="0" w:color="000000"/>
              <w:left w:val="nil"/>
              <w:bottom w:val="single" w:sz="6" w:space="0" w:color="000000"/>
              <w:right w:val="nil"/>
            </w:tcBorders>
            <w:tcMar>
              <w:top w:w="0" w:type="dxa"/>
              <w:left w:w="0" w:type="dxa"/>
              <w:bottom w:w="0" w:type="dxa"/>
              <w:right w:w="0" w:type="dxa"/>
            </w:tcMar>
          </w:tcPr>
          <w:p w14:paraId="6658340F" w14:textId="77777777" w:rsidR="00FA056C" w:rsidRDefault="00000000">
            <w:pPr>
              <w:ind w:left="500" w:right="100"/>
              <w:jc w:val="center"/>
              <w:rPr>
                <w:rFonts w:ascii="Arial" w:eastAsia="Arial" w:hAnsi="Arial" w:cs="Arial"/>
                <w:b/>
              </w:rPr>
            </w:pPr>
            <w:r>
              <w:rPr>
                <w:rFonts w:ascii="Arial" w:eastAsia="Arial" w:hAnsi="Arial" w:cs="Arial"/>
                <w:b/>
              </w:rPr>
              <w:t>T1</w:t>
            </w:r>
          </w:p>
        </w:tc>
        <w:tc>
          <w:tcPr>
            <w:tcW w:w="1410" w:type="dxa"/>
            <w:tcBorders>
              <w:top w:val="single" w:sz="6" w:space="0" w:color="000000"/>
              <w:left w:val="nil"/>
              <w:bottom w:val="single" w:sz="6" w:space="0" w:color="000000"/>
              <w:right w:val="nil"/>
            </w:tcBorders>
            <w:tcMar>
              <w:top w:w="0" w:type="dxa"/>
              <w:left w:w="0" w:type="dxa"/>
              <w:bottom w:w="0" w:type="dxa"/>
              <w:right w:w="0" w:type="dxa"/>
            </w:tcMar>
          </w:tcPr>
          <w:p w14:paraId="60D22393" w14:textId="77777777" w:rsidR="00FA056C" w:rsidRDefault="00000000">
            <w:pPr>
              <w:ind w:left="240" w:right="100"/>
              <w:jc w:val="center"/>
              <w:rPr>
                <w:rFonts w:ascii="Arial" w:eastAsia="Arial" w:hAnsi="Arial" w:cs="Arial"/>
                <w:b/>
              </w:rPr>
            </w:pPr>
            <w:r>
              <w:rPr>
                <w:rFonts w:ascii="Arial" w:eastAsia="Arial" w:hAnsi="Arial" w:cs="Arial"/>
                <w:b/>
              </w:rPr>
              <w:t>T2</w:t>
            </w:r>
          </w:p>
        </w:tc>
        <w:tc>
          <w:tcPr>
            <w:tcW w:w="1410" w:type="dxa"/>
            <w:tcBorders>
              <w:top w:val="single" w:sz="6" w:space="0" w:color="000000"/>
              <w:left w:val="nil"/>
              <w:bottom w:val="single" w:sz="6" w:space="0" w:color="000000"/>
              <w:right w:val="nil"/>
            </w:tcBorders>
            <w:tcMar>
              <w:top w:w="0" w:type="dxa"/>
              <w:left w:w="0" w:type="dxa"/>
              <w:bottom w:w="0" w:type="dxa"/>
              <w:right w:w="0" w:type="dxa"/>
            </w:tcMar>
          </w:tcPr>
          <w:p w14:paraId="78ABAF77" w14:textId="77777777" w:rsidR="00FA056C" w:rsidRDefault="00000000">
            <w:pPr>
              <w:ind w:left="240" w:right="100"/>
              <w:jc w:val="center"/>
              <w:rPr>
                <w:rFonts w:ascii="Arial" w:eastAsia="Arial" w:hAnsi="Arial" w:cs="Arial"/>
                <w:b/>
              </w:rPr>
            </w:pPr>
            <w:r>
              <w:rPr>
                <w:rFonts w:ascii="Arial" w:eastAsia="Arial" w:hAnsi="Arial" w:cs="Arial"/>
                <w:b/>
              </w:rPr>
              <w:t>T3</w:t>
            </w:r>
          </w:p>
        </w:tc>
        <w:tc>
          <w:tcPr>
            <w:tcW w:w="1215" w:type="dxa"/>
            <w:tcBorders>
              <w:top w:val="nil"/>
              <w:left w:val="nil"/>
              <w:bottom w:val="single" w:sz="6" w:space="0" w:color="000000"/>
              <w:right w:val="nil"/>
            </w:tcBorders>
            <w:tcMar>
              <w:top w:w="0" w:type="dxa"/>
              <w:left w:w="0" w:type="dxa"/>
              <w:bottom w:w="0" w:type="dxa"/>
              <w:right w:w="0" w:type="dxa"/>
            </w:tcMar>
          </w:tcPr>
          <w:p w14:paraId="6D776C1A" w14:textId="77777777" w:rsidR="00FA056C" w:rsidRDefault="00000000">
            <w:pPr>
              <w:ind w:left="400"/>
              <w:rPr>
                <w:rFonts w:ascii="Arial" w:eastAsia="Arial" w:hAnsi="Arial" w:cs="Arial"/>
                <w:b/>
              </w:rPr>
            </w:pPr>
            <w:r>
              <w:rPr>
                <w:rFonts w:ascii="Arial" w:eastAsia="Arial" w:hAnsi="Arial" w:cs="Arial"/>
                <w:b/>
                <w:i/>
              </w:rPr>
              <w:t>P</w:t>
            </w:r>
            <w:r>
              <w:rPr>
                <w:rFonts w:ascii="Arial" w:eastAsia="Arial" w:hAnsi="Arial" w:cs="Arial"/>
                <w:b/>
              </w:rPr>
              <w:t>-Value</w:t>
            </w:r>
          </w:p>
        </w:tc>
      </w:tr>
      <w:tr w:rsidR="00FA056C" w14:paraId="6AB7B659" w14:textId="77777777">
        <w:trPr>
          <w:trHeight w:val="375"/>
        </w:trPr>
        <w:tc>
          <w:tcPr>
            <w:tcW w:w="1395" w:type="dxa"/>
            <w:tcBorders>
              <w:top w:val="nil"/>
              <w:left w:val="nil"/>
              <w:bottom w:val="nil"/>
              <w:right w:val="nil"/>
            </w:tcBorders>
            <w:tcMar>
              <w:top w:w="0" w:type="dxa"/>
              <w:left w:w="0" w:type="dxa"/>
              <w:bottom w:w="0" w:type="dxa"/>
              <w:right w:w="0" w:type="dxa"/>
            </w:tcMar>
          </w:tcPr>
          <w:p w14:paraId="21FAC3BF" w14:textId="77777777" w:rsidR="00FA056C" w:rsidRDefault="00000000">
            <w:pPr>
              <w:ind w:left="200"/>
              <w:rPr>
                <w:rFonts w:ascii="Arial" w:eastAsia="Arial" w:hAnsi="Arial" w:cs="Arial"/>
                <w:b/>
              </w:rPr>
            </w:pPr>
            <w:r>
              <w:rPr>
                <w:rFonts w:ascii="Arial" w:eastAsia="Arial" w:hAnsi="Arial" w:cs="Arial"/>
                <w:b/>
              </w:rPr>
              <w:t>Color</w:t>
            </w:r>
          </w:p>
        </w:tc>
        <w:tc>
          <w:tcPr>
            <w:tcW w:w="1245" w:type="dxa"/>
            <w:tcBorders>
              <w:top w:val="nil"/>
              <w:left w:val="nil"/>
              <w:bottom w:val="nil"/>
              <w:right w:val="nil"/>
            </w:tcBorders>
            <w:tcMar>
              <w:top w:w="0" w:type="dxa"/>
              <w:left w:w="0" w:type="dxa"/>
              <w:bottom w:w="0" w:type="dxa"/>
              <w:right w:w="0" w:type="dxa"/>
            </w:tcMar>
          </w:tcPr>
          <w:p w14:paraId="2C343793" w14:textId="77777777" w:rsidR="00FA056C" w:rsidRDefault="00000000">
            <w:pPr>
              <w:ind w:left="120"/>
              <w:rPr>
                <w:rFonts w:ascii="Arial" w:eastAsia="Arial" w:hAnsi="Arial" w:cs="Arial"/>
              </w:rPr>
            </w:pPr>
            <w:r>
              <w:rPr>
                <w:rFonts w:ascii="Arial" w:eastAsia="Arial" w:hAnsi="Arial" w:cs="Arial"/>
              </w:rPr>
              <w:t xml:space="preserve"> </w:t>
            </w:r>
          </w:p>
        </w:tc>
        <w:tc>
          <w:tcPr>
            <w:tcW w:w="1665" w:type="dxa"/>
            <w:tcBorders>
              <w:top w:val="nil"/>
              <w:left w:val="nil"/>
              <w:bottom w:val="nil"/>
              <w:right w:val="nil"/>
            </w:tcBorders>
            <w:tcMar>
              <w:top w:w="0" w:type="dxa"/>
              <w:left w:w="0" w:type="dxa"/>
              <w:bottom w:w="0" w:type="dxa"/>
              <w:right w:w="0" w:type="dxa"/>
            </w:tcMar>
          </w:tcPr>
          <w:p w14:paraId="6A44DD4A" w14:textId="77777777" w:rsidR="00FA056C" w:rsidRDefault="00000000">
            <w:pPr>
              <w:ind w:left="120"/>
              <w:rPr>
                <w:rFonts w:ascii="Arial" w:eastAsia="Arial" w:hAnsi="Arial" w:cs="Arial"/>
              </w:rPr>
            </w:pPr>
            <w:r>
              <w:rPr>
                <w:rFonts w:ascii="Arial" w:eastAsia="Arial" w:hAnsi="Arial" w:cs="Arial"/>
              </w:rPr>
              <w:t xml:space="preserve"> </w:t>
            </w:r>
          </w:p>
        </w:tc>
        <w:tc>
          <w:tcPr>
            <w:tcW w:w="1410" w:type="dxa"/>
            <w:tcBorders>
              <w:top w:val="nil"/>
              <w:left w:val="nil"/>
              <w:bottom w:val="nil"/>
              <w:right w:val="nil"/>
            </w:tcBorders>
            <w:tcMar>
              <w:top w:w="0" w:type="dxa"/>
              <w:left w:w="0" w:type="dxa"/>
              <w:bottom w:w="0" w:type="dxa"/>
              <w:right w:w="0" w:type="dxa"/>
            </w:tcMar>
          </w:tcPr>
          <w:p w14:paraId="6EEA4662" w14:textId="77777777" w:rsidR="00FA056C" w:rsidRDefault="00000000">
            <w:pPr>
              <w:ind w:left="120"/>
              <w:rPr>
                <w:rFonts w:ascii="Arial" w:eastAsia="Arial" w:hAnsi="Arial" w:cs="Arial"/>
              </w:rPr>
            </w:pPr>
            <w:r>
              <w:rPr>
                <w:rFonts w:ascii="Arial" w:eastAsia="Arial" w:hAnsi="Arial" w:cs="Arial"/>
              </w:rPr>
              <w:t xml:space="preserve"> </w:t>
            </w:r>
          </w:p>
        </w:tc>
        <w:tc>
          <w:tcPr>
            <w:tcW w:w="1410" w:type="dxa"/>
            <w:tcBorders>
              <w:top w:val="nil"/>
              <w:left w:val="nil"/>
              <w:bottom w:val="nil"/>
              <w:right w:val="nil"/>
            </w:tcBorders>
            <w:tcMar>
              <w:top w:w="0" w:type="dxa"/>
              <w:left w:w="0" w:type="dxa"/>
              <w:bottom w:w="0" w:type="dxa"/>
              <w:right w:w="0" w:type="dxa"/>
            </w:tcMar>
          </w:tcPr>
          <w:p w14:paraId="2C9B0A06" w14:textId="77777777" w:rsidR="00FA056C" w:rsidRDefault="00000000">
            <w:pPr>
              <w:ind w:left="120"/>
              <w:rPr>
                <w:rFonts w:ascii="Arial" w:eastAsia="Arial" w:hAnsi="Arial" w:cs="Arial"/>
              </w:rPr>
            </w:pPr>
            <w:r>
              <w:rPr>
                <w:rFonts w:ascii="Arial" w:eastAsia="Arial" w:hAnsi="Arial" w:cs="Arial"/>
              </w:rPr>
              <w:t xml:space="preserve"> </w:t>
            </w:r>
          </w:p>
        </w:tc>
        <w:tc>
          <w:tcPr>
            <w:tcW w:w="1215" w:type="dxa"/>
            <w:tcBorders>
              <w:top w:val="nil"/>
              <w:left w:val="nil"/>
              <w:bottom w:val="nil"/>
              <w:right w:val="nil"/>
            </w:tcBorders>
            <w:tcMar>
              <w:top w:w="0" w:type="dxa"/>
              <w:left w:w="0" w:type="dxa"/>
              <w:bottom w:w="0" w:type="dxa"/>
              <w:right w:w="0" w:type="dxa"/>
            </w:tcMar>
          </w:tcPr>
          <w:p w14:paraId="52DC5BB9" w14:textId="77777777" w:rsidR="00FA056C" w:rsidRDefault="00000000">
            <w:pPr>
              <w:ind w:left="120"/>
              <w:rPr>
                <w:rFonts w:ascii="Arial" w:eastAsia="Arial" w:hAnsi="Arial" w:cs="Arial"/>
              </w:rPr>
            </w:pPr>
            <w:r>
              <w:rPr>
                <w:rFonts w:ascii="Arial" w:eastAsia="Arial" w:hAnsi="Arial" w:cs="Arial"/>
              </w:rPr>
              <w:t xml:space="preserve"> </w:t>
            </w:r>
          </w:p>
        </w:tc>
      </w:tr>
      <w:tr w:rsidR="00FA056C" w14:paraId="2FA61AF7" w14:textId="77777777">
        <w:trPr>
          <w:trHeight w:val="510"/>
        </w:trPr>
        <w:tc>
          <w:tcPr>
            <w:tcW w:w="1395" w:type="dxa"/>
            <w:tcBorders>
              <w:top w:val="nil"/>
              <w:left w:val="nil"/>
              <w:bottom w:val="nil"/>
              <w:right w:val="nil"/>
            </w:tcBorders>
            <w:tcMar>
              <w:top w:w="0" w:type="dxa"/>
              <w:left w:w="0" w:type="dxa"/>
              <w:bottom w:w="0" w:type="dxa"/>
              <w:right w:w="0" w:type="dxa"/>
            </w:tcMar>
          </w:tcPr>
          <w:p w14:paraId="24DB74FC" w14:textId="77777777" w:rsidR="00FA056C" w:rsidRDefault="00000000">
            <w:pPr>
              <w:ind w:left="260"/>
              <w:rPr>
                <w:rFonts w:ascii="Arial" w:eastAsia="Arial" w:hAnsi="Arial" w:cs="Arial"/>
              </w:rPr>
            </w:pPr>
            <w:r>
              <w:rPr>
                <w:rFonts w:ascii="Arial" w:eastAsia="Arial" w:hAnsi="Arial" w:cs="Arial"/>
              </w:rPr>
              <w:t>DW</w:t>
            </w:r>
          </w:p>
        </w:tc>
        <w:tc>
          <w:tcPr>
            <w:tcW w:w="1245" w:type="dxa"/>
            <w:tcBorders>
              <w:top w:val="nil"/>
              <w:left w:val="nil"/>
              <w:bottom w:val="nil"/>
              <w:right w:val="nil"/>
            </w:tcBorders>
            <w:tcMar>
              <w:top w:w="0" w:type="dxa"/>
              <w:left w:w="0" w:type="dxa"/>
              <w:bottom w:w="0" w:type="dxa"/>
              <w:right w:w="0" w:type="dxa"/>
            </w:tcMar>
          </w:tcPr>
          <w:p w14:paraId="1223BCAB" w14:textId="77777777" w:rsidR="00FA056C" w:rsidRDefault="00000000">
            <w:pPr>
              <w:ind w:left="400"/>
              <w:jc w:val="center"/>
              <w:rPr>
                <w:rFonts w:ascii="Arial" w:eastAsia="Arial" w:hAnsi="Arial" w:cs="Arial"/>
              </w:rPr>
            </w:pPr>
            <w:r>
              <w:rPr>
                <w:rFonts w:ascii="Arial" w:eastAsia="Arial" w:hAnsi="Arial" w:cs="Arial"/>
              </w:rPr>
              <w:t>-</w:t>
            </w:r>
          </w:p>
        </w:tc>
        <w:tc>
          <w:tcPr>
            <w:tcW w:w="1665" w:type="dxa"/>
            <w:tcBorders>
              <w:top w:val="nil"/>
              <w:left w:val="nil"/>
              <w:bottom w:val="nil"/>
              <w:right w:val="nil"/>
            </w:tcBorders>
            <w:tcMar>
              <w:top w:w="0" w:type="dxa"/>
              <w:left w:w="0" w:type="dxa"/>
              <w:bottom w:w="0" w:type="dxa"/>
              <w:right w:w="0" w:type="dxa"/>
            </w:tcMar>
          </w:tcPr>
          <w:p w14:paraId="0009ACCA" w14:textId="77777777" w:rsidR="00FA056C" w:rsidRDefault="00000000">
            <w:pPr>
              <w:ind w:left="500" w:right="120"/>
              <w:jc w:val="both"/>
              <w:rPr>
                <w:rFonts w:ascii="Arial" w:eastAsia="Arial" w:hAnsi="Arial" w:cs="Arial"/>
                <w:vertAlign w:val="superscript"/>
              </w:rPr>
            </w:pPr>
            <w:r>
              <w:rPr>
                <w:rFonts w:ascii="Arial" w:eastAsia="Arial" w:hAnsi="Arial" w:cs="Arial"/>
              </w:rPr>
              <w:t>2.22±1.53</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0E366B7F" w14:textId="77777777" w:rsidR="00FA056C" w:rsidRDefault="00000000">
            <w:pPr>
              <w:ind w:left="240" w:right="100"/>
              <w:jc w:val="both"/>
              <w:rPr>
                <w:rFonts w:ascii="Arial" w:eastAsia="Arial" w:hAnsi="Arial" w:cs="Arial"/>
                <w:vertAlign w:val="superscript"/>
              </w:rPr>
            </w:pPr>
            <w:r>
              <w:rPr>
                <w:rFonts w:ascii="Arial" w:eastAsia="Arial" w:hAnsi="Arial" w:cs="Arial"/>
              </w:rPr>
              <w:t>1.40±0.91</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58C69DC2" w14:textId="77777777" w:rsidR="00FA056C" w:rsidRDefault="00000000">
            <w:pPr>
              <w:ind w:left="240" w:right="120"/>
              <w:jc w:val="both"/>
              <w:rPr>
                <w:rFonts w:ascii="Arial" w:eastAsia="Arial" w:hAnsi="Arial" w:cs="Arial"/>
                <w:vertAlign w:val="superscript"/>
              </w:rPr>
            </w:pPr>
            <w:r>
              <w:rPr>
                <w:rFonts w:ascii="Arial" w:eastAsia="Arial" w:hAnsi="Arial" w:cs="Arial"/>
              </w:rPr>
              <w:t>1.85±0.90</w:t>
            </w:r>
            <w:r>
              <w:rPr>
                <w:rFonts w:ascii="Arial" w:eastAsia="Arial" w:hAnsi="Arial" w:cs="Arial"/>
                <w:vertAlign w:val="superscript"/>
              </w:rPr>
              <w:t>Aa</w:t>
            </w:r>
          </w:p>
        </w:tc>
        <w:tc>
          <w:tcPr>
            <w:tcW w:w="1215" w:type="dxa"/>
            <w:tcBorders>
              <w:top w:val="nil"/>
              <w:left w:val="nil"/>
              <w:bottom w:val="nil"/>
              <w:right w:val="nil"/>
            </w:tcBorders>
            <w:tcMar>
              <w:top w:w="0" w:type="dxa"/>
              <w:left w:w="0" w:type="dxa"/>
              <w:bottom w:w="0" w:type="dxa"/>
              <w:right w:w="0" w:type="dxa"/>
            </w:tcMar>
          </w:tcPr>
          <w:p w14:paraId="569F12EE" w14:textId="77777777" w:rsidR="00FA056C" w:rsidRDefault="00000000">
            <w:pPr>
              <w:ind w:left="280" w:right="160"/>
              <w:jc w:val="both"/>
              <w:rPr>
                <w:rFonts w:ascii="Arial" w:eastAsia="Arial" w:hAnsi="Arial" w:cs="Arial"/>
              </w:rPr>
            </w:pPr>
            <w:r>
              <w:rPr>
                <w:rFonts w:ascii="Arial" w:eastAsia="Arial" w:hAnsi="Arial" w:cs="Arial"/>
              </w:rPr>
              <w:t>0.207</w:t>
            </w:r>
          </w:p>
        </w:tc>
      </w:tr>
      <w:tr w:rsidR="00FA056C" w14:paraId="09D244E1" w14:textId="77777777">
        <w:trPr>
          <w:trHeight w:val="510"/>
        </w:trPr>
        <w:tc>
          <w:tcPr>
            <w:tcW w:w="1395" w:type="dxa"/>
            <w:tcBorders>
              <w:top w:val="nil"/>
              <w:left w:val="nil"/>
              <w:bottom w:val="nil"/>
              <w:right w:val="nil"/>
            </w:tcBorders>
            <w:tcMar>
              <w:top w:w="0" w:type="dxa"/>
              <w:left w:w="0" w:type="dxa"/>
              <w:bottom w:w="0" w:type="dxa"/>
              <w:right w:w="0" w:type="dxa"/>
            </w:tcMar>
          </w:tcPr>
          <w:p w14:paraId="12653BCB" w14:textId="77777777" w:rsidR="00FA056C" w:rsidRDefault="00000000">
            <w:pPr>
              <w:ind w:left="260"/>
              <w:rPr>
                <w:rFonts w:ascii="Arial" w:eastAsia="Arial" w:hAnsi="Arial" w:cs="Arial"/>
              </w:rPr>
            </w:pPr>
            <w:r>
              <w:rPr>
                <w:rFonts w:ascii="Arial" w:eastAsia="Arial" w:hAnsi="Arial" w:cs="Arial"/>
              </w:rPr>
              <w:t>PD</w:t>
            </w:r>
          </w:p>
        </w:tc>
        <w:tc>
          <w:tcPr>
            <w:tcW w:w="1245" w:type="dxa"/>
            <w:tcBorders>
              <w:top w:val="nil"/>
              <w:left w:val="nil"/>
              <w:bottom w:val="nil"/>
              <w:right w:val="nil"/>
            </w:tcBorders>
            <w:tcMar>
              <w:top w:w="0" w:type="dxa"/>
              <w:left w:w="0" w:type="dxa"/>
              <w:bottom w:w="0" w:type="dxa"/>
              <w:right w:w="0" w:type="dxa"/>
            </w:tcMar>
          </w:tcPr>
          <w:p w14:paraId="50B387DA" w14:textId="77777777" w:rsidR="00FA056C" w:rsidRDefault="00000000">
            <w:pPr>
              <w:ind w:left="400"/>
              <w:jc w:val="center"/>
              <w:rPr>
                <w:rFonts w:ascii="Arial" w:eastAsia="Arial" w:hAnsi="Arial" w:cs="Arial"/>
              </w:rPr>
            </w:pPr>
            <w:r>
              <w:rPr>
                <w:rFonts w:ascii="Arial" w:eastAsia="Arial" w:hAnsi="Arial" w:cs="Arial"/>
              </w:rPr>
              <w:t>-</w:t>
            </w:r>
          </w:p>
        </w:tc>
        <w:tc>
          <w:tcPr>
            <w:tcW w:w="1665" w:type="dxa"/>
            <w:tcBorders>
              <w:top w:val="nil"/>
              <w:left w:val="nil"/>
              <w:bottom w:val="nil"/>
              <w:right w:val="nil"/>
            </w:tcBorders>
            <w:tcMar>
              <w:top w:w="0" w:type="dxa"/>
              <w:left w:w="0" w:type="dxa"/>
              <w:bottom w:w="0" w:type="dxa"/>
              <w:right w:w="0" w:type="dxa"/>
            </w:tcMar>
          </w:tcPr>
          <w:p w14:paraId="126F9D60" w14:textId="77777777" w:rsidR="00FA056C" w:rsidRDefault="00000000">
            <w:pPr>
              <w:ind w:left="500" w:right="120"/>
              <w:jc w:val="both"/>
              <w:rPr>
                <w:rFonts w:ascii="Arial" w:eastAsia="Arial" w:hAnsi="Arial" w:cs="Arial"/>
                <w:vertAlign w:val="superscript"/>
              </w:rPr>
            </w:pPr>
            <w:r>
              <w:rPr>
                <w:rFonts w:ascii="Arial" w:eastAsia="Arial" w:hAnsi="Arial" w:cs="Arial"/>
              </w:rPr>
              <w:t>1.67±0.85</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5EF523EB" w14:textId="77777777" w:rsidR="00FA056C" w:rsidRDefault="00000000">
            <w:pPr>
              <w:ind w:left="240" w:right="100"/>
              <w:jc w:val="both"/>
              <w:rPr>
                <w:rFonts w:ascii="Arial" w:eastAsia="Arial" w:hAnsi="Arial" w:cs="Arial"/>
                <w:vertAlign w:val="superscript"/>
              </w:rPr>
            </w:pPr>
            <w:r>
              <w:rPr>
                <w:rFonts w:ascii="Arial" w:eastAsia="Arial" w:hAnsi="Arial" w:cs="Arial"/>
              </w:rPr>
              <w:t>1.76±1.31</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7D6FE97A" w14:textId="77777777" w:rsidR="00FA056C" w:rsidRDefault="00000000">
            <w:pPr>
              <w:ind w:left="240" w:right="120"/>
              <w:jc w:val="both"/>
              <w:rPr>
                <w:rFonts w:ascii="Arial" w:eastAsia="Arial" w:hAnsi="Arial" w:cs="Arial"/>
                <w:vertAlign w:val="superscript"/>
              </w:rPr>
            </w:pPr>
            <w:r>
              <w:rPr>
                <w:rFonts w:ascii="Arial" w:eastAsia="Arial" w:hAnsi="Arial" w:cs="Arial"/>
              </w:rPr>
              <w:t>2.17±1.01</w:t>
            </w:r>
            <w:r>
              <w:rPr>
                <w:rFonts w:ascii="Arial" w:eastAsia="Arial" w:hAnsi="Arial" w:cs="Arial"/>
                <w:vertAlign w:val="superscript"/>
              </w:rPr>
              <w:t>Aa</w:t>
            </w:r>
          </w:p>
        </w:tc>
        <w:tc>
          <w:tcPr>
            <w:tcW w:w="1215" w:type="dxa"/>
            <w:tcBorders>
              <w:top w:val="nil"/>
              <w:left w:val="nil"/>
              <w:bottom w:val="nil"/>
              <w:right w:val="nil"/>
            </w:tcBorders>
            <w:tcMar>
              <w:top w:w="0" w:type="dxa"/>
              <w:left w:w="0" w:type="dxa"/>
              <w:bottom w:w="0" w:type="dxa"/>
              <w:right w:w="0" w:type="dxa"/>
            </w:tcMar>
          </w:tcPr>
          <w:p w14:paraId="495CD7DE" w14:textId="77777777" w:rsidR="00FA056C" w:rsidRDefault="00000000">
            <w:pPr>
              <w:ind w:left="280" w:right="160"/>
              <w:jc w:val="both"/>
              <w:rPr>
                <w:rFonts w:ascii="Arial" w:eastAsia="Arial" w:hAnsi="Arial" w:cs="Arial"/>
              </w:rPr>
            </w:pPr>
            <w:r>
              <w:rPr>
                <w:rFonts w:ascii="Arial" w:eastAsia="Arial" w:hAnsi="Arial" w:cs="Arial"/>
              </w:rPr>
              <w:t>0.220</w:t>
            </w:r>
          </w:p>
        </w:tc>
      </w:tr>
      <w:tr w:rsidR="00FA056C" w14:paraId="4B018DDD" w14:textId="77777777">
        <w:trPr>
          <w:trHeight w:val="525"/>
        </w:trPr>
        <w:tc>
          <w:tcPr>
            <w:tcW w:w="1395" w:type="dxa"/>
            <w:tcBorders>
              <w:top w:val="nil"/>
              <w:left w:val="nil"/>
              <w:bottom w:val="single" w:sz="6" w:space="0" w:color="000000"/>
              <w:right w:val="nil"/>
            </w:tcBorders>
            <w:tcMar>
              <w:top w:w="0" w:type="dxa"/>
              <w:left w:w="0" w:type="dxa"/>
              <w:bottom w:w="0" w:type="dxa"/>
              <w:right w:w="0" w:type="dxa"/>
            </w:tcMar>
          </w:tcPr>
          <w:p w14:paraId="62A92E6C" w14:textId="77777777" w:rsidR="00FA056C" w:rsidRDefault="00000000">
            <w:pPr>
              <w:ind w:left="260"/>
              <w:rPr>
                <w:rFonts w:ascii="Arial" w:eastAsia="Arial" w:hAnsi="Arial" w:cs="Arial"/>
              </w:rPr>
            </w:pPr>
            <w:r>
              <w:rPr>
                <w:rFonts w:ascii="Arial" w:eastAsia="Arial" w:hAnsi="Arial" w:cs="Arial"/>
              </w:rPr>
              <w:t>CD</w:t>
            </w:r>
          </w:p>
        </w:tc>
        <w:tc>
          <w:tcPr>
            <w:tcW w:w="1245" w:type="dxa"/>
            <w:tcBorders>
              <w:top w:val="nil"/>
              <w:left w:val="nil"/>
              <w:bottom w:val="single" w:sz="6" w:space="0" w:color="000000"/>
              <w:right w:val="nil"/>
            </w:tcBorders>
            <w:tcMar>
              <w:top w:w="0" w:type="dxa"/>
              <w:left w:w="0" w:type="dxa"/>
              <w:bottom w:w="0" w:type="dxa"/>
              <w:right w:w="0" w:type="dxa"/>
            </w:tcMar>
          </w:tcPr>
          <w:p w14:paraId="0F66D867" w14:textId="77777777" w:rsidR="00FA056C" w:rsidRDefault="00000000">
            <w:pPr>
              <w:ind w:left="400"/>
              <w:jc w:val="center"/>
              <w:rPr>
                <w:rFonts w:ascii="Arial" w:eastAsia="Arial" w:hAnsi="Arial" w:cs="Arial"/>
              </w:rPr>
            </w:pPr>
            <w:r>
              <w:rPr>
                <w:rFonts w:ascii="Arial" w:eastAsia="Arial" w:hAnsi="Arial" w:cs="Arial"/>
              </w:rPr>
              <w:t>-</w:t>
            </w:r>
          </w:p>
        </w:tc>
        <w:tc>
          <w:tcPr>
            <w:tcW w:w="1665" w:type="dxa"/>
            <w:tcBorders>
              <w:top w:val="nil"/>
              <w:left w:val="nil"/>
              <w:bottom w:val="single" w:sz="6" w:space="0" w:color="000000"/>
              <w:right w:val="nil"/>
            </w:tcBorders>
            <w:tcMar>
              <w:top w:w="0" w:type="dxa"/>
              <w:left w:w="0" w:type="dxa"/>
              <w:bottom w:w="0" w:type="dxa"/>
              <w:right w:w="0" w:type="dxa"/>
            </w:tcMar>
          </w:tcPr>
          <w:p w14:paraId="7788A1DC" w14:textId="77777777" w:rsidR="00FA056C" w:rsidRDefault="00000000">
            <w:pPr>
              <w:ind w:left="500" w:right="120"/>
              <w:jc w:val="both"/>
              <w:rPr>
                <w:rFonts w:ascii="Arial" w:eastAsia="Arial" w:hAnsi="Arial" w:cs="Arial"/>
                <w:vertAlign w:val="superscript"/>
              </w:rPr>
            </w:pPr>
            <w:r>
              <w:rPr>
                <w:rFonts w:ascii="Arial" w:eastAsia="Arial" w:hAnsi="Arial" w:cs="Arial"/>
              </w:rPr>
              <w:t>1.55±1.26</w:t>
            </w:r>
            <w:r>
              <w:rPr>
                <w:rFonts w:ascii="Arial" w:eastAsia="Arial" w:hAnsi="Arial" w:cs="Arial"/>
                <w:vertAlign w:val="superscript"/>
              </w:rPr>
              <w:t>Aa</w:t>
            </w:r>
          </w:p>
        </w:tc>
        <w:tc>
          <w:tcPr>
            <w:tcW w:w="1410" w:type="dxa"/>
            <w:tcBorders>
              <w:top w:val="nil"/>
              <w:left w:val="nil"/>
              <w:bottom w:val="single" w:sz="6" w:space="0" w:color="000000"/>
              <w:right w:val="nil"/>
            </w:tcBorders>
            <w:tcMar>
              <w:top w:w="0" w:type="dxa"/>
              <w:left w:w="0" w:type="dxa"/>
              <w:bottom w:w="0" w:type="dxa"/>
              <w:right w:w="0" w:type="dxa"/>
            </w:tcMar>
          </w:tcPr>
          <w:p w14:paraId="4FB668D6" w14:textId="77777777" w:rsidR="00FA056C" w:rsidRDefault="00000000">
            <w:pPr>
              <w:ind w:left="240" w:right="100"/>
              <w:jc w:val="both"/>
              <w:rPr>
                <w:rFonts w:ascii="Arial" w:eastAsia="Arial" w:hAnsi="Arial" w:cs="Arial"/>
                <w:vertAlign w:val="superscript"/>
              </w:rPr>
            </w:pPr>
            <w:r>
              <w:rPr>
                <w:rFonts w:ascii="Arial" w:eastAsia="Arial" w:hAnsi="Arial" w:cs="Arial"/>
              </w:rPr>
              <w:t>2.14±1.02</w:t>
            </w:r>
            <w:r>
              <w:rPr>
                <w:rFonts w:ascii="Arial" w:eastAsia="Arial" w:hAnsi="Arial" w:cs="Arial"/>
                <w:vertAlign w:val="superscript"/>
              </w:rPr>
              <w:t>Aa</w:t>
            </w:r>
          </w:p>
        </w:tc>
        <w:tc>
          <w:tcPr>
            <w:tcW w:w="1410" w:type="dxa"/>
            <w:tcBorders>
              <w:top w:val="nil"/>
              <w:left w:val="nil"/>
              <w:bottom w:val="single" w:sz="6" w:space="0" w:color="000000"/>
              <w:right w:val="nil"/>
            </w:tcBorders>
            <w:tcMar>
              <w:top w:w="0" w:type="dxa"/>
              <w:left w:w="0" w:type="dxa"/>
              <w:bottom w:w="0" w:type="dxa"/>
              <w:right w:w="0" w:type="dxa"/>
            </w:tcMar>
          </w:tcPr>
          <w:p w14:paraId="23E0B395" w14:textId="77777777" w:rsidR="00FA056C" w:rsidRDefault="00000000">
            <w:pPr>
              <w:ind w:left="240" w:right="120"/>
              <w:jc w:val="both"/>
              <w:rPr>
                <w:rFonts w:ascii="Arial" w:eastAsia="Arial" w:hAnsi="Arial" w:cs="Arial"/>
                <w:vertAlign w:val="superscript"/>
              </w:rPr>
            </w:pPr>
            <w:r>
              <w:rPr>
                <w:rFonts w:ascii="Arial" w:eastAsia="Arial" w:hAnsi="Arial" w:cs="Arial"/>
              </w:rPr>
              <w:t>1.87±0.98</w:t>
            </w:r>
            <w:r>
              <w:rPr>
                <w:rFonts w:ascii="Arial" w:eastAsia="Arial" w:hAnsi="Arial" w:cs="Arial"/>
                <w:vertAlign w:val="superscript"/>
              </w:rPr>
              <w:t>Aa</w:t>
            </w:r>
          </w:p>
        </w:tc>
        <w:tc>
          <w:tcPr>
            <w:tcW w:w="1215" w:type="dxa"/>
            <w:tcBorders>
              <w:top w:val="nil"/>
              <w:left w:val="nil"/>
              <w:bottom w:val="single" w:sz="6" w:space="0" w:color="000000"/>
              <w:right w:val="nil"/>
            </w:tcBorders>
            <w:tcMar>
              <w:top w:w="0" w:type="dxa"/>
              <w:left w:w="0" w:type="dxa"/>
              <w:bottom w:w="0" w:type="dxa"/>
              <w:right w:w="0" w:type="dxa"/>
            </w:tcMar>
          </w:tcPr>
          <w:p w14:paraId="7E562CCC" w14:textId="77777777" w:rsidR="00FA056C" w:rsidRDefault="00000000">
            <w:pPr>
              <w:ind w:left="280" w:right="160"/>
              <w:jc w:val="both"/>
              <w:rPr>
                <w:rFonts w:ascii="Arial" w:eastAsia="Arial" w:hAnsi="Arial" w:cs="Arial"/>
              </w:rPr>
            </w:pPr>
            <w:r>
              <w:rPr>
                <w:rFonts w:ascii="Arial" w:eastAsia="Arial" w:hAnsi="Arial" w:cs="Arial"/>
              </w:rPr>
              <w:t>0.522</w:t>
            </w:r>
          </w:p>
        </w:tc>
      </w:tr>
      <w:tr w:rsidR="00FA056C" w14:paraId="093F105F" w14:textId="77777777">
        <w:trPr>
          <w:trHeight w:val="420"/>
        </w:trPr>
        <w:tc>
          <w:tcPr>
            <w:tcW w:w="1395" w:type="dxa"/>
            <w:tcBorders>
              <w:top w:val="nil"/>
              <w:left w:val="nil"/>
              <w:bottom w:val="single" w:sz="6" w:space="0" w:color="000000"/>
              <w:right w:val="nil"/>
            </w:tcBorders>
            <w:tcMar>
              <w:top w:w="0" w:type="dxa"/>
              <w:left w:w="0" w:type="dxa"/>
              <w:bottom w:w="0" w:type="dxa"/>
              <w:right w:w="0" w:type="dxa"/>
            </w:tcMar>
          </w:tcPr>
          <w:p w14:paraId="15AC2597" w14:textId="77777777" w:rsidR="00FA056C" w:rsidRDefault="00000000">
            <w:pPr>
              <w:ind w:left="400"/>
              <w:rPr>
                <w:rFonts w:ascii="Arial" w:eastAsia="Arial" w:hAnsi="Arial" w:cs="Arial"/>
                <w:b/>
              </w:rPr>
            </w:pPr>
            <w:r>
              <w:rPr>
                <w:rFonts w:ascii="Arial" w:eastAsia="Arial" w:hAnsi="Arial" w:cs="Arial"/>
                <w:b/>
                <w:i/>
              </w:rPr>
              <w:t>P</w:t>
            </w:r>
            <w:r>
              <w:rPr>
                <w:rFonts w:ascii="Arial" w:eastAsia="Arial" w:hAnsi="Arial" w:cs="Arial"/>
                <w:b/>
              </w:rPr>
              <w:t>-Value</w:t>
            </w:r>
          </w:p>
        </w:tc>
        <w:tc>
          <w:tcPr>
            <w:tcW w:w="1245" w:type="dxa"/>
            <w:tcBorders>
              <w:top w:val="nil"/>
              <w:left w:val="nil"/>
              <w:bottom w:val="single" w:sz="6" w:space="0" w:color="000000"/>
              <w:right w:val="nil"/>
            </w:tcBorders>
            <w:tcMar>
              <w:top w:w="0" w:type="dxa"/>
              <w:left w:w="0" w:type="dxa"/>
              <w:bottom w:w="0" w:type="dxa"/>
              <w:right w:w="0" w:type="dxa"/>
            </w:tcMar>
          </w:tcPr>
          <w:p w14:paraId="082ABE37" w14:textId="77777777" w:rsidR="00FA056C" w:rsidRDefault="00000000">
            <w:pPr>
              <w:ind w:left="120"/>
              <w:rPr>
                <w:rFonts w:ascii="Arial" w:eastAsia="Arial" w:hAnsi="Arial" w:cs="Arial"/>
              </w:rPr>
            </w:pPr>
            <w:r>
              <w:rPr>
                <w:rFonts w:ascii="Arial" w:eastAsia="Arial" w:hAnsi="Arial" w:cs="Arial"/>
              </w:rPr>
              <w:t xml:space="preserve"> </w:t>
            </w:r>
          </w:p>
        </w:tc>
        <w:tc>
          <w:tcPr>
            <w:tcW w:w="1665" w:type="dxa"/>
            <w:tcBorders>
              <w:top w:val="nil"/>
              <w:left w:val="nil"/>
              <w:bottom w:val="single" w:sz="6" w:space="0" w:color="000000"/>
              <w:right w:val="nil"/>
            </w:tcBorders>
            <w:tcMar>
              <w:top w:w="0" w:type="dxa"/>
              <w:left w:w="0" w:type="dxa"/>
              <w:bottom w:w="0" w:type="dxa"/>
              <w:right w:w="0" w:type="dxa"/>
            </w:tcMar>
          </w:tcPr>
          <w:p w14:paraId="6AD00BD6" w14:textId="77777777" w:rsidR="00FA056C" w:rsidRDefault="00000000">
            <w:pPr>
              <w:ind w:left="500" w:right="100"/>
              <w:jc w:val="center"/>
              <w:rPr>
                <w:rFonts w:ascii="Arial" w:eastAsia="Arial" w:hAnsi="Arial" w:cs="Arial"/>
              </w:rPr>
            </w:pPr>
            <w:r>
              <w:rPr>
                <w:rFonts w:ascii="Arial" w:eastAsia="Arial" w:hAnsi="Arial" w:cs="Arial"/>
              </w:rPr>
              <w:t>0.456</w:t>
            </w:r>
          </w:p>
        </w:tc>
        <w:tc>
          <w:tcPr>
            <w:tcW w:w="1410" w:type="dxa"/>
            <w:tcBorders>
              <w:top w:val="nil"/>
              <w:left w:val="nil"/>
              <w:bottom w:val="single" w:sz="6" w:space="0" w:color="000000"/>
              <w:right w:val="nil"/>
            </w:tcBorders>
            <w:tcMar>
              <w:top w:w="0" w:type="dxa"/>
              <w:left w:w="0" w:type="dxa"/>
              <w:bottom w:w="0" w:type="dxa"/>
              <w:right w:w="0" w:type="dxa"/>
            </w:tcMar>
          </w:tcPr>
          <w:p w14:paraId="4A62F200" w14:textId="77777777" w:rsidR="00FA056C" w:rsidRDefault="00000000">
            <w:pPr>
              <w:ind w:left="240" w:right="100"/>
              <w:jc w:val="center"/>
              <w:rPr>
                <w:rFonts w:ascii="Arial" w:eastAsia="Arial" w:hAnsi="Arial" w:cs="Arial"/>
              </w:rPr>
            </w:pPr>
            <w:r>
              <w:rPr>
                <w:rFonts w:ascii="Arial" w:eastAsia="Arial" w:hAnsi="Arial" w:cs="Arial"/>
              </w:rPr>
              <w:t>0.339</w:t>
            </w:r>
          </w:p>
        </w:tc>
        <w:tc>
          <w:tcPr>
            <w:tcW w:w="1410" w:type="dxa"/>
            <w:tcBorders>
              <w:top w:val="nil"/>
              <w:left w:val="nil"/>
              <w:bottom w:val="single" w:sz="6" w:space="0" w:color="000000"/>
              <w:right w:val="nil"/>
            </w:tcBorders>
            <w:tcMar>
              <w:top w:w="0" w:type="dxa"/>
              <w:left w:w="0" w:type="dxa"/>
              <w:bottom w:w="0" w:type="dxa"/>
              <w:right w:w="0" w:type="dxa"/>
            </w:tcMar>
          </w:tcPr>
          <w:p w14:paraId="50EABB26" w14:textId="77777777" w:rsidR="00FA056C" w:rsidRDefault="00000000">
            <w:pPr>
              <w:ind w:left="240" w:right="100"/>
              <w:jc w:val="center"/>
              <w:rPr>
                <w:rFonts w:ascii="Arial" w:eastAsia="Arial" w:hAnsi="Arial" w:cs="Arial"/>
              </w:rPr>
            </w:pPr>
            <w:r>
              <w:rPr>
                <w:rFonts w:ascii="Arial" w:eastAsia="Arial" w:hAnsi="Arial" w:cs="Arial"/>
              </w:rPr>
              <w:t>0.712</w:t>
            </w:r>
          </w:p>
        </w:tc>
        <w:tc>
          <w:tcPr>
            <w:tcW w:w="1215" w:type="dxa"/>
            <w:tcBorders>
              <w:top w:val="nil"/>
              <w:left w:val="nil"/>
              <w:bottom w:val="single" w:sz="6" w:space="0" w:color="000000"/>
              <w:right w:val="nil"/>
            </w:tcBorders>
            <w:tcMar>
              <w:top w:w="0" w:type="dxa"/>
              <w:left w:w="0" w:type="dxa"/>
              <w:bottom w:w="0" w:type="dxa"/>
              <w:right w:w="0" w:type="dxa"/>
            </w:tcMar>
          </w:tcPr>
          <w:p w14:paraId="581A6FC7" w14:textId="77777777" w:rsidR="00FA056C" w:rsidRDefault="00000000">
            <w:pPr>
              <w:ind w:left="120"/>
              <w:rPr>
                <w:rFonts w:ascii="Arial" w:eastAsia="Arial" w:hAnsi="Arial" w:cs="Arial"/>
              </w:rPr>
            </w:pPr>
            <w:r>
              <w:rPr>
                <w:rFonts w:ascii="Arial" w:eastAsia="Arial" w:hAnsi="Arial" w:cs="Arial"/>
              </w:rPr>
              <w:t xml:space="preserve"> </w:t>
            </w:r>
          </w:p>
        </w:tc>
      </w:tr>
    </w:tbl>
    <w:p w14:paraId="5363AF47" w14:textId="77777777" w:rsidR="00FA056C" w:rsidRDefault="00000000">
      <w:pPr>
        <w:jc w:val="both"/>
        <w:rPr>
          <w:rFonts w:ascii="Arial" w:eastAsia="Arial" w:hAnsi="Arial" w:cs="Arial"/>
          <w:i/>
          <w:sz w:val="18"/>
          <w:szCs w:val="18"/>
        </w:rPr>
      </w:pPr>
      <w:r>
        <w:rPr>
          <w:rFonts w:ascii="Arial" w:eastAsia="Arial" w:hAnsi="Arial" w:cs="Arial"/>
          <w:i/>
          <w:sz w:val="18"/>
          <w:szCs w:val="18"/>
        </w:rPr>
        <w:t>Different lowercase letters = significant difference between evaluation periods of the same group. Different capital letters = significant difference between groups in the same evaluation period.</w:t>
      </w:r>
    </w:p>
    <w:p w14:paraId="32481B6C" w14:textId="77777777" w:rsidR="00FA056C" w:rsidRDefault="00FA056C">
      <w:pPr>
        <w:jc w:val="both"/>
        <w:rPr>
          <w:rFonts w:ascii="Arial" w:eastAsia="Arial" w:hAnsi="Arial" w:cs="Arial"/>
          <w:i/>
          <w:sz w:val="18"/>
          <w:szCs w:val="18"/>
        </w:rPr>
      </w:pPr>
    </w:p>
    <w:p w14:paraId="1350D5E7" w14:textId="77777777" w:rsidR="00FA056C" w:rsidRDefault="00000000">
      <w:pPr>
        <w:jc w:val="both"/>
        <w:rPr>
          <w:rFonts w:ascii="Arial" w:eastAsia="Arial" w:hAnsi="Arial" w:cs="Arial"/>
        </w:rPr>
      </w:pPr>
      <w:r>
        <w:rPr>
          <w:rFonts w:ascii="Arial" w:eastAsia="Arial" w:hAnsi="Arial" w:cs="Arial"/>
          <w:b/>
          <w:smallCaps/>
          <w:sz w:val="22"/>
          <w:szCs w:val="22"/>
        </w:rPr>
        <w:t xml:space="preserve">3.2 </w:t>
      </w:r>
      <w:r>
        <w:rPr>
          <w:rFonts w:ascii="Arial" w:eastAsia="Arial" w:hAnsi="Arial" w:cs="Arial"/>
          <w:b/>
          <w:sz w:val="22"/>
          <w:szCs w:val="22"/>
        </w:rPr>
        <w:t xml:space="preserve">Discussion </w:t>
      </w:r>
    </w:p>
    <w:p w14:paraId="1F2AC654" w14:textId="77777777" w:rsidR="00FA056C" w:rsidRDefault="00FA056C">
      <w:pPr>
        <w:pBdr>
          <w:top w:val="nil"/>
          <w:left w:val="nil"/>
          <w:bottom w:val="nil"/>
          <w:right w:val="nil"/>
          <w:between w:val="nil"/>
        </w:pBdr>
        <w:jc w:val="both"/>
        <w:rPr>
          <w:rFonts w:ascii="Arial" w:eastAsia="Arial" w:hAnsi="Arial" w:cs="Arial"/>
        </w:rPr>
      </w:pPr>
    </w:p>
    <w:p w14:paraId="47073BF6"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Based on the obtained data, the null hypothesis was accepted for the parameters of color, mass, and microhardness, as no significant differences were observed between the pomegranate dentifrice (PD) and commercial dentifrice (CD) groups. However, for surface roughness, the null hypothesis was rejected, as the CD group exhibited significantly higher Ra values compared to the PD and distilled water (WD) groups.</w:t>
      </w:r>
    </w:p>
    <w:p w14:paraId="7B943616" w14:textId="77777777" w:rsidR="00FA056C" w:rsidRDefault="00FA056C">
      <w:pPr>
        <w:pBdr>
          <w:top w:val="nil"/>
          <w:left w:val="nil"/>
          <w:bottom w:val="nil"/>
          <w:right w:val="nil"/>
          <w:between w:val="nil"/>
        </w:pBdr>
        <w:jc w:val="both"/>
        <w:rPr>
          <w:rFonts w:ascii="Arial" w:eastAsia="Arial" w:hAnsi="Arial" w:cs="Arial"/>
        </w:rPr>
      </w:pPr>
    </w:p>
    <w:p w14:paraId="7FEBF581"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An increase in the surface roughness of complete dentures may promote the retention of microorganisms such as </w:t>
      </w:r>
      <w:r>
        <w:rPr>
          <w:rFonts w:ascii="Arial" w:eastAsia="Arial" w:hAnsi="Arial" w:cs="Arial"/>
          <w:i/>
        </w:rPr>
        <w:t>Candida albicans</w:t>
      </w:r>
      <w:r>
        <w:rPr>
          <w:rFonts w:ascii="Arial" w:eastAsia="Arial" w:hAnsi="Arial" w:cs="Arial"/>
        </w:rPr>
        <w:t xml:space="preserve"> on their surfaces. Furthermore, adequate microhardness of the denture material is essential to withstand wear caused by daily use and the abrasive action of cleaning agents (Bianchi et al., 2016; Carvalho-Neto et al., 2021; Gad et al., 2020). </w:t>
      </w:r>
      <w:r>
        <w:rPr>
          <w:rFonts w:ascii="Arial" w:eastAsia="Arial" w:hAnsi="Arial" w:cs="Arial"/>
          <w:highlight w:val="green"/>
        </w:rPr>
        <w:t>The physical structure of dental materials and the prognosis of applied treatments can be negatively affected by the mechanical movements and temperature changes in the oral cavity. For this reason, the in vitro evaluation of dental materials has been preferred to simulate oral cavity conditions (thermocycling, water aging, and chewing forces) in a laboratory environment, mimicking the natural aging process, since in vivo evaluation has been difficult in clinical trials (Akcay; Aktoren, 2024).</w:t>
      </w:r>
      <w:r>
        <w:rPr>
          <w:rFonts w:ascii="Arial" w:eastAsia="Arial" w:hAnsi="Arial" w:cs="Arial"/>
        </w:rPr>
        <w:t xml:space="preserve"> Studies indicate that adverse changes in these surface properties of denture base materials are directly associated with a higher incidence of denture stomatitis (Bianchi et al., 2016; Freire et al., 2018).</w:t>
      </w:r>
    </w:p>
    <w:p w14:paraId="1A365E76" w14:textId="77777777" w:rsidR="00FA056C" w:rsidRDefault="00FA056C">
      <w:pPr>
        <w:pBdr>
          <w:top w:val="nil"/>
          <w:left w:val="nil"/>
          <w:bottom w:val="nil"/>
          <w:right w:val="nil"/>
          <w:between w:val="nil"/>
        </w:pBdr>
        <w:jc w:val="both"/>
        <w:rPr>
          <w:rFonts w:ascii="Arial" w:eastAsia="Arial" w:hAnsi="Arial" w:cs="Arial"/>
        </w:rPr>
      </w:pPr>
    </w:p>
    <w:p w14:paraId="32D28D70"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lastRenderedPageBreak/>
        <w:t>Increased surface roughness is often attributed to the high abrasiveness of dentifrices routinely used for denture cleaning, due to their cost-effectiveness, simplicity, and wide availability (Bianchi et al., 2016; Freitas-Pontes et al., 2016; Gad et al., 2020; McReynolds et al., 2023). The abrasive nature of a dentifrice is critical for removing organic deposits and preventing staining on dentures (Freire et al., 2018). Therefore, the abrasive capacity of dentifrices for dentures must balance cleaning efficiency without excessively affecting the surface roughness of the material.</w:t>
      </w:r>
    </w:p>
    <w:p w14:paraId="5288E0D8" w14:textId="77777777" w:rsidR="00FA056C" w:rsidRDefault="00FA056C">
      <w:pPr>
        <w:pBdr>
          <w:top w:val="nil"/>
          <w:left w:val="nil"/>
          <w:bottom w:val="nil"/>
          <w:right w:val="nil"/>
          <w:between w:val="nil"/>
        </w:pBdr>
        <w:jc w:val="both"/>
        <w:rPr>
          <w:rFonts w:ascii="Arial" w:eastAsia="Arial" w:hAnsi="Arial" w:cs="Arial"/>
        </w:rPr>
      </w:pPr>
    </w:p>
    <w:p w14:paraId="6826B288"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In this study, the pomegranate-based experimental dentifrice did not significantly alter the surface roughness of the acrylic resin after a simulated five-year brushing period. However, specimens cleaned with the commercial dentifrice exhibited a significant increase in surface roughness (</w:t>
      </w:r>
      <w:r>
        <w:rPr>
          <w:rFonts w:ascii="Arial" w:eastAsia="Arial" w:hAnsi="Arial" w:cs="Arial"/>
          <w:i/>
        </w:rPr>
        <w:t>P</w:t>
      </w:r>
      <w:r>
        <w:rPr>
          <w:rFonts w:ascii="Arial" w:eastAsia="Arial" w:hAnsi="Arial" w:cs="Arial"/>
        </w:rPr>
        <w:t xml:space="preserve"> = 0.009).</w:t>
      </w:r>
    </w:p>
    <w:p w14:paraId="2F9BF31C" w14:textId="77777777" w:rsidR="00FA056C" w:rsidRDefault="00FA056C">
      <w:pPr>
        <w:pBdr>
          <w:top w:val="nil"/>
          <w:left w:val="nil"/>
          <w:bottom w:val="nil"/>
          <w:right w:val="nil"/>
          <w:between w:val="nil"/>
        </w:pBdr>
        <w:jc w:val="both"/>
        <w:rPr>
          <w:rFonts w:ascii="Arial" w:eastAsia="Arial" w:hAnsi="Arial" w:cs="Arial"/>
        </w:rPr>
      </w:pPr>
    </w:p>
    <w:p w14:paraId="0CCA3BA3"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The low abrasiveness of the pomegranate-based experimental dentifrice can be attributed to its composition, which includes only one abrasive agent: micronized calcium carbonate. In contrast, the Even® dentifrice incorporates two abrasive agents: calcium carbonate and sodium silicate. A study highlighted that the calcium carbonate particles in conventional dentifrices, used as abrasives, are spherical and exhibit irregular sizes and weights, contributing to more uneven and aggressive wear (Pisani et al., 2010). Conversely, micronized calcium carbonate particles have more uniform sizes and are less abrasive. Ramadan et al. (2018) observed that the complexity of abrasive agents in conventional dentifrices was positively correlated with increased surface roughness in acrylic resin specimens. Based on these findings, Sorgini et al. (2015) emphasized the importance of using denture-specific cleaning agents, as they observed significantly lower surface roughness following denture hygiene with these products compared to conventional options.</w:t>
      </w:r>
    </w:p>
    <w:p w14:paraId="455E941D" w14:textId="77777777" w:rsidR="00FA056C" w:rsidRDefault="00FA056C">
      <w:pPr>
        <w:pBdr>
          <w:top w:val="nil"/>
          <w:left w:val="nil"/>
          <w:bottom w:val="nil"/>
          <w:right w:val="nil"/>
          <w:between w:val="nil"/>
        </w:pBdr>
        <w:jc w:val="both"/>
        <w:rPr>
          <w:rFonts w:ascii="Arial" w:eastAsia="Arial" w:hAnsi="Arial" w:cs="Arial"/>
        </w:rPr>
      </w:pPr>
    </w:p>
    <w:p w14:paraId="5864E357"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Although brushing is a widely adopted method, it should be applied with caution. The main precaution is to use denture-specific dentifrices containing mild abrasives, along with soft-bristled brushes, which should be replaced frequently for denture hygiene. Furthermore, it is crucial that dentures be cleaned outside the mouth at least once daily and stored in clean water when not in use (Felton et al., 2011; Freitas-Pontes et al., 2009; Freitas-Pontes et al., 2016; McReynolds et al., 2023).</w:t>
      </w:r>
    </w:p>
    <w:p w14:paraId="31727366" w14:textId="77777777" w:rsidR="00FA056C" w:rsidRDefault="00FA056C">
      <w:pPr>
        <w:pBdr>
          <w:top w:val="nil"/>
          <w:left w:val="nil"/>
          <w:bottom w:val="nil"/>
          <w:right w:val="nil"/>
          <w:between w:val="nil"/>
        </w:pBdr>
        <w:jc w:val="both"/>
        <w:rPr>
          <w:rFonts w:ascii="Arial" w:eastAsia="Arial" w:hAnsi="Arial" w:cs="Arial"/>
        </w:rPr>
      </w:pPr>
    </w:p>
    <w:p w14:paraId="0EC1CE06"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Regarding color stability, an essential factor from an aesthetic perspective, no clinically significant changes were observed in any group, indicating the adequate aesthetic durability of the material, particularly under the conditions simulated in this study. The preservation of the acrylic resin’s surface polish in denture bases is also crucial for aesthetics, as materials with increased surface roughness can absorb and retain food dyes, becoming discolored or stained (Bajunaid et al., 2022, Costa et al., 2025, Takhtdar et al., 2023).</w:t>
      </w:r>
    </w:p>
    <w:p w14:paraId="3C0977F9" w14:textId="77777777" w:rsidR="00FA056C" w:rsidRDefault="00FA056C">
      <w:pPr>
        <w:pBdr>
          <w:top w:val="nil"/>
          <w:left w:val="nil"/>
          <w:bottom w:val="nil"/>
          <w:right w:val="nil"/>
          <w:between w:val="nil"/>
        </w:pBdr>
        <w:jc w:val="both"/>
        <w:rPr>
          <w:rFonts w:ascii="Arial" w:eastAsia="Arial" w:hAnsi="Arial" w:cs="Arial"/>
        </w:rPr>
      </w:pPr>
    </w:p>
    <w:p w14:paraId="524C6359"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In this study, no notable color changes were detected after five years of brushing with the pomegranate-based dentifrice. Ideally, a denture cleaner should not alter the color of the acrylic resin, ensuring the longevity of the prosthesis (Badaró et al., 2019). However, another study using a similar pomegranate-based dentifrice reported different results in artificial teeth. Carvalho-Neto et al. (2021) observed significant color variations in artificial teeth used in complete dentures cleaned with a pomegranate-based dentifrice, although the mean ΔE values remained within clinically acceptable limits (below 3.3). Based on these acceptable variations, the pomegranate-based dentifrice remains a promising candidate for future denture-cleaning protocols.</w:t>
      </w:r>
    </w:p>
    <w:p w14:paraId="578C29A4" w14:textId="77777777" w:rsidR="00FA056C" w:rsidRDefault="00FA056C">
      <w:pPr>
        <w:pBdr>
          <w:top w:val="nil"/>
          <w:left w:val="nil"/>
          <w:bottom w:val="nil"/>
          <w:right w:val="nil"/>
          <w:between w:val="nil"/>
        </w:pBdr>
        <w:jc w:val="both"/>
        <w:rPr>
          <w:rFonts w:ascii="Arial" w:eastAsia="Arial" w:hAnsi="Arial" w:cs="Arial"/>
        </w:rPr>
      </w:pPr>
    </w:p>
    <w:p w14:paraId="37267064"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Mass variations highlighted remarkable stability in this material after the 60-month simulated brushing test. This suggests that the structural integrity of the heat-polymerized acrylic resin is minimally affected by abrasion from brushing and the abrasiveness of the tested </w:t>
      </w:r>
      <w:r>
        <w:rPr>
          <w:rFonts w:ascii="Arial" w:eastAsia="Arial" w:hAnsi="Arial" w:cs="Arial"/>
        </w:rPr>
        <w:lastRenderedPageBreak/>
        <w:t>substances. This characteristic is important for prosthetic materials, ensuring longevity and reducing the need for frequent replacements (Campos et al., 2023).</w:t>
      </w:r>
    </w:p>
    <w:p w14:paraId="58B270D0" w14:textId="77777777" w:rsidR="00FA056C" w:rsidRDefault="00FA056C">
      <w:pPr>
        <w:pBdr>
          <w:top w:val="nil"/>
          <w:left w:val="nil"/>
          <w:bottom w:val="nil"/>
          <w:right w:val="nil"/>
          <w:between w:val="nil"/>
        </w:pBdr>
        <w:jc w:val="both"/>
        <w:rPr>
          <w:rFonts w:ascii="Arial" w:eastAsia="Arial" w:hAnsi="Arial" w:cs="Arial"/>
        </w:rPr>
      </w:pPr>
    </w:p>
    <w:p w14:paraId="509EB626"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Regarding microhardness, the study showed some fluctuations in values, particularly notable in the PD group. Although microhardness increased during the first 36 months, it returned to values close to the initial levels by the end of the study, showing no statistical difference from the negative control after 60 months. Material microhardness is intrinsically linked to its strength and wear resistance over time. Panariello et al. (2015) emphasized in their study the correlation between abrasion resistance and surface microhardness. These fluctuations may be attributed to the properties of the dentifrice or the effects of the brushing machine.</w:t>
      </w:r>
    </w:p>
    <w:p w14:paraId="73BEC0CB" w14:textId="77777777" w:rsidR="00FA056C" w:rsidRDefault="00FA056C">
      <w:pPr>
        <w:pBdr>
          <w:top w:val="nil"/>
          <w:left w:val="nil"/>
          <w:bottom w:val="nil"/>
          <w:right w:val="nil"/>
          <w:between w:val="nil"/>
        </w:pBdr>
        <w:jc w:val="both"/>
        <w:rPr>
          <w:rFonts w:ascii="Arial" w:eastAsia="Arial" w:hAnsi="Arial" w:cs="Arial"/>
        </w:rPr>
      </w:pPr>
    </w:p>
    <w:p w14:paraId="77F728A6" w14:textId="77777777" w:rsidR="00FA056C" w:rsidRDefault="00000000">
      <w:pPr>
        <w:pBdr>
          <w:top w:val="nil"/>
          <w:left w:val="nil"/>
          <w:bottom w:val="nil"/>
          <w:right w:val="nil"/>
          <w:between w:val="nil"/>
        </w:pBdr>
        <w:jc w:val="both"/>
        <w:rPr>
          <w:rFonts w:ascii="Arial" w:eastAsia="Arial" w:hAnsi="Arial" w:cs="Arial"/>
          <w:highlight w:val="green"/>
        </w:rPr>
      </w:pPr>
      <w:r>
        <w:rPr>
          <w:rFonts w:ascii="Arial" w:eastAsia="Arial" w:hAnsi="Arial" w:cs="Arial"/>
          <w:highlight w:val="green"/>
        </w:rPr>
        <w:t>The findings of this in vitro study indicate that the pomegranate dentifrice may represent a promising alternative for the hygiene of removable dentures. Its low abrasiveness and preservation of acrylic resin properties after prolonged use simulation (Carvalho-Neto et al., 2021), combined with the previously reported antifungal effect against Candida albicans (Vasconcelos et al., 2003; Vasconcelos et al., 2006), suggest potential clinical application in the prevention of denture stomatitis. However, validation of these benefits requires clinical trials to confirm antimicrobial efficacy and user acceptability.</w:t>
      </w:r>
    </w:p>
    <w:p w14:paraId="5FDF60B6" w14:textId="77777777" w:rsidR="00FA056C" w:rsidRDefault="00FA056C">
      <w:pPr>
        <w:pBdr>
          <w:top w:val="nil"/>
          <w:left w:val="nil"/>
          <w:bottom w:val="nil"/>
          <w:right w:val="nil"/>
          <w:between w:val="nil"/>
        </w:pBdr>
        <w:jc w:val="both"/>
        <w:rPr>
          <w:rFonts w:ascii="Arial" w:eastAsia="Arial" w:hAnsi="Arial" w:cs="Arial"/>
        </w:rPr>
      </w:pPr>
    </w:p>
    <w:p w14:paraId="178E226D" w14:textId="77777777" w:rsidR="00FA056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rPr>
        <w:t>Although the results reported thus far suggest the feasibility of using this experimental pomegranate dentifrice for brushing complete dentures without damaging their structure, the present study was limited to evaluating laboratory parameters related to the polymer’s structural integrity. Therefore, it is also relevant to assess, through further studies, the dentifrice’s biofilm removal capacity, as well as to confirm the initially reported fungicidal effects.</w:t>
      </w:r>
      <w:r>
        <w:rPr>
          <w:rFonts w:ascii="Arial" w:eastAsia="Arial" w:hAnsi="Arial" w:cs="Arial"/>
          <w:color w:val="000000"/>
        </w:rPr>
        <w:t xml:space="preserve"> </w:t>
      </w:r>
    </w:p>
    <w:p w14:paraId="42CB7030" w14:textId="77777777" w:rsidR="00FA056C" w:rsidRDefault="00FA056C">
      <w:pPr>
        <w:pBdr>
          <w:top w:val="nil"/>
          <w:left w:val="nil"/>
          <w:bottom w:val="nil"/>
          <w:right w:val="nil"/>
          <w:between w:val="nil"/>
        </w:pBdr>
        <w:jc w:val="both"/>
        <w:rPr>
          <w:rFonts w:ascii="Arial" w:eastAsia="Arial" w:hAnsi="Arial" w:cs="Arial"/>
          <w:color w:val="000000"/>
        </w:rPr>
      </w:pPr>
    </w:p>
    <w:p w14:paraId="119BAAF2" w14:textId="77777777" w:rsidR="00FA056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w:t>
      </w:r>
      <w:r>
        <w:rPr>
          <w:rFonts w:ascii="Arial" w:eastAsia="Arial" w:hAnsi="Arial" w:cs="Arial"/>
          <w:b/>
          <w:smallCaps/>
          <w:sz w:val="22"/>
          <w:szCs w:val="22"/>
        </w:rPr>
        <w:t>CONCLUSION</w:t>
      </w:r>
    </w:p>
    <w:p w14:paraId="1BF9C0A9" w14:textId="77777777" w:rsidR="00FA056C" w:rsidRDefault="00FA056C">
      <w:pPr>
        <w:keepNext/>
        <w:pBdr>
          <w:top w:val="nil"/>
          <w:left w:val="nil"/>
          <w:bottom w:val="nil"/>
          <w:right w:val="nil"/>
          <w:between w:val="nil"/>
        </w:pBdr>
        <w:jc w:val="both"/>
        <w:rPr>
          <w:rFonts w:ascii="Arial" w:eastAsia="Arial" w:hAnsi="Arial" w:cs="Arial"/>
          <w:b/>
          <w:smallCaps/>
          <w:color w:val="000000"/>
          <w:sz w:val="22"/>
          <w:szCs w:val="22"/>
        </w:rPr>
      </w:pPr>
    </w:p>
    <w:p w14:paraId="5760D674"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After a simulated five-year brushing regimen with a </w:t>
      </w:r>
      <w:r>
        <w:rPr>
          <w:rFonts w:ascii="Arial" w:eastAsia="Arial" w:hAnsi="Arial" w:cs="Arial"/>
          <w:i/>
        </w:rPr>
        <w:t>Punica granatum</w:t>
      </w:r>
      <w:r>
        <w:rPr>
          <w:rFonts w:ascii="Arial" w:eastAsia="Arial" w:hAnsi="Arial" w:cs="Arial"/>
        </w:rPr>
        <w:t xml:space="preserve"> Linné-based dentifrice on heat-polymerized acrylic resin specimens, no significant changes were observed in color, mass variation, surface roughness, or microhardness compared to the negative control. These findings suggest that this experimental dentifrice preserves the properties of complete denture acrylic resin, even after prolonged use, and </w:t>
      </w:r>
      <w:r>
        <w:rPr>
          <w:rFonts w:ascii="Arial" w:eastAsia="Arial" w:hAnsi="Arial" w:cs="Arial"/>
          <w:highlight w:val="green"/>
        </w:rPr>
        <w:t>shows promise as a natural alternative to conventional denture cleansers</w:t>
      </w:r>
      <w:r>
        <w:rPr>
          <w:rFonts w:ascii="Arial" w:eastAsia="Arial" w:hAnsi="Arial" w:cs="Arial"/>
        </w:rPr>
        <w:t>.</w:t>
      </w:r>
    </w:p>
    <w:p w14:paraId="39100FC9" w14:textId="77777777" w:rsidR="00FA056C" w:rsidRDefault="00FA056C">
      <w:pPr>
        <w:pBdr>
          <w:top w:val="nil"/>
          <w:left w:val="nil"/>
          <w:bottom w:val="nil"/>
          <w:right w:val="nil"/>
          <w:between w:val="nil"/>
        </w:pBdr>
        <w:jc w:val="both"/>
        <w:rPr>
          <w:rFonts w:ascii="Arial" w:eastAsia="Arial" w:hAnsi="Arial" w:cs="Arial"/>
        </w:rPr>
      </w:pPr>
    </w:p>
    <w:p w14:paraId="383A5E39" w14:textId="77777777" w:rsidR="00FA056C" w:rsidRDefault="00000000">
      <w:pPr>
        <w:keepNext/>
        <w:jc w:val="both"/>
        <w:rPr>
          <w:rFonts w:ascii="Arial" w:eastAsia="Arial" w:hAnsi="Arial" w:cs="Arial"/>
          <w:b/>
          <w:smallCaps/>
          <w:sz w:val="22"/>
          <w:szCs w:val="22"/>
        </w:rPr>
      </w:pPr>
      <w:r>
        <w:rPr>
          <w:rFonts w:ascii="Arial" w:eastAsia="Arial" w:hAnsi="Arial" w:cs="Arial"/>
          <w:b/>
          <w:smallCaps/>
          <w:sz w:val="22"/>
          <w:szCs w:val="22"/>
        </w:rPr>
        <w:t>ACKNOWLEDGEMENTS</w:t>
      </w:r>
    </w:p>
    <w:p w14:paraId="323D8022" w14:textId="77777777" w:rsidR="00FA056C" w:rsidRDefault="00FA056C">
      <w:pPr>
        <w:keepNext/>
        <w:jc w:val="both"/>
        <w:rPr>
          <w:rFonts w:ascii="Arial" w:eastAsia="Arial" w:hAnsi="Arial" w:cs="Arial"/>
          <w:b/>
          <w:smallCaps/>
        </w:rPr>
      </w:pPr>
    </w:p>
    <w:p w14:paraId="7C696081" w14:textId="77777777" w:rsidR="00FA056C" w:rsidRDefault="00000000">
      <w:pPr>
        <w:jc w:val="both"/>
        <w:rPr>
          <w:rFonts w:ascii="Arial" w:eastAsia="Arial" w:hAnsi="Arial" w:cs="Arial"/>
        </w:rPr>
      </w:pPr>
      <w:r>
        <w:rPr>
          <w:rFonts w:ascii="Arial" w:eastAsia="Arial" w:hAnsi="Arial" w:cs="Arial"/>
        </w:rPr>
        <w:t>This study was supported by the Program for Academic and Professional Improvement (PROAP), the Institutional Program for Internationalization (PRINT), both linked to the Coordination for the Improvement of Higher Education Personnel (CAPES), and by the CAPES Journals Portal – Funding Code 001.</w:t>
      </w:r>
    </w:p>
    <w:p w14:paraId="71A831FE" w14:textId="77777777" w:rsidR="00FA056C" w:rsidRDefault="00FA056C">
      <w:pPr>
        <w:jc w:val="both"/>
        <w:rPr>
          <w:rFonts w:ascii="Arial" w:eastAsia="Arial" w:hAnsi="Arial" w:cs="Arial"/>
        </w:rPr>
      </w:pPr>
    </w:p>
    <w:p w14:paraId="5C92C44C" w14:textId="77777777" w:rsidR="00FA056C" w:rsidRDefault="00000000">
      <w:pPr>
        <w:spacing w:after="200" w:line="276" w:lineRule="auto"/>
        <w:jc w:val="both"/>
        <w:rPr>
          <w:rFonts w:ascii="Arial" w:eastAsia="Arial" w:hAnsi="Arial" w:cs="Arial"/>
          <w:sz w:val="22"/>
          <w:szCs w:val="22"/>
        </w:rPr>
      </w:pPr>
      <w:r>
        <w:rPr>
          <w:rFonts w:ascii="Arial" w:eastAsia="Arial" w:hAnsi="Arial" w:cs="Arial"/>
          <w:b/>
          <w:sz w:val="22"/>
          <w:szCs w:val="22"/>
        </w:rPr>
        <w:t>COMPETING INTERESTS DISCLAIMER:</w:t>
      </w:r>
    </w:p>
    <w:p w14:paraId="05818E86" w14:textId="77777777" w:rsidR="00FA056C" w:rsidRDefault="00000000">
      <w:pPr>
        <w:spacing w:after="200"/>
        <w:jc w:val="both"/>
        <w:rPr>
          <w:rFonts w:ascii="Arial" w:eastAsia="Arial" w:hAnsi="Arial" w:cs="Arial"/>
        </w:rPr>
      </w:pPr>
      <w:r>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56456845" w14:textId="77777777" w:rsidR="00FA056C" w:rsidRDefault="00000000">
      <w:pPr>
        <w:rPr>
          <w:rFonts w:ascii="Arial" w:eastAsia="Arial" w:hAnsi="Arial" w:cs="Arial"/>
          <w:b/>
          <w:sz w:val="22"/>
          <w:szCs w:val="22"/>
          <w:highlight w:val="green"/>
        </w:rPr>
      </w:pPr>
      <w:bookmarkStart w:id="4" w:name="_heading=h.vedt3pdv3qkd" w:colFirst="0" w:colLast="0"/>
      <w:bookmarkEnd w:id="4"/>
      <w:r>
        <w:rPr>
          <w:rFonts w:ascii="Arial" w:eastAsia="Arial" w:hAnsi="Arial" w:cs="Arial"/>
          <w:b/>
          <w:sz w:val="22"/>
          <w:szCs w:val="22"/>
          <w:highlight w:val="green"/>
        </w:rPr>
        <w:t>DISCLAIMER (ARTIFICIAL INTELLIGENCE)</w:t>
      </w:r>
    </w:p>
    <w:p w14:paraId="3FBE04BF" w14:textId="77777777" w:rsidR="00FA056C" w:rsidRDefault="00FA056C">
      <w:pPr>
        <w:rPr>
          <w:rFonts w:ascii="Arial" w:eastAsia="Arial" w:hAnsi="Arial" w:cs="Arial"/>
          <w:highlight w:val="green"/>
        </w:rPr>
      </w:pPr>
    </w:p>
    <w:p w14:paraId="77C8D984" w14:textId="77777777" w:rsidR="00FA056C" w:rsidRDefault="00000000">
      <w:pPr>
        <w:rPr>
          <w:rFonts w:ascii="Arial" w:eastAsia="Arial" w:hAnsi="Arial" w:cs="Arial"/>
          <w:highlight w:val="green"/>
        </w:rPr>
      </w:pPr>
      <w:r>
        <w:rPr>
          <w:rFonts w:ascii="Arial" w:eastAsia="Arial" w:hAnsi="Arial" w:cs="Arial"/>
          <w:highlight w:val="green"/>
        </w:rPr>
        <w:t>Author(s) hereby declare that NO generative AI technologies such as Large Language Models (ChatGPT, COPILOT, etc.) and text-to-image generators have been used during the writing or editing of this manuscript.</w:t>
      </w:r>
    </w:p>
    <w:p w14:paraId="6F4D9DC1" w14:textId="77777777" w:rsidR="00FA056C" w:rsidRDefault="00FA056C">
      <w:pPr>
        <w:rPr>
          <w:rFonts w:ascii="Arial" w:eastAsia="Arial" w:hAnsi="Arial" w:cs="Arial"/>
          <w:highlight w:val="green"/>
        </w:rPr>
      </w:pPr>
    </w:p>
    <w:p w14:paraId="0FA9D83F" w14:textId="77777777" w:rsidR="00FA056C" w:rsidRDefault="00000000">
      <w:pPr>
        <w:keepNext/>
        <w:jc w:val="both"/>
        <w:rPr>
          <w:rFonts w:ascii="Arial" w:eastAsia="Arial" w:hAnsi="Arial" w:cs="Arial"/>
          <w:b/>
          <w:smallCaps/>
          <w:sz w:val="22"/>
          <w:szCs w:val="22"/>
        </w:rPr>
      </w:pPr>
      <w:r>
        <w:rPr>
          <w:rFonts w:ascii="Arial" w:eastAsia="Arial" w:hAnsi="Arial" w:cs="Arial"/>
          <w:b/>
          <w:smallCaps/>
          <w:sz w:val="22"/>
          <w:szCs w:val="22"/>
        </w:rPr>
        <w:t>AUTHORS’ CONTRIBUTIONS</w:t>
      </w:r>
    </w:p>
    <w:p w14:paraId="01D9A85B" w14:textId="77777777" w:rsidR="00FA056C" w:rsidRDefault="00FA056C">
      <w:pPr>
        <w:keepNext/>
        <w:jc w:val="both"/>
        <w:rPr>
          <w:rFonts w:ascii="Arial" w:eastAsia="Arial" w:hAnsi="Arial" w:cs="Arial"/>
          <w:u w:val="single"/>
        </w:rPr>
      </w:pPr>
    </w:p>
    <w:p w14:paraId="161C58C5" w14:textId="77777777" w:rsidR="00FA056C" w:rsidRDefault="00000000">
      <w:pPr>
        <w:keepNext/>
        <w:jc w:val="both"/>
        <w:rPr>
          <w:rFonts w:ascii="Calibri" w:eastAsia="Calibri" w:hAnsi="Calibri" w:cs="Calibri"/>
          <w:sz w:val="22"/>
          <w:szCs w:val="22"/>
        </w:rPr>
      </w:pPr>
      <w:r>
        <w:rPr>
          <w:rFonts w:ascii="Arial" w:eastAsia="Arial" w:hAnsi="Arial" w:cs="Arial"/>
        </w:rPr>
        <w:t>This work was carried out in collaboration among all authors. All authors read and approved the final manuscript.</w:t>
      </w:r>
    </w:p>
    <w:p w14:paraId="58862967" w14:textId="77777777" w:rsidR="00FA056C" w:rsidRDefault="00FA056C">
      <w:pPr>
        <w:keepNext/>
        <w:pBdr>
          <w:top w:val="nil"/>
          <w:left w:val="nil"/>
          <w:bottom w:val="nil"/>
          <w:right w:val="nil"/>
          <w:between w:val="nil"/>
        </w:pBdr>
        <w:jc w:val="both"/>
        <w:rPr>
          <w:rFonts w:ascii="Arial" w:eastAsia="Arial" w:hAnsi="Arial" w:cs="Arial"/>
        </w:rPr>
      </w:pPr>
    </w:p>
    <w:p w14:paraId="2DEF28DD" w14:textId="77777777" w:rsidR="00FA056C" w:rsidRDefault="00FA056C">
      <w:pPr>
        <w:keepNext/>
        <w:pBdr>
          <w:top w:val="nil"/>
          <w:left w:val="nil"/>
          <w:bottom w:val="nil"/>
          <w:right w:val="nil"/>
          <w:between w:val="nil"/>
        </w:pBdr>
        <w:jc w:val="both"/>
        <w:rPr>
          <w:rFonts w:ascii="Arial" w:eastAsia="Arial" w:hAnsi="Arial" w:cs="Arial"/>
          <w:color w:val="000000"/>
        </w:rPr>
      </w:pPr>
    </w:p>
    <w:p w14:paraId="4AFF74F6" w14:textId="77777777" w:rsidR="00FA056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REFERENCES</w:t>
      </w:r>
    </w:p>
    <w:p w14:paraId="4536D091" w14:textId="77777777" w:rsidR="00FA056C" w:rsidRDefault="00FA056C">
      <w:pPr>
        <w:pBdr>
          <w:top w:val="nil"/>
          <w:left w:val="nil"/>
          <w:bottom w:val="nil"/>
          <w:right w:val="nil"/>
          <w:between w:val="nil"/>
        </w:pBdr>
        <w:jc w:val="both"/>
        <w:rPr>
          <w:rFonts w:ascii="Arial" w:eastAsia="Arial" w:hAnsi="Arial" w:cs="Arial"/>
          <w:color w:val="000000"/>
        </w:rPr>
      </w:pPr>
    </w:p>
    <w:p w14:paraId="62EC244A" w14:textId="77777777" w:rsidR="00FA056C" w:rsidRDefault="00000000">
      <w:pPr>
        <w:pBdr>
          <w:top w:val="nil"/>
          <w:left w:val="nil"/>
          <w:bottom w:val="nil"/>
          <w:right w:val="nil"/>
          <w:between w:val="nil"/>
        </w:pBdr>
        <w:jc w:val="both"/>
        <w:rPr>
          <w:rFonts w:ascii="Arial" w:eastAsia="Arial" w:hAnsi="Arial" w:cs="Arial"/>
          <w:highlight w:val="green"/>
        </w:rPr>
      </w:pPr>
      <w:r>
        <w:rPr>
          <w:rFonts w:ascii="Arial" w:eastAsia="Arial" w:hAnsi="Arial" w:cs="Arial"/>
          <w:highlight w:val="green"/>
        </w:rPr>
        <w:t xml:space="preserve">Akcay, H. C. &amp; Aktoren, H. (2024). In vitro evaluation of wear resistance, microhardness and superficial roughness of different fissure sealants after aging. </w:t>
      </w:r>
      <w:r>
        <w:rPr>
          <w:rFonts w:ascii="Arial" w:eastAsia="Arial" w:hAnsi="Arial" w:cs="Arial"/>
          <w:i/>
          <w:highlight w:val="green"/>
        </w:rPr>
        <w:t>Journal of Clinical Pediatric Dentistry</w:t>
      </w:r>
      <w:r>
        <w:rPr>
          <w:rFonts w:ascii="Arial" w:eastAsia="Arial" w:hAnsi="Arial" w:cs="Arial"/>
          <w:highlight w:val="green"/>
        </w:rPr>
        <w:t xml:space="preserve">, 48(1), 32–40. </w:t>
      </w:r>
      <w:hyperlink r:id="rId15">
        <w:r>
          <w:rPr>
            <w:rFonts w:ascii="Arial" w:eastAsia="Arial" w:hAnsi="Arial" w:cs="Arial"/>
            <w:color w:val="1155CC"/>
            <w:highlight w:val="green"/>
            <w:u w:val="single"/>
          </w:rPr>
          <w:t>https://doi.org/10.22514/jocpd.2024.005</w:t>
        </w:r>
      </w:hyperlink>
      <w:r>
        <w:rPr>
          <w:rFonts w:ascii="Arial" w:eastAsia="Arial" w:hAnsi="Arial" w:cs="Arial"/>
          <w:highlight w:val="green"/>
        </w:rPr>
        <w:t xml:space="preserve"> </w:t>
      </w:r>
    </w:p>
    <w:p w14:paraId="18390E04"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w:t>
      </w:r>
    </w:p>
    <w:p w14:paraId="5FDB6ED7"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Almeida, N. L. M., Saldanha, L. L., Silva, R. A., Pinke, K. H., Costa, E. F. &amp; Porto, V. C. et al. (2017). Antimicrobial activity of denture adhesive associated with Equisetum giganteum - and </w:t>
      </w:r>
      <w:r>
        <w:rPr>
          <w:rFonts w:ascii="Arial" w:eastAsia="Arial" w:hAnsi="Arial" w:cs="Arial"/>
          <w:i/>
        </w:rPr>
        <w:t xml:space="preserve">Punica granatum </w:t>
      </w:r>
      <w:r>
        <w:rPr>
          <w:rFonts w:ascii="Arial" w:eastAsia="Arial" w:hAnsi="Arial" w:cs="Arial"/>
        </w:rPr>
        <w:t xml:space="preserve">- enriched fractions against </w:t>
      </w:r>
      <w:r>
        <w:rPr>
          <w:rFonts w:ascii="Arial" w:eastAsia="Arial" w:hAnsi="Arial" w:cs="Arial"/>
          <w:i/>
        </w:rPr>
        <w:t>Candida albicans</w:t>
      </w:r>
      <w:r>
        <w:rPr>
          <w:rFonts w:ascii="Arial" w:eastAsia="Arial" w:hAnsi="Arial" w:cs="Arial"/>
        </w:rPr>
        <w:t xml:space="preserve"> biofilms on acrylic resin surfaces. </w:t>
      </w:r>
      <w:r>
        <w:rPr>
          <w:rFonts w:ascii="Arial" w:eastAsia="Arial" w:hAnsi="Arial" w:cs="Arial"/>
          <w:i/>
        </w:rPr>
        <w:t>Biofouling</w:t>
      </w:r>
      <w:r>
        <w:rPr>
          <w:rFonts w:ascii="Arial" w:eastAsia="Arial" w:hAnsi="Arial" w:cs="Arial"/>
        </w:rPr>
        <w:t xml:space="preserve">, 34(1), 62–73. </w:t>
      </w:r>
      <w:hyperlink r:id="rId16">
        <w:r>
          <w:rPr>
            <w:rFonts w:ascii="Arial" w:eastAsia="Arial" w:hAnsi="Arial" w:cs="Arial"/>
            <w:color w:val="1155CC"/>
            <w:u w:val="single"/>
          </w:rPr>
          <w:t>https://doi.org/10.1080/08927014.2017.1407408</w:t>
        </w:r>
      </w:hyperlink>
    </w:p>
    <w:p w14:paraId="00382193" w14:textId="77777777" w:rsidR="00FA056C" w:rsidRDefault="00FA056C">
      <w:pPr>
        <w:pBdr>
          <w:top w:val="nil"/>
          <w:left w:val="nil"/>
          <w:bottom w:val="nil"/>
          <w:right w:val="nil"/>
          <w:between w:val="nil"/>
        </w:pBdr>
        <w:jc w:val="both"/>
        <w:rPr>
          <w:rFonts w:ascii="Arial" w:eastAsia="Arial" w:hAnsi="Arial" w:cs="Arial"/>
        </w:rPr>
      </w:pPr>
    </w:p>
    <w:p w14:paraId="046CB45C"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Altarawneh, S., Bencharit, S., Mendoza, L., Curran, A., Barrow, D. &amp; Barros, S. et al. (2012). Clinical and Histological Findings of Denture Stomatitis as Related to Intraoral Colonization Patterns of </w:t>
      </w:r>
      <w:r>
        <w:rPr>
          <w:rFonts w:ascii="Arial" w:eastAsia="Arial" w:hAnsi="Arial" w:cs="Arial"/>
          <w:i/>
        </w:rPr>
        <w:t>Candida albicans</w:t>
      </w:r>
      <w:r>
        <w:rPr>
          <w:rFonts w:ascii="Arial" w:eastAsia="Arial" w:hAnsi="Arial" w:cs="Arial"/>
        </w:rPr>
        <w:t xml:space="preserve">, Salivary Flow, and Dry Mouth. </w:t>
      </w:r>
      <w:r>
        <w:rPr>
          <w:rFonts w:ascii="Arial" w:eastAsia="Arial" w:hAnsi="Arial" w:cs="Arial"/>
          <w:i/>
        </w:rPr>
        <w:t>Journal of Prosthodontics</w:t>
      </w:r>
      <w:r>
        <w:rPr>
          <w:rFonts w:ascii="Arial" w:eastAsia="Arial" w:hAnsi="Arial" w:cs="Arial"/>
        </w:rPr>
        <w:t xml:space="preserve">, 22(1), 13–22. </w:t>
      </w:r>
      <w:hyperlink r:id="rId17">
        <w:r>
          <w:rPr>
            <w:rFonts w:ascii="Arial" w:eastAsia="Arial" w:hAnsi="Arial" w:cs="Arial"/>
            <w:color w:val="1155CC"/>
            <w:u w:val="single"/>
          </w:rPr>
          <w:t>https://doi.org/10.1111/j.1532-849x.2012.00906.x</w:t>
        </w:r>
      </w:hyperlink>
    </w:p>
    <w:p w14:paraId="594FEA7D" w14:textId="77777777" w:rsidR="00FA056C" w:rsidRDefault="00FA056C">
      <w:pPr>
        <w:pBdr>
          <w:top w:val="nil"/>
          <w:left w:val="nil"/>
          <w:bottom w:val="nil"/>
          <w:right w:val="nil"/>
          <w:between w:val="nil"/>
        </w:pBdr>
        <w:jc w:val="both"/>
        <w:rPr>
          <w:rFonts w:ascii="Arial" w:eastAsia="Arial" w:hAnsi="Arial" w:cs="Arial"/>
        </w:rPr>
      </w:pPr>
    </w:p>
    <w:p w14:paraId="69E3A70B"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‌Badaró, M. M., Bueno, F. L., Arnez, R. M., Oliveira, V. C., Macedo, A. P. &amp; Souza, R. F. et al. (2020). The effects of three disinfection protocols on Candida spp., denture stomatitis, and biofilm: A parallel group randomized controlled trial. </w:t>
      </w:r>
      <w:r>
        <w:rPr>
          <w:rFonts w:ascii="Arial" w:eastAsia="Arial" w:hAnsi="Arial" w:cs="Arial"/>
          <w:i/>
        </w:rPr>
        <w:t>The Journal of Prosthetic Dentistry</w:t>
      </w:r>
      <w:r>
        <w:rPr>
          <w:rFonts w:ascii="Arial" w:eastAsia="Arial" w:hAnsi="Arial" w:cs="Arial"/>
        </w:rPr>
        <w:t xml:space="preserve">, 124(6), 690–698. </w:t>
      </w:r>
      <w:hyperlink r:id="rId18">
        <w:r>
          <w:rPr>
            <w:rFonts w:ascii="Arial" w:eastAsia="Arial" w:hAnsi="Arial" w:cs="Arial"/>
            <w:color w:val="1155CC"/>
            <w:u w:val="single"/>
          </w:rPr>
          <w:t>https://doi.org/10.1016/j.prosdent.2019.09.024</w:t>
        </w:r>
      </w:hyperlink>
      <w:r>
        <w:rPr>
          <w:rFonts w:ascii="Arial" w:eastAsia="Arial" w:hAnsi="Arial" w:cs="Arial"/>
        </w:rPr>
        <w:t xml:space="preserve"> </w:t>
      </w:r>
    </w:p>
    <w:p w14:paraId="5D8C3EB1" w14:textId="77777777" w:rsidR="00FA056C" w:rsidRDefault="00FA056C">
      <w:pPr>
        <w:pBdr>
          <w:top w:val="nil"/>
          <w:left w:val="nil"/>
          <w:bottom w:val="nil"/>
          <w:right w:val="nil"/>
          <w:between w:val="nil"/>
        </w:pBdr>
        <w:jc w:val="both"/>
        <w:rPr>
          <w:rFonts w:ascii="Arial" w:eastAsia="Arial" w:hAnsi="Arial" w:cs="Arial"/>
        </w:rPr>
      </w:pPr>
    </w:p>
    <w:p w14:paraId="684DE324"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Badaró, M. M., Prates, T. P., Leite-Fernandes, V. M. F., Oliveira, V. C., Paranhos, H. F. O., &amp; Silva-Lovato, C. H. (2019). In Vitro Evaluation of Resilient Liner after Brushing with Conventional and Experimental Ricinus communis-Based Dentifrices. </w:t>
      </w:r>
      <w:r>
        <w:rPr>
          <w:rFonts w:ascii="Arial" w:eastAsia="Arial" w:hAnsi="Arial" w:cs="Arial"/>
          <w:i/>
        </w:rPr>
        <w:t>Journal of Prosthodontics</w:t>
      </w:r>
      <w:r>
        <w:rPr>
          <w:rFonts w:ascii="Arial" w:eastAsia="Arial" w:hAnsi="Arial" w:cs="Arial"/>
        </w:rPr>
        <w:t xml:space="preserve">, 28(2), 857–862. </w:t>
      </w:r>
      <w:hyperlink r:id="rId19">
        <w:r>
          <w:rPr>
            <w:rFonts w:ascii="Arial" w:eastAsia="Arial" w:hAnsi="Arial" w:cs="Arial"/>
            <w:color w:val="1155CC"/>
            <w:u w:val="single"/>
          </w:rPr>
          <w:t>https://doi.org/10.1111/jopr.12680</w:t>
        </w:r>
      </w:hyperlink>
    </w:p>
    <w:p w14:paraId="0F0FC9ED" w14:textId="77777777" w:rsidR="00FA056C" w:rsidRDefault="00FA056C">
      <w:pPr>
        <w:pBdr>
          <w:top w:val="nil"/>
          <w:left w:val="nil"/>
          <w:bottom w:val="nil"/>
          <w:right w:val="nil"/>
          <w:between w:val="nil"/>
        </w:pBdr>
        <w:jc w:val="both"/>
        <w:rPr>
          <w:rFonts w:ascii="Arial" w:eastAsia="Arial" w:hAnsi="Arial" w:cs="Arial"/>
        </w:rPr>
      </w:pPr>
    </w:p>
    <w:p w14:paraId="6BC24783"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Bajunaid, S. O., Baras, B. H., Weir, M. D., &amp; Xu, H. H. K. (2022). Denture Acrylic Resin Material with Antibacterial and Protein-Repelling Properties for the Prevention of Denture Stomatitis. </w:t>
      </w:r>
      <w:r>
        <w:rPr>
          <w:rFonts w:ascii="Arial" w:eastAsia="Arial" w:hAnsi="Arial" w:cs="Arial"/>
          <w:i/>
        </w:rPr>
        <w:t>Polymers</w:t>
      </w:r>
      <w:r>
        <w:rPr>
          <w:rFonts w:ascii="Arial" w:eastAsia="Arial" w:hAnsi="Arial" w:cs="Arial"/>
        </w:rPr>
        <w:t xml:space="preserve">, 14(2), e230. </w:t>
      </w:r>
      <w:hyperlink r:id="rId20">
        <w:r>
          <w:rPr>
            <w:rFonts w:ascii="Arial" w:eastAsia="Arial" w:hAnsi="Arial" w:cs="Arial"/>
            <w:color w:val="1155CC"/>
            <w:u w:val="single"/>
          </w:rPr>
          <w:t>https://doi.org/10.3390/polym14020230</w:t>
        </w:r>
      </w:hyperlink>
    </w:p>
    <w:p w14:paraId="173E5232" w14:textId="77777777" w:rsidR="00FA056C" w:rsidRDefault="00FA056C">
      <w:pPr>
        <w:pBdr>
          <w:top w:val="nil"/>
          <w:left w:val="nil"/>
          <w:bottom w:val="nil"/>
          <w:right w:val="nil"/>
          <w:between w:val="nil"/>
        </w:pBdr>
        <w:jc w:val="both"/>
        <w:rPr>
          <w:rFonts w:ascii="Arial" w:eastAsia="Arial" w:hAnsi="Arial" w:cs="Arial"/>
        </w:rPr>
      </w:pPr>
    </w:p>
    <w:p w14:paraId="4CE40754"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‌Barreto, J. O., Bruna, F., Fonseca, C., Sampaio, L. S., Silva, C. R. &amp; Andrade-Neto, J. B. et al. (2021). Microbiological evaluation of an experimental denture cleanser containing essential oil of Lippia sidoides. </w:t>
      </w:r>
      <w:r>
        <w:rPr>
          <w:rFonts w:ascii="Arial" w:eastAsia="Arial" w:hAnsi="Arial" w:cs="Arial"/>
          <w:i/>
        </w:rPr>
        <w:t>Biofouling</w:t>
      </w:r>
      <w:r>
        <w:rPr>
          <w:rFonts w:ascii="Arial" w:eastAsia="Arial" w:hAnsi="Arial" w:cs="Arial"/>
        </w:rPr>
        <w:t xml:space="preserve">, 37(1), 117–130. </w:t>
      </w:r>
      <w:hyperlink r:id="rId21">
        <w:r>
          <w:rPr>
            <w:rFonts w:ascii="Arial" w:eastAsia="Arial" w:hAnsi="Arial" w:cs="Arial"/>
            <w:color w:val="1155CC"/>
            <w:u w:val="single"/>
          </w:rPr>
          <w:t>https://doi.org/10.1080/08927014.2021.1885649</w:t>
        </w:r>
      </w:hyperlink>
    </w:p>
    <w:p w14:paraId="62FA0013" w14:textId="77777777" w:rsidR="00FA056C" w:rsidRDefault="00FA056C">
      <w:pPr>
        <w:pBdr>
          <w:top w:val="nil"/>
          <w:left w:val="nil"/>
          <w:bottom w:val="nil"/>
          <w:right w:val="nil"/>
          <w:between w:val="nil"/>
        </w:pBdr>
        <w:jc w:val="both"/>
        <w:rPr>
          <w:rFonts w:ascii="Arial" w:eastAsia="Arial" w:hAnsi="Arial" w:cs="Arial"/>
        </w:rPr>
      </w:pPr>
    </w:p>
    <w:p w14:paraId="2BE1BB96" w14:textId="77777777" w:rsidR="00FA056C" w:rsidRDefault="00000000">
      <w:pPr>
        <w:pBdr>
          <w:top w:val="nil"/>
          <w:left w:val="nil"/>
          <w:bottom w:val="nil"/>
          <w:right w:val="nil"/>
          <w:between w:val="nil"/>
        </w:pBdr>
        <w:jc w:val="both"/>
        <w:rPr>
          <w:rFonts w:ascii="Arial" w:eastAsia="Arial" w:hAnsi="Arial" w:cs="Arial"/>
          <w:highlight w:val="green"/>
        </w:rPr>
      </w:pPr>
      <w:r>
        <w:rPr>
          <w:rFonts w:ascii="Arial" w:eastAsia="Arial" w:hAnsi="Arial" w:cs="Arial"/>
          <w:highlight w:val="green"/>
        </w:rPr>
        <w:t>Bassiri-Jahromi, S., Pourshafie, M. R., Ardakani, E. M., Ehsani, A. H., Doostkam A. &amp; Katirae, F. et al. (2018). In Vivo Comparative Evaluation of the Pomegranate (</w:t>
      </w:r>
      <w:r>
        <w:rPr>
          <w:rFonts w:ascii="Arial" w:eastAsia="Arial" w:hAnsi="Arial" w:cs="Arial"/>
          <w:i/>
          <w:highlight w:val="green"/>
        </w:rPr>
        <w:t>Punica granatum</w:t>
      </w:r>
      <w:r>
        <w:rPr>
          <w:rFonts w:ascii="Arial" w:eastAsia="Arial" w:hAnsi="Arial" w:cs="Arial"/>
          <w:highlight w:val="green"/>
        </w:rPr>
        <w:t xml:space="preserve">) Peel Extract as an Alternative Agent to Nystatin against Oral Candidiasis. </w:t>
      </w:r>
      <w:r>
        <w:rPr>
          <w:rFonts w:ascii="Arial" w:eastAsia="Arial" w:hAnsi="Arial" w:cs="Arial"/>
          <w:i/>
          <w:highlight w:val="green"/>
        </w:rPr>
        <w:t>Iranian Journal of Medical Sciences</w:t>
      </w:r>
      <w:r>
        <w:rPr>
          <w:rFonts w:ascii="Arial" w:eastAsia="Arial" w:hAnsi="Arial" w:cs="Arial"/>
          <w:highlight w:val="green"/>
        </w:rPr>
        <w:t xml:space="preserve">, 43(3), 296–304. </w:t>
      </w:r>
      <w:hyperlink r:id="rId22">
        <w:r>
          <w:rPr>
            <w:rFonts w:ascii="Arial" w:eastAsia="Arial" w:hAnsi="Arial" w:cs="Arial"/>
            <w:color w:val="1155CC"/>
            <w:highlight w:val="green"/>
            <w:u w:val="single"/>
          </w:rPr>
          <w:t>https://pubmed.ncbi.nlm.nih.gov/29892147/</w:t>
        </w:r>
      </w:hyperlink>
      <w:r>
        <w:rPr>
          <w:rFonts w:ascii="Arial" w:eastAsia="Arial" w:hAnsi="Arial" w:cs="Arial"/>
          <w:highlight w:val="green"/>
        </w:rPr>
        <w:t xml:space="preserve"> </w:t>
      </w:r>
    </w:p>
    <w:p w14:paraId="0DE62570" w14:textId="77777777" w:rsidR="00FA056C" w:rsidRDefault="00FA056C">
      <w:pPr>
        <w:pBdr>
          <w:top w:val="nil"/>
          <w:left w:val="nil"/>
          <w:bottom w:val="nil"/>
          <w:right w:val="nil"/>
          <w:between w:val="nil"/>
        </w:pBdr>
        <w:jc w:val="both"/>
        <w:rPr>
          <w:rFonts w:ascii="Arial" w:eastAsia="Arial" w:hAnsi="Arial" w:cs="Arial"/>
          <w:highlight w:val="green"/>
        </w:rPr>
      </w:pPr>
    </w:p>
    <w:p w14:paraId="5136F927"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‌Bianchi, C. M. P. C., Bianchi, H. A., Tadano, T., Paula, C. R., Hoffmann-Santos, H. D., Leite-Jr, D. P. et al. (2016). Factors related to oral candidiasis in elderly users and non-users of removable dental prostheses. </w:t>
      </w:r>
      <w:r>
        <w:rPr>
          <w:rFonts w:ascii="Arial" w:eastAsia="Arial" w:hAnsi="Arial" w:cs="Arial"/>
          <w:i/>
        </w:rPr>
        <w:t>Revista do Instituto de Medicina Tropical de São Paulo</w:t>
      </w:r>
      <w:r>
        <w:rPr>
          <w:rFonts w:ascii="Arial" w:eastAsia="Arial" w:hAnsi="Arial" w:cs="Arial"/>
        </w:rPr>
        <w:t xml:space="preserve">, 58(17). </w:t>
      </w:r>
      <w:hyperlink r:id="rId23">
        <w:r>
          <w:rPr>
            <w:rFonts w:ascii="Arial" w:eastAsia="Arial" w:hAnsi="Arial" w:cs="Arial"/>
            <w:color w:val="1155CC"/>
            <w:u w:val="single"/>
          </w:rPr>
          <w:t>https://doi.org/10.1590/S1678-9946201658017</w:t>
        </w:r>
      </w:hyperlink>
    </w:p>
    <w:p w14:paraId="4501213D" w14:textId="77777777" w:rsidR="00FA056C" w:rsidRDefault="00FA056C">
      <w:pPr>
        <w:pBdr>
          <w:top w:val="nil"/>
          <w:left w:val="nil"/>
          <w:bottom w:val="nil"/>
          <w:right w:val="nil"/>
          <w:between w:val="nil"/>
        </w:pBdr>
        <w:jc w:val="both"/>
        <w:rPr>
          <w:rFonts w:ascii="Arial" w:eastAsia="Arial" w:hAnsi="Arial" w:cs="Arial"/>
        </w:rPr>
      </w:pPr>
    </w:p>
    <w:p w14:paraId="5764F35B" w14:textId="77777777" w:rsidR="00FA056C" w:rsidRDefault="00000000">
      <w:pPr>
        <w:pBdr>
          <w:top w:val="nil"/>
          <w:left w:val="nil"/>
          <w:bottom w:val="nil"/>
          <w:right w:val="nil"/>
          <w:between w:val="nil"/>
        </w:pBdr>
        <w:jc w:val="both"/>
        <w:rPr>
          <w:rFonts w:ascii="Arial" w:eastAsia="Arial" w:hAnsi="Arial" w:cs="Arial"/>
          <w:highlight w:val="green"/>
        </w:rPr>
      </w:pPr>
      <w:r>
        <w:rPr>
          <w:rFonts w:ascii="Arial" w:eastAsia="Arial" w:hAnsi="Arial" w:cs="Arial"/>
          <w:highlight w:val="green"/>
        </w:rPr>
        <w:lastRenderedPageBreak/>
        <w:t xml:space="preserve">Brighenti, V., Iseppi, R., Pinzi, L., Mincuzzi, A., Ippolito, A. &amp; Messi, P. et al. (2021). Antifungal Activity and DNA Topoisomerase Inhibition of Hydrolysable Tannins from </w:t>
      </w:r>
      <w:r>
        <w:rPr>
          <w:rFonts w:ascii="Arial" w:eastAsia="Arial" w:hAnsi="Arial" w:cs="Arial"/>
          <w:i/>
          <w:highlight w:val="green"/>
        </w:rPr>
        <w:t>Punica granatum</w:t>
      </w:r>
      <w:r>
        <w:rPr>
          <w:rFonts w:ascii="Arial" w:eastAsia="Arial" w:hAnsi="Arial" w:cs="Arial"/>
          <w:highlight w:val="green"/>
        </w:rPr>
        <w:t xml:space="preserve"> L. </w:t>
      </w:r>
      <w:r>
        <w:rPr>
          <w:rFonts w:ascii="Arial" w:eastAsia="Arial" w:hAnsi="Arial" w:cs="Arial"/>
          <w:i/>
          <w:highlight w:val="green"/>
        </w:rPr>
        <w:t>International Journal of Molecular Sciences</w:t>
      </w:r>
      <w:r>
        <w:rPr>
          <w:rFonts w:ascii="Arial" w:eastAsia="Arial" w:hAnsi="Arial" w:cs="Arial"/>
          <w:highlight w:val="green"/>
        </w:rPr>
        <w:t xml:space="preserve">, 22(8), e4175. </w:t>
      </w:r>
      <w:hyperlink r:id="rId24">
        <w:r>
          <w:rPr>
            <w:rFonts w:ascii="Arial" w:eastAsia="Arial" w:hAnsi="Arial" w:cs="Arial"/>
            <w:color w:val="1155CC"/>
            <w:highlight w:val="green"/>
            <w:u w:val="single"/>
          </w:rPr>
          <w:t>https://doi.org/10.3390/ijms22084175</w:t>
        </w:r>
      </w:hyperlink>
      <w:r>
        <w:rPr>
          <w:rFonts w:ascii="Arial" w:eastAsia="Arial" w:hAnsi="Arial" w:cs="Arial"/>
          <w:highlight w:val="green"/>
        </w:rPr>
        <w:t xml:space="preserve"> </w:t>
      </w:r>
    </w:p>
    <w:p w14:paraId="56D8CDDD" w14:textId="77777777" w:rsidR="00FA056C" w:rsidRDefault="00FA056C">
      <w:pPr>
        <w:pBdr>
          <w:top w:val="nil"/>
          <w:left w:val="nil"/>
          <w:bottom w:val="nil"/>
          <w:right w:val="nil"/>
          <w:between w:val="nil"/>
        </w:pBdr>
        <w:jc w:val="both"/>
        <w:rPr>
          <w:rFonts w:ascii="Arial" w:eastAsia="Arial" w:hAnsi="Arial" w:cs="Arial"/>
        </w:rPr>
      </w:pPr>
    </w:p>
    <w:p w14:paraId="565E6F06"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Campos, D. E. S., Ferreira-Muniz, Í. A., Costa, T. K. V. L., Lima, R. B. W., Neppelenbroek, K. H., &amp; Batista, A. U. D. (2023). Effect of simulated brushing with dentifrices on surface roughness and the mass loss of acrylic resin: A systematic review and meta-analysis of in vitro studies. </w:t>
      </w:r>
      <w:r>
        <w:rPr>
          <w:rFonts w:ascii="Arial" w:eastAsia="Arial" w:hAnsi="Arial" w:cs="Arial"/>
          <w:i/>
        </w:rPr>
        <w:t>The Journal of Prosthetic Dentistry</w:t>
      </w:r>
      <w:r>
        <w:rPr>
          <w:rFonts w:ascii="Arial" w:eastAsia="Arial" w:hAnsi="Arial" w:cs="Arial"/>
        </w:rPr>
        <w:t xml:space="preserve">, 133(5), 1209–1220. </w:t>
      </w:r>
      <w:hyperlink r:id="rId25">
        <w:r>
          <w:rPr>
            <w:rFonts w:ascii="Arial" w:eastAsia="Arial" w:hAnsi="Arial" w:cs="Arial"/>
            <w:color w:val="1155CC"/>
            <w:u w:val="single"/>
          </w:rPr>
          <w:t>https://doi.org/10.1016/j.prosdent.2023.06.027</w:t>
        </w:r>
      </w:hyperlink>
    </w:p>
    <w:p w14:paraId="7FD62DEA" w14:textId="77777777" w:rsidR="00FA056C" w:rsidRDefault="00FA056C">
      <w:pPr>
        <w:pBdr>
          <w:top w:val="nil"/>
          <w:left w:val="nil"/>
          <w:bottom w:val="nil"/>
          <w:right w:val="nil"/>
          <w:between w:val="nil"/>
        </w:pBdr>
        <w:jc w:val="both"/>
        <w:rPr>
          <w:rFonts w:ascii="Arial" w:eastAsia="Arial" w:hAnsi="Arial" w:cs="Arial"/>
        </w:rPr>
      </w:pPr>
    </w:p>
    <w:p w14:paraId="56AC6A0F"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‌Carvalho-Neto, G. L., Diniz, T. C., Barreto, J. O., Valadas, L. A. R., Rodrigues-Neto, E. M., &amp; Fiallos, N. M. et al. (2021). Mechanical brushing effects in vitro of a dentifrice containg </w:t>
      </w:r>
      <w:r>
        <w:rPr>
          <w:rFonts w:ascii="Arial" w:eastAsia="Arial" w:hAnsi="Arial" w:cs="Arial"/>
          <w:i/>
        </w:rPr>
        <w:t>Punica granatum</w:t>
      </w:r>
      <w:r>
        <w:rPr>
          <w:rFonts w:ascii="Arial" w:eastAsia="Arial" w:hAnsi="Arial" w:cs="Arial"/>
        </w:rPr>
        <w:t xml:space="preserve"> linné. </w:t>
      </w:r>
      <w:r>
        <w:rPr>
          <w:rFonts w:ascii="Arial" w:eastAsia="Arial" w:hAnsi="Arial" w:cs="Arial"/>
          <w:i/>
        </w:rPr>
        <w:t>Journal of Young Pharmacists</w:t>
      </w:r>
      <w:r>
        <w:rPr>
          <w:rFonts w:ascii="Arial" w:eastAsia="Arial" w:hAnsi="Arial" w:cs="Arial"/>
        </w:rPr>
        <w:t xml:space="preserve">, 13(1), 54-57. </w:t>
      </w:r>
      <w:hyperlink r:id="rId26">
        <w:r>
          <w:rPr>
            <w:rFonts w:ascii="Arial" w:eastAsia="Arial" w:hAnsi="Arial" w:cs="Arial"/>
            <w:color w:val="1155CC"/>
            <w:u w:val="single"/>
          </w:rPr>
          <w:t>https://dx.doi.org/10.5530/jyp.2021.13.12</w:t>
        </w:r>
      </w:hyperlink>
    </w:p>
    <w:p w14:paraId="2F6DABA0" w14:textId="77777777" w:rsidR="00FA056C" w:rsidRDefault="00FA056C">
      <w:pPr>
        <w:pBdr>
          <w:top w:val="nil"/>
          <w:left w:val="nil"/>
          <w:bottom w:val="nil"/>
          <w:right w:val="nil"/>
          <w:between w:val="nil"/>
        </w:pBdr>
        <w:jc w:val="both"/>
        <w:rPr>
          <w:rFonts w:ascii="Arial" w:eastAsia="Arial" w:hAnsi="Arial" w:cs="Arial"/>
        </w:rPr>
      </w:pPr>
    </w:p>
    <w:p w14:paraId="1D5DDB5D"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Costa, B., Neves, C. B., Roque, J. C., Anes, V., &amp; Santos, V. (2025). Influence of Food Pigments and Thermal Aging on the Color Stability of Denture Base Resins. </w:t>
      </w:r>
      <w:r>
        <w:rPr>
          <w:rFonts w:ascii="Arial" w:eastAsia="Arial" w:hAnsi="Arial" w:cs="Arial"/>
          <w:i/>
        </w:rPr>
        <w:t>Applied Sciences</w:t>
      </w:r>
      <w:r>
        <w:rPr>
          <w:rFonts w:ascii="Arial" w:eastAsia="Arial" w:hAnsi="Arial" w:cs="Arial"/>
        </w:rPr>
        <w:t xml:space="preserve">, 15(3), 1503–1503. </w:t>
      </w:r>
      <w:hyperlink r:id="rId27">
        <w:r>
          <w:rPr>
            <w:rFonts w:ascii="Arial" w:eastAsia="Arial" w:hAnsi="Arial" w:cs="Arial"/>
            <w:color w:val="1155CC"/>
            <w:u w:val="single"/>
          </w:rPr>
          <w:t>https://doi.org/10.3390/app15031503</w:t>
        </w:r>
      </w:hyperlink>
      <w:r>
        <w:rPr>
          <w:rFonts w:ascii="Arial" w:eastAsia="Arial" w:hAnsi="Arial" w:cs="Arial"/>
        </w:rPr>
        <w:t xml:space="preserve"> </w:t>
      </w:r>
    </w:p>
    <w:p w14:paraId="34B54824" w14:textId="77777777" w:rsidR="00FA056C" w:rsidRDefault="00FA056C">
      <w:pPr>
        <w:pBdr>
          <w:top w:val="nil"/>
          <w:left w:val="nil"/>
          <w:bottom w:val="nil"/>
          <w:right w:val="nil"/>
          <w:between w:val="nil"/>
        </w:pBdr>
        <w:jc w:val="both"/>
        <w:rPr>
          <w:rFonts w:ascii="Arial" w:eastAsia="Arial" w:hAnsi="Arial" w:cs="Arial"/>
        </w:rPr>
      </w:pPr>
    </w:p>
    <w:p w14:paraId="299D6040"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Felton, D., Cooper, L., Duqum, I., Minsley, G., Guckes, A. &amp; Haug, S. et al. (2011). Evidence-based guidelines for the care and maintenance of complete dentures: a publication of the American College of Prosthodontists. </w:t>
      </w:r>
      <w:r>
        <w:rPr>
          <w:rFonts w:ascii="Arial" w:eastAsia="Arial" w:hAnsi="Arial" w:cs="Arial"/>
          <w:i/>
        </w:rPr>
        <w:t>Journal of Prosthodontics</w:t>
      </w:r>
      <w:r>
        <w:rPr>
          <w:rFonts w:ascii="Arial" w:eastAsia="Arial" w:hAnsi="Arial" w:cs="Arial"/>
        </w:rPr>
        <w:t xml:space="preserve">, 20(1), 1–12. </w:t>
      </w:r>
      <w:hyperlink r:id="rId28">
        <w:r>
          <w:rPr>
            <w:rFonts w:ascii="Arial" w:eastAsia="Arial" w:hAnsi="Arial" w:cs="Arial"/>
            <w:color w:val="1155CC"/>
            <w:u w:val="single"/>
          </w:rPr>
          <w:t>https://doi.org/10.1111/j.1532-849X.2010.00683.x</w:t>
        </w:r>
      </w:hyperlink>
    </w:p>
    <w:p w14:paraId="1582428E" w14:textId="77777777" w:rsidR="00FA056C" w:rsidRDefault="00FA056C">
      <w:pPr>
        <w:pBdr>
          <w:top w:val="nil"/>
          <w:left w:val="nil"/>
          <w:bottom w:val="nil"/>
          <w:right w:val="nil"/>
          <w:between w:val="nil"/>
        </w:pBdr>
        <w:jc w:val="both"/>
        <w:rPr>
          <w:rFonts w:ascii="Arial" w:eastAsia="Arial" w:hAnsi="Arial" w:cs="Arial"/>
        </w:rPr>
      </w:pPr>
    </w:p>
    <w:p w14:paraId="41400A1E" w14:textId="77777777" w:rsidR="00FA056C" w:rsidRDefault="00000000">
      <w:pPr>
        <w:pBdr>
          <w:top w:val="nil"/>
          <w:left w:val="nil"/>
          <w:bottom w:val="nil"/>
          <w:right w:val="nil"/>
          <w:between w:val="nil"/>
        </w:pBdr>
        <w:jc w:val="both"/>
        <w:rPr>
          <w:rFonts w:ascii="Arial" w:eastAsia="Arial" w:hAnsi="Arial" w:cs="Arial"/>
          <w:highlight w:val="green"/>
        </w:rPr>
      </w:pPr>
      <w:r>
        <w:rPr>
          <w:rFonts w:ascii="Arial" w:eastAsia="Arial" w:hAnsi="Arial" w:cs="Arial"/>
          <w:highlight w:val="green"/>
        </w:rPr>
        <w:t xml:space="preserve">Ferreira, N. S., Moreno, T. J. C., Duarte, C. E. S., Moreira, M. G., Ucella-Filho, J. G. M. &amp; Ferreira, I. M. et al. (2025). Exploring the antifungal potential and action mechanism of pomegranate peel extract against Candida species in planktonic and biofilm conditions. </w:t>
      </w:r>
      <w:r>
        <w:rPr>
          <w:rFonts w:ascii="Arial" w:eastAsia="Arial" w:hAnsi="Arial" w:cs="Arial"/>
          <w:i/>
          <w:highlight w:val="green"/>
        </w:rPr>
        <w:t>Microbial Pathogenesis</w:t>
      </w:r>
      <w:r>
        <w:rPr>
          <w:rFonts w:ascii="Arial" w:eastAsia="Arial" w:hAnsi="Arial" w:cs="Arial"/>
          <w:highlight w:val="green"/>
        </w:rPr>
        <w:t xml:space="preserve">, 204, e107596. </w:t>
      </w:r>
      <w:hyperlink r:id="rId29">
        <w:r>
          <w:rPr>
            <w:rFonts w:ascii="Arial" w:eastAsia="Arial" w:hAnsi="Arial" w:cs="Arial"/>
            <w:color w:val="1155CC"/>
            <w:highlight w:val="green"/>
            <w:u w:val="single"/>
          </w:rPr>
          <w:t>https://doi.org/10.1016/j.micpath.2025.107596</w:t>
        </w:r>
      </w:hyperlink>
      <w:r>
        <w:rPr>
          <w:rFonts w:ascii="Arial" w:eastAsia="Arial" w:hAnsi="Arial" w:cs="Arial"/>
          <w:highlight w:val="green"/>
        </w:rPr>
        <w:t xml:space="preserve"> </w:t>
      </w:r>
    </w:p>
    <w:p w14:paraId="50D0F425" w14:textId="77777777" w:rsidR="00FA056C" w:rsidRDefault="00FA056C">
      <w:pPr>
        <w:pBdr>
          <w:top w:val="nil"/>
          <w:left w:val="nil"/>
          <w:bottom w:val="nil"/>
          <w:right w:val="nil"/>
          <w:between w:val="nil"/>
        </w:pBdr>
        <w:jc w:val="both"/>
        <w:rPr>
          <w:rFonts w:ascii="Arial" w:eastAsia="Arial" w:hAnsi="Arial" w:cs="Arial"/>
        </w:rPr>
      </w:pPr>
    </w:p>
    <w:p w14:paraId="7B3301B6"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Fouda, S. M., Gad, M. M., Ellakany, P., El Zayat, M., Farooqi, F. A. &amp; Akhtar, S. et al. (2025). Influence of denture brushing on the surface properties and color stability of CAD-CAM, thermoformed, and conventionally fabricated denture base resins. </w:t>
      </w:r>
      <w:r>
        <w:rPr>
          <w:rFonts w:ascii="Arial" w:eastAsia="Arial" w:hAnsi="Arial" w:cs="Arial"/>
          <w:i/>
        </w:rPr>
        <w:t>Journal of Prosthodontics</w:t>
      </w:r>
      <w:r>
        <w:rPr>
          <w:rFonts w:ascii="Arial" w:eastAsia="Arial" w:hAnsi="Arial" w:cs="Arial"/>
        </w:rPr>
        <w:t xml:space="preserve">, 34(1), 91–100. </w:t>
      </w:r>
      <w:hyperlink r:id="rId30">
        <w:r>
          <w:rPr>
            <w:rFonts w:ascii="Arial" w:eastAsia="Arial" w:hAnsi="Arial" w:cs="Arial"/>
            <w:color w:val="1155CC"/>
            <w:u w:val="single"/>
          </w:rPr>
          <w:t>https://doi.org/10.1111/jopr.13801</w:t>
        </w:r>
      </w:hyperlink>
      <w:r>
        <w:rPr>
          <w:rFonts w:ascii="Arial" w:eastAsia="Arial" w:hAnsi="Arial" w:cs="Arial"/>
        </w:rPr>
        <w:t xml:space="preserve"> </w:t>
      </w:r>
    </w:p>
    <w:p w14:paraId="6ED58DE3" w14:textId="77777777" w:rsidR="00FA056C" w:rsidRDefault="00FA056C">
      <w:pPr>
        <w:pBdr>
          <w:top w:val="nil"/>
          <w:left w:val="nil"/>
          <w:bottom w:val="nil"/>
          <w:right w:val="nil"/>
          <w:between w:val="nil"/>
        </w:pBdr>
        <w:jc w:val="both"/>
        <w:rPr>
          <w:rFonts w:ascii="Arial" w:eastAsia="Arial" w:hAnsi="Arial" w:cs="Arial"/>
        </w:rPr>
      </w:pPr>
    </w:p>
    <w:p w14:paraId="11B13787"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Freire, J. C. P., Ribeiro, E. D., Batista, A. U. D., Pereira, J. V., &amp; Lima, E. O. (2018). Presença de Candida spp. em usuários de próteses dentárias removíveis. </w:t>
      </w:r>
      <w:r>
        <w:rPr>
          <w:rFonts w:ascii="Arial" w:eastAsia="Arial" w:hAnsi="Arial" w:cs="Arial"/>
          <w:i/>
        </w:rPr>
        <w:t>Revista Cubana de Estomatología</w:t>
      </w:r>
      <w:r>
        <w:rPr>
          <w:rFonts w:ascii="Arial" w:eastAsia="Arial" w:hAnsi="Arial" w:cs="Arial"/>
        </w:rPr>
        <w:t>, 55(4), 1-11..</w:t>
      </w:r>
    </w:p>
    <w:p w14:paraId="56ABE579" w14:textId="77777777" w:rsidR="00FA056C" w:rsidRDefault="00FA056C">
      <w:pPr>
        <w:pBdr>
          <w:top w:val="nil"/>
          <w:left w:val="nil"/>
          <w:bottom w:val="nil"/>
          <w:right w:val="nil"/>
          <w:between w:val="nil"/>
        </w:pBdr>
        <w:jc w:val="both"/>
        <w:rPr>
          <w:rFonts w:ascii="Arial" w:eastAsia="Arial" w:hAnsi="Arial" w:cs="Arial"/>
        </w:rPr>
      </w:pPr>
    </w:p>
    <w:p w14:paraId="1B8F2BF9"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Freitas-Pontes, K. M., Holanda, J. C., Fonteles, C. S. R., Pontes, C. B., Silva, C. H. L., &amp; Paranhos, H. F. O (2016). Effect of toothbrushes and denture brushes on heat-polymerized acrylic resins. </w:t>
      </w:r>
      <w:r>
        <w:rPr>
          <w:rFonts w:ascii="Arial" w:eastAsia="Arial" w:hAnsi="Arial" w:cs="Arial"/>
          <w:i/>
        </w:rPr>
        <w:t>General Dentistry</w:t>
      </w:r>
      <w:r>
        <w:rPr>
          <w:rFonts w:ascii="Arial" w:eastAsia="Arial" w:hAnsi="Arial" w:cs="Arial"/>
        </w:rPr>
        <w:t xml:space="preserve">, 64(1), 49–53. </w:t>
      </w:r>
      <w:hyperlink r:id="rId31">
        <w:r>
          <w:rPr>
            <w:rFonts w:ascii="Arial" w:eastAsia="Arial" w:hAnsi="Arial" w:cs="Arial"/>
            <w:color w:val="1155CC"/>
            <w:u w:val="single"/>
          </w:rPr>
          <w:t>https://pubmed.ncbi.nlm.nih.gov/26742168/</w:t>
        </w:r>
      </w:hyperlink>
    </w:p>
    <w:p w14:paraId="5E96C134" w14:textId="77777777" w:rsidR="00FA056C" w:rsidRDefault="00FA056C">
      <w:pPr>
        <w:pBdr>
          <w:top w:val="nil"/>
          <w:left w:val="nil"/>
          <w:bottom w:val="nil"/>
          <w:right w:val="nil"/>
          <w:between w:val="nil"/>
        </w:pBdr>
        <w:jc w:val="both"/>
        <w:rPr>
          <w:rFonts w:ascii="Arial" w:eastAsia="Arial" w:hAnsi="Arial" w:cs="Arial"/>
        </w:rPr>
      </w:pPr>
    </w:p>
    <w:p w14:paraId="587EC83F"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‌Freitas-Pontes, K. M., Silva-Lovato, C. H., &amp; Paranhos, H. F. (2009). Mass loss of four commercially available heat-polymerized acrylic resins after toothbrushing with three different dentifrices. </w:t>
      </w:r>
      <w:r>
        <w:rPr>
          <w:rFonts w:ascii="Arial" w:eastAsia="Arial" w:hAnsi="Arial" w:cs="Arial"/>
          <w:i/>
        </w:rPr>
        <w:t>Journal of Applied Oral Science</w:t>
      </w:r>
      <w:r>
        <w:rPr>
          <w:rFonts w:ascii="Arial" w:eastAsia="Arial" w:hAnsi="Arial" w:cs="Arial"/>
        </w:rPr>
        <w:t xml:space="preserve">, 17(2), 116–121. </w:t>
      </w:r>
      <w:hyperlink r:id="rId32">
        <w:r>
          <w:rPr>
            <w:rFonts w:ascii="Arial" w:eastAsia="Arial" w:hAnsi="Arial" w:cs="Arial"/>
            <w:color w:val="1155CC"/>
            <w:u w:val="single"/>
          </w:rPr>
          <w:t>https://doi.org/10.1590/s1678-77572009000200009</w:t>
        </w:r>
      </w:hyperlink>
    </w:p>
    <w:p w14:paraId="12D5095B" w14:textId="77777777" w:rsidR="00FA056C" w:rsidRDefault="00FA056C">
      <w:pPr>
        <w:pBdr>
          <w:top w:val="nil"/>
          <w:left w:val="nil"/>
          <w:bottom w:val="nil"/>
          <w:right w:val="nil"/>
          <w:between w:val="nil"/>
        </w:pBdr>
        <w:jc w:val="both"/>
        <w:rPr>
          <w:rFonts w:ascii="Arial" w:eastAsia="Arial" w:hAnsi="Arial" w:cs="Arial"/>
        </w:rPr>
      </w:pPr>
    </w:p>
    <w:p w14:paraId="11D4B430"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Gad, M. M., &amp; Fouda, S. M. (2020). Current perspectives and the future of </w:t>
      </w:r>
      <w:r>
        <w:rPr>
          <w:rFonts w:ascii="Arial" w:eastAsia="Arial" w:hAnsi="Arial" w:cs="Arial"/>
          <w:i/>
        </w:rPr>
        <w:t>Candida albicans</w:t>
      </w:r>
      <w:r>
        <w:rPr>
          <w:rFonts w:ascii="Arial" w:eastAsia="Arial" w:hAnsi="Arial" w:cs="Arial"/>
        </w:rPr>
        <w:t xml:space="preserve"> - associated denture stomatitis treatment. </w:t>
      </w:r>
      <w:r>
        <w:rPr>
          <w:rFonts w:ascii="Arial" w:eastAsia="Arial" w:hAnsi="Arial" w:cs="Arial"/>
          <w:i/>
        </w:rPr>
        <w:t>Dental and Medical Problems</w:t>
      </w:r>
      <w:r>
        <w:rPr>
          <w:rFonts w:ascii="Arial" w:eastAsia="Arial" w:hAnsi="Arial" w:cs="Arial"/>
        </w:rPr>
        <w:t xml:space="preserve">, 57(1), 95–102. </w:t>
      </w:r>
      <w:hyperlink r:id="rId33">
        <w:r>
          <w:rPr>
            <w:rFonts w:ascii="Arial" w:eastAsia="Arial" w:hAnsi="Arial" w:cs="Arial"/>
            <w:color w:val="1155CC"/>
            <w:u w:val="single"/>
          </w:rPr>
          <w:t>https://doi.org/10.17219/dmp/112861</w:t>
        </w:r>
      </w:hyperlink>
      <w:r>
        <w:rPr>
          <w:rFonts w:ascii="Arial" w:eastAsia="Arial" w:hAnsi="Arial" w:cs="Arial"/>
        </w:rPr>
        <w:t xml:space="preserve"> </w:t>
      </w:r>
    </w:p>
    <w:p w14:paraId="28115DE5" w14:textId="77777777" w:rsidR="00FA056C" w:rsidRDefault="00FA056C">
      <w:pPr>
        <w:pBdr>
          <w:top w:val="nil"/>
          <w:left w:val="nil"/>
          <w:bottom w:val="nil"/>
          <w:right w:val="nil"/>
          <w:between w:val="nil"/>
        </w:pBdr>
        <w:jc w:val="both"/>
        <w:rPr>
          <w:rFonts w:ascii="Arial" w:eastAsia="Arial" w:hAnsi="Arial" w:cs="Arial"/>
        </w:rPr>
      </w:pPr>
    </w:p>
    <w:p w14:paraId="3D4BE678"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Gendreau, L., &amp; Loewy, Z. G. (2011). Epidemiology and Etiology of Denture Stomatitis. </w:t>
      </w:r>
      <w:r>
        <w:rPr>
          <w:rFonts w:ascii="Arial" w:eastAsia="Arial" w:hAnsi="Arial" w:cs="Arial"/>
          <w:i/>
        </w:rPr>
        <w:t>Journal of Prosthodontics</w:t>
      </w:r>
      <w:r>
        <w:rPr>
          <w:rFonts w:ascii="Arial" w:eastAsia="Arial" w:hAnsi="Arial" w:cs="Arial"/>
        </w:rPr>
        <w:t xml:space="preserve">, 20(4), 251–260. </w:t>
      </w:r>
      <w:hyperlink r:id="rId34">
        <w:r>
          <w:rPr>
            <w:rFonts w:ascii="Arial" w:eastAsia="Arial" w:hAnsi="Arial" w:cs="Arial"/>
            <w:color w:val="1155CC"/>
            <w:u w:val="single"/>
          </w:rPr>
          <w:t>https://doi.org/10.1111/j.1532-849x.2011.00698.x</w:t>
        </w:r>
      </w:hyperlink>
    </w:p>
    <w:p w14:paraId="23D55FFD" w14:textId="77777777" w:rsidR="00FA056C" w:rsidRDefault="00FA056C">
      <w:pPr>
        <w:pBdr>
          <w:top w:val="nil"/>
          <w:left w:val="nil"/>
          <w:bottom w:val="nil"/>
          <w:right w:val="nil"/>
          <w:between w:val="nil"/>
        </w:pBdr>
        <w:jc w:val="both"/>
        <w:rPr>
          <w:rFonts w:ascii="Arial" w:eastAsia="Arial" w:hAnsi="Arial" w:cs="Arial"/>
        </w:rPr>
      </w:pPr>
    </w:p>
    <w:p w14:paraId="4BD030F2" w14:textId="77777777" w:rsidR="00FA056C" w:rsidRDefault="00000000">
      <w:pPr>
        <w:pBdr>
          <w:top w:val="nil"/>
          <w:left w:val="nil"/>
          <w:bottom w:val="nil"/>
          <w:right w:val="nil"/>
          <w:between w:val="nil"/>
        </w:pBdr>
        <w:jc w:val="both"/>
        <w:rPr>
          <w:rFonts w:ascii="Arial" w:eastAsia="Arial" w:hAnsi="Arial" w:cs="Arial"/>
          <w:highlight w:val="green"/>
        </w:rPr>
      </w:pPr>
      <w:r>
        <w:rPr>
          <w:rFonts w:ascii="Arial" w:eastAsia="Arial" w:hAnsi="Arial" w:cs="Arial"/>
          <w:highlight w:val="green"/>
        </w:rPr>
        <w:t xml:space="preserve">Gomes, L. A. P., Figueiredo, L. M. A., Palma, A. L. R., Geraldo, B. M. C., Castro, K. C. I. &amp; Fugisaki, L. R. O. et al. (2016). </w:t>
      </w:r>
      <w:r>
        <w:rPr>
          <w:rFonts w:ascii="Arial" w:eastAsia="Arial" w:hAnsi="Arial" w:cs="Arial"/>
          <w:i/>
          <w:highlight w:val="green"/>
        </w:rPr>
        <w:t>Punica granatum</w:t>
      </w:r>
      <w:r>
        <w:rPr>
          <w:rFonts w:ascii="Arial" w:eastAsia="Arial" w:hAnsi="Arial" w:cs="Arial"/>
          <w:highlight w:val="green"/>
        </w:rPr>
        <w:t xml:space="preserve"> L. (Pomegranate) Extract: </w:t>
      </w:r>
      <w:r>
        <w:rPr>
          <w:rFonts w:ascii="Arial" w:eastAsia="Arial" w:hAnsi="Arial" w:cs="Arial"/>
          <w:i/>
          <w:highlight w:val="green"/>
        </w:rPr>
        <w:t>In Vivo</w:t>
      </w:r>
      <w:r>
        <w:rPr>
          <w:rFonts w:ascii="Arial" w:eastAsia="Arial" w:hAnsi="Arial" w:cs="Arial"/>
          <w:highlight w:val="green"/>
        </w:rPr>
        <w:t xml:space="preserve"> Study of Antimicrobial Activity against </w:t>
      </w:r>
      <w:r>
        <w:rPr>
          <w:rFonts w:ascii="Arial" w:eastAsia="Arial" w:hAnsi="Arial" w:cs="Arial"/>
          <w:i/>
          <w:highlight w:val="green"/>
        </w:rPr>
        <w:t>Porphyromonas gingivalis</w:t>
      </w:r>
      <w:r>
        <w:rPr>
          <w:rFonts w:ascii="Arial" w:eastAsia="Arial" w:hAnsi="Arial" w:cs="Arial"/>
          <w:highlight w:val="green"/>
        </w:rPr>
        <w:t xml:space="preserve"> in </w:t>
      </w:r>
      <w:r>
        <w:rPr>
          <w:rFonts w:ascii="Arial" w:eastAsia="Arial" w:hAnsi="Arial" w:cs="Arial"/>
          <w:i/>
          <w:highlight w:val="green"/>
        </w:rPr>
        <w:t>Galleria mellonella</w:t>
      </w:r>
      <w:r>
        <w:rPr>
          <w:rFonts w:ascii="Arial" w:eastAsia="Arial" w:hAnsi="Arial" w:cs="Arial"/>
          <w:highlight w:val="green"/>
        </w:rPr>
        <w:t xml:space="preserve"> Model. </w:t>
      </w:r>
      <w:r>
        <w:rPr>
          <w:rFonts w:ascii="Arial" w:eastAsia="Arial" w:hAnsi="Arial" w:cs="Arial"/>
          <w:i/>
          <w:highlight w:val="green"/>
        </w:rPr>
        <w:t>The Scientific World Journal</w:t>
      </w:r>
      <w:r>
        <w:rPr>
          <w:rFonts w:ascii="Arial" w:eastAsia="Arial" w:hAnsi="Arial" w:cs="Arial"/>
          <w:highlight w:val="green"/>
        </w:rPr>
        <w:t xml:space="preserve">, e8626987. </w:t>
      </w:r>
      <w:hyperlink r:id="rId35">
        <w:r>
          <w:rPr>
            <w:rFonts w:ascii="Arial" w:eastAsia="Arial" w:hAnsi="Arial" w:cs="Arial"/>
            <w:color w:val="1155CC"/>
            <w:highlight w:val="green"/>
            <w:u w:val="single"/>
          </w:rPr>
          <w:t>https://doi.org/10.1155/2016/8626987</w:t>
        </w:r>
      </w:hyperlink>
      <w:r>
        <w:rPr>
          <w:rFonts w:ascii="Arial" w:eastAsia="Arial" w:hAnsi="Arial" w:cs="Arial"/>
          <w:highlight w:val="green"/>
        </w:rPr>
        <w:t xml:space="preserve"> </w:t>
      </w:r>
    </w:p>
    <w:p w14:paraId="0CF28B0F" w14:textId="77777777" w:rsidR="00FA056C" w:rsidRDefault="00FA056C">
      <w:pPr>
        <w:pBdr>
          <w:top w:val="nil"/>
          <w:left w:val="nil"/>
          <w:bottom w:val="nil"/>
          <w:right w:val="nil"/>
          <w:between w:val="nil"/>
        </w:pBdr>
        <w:jc w:val="both"/>
        <w:rPr>
          <w:rFonts w:ascii="Arial" w:eastAsia="Arial" w:hAnsi="Arial" w:cs="Arial"/>
        </w:rPr>
      </w:pPr>
    </w:p>
    <w:p w14:paraId="4FCD7B71"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‌Hilgert, J. B., Giordani, J. M. A., Souza, R. F., Wendland, E. M. D. R., D’Avila, O. P., &amp; Hugo, F. N. (2016). Interventions for the Management of Denture Stomatitis: A Systematic Review and Meta-Analysis. </w:t>
      </w:r>
      <w:r>
        <w:rPr>
          <w:rFonts w:ascii="Arial" w:eastAsia="Arial" w:hAnsi="Arial" w:cs="Arial"/>
          <w:i/>
        </w:rPr>
        <w:t>Journal of the American Geriatrics Society</w:t>
      </w:r>
      <w:r>
        <w:rPr>
          <w:rFonts w:ascii="Arial" w:eastAsia="Arial" w:hAnsi="Arial" w:cs="Arial"/>
        </w:rPr>
        <w:t xml:space="preserve">, 64(12), 2539–2545. </w:t>
      </w:r>
      <w:hyperlink r:id="rId36">
        <w:r>
          <w:rPr>
            <w:rFonts w:ascii="Arial" w:eastAsia="Arial" w:hAnsi="Arial" w:cs="Arial"/>
            <w:color w:val="1155CC"/>
            <w:u w:val="single"/>
          </w:rPr>
          <w:t>https://doi.org/10.1111/jgs.14399</w:t>
        </w:r>
      </w:hyperlink>
    </w:p>
    <w:p w14:paraId="19057259" w14:textId="77777777" w:rsidR="00FA056C" w:rsidRDefault="00FA056C">
      <w:pPr>
        <w:pBdr>
          <w:top w:val="nil"/>
          <w:left w:val="nil"/>
          <w:bottom w:val="nil"/>
          <w:right w:val="nil"/>
          <w:between w:val="nil"/>
        </w:pBdr>
        <w:jc w:val="both"/>
        <w:rPr>
          <w:rFonts w:ascii="Arial" w:eastAsia="Arial" w:hAnsi="Arial" w:cs="Arial"/>
        </w:rPr>
      </w:pPr>
    </w:p>
    <w:p w14:paraId="01008113"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‌Johnston W. M. (2009). Color measurement in dentistry. </w:t>
      </w:r>
      <w:r>
        <w:rPr>
          <w:rFonts w:ascii="Arial" w:eastAsia="Arial" w:hAnsi="Arial" w:cs="Arial"/>
          <w:i/>
        </w:rPr>
        <w:t>Journal of Dentistry</w:t>
      </w:r>
      <w:r>
        <w:rPr>
          <w:rFonts w:ascii="Arial" w:eastAsia="Arial" w:hAnsi="Arial" w:cs="Arial"/>
        </w:rPr>
        <w:t xml:space="preserve">, 37(1), 2–6. </w:t>
      </w:r>
      <w:hyperlink r:id="rId37">
        <w:r>
          <w:rPr>
            <w:rFonts w:ascii="Arial" w:eastAsia="Arial" w:hAnsi="Arial" w:cs="Arial"/>
            <w:color w:val="1155CC"/>
            <w:u w:val="single"/>
          </w:rPr>
          <w:t>https://doi.org/10.1016/j.jdent.2009.03.011</w:t>
        </w:r>
      </w:hyperlink>
    </w:p>
    <w:p w14:paraId="0B6466FC" w14:textId="77777777" w:rsidR="00FA056C" w:rsidRDefault="00FA056C">
      <w:pPr>
        <w:pBdr>
          <w:top w:val="nil"/>
          <w:left w:val="nil"/>
          <w:bottom w:val="nil"/>
          <w:right w:val="nil"/>
          <w:between w:val="nil"/>
        </w:pBdr>
        <w:jc w:val="both"/>
        <w:rPr>
          <w:rFonts w:ascii="Arial" w:eastAsia="Arial" w:hAnsi="Arial" w:cs="Arial"/>
        </w:rPr>
      </w:pPr>
    </w:p>
    <w:p w14:paraId="25CF840D"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Jurenka, J. S. (2008). Therapeutic applications of pomegranate (</w:t>
      </w:r>
      <w:r>
        <w:rPr>
          <w:rFonts w:ascii="Arial" w:eastAsia="Arial" w:hAnsi="Arial" w:cs="Arial"/>
          <w:i/>
        </w:rPr>
        <w:t>Punica granatum</w:t>
      </w:r>
      <w:r>
        <w:rPr>
          <w:rFonts w:ascii="Arial" w:eastAsia="Arial" w:hAnsi="Arial" w:cs="Arial"/>
        </w:rPr>
        <w:t xml:space="preserve"> L.): a review. </w:t>
      </w:r>
      <w:r>
        <w:rPr>
          <w:rFonts w:ascii="Arial" w:eastAsia="Arial" w:hAnsi="Arial" w:cs="Arial"/>
          <w:i/>
        </w:rPr>
        <w:t>Alternative Medicine Review</w:t>
      </w:r>
      <w:r>
        <w:rPr>
          <w:rFonts w:ascii="Arial" w:eastAsia="Arial" w:hAnsi="Arial" w:cs="Arial"/>
        </w:rPr>
        <w:t xml:space="preserve">, 13(2), 128–144. </w:t>
      </w:r>
      <w:hyperlink r:id="rId38">
        <w:r>
          <w:rPr>
            <w:rFonts w:ascii="Arial" w:eastAsia="Arial" w:hAnsi="Arial" w:cs="Arial"/>
            <w:color w:val="1155CC"/>
            <w:u w:val="single"/>
          </w:rPr>
          <w:t>https://pubmed.ncbi.nlm.nih.gov/18590349/</w:t>
        </w:r>
      </w:hyperlink>
    </w:p>
    <w:p w14:paraId="2509B609" w14:textId="77777777" w:rsidR="00FA056C" w:rsidRDefault="00FA056C">
      <w:pPr>
        <w:pBdr>
          <w:top w:val="nil"/>
          <w:left w:val="nil"/>
          <w:bottom w:val="nil"/>
          <w:right w:val="nil"/>
          <w:between w:val="nil"/>
        </w:pBdr>
        <w:jc w:val="both"/>
        <w:rPr>
          <w:rFonts w:ascii="Arial" w:eastAsia="Arial" w:hAnsi="Arial" w:cs="Arial"/>
        </w:rPr>
      </w:pPr>
    </w:p>
    <w:p w14:paraId="00994829"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Manikandan, S., Vinesh, E., Selvi, Dt., Kannan, Rk., Jayakumar, A., &amp; Dinakaran, J. (2022). Prevalence of Candida among denture wearers and nondenture wearers. </w:t>
      </w:r>
      <w:r>
        <w:rPr>
          <w:rFonts w:ascii="Arial" w:eastAsia="Arial" w:hAnsi="Arial" w:cs="Arial"/>
          <w:i/>
        </w:rPr>
        <w:t>Journal of Pharmacy and Bioallied Sciences</w:t>
      </w:r>
      <w:r>
        <w:rPr>
          <w:rFonts w:ascii="Arial" w:eastAsia="Arial" w:hAnsi="Arial" w:cs="Arial"/>
        </w:rPr>
        <w:t xml:space="preserve">, 14(5), 702–705. </w:t>
      </w:r>
      <w:hyperlink r:id="rId39">
        <w:r>
          <w:rPr>
            <w:rFonts w:ascii="Arial" w:eastAsia="Arial" w:hAnsi="Arial" w:cs="Arial"/>
            <w:color w:val="1155CC"/>
            <w:u w:val="single"/>
          </w:rPr>
          <w:t>https://doi.org/10.4103/jpbs.jpbs_781_21</w:t>
        </w:r>
      </w:hyperlink>
    </w:p>
    <w:p w14:paraId="1371F04D" w14:textId="77777777" w:rsidR="00FA056C" w:rsidRDefault="00FA056C">
      <w:pPr>
        <w:pBdr>
          <w:top w:val="nil"/>
          <w:left w:val="nil"/>
          <w:bottom w:val="nil"/>
          <w:right w:val="nil"/>
          <w:between w:val="nil"/>
        </w:pBdr>
        <w:jc w:val="both"/>
        <w:rPr>
          <w:rFonts w:ascii="Arial" w:eastAsia="Arial" w:hAnsi="Arial" w:cs="Arial"/>
        </w:rPr>
      </w:pPr>
    </w:p>
    <w:p w14:paraId="151C79EE"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‌McReynolds, D. E., Moorthy, A., Moneley, J. O., Jabra‐Rizk, M. A., &amp; Sultan, A. S. (2023). Denture stomatitis — An interdisciplinary clinical review. </w:t>
      </w:r>
      <w:r>
        <w:rPr>
          <w:rFonts w:ascii="Arial" w:eastAsia="Arial" w:hAnsi="Arial" w:cs="Arial"/>
          <w:i/>
        </w:rPr>
        <w:t>Journal of Prosthodontics</w:t>
      </w:r>
      <w:r>
        <w:rPr>
          <w:rFonts w:ascii="Arial" w:eastAsia="Arial" w:hAnsi="Arial" w:cs="Arial"/>
        </w:rPr>
        <w:t xml:space="preserve">, 32(7), 560-570. </w:t>
      </w:r>
      <w:hyperlink r:id="rId40">
        <w:r>
          <w:rPr>
            <w:rFonts w:ascii="Arial" w:eastAsia="Arial" w:hAnsi="Arial" w:cs="Arial"/>
            <w:color w:val="1155CC"/>
            <w:u w:val="single"/>
          </w:rPr>
          <w:t>https://doi.org/10.1111/jopr.13687</w:t>
        </w:r>
      </w:hyperlink>
    </w:p>
    <w:p w14:paraId="007E4C6C" w14:textId="77777777" w:rsidR="00FA056C" w:rsidRDefault="00FA056C">
      <w:pPr>
        <w:pBdr>
          <w:top w:val="nil"/>
          <w:left w:val="nil"/>
          <w:bottom w:val="nil"/>
          <w:right w:val="nil"/>
          <w:between w:val="nil"/>
        </w:pBdr>
        <w:jc w:val="both"/>
        <w:rPr>
          <w:rFonts w:ascii="Arial" w:eastAsia="Arial" w:hAnsi="Arial" w:cs="Arial"/>
        </w:rPr>
      </w:pPr>
    </w:p>
    <w:p w14:paraId="08467E1D"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Panariello, B. H., Izumida, F. E., Moffa, E. B., Pavarina, A. C., Jorge, J. H., &amp; Giampaolo, E. T. (2015). Effects of short-term immersion and brushing with different denture cleansers on the roughness, hardness, and color of two types of acrylic resin. </w:t>
      </w:r>
      <w:r>
        <w:rPr>
          <w:rFonts w:ascii="Arial" w:eastAsia="Arial" w:hAnsi="Arial" w:cs="Arial"/>
          <w:i/>
        </w:rPr>
        <w:t>American Journal of Dentistry</w:t>
      </w:r>
      <w:r>
        <w:rPr>
          <w:rFonts w:ascii="Arial" w:eastAsia="Arial" w:hAnsi="Arial" w:cs="Arial"/>
        </w:rPr>
        <w:t xml:space="preserve">, 28(3), 150–156. </w:t>
      </w:r>
      <w:hyperlink r:id="rId41">
        <w:r>
          <w:rPr>
            <w:rFonts w:ascii="Arial" w:eastAsia="Arial" w:hAnsi="Arial" w:cs="Arial"/>
            <w:color w:val="1155CC"/>
            <w:u w:val="single"/>
          </w:rPr>
          <w:t>https://pubmed.ncbi.nlm.nih.gov/26201226</w:t>
        </w:r>
      </w:hyperlink>
    </w:p>
    <w:p w14:paraId="1360DED4" w14:textId="77777777" w:rsidR="00FA056C" w:rsidRDefault="00FA056C">
      <w:pPr>
        <w:pBdr>
          <w:top w:val="nil"/>
          <w:left w:val="nil"/>
          <w:bottom w:val="nil"/>
          <w:right w:val="nil"/>
          <w:between w:val="nil"/>
        </w:pBdr>
        <w:jc w:val="both"/>
        <w:rPr>
          <w:rFonts w:ascii="Arial" w:eastAsia="Arial" w:hAnsi="Arial" w:cs="Arial"/>
        </w:rPr>
      </w:pPr>
    </w:p>
    <w:p w14:paraId="06512427"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Patel, C., Dadhaniya, P., Hingorani, L., &amp; Soni, M. G. (2008). Safety assessment of pomegranate fruit extract: Acute and subchronic toxicity studies. </w:t>
      </w:r>
      <w:r>
        <w:rPr>
          <w:rFonts w:ascii="Arial" w:eastAsia="Arial" w:hAnsi="Arial" w:cs="Arial"/>
          <w:i/>
        </w:rPr>
        <w:t>Food and Chemical Toxicology</w:t>
      </w:r>
      <w:r>
        <w:rPr>
          <w:rFonts w:ascii="Arial" w:eastAsia="Arial" w:hAnsi="Arial" w:cs="Arial"/>
        </w:rPr>
        <w:t xml:space="preserve">, 46(8), 2728–2735. </w:t>
      </w:r>
      <w:hyperlink r:id="rId42">
        <w:r>
          <w:rPr>
            <w:rFonts w:ascii="Arial" w:eastAsia="Arial" w:hAnsi="Arial" w:cs="Arial"/>
            <w:color w:val="1155CC"/>
            <w:u w:val="single"/>
          </w:rPr>
          <w:t>https://doi.org/10.1016/j.fct.2008.04.035</w:t>
        </w:r>
      </w:hyperlink>
    </w:p>
    <w:p w14:paraId="71E49FAE" w14:textId="77777777" w:rsidR="00FA056C" w:rsidRDefault="00FA056C">
      <w:pPr>
        <w:pBdr>
          <w:top w:val="nil"/>
          <w:left w:val="nil"/>
          <w:bottom w:val="nil"/>
          <w:right w:val="nil"/>
          <w:between w:val="nil"/>
        </w:pBdr>
        <w:jc w:val="both"/>
        <w:rPr>
          <w:rFonts w:ascii="Arial" w:eastAsia="Arial" w:hAnsi="Arial" w:cs="Arial"/>
        </w:rPr>
      </w:pPr>
    </w:p>
    <w:p w14:paraId="6ACEBE8C"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Patil, S., Rao, R. S., Majumdar, B., &amp; Anil, S. (2015). Clinical Appearance of Oral Candida Infection and Therapeutic Strategies. </w:t>
      </w:r>
      <w:r>
        <w:rPr>
          <w:rFonts w:ascii="Arial" w:eastAsia="Arial" w:hAnsi="Arial" w:cs="Arial"/>
          <w:i/>
        </w:rPr>
        <w:t>Frontiers in Microbiology</w:t>
      </w:r>
      <w:r>
        <w:rPr>
          <w:rFonts w:ascii="Arial" w:eastAsia="Arial" w:hAnsi="Arial" w:cs="Arial"/>
        </w:rPr>
        <w:t xml:space="preserve">, 6(1391). </w:t>
      </w:r>
      <w:hyperlink r:id="rId43">
        <w:r>
          <w:rPr>
            <w:rFonts w:ascii="Arial" w:eastAsia="Arial" w:hAnsi="Arial" w:cs="Arial"/>
            <w:color w:val="1155CC"/>
            <w:u w:val="single"/>
          </w:rPr>
          <w:t>https://doi.org/10.3389/fmicb.2015.01391</w:t>
        </w:r>
      </w:hyperlink>
    </w:p>
    <w:p w14:paraId="1870EB7C" w14:textId="77777777" w:rsidR="00FA056C" w:rsidRDefault="00FA056C">
      <w:pPr>
        <w:pBdr>
          <w:top w:val="nil"/>
          <w:left w:val="nil"/>
          <w:bottom w:val="nil"/>
          <w:right w:val="nil"/>
          <w:between w:val="nil"/>
        </w:pBdr>
        <w:jc w:val="both"/>
        <w:rPr>
          <w:rFonts w:ascii="Arial" w:eastAsia="Arial" w:hAnsi="Arial" w:cs="Arial"/>
        </w:rPr>
      </w:pPr>
    </w:p>
    <w:p w14:paraId="3F06B9CE"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Pérez-Nicolás, C., Pecci-Lloret, M. P., &amp; Guerrero-Gironés, J. (2023). Use and efficacy of mouthwashes in elderly patients: A systematic review of randomized clinical trials.</w:t>
      </w:r>
      <w:r>
        <w:rPr>
          <w:rFonts w:ascii="Arial" w:eastAsia="Arial" w:hAnsi="Arial" w:cs="Arial"/>
          <w:i/>
        </w:rPr>
        <w:t xml:space="preserve"> Annals of Anatomy - Anatomischer Anzeiger</w:t>
      </w:r>
      <w:r>
        <w:rPr>
          <w:rFonts w:ascii="Arial" w:eastAsia="Arial" w:hAnsi="Arial" w:cs="Arial"/>
        </w:rPr>
        <w:t xml:space="preserve">, 246, e152026. </w:t>
      </w:r>
      <w:hyperlink r:id="rId44">
        <w:r>
          <w:rPr>
            <w:rFonts w:ascii="Arial" w:eastAsia="Arial" w:hAnsi="Arial" w:cs="Arial"/>
            <w:color w:val="1155CC"/>
            <w:u w:val="single"/>
          </w:rPr>
          <w:t>https://doi.org/10.1016/j.aanat.2022.152026</w:t>
        </w:r>
      </w:hyperlink>
    </w:p>
    <w:p w14:paraId="0012F1CD" w14:textId="77777777" w:rsidR="00FA056C" w:rsidRDefault="00FA056C">
      <w:pPr>
        <w:pBdr>
          <w:top w:val="nil"/>
          <w:left w:val="nil"/>
          <w:bottom w:val="nil"/>
          <w:right w:val="nil"/>
          <w:between w:val="nil"/>
        </w:pBdr>
        <w:jc w:val="both"/>
        <w:rPr>
          <w:rFonts w:ascii="Arial" w:eastAsia="Arial" w:hAnsi="Arial" w:cs="Arial"/>
        </w:rPr>
      </w:pPr>
    </w:p>
    <w:p w14:paraId="71D2F067"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Pisani, M. X., Bruhn, J. P., Paranhos, H. F., Silva-Lovato, C. H., Souza, R. F., &amp; Panzeri, H. (2010). Evaluation of the abrasiveness of dentifrices for complete dentures. </w:t>
      </w:r>
      <w:r>
        <w:rPr>
          <w:rFonts w:ascii="Arial" w:eastAsia="Arial" w:hAnsi="Arial" w:cs="Arial"/>
          <w:i/>
        </w:rPr>
        <w:t>Journal of Prosthodontics</w:t>
      </w:r>
      <w:r>
        <w:rPr>
          <w:rFonts w:ascii="Arial" w:eastAsia="Arial" w:hAnsi="Arial" w:cs="Arial"/>
        </w:rPr>
        <w:t xml:space="preserve">, 19(5), 369–373. </w:t>
      </w:r>
      <w:hyperlink r:id="rId45">
        <w:r>
          <w:rPr>
            <w:rFonts w:ascii="Arial" w:eastAsia="Arial" w:hAnsi="Arial" w:cs="Arial"/>
            <w:color w:val="1155CC"/>
            <w:u w:val="single"/>
          </w:rPr>
          <w:t>https://doi.org/10.1111/j.1532-849X.2010.00592.x</w:t>
        </w:r>
      </w:hyperlink>
    </w:p>
    <w:p w14:paraId="445DA2B2" w14:textId="77777777" w:rsidR="00FA056C" w:rsidRDefault="00FA056C">
      <w:pPr>
        <w:pBdr>
          <w:top w:val="nil"/>
          <w:left w:val="nil"/>
          <w:bottom w:val="nil"/>
          <w:right w:val="nil"/>
          <w:between w:val="nil"/>
        </w:pBdr>
        <w:jc w:val="both"/>
        <w:rPr>
          <w:rFonts w:ascii="Arial" w:eastAsia="Arial" w:hAnsi="Arial" w:cs="Arial"/>
        </w:rPr>
      </w:pPr>
    </w:p>
    <w:p w14:paraId="573750EB"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‌Commission Internationale de l’Eclairage. Recommendations on Uniform Color Spaces, Color Difference Equations and Metric Color Terms. </w:t>
      </w:r>
      <w:r>
        <w:rPr>
          <w:rFonts w:ascii="Arial" w:eastAsia="Arial" w:hAnsi="Arial" w:cs="Arial"/>
          <w:i/>
        </w:rPr>
        <w:t>Bureau Central de la CIE</w:t>
      </w:r>
      <w:r>
        <w:rPr>
          <w:rFonts w:ascii="Arial" w:eastAsia="Arial" w:hAnsi="Arial" w:cs="Arial"/>
        </w:rPr>
        <w:t>. 1978; 15(2).</w:t>
      </w:r>
    </w:p>
    <w:p w14:paraId="00282170" w14:textId="77777777" w:rsidR="00FA056C" w:rsidRDefault="00FA056C">
      <w:pPr>
        <w:pBdr>
          <w:top w:val="nil"/>
          <w:left w:val="nil"/>
          <w:bottom w:val="nil"/>
          <w:right w:val="nil"/>
          <w:between w:val="nil"/>
        </w:pBdr>
        <w:jc w:val="both"/>
        <w:rPr>
          <w:rFonts w:ascii="Arial" w:eastAsia="Arial" w:hAnsi="Arial" w:cs="Arial"/>
        </w:rPr>
      </w:pPr>
    </w:p>
    <w:p w14:paraId="1E9785E7"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Ramadhan, I. P. A., Damiyanti, M., &amp; Triaminingsih, S. (2018). Effects of brushing with abrasive dentifrices containing various materials on the surface roughness of acrylic resins. </w:t>
      </w:r>
      <w:r>
        <w:rPr>
          <w:rFonts w:ascii="Arial" w:eastAsia="Arial" w:hAnsi="Arial" w:cs="Arial"/>
          <w:i/>
        </w:rPr>
        <w:t>Journal of Physics</w:t>
      </w:r>
      <w:r>
        <w:rPr>
          <w:rFonts w:ascii="Arial" w:eastAsia="Arial" w:hAnsi="Arial" w:cs="Arial"/>
        </w:rPr>
        <w:t xml:space="preserve">, e1073. </w:t>
      </w:r>
      <w:hyperlink r:id="rId46">
        <w:r>
          <w:rPr>
            <w:rFonts w:ascii="Arial" w:eastAsia="Arial" w:hAnsi="Arial" w:cs="Arial"/>
            <w:color w:val="1155CC"/>
            <w:u w:val="single"/>
          </w:rPr>
          <w:t>https://doi.org/10.1088/1742-6596/1073/6/062015</w:t>
        </w:r>
      </w:hyperlink>
    </w:p>
    <w:p w14:paraId="35F8BBF2" w14:textId="77777777" w:rsidR="00FA056C" w:rsidRDefault="00FA056C">
      <w:pPr>
        <w:pBdr>
          <w:top w:val="nil"/>
          <w:left w:val="nil"/>
          <w:bottom w:val="nil"/>
          <w:right w:val="nil"/>
          <w:between w:val="nil"/>
        </w:pBdr>
        <w:jc w:val="both"/>
        <w:rPr>
          <w:rFonts w:ascii="Arial" w:eastAsia="Arial" w:hAnsi="Arial" w:cs="Arial"/>
        </w:rPr>
      </w:pPr>
    </w:p>
    <w:p w14:paraId="224F10A7"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Ribeiro, A. B., Pizziolo, P. G., Clemente, L. M., Aguiar, H. C., Poker, B. C. &amp; Silva, A. A. M. E. et al. (2024). Strategies for Preventing and Treating Oral Mucosal Infections Associated with Removable Dentures: A Scoping Review. </w:t>
      </w:r>
      <w:r>
        <w:rPr>
          <w:rFonts w:ascii="Arial" w:eastAsia="Arial" w:hAnsi="Arial" w:cs="Arial"/>
          <w:i/>
        </w:rPr>
        <w:t>Antibiotics (Basel, Switzerland)</w:t>
      </w:r>
      <w:r>
        <w:rPr>
          <w:rFonts w:ascii="Arial" w:eastAsia="Arial" w:hAnsi="Arial" w:cs="Arial"/>
        </w:rPr>
        <w:t xml:space="preserve">, 13(3), e273. </w:t>
      </w:r>
      <w:hyperlink r:id="rId47">
        <w:r>
          <w:rPr>
            <w:rFonts w:ascii="Arial" w:eastAsia="Arial" w:hAnsi="Arial" w:cs="Arial"/>
            <w:color w:val="1155CC"/>
            <w:u w:val="single"/>
          </w:rPr>
          <w:t>https://doi.org/10.3390/antibiotics13030273</w:t>
        </w:r>
      </w:hyperlink>
      <w:r>
        <w:rPr>
          <w:rFonts w:ascii="Arial" w:eastAsia="Arial" w:hAnsi="Arial" w:cs="Arial"/>
        </w:rPr>
        <w:t xml:space="preserve"> </w:t>
      </w:r>
    </w:p>
    <w:p w14:paraId="4E3E930F" w14:textId="77777777" w:rsidR="00FA056C" w:rsidRDefault="00FA056C">
      <w:pPr>
        <w:pBdr>
          <w:top w:val="nil"/>
          <w:left w:val="nil"/>
          <w:bottom w:val="nil"/>
          <w:right w:val="nil"/>
          <w:between w:val="nil"/>
        </w:pBdr>
        <w:jc w:val="both"/>
        <w:rPr>
          <w:rFonts w:ascii="Arial" w:eastAsia="Arial" w:hAnsi="Arial" w:cs="Arial"/>
        </w:rPr>
      </w:pPr>
    </w:p>
    <w:p w14:paraId="519C8FB9"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‌Ruyter, I. E., Nilner, K., &amp; Moller, B. (1987). Color stability of dental composite resin materials for crown and bridge veneers. </w:t>
      </w:r>
      <w:r>
        <w:rPr>
          <w:rFonts w:ascii="Arial" w:eastAsia="Arial" w:hAnsi="Arial" w:cs="Arial"/>
          <w:i/>
        </w:rPr>
        <w:t>Dental Materials</w:t>
      </w:r>
      <w:r>
        <w:rPr>
          <w:rFonts w:ascii="Arial" w:eastAsia="Arial" w:hAnsi="Arial" w:cs="Arial"/>
        </w:rPr>
        <w:t xml:space="preserve">, 3(5), 246–251. </w:t>
      </w:r>
      <w:hyperlink r:id="rId48">
        <w:r>
          <w:rPr>
            <w:rFonts w:ascii="Arial" w:eastAsia="Arial" w:hAnsi="Arial" w:cs="Arial"/>
            <w:color w:val="1155CC"/>
            <w:u w:val="single"/>
          </w:rPr>
          <w:t>https://doi.org/10.1016/S0109-5641(87)80081-7</w:t>
        </w:r>
      </w:hyperlink>
    </w:p>
    <w:p w14:paraId="7E428DE9" w14:textId="77777777" w:rsidR="00FA056C" w:rsidRDefault="00FA056C">
      <w:pPr>
        <w:pBdr>
          <w:top w:val="nil"/>
          <w:left w:val="nil"/>
          <w:bottom w:val="nil"/>
          <w:right w:val="nil"/>
          <w:between w:val="nil"/>
        </w:pBdr>
        <w:jc w:val="both"/>
        <w:rPr>
          <w:rFonts w:ascii="Arial" w:eastAsia="Arial" w:hAnsi="Arial" w:cs="Arial"/>
        </w:rPr>
      </w:pPr>
    </w:p>
    <w:p w14:paraId="5A4B1E73"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‌Sartori, E. A., Schmidt, C. B., Mota, E. G., Hirakata, L. M., &amp; Shinkai, R. S. (2008). Cumulative effect of disinfection procedures on microhardness and tridimensional stability of a poly(methyl methacrylate) denture base resin. </w:t>
      </w:r>
      <w:r>
        <w:rPr>
          <w:rFonts w:ascii="Arial" w:eastAsia="Arial" w:hAnsi="Arial" w:cs="Arial"/>
          <w:i/>
        </w:rPr>
        <w:t>Journal of Biomedical Materials Research</w:t>
      </w:r>
      <w:r>
        <w:rPr>
          <w:rFonts w:ascii="Arial" w:eastAsia="Arial" w:hAnsi="Arial" w:cs="Arial"/>
        </w:rPr>
        <w:t xml:space="preserve">, 86(2), 360–364. </w:t>
      </w:r>
      <w:hyperlink r:id="rId49">
        <w:r>
          <w:rPr>
            <w:rFonts w:ascii="Arial" w:eastAsia="Arial" w:hAnsi="Arial" w:cs="Arial"/>
            <w:color w:val="1155CC"/>
            <w:u w:val="single"/>
          </w:rPr>
          <w:t>https://doi.org/10.1002/jbm.b.31027</w:t>
        </w:r>
      </w:hyperlink>
    </w:p>
    <w:p w14:paraId="0EDC16E5" w14:textId="77777777" w:rsidR="00FA056C" w:rsidRDefault="00FA056C">
      <w:pPr>
        <w:pBdr>
          <w:top w:val="nil"/>
          <w:left w:val="nil"/>
          <w:bottom w:val="nil"/>
          <w:right w:val="nil"/>
          <w:between w:val="nil"/>
        </w:pBdr>
        <w:jc w:val="both"/>
        <w:rPr>
          <w:rFonts w:ascii="Arial" w:eastAsia="Arial" w:hAnsi="Arial" w:cs="Arial"/>
        </w:rPr>
      </w:pPr>
    </w:p>
    <w:p w14:paraId="2C66FEFF"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‌Seghi, R. R., Hewlett, E. R., &amp; Kim, J. (1989). Visual and instrumental colorimetric assessments of small color differences on translucent dental porcelain. </w:t>
      </w:r>
      <w:r>
        <w:rPr>
          <w:rFonts w:ascii="Arial" w:eastAsia="Arial" w:hAnsi="Arial" w:cs="Arial"/>
          <w:i/>
        </w:rPr>
        <w:t>Journal of Dental Research</w:t>
      </w:r>
      <w:r>
        <w:rPr>
          <w:rFonts w:ascii="Arial" w:eastAsia="Arial" w:hAnsi="Arial" w:cs="Arial"/>
        </w:rPr>
        <w:t xml:space="preserve">, 68(12), 1760–1764. </w:t>
      </w:r>
      <w:hyperlink r:id="rId50">
        <w:r>
          <w:rPr>
            <w:rFonts w:ascii="Arial" w:eastAsia="Arial" w:hAnsi="Arial" w:cs="Arial"/>
            <w:color w:val="1155CC"/>
            <w:u w:val="single"/>
          </w:rPr>
          <w:t>https://doi.org/10.1177/00220345890680120801</w:t>
        </w:r>
      </w:hyperlink>
    </w:p>
    <w:p w14:paraId="06515222" w14:textId="77777777" w:rsidR="00FA056C" w:rsidRDefault="00FA056C">
      <w:pPr>
        <w:pBdr>
          <w:top w:val="nil"/>
          <w:left w:val="nil"/>
          <w:bottom w:val="nil"/>
          <w:right w:val="nil"/>
          <w:between w:val="nil"/>
        </w:pBdr>
        <w:jc w:val="both"/>
        <w:rPr>
          <w:rFonts w:ascii="Arial" w:eastAsia="Arial" w:hAnsi="Arial" w:cs="Arial"/>
        </w:rPr>
      </w:pPr>
    </w:p>
    <w:p w14:paraId="78C89F7D"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Singh, R. P., Chidambara-Murthy, K. N., &amp; Jayaprakasha, G. K. (2002). Studies on the Antioxidant Activity of Pomegranate (Punicagranatum) Peel and Seed Extracts Using in Vitro Models. </w:t>
      </w:r>
      <w:r>
        <w:rPr>
          <w:rFonts w:ascii="Arial" w:eastAsia="Arial" w:hAnsi="Arial" w:cs="Arial"/>
          <w:i/>
        </w:rPr>
        <w:t>Journal of Agricultural and Food Chemistry</w:t>
      </w:r>
      <w:r>
        <w:rPr>
          <w:rFonts w:ascii="Arial" w:eastAsia="Arial" w:hAnsi="Arial" w:cs="Arial"/>
        </w:rPr>
        <w:t xml:space="preserve">, 50(1), 81–86. </w:t>
      </w:r>
      <w:hyperlink r:id="rId51">
        <w:r>
          <w:rPr>
            <w:rFonts w:ascii="Arial" w:eastAsia="Arial" w:hAnsi="Arial" w:cs="Arial"/>
            <w:color w:val="1155CC"/>
            <w:u w:val="single"/>
          </w:rPr>
          <w:t>https://doi.org/10.1021/jf010865b</w:t>
        </w:r>
      </w:hyperlink>
    </w:p>
    <w:p w14:paraId="439B8701" w14:textId="77777777" w:rsidR="00FA056C" w:rsidRDefault="00FA056C">
      <w:pPr>
        <w:pBdr>
          <w:top w:val="nil"/>
          <w:left w:val="nil"/>
          <w:bottom w:val="nil"/>
          <w:right w:val="nil"/>
          <w:between w:val="nil"/>
        </w:pBdr>
        <w:jc w:val="both"/>
        <w:rPr>
          <w:rFonts w:ascii="Arial" w:eastAsia="Arial" w:hAnsi="Arial" w:cs="Arial"/>
        </w:rPr>
      </w:pPr>
    </w:p>
    <w:p w14:paraId="4097104C"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Sorgini, D. B., Silva-Lovato, C. H., Muglia, V. A., Souza, R. F., Arruda, C. N., &amp; Paranhos, H. F. (2015). Adverse effects on PMMA caused by mechanical and combined methods of denture cleansing. </w:t>
      </w:r>
      <w:r>
        <w:rPr>
          <w:rFonts w:ascii="Arial" w:eastAsia="Arial" w:hAnsi="Arial" w:cs="Arial"/>
          <w:i/>
        </w:rPr>
        <w:t>Brazilian Dental Journal</w:t>
      </w:r>
      <w:r>
        <w:rPr>
          <w:rFonts w:ascii="Arial" w:eastAsia="Arial" w:hAnsi="Arial" w:cs="Arial"/>
        </w:rPr>
        <w:t xml:space="preserve">, 26(3), 292–296. </w:t>
      </w:r>
      <w:hyperlink r:id="rId52">
        <w:r>
          <w:rPr>
            <w:rFonts w:ascii="Arial" w:eastAsia="Arial" w:hAnsi="Arial" w:cs="Arial"/>
            <w:color w:val="1155CC"/>
            <w:u w:val="single"/>
          </w:rPr>
          <w:t>https://doi.org/10.1590/0103-6440201300028</w:t>
        </w:r>
      </w:hyperlink>
    </w:p>
    <w:p w14:paraId="7E5912C4" w14:textId="77777777" w:rsidR="00FA056C" w:rsidRDefault="00FA056C">
      <w:pPr>
        <w:pBdr>
          <w:top w:val="nil"/>
          <w:left w:val="nil"/>
          <w:bottom w:val="nil"/>
          <w:right w:val="nil"/>
          <w:between w:val="nil"/>
        </w:pBdr>
        <w:jc w:val="both"/>
        <w:rPr>
          <w:rFonts w:ascii="Arial" w:eastAsia="Arial" w:hAnsi="Arial" w:cs="Arial"/>
        </w:rPr>
      </w:pPr>
    </w:p>
    <w:p w14:paraId="3A31DD45"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Takhtdar, M., Azizimoghadam, N., Kalantari, M. H., &amp; Mohaghegh, M. (2023). Effect of denture cleansers on color stability and surface roughness of denture bases fabricated from three different techniques: Conventional heat-polymerizing, CAD/CAM additive, and CAD/CAM subtractive manufacturing. </w:t>
      </w:r>
      <w:r>
        <w:rPr>
          <w:rFonts w:ascii="Arial" w:eastAsia="Arial" w:hAnsi="Arial" w:cs="Arial"/>
          <w:i/>
        </w:rPr>
        <w:t>Clinical and experimental dental research</w:t>
      </w:r>
      <w:r>
        <w:rPr>
          <w:rFonts w:ascii="Arial" w:eastAsia="Arial" w:hAnsi="Arial" w:cs="Arial"/>
        </w:rPr>
        <w:t xml:space="preserve">, 9(5), 840–850. </w:t>
      </w:r>
      <w:hyperlink r:id="rId53">
        <w:r>
          <w:rPr>
            <w:rFonts w:ascii="Arial" w:eastAsia="Arial" w:hAnsi="Arial" w:cs="Arial"/>
            <w:color w:val="1155CC"/>
            <w:u w:val="single"/>
          </w:rPr>
          <w:t>https://doi.org/10.1002/cre2.763</w:t>
        </w:r>
      </w:hyperlink>
      <w:r>
        <w:rPr>
          <w:rFonts w:ascii="Arial" w:eastAsia="Arial" w:hAnsi="Arial" w:cs="Arial"/>
        </w:rPr>
        <w:t xml:space="preserve"> </w:t>
      </w:r>
    </w:p>
    <w:p w14:paraId="2602617B" w14:textId="77777777" w:rsidR="00FA056C" w:rsidRDefault="00FA056C">
      <w:pPr>
        <w:pBdr>
          <w:top w:val="nil"/>
          <w:left w:val="nil"/>
          <w:bottom w:val="nil"/>
          <w:right w:val="nil"/>
          <w:between w:val="nil"/>
        </w:pBdr>
        <w:jc w:val="both"/>
        <w:rPr>
          <w:rFonts w:ascii="Arial" w:eastAsia="Arial" w:hAnsi="Arial" w:cs="Arial"/>
        </w:rPr>
      </w:pPr>
    </w:p>
    <w:p w14:paraId="4462751D"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Vasconcelos, L. C. S., Sampaio, F. C., Sampaio, M. C. C., Pereira, M. S. V., Higino, J. S., &amp; Peixoto, M. H. P. (2006). Minimum inhibitory concentration of adherence of </w:t>
      </w:r>
      <w:r>
        <w:rPr>
          <w:rFonts w:ascii="Arial" w:eastAsia="Arial" w:hAnsi="Arial" w:cs="Arial"/>
          <w:i/>
        </w:rPr>
        <w:t>Punica granatum</w:t>
      </w:r>
      <w:r>
        <w:rPr>
          <w:rFonts w:ascii="Arial" w:eastAsia="Arial" w:hAnsi="Arial" w:cs="Arial"/>
        </w:rPr>
        <w:t xml:space="preserve"> Linn (pomegranate) gel against S. mutans, S. mitis and C. albicans. </w:t>
      </w:r>
      <w:r>
        <w:rPr>
          <w:rFonts w:ascii="Arial" w:eastAsia="Arial" w:hAnsi="Arial" w:cs="Arial"/>
          <w:i/>
        </w:rPr>
        <w:t>Brazilian Dental Journal</w:t>
      </w:r>
      <w:r>
        <w:rPr>
          <w:rFonts w:ascii="Arial" w:eastAsia="Arial" w:hAnsi="Arial" w:cs="Arial"/>
        </w:rPr>
        <w:t xml:space="preserve">, 17(3), 223–227. </w:t>
      </w:r>
      <w:hyperlink r:id="rId54">
        <w:r>
          <w:rPr>
            <w:rFonts w:ascii="Arial" w:eastAsia="Arial" w:hAnsi="Arial" w:cs="Arial"/>
            <w:color w:val="1155CC"/>
            <w:u w:val="single"/>
          </w:rPr>
          <w:t>https://doi.org/10.1590/s0103-64402006000300009</w:t>
        </w:r>
      </w:hyperlink>
    </w:p>
    <w:p w14:paraId="1033B3AD" w14:textId="77777777" w:rsidR="00FA056C" w:rsidRDefault="00FA056C">
      <w:pPr>
        <w:pBdr>
          <w:top w:val="nil"/>
          <w:left w:val="nil"/>
          <w:bottom w:val="nil"/>
          <w:right w:val="nil"/>
          <w:between w:val="nil"/>
        </w:pBdr>
        <w:jc w:val="both"/>
        <w:rPr>
          <w:rFonts w:ascii="Arial" w:eastAsia="Arial" w:hAnsi="Arial" w:cs="Arial"/>
        </w:rPr>
      </w:pPr>
    </w:p>
    <w:p w14:paraId="2A80BB08"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Vasconcelos, L. C. S., Sampaio, M. C. C., Sampaio, F. C., &amp; Higino, J. S. (2003). Use of </w:t>
      </w:r>
      <w:r>
        <w:rPr>
          <w:rFonts w:ascii="Arial" w:eastAsia="Arial" w:hAnsi="Arial" w:cs="Arial"/>
          <w:i/>
        </w:rPr>
        <w:t>Punica granatum</w:t>
      </w:r>
      <w:r>
        <w:rPr>
          <w:rFonts w:ascii="Arial" w:eastAsia="Arial" w:hAnsi="Arial" w:cs="Arial"/>
        </w:rPr>
        <w:t xml:space="preserve"> as an antifungal agent against candidosis associated with denture stomatitis. Verwendung von </w:t>
      </w:r>
      <w:r>
        <w:rPr>
          <w:rFonts w:ascii="Arial" w:eastAsia="Arial" w:hAnsi="Arial" w:cs="Arial"/>
          <w:i/>
        </w:rPr>
        <w:t>Punica granatum</w:t>
      </w:r>
      <w:r>
        <w:rPr>
          <w:rFonts w:ascii="Arial" w:eastAsia="Arial" w:hAnsi="Arial" w:cs="Arial"/>
        </w:rPr>
        <w:t xml:space="preserve"> als Antimykotikum gegen Candidose in Verbindung mit Zahnprothesen-Stomatitis. </w:t>
      </w:r>
      <w:r>
        <w:rPr>
          <w:rFonts w:ascii="Arial" w:eastAsia="Arial" w:hAnsi="Arial" w:cs="Arial"/>
          <w:i/>
        </w:rPr>
        <w:t>Mycoses</w:t>
      </w:r>
      <w:r>
        <w:rPr>
          <w:rFonts w:ascii="Arial" w:eastAsia="Arial" w:hAnsi="Arial" w:cs="Arial"/>
        </w:rPr>
        <w:t xml:space="preserve">, 46(5-6), 192–196. </w:t>
      </w:r>
      <w:hyperlink r:id="rId55">
        <w:r>
          <w:rPr>
            <w:rFonts w:ascii="Arial" w:eastAsia="Arial" w:hAnsi="Arial" w:cs="Arial"/>
            <w:color w:val="1155CC"/>
            <w:u w:val="single"/>
          </w:rPr>
          <w:t>https://doi.org/10.1046/j.1439-0507.2003.00884.x</w:t>
        </w:r>
      </w:hyperlink>
    </w:p>
    <w:p w14:paraId="2793EAD0" w14:textId="77777777" w:rsidR="00FA056C" w:rsidRDefault="00FA056C">
      <w:pPr>
        <w:pBdr>
          <w:top w:val="nil"/>
          <w:left w:val="nil"/>
          <w:bottom w:val="nil"/>
          <w:right w:val="nil"/>
          <w:between w:val="nil"/>
        </w:pBdr>
        <w:jc w:val="both"/>
        <w:rPr>
          <w:rFonts w:ascii="Arial" w:eastAsia="Arial" w:hAnsi="Arial" w:cs="Arial"/>
        </w:rPr>
      </w:pPr>
    </w:p>
    <w:p w14:paraId="70A3FD49" w14:textId="77777777" w:rsidR="00FA056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Veilleux, M. P., &amp; Grenier, D. (2019). Determination of the effects of cinnamon bark fractions on </w:t>
      </w:r>
      <w:r>
        <w:rPr>
          <w:rFonts w:ascii="Arial" w:eastAsia="Arial" w:hAnsi="Arial" w:cs="Arial"/>
          <w:i/>
        </w:rPr>
        <w:t>Candida albicans</w:t>
      </w:r>
      <w:r>
        <w:rPr>
          <w:rFonts w:ascii="Arial" w:eastAsia="Arial" w:hAnsi="Arial" w:cs="Arial"/>
        </w:rPr>
        <w:t xml:space="preserve"> and oral epithelial cells. </w:t>
      </w:r>
      <w:r>
        <w:rPr>
          <w:rFonts w:ascii="Arial" w:eastAsia="Arial" w:hAnsi="Arial" w:cs="Arial"/>
          <w:i/>
        </w:rPr>
        <w:t>BMC Complementary and Alternative Medicine</w:t>
      </w:r>
      <w:r>
        <w:rPr>
          <w:rFonts w:ascii="Arial" w:eastAsia="Arial" w:hAnsi="Arial" w:cs="Arial"/>
        </w:rPr>
        <w:t xml:space="preserve">, 19(1), e303. </w:t>
      </w:r>
      <w:hyperlink r:id="rId56">
        <w:r>
          <w:rPr>
            <w:rFonts w:ascii="Arial" w:eastAsia="Arial" w:hAnsi="Arial" w:cs="Arial"/>
            <w:color w:val="1155CC"/>
            <w:u w:val="single"/>
          </w:rPr>
          <w:t>https://doi.org/10.1186/s12906-019-2730-2</w:t>
        </w:r>
      </w:hyperlink>
    </w:p>
    <w:p w14:paraId="5E38BD8C" w14:textId="77777777" w:rsidR="00FA056C" w:rsidRDefault="00FA056C">
      <w:pPr>
        <w:pBdr>
          <w:top w:val="nil"/>
          <w:left w:val="nil"/>
          <w:bottom w:val="nil"/>
          <w:right w:val="nil"/>
          <w:between w:val="nil"/>
        </w:pBdr>
        <w:jc w:val="both"/>
        <w:rPr>
          <w:rFonts w:ascii="Arial" w:eastAsia="Arial" w:hAnsi="Arial" w:cs="Arial"/>
        </w:rPr>
      </w:pPr>
    </w:p>
    <w:p w14:paraId="41CC9095" w14:textId="77777777" w:rsidR="00FA056C" w:rsidRDefault="00000000">
      <w:pPr>
        <w:pBdr>
          <w:top w:val="nil"/>
          <w:left w:val="nil"/>
          <w:bottom w:val="nil"/>
          <w:right w:val="nil"/>
          <w:between w:val="nil"/>
        </w:pBdr>
        <w:jc w:val="both"/>
        <w:rPr>
          <w:rFonts w:ascii="Arial" w:eastAsia="Arial" w:hAnsi="Arial" w:cs="Arial"/>
          <w:smallCaps/>
          <w:color w:val="000000"/>
          <w:sz w:val="22"/>
          <w:szCs w:val="22"/>
        </w:rPr>
      </w:pPr>
      <w:r>
        <w:rPr>
          <w:rFonts w:ascii="Arial" w:eastAsia="Arial" w:hAnsi="Arial" w:cs="Arial"/>
        </w:rPr>
        <w:lastRenderedPageBreak/>
        <w:t xml:space="preserve">Villalta, P., Lu, H., Okte, Z., Garcia-Godoy, F., &amp; Powers, J. M. (2006). Effects of staining and bleaching on color change of dental composite resins. </w:t>
      </w:r>
      <w:r>
        <w:rPr>
          <w:rFonts w:ascii="Arial" w:eastAsia="Arial" w:hAnsi="Arial" w:cs="Arial"/>
          <w:i/>
        </w:rPr>
        <w:t>The Journal of Prosthetic Dentistry</w:t>
      </w:r>
      <w:r>
        <w:rPr>
          <w:rFonts w:ascii="Arial" w:eastAsia="Arial" w:hAnsi="Arial" w:cs="Arial"/>
        </w:rPr>
        <w:t xml:space="preserve">, 95(2), 137–142. </w:t>
      </w:r>
      <w:hyperlink r:id="rId57">
        <w:r>
          <w:rPr>
            <w:rFonts w:ascii="Arial" w:eastAsia="Arial" w:hAnsi="Arial" w:cs="Arial"/>
            <w:color w:val="1155CC"/>
            <w:u w:val="single"/>
          </w:rPr>
          <w:t>https://doi.org/10.1016/j.prosdent.2005.11.019</w:t>
        </w:r>
      </w:hyperlink>
    </w:p>
    <w:sectPr w:rsidR="00FA056C">
      <w:headerReference w:type="even" r:id="rId58"/>
      <w:headerReference w:type="default" r:id="rId59"/>
      <w:footerReference w:type="default" r:id="rId60"/>
      <w:headerReference w:type="first" r:id="rId61"/>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22A45" w14:textId="77777777" w:rsidR="003D3F5D" w:rsidRDefault="003D3F5D">
      <w:r>
        <w:separator/>
      </w:r>
    </w:p>
  </w:endnote>
  <w:endnote w:type="continuationSeparator" w:id="0">
    <w:p w14:paraId="2668043C" w14:textId="77777777" w:rsidR="003D3F5D" w:rsidRDefault="003D3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C8161012-5961-4B81-AF19-6E67FEB61FF1}"/>
    <w:embedBold r:id="rId2" w:fontKey="{C1B4B0C2-C31A-45FE-B45A-2A7AEDFDF1C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8FCBADB2-8A98-4CC8-A99C-13A84A81D47D}"/>
  </w:font>
  <w:font w:name="Helvetica">
    <w:panose1 w:val="020B0604020202020204"/>
    <w:charset w:val="00"/>
    <w:family w:val="swiss"/>
    <w:pitch w:val="variable"/>
    <w:sig w:usb0="00000003" w:usb1="00000000" w:usb2="00000000" w:usb3="00000000" w:csb0="00000001" w:csb1="00000000"/>
    <w:embedRegular r:id="rId4" w:fontKey="{3C491887-2DD7-400D-8E75-E81D2AD74E98}"/>
  </w:font>
  <w:font w:name="Tahoma">
    <w:panose1 w:val="020B0604030504040204"/>
    <w:charset w:val="00"/>
    <w:family w:val="swiss"/>
    <w:pitch w:val="variable"/>
    <w:sig w:usb0="E1002EFF" w:usb1="C000605B" w:usb2="00000029" w:usb3="00000000" w:csb0="000101FF" w:csb1="00000000"/>
    <w:embedRegular r:id="rId5" w:fontKey="{4B642371-D595-4D38-90D2-807FA550ECF5}"/>
  </w:font>
  <w:font w:name="Georgia">
    <w:panose1 w:val="02040502050405020303"/>
    <w:charset w:val="00"/>
    <w:family w:val="roman"/>
    <w:pitch w:val="variable"/>
    <w:sig w:usb0="00000287" w:usb1="00000000" w:usb2="00000000" w:usb3="00000000" w:csb0="0000009F" w:csb1="00000000"/>
    <w:embedRegular r:id="rId6" w:fontKey="{E4AD5776-476D-4659-8BAF-31F36D0E28B0}"/>
    <w:embedItalic r:id="rId7" w:fontKey="{23E280E2-494D-47AC-A4AA-7CA9431BC2B4}"/>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79C908E1-467D-45D2-86E9-DEAE1CFB3A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F744D" w14:textId="77777777" w:rsidR="00FA056C" w:rsidRDefault="00FA056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9B128" w14:textId="77777777" w:rsidR="00FA056C" w:rsidRDefault="00FA056C">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B8D4D" w14:textId="77777777" w:rsidR="00FA056C" w:rsidRDefault="00FA056C">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C3D76" w14:textId="77777777" w:rsidR="00FA056C" w:rsidRDefault="00FA056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D6255" w14:textId="77777777" w:rsidR="003D3F5D" w:rsidRDefault="003D3F5D">
      <w:r>
        <w:separator/>
      </w:r>
    </w:p>
  </w:footnote>
  <w:footnote w:type="continuationSeparator" w:id="0">
    <w:p w14:paraId="37959645" w14:textId="77777777" w:rsidR="003D3F5D" w:rsidRDefault="003D3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69433" w14:textId="77777777" w:rsidR="00FA056C" w:rsidRDefault="00000000">
    <w:pPr>
      <w:pBdr>
        <w:top w:val="nil"/>
        <w:left w:val="nil"/>
        <w:bottom w:val="nil"/>
        <w:right w:val="nil"/>
        <w:between w:val="nil"/>
      </w:pBdr>
      <w:tabs>
        <w:tab w:val="center" w:pos="4320"/>
        <w:tab w:val="right" w:pos="8640"/>
      </w:tabs>
      <w:rPr>
        <w:color w:val="000000"/>
      </w:rPr>
    </w:pPr>
    <w:r>
      <w:pict w14:anchorId="5E786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520.65pt;height:57.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3643C" w14:textId="77777777" w:rsidR="00FA056C" w:rsidRDefault="00000000">
    <w:pPr>
      <w:pBdr>
        <w:top w:val="nil"/>
        <w:left w:val="nil"/>
        <w:bottom w:val="nil"/>
        <w:right w:val="nil"/>
        <w:between w:val="nil"/>
      </w:pBdr>
      <w:tabs>
        <w:tab w:val="center" w:pos="4320"/>
        <w:tab w:val="right" w:pos="8640"/>
      </w:tabs>
      <w:rPr>
        <w:color w:val="000000"/>
      </w:rPr>
    </w:pPr>
    <w:r>
      <w:pict w14:anchorId="4C072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520.65pt;height:57.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9C4AB" w14:textId="77777777" w:rsidR="00FA056C" w:rsidRDefault="00000000">
    <w:pPr>
      <w:ind w:left="2160"/>
      <w:jc w:val="center"/>
      <w:rPr>
        <w:rFonts w:ascii="Times New Roman" w:eastAsia="Times New Roman" w:hAnsi="Times New Roman" w:cs="Times New Roman"/>
        <w:i/>
        <w:sz w:val="18"/>
        <w:szCs w:val="18"/>
      </w:rPr>
    </w:pPr>
    <w:r>
      <w:pict w14:anchorId="49450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520.65pt;height:57.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4B5AD30D" w14:textId="77777777" w:rsidR="00FA056C"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65F6805" w14:textId="77777777" w:rsidR="00FA056C"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52680E7" w14:textId="77777777" w:rsidR="00FA056C"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12BE5C6" w14:textId="77777777" w:rsidR="00FA056C"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C1ABE30" w14:textId="77777777" w:rsidR="00FA056C"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8FF0895" w14:textId="77777777" w:rsidR="00FA056C"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63DB" w14:textId="77777777" w:rsidR="00FA056C" w:rsidRDefault="00000000">
    <w:pPr>
      <w:pBdr>
        <w:top w:val="nil"/>
        <w:left w:val="nil"/>
        <w:bottom w:val="nil"/>
        <w:right w:val="nil"/>
        <w:between w:val="nil"/>
      </w:pBdr>
      <w:tabs>
        <w:tab w:val="center" w:pos="4320"/>
        <w:tab w:val="right" w:pos="8640"/>
      </w:tabs>
      <w:rPr>
        <w:color w:val="000000"/>
      </w:rPr>
    </w:pPr>
    <w:r>
      <w:rPr>
        <w:color w:val="000000"/>
      </w:rPr>
      <w:pict w14:anchorId="779D7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15669" w14:textId="77777777" w:rsidR="00FA056C" w:rsidRDefault="00000000">
    <w:pPr>
      <w:pBdr>
        <w:top w:val="nil"/>
        <w:left w:val="nil"/>
        <w:bottom w:val="nil"/>
        <w:right w:val="nil"/>
        <w:between w:val="nil"/>
      </w:pBdr>
      <w:tabs>
        <w:tab w:val="center" w:pos="4320"/>
        <w:tab w:val="right" w:pos="8640"/>
      </w:tabs>
      <w:rPr>
        <w:color w:val="000000"/>
      </w:rPr>
    </w:pPr>
    <w:r>
      <w:rPr>
        <w:color w:val="000000"/>
      </w:rPr>
      <w:pict w14:anchorId="6F16F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9F3C4" w14:textId="77777777" w:rsidR="00FA056C" w:rsidRDefault="00000000">
    <w:pPr>
      <w:pBdr>
        <w:top w:val="nil"/>
        <w:left w:val="nil"/>
        <w:bottom w:val="nil"/>
        <w:right w:val="nil"/>
        <w:between w:val="nil"/>
      </w:pBdr>
      <w:tabs>
        <w:tab w:val="center" w:pos="4320"/>
        <w:tab w:val="right" w:pos="8640"/>
      </w:tabs>
      <w:rPr>
        <w:color w:val="000000"/>
      </w:rPr>
    </w:pPr>
    <w:r>
      <w:rPr>
        <w:color w:val="000000"/>
      </w:rPr>
      <w:pict w14:anchorId="5F810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1A91"/>
    <w:multiLevelType w:val="multilevel"/>
    <w:tmpl w:val="E34469A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02081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56C"/>
    <w:rsid w:val="00195178"/>
    <w:rsid w:val="003D3F5D"/>
    <w:rsid w:val="00D62927"/>
    <w:rsid w:val="00FA05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703EED8"/>
  <w15:docId w15:val="{626D4DB5-B4F9-486A-82B3-1D04601E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360"/>
      <w:jc w:val="right"/>
    </w:pPr>
    <w:rPr>
      <w:b/>
      <w:sz w:val="36"/>
      <w:szCs w:val="3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00" w:type="dxa"/>
        <w:left w:w="100" w:type="dxa"/>
        <w:bottom w:w="100" w:type="dxa"/>
        <w:right w:w="100" w:type="dxa"/>
      </w:tblCellMar>
    </w:tblPr>
  </w:style>
  <w:style w:type="table" w:customStyle="1" w:styleId="a3">
    <w:basedOn w:val="Tabelanormal"/>
    <w:tblPr>
      <w:tblStyleRowBandSize w:val="1"/>
      <w:tblStyleColBandSize w:val="1"/>
      <w:tblCellMar>
        <w:top w:w="100" w:type="dxa"/>
        <w:left w:w="100" w:type="dxa"/>
        <w:bottom w:w="100" w:type="dxa"/>
        <w:right w:w="100" w:type="dxa"/>
      </w:tblCellMar>
    </w:tblPr>
  </w:style>
  <w:style w:type="table" w:customStyle="1" w:styleId="a4">
    <w:basedOn w:val="Tabelanormal"/>
    <w:tblPr>
      <w:tblStyleRowBandSize w:val="1"/>
      <w:tblStyleColBandSize w:val="1"/>
      <w:tblCellMar>
        <w:left w:w="115" w:type="dxa"/>
        <w:right w:w="115" w:type="dxa"/>
      </w:tblCellMar>
    </w:tblPr>
  </w:style>
  <w:style w:type="table" w:customStyle="1" w:styleId="a5">
    <w:basedOn w:val="Tabelanormal"/>
    <w:tblPr>
      <w:tblStyleRowBandSize w:val="1"/>
      <w:tblStyleColBandSize w:val="1"/>
      <w:tblCellMar>
        <w:top w:w="100" w:type="dxa"/>
        <w:left w:w="100" w:type="dxa"/>
        <w:bottom w:w="100" w:type="dxa"/>
        <w:right w:w="100" w:type="dxa"/>
      </w:tblCellMar>
    </w:tblPr>
  </w:style>
  <w:style w:type="table" w:customStyle="1" w:styleId="a6">
    <w:basedOn w:val="Tabelanormal"/>
    <w:tblPr>
      <w:tblStyleRowBandSize w:val="1"/>
      <w:tblStyleColBandSize w:val="1"/>
      <w:tblCellMar>
        <w:top w:w="100" w:type="dxa"/>
        <w:left w:w="100" w:type="dxa"/>
        <w:bottom w:w="100" w:type="dxa"/>
        <w:right w:w="100" w:type="dxa"/>
      </w:tblCellMar>
    </w:tblPr>
  </w:style>
  <w:style w:type="table" w:customStyle="1" w:styleId="a7">
    <w:basedOn w:val="Tabelanormal"/>
    <w:tblPr>
      <w:tblStyleRowBandSize w:val="1"/>
      <w:tblStyleColBandSize w:val="1"/>
      <w:tblCellMar>
        <w:top w:w="100" w:type="dxa"/>
        <w:left w:w="100" w:type="dxa"/>
        <w:bottom w:w="100" w:type="dxa"/>
        <w:right w:w="100" w:type="dxa"/>
      </w:tblCellMar>
    </w:tblPr>
  </w:style>
  <w:style w:type="table" w:customStyle="1" w:styleId="a8">
    <w:basedOn w:val="Tabelanormal"/>
    <w:tblPr>
      <w:tblStyleRowBandSize w:val="1"/>
      <w:tblStyleColBandSize w:val="1"/>
      <w:tblCellMar>
        <w:top w:w="100" w:type="dxa"/>
        <w:left w:w="100" w:type="dxa"/>
        <w:bottom w:w="100" w:type="dxa"/>
        <w:right w:w="100" w:type="dxa"/>
      </w:tblCellMar>
    </w:tblPr>
  </w:style>
  <w:style w:type="table" w:customStyle="1" w:styleId="a9">
    <w:basedOn w:val="Tabelanormal"/>
    <w:tblPr>
      <w:tblStyleRowBandSize w:val="1"/>
      <w:tblStyleColBandSize w:val="1"/>
      <w:tblCellMar>
        <w:left w:w="115" w:type="dxa"/>
        <w:right w:w="115" w:type="dxa"/>
      </w:tblCellMar>
    </w:tblPr>
  </w:style>
  <w:style w:type="table" w:customStyle="1" w:styleId="aa">
    <w:basedOn w:val="Tabelanormal"/>
    <w:tblPr>
      <w:tblStyleRowBandSize w:val="1"/>
      <w:tblStyleColBandSize w:val="1"/>
      <w:tblCellMar>
        <w:top w:w="100" w:type="dxa"/>
        <w:left w:w="100" w:type="dxa"/>
        <w:bottom w:w="100" w:type="dxa"/>
        <w:right w:w="100" w:type="dxa"/>
      </w:tblCellMar>
    </w:tblPr>
  </w:style>
  <w:style w:type="table" w:customStyle="1" w:styleId="ab">
    <w:basedOn w:val="Tabelanormal"/>
    <w:tblPr>
      <w:tblStyleRowBandSize w:val="1"/>
      <w:tblStyleColBandSize w:val="1"/>
      <w:tblCellMar>
        <w:top w:w="100" w:type="dxa"/>
        <w:left w:w="100" w:type="dxa"/>
        <w:bottom w:w="100" w:type="dxa"/>
        <w:right w:w="100" w:type="dxa"/>
      </w:tblCellMar>
    </w:tblPr>
  </w:style>
  <w:style w:type="table" w:customStyle="1" w:styleId="ac">
    <w:basedOn w:val="Tabelanormal"/>
    <w:tblPr>
      <w:tblStyleRowBandSize w:val="1"/>
      <w:tblStyleColBandSize w:val="1"/>
      <w:tblCellMar>
        <w:top w:w="100" w:type="dxa"/>
        <w:left w:w="100" w:type="dxa"/>
        <w:bottom w:w="100" w:type="dxa"/>
        <w:right w:w="100" w:type="dxa"/>
      </w:tblCellMar>
    </w:tblPr>
  </w:style>
  <w:style w:type="table" w:customStyle="1" w:styleId="ad">
    <w:basedOn w:val="Tabelanormal"/>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764307"/>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elanormal"/>
    <w:tblPr>
      <w:tblStyleRowBandSize w:val="1"/>
      <w:tblStyleColBandSize w:val="1"/>
      <w:tblCellMar>
        <w:left w:w="115" w:type="dxa"/>
        <w:right w:w="115" w:type="dxa"/>
      </w:tblCellMar>
    </w:tblPr>
  </w:style>
  <w:style w:type="table" w:customStyle="1" w:styleId="af">
    <w:basedOn w:val="Tabelanormal"/>
    <w:tblPr>
      <w:tblStyleRowBandSize w:val="1"/>
      <w:tblStyleColBandSize w:val="1"/>
      <w:tblCellMar>
        <w:top w:w="100" w:type="dxa"/>
        <w:left w:w="100" w:type="dxa"/>
        <w:bottom w:w="100" w:type="dxa"/>
        <w:right w:w="100" w:type="dxa"/>
      </w:tblCellMar>
    </w:tblPr>
  </w:style>
  <w:style w:type="table" w:customStyle="1" w:styleId="af0">
    <w:basedOn w:val="Tabelanormal"/>
    <w:tblPr>
      <w:tblStyleRowBandSize w:val="1"/>
      <w:tblStyleColBandSize w:val="1"/>
      <w:tblCellMar>
        <w:top w:w="100" w:type="dxa"/>
        <w:left w:w="100" w:type="dxa"/>
        <w:bottom w:w="100" w:type="dxa"/>
        <w:right w:w="100" w:type="dxa"/>
      </w:tblCellMar>
    </w:tblPr>
  </w:style>
  <w:style w:type="table" w:customStyle="1" w:styleId="af1">
    <w:basedOn w:val="Tabelanormal"/>
    <w:tblPr>
      <w:tblStyleRowBandSize w:val="1"/>
      <w:tblStyleColBandSize w:val="1"/>
      <w:tblCellMar>
        <w:top w:w="100" w:type="dxa"/>
        <w:left w:w="100" w:type="dxa"/>
        <w:bottom w:w="100" w:type="dxa"/>
        <w:right w:w="100" w:type="dxa"/>
      </w:tblCellMar>
    </w:tblPr>
  </w:style>
  <w:style w:type="table" w:customStyle="1" w:styleId="af2">
    <w:basedOn w:val="Tabela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prosdent.2019.09.024" TargetMode="External"/><Relationship Id="rId26" Type="http://schemas.openxmlformats.org/officeDocument/2006/relationships/hyperlink" Target="https://dx.doi.org/10.5530/jyp.2021.13.12" TargetMode="External"/><Relationship Id="rId39" Type="http://schemas.openxmlformats.org/officeDocument/2006/relationships/hyperlink" Target="https://doi.org/10.4103/jpbs.jpbs_781_21" TargetMode="External"/><Relationship Id="rId21" Type="http://schemas.openxmlformats.org/officeDocument/2006/relationships/hyperlink" Target="https://doi.org/10.1080/08927014.2021.1885649" TargetMode="External"/><Relationship Id="rId34" Type="http://schemas.openxmlformats.org/officeDocument/2006/relationships/hyperlink" Target="https://doi.org/10.1111/j.1532-849x.2011.00698.x" TargetMode="External"/><Relationship Id="rId42" Type="http://schemas.openxmlformats.org/officeDocument/2006/relationships/hyperlink" Target="https://doi.org/10.1016/j.fct.2008.04.035" TargetMode="External"/><Relationship Id="rId47" Type="http://schemas.openxmlformats.org/officeDocument/2006/relationships/hyperlink" Target="https://doi.org/10.3390/antibiotics13030273" TargetMode="External"/><Relationship Id="rId50" Type="http://schemas.openxmlformats.org/officeDocument/2006/relationships/hyperlink" Target="https://doi.org/10.1177/00220345890680120801" TargetMode="External"/><Relationship Id="rId55" Type="http://schemas.openxmlformats.org/officeDocument/2006/relationships/hyperlink" Target="https://doi.org/10.1046/j.1439-0507.2003.00884.x"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08927014.2017.1407408" TargetMode="External"/><Relationship Id="rId29" Type="http://schemas.openxmlformats.org/officeDocument/2006/relationships/hyperlink" Target="https://doi.org/10.1016/j.micpath.2025.107596" TargetMode="External"/><Relationship Id="rId11" Type="http://schemas.openxmlformats.org/officeDocument/2006/relationships/footer" Target="footer2.xml"/><Relationship Id="rId24" Type="http://schemas.openxmlformats.org/officeDocument/2006/relationships/hyperlink" Target="https://doi.org/10.3390/ijms22084175" TargetMode="External"/><Relationship Id="rId32" Type="http://schemas.openxmlformats.org/officeDocument/2006/relationships/hyperlink" Target="https://doi.org/10.1590/s1678-77572009000200009" TargetMode="External"/><Relationship Id="rId37" Type="http://schemas.openxmlformats.org/officeDocument/2006/relationships/hyperlink" Target="https://doi.org/10.1016/j.jdent.2009.03.011" TargetMode="External"/><Relationship Id="rId40" Type="http://schemas.openxmlformats.org/officeDocument/2006/relationships/hyperlink" Target="https://doi.org/10.1111/jopr.13687" TargetMode="External"/><Relationship Id="rId45" Type="http://schemas.openxmlformats.org/officeDocument/2006/relationships/hyperlink" Target="https://doi.org/10.1111/j.1532-849X.2010.00592.x" TargetMode="External"/><Relationship Id="rId53" Type="http://schemas.openxmlformats.org/officeDocument/2006/relationships/hyperlink" Target="https://doi.org/10.1002/cre2.763"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hyperlink" Target="https://doi.org/10.1111/jopr.12680" TargetMode="External"/><Relationship Id="rId14" Type="http://schemas.openxmlformats.org/officeDocument/2006/relationships/image" Target="media/image1.jpg"/><Relationship Id="rId22" Type="http://schemas.openxmlformats.org/officeDocument/2006/relationships/hyperlink" Target="https://pubmed.ncbi.nlm.nih.gov/29892147/" TargetMode="External"/><Relationship Id="rId27" Type="http://schemas.openxmlformats.org/officeDocument/2006/relationships/hyperlink" Target="https://doi.org/10.3390/app15031503" TargetMode="External"/><Relationship Id="rId30" Type="http://schemas.openxmlformats.org/officeDocument/2006/relationships/hyperlink" Target="https://doi.org/10.1111/jopr.13801" TargetMode="External"/><Relationship Id="rId35" Type="http://schemas.openxmlformats.org/officeDocument/2006/relationships/hyperlink" Target="https://doi.org/10.1155/2016/8626987" TargetMode="External"/><Relationship Id="rId43" Type="http://schemas.openxmlformats.org/officeDocument/2006/relationships/hyperlink" Target="https://doi.org/10.3389/fmicb.2015.01391" TargetMode="External"/><Relationship Id="rId48" Type="http://schemas.openxmlformats.org/officeDocument/2006/relationships/hyperlink" Target="https://doi.org/10.1016/S0109-5641(87)80081-7" TargetMode="External"/><Relationship Id="rId56" Type="http://schemas.openxmlformats.org/officeDocument/2006/relationships/hyperlink" Target="https://doi.org/10.1186/s12906-019-2730-2" TargetMode="External"/><Relationship Id="rId8" Type="http://schemas.openxmlformats.org/officeDocument/2006/relationships/header" Target="header1.xml"/><Relationship Id="rId51" Type="http://schemas.openxmlformats.org/officeDocument/2006/relationships/hyperlink" Target="https://doi.org/10.1021/jf010865b"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111/j.1532-849x.2012.00906.x" TargetMode="External"/><Relationship Id="rId25" Type="http://schemas.openxmlformats.org/officeDocument/2006/relationships/hyperlink" Target="https://doi.org/10.1016/j.prosdent.2023.06.027" TargetMode="External"/><Relationship Id="rId33" Type="http://schemas.openxmlformats.org/officeDocument/2006/relationships/hyperlink" Target="https://doi.org/10.17219/dmp/112861" TargetMode="External"/><Relationship Id="rId38" Type="http://schemas.openxmlformats.org/officeDocument/2006/relationships/hyperlink" Target="https://pubmed.ncbi.nlm.nih.gov/18590349/" TargetMode="External"/><Relationship Id="rId46" Type="http://schemas.openxmlformats.org/officeDocument/2006/relationships/hyperlink" Target="https://doi.org/10.1088/1742-6596/1073/6/062015" TargetMode="External"/><Relationship Id="rId59" Type="http://schemas.openxmlformats.org/officeDocument/2006/relationships/header" Target="header5.xml"/><Relationship Id="rId20" Type="http://schemas.openxmlformats.org/officeDocument/2006/relationships/hyperlink" Target="https://doi.org/10.3390/polym14020230" TargetMode="External"/><Relationship Id="rId41" Type="http://schemas.openxmlformats.org/officeDocument/2006/relationships/hyperlink" Target="https://pubmed.ncbi.nlm.nih.gov/26201226" TargetMode="External"/><Relationship Id="rId54" Type="http://schemas.openxmlformats.org/officeDocument/2006/relationships/hyperlink" Target="https://doi.org/10.1590/s0103-6440200600030000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2514/jocpd.2024.005" TargetMode="External"/><Relationship Id="rId23" Type="http://schemas.openxmlformats.org/officeDocument/2006/relationships/hyperlink" Target="https://doi.org/10.1590/S1678-9946201658017" TargetMode="External"/><Relationship Id="rId28" Type="http://schemas.openxmlformats.org/officeDocument/2006/relationships/hyperlink" Target="https://doi.org/10.1111/j.1532-849X.2010.00683.x" TargetMode="External"/><Relationship Id="rId36" Type="http://schemas.openxmlformats.org/officeDocument/2006/relationships/hyperlink" Target="https://doi.org/10.1111/jgs.14399" TargetMode="External"/><Relationship Id="rId49" Type="http://schemas.openxmlformats.org/officeDocument/2006/relationships/hyperlink" Target="https://doi.org/10.1002/jbm.b.31027" TargetMode="External"/><Relationship Id="rId57" Type="http://schemas.openxmlformats.org/officeDocument/2006/relationships/hyperlink" Target="https://doi.org/10.1016/j.prosdent.2005.11.019" TargetMode="External"/><Relationship Id="rId10" Type="http://schemas.openxmlformats.org/officeDocument/2006/relationships/footer" Target="footer1.xml"/><Relationship Id="rId31" Type="http://schemas.openxmlformats.org/officeDocument/2006/relationships/hyperlink" Target="https://pubmed.ncbi.nlm.nih.gov/26742168/" TargetMode="External"/><Relationship Id="rId44" Type="http://schemas.openxmlformats.org/officeDocument/2006/relationships/hyperlink" Target="https://doi.org/10.1016/j.aanat.2022.152026" TargetMode="External"/><Relationship Id="rId52" Type="http://schemas.openxmlformats.org/officeDocument/2006/relationships/hyperlink" Target="https://doi.org/10.1590/0103-6440201300028"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82s5K8Z4MLjdUpiiNyPY9L9fA==">CgMxLjAaJAoBMBIfCh0IB0IZCgVBcmlhbBIQQXJpYWwgVW5pY29kZSBNUzIOaC55c3ozZzJ5bGI2ZTYyDmguYTJxZXYybzR4ZTV2Mg5oLmk1N2hjaHZiejZiYTIOaC44dzc1OXd4MGIyZmwyDmgudmVkdDNwZHYzcWtkOAByITFVNDhfRGRJcU5mLTVtamlPU0dmRENhNTd5UlBIdjNEXw==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6722</Words>
  <Characters>36303</Characters>
  <Application>Microsoft Office Word</Application>
  <DocSecurity>0</DocSecurity>
  <Lines>302</Lines>
  <Paragraphs>85</Paragraphs>
  <ScaleCrop>false</ScaleCrop>
  <Company/>
  <LinksUpToDate>false</LinksUpToDate>
  <CharactersWithSpaces>42940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Vanara Passos</cp:lastModifiedBy>
  <cp:revision>2</cp:revision>
  <dcterms:created xsi:type="dcterms:W3CDTF">2025-09-02T13:40:00Z</dcterms:created>
  <dcterms:modified xsi:type="dcterms:W3CDTF">2025-09-02T13:40:00Z</dcterms:modified>
</cp:coreProperties>
</file>