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631A6C" w14:textId="2DAFC50D" w:rsidR="00FE7AC1" w:rsidRPr="00FE7AC1" w:rsidRDefault="00FE7AC1" w:rsidP="00FE7AC1">
      <w:pPr>
        <w:pStyle w:val="Author"/>
        <w:spacing w:line="240" w:lineRule="auto"/>
        <w:rPr>
          <w:rFonts w:ascii="Arial" w:hAnsi="Arial" w:cs="Arial"/>
          <w:bCs/>
          <w:iCs/>
          <w:kern w:val="28"/>
          <w:sz w:val="28"/>
          <w:szCs w:val="28"/>
        </w:rPr>
      </w:pPr>
      <w:r w:rsidRPr="00F42FEC">
        <w:rPr>
          <w:rFonts w:ascii="Arial" w:hAnsi="Arial" w:cs="Arial"/>
          <w:bCs/>
          <w:iCs/>
          <w:kern w:val="28"/>
          <w:sz w:val="28"/>
          <w:szCs w:val="28"/>
        </w:rPr>
        <w:t>Original Research Article</w:t>
      </w:r>
      <w:r w:rsidRPr="00E311AB">
        <w:rPr>
          <w:rFonts w:ascii="Arial" w:hAnsi="Arial" w:cs="Arial"/>
          <w:bCs/>
          <w:iCs/>
          <w:kern w:val="28"/>
          <w:sz w:val="28"/>
          <w:szCs w:val="28"/>
        </w:rPr>
        <w:t xml:space="preserve"> </w:t>
      </w:r>
    </w:p>
    <w:p w14:paraId="5256DC3B" w14:textId="0511F7FB" w:rsidR="003348C3" w:rsidRPr="00163BC4" w:rsidRDefault="003348C3" w:rsidP="003348C3">
      <w:pPr>
        <w:pStyle w:val="Author"/>
        <w:spacing w:line="240" w:lineRule="auto"/>
        <w:rPr>
          <w:rFonts w:ascii="Arial" w:hAnsi="Arial" w:cs="Arial"/>
          <w:bCs/>
          <w:iCs/>
          <w:kern w:val="28"/>
          <w:sz w:val="36"/>
        </w:rPr>
      </w:pPr>
      <w:r w:rsidRPr="000A0E12">
        <w:rPr>
          <w:rFonts w:ascii="Arial" w:hAnsi="Arial" w:cs="Arial"/>
          <w:bCs/>
          <w:iCs/>
          <w:kern w:val="28"/>
          <w:sz w:val="36"/>
        </w:rPr>
        <w:t xml:space="preserve">Spatio-Temporal Modelling </w:t>
      </w:r>
      <w:r>
        <w:rPr>
          <w:rFonts w:ascii="Arial" w:hAnsi="Arial" w:cs="Arial"/>
          <w:bCs/>
          <w:iCs/>
          <w:kern w:val="28"/>
          <w:sz w:val="36"/>
        </w:rPr>
        <w:t>o</w:t>
      </w:r>
      <w:r w:rsidRPr="000A0E12">
        <w:rPr>
          <w:rFonts w:ascii="Arial" w:hAnsi="Arial" w:cs="Arial"/>
          <w:bCs/>
          <w:iCs/>
          <w:kern w:val="28"/>
          <w:sz w:val="36"/>
        </w:rPr>
        <w:t xml:space="preserve">f Crime </w:t>
      </w:r>
      <w:r>
        <w:rPr>
          <w:rFonts w:ascii="Arial" w:hAnsi="Arial" w:cs="Arial"/>
          <w:bCs/>
          <w:iCs/>
          <w:kern w:val="28"/>
          <w:sz w:val="36"/>
        </w:rPr>
        <w:t>a</w:t>
      </w:r>
      <w:r w:rsidRPr="000A0E12">
        <w:rPr>
          <w:rFonts w:ascii="Arial" w:hAnsi="Arial" w:cs="Arial"/>
          <w:bCs/>
          <w:iCs/>
          <w:kern w:val="28"/>
          <w:sz w:val="36"/>
        </w:rPr>
        <w:t xml:space="preserve">nd Violence Trends </w:t>
      </w:r>
      <w:r>
        <w:rPr>
          <w:rFonts w:ascii="Arial" w:hAnsi="Arial" w:cs="Arial"/>
          <w:bCs/>
          <w:iCs/>
          <w:kern w:val="28"/>
          <w:sz w:val="36"/>
        </w:rPr>
        <w:t>i</w:t>
      </w:r>
      <w:r w:rsidRPr="000A0E12">
        <w:rPr>
          <w:rFonts w:ascii="Arial" w:hAnsi="Arial" w:cs="Arial"/>
          <w:bCs/>
          <w:iCs/>
          <w:kern w:val="28"/>
          <w:sz w:val="36"/>
        </w:rPr>
        <w:t>n Mombasa County, Kenya</w:t>
      </w:r>
      <w:r>
        <w:rPr>
          <w:rFonts w:ascii="Arial" w:hAnsi="Arial" w:cs="Arial"/>
          <w:bCs/>
          <w:iCs/>
          <w:kern w:val="28"/>
          <w:sz w:val="36"/>
        </w:rPr>
        <w:t xml:space="preserve"> </w:t>
      </w:r>
    </w:p>
    <w:p w14:paraId="694BB120" w14:textId="77777777" w:rsidR="003348C3" w:rsidRPr="00790ADA" w:rsidRDefault="003348C3" w:rsidP="003348C3">
      <w:pPr>
        <w:pStyle w:val="Author"/>
        <w:spacing w:line="240" w:lineRule="auto"/>
        <w:jc w:val="both"/>
        <w:rPr>
          <w:rFonts w:ascii="Arial" w:hAnsi="Arial" w:cs="Arial"/>
          <w:sz w:val="36"/>
        </w:rPr>
      </w:pPr>
    </w:p>
    <w:p w14:paraId="49D72D03" w14:textId="28581328" w:rsidR="003348C3" w:rsidRDefault="003348C3" w:rsidP="003348C3">
      <w:pPr>
        <w:pStyle w:val="Affiliation"/>
        <w:spacing w:after="0" w:line="240" w:lineRule="auto"/>
        <w:rPr>
          <w:rFonts w:ascii="Arial" w:hAnsi="Arial" w:cs="Arial"/>
          <w:i/>
        </w:rPr>
      </w:pPr>
    </w:p>
    <w:p w14:paraId="55E3B2C8" w14:textId="77777777" w:rsidR="00C832FF" w:rsidRDefault="00C832FF" w:rsidP="003348C3">
      <w:pPr>
        <w:pStyle w:val="Affiliation"/>
        <w:spacing w:after="0" w:line="240" w:lineRule="auto"/>
        <w:rPr>
          <w:rFonts w:ascii="Arial" w:hAnsi="Arial" w:cs="Arial"/>
          <w:i/>
        </w:rPr>
      </w:pPr>
    </w:p>
    <w:p w14:paraId="5EE6AEEB" w14:textId="77777777" w:rsidR="003348C3" w:rsidRPr="009A78C7" w:rsidRDefault="003348C3" w:rsidP="003348C3">
      <w:pPr>
        <w:pStyle w:val="Body"/>
        <w:spacing w:after="0"/>
        <w:rPr>
          <w:rFonts w:ascii="Arial" w:hAnsi="Arial" w:cs="Arial"/>
          <w:b/>
          <w:bCs/>
          <w:iCs/>
        </w:rPr>
      </w:pPr>
      <w:r w:rsidRPr="009A78C7">
        <w:rPr>
          <w:b/>
          <w:bCs/>
          <w:iCs/>
          <w:noProof/>
          <w:lang w:val="en-GB" w:eastAsia="en-GB"/>
        </w:rPr>
        <mc:AlternateContent>
          <mc:Choice Requires="wps">
            <w:drawing>
              <wp:anchor distT="45720" distB="45720" distL="114300" distR="114300" simplePos="0" relativeHeight="251659264" behindDoc="0" locked="0" layoutInCell="1" allowOverlap="1" wp14:anchorId="0E014637" wp14:editId="2480CC96">
                <wp:simplePos x="0" y="0"/>
                <wp:positionH relativeFrom="margin">
                  <wp:posOffset>0</wp:posOffset>
                </wp:positionH>
                <wp:positionV relativeFrom="paragraph">
                  <wp:posOffset>215900</wp:posOffset>
                </wp:positionV>
                <wp:extent cx="5844540" cy="54940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5494020"/>
                        </a:xfrm>
                        <a:prstGeom prst="rect">
                          <a:avLst/>
                        </a:prstGeom>
                        <a:solidFill>
                          <a:schemeClr val="bg1">
                            <a:lumMod val="95000"/>
                          </a:schemeClr>
                        </a:solidFill>
                        <a:ln w="9525">
                          <a:solidFill>
                            <a:srgbClr val="000000"/>
                          </a:solidFill>
                          <a:miter lim="800000"/>
                          <a:headEnd/>
                          <a:tailEnd/>
                        </a:ln>
                      </wps:spPr>
                      <wps:txbx>
                        <w:txbxContent>
                          <w:p w14:paraId="49C4DFCC" w14:textId="4C2FB8A8" w:rsidR="00951B55" w:rsidRPr="00DF3DC2" w:rsidRDefault="00951B55" w:rsidP="00DF3DC2">
                            <w:pPr>
                              <w:autoSpaceDE w:val="0"/>
                              <w:autoSpaceDN w:val="0"/>
                              <w:adjustRightInd w:val="0"/>
                              <w:spacing w:line="360" w:lineRule="auto"/>
                              <w:jc w:val="both"/>
                              <w:rPr>
                                <w:rFonts w:ascii="Arial" w:hAnsi="Arial" w:cs="Arial"/>
                                <w:sz w:val="20"/>
                                <w:szCs w:val="20"/>
                              </w:rPr>
                            </w:pPr>
                            <w:r w:rsidRPr="00F54EC3">
                              <w:rPr>
                                <w:sz w:val="20"/>
                                <w:szCs w:val="20"/>
                              </w:rPr>
                              <w:t xml:space="preserve"> </w:t>
                            </w:r>
                            <w:r w:rsidRPr="00432D8B">
                              <w:rPr>
                                <w:rFonts w:ascii="Arial" w:eastAsia="Calibri" w:hAnsi="Arial" w:cs="Arial"/>
                                <w:sz w:val="20"/>
                                <w:szCs w:val="20"/>
                                <w:highlight w:val="yellow"/>
                              </w:rPr>
                              <w:t>Criminal activities are a pervasive national security threat with far reaching effects on Kenya’s social and economic well-being.</w:t>
                            </w:r>
                            <w:r w:rsidRPr="00580F79">
                              <w:rPr>
                                <w:rFonts w:ascii="Arial" w:eastAsia="Calibri" w:hAnsi="Arial" w:cs="Arial"/>
                                <w:sz w:val="20"/>
                                <w:szCs w:val="20"/>
                              </w:rPr>
                              <w:t xml:space="preserve"> At such, criminal activities in Kenya have increased in both variety, frequency and numbers every year. Such activities span a wide range including petty theft, assault, vandalism, murder, rape, fraud, organized crime, youth gangs, kidnaps, terrorism, radicalization, and other cases. Further, the move to a devolved system of governance brings new threats of crime and violence relating to investment and urbanization of rural centers, as well as new borders and resource conflicts which may manifest in crime.  Analyzing geo-coded crime data provides new insights for designing, allocating, and implementation of data driven crime prevention policies and programs. </w:t>
                            </w:r>
                            <w:r w:rsidRPr="00DF3DC2">
                              <w:rPr>
                                <w:rFonts w:ascii="Arial" w:hAnsi="Arial" w:cs="Arial"/>
                                <w:sz w:val="20"/>
                                <w:szCs w:val="20"/>
                                <w:highlight w:val="yellow"/>
                              </w:rPr>
                              <w:t xml:space="preserve">The main objective of this study is to model crime incident patterns using spatial-temporal techniques across the county with a view of informing crime prevention policy and reducing </w:t>
                            </w:r>
                            <w:r w:rsidRPr="006C3729">
                              <w:rPr>
                                <w:rFonts w:ascii="Arial" w:hAnsi="Arial" w:cs="Arial"/>
                                <w:sz w:val="20"/>
                                <w:szCs w:val="20"/>
                                <w:highlight w:val="yellow"/>
                              </w:rPr>
                              <w:t>violence activities by understanding crime trends.</w:t>
                            </w:r>
                            <w:r>
                              <w:rPr>
                                <w:rFonts w:ascii="Arial" w:hAnsi="Arial" w:cs="Arial"/>
                                <w:sz w:val="20"/>
                                <w:szCs w:val="20"/>
                                <w:highlight w:val="yellow"/>
                              </w:rPr>
                              <w:t xml:space="preserve"> </w:t>
                            </w:r>
                            <w:r w:rsidRPr="006C3729">
                              <w:rPr>
                                <w:rFonts w:ascii="Arial" w:hAnsi="Arial" w:cs="Arial"/>
                                <w:sz w:val="20"/>
                                <w:szCs w:val="20"/>
                                <w:highlight w:val="yellow"/>
                              </w:rPr>
                              <w:t>Datasets from secondary sources were used</w:t>
                            </w:r>
                            <w:r>
                              <w:rPr>
                                <w:rFonts w:ascii="Arial" w:hAnsi="Arial" w:cs="Arial"/>
                                <w:sz w:val="20"/>
                                <w:szCs w:val="20"/>
                              </w:rPr>
                              <w:t xml:space="preserve"> (</w:t>
                            </w:r>
                            <w:r w:rsidRPr="006C3729">
                              <w:rPr>
                                <w:rFonts w:ascii="Arial" w:hAnsi="Arial" w:cs="Arial"/>
                                <w:sz w:val="20"/>
                                <w:szCs w:val="20"/>
                                <w:highlight w:val="yellow"/>
                              </w:rPr>
                              <w:t xml:space="preserve">Kenya </w:t>
                            </w:r>
                            <w:r>
                              <w:rPr>
                                <w:rFonts w:ascii="Arial" w:hAnsi="Arial" w:cs="Arial"/>
                                <w:sz w:val="20"/>
                                <w:szCs w:val="20"/>
                                <w:highlight w:val="yellow"/>
                              </w:rPr>
                              <w:t>P</w:t>
                            </w:r>
                            <w:r w:rsidRPr="006C3729">
                              <w:rPr>
                                <w:rFonts w:ascii="Arial" w:hAnsi="Arial" w:cs="Arial"/>
                                <w:sz w:val="20"/>
                                <w:szCs w:val="20"/>
                                <w:highlight w:val="yellow"/>
                              </w:rPr>
                              <w:t xml:space="preserve">olice </w:t>
                            </w:r>
                            <w:r>
                              <w:rPr>
                                <w:rFonts w:ascii="Arial" w:hAnsi="Arial" w:cs="Arial"/>
                                <w:sz w:val="20"/>
                                <w:szCs w:val="20"/>
                                <w:highlight w:val="yellow"/>
                              </w:rPr>
                              <w:t>Sub County S</w:t>
                            </w:r>
                            <w:r w:rsidRPr="006C3729">
                              <w:rPr>
                                <w:rFonts w:ascii="Arial" w:hAnsi="Arial" w:cs="Arial"/>
                                <w:sz w:val="20"/>
                                <w:szCs w:val="20"/>
                                <w:highlight w:val="yellow"/>
                              </w:rPr>
                              <w:t>tations)</w:t>
                            </w:r>
                            <w:r>
                              <w:rPr>
                                <w:rFonts w:ascii="Arial" w:hAnsi="Arial" w:cs="Arial"/>
                                <w:sz w:val="20"/>
                                <w:szCs w:val="20"/>
                              </w:rPr>
                              <w:t>.</w:t>
                            </w:r>
                          </w:p>
                          <w:p w14:paraId="4BC10964" w14:textId="31CC90A7" w:rsidR="00951B55" w:rsidRPr="00580F79" w:rsidRDefault="00951B55" w:rsidP="00DF3DC2">
                            <w:pPr>
                              <w:spacing w:line="360" w:lineRule="auto"/>
                              <w:jc w:val="both"/>
                              <w:rPr>
                                <w:rFonts w:ascii="Arial" w:hAnsi="Arial" w:cs="Arial"/>
                                <w:sz w:val="20"/>
                                <w:szCs w:val="20"/>
                              </w:rPr>
                            </w:pPr>
                            <w:r w:rsidRPr="00580F79">
                              <w:rPr>
                                <w:rFonts w:ascii="Arial" w:eastAsia="Calibri" w:hAnsi="Arial" w:cs="Arial"/>
                                <w:sz w:val="20"/>
                                <w:szCs w:val="20"/>
                              </w:rPr>
                              <w:t xml:space="preserve">This study will apply statistical models and data science approaches to identify crime-general and crime-specific hotspots in Mombasa County in Kenya </w:t>
                            </w:r>
                            <w:r w:rsidRPr="00410D33">
                              <w:rPr>
                                <w:rFonts w:ascii="Arial" w:eastAsia="Calibri" w:hAnsi="Arial" w:cs="Arial"/>
                                <w:sz w:val="20"/>
                                <w:szCs w:val="20"/>
                              </w:rPr>
                              <w:t xml:space="preserve">between </w:t>
                            </w:r>
                            <w:r w:rsidRPr="00F42FEC">
                              <w:rPr>
                                <w:rFonts w:ascii="Arial" w:eastAsia="Calibri" w:hAnsi="Arial" w:cs="Arial"/>
                                <w:sz w:val="20"/>
                                <w:szCs w:val="20"/>
                              </w:rPr>
                              <w:t>2019–2021.</w:t>
                            </w:r>
                            <w:r w:rsidRPr="00580F79">
                              <w:rPr>
                                <w:rFonts w:ascii="Arial" w:hAnsi="Arial" w:cs="Arial"/>
                                <w:sz w:val="20"/>
                                <w:szCs w:val="20"/>
                              </w:rPr>
                              <w:t xml:space="preserve"> We employed Kernel Density Estimation (KDE) to determine spatial crime hotspots. We also used Moran’s </w:t>
                            </w:r>
                            <w:r w:rsidRPr="00D01F07">
                              <w:rPr>
                                <w:rFonts w:ascii="Arial" w:hAnsi="Arial" w:cs="Arial"/>
                                <w:i/>
                                <w:iCs/>
                                <w:sz w:val="20"/>
                                <w:szCs w:val="20"/>
                              </w:rPr>
                              <w:t>I</w:t>
                            </w:r>
                            <w:r w:rsidRPr="00580F79">
                              <w:rPr>
                                <w:rFonts w:ascii="Arial" w:hAnsi="Arial" w:cs="Arial"/>
                                <w:sz w:val="20"/>
                                <w:szCs w:val="20"/>
                              </w:rPr>
                              <w:t xml:space="preserve"> statistics to assess spatial autocorrelation in the study. To model temporal variations and predict crime occurrences in the area of study we employed Poisson regression. The findings of the study revealed that drug related offences and interpersonal violence were the most rampant crimes types. </w:t>
                            </w:r>
                            <w:r>
                              <w:rPr>
                                <w:rFonts w:ascii="Arial" w:hAnsi="Arial" w:cs="Arial"/>
                                <w:sz w:val="20"/>
                                <w:szCs w:val="20"/>
                              </w:rPr>
                              <w:t>T</w:t>
                            </w:r>
                            <w:r w:rsidRPr="00580F79">
                              <w:rPr>
                                <w:rFonts w:ascii="Arial" w:hAnsi="Arial" w:cs="Arial"/>
                                <w:sz w:val="20"/>
                                <w:szCs w:val="20"/>
                              </w:rPr>
                              <w:t>he intensity of these activities varied across the sub-counties where Mvita, Kisauni and Likoni came on top as persistent crime hotspots. With these insights the study demonstrated that there is need to incorporate Geographic Information System (GIS) with statistical modelling in understandin</w:t>
                            </w:r>
                            <w:r>
                              <w:rPr>
                                <w:rFonts w:ascii="Arial" w:hAnsi="Arial" w:cs="Arial"/>
                                <w:sz w:val="20"/>
                                <w:szCs w:val="20"/>
                              </w:rPr>
                              <w:t>g localized crime distribution</w:t>
                            </w:r>
                            <w:r w:rsidRPr="009A78C7">
                              <w:rPr>
                                <w:rFonts w:ascii="Arial" w:hAnsi="Arial" w:cs="Arial"/>
                                <w:sz w:val="20"/>
                                <w:szCs w:val="20"/>
                              </w:rPr>
                              <w:t>.</w:t>
                            </w:r>
                            <w:r>
                              <w:rPr>
                                <w:rFonts w:ascii="Arial" w:hAnsi="Arial" w:cs="Arial"/>
                                <w:sz w:val="20"/>
                                <w:szCs w:val="20"/>
                              </w:rPr>
                              <w:t xml:space="preserve"> </w:t>
                            </w:r>
                            <w:r w:rsidRPr="00EE5869">
                              <w:rPr>
                                <w:rFonts w:ascii="Arial" w:hAnsi="Arial" w:cs="Arial"/>
                                <w:sz w:val="20"/>
                                <w:szCs w:val="20"/>
                                <w:highlight w:val="yellow"/>
                              </w:rPr>
                              <w:t xml:space="preserve">The study therefore recommends </w:t>
                            </w:r>
                            <w:r>
                              <w:rPr>
                                <w:rFonts w:ascii="Arial" w:hAnsi="Arial" w:cs="Arial"/>
                                <w:sz w:val="20"/>
                                <w:szCs w:val="20"/>
                                <w:highlight w:val="yellow"/>
                              </w:rPr>
                              <w:t xml:space="preserve">that </w:t>
                            </w:r>
                            <w:r w:rsidRPr="00EE5869">
                              <w:rPr>
                                <w:rFonts w:ascii="Arial" w:hAnsi="Arial" w:cs="Arial"/>
                                <w:sz w:val="20"/>
                                <w:szCs w:val="20"/>
                                <w:highlight w:val="yellow"/>
                              </w:rPr>
                              <w:t>the root cause of the crimes should be identified more</w:t>
                            </w:r>
                            <w:r>
                              <w:rPr>
                                <w:rFonts w:ascii="Arial" w:hAnsi="Arial" w:cs="Arial"/>
                                <w:sz w:val="20"/>
                                <w:szCs w:val="20"/>
                                <w:highlight w:val="yellow"/>
                              </w:rPr>
                              <w:t xml:space="preserve"> </w:t>
                            </w:r>
                            <w:r w:rsidRPr="00EE5869">
                              <w:rPr>
                                <w:rFonts w:ascii="Arial" w:hAnsi="Arial" w:cs="Arial"/>
                                <w:sz w:val="20"/>
                                <w:szCs w:val="20"/>
                                <w:highlight w:val="yellow"/>
                              </w:rPr>
                              <w:t xml:space="preserve">so deployment of police officers, patrols, and surveillance infrastructure in persistent hotspots (e.g., </w:t>
                            </w:r>
                            <w:proofErr w:type="spellStart"/>
                            <w:r w:rsidRPr="00EE5869">
                              <w:rPr>
                                <w:rFonts w:ascii="Arial" w:hAnsi="Arial" w:cs="Arial"/>
                                <w:sz w:val="20"/>
                                <w:szCs w:val="20"/>
                                <w:highlight w:val="yellow"/>
                              </w:rPr>
                              <w:t>Mvita</w:t>
                            </w:r>
                            <w:proofErr w:type="spellEnd"/>
                            <w:r w:rsidRPr="00EE5869">
                              <w:rPr>
                                <w:rFonts w:ascii="Arial" w:hAnsi="Arial" w:cs="Arial"/>
                                <w:sz w:val="20"/>
                                <w:szCs w:val="20"/>
                                <w:highlight w:val="yellow"/>
                              </w:rPr>
                              <w:t xml:space="preserve">, </w:t>
                            </w:r>
                            <w:proofErr w:type="spellStart"/>
                            <w:r w:rsidRPr="00EE5869">
                              <w:rPr>
                                <w:rFonts w:ascii="Arial" w:hAnsi="Arial" w:cs="Arial"/>
                                <w:sz w:val="20"/>
                                <w:szCs w:val="20"/>
                                <w:highlight w:val="yellow"/>
                              </w:rPr>
                              <w:t>Kisauni</w:t>
                            </w:r>
                            <w:proofErr w:type="spellEnd"/>
                            <w:r w:rsidRPr="00EE5869">
                              <w:rPr>
                                <w:rFonts w:ascii="Arial" w:hAnsi="Arial" w:cs="Arial"/>
                                <w:sz w:val="20"/>
                                <w:szCs w:val="20"/>
                                <w:highlight w:val="yellow"/>
                              </w:rPr>
                              <w:t xml:space="preserve">, </w:t>
                            </w:r>
                            <w:proofErr w:type="spellStart"/>
                            <w:r w:rsidRPr="00EE5869">
                              <w:rPr>
                                <w:rFonts w:ascii="Arial" w:hAnsi="Arial" w:cs="Arial"/>
                                <w:sz w:val="20"/>
                                <w:szCs w:val="20"/>
                                <w:highlight w:val="yellow"/>
                              </w:rPr>
                              <w:t>Likoni</w:t>
                            </w:r>
                            <w:proofErr w:type="spellEnd"/>
                            <w:r w:rsidRPr="00EE5869">
                              <w:rPr>
                                <w:rFonts w:ascii="Arial" w:hAnsi="Arial" w:cs="Arial"/>
                                <w:sz w:val="20"/>
                                <w:szCs w:val="20"/>
                                <w:highlight w:val="yellow"/>
                              </w:rPr>
                              <w:t>) should be enhanced.</w:t>
                            </w:r>
                          </w:p>
                          <w:p w14:paraId="4792158C" w14:textId="77777777" w:rsidR="00951B55" w:rsidRDefault="00951B55" w:rsidP="003348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014637" id="_x0000_t202" coordsize="21600,21600" o:spt="202" path="m,l,21600r21600,l21600,xe">
                <v:stroke joinstyle="miter"/>
                <v:path gradientshapeok="t" o:connecttype="rect"/>
              </v:shapetype>
              <v:shape id="Text Box 2" o:spid="_x0000_s1026" type="#_x0000_t202" style="position:absolute;left:0;text-align:left;margin-left:0;margin-top:17pt;width:460.2pt;height:43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" fillcolor="#f2f2f2 [3052]">
                <v:textbox>
                  <w:txbxContent>
                    <w:p w14:paraId="49C4DFCC" w14:textId="4C2FB8A8" w:rsidR="00951B55" w:rsidRPr="00DF3DC2" w:rsidRDefault="00951B55" w:rsidP="00DF3DC2">
                      <w:pPr>
                        <w:autoSpaceDE w:val="0"/>
                        <w:autoSpaceDN w:val="0"/>
                        <w:adjustRightInd w:val="0"/>
                        <w:spacing w:line="360" w:lineRule="auto"/>
                        <w:jc w:val="both"/>
                        <w:rPr>
                          <w:rFonts w:ascii="Arial" w:hAnsi="Arial" w:cs="Arial"/>
                          <w:sz w:val="20"/>
                          <w:szCs w:val="20"/>
                        </w:rPr>
                      </w:pPr>
                      <w:r w:rsidRPr="00F54EC3">
                        <w:rPr>
                          <w:sz w:val="20"/>
                          <w:szCs w:val="20"/>
                        </w:rPr>
                        <w:t xml:space="preserve"> </w:t>
                      </w:r>
                      <w:r w:rsidRPr="00432D8B">
                        <w:rPr>
                          <w:rFonts w:ascii="Arial" w:eastAsia="Calibri" w:hAnsi="Arial" w:cs="Arial"/>
                          <w:sz w:val="20"/>
                          <w:szCs w:val="20"/>
                          <w:highlight w:val="yellow"/>
                        </w:rPr>
                        <w:t>Criminal activities are a pervasive national security threat with far reaching effects on Kenya’s social and economic well-being.</w:t>
                      </w:r>
                      <w:r w:rsidRPr="00580F79">
                        <w:rPr>
                          <w:rFonts w:ascii="Arial" w:eastAsia="Calibri" w:hAnsi="Arial" w:cs="Arial"/>
                          <w:sz w:val="20"/>
                          <w:szCs w:val="20"/>
                        </w:rPr>
                        <w:t xml:space="preserve"> At such, criminal activities in Kenya have increased in both variety, frequency and numbers every year. Such activities span a wide range including petty theft, assault, vandalism, murder, rape, fraud, organized crime, youth gangs, kidnaps, terrorism, radicalization, and other cases. Further, the move to a devolved system of governance brings new threats of crime and violence relating to investment and urbanization of rural centers, as well as new borders and resource conflicts which may manifest in crime.  Analyzing geo-coded crime data provides new insights for designing, allocating, and implementation of data driven crime prevention policies and programs. </w:t>
                      </w:r>
                      <w:r w:rsidRPr="00DF3DC2">
                        <w:rPr>
                          <w:rFonts w:ascii="Arial" w:hAnsi="Arial" w:cs="Arial"/>
                          <w:sz w:val="20"/>
                          <w:szCs w:val="20"/>
                          <w:highlight w:val="yellow"/>
                        </w:rPr>
                        <w:t xml:space="preserve">The main objective of this study is to model crime incident patterns using spatial-temporal techniques across the county with a view of informing crime prevention policy and reducing </w:t>
                      </w:r>
                      <w:r w:rsidRPr="006C3729">
                        <w:rPr>
                          <w:rFonts w:ascii="Arial" w:hAnsi="Arial" w:cs="Arial"/>
                          <w:sz w:val="20"/>
                          <w:szCs w:val="20"/>
                          <w:highlight w:val="yellow"/>
                        </w:rPr>
                        <w:t>violence activities by understanding crime trends.</w:t>
                      </w:r>
                      <w:r>
                        <w:rPr>
                          <w:rFonts w:ascii="Arial" w:hAnsi="Arial" w:cs="Arial"/>
                          <w:sz w:val="20"/>
                          <w:szCs w:val="20"/>
                          <w:highlight w:val="yellow"/>
                        </w:rPr>
                        <w:t xml:space="preserve"> </w:t>
                      </w:r>
                      <w:r w:rsidRPr="006C3729">
                        <w:rPr>
                          <w:rFonts w:ascii="Arial" w:hAnsi="Arial" w:cs="Arial"/>
                          <w:sz w:val="20"/>
                          <w:szCs w:val="20"/>
                          <w:highlight w:val="yellow"/>
                        </w:rPr>
                        <w:t>Datasets from secondary sources were used</w:t>
                      </w:r>
                      <w:r>
                        <w:rPr>
                          <w:rFonts w:ascii="Arial" w:hAnsi="Arial" w:cs="Arial"/>
                          <w:sz w:val="20"/>
                          <w:szCs w:val="20"/>
                        </w:rPr>
                        <w:t xml:space="preserve"> (</w:t>
                      </w:r>
                      <w:r w:rsidRPr="006C3729">
                        <w:rPr>
                          <w:rFonts w:ascii="Arial" w:hAnsi="Arial" w:cs="Arial"/>
                          <w:sz w:val="20"/>
                          <w:szCs w:val="20"/>
                          <w:highlight w:val="yellow"/>
                        </w:rPr>
                        <w:t xml:space="preserve">Kenya </w:t>
                      </w:r>
                      <w:r>
                        <w:rPr>
                          <w:rFonts w:ascii="Arial" w:hAnsi="Arial" w:cs="Arial"/>
                          <w:sz w:val="20"/>
                          <w:szCs w:val="20"/>
                          <w:highlight w:val="yellow"/>
                        </w:rPr>
                        <w:t>P</w:t>
                      </w:r>
                      <w:r w:rsidRPr="006C3729">
                        <w:rPr>
                          <w:rFonts w:ascii="Arial" w:hAnsi="Arial" w:cs="Arial"/>
                          <w:sz w:val="20"/>
                          <w:szCs w:val="20"/>
                          <w:highlight w:val="yellow"/>
                        </w:rPr>
                        <w:t xml:space="preserve">olice </w:t>
                      </w:r>
                      <w:r>
                        <w:rPr>
                          <w:rFonts w:ascii="Arial" w:hAnsi="Arial" w:cs="Arial"/>
                          <w:sz w:val="20"/>
                          <w:szCs w:val="20"/>
                          <w:highlight w:val="yellow"/>
                        </w:rPr>
                        <w:t>Sub County S</w:t>
                      </w:r>
                      <w:r w:rsidRPr="006C3729">
                        <w:rPr>
                          <w:rFonts w:ascii="Arial" w:hAnsi="Arial" w:cs="Arial"/>
                          <w:sz w:val="20"/>
                          <w:szCs w:val="20"/>
                          <w:highlight w:val="yellow"/>
                        </w:rPr>
                        <w:t>tations)</w:t>
                      </w:r>
                      <w:r>
                        <w:rPr>
                          <w:rFonts w:ascii="Arial" w:hAnsi="Arial" w:cs="Arial"/>
                          <w:sz w:val="20"/>
                          <w:szCs w:val="20"/>
                        </w:rPr>
                        <w:t>.</w:t>
                      </w:r>
                    </w:p>
                    <w:p w14:paraId="4BC10964" w14:textId="31CC90A7" w:rsidR="00951B55" w:rsidRPr="00580F79" w:rsidRDefault="00951B55" w:rsidP="00DF3DC2">
                      <w:pPr>
                        <w:spacing w:line="360" w:lineRule="auto"/>
                        <w:jc w:val="both"/>
                        <w:rPr>
                          <w:rFonts w:ascii="Arial" w:hAnsi="Arial" w:cs="Arial"/>
                          <w:sz w:val="20"/>
                          <w:szCs w:val="20"/>
                        </w:rPr>
                      </w:pPr>
                      <w:r w:rsidRPr="00580F79">
                        <w:rPr>
                          <w:rFonts w:ascii="Arial" w:eastAsia="Calibri" w:hAnsi="Arial" w:cs="Arial"/>
                          <w:sz w:val="20"/>
                          <w:szCs w:val="20"/>
                        </w:rPr>
                        <w:t xml:space="preserve">This study will apply statistical models and data science approaches to identify crime-general and crime-specific hotspots in Mombasa County in Kenya </w:t>
                      </w:r>
                      <w:r w:rsidRPr="00410D33">
                        <w:rPr>
                          <w:rFonts w:ascii="Arial" w:eastAsia="Calibri" w:hAnsi="Arial" w:cs="Arial"/>
                          <w:sz w:val="20"/>
                          <w:szCs w:val="20"/>
                        </w:rPr>
                        <w:t xml:space="preserve">between </w:t>
                      </w:r>
                      <w:r w:rsidRPr="00F42FEC">
                        <w:rPr>
                          <w:rFonts w:ascii="Arial" w:eastAsia="Calibri" w:hAnsi="Arial" w:cs="Arial"/>
                          <w:sz w:val="20"/>
                          <w:szCs w:val="20"/>
                        </w:rPr>
                        <w:t>2019–2021.</w:t>
                      </w:r>
                      <w:r w:rsidRPr="00580F79">
                        <w:rPr>
                          <w:rFonts w:ascii="Arial" w:hAnsi="Arial" w:cs="Arial"/>
                          <w:sz w:val="20"/>
                          <w:szCs w:val="20"/>
                        </w:rPr>
                        <w:t xml:space="preserve"> We employed Kernel Density Estimation (KDE) to determine spatial crime hotspots. We also used Moran’s </w:t>
                      </w:r>
                      <w:r w:rsidRPr="00D01F07">
                        <w:rPr>
                          <w:rFonts w:ascii="Arial" w:hAnsi="Arial" w:cs="Arial"/>
                          <w:i/>
                          <w:iCs/>
                          <w:sz w:val="20"/>
                          <w:szCs w:val="20"/>
                        </w:rPr>
                        <w:t>I</w:t>
                      </w:r>
                      <w:r w:rsidRPr="00580F79">
                        <w:rPr>
                          <w:rFonts w:ascii="Arial" w:hAnsi="Arial" w:cs="Arial"/>
                          <w:sz w:val="20"/>
                          <w:szCs w:val="20"/>
                        </w:rPr>
                        <w:t xml:space="preserve"> statistics to assess spatial autocorrelation in the study. To model temporal variations and predict crime occurrences in the area of study we employed Poisson regression. The findings of the study revealed that drug related offences and interpersonal violence were the most rampant crimes types. </w:t>
                      </w:r>
                      <w:r>
                        <w:rPr>
                          <w:rFonts w:ascii="Arial" w:hAnsi="Arial" w:cs="Arial"/>
                          <w:sz w:val="20"/>
                          <w:szCs w:val="20"/>
                        </w:rPr>
                        <w:t>T</w:t>
                      </w:r>
                      <w:r w:rsidRPr="00580F79">
                        <w:rPr>
                          <w:rFonts w:ascii="Arial" w:hAnsi="Arial" w:cs="Arial"/>
                          <w:sz w:val="20"/>
                          <w:szCs w:val="20"/>
                        </w:rPr>
                        <w:t>he intensity of these activities varied across the sub-counties where Mvita, Kisauni and Likoni came on top as persistent crime hotspots. With these insights the study demonstrated that there is need to incorporate Geographic Information System (GIS) with statistical modelling in understandin</w:t>
                      </w:r>
                      <w:r>
                        <w:rPr>
                          <w:rFonts w:ascii="Arial" w:hAnsi="Arial" w:cs="Arial"/>
                          <w:sz w:val="20"/>
                          <w:szCs w:val="20"/>
                        </w:rPr>
                        <w:t>g localized crime distribution</w:t>
                      </w:r>
                      <w:r w:rsidRPr="009A78C7">
                        <w:rPr>
                          <w:rFonts w:ascii="Arial" w:hAnsi="Arial" w:cs="Arial"/>
                          <w:sz w:val="20"/>
                          <w:szCs w:val="20"/>
                        </w:rPr>
                        <w:t>.</w:t>
                      </w:r>
                      <w:r>
                        <w:rPr>
                          <w:rFonts w:ascii="Arial" w:hAnsi="Arial" w:cs="Arial"/>
                          <w:sz w:val="20"/>
                          <w:szCs w:val="20"/>
                        </w:rPr>
                        <w:t xml:space="preserve"> </w:t>
                      </w:r>
                      <w:r w:rsidRPr="00EE5869">
                        <w:rPr>
                          <w:rFonts w:ascii="Arial" w:hAnsi="Arial" w:cs="Arial"/>
                          <w:sz w:val="20"/>
                          <w:szCs w:val="20"/>
                          <w:highlight w:val="yellow"/>
                        </w:rPr>
                        <w:t xml:space="preserve">The study therefore recommends </w:t>
                      </w:r>
                      <w:r>
                        <w:rPr>
                          <w:rFonts w:ascii="Arial" w:hAnsi="Arial" w:cs="Arial"/>
                          <w:sz w:val="20"/>
                          <w:szCs w:val="20"/>
                          <w:highlight w:val="yellow"/>
                        </w:rPr>
                        <w:t xml:space="preserve">that </w:t>
                      </w:r>
                      <w:r w:rsidRPr="00EE5869">
                        <w:rPr>
                          <w:rFonts w:ascii="Arial" w:hAnsi="Arial" w:cs="Arial"/>
                          <w:sz w:val="20"/>
                          <w:szCs w:val="20"/>
                          <w:highlight w:val="yellow"/>
                        </w:rPr>
                        <w:t>the root cause of the crimes should be identified more</w:t>
                      </w:r>
                      <w:r>
                        <w:rPr>
                          <w:rFonts w:ascii="Arial" w:hAnsi="Arial" w:cs="Arial"/>
                          <w:sz w:val="20"/>
                          <w:szCs w:val="20"/>
                          <w:highlight w:val="yellow"/>
                        </w:rPr>
                        <w:t xml:space="preserve"> </w:t>
                      </w:r>
                      <w:r w:rsidRPr="00EE5869">
                        <w:rPr>
                          <w:rFonts w:ascii="Arial" w:hAnsi="Arial" w:cs="Arial"/>
                          <w:sz w:val="20"/>
                          <w:szCs w:val="20"/>
                          <w:highlight w:val="yellow"/>
                        </w:rPr>
                        <w:t xml:space="preserve">so deployment of police officers, patrols, and surveillance infrastructure in persistent hotspots (e.g., </w:t>
                      </w:r>
                      <w:proofErr w:type="spellStart"/>
                      <w:r w:rsidRPr="00EE5869">
                        <w:rPr>
                          <w:rFonts w:ascii="Arial" w:hAnsi="Arial" w:cs="Arial"/>
                          <w:sz w:val="20"/>
                          <w:szCs w:val="20"/>
                          <w:highlight w:val="yellow"/>
                        </w:rPr>
                        <w:t>Mvita</w:t>
                      </w:r>
                      <w:proofErr w:type="spellEnd"/>
                      <w:r w:rsidRPr="00EE5869">
                        <w:rPr>
                          <w:rFonts w:ascii="Arial" w:hAnsi="Arial" w:cs="Arial"/>
                          <w:sz w:val="20"/>
                          <w:szCs w:val="20"/>
                          <w:highlight w:val="yellow"/>
                        </w:rPr>
                        <w:t xml:space="preserve">, </w:t>
                      </w:r>
                      <w:proofErr w:type="spellStart"/>
                      <w:r w:rsidRPr="00EE5869">
                        <w:rPr>
                          <w:rFonts w:ascii="Arial" w:hAnsi="Arial" w:cs="Arial"/>
                          <w:sz w:val="20"/>
                          <w:szCs w:val="20"/>
                          <w:highlight w:val="yellow"/>
                        </w:rPr>
                        <w:t>Kisauni</w:t>
                      </w:r>
                      <w:proofErr w:type="spellEnd"/>
                      <w:r w:rsidRPr="00EE5869">
                        <w:rPr>
                          <w:rFonts w:ascii="Arial" w:hAnsi="Arial" w:cs="Arial"/>
                          <w:sz w:val="20"/>
                          <w:szCs w:val="20"/>
                          <w:highlight w:val="yellow"/>
                        </w:rPr>
                        <w:t xml:space="preserve">, </w:t>
                      </w:r>
                      <w:proofErr w:type="spellStart"/>
                      <w:r w:rsidRPr="00EE5869">
                        <w:rPr>
                          <w:rFonts w:ascii="Arial" w:hAnsi="Arial" w:cs="Arial"/>
                          <w:sz w:val="20"/>
                          <w:szCs w:val="20"/>
                          <w:highlight w:val="yellow"/>
                        </w:rPr>
                        <w:t>Likoni</w:t>
                      </w:r>
                      <w:proofErr w:type="spellEnd"/>
                      <w:r w:rsidRPr="00EE5869">
                        <w:rPr>
                          <w:rFonts w:ascii="Arial" w:hAnsi="Arial" w:cs="Arial"/>
                          <w:sz w:val="20"/>
                          <w:szCs w:val="20"/>
                          <w:highlight w:val="yellow"/>
                        </w:rPr>
                        <w:t>) should be enhanced.</w:t>
                      </w:r>
                    </w:p>
                    <w:p w14:paraId="4792158C" w14:textId="77777777" w:rsidR="00951B55" w:rsidRDefault="00951B55" w:rsidP="003348C3"/>
                  </w:txbxContent>
                </v:textbox>
                <w10:wrap type="square" anchorx="margin"/>
              </v:shape>
            </w:pict>
          </mc:Fallback>
        </mc:AlternateContent>
      </w:r>
      <w:r w:rsidRPr="009A78C7">
        <w:rPr>
          <w:rFonts w:ascii="Arial" w:hAnsi="Arial" w:cs="Arial"/>
          <w:b/>
          <w:bCs/>
          <w:iCs/>
        </w:rPr>
        <w:t>ABSTRACT</w:t>
      </w:r>
    </w:p>
    <w:p w14:paraId="45012D9F" w14:textId="6091429A" w:rsidR="003348C3" w:rsidRDefault="003348C3" w:rsidP="003348C3">
      <w:pPr>
        <w:tabs>
          <w:tab w:val="left" w:pos="1095"/>
        </w:tabs>
        <w:rPr>
          <w:rFonts w:ascii="Arial" w:hAnsi="Arial" w:cs="Arial"/>
          <w:b/>
          <w:bCs/>
          <w:sz w:val="22"/>
          <w:szCs w:val="22"/>
        </w:rPr>
        <w:sectPr w:rsidR="003348C3">
          <w:pgSz w:w="12240" w:h="15840"/>
          <w:pgMar w:top="1440" w:right="1440" w:bottom="1440" w:left="1440" w:header="720" w:footer="720" w:gutter="0"/>
          <w:cols w:space="720"/>
          <w:docGrid w:linePitch="360"/>
        </w:sectPr>
      </w:pPr>
      <w:r w:rsidRPr="003210B2">
        <w:rPr>
          <w:rFonts w:ascii="Arial" w:hAnsi="Arial" w:cs="Arial"/>
          <w:i/>
          <w:sz w:val="20"/>
          <w:szCs w:val="20"/>
        </w:rPr>
        <w:t xml:space="preserve">Keywords: Crime </w:t>
      </w:r>
      <w:r w:rsidR="00CF7837">
        <w:rPr>
          <w:rFonts w:ascii="Arial" w:hAnsi="Arial" w:cs="Arial"/>
          <w:i/>
          <w:sz w:val="20"/>
          <w:szCs w:val="20"/>
        </w:rPr>
        <w:t>Trends</w:t>
      </w:r>
      <w:r w:rsidRPr="003210B2">
        <w:rPr>
          <w:rFonts w:ascii="Arial" w:hAnsi="Arial" w:cs="Arial"/>
          <w:i/>
          <w:sz w:val="20"/>
          <w:szCs w:val="20"/>
        </w:rPr>
        <w:t xml:space="preserve">, </w:t>
      </w:r>
      <w:r w:rsidR="00A92F97">
        <w:rPr>
          <w:rFonts w:ascii="Arial" w:hAnsi="Arial" w:cs="Arial"/>
          <w:i/>
          <w:sz w:val="20"/>
          <w:szCs w:val="20"/>
        </w:rPr>
        <w:t xml:space="preserve">Crime </w:t>
      </w:r>
      <w:r w:rsidR="00A852EF">
        <w:rPr>
          <w:rFonts w:ascii="Arial" w:hAnsi="Arial" w:cs="Arial"/>
          <w:i/>
          <w:sz w:val="20"/>
          <w:szCs w:val="20"/>
        </w:rPr>
        <w:t>H</w:t>
      </w:r>
      <w:r w:rsidR="00A92F97">
        <w:rPr>
          <w:rFonts w:ascii="Arial" w:hAnsi="Arial" w:cs="Arial"/>
          <w:i/>
          <w:sz w:val="20"/>
          <w:szCs w:val="20"/>
        </w:rPr>
        <w:t xml:space="preserve">otspots, </w:t>
      </w:r>
      <w:r w:rsidRPr="003210B2">
        <w:rPr>
          <w:rFonts w:ascii="Arial" w:hAnsi="Arial" w:cs="Arial"/>
          <w:i/>
          <w:sz w:val="20"/>
          <w:szCs w:val="20"/>
        </w:rPr>
        <w:t xml:space="preserve">Mombasa County, </w:t>
      </w:r>
      <w:r w:rsidR="00917733" w:rsidRPr="003210B2">
        <w:rPr>
          <w:rFonts w:ascii="Arial" w:hAnsi="Arial" w:cs="Arial"/>
          <w:i/>
          <w:sz w:val="20"/>
          <w:szCs w:val="20"/>
        </w:rPr>
        <w:t>GIS,</w:t>
      </w:r>
      <w:r w:rsidR="00917733">
        <w:rPr>
          <w:rFonts w:ascii="Arial" w:hAnsi="Arial" w:cs="Arial"/>
          <w:i/>
          <w:sz w:val="20"/>
          <w:szCs w:val="20"/>
        </w:rPr>
        <w:t xml:space="preserve"> </w:t>
      </w:r>
      <w:r w:rsidRPr="003210B2">
        <w:rPr>
          <w:rFonts w:ascii="Arial" w:hAnsi="Arial" w:cs="Arial"/>
          <w:i/>
          <w:sz w:val="20"/>
          <w:szCs w:val="20"/>
        </w:rPr>
        <w:t>Spatio-Temporal Modellin</w:t>
      </w:r>
      <w:r w:rsidR="006A456A">
        <w:rPr>
          <w:rFonts w:ascii="Arial" w:hAnsi="Arial" w:cs="Arial"/>
          <w:i/>
          <w:sz w:val="20"/>
          <w:szCs w:val="20"/>
        </w:rPr>
        <w:t>g</w:t>
      </w:r>
    </w:p>
    <w:p w14:paraId="59400194" w14:textId="510F50E2" w:rsidR="003348C3" w:rsidRPr="002C79DF" w:rsidRDefault="003348C3" w:rsidP="003348C3">
      <w:pPr>
        <w:tabs>
          <w:tab w:val="left" w:pos="1095"/>
        </w:tabs>
        <w:rPr>
          <w:rFonts w:ascii="Arial" w:hAnsi="Arial" w:cs="Arial"/>
          <w:b/>
          <w:bCs/>
          <w:sz w:val="22"/>
          <w:szCs w:val="22"/>
        </w:rPr>
      </w:pPr>
      <w:r>
        <w:rPr>
          <w:rFonts w:ascii="Arial" w:hAnsi="Arial" w:cs="Arial"/>
          <w:b/>
          <w:bCs/>
          <w:sz w:val="22"/>
          <w:szCs w:val="22"/>
        </w:rPr>
        <w:lastRenderedPageBreak/>
        <w:t xml:space="preserve">1. </w:t>
      </w:r>
      <w:r w:rsidRPr="002C79DF">
        <w:rPr>
          <w:rFonts w:ascii="Arial" w:hAnsi="Arial" w:cs="Arial"/>
          <w:b/>
          <w:bCs/>
          <w:sz w:val="22"/>
          <w:szCs w:val="22"/>
        </w:rPr>
        <w:t>INTRODUCTION</w:t>
      </w:r>
    </w:p>
    <w:p w14:paraId="147B2A69" w14:textId="0CBFB50B" w:rsidR="00C712AF" w:rsidRPr="00F42FEC" w:rsidRDefault="00C712AF" w:rsidP="00F42FEC">
      <w:pPr>
        <w:jc w:val="both"/>
        <w:rPr>
          <w:rFonts w:ascii="Arial" w:hAnsi="Arial" w:cs="Arial"/>
          <w:sz w:val="20"/>
          <w:szCs w:val="20"/>
        </w:rPr>
      </w:pPr>
      <w:r w:rsidRPr="00F42FEC">
        <w:rPr>
          <w:rFonts w:ascii="Arial" w:hAnsi="Arial" w:cs="Arial"/>
          <w:sz w:val="20"/>
          <w:szCs w:val="20"/>
        </w:rPr>
        <w:t xml:space="preserve">Crime remains a pressing global concern due to its disruptive effects on peace, social cohesion, and economic development </w:t>
      </w:r>
      <w:r w:rsidR="002B1555" w:rsidRPr="00F42FEC">
        <w:rPr>
          <w:rFonts w:ascii="Arial" w:hAnsi="Arial" w:cs="Arial"/>
          <w:sz w:val="20"/>
          <w:szCs w:val="20"/>
        </w:rPr>
        <w:t>(Nilsson, 2021)</w:t>
      </w:r>
      <w:r w:rsidRPr="00F42FEC">
        <w:rPr>
          <w:rFonts w:ascii="Arial" w:hAnsi="Arial" w:cs="Arial"/>
          <w:sz w:val="20"/>
          <w:szCs w:val="20"/>
        </w:rPr>
        <w:t>.</w:t>
      </w:r>
      <w:r w:rsidR="002B1555" w:rsidRPr="00F42FEC" w:rsidDel="002B1555">
        <w:rPr>
          <w:rFonts w:ascii="Arial" w:hAnsi="Arial" w:cs="Arial"/>
          <w:sz w:val="20"/>
          <w:szCs w:val="20"/>
        </w:rPr>
        <w:t xml:space="preserve"> </w:t>
      </w:r>
      <w:r w:rsidR="005D587E" w:rsidRPr="00F42FEC">
        <w:rPr>
          <w:rFonts w:ascii="Arial" w:hAnsi="Arial" w:cs="Arial"/>
          <w:sz w:val="20"/>
          <w:szCs w:val="20"/>
        </w:rPr>
        <w:t>I</w:t>
      </w:r>
      <w:r w:rsidRPr="00F42FEC">
        <w:rPr>
          <w:rFonts w:ascii="Arial" w:hAnsi="Arial" w:cs="Arial"/>
          <w:sz w:val="20"/>
          <w:szCs w:val="20"/>
        </w:rPr>
        <w:t>t poses an evolving challenge to governments, law enforcement agencies, and communities. In urban settings</w:t>
      </w:r>
      <w:r w:rsidR="002B1555" w:rsidRPr="00F42FEC">
        <w:rPr>
          <w:rFonts w:ascii="Arial" w:hAnsi="Arial" w:cs="Arial"/>
          <w:sz w:val="20"/>
          <w:szCs w:val="20"/>
        </w:rPr>
        <w:t xml:space="preserve"> </w:t>
      </w:r>
      <w:r w:rsidRPr="00F42FEC">
        <w:rPr>
          <w:rFonts w:ascii="Arial" w:hAnsi="Arial" w:cs="Arial"/>
          <w:sz w:val="20"/>
          <w:szCs w:val="20"/>
        </w:rPr>
        <w:t>where rapid urbanization, demographic transitions, socio-economic inequalities, and weak institutional capacity converge</w:t>
      </w:r>
      <w:r w:rsidR="00E15A65" w:rsidRPr="00F42FEC">
        <w:rPr>
          <w:rFonts w:ascii="Arial" w:hAnsi="Arial" w:cs="Arial"/>
          <w:sz w:val="20"/>
          <w:szCs w:val="20"/>
        </w:rPr>
        <w:t xml:space="preserve"> </w:t>
      </w:r>
      <w:r w:rsidRPr="00F42FEC">
        <w:rPr>
          <w:rFonts w:ascii="Arial" w:hAnsi="Arial" w:cs="Arial"/>
          <w:sz w:val="20"/>
          <w:szCs w:val="20"/>
        </w:rPr>
        <w:t>the risk of crime is amplified</w:t>
      </w:r>
      <w:r w:rsidR="005D587E" w:rsidRPr="00F42FEC">
        <w:rPr>
          <w:rFonts w:ascii="Arial" w:hAnsi="Arial" w:cs="Arial"/>
          <w:sz w:val="20"/>
          <w:szCs w:val="20"/>
        </w:rPr>
        <w:t xml:space="preserve"> </w:t>
      </w:r>
      <w:r w:rsidR="005D587E" w:rsidRPr="00F42FEC">
        <w:rPr>
          <w:rFonts w:ascii="Arial" w:hAnsi="Arial" w:cs="Arial"/>
          <w:noProof/>
          <w:sz w:val="20"/>
          <w:szCs w:val="20"/>
        </w:rPr>
        <w:t>(Yar &amp; Nasir, 2016)</w:t>
      </w:r>
      <w:r w:rsidRPr="00F42FEC">
        <w:rPr>
          <w:rFonts w:ascii="Arial" w:hAnsi="Arial" w:cs="Arial"/>
          <w:sz w:val="20"/>
          <w:szCs w:val="20"/>
        </w:rPr>
        <w:t>. These conditions often foster an environment conducive to criminal behavior, particularly in marginalized neighborhoods marked by racial segregation, environmental stressors, and concentrated disadvantage (Mansourihanis et al., 2025). Criminal activity encompasses a wide range of unlawful behaviors, including theft, assault, drug trafficking, fraud, vandalism, and terrorism. Such offenses erode public trust in institutions, deter investment, and instill fear</w:t>
      </w:r>
      <w:r w:rsidR="00E15A65" w:rsidRPr="00F42FEC">
        <w:rPr>
          <w:rFonts w:ascii="Arial" w:hAnsi="Arial" w:cs="Arial"/>
          <w:sz w:val="20"/>
          <w:szCs w:val="20"/>
        </w:rPr>
        <w:t xml:space="preserve"> </w:t>
      </w:r>
      <w:r w:rsidRPr="00F42FEC">
        <w:rPr>
          <w:rFonts w:ascii="Arial" w:hAnsi="Arial" w:cs="Arial"/>
          <w:sz w:val="20"/>
          <w:szCs w:val="20"/>
        </w:rPr>
        <w:t xml:space="preserve">especially among vulnerable groups in society </w:t>
      </w:r>
      <w:r w:rsidR="002B1555" w:rsidRPr="00F42FEC">
        <w:rPr>
          <w:rFonts w:ascii="Arial" w:hAnsi="Arial" w:cs="Arial"/>
          <w:sz w:val="20"/>
          <w:szCs w:val="20"/>
        </w:rPr>
        <w:t>(Lamond, 2007)</w:t>
      </w:r>
      <w:r w:rsidRPr="00F42FEC">
        <w:rPr>
          <w:rFonts w:ascii="Arial" w:hAnsi="Arial" w:cs="Arial"/>
          <w:sz w:val="20"/>
          <w:szCs w:val="20"/>
        </w:rPr>
        <w:t>. As such, understanding the spatial and temporal dimensions of crime is crucial to designing effective urban policies and ensuring public safety. Globally, crime trends are influenced by both structural and episodic factors</w:t>
      </w:r>
      <w:r w:rsidR="005A380B" w:rsidRPr="00F42FEC">
        <w:rPr>
          <w:rFonts w:ascii="Arial" w:hAnsi="Arial" w:cs="Arial"/>
          <w:sz w:val="20"/>
          <w:szCs w:val="20"/>
        </w:rPr>
        <w:t xml:space="preserve"> </w:t>
      </w:r>
      <w:r w:rsidR="005A380B" w:rsidRPr="00F42FEC">
        <w:rPr>
          <w:rFonts w:ascii="Arial" w:hAnsi="Arial" w:cs="Arial"/>
          <w:noProof/>
          <w:sz w:val="20"/>
          <w:szCs w:val="20"/>
        </w:rPr>
        <w:t>(Wang et al, 2013)</w:t>
      </w:r>
      <w:r w:rsidRPr="00F42FEC">
        <w:rPr>
          <w:rFonts w:ascii="Arial" w:hAnsi="Arial" w:cs="Arial"/>
          <w:sz w:val="20"/>
          <w:szCs w:val="20"/>
        </w:rPr>
        <w:t>. For instance, the United States recorded a 30% surge in murder rates in 2020, attributed largely to gun violence and socio-economic stressors linked to the COVID-19 pandemic</w:t>
      </w:r>
      <w:r w:rsidR="002B1555" w:rsidRPr="00F42FEC">
        <w:rPr>
          <w:rFonts w:ascii="Arial" w:hAnsi="Arial" w:cs="Arial"/>
          <w:sz w:val="20"/>
          <w:szCs w:val="20"/>
        </w:rPr>
        <w:t xml:space="preserve"> (Grawert et al,.2021)</w:t>
      </w:r>
      <w:r w:rsidRPr="00F42FEC">
        <w:rPr>
          <w:rFonts w:ascii="Arial" w:hAnsi="Arial" w:cs="Arial"/>
          <w:sz w:val="20"/>
          <w:szCs w:val="20"/>
        </w:rPr>
        <w:t xml:space="preserve">. While global crime rates had shown a general decline between 2017 and 2019, they spiked again in 2020 due to the pandemic's social and economic </w:t>
      </w:r>
      <w:r w:rsidR="005D587E" w:rsidRPr="00F42FEC">
        <w:rPr>
          <w:rFonts w:ascii="Arial" w:hAnsi="Arial" w:cs="Arial"/>
          <w:sz w:val="20"/>
          <w:szCs w:val="20"/>
        </w:rPr>
        <w:t>disruptions (</w:t>
      </w:r>
      <w:r w:rsidR="002B1555" w:rsidRPr="00F42FEC">
        <w:rPr>
          <w:rFonts w:ascii="Arial" w:hAnsi="Arial" w:cs="Arial"/>
          <w:sz w:val="20"/>
          <w:szCs w:val="20"/>
        </w:rPr>
        <w:t>Perez, 2022)</w:t>
      </w:r>
      <w:r w:rsidRPr="00F42FEC">
        <w:rPr>
          <w:rFonts w:ascii="Arial" w:hAnsi="Arial" w:cs="Arial"/>
          <w:sz w:val="20"/>
          <w:szCs w:val="20"/>
        </w:rPr>
        <w:t xml:space="preserve">. In African cities such as Nairobi, Johannesburg, and Lagos, the rise of gender-based violence, cybercrime, and organized crime has been fueled by governance deficits, rapid urban expansion, and widespread youth </w:t>
      </w:r>
      <w:r w:rsidR="005D587E" w:rsidRPr="00F42FEC">
        <w:rPr>
          <w:rFonts w:ascii="Arial" w:hAnsi="Arial" w:cs="Arial"/>
          <w:sz w:val="20"/>
          <w:szCs w:val="20"/>
        </w:rPr>
        <w:t>unemployment (</w:t>
      </w:r>
      <w:r w:rsidR="00737A06" w:rsidRPr="00F42FEC">
        <w:rPr>
          <w:rFonts w:ascii="Arial" w:hAnsi="Arial" w:cs="Arial"/>
          <w:sz w:val="20"/>
          <w:szCs w:val="20"/>
        </w:rPr>
        <w:t>Akanmu et al,.2021</w:t>
      </w:r>
      <w:r w:rsidR="005A380B" w:rsidRPr="00F42FEC">
        <w:rPr>
          <w:rFonts w:ascii="Arial" w:hAnsi="Arial" w:cs="Arial"/>
          <w:sz w:val="20"/>
          <w:szCs w:val="20"/>
        </w:rPr>
        <w:t>;</w:t>
      </w:r>
      <w:r w:rsidR="00737A06" w:rsidRPr="00F42FEC">
        <w:rPr>
          <w:rFonts w:ascii="Arial" w:hAnsi="Arial" w:cs="Arial"/>
          <w:sz w:val="20"/>
          <w:szCs w:val="20"/>
        </w:rPr>
        <w:t xml:space="preserve"> Danjuma, 2023)</w:t>
      </w:r>
      <w:r w:rsidRPr="00F42FEC">
        <w:rPr>
          <w:rFonts w:ascii="Arial" w:hAnsi="Arial" w:cs="Arial"/>
          <w:sz w:val="20"/>
          <w:szCs w:val="20"/>
        </w:rPr>
        <w:t>. In Kenya, crime has exhibited both an upward trajectory and increasing diversity in form</w:t>
      </w:r>
      <w:r w:rsidR="00E15A65">
        <w:rPr>
          <w:rFonts w:ascii="Arial" w:hAnsi="Arial" w:cs="Arial"/>
          <w:sz w:val="20"/>
          <w:szCs w:val="20"/>
        </w:rPr>
        <w:t xml:space="preserve"> </w:t>
      </w:r>
      <w:r w:rsidRPr="00F42FEC">
        <w:rPr>
          <w:rFonts w:ascii="Arial" w:hAnsi="Arial" w:cs="Arial"/>
          <w:sz w:val="20"/>
          <w:szCs w:val="20"/>
        </w:rPr>
        <w:t xml:space="preserve">particularly in urban </w:t>
      </w:r>
      <w:r w:rsidR="004E3CE7" w:rsidRPr="00F42FEC">
        <w:rPr>
          <w:rFonts w:ascii="Arial" w:hAnsi="Arial" w:cs="Arial"/>
          <w:sz w:val="20"/>
          <w:szCs w:val="20"/>
        </w:rPr>
        <w:t>counties</w:t>
      </w:r>
      <w:r w:rsidR="004E3CE7" w:rsidRPr="00F42FEC">
        <w:rPr>
          <w:rFonts w:ascii="Arial" w:hAnsi="Arial" w:cs="Arial"/>
          <w:noProof/>
          <w:sz w:val="20"/>
          <w:szCs w:val="20"/>
        </w:rPr>
        <w:t xml:space="preserve"> (Baraka, 2023)</w:t>
      </w:r>
      <w:r w:rsidRPr="00F42FEC">
        <w:rPr>
          <w:rFonts w:ascii="Arial" w:hAnsi="Arial" w:cs="Arial"/>
          <w:sz w:val="20"/>
          <w:szCs w:val="20"/>
        </w:rPr>
        <w:t>. Data from the Kenya National Bureau of Statistics (KNBS) and the National Police Service (NPS) show frequent incidences of homicide, drug possession, robbery with violence, and theft, especially in informal settlements. Mombasa County, the country’s second-largest urban hub and a strategic node for transportation, trade, and tourism, has emerged as a notable crime hotspot. High levels of income inequality, unemployment, drug abuse, and inadequate infrastructure</w:t>
      </w:r>
      <w:r w:rsidR="00E15A65">
        <w:rPr>
          <w:rFonts w:ascii="Arial" w:hAnsi="Arial" w:cs="Arial"/>
          <w:sz w:val="20"/>
          <w:szCs w:val="20"/>
        </w:rPr>
        <w:t xml:space="preserve"> </w:t>
      </w:r>
      <w:r w:rsidRPr="00F42FEC">
        <w:rPr>
          <w:rFonts w:ascii="Arial" w:hAnsi="Arial" w:cs="Arial"/>
          <w:sz w:val="20"/>
          <w:szCs w:val="20"/>
        </w:rPr>
        <w:t>particularly in areas such as Likoni, Majengo, and Bangladesh</w:t>
      </w:r>
      <w:r w:rsidR="00E15A65">
        <w:rPr>
          <w:rFonts w:ascii="Arial" w:hAnsi="Arial" w:cs="Arial"/>
          <w:sz w:val="20"/>
          <w:szCs w:val="20"/>
        </w:rPr>
        <w:t xml:space="preserve"> </w:t>
      </w:r>
      <w:r w:rsidRPr="00F42FEC">
        <w:rPr>
          <w:rFonts w:ascii="Arial" w:hAnsi="Arial" w:cs="Arial"/>
          <w:sz w:val="20"/>
          <w:szCs w:val="20"/>
        </w:rPr>
        <w:t xml:space="preserve">are major contributors to this </w:t>
      </w:r>
      <w:r w:rsidR="005D587E" w:rsidRPr="00F42FEC">
        <w:rPr>
          <w:rFonts w:ascii="Arial" w:hAnsi="Arial" w:cs="Arial"/>
          <w:sz w:val="20"/>
          <w:szCs w:val="20"/>
        </w:rPr>
        <w:t>trend (</w:t>
      </w:r>
      <w:r w:rsidR="00737A06" w:rsidRPr="00F42FEC">
        <w:rPr>
          <w:rFonts w:ascii="Arial" w:hAnsi="Arial" w:cs="Arial"/>
          <w:sz w:val="20"/>
          <w:szCs w:val="20"/>
        </w:rPr>
        <w:t>Aronson, 2010</w:t>
      </w:r>
      <w:r w:rsidR="00E15A65" w:rsidRPr="00F42FEC">
        <w:rPr>
          <w:rFonts w:ascii="Arial" w:hAnsi="Arial" w:cs="Arial"/>
          <w:sz w:val="20"/>
          <w:szCs w:val="20"/>
        </w:rPr>
        <w:t>;</w:t>
      </w:r>
      <w:r w:rsidR="00737A06" w:rsidRPr="00F42FEC">
        <w:rPr>
          <w:rFonts w:ascii="Arial" w:hAnsi="Arial" w:cs="Arial"/>
          <w:sz w:val="20"/>
          <w:szCs w:val="20"/>
        </w:rPr>
        <w:t xml:space="preserve"> Badurdeen, 2023)</w:t>
      </w:r>
      <w:r w:rsidRPr="00F42FEC">
        <w:rPr>
          <w:rFonts w:ascii="Arial" w:hAnsi="Arial" w:cs="Arial"/>
          <w:sz w:val="20"/>
          <w:szCs w:val="20"/>
        </w:rPr>
        <w:t>. Despite ongoing interventions such as community policing, youth empowerment programs, and civil society engagement, many of these efforts remain reactive and fragmented. One major constraint is the lack of disaggregated, location-specific crime data, which limits policymakers’ ability to implement targeted interventions. Existing crime reports often lack spatial and temporal specificity, hampering strategic planning and resource deployment. Advancements in GIS and spatial-temporal modeling have revolutionized crime analysis globally</w:t>
      </w:r>
      <w:r w:rsidR="000A45E5">
        <w:rPr>
          <w:rFonts w:ascii="Arial" w:hAnsi="Arial" w:cs="Arial"/>
          <w:sz w:val="20"/>
          <w:szCs w:val="20"/>
        </w:rPr>
        <w:t xml:space="preserve"> </w:t>
      </w:r>
      <w:r w:rsidR="000A45E5" w:rsidRPr="000A45E5">
        <w:rPr>
          <w:rFonts w:ascii="Arial" w:hAnsi="Arial" w:cs="Arial"/>
          <w:sz w:val="20"/>
          <w:szCs w:val="20"/>
        </w:rPr>
        <w:t>(Kannan &amp; Singh 2023)</w:t>
      </w:r>
      <w:r w:rsidRPr="00F42FEC">
        <w:rPr>
          <w:rFonts w:ascii="Arial" w:hAnsi="Arial" w:cs="Arial"/>
          <w:sz w:val="20"/>
          <w:szCs w:val="20"/>
        </w:rPr>
        <w:t xml:space="preserve">. These tools have proven effective in detecting crime hotspots, uncovering socio-environmental correlates, and supporting predictive policing </w:t>
      </w:r>
      <w:r w:rsidR="00E15A65" w:rsidRPr="00F42FEC">
        <w:rPr>
          <w:rFonts w:ascii="Arial" w:hAnsi="Arial" w:cs="Arial"/>
          <w:sz w:val="20"/>
          <w:szCs w:val="20"/>
        </w:rPr>
        <w:t>strategies (</w:t>
      </w:r>
      <w:r w:rsidR="00737A06" w:rsidRPr="00F42FEC">
        <w:rPr>
          <w:rFonts w:ascii="Arial" w:hAnsi="Arial" w:cs="Arial"/>
          <w:sz w:val="20"/>
          <w:szCs w:val="20"/>
        </w:rPr>
        <w:t>Gakuru, 2019</w:t>
      </w:r>
      <w:r w:rsidR="005A380B" w:rsidRPr="00F42FEC">
        <w:rPr>
          <w:rFonts w:ascii="Arial" w:hAnsi="Arial" w:cs="Arial"/>
          <w:sz w:val="20"/>
          <w:szCs w:val="20"/>
        </w:rPr>
        <w:t>;</w:t>
      </w:r>
      <w:r w:rsidR="00737A06" w:rsidRPr="00F42FEC">
        <w:rPr>
          <w:rFonts w:ascii="Arial" w:hAnsi="Arial" w:cs="Arial"/>
          <w:sz w:val="20"/>
          <w:szCs w:val="20"/>
        </w:rPr>
        <w:t xml:space="preserve"> Sigel, 2016)</w:t>
      </w:r>
      <w:r w:rsidRPr="00F42FEC">
        <w:rPr>
          <w:rFonts w:ascii="Arial" w:hAnsi="Arial" w:cs="Arial"/>
          <w:sz w:val="20"/>
          <w:szCs w:val="20"/>
        </w:rPr>
        <w:t xml:space="preserve">. Techniques such as KDE, Moran’s </w:t>
      </w:r>
      <w:r w:rsidRPr="00F42FEC">
        <w:rPr>
          <w:rFonts w:ascii="Arial" w:hAnsi="Arial" w:cs="Arial"/>
          <w:i/>
          <w:iCs/>
          <w:sz w:val="20"/>
          <w:szCs w:val="20"/>
        </w:rPr>
        <w:t>I</w:t>
      </w:r>
      <w:r w:rsidRPr="00F42FEC">
        <w:rPr>
          <w:rFonts w:ascii="Arial" w:hAnsi="Arial" w:cs="Arial"/>
          <w:sz w:val="20"/>
          <w:szCs w:val="20"/>
        </w:rPr>
        <w:t xml:space="preserve"> (a spatial autocorrelation metric), and Poisson regression modeling have been widely applied in countries like Brazil, the United States, and South Africa, where they inform decisions on resource allocation and crime prevention</w:t>
      </w:r>
      <w:r w:rsidR="00737A06" w:rsidRPr="00F42FEC">
        <w:rPr>
          <w:rFonts w:ascii="Arial" w:hAnsi="Arial" w:cs="Arial"/>
          <w:sz w:val="20"/>
          <w:szCs w:val="20"/>
        </w:rPr>
        <w:t xml:space="preserve"> (</w:t>
      </w:r>
      <w:r w:rsidR="00751D17" w:rsidRPr="00F42FEC">
        <w:rPr>
          <w:rFonts w:ascii="Arial" w:hAnsi="Arial" w:cs="Arial"/>
          <w:sz w:val="20"/>
          <w:szCs w:val="20"/>
        </w:rPr>
        <w:t>Braga et al.,</w:t>
      </w:r>
      <w:r w:rsidR="002A1CFF" w:rsidRPr="00F42FEC">
        <w:rPr>
          <w:rFonts w:ascii="Arial" w:hAnsi="Arial" w:cs="Arial"/>
          <w:sz w:val="20"/>
          <w:szCs w:val="20"/>
        </w:rPr>
        <w:t>2012</w:t>
      </w:r>
      <w:r w:rsidR="00E15A65" w:rsidRPr="00F42FEC">
        <w:rPr>
          <w:rFonts w:ascii="Arial" w:hAnsi="Arial" w:cs="Arial"/>
          <w:sz w:val="20"/>
          <w:szCs w:val="20"/>
        </w:rPr>
        <w:t>;</w:t>
      </w:r>
      <w:r w:rsidR="002A1CFF" w:rsidRPr="00F42FEC">
        <w:rPr>
          <w:rFonts w:ascii="Arial" w:hAnsi="Arial" w:cs="Arial"/>
          <w:sz w:val="20"/>
          <w:szCs w:val="20"/>
        </w:rPr>
        <w:t xml:space="preserve"> </w:t>
      </w:r>
      <w:r w:rsidR="00751D17" w:rsidRPr="00F42FEC">
        <w:rPr>
          <w:rFonts w:ascii="Arial" w:hAnsi="Arial" w:cs="Arial"/>
          <w:sz w:val="20"/>
          <w:szCs w:val="20"/>
        </w:rPr>
        <w:t>Gahlin, 2014</w:t>
      </w:r>
      <w:r w:rsidR="00737A06" w:rsidRPr="00F42FEC">
        <w:rPr>
          <w:rFonts w:ascii="Arial" w:hAnsi="Arial" w:cs="Arial"/>
          <w:sz w:val="20"/>
          <w:szCs w:val="20"/>
        </w:rPr>
        <w:t>)</w:t>
      </w:r>
      <w:r w:rsidRPr="00F42FEC">
        <w:rPr>
          <w:rFonts w:ascii="Arial" w:hAnsi="Arial" w:cs="Arial"/>
          <w:sz w:val="20"/>
          <w:szCs w:val="20"/>
        </w:rPr>
        <w:t xml:space="preserve">. KDE is instrumental in identifying spatial concentrations of crime, as evidenced by its application in visualizing burglary hotspots in residential </w:t>
      </w:r>
      <w:r w:rsidR="00E15A65" w:rsidRPr="00F42FEC">
        <w:rPr>
          <w:rFonts w:ascii="Arial" w:hAnsi="Arial" w:cs="Arial"/>
          <w:sz w:val="20"/>
          <w:szCs w:val="20"/>
        </w:rPr>
        <w:t>areas (</w:t>
      </w:r>
      <w:r w:rsidR="00751D17" w:rsidRPr="00F42FEC">
        <w:rPr>
          <w:rFonts w:ascii="Arial" w:hAnsi="Arial" w:cs="Arial"/>
          <w:sz w:val="20"/>
          <w:szCs w:val="20"/>
        </w:rPr>
        <w:t>Gahlin, 2014)</w:t>
      </w:r>
      <w:r w:rsidRPr="00F42FEC">
        <w:rPr>
          <w:rFonts w:ascii="Arial" w:hAnsi="Arial" w:cs="Arial"/>
          <w:sz w:val="20"/>
          <w:szCs w:val="20"/>
        </w:rPr>
        <w:t xml:space="preserve">. </w:t>
      </w:r>
      <w:proofErr w:type="gramStart"/>
      <w:r w:rsidRPr="00F42FEC">
        <w:rPr>
          <w:rFonts w:ascii="Arial" w:hAnsi="Arial" w:cs="Arial"/>
          <w:sz w:val="20"/>
          <w:szCs w:val="20"/>
        </w:rPr>
        <w:t>Moran’s</w:t>
      </w:r>
      <w:proofErr w:type="gramEnd"/>
      <w:r w:rsidRPr="00F42FEC">
        <w:rPr>
          <w:rFonts w:ascii="Arial" w:hAnsi="Arial" w:cs="Arial"/>
          <w:sz w:val="20"/>
          <w:szCs w:val="20"/>
        </w:rPr>
        <w:t xml:space="preserve"> </w:t>
      </w:r>
      <w:r w:rsidRPr="00F42FEC">
        <w:rPr>
          <w:rFonts w:ascii="Arial" w:hAnsi="Arial" w:cs="Arial"/>
          <w:i/>
          <w:iCs/>
          <w:sz w:val="20"/>
          <w:szCs w:val="20"/>
        </w:rPr>
        <w:t>I</w:t>
      </w:r>
      <w:r w:rsidRPr="00F42FEC">
        <w:rPr>
          <w:rFonts w:ascii="Arial" w:hAnsi="Arial" w:cs="Arial"/>
          <w:sz w:val="20"/>
          <w:szCs w:val="20"/>
        </w:rPr>
        <w:t xml:space="preserve"> </w:t>
      </w:r>
      <w:r w:rsidR="00E15A65" w:rsidRPr="00F42FEC">
        <w:rPr>
          <w:rFonts w:ascii="Arial" w:hAnsi="Arial" w:cs="Arial"/>
          <w:sz w:val="20"/>
          <w:szCs w:val="20"/>
        </w:rPr>
        <w:t>help</w:t>
      </w:r>
      <w:r w:rsidRPr="00F42FEC">
        <w:rPr>
          <w:rFonts w:ascii="Arial" w:hAnsi="Arial" w:cs="Arial"/>
          <w:sz w:val="20"/>
          <w:szCs w:val="20"/>
        </w:rPr>
        <w:t xml:space="preserve"> determine whether crime is randomly distributed or spatially clustered, which is essential for understanding localized crime dynamics</w:t>
      </w:r>
      <w:r w:rsidR="00751D17" w:rsidRPr="00F42FEC">
        <w:rPr>
          <w:rFonts w:ascii="Arial" w:hAnsi="Arial" w:cs="Arial"/>
          <w:sz w:val="20"/>
          <w:szCs w:val="20"/>
        </w:rPr>
        <w:t xml:space="preserve"> (</w:t>
      </w:r>
      <w:r w:rsidR="00DF1B23" w:rsidRPr="00F42FEC">
        <w:rPr>
          <w:rFonts w:ascii="Arial" w:hAnsi="Arial" w:cs="Arial"/>
          <w:sz w:val="20"/>
          <w:szCs w:val="20"/>
        </w:rPr>
        <w:t>Eck et al., 2011</w:t>
      </w:r>
      <w:r w:rsidR="00751D17" w:rsidRPr="00F42FEC">
        <w:rPr>
          <w:rFonts w:ascii="Arial" w:hAnsi="Arial" w:cs="Arial"/>
          <w:sz w:val="20"/>
          <w:szCs w:val="20"/>
        </w:rPr>
        <w:t>)</w:t>
      </w:r>
      <w:r w:rsidRPr="00F42FEC">
        <w:rPr>
          <w:rFonts w:ascii="Arial" w:hAnsi="Arial" w:cs="Arial"/>
          <w:sz w:val="20"/>
          <w:szCs w:val="20"/>
        </w:rPr>
        <w:t>. Poisson regression, on the other hand, allows researchers to predict count-based crime incidents while incorporating socio-spatial covariates such as population density and proximity to urban centers</w:t>
      </w:r>
      <w:r w:rsidR="00DF1B23" w:rsidRPr="00F42FEC">
        <w:rPr>
          <w:rFonts w:ascii="Arial" w:hAnsi="Arial" w:cs="Arial"/>
          <w:sz w:val="20"/>
          <w:szCs w:val="20"/>
        </w:rPr>
        <w:t xml:space="preserve"> (Zhanjum et</w:t>
      </w:r>
      <w:r w:rsidR="00E15A65" w:rsidRPr="00F42FEC">
        <w:rPr>
          <w:rFonts w:ascii="Arial" w:hAnsi="Arial" w:cs="Arial"/>
          <w:sz w:val="20"/>
          <w:szCs w:val="20"/>
        </w:rPr>
        <w:t xml:space="preserve"> al</w:t>
      </w:r>
      <w:r w:rsidR="00DF1B23" w:rsidRPr="00F42FEC">
        <w:rPr>
          <w:rFonts w:ascii="Arial" w:hAnsi="Arial" w:cs="Arial"/>
          <w:sz w:val="20"/>
          <w:szCs w:val="20"/>
        </w:rPr>
        <w:t>.,2022)</w:t>
      </w:r>
      <w:r w:rsidRPr="00F42FEC">
        <w:rPr>
          <w:rFonts w:ascii="Arial" w:hAnsi="Arial" w:cs="Arial"/>
          <w:sz w:val="20"/>
          <w:szCs w:val="20"/>
        </w:rPr>
        <w:t xml:space="preserve">. However, in Kenya, the application of these advanced analytical tools remains limited. Most studies still rely heavily on descriptive statistics and basic mapping techniques, with minimal integration of spatial autocorrelation or predictive modeling. For instance, although </w:t>
      </w:r>
      <w:r w:rsidR="00E15A65" w:rsidRPr="00F42FEC">
        <w:rPr>
          <w:rFonts w:ascii="Arial" w:hAnsi="Arial" w:cs="Arial"/>
          <w:sz w:val="20"/>
          <w:szCs w:val="20"/>
        </w:rPr>
        <w:t>Gakuru (</w:t>
      </w:r>
      <w:r w:rsidR="00DF1B23" w:rsidRPr="00F42FEC">
        <w:rPr>
          <w:rFonts w:ascii="Arial" w:hAnsi="Arial" w:cs="Arial"/>
          <w:sz w:val="20"/>
          <w:szCs w:val="20"/>
        </w:rPr>
        <w:t>2019)</w:t>
      </w:r>
      <w:r w:rsidRPr="00F42FEC">
        <w:rPr>
          <w:rFonts w:ascii="Arial" w:hAnsi="Arial" w:cs="Arial"/>
          <w:sz w:val="20"/>
          <w:szCs w:val="20"/>
        </w:rPr>
        <w:t xml:space="preserve"> mapped crime distribution in Nairobi using GIS, the analysis lacked temporal regression and advanced spatial statistics. This methodological gap underscores the need for more robust, integrated approaches that can generate actionable, place-based insights.</w:t>
      </w:r>
    </w:p>
    <w:p w14:paraId="1239A860" w14:textId="71BDD50C" w:rsidR="00C712AF" w:rsidRPr="00D01F07" w:rsidRDefault="00C712AF" w:rsidP="00C712AF">
      <w:pPr>
        <w:tabs>
          <w:tab w:val="left" w:pos="1095"/>
        </w:tabs>
        <w:jc w:val="both"/>
        <w:rPr>
          <w:rFonts w:ascii="Arial" w:hAnsi="Arial" w:cs="Arial"/>
          <w:b/>
          <w:bCs/>
          <w:sz w:val="22"/>
          <w:szCs w:val="22"/>
        </w:rPr>
      </w:pPr>
      <w:r>
        <w:rPr>
          <w:rFonts w:ascii="Arial" w:hAnsi="Arial" w:cs="Arial"/>
          <w:b/>
          <w:bCs/>
          <w:sz w:val="22"/>
          <w:szCs w:val="22"/>
        </w:rPr>
        <w:lastRenderedPageBreak/>
        <w:t xml:space="preserve">1.1 </w:t>
      </w:r>
      <w:r w:rsidRPr="00D01F07">
        <w:rPr>
          <w:rFonts w:ascii="Arial" w:hAnsi="Arial" w:cs="Arial"/>
          <w:b/>
          <w:bCs/>
          <w:sz w:val="22"/>
          <w:szCs w:val="22"/>
        </w:rPr>
        <w:t>Objectives of the Study</w:t>
      </w:r>
    </w:p>
    <w:p w14:paraId="19F64225" w14:textId="27AB7A61" w:rsidR="00915127" w:rsidRPr="00F42FEC" w:rsidRDefault="00C712AF" w:rsidP="00915127">
      <w:pPr>
        <w:tabs>
          <w:tab w:val="left" w:pos="1095"/>
        </w:tabs>
        <w:jc w:val="both"/>
        <w:rPr>
          <w:rFonts w:ascii="Arial" w:hAnsi="Arial" w:cs="Arial"/>
          <w:sz w:val="20"/>
          <w:szCs w:val="20"/>
        </w:rPr>
      </w:pPr>
      <w:r w:rsidRPr="00F42FEC">
        <w:rPr>
          <w:rFonts w:ascii="Arial" w:hAnsi="Arial" w:cs="Arial"/>
          <w:sz w:val="20"/>
          <w:szCs w:val="20"/>
        </w:rPr>
        <w:t xml:space="preserve">This study addresses these gaps by applying an integrated spatial-temporal framework to analyze crime in Mombasa County from 2019 to 2021. The study is guided by the following specific objectives: (i) to determine the typology of crime by spatial location across sub-counties in Mombasa County; (ii) to assess the spatio-temporal trends of crime between 2019 and 2021; (iii) to map crime hotspots by typology using KDE, and evaluate spatial clustering using Moran’s </w:t>
      </w:r>
      <w:r w:rsidRPr="00F42FEC">
        <w:rPr>
          <w:rFonts w:ascii="Arial" w:hAnsi="Arial" w:cs="Arial"/>
          <w:i/>
          <w:iCs/>
          <w:sz w:val="20"/>
          <w:szCs w:val="20"/>
        </w:rPr>
        <w:t>I</w:t>
      </w:r>
      <w:r w:rsidRPr="00F42FEC">
        <w:rPr>
          <w:rFonts w:ascii="Arial" w:hAnsi="Arial" w:cs="Arial"/>
          <w:sz w:val="20"/>
          <w:szCs w:val="20"/>
        </w:rPr>
        <w:t>; and (iv) to analyze the relationship between crime incidents and socio-spatial predictors using Poisson regression modeling. Geo-referenced police crime data were analyzed using spatial and statistical techniques to produce visual and quantitative insights. By employing these methods, the study enhances the evidence base for crime prevention and planning in Mombasa and potentially other Kenyan urban counties. Ultimately, the findings will inform localized and integrated strategies that move beyond reactive enforcement to embrace proactive, data-driven interventions. In doing so, the study contributes to the growing discourse on spatial justice and urban safety, especially within the context of rapidly urbanizing cities in the Global South</w:t>
      </w:r>
      <w:r w:rsidR="00915127" w:rsidRPr="00F42FEC">
        <w:rPr>
          <w:rFonts w:ascii="Arial" w:hAnsi="Arial" w:cs="Arial"/>
          <w:sz w:val="20"/>
          <w:szCs w:val="20"/>
        </w:rPr>
        <w:t xml:space="preserve">. </w:t>
      </w:r>
    </w:p>
    <w:p w14:paraId="6D4F7422" w14:textId="207DECE8" w:rsidR="00915127" w:rsidRPr="00B317A9" w:rsidRDefault="00915127" w:rsidP="00915127">
      <w:pPr>
        <w:tabs>
          <w:tab w:val="left" w:pos="1095"/>
        </w:tabs>
        <w:jc w:val="both"/>
        <w:rPr>
          <w:rFonts w:ascii="Arial" w:hAnsi="Arial" w:cs="Arial"/>
          <w:b/>
          <w:bCs/>
          <w:sz w:val="20"/>
          <w:szCs w:val="20"/>
        </w:rPr>
      </w:pPr>
      <w:r w:rsidRPr="00B317A9">
        <w:rPr>
          <w:rFonts w:ascii="Arial" w:hAnsi="Arial" w:cs="Arial"/>
          <w:b/>
          <w:bCs/>
          <w:sz w:val="20"/>
          <w:szCs w:val="20"/>
        </w:rPr>
        <w:t>2. MATERIALS AND METHODS</w:t>
      </w:r>
    </w:p>
    <w:p w14:paraId="1C271DFC" w14:textId="77777777" w:rsidR="00915127" w:rsidRPr="00596943" w:rsidRDefault="00915127" w:rsidP="00915127">
      <w:pPr>
        <w:tabs>
          <w:tab w:val="left" w:pos="1095"/>
        </w:tabs>
        <w:jc w:val="both"/>
        <w:rPr>
          <w:rFonts w:ascii="Arial" w:hAnsi="Arial" w:cs="Arial"/>
          <w:sz w:val="20"/>
          <w:szCs w:val="20"/>
        </w:rPr>
      </w:pPr>
      <w:r w:rsidRPr="00596943">
        <w:rPr>
          <w:rFonts w:ascii="Arial" w:hAnsi="Arial" w:cs="Arial"/>
          <w:sz w:val="20"/>
          <w:szCs w:val="20"/>
        </w:rPr>
        <w:t xml:space="preserve">This study employed </w:t>
      </w:r>
      <w:r w:rsidRPr="006D3C0E">
        <w:rPr>
          <w:rFonts w:ascii="Arial" w:hAnsi="Arial" w:cs="Arial"/>
          <w:sz w:val="20"/>
          <w:szCs w:val="20"/>
        </w:rPr>
        <w:t xml:space="preserve">a </w:t>
      </w:r>
      <w:r w:rsidRPr="00F42FEC">
        <w:rPr>
          <w:rFonts w:ascii="Arial" w:hAnsi="Arial" w:cs="Arial"/>
          <w:sz w:val="20"/>
          <w:szCs w:val="20"/>
        </w:rPr>
        <w:t>spatio-temporal</w:t>
      </w:r>
      <w:r w:rsidRPr="00596943">
        <w:rPr>
          <w:rFonts w:ascii="Arial" w:hAnsi="Arial" w:cs="Arial"/>
          <w:sz w:val="20"/>
          <w:szCs w:val="20"/>
        </w:rPr>
        <w:t xml:space="preserve"> modelling approach integrating crime mapping, spatial statistics and regression analysis </w:t>
      </w:r>
      <w:r>
        <w:rPr>
          <w:rFonts w:ascii="Arial" w:hAnsi="Arial" w:cs="Arial"/>
          <w:sz w:val="20"/>
          <w:szCs w:val="20"/>
        </w:rPr>
        <w:t>in</w:t>
      </w:r>
      <w:r w:rsidRPr="00596943">
        <w:rPr>
          <w:rFonts w:ascii="Arial" w:hAnsi="Arial" w:cs="Arial"/>
          <w:sz w:val="20"/>
          <w:szCs w:val="20"/>
        </w:rPr>
        <w:t xml:space="preserve"> examin</w:t>
      </w:r>
      <w:r>
        <w:rPr>
          <w:rFonts w:ascii="Arial" w:hAnsi="Arial" w:cs="Arial"/>
          <w:sz w:val="20"/>
          <w:szCs w:val="20"/>
        </w:rPr>
        <w:t>ing</w:t>
      </w:r>
      <w:r w:rsidRPr="00596943">
        <w:rPr>
          <w:rFonts w:ascii="Arial" w:hAnsi="Arial" w:cs="Arial"/>
          <w:sz w:val="20"/>
          <w:szCs w:val="20"/>
        </w:rPr>
        <w:t xml:space="preserve"> patterns of crime and violence in Mombasa County, Kenya. The research design involved descriptive, analytical and geospatial techniques </w:t>
      </w:r>
      <w:r>
        <w:rPr>
          <w:rFonts w:ascii="Arial" w:hAnsi="Arial" w:cs="Arial"/>
          <w:sz w:val="20"/>
          <w:szCs w:val="20"/>
        </w:rPr>
        <w:t>in</w:t>
      </w:r>
      <w:r w:rsidRPr="00596943">
        <w:rPr>
          <w:rFonts w:ascii="Arial" w:hAnsi="Arial" w:cs="Arial"/>
          <w:sz w:val="20"/>
          <w:szCs w:val="20"/>
        </w:rPr>
        <w:t xml:space="preserve"> explor</w:t>
      </w:r>
      <w:r>
        <w:rPr>
          <w:rFonts w:ascii="Arial" w:hAnsi="Arial" w:cs="Arial"/>
          <w:sz w:val="20"/>
          <w:szCs w:val="20"/>
        </w:rPr>
        <w:t>ing</w:t>
      </w:r>
      <w:r w:rsidRPr="00596943">
        <w:rPr>
          <w:rFonts w:ascii="Arial" w:hAnsi="Arial" w:cs="Arial"/>
          <w:sz w:val="20"/>
          <w:szCs w:val="20"/>
        </w:rPr>
        <w:t xml:space="preserve"> crime typology, intensity, clustering and temporal trends </w:t>
      </w:r>
      <w:r>
        <w:rPr>
          <w:rFonts w:ascii="Arial" w:hAnsi="Arial" w:cs="Arial"/>
          <w:sz w:val="20"/>
          <w:szCs w:val="20"/>
        </w:rPr>
        <w:t>in</w:t>
      </w:r>
      <w:r w:rsidRPr="00596943">
        <w:rPr>
          <w:rFonts w:ascii="Arial" w:hAnsi="Arial" w:cs="Arial"/>
          <w:sz w:val="20"/>
          <w:szCs w:val="20"/>
        </w:rPr>
        <w:t xml:space="preserve"> 2019 </w:t>
      </w:r>
      <w:r>
        <w:rPr>
          <w:rFonts w:ascii="Arial" w:hAnsi="Arial" w:cs="Arial"/>
          <w:sz w:val="20"/>
          <w:szCs w:val="20"/>
        </w:rPr>
        <w:t xml:space="preserve">to </w:t>
      </w:r>
      <w:r w:rsidRPr="00596943">
        <w:rPr>
          <w:rFonts w:ascii="Arial" w:hAnsi="Arial" w:cs="Arial"/>
          <w:sz w:val="20"/>
          <w:szCs w:val="20"/>
        </w:rPr>
        <w:t>2021. The methodology</w:t>
      </w:r>
      <w:r>
        <w:rPr>
          <w:rFonts w:ascii="Arial" w:hAnsi="Arial" w:cs="Arial"/>
          <w:sz w:val="20"/>
          <w:szCs w:val="20"/>
        </w:rPr>
        <w:t xml:space="preserve"> used</w:t>
      </w:r>
      <w:r w:rsidRPr="00596943">
        <w:rPr>
          <w:rFonts w:ascii="Arial" w:hAnsi="Arial" w:cs="Arial"/>
          <w:sz w:val="20"/>
          <w:szCs w:val="20"/>
        </w:rPr>
        <w:t xml:space="preserve"> </w:t>
      </w:r>
      <w:r>
        <w:rPr>
          <w:rFonts w:ascii="Arial" w:hAnsi="Arial" w:cs="Arial"/>
          <w:sz w:val="20"/>
          <w:szCs w:val="20"/>
        </w:rPr>
        <w:t>borrowed</w:t>
      </w:r>
      <w:r w:rsidRPr="00596943">
        <w:rPr>
          <w:rFonts w:ascii="Arial" w:hAnsi="Arial" w:cs="Arial"/>
          <w:sz w:val="20"/>
          <w:szCs w:val="20"/>
        </w:rPr>
        <w:t xml:space="preserve"> from established practices in spatial criminology and adapted them to the Kenyan context using available secondary data and GIS tools.</w:t>
      </w:r>
    </w:p>
    <w:p w14:paraId="23B61A1A" w14:textId="77777777" w:rsidR="00915127" w:rsidRPr="00401707" w:rsidRDefault="00915127" w:rsidP="00915127">
      <w:pPr>
        <w:tabs>
          <w:tab w:val="left" w:pos="1095"/>
        </w:tabs>
        <w:jc w:val="both"/>
        <w:rPr>
          <w:rFonts w:ascii="Arial" w:hAnsi="Arial" w:cs="Arial"/>
          <w:b/>
          <w:bCs/>
          <w:sz w:val="22"/>
          <w:szCs w:val="22"/>
        </w:rPr>
      </w:pPr>
      <w:r w:rsidRPr="00401707">
        <w:rPr>
          <w:rFonts w:ascii="Arial" w:hAnsi="Arial" w:cs="Arial"/>
          <w:b/>
          <w:bCs/>
          <w:sz w:val="22"/>
          <w:szCs w:val="22"/>
        </w:rPr>
        <w:t>2.1 Site Description</w:t>
      </w:r>
    </w:p>
    <w:p w14:paraId="741AF382" w14:textId="7882A75D" w:rsidR="00514347" w:rsidRDefault="00915127" w:rsidP="00514347">
      <w:pPr>
        <w:tabs>
          <w:tab w:val="left" w:pos="1095"/>
        </w:tabs>
        <w:jc w:val="both"/>
        <w:rPr>
          <w:rFonts w:ascii="Arial" w:hAnsi="Arial" w:cs="Arial"/>
          <w:sz w:val="20"/>
          <w:szCs w:val="20"/>
        </w:rPr>
      </w:pPr>
      <w:r w:rsidRPr="00596943">
        <w:rPr>
          <w:rFonts w:ascii="Arial" w:hAnsi="Arial" w:cs="Arial"/>
          <w:sz w:val="20"/>
          <w:szCs w:val="20"/>
        </w:rPr>
        <w:t>Mombasa County is located along the Kenyan coast and serves as a</w:t>
      </w:r>
      <w:r>
        <w:rPr>
          <w:rFonts w:ascii="Arial" w:hAnsi="Arial" w:cs="Arial"/>
          <w:sz w:val="20"/>
          <w:szCs w:val="20"/>
        </w:rPr>
        <w:t>n</w:t>
      </w:r>
      <w:r w:rsidRPr="00596943">
        <w:rPr>
          <w:rFonts w:ascii="Arial" w:hAnsi="Arial" w:cs="Arial"/>
          <w:sz w:val="20"/>
          <w:szCs w:val="20"/>
        </w:rPr>
        <w:t xml:space="preserve"> </w:t>
      </w:r>
      <w:r>
        <w:rPr>
          <w:rFonts w:ascii="Arial" w:hAnsi="Arial" w:cs="Arial"/>
          <w:sz w:val="20"/>
          <w:szCs w:val="20"/>
        </w:rPr>
        <w:t xml:space="preserve">entry point for imported </w:t>
      </w:r>
      <w:r w:rsidR="006D3C0E">
        <w:rPr>
          <w:rFonts w:ascii="Arial" w:hAnsi="Arial" w:cs="Arial"/>
          <w:sz w:val="20"/>
          <w:szCs w:val="20"/>
        </w:rPr>
        <w:t>goods. It</w:t>
      </w:r>
      <w:r>
        <w:rPr>
          <w:rFonts w:ascii="Arial" w:hAnsi="Arial" w:cs="Arial"/>
          <w:sz w:val="20"/>
          <w:szCs w:val="20"/>
        </w:rPr>
        <w:t xml:space="preserve"> also a</w:t>
      </w:r>
      <w:r w:rsidRPr="00596943">
        <w:rPr>
          <w:rFonts w:ascii="Arial" w:hAnsi="Arial" w:cs="Arial"/>
          <w:sz w:val="20"/>
          <w:szCs w:val="20"/>
        </w:rPr>
        <w:t xml:space="preserve"> tourist destination a</w:t>
      </w:r>
      <w:r>
        <w:rPr>
          <w:rFonts w:ascii="Arial" w:hAnsi="Arial" w:cs="Arial"/>
          <w:sz w:val="20"/>
          <w:szCs w:val="20"/>
        </w:rPr>
        <w:t>s well as an</w:t>
      </w:r>
      <w:r w:rsidRPr="00596943">
        <w:rPr>
          <w:rFonts w:ascii="Arial" w:hAnsi="Arial" w:cs="Arial"/>
          <w:sz w:val="20"/>
          <w:szCs w:val="20"/>
        </w:rPr>
        <w:t xml:space="preserve"> economic center</w:t>
      </w:r>
      <w:r>
        <w:rPr>
          <w:rFonts w:ascii="Arial" w:hAnsi="Arial" w:cs="Arial"/>
          <w:sz w:val="20"/>
          <w:szCs w:val="20"/>
        </w:rPr>
        <w:t xml:space="preserve"> in Kenya</w:t>
      </w:r>
      <w:r w:rsidRPr="00596943">
        <w:rPr>
          <w:rFonts w:ascii="Arial" w:hAnsi="Arial" w:cs="Arial"/>
          <w:sz w:val="20"/>
          <w:szCs w:val="20"/>
        </w:rPr>
        <w:t>. It covers approximately 294.7 km² and comprises six sub-counties</w:t>
      </w:r>
      <w:r>
        <w:rPr>
          <w:rFonts w:ascii="Arial" w:hAnsi="Arial" w:cs="Arial"/>
          <w:sz w:val="20"/>
          <w:szCs w:val="20"/>
        </w:rPr>
        <w:t xml:space="preserve"> namely</w:t>
      </w:r>
      <w:r w:rsidRPr="00596943">
        <w:rPr>
          <w:rFonts w:ascii="Arial" w:hAnsi="Arial" w:cs="Arial"/>
          <w:sz w:val="20"/>
          <w:szCs w:val="20"/>
        </w:rPr>
        <w:t xml:space="preserve"> Changamwe, Jomvu, Likoni, Mvita, Nyali, and Kisauni</w:t>
      </w:r>
      <w:r>
        <w:rPr>
          <w:rFonts w:ascii="Arial" w:hAnsi="Arial" w:cs="Arial"/>
          <w:sz w:val="20"/>
          <w:szCs w:val="20"/>
        </w:rPr>
        <w:t xml:space="preserve"> </w:t>
      </w:r>
      <w:r w:rsidRPr="00F42FEC">
        <w:rPr>
          <w:rFonts w:ascii="Arial" w:hAnsi="Arial" w:cs="Arial"/>
          <w:sz w:val="20"/>
          <w:szCs w:val="20"/>
        </w:rPr>
        <w:t>(Fig. 1).</w:t>
      </w:r>
      <w:r>
        <w:rPr>
          <w:rFonts w:ascii="Arial" w:hAnsi="Arial" w:cs="Arial"/>
          <w:sz w:val="20"/>
          <w:szCs w:val="20"/>
        </w:rPr>
        <w:t xml:space="preserve"> </w:t>
      </w:r>
      <w:r w:rsidR="00514347">
        <w:rPr>
          <w:rFonts w:ascii="Arial" w:hAnsi="Arial" w:cs="Arial"/>
          <w:sz w:val="20"/>
          <w:szCs w:val="20"/>
        </w:rPr>
        <w:t xml:space="preserve">According to </w:t>
      </w:r>
      <w:r w:rsidR="00514347" w:rsidRPr="00596943">
        <w:rPr>
          <w:rFonts w:ascii="Arial" w:hAnsi="Arial" w:cs="Arial"/>
          <w:sz w:val="20"/>
          <w:szCs w:val="20"/>
        </w:rPr>
        <w:t>2019 Kenya Population and Housing Census</w:t>
      </w:r>
      <w:r w:rsidR="00514347">
        <w:rPr>
          <w:rFonts w:ascii="Arial" w:hAnsi="Arial" w:cs="Arial"/>
          <w:sz w:val="20"/>
          <w:szCs w:val="20"/>
        </w:rPr>
        <w:t xml:space="preserve"> t</w:t>
      </w:r>
      <w:r w:rsidR="00514347" w:rsidRPr="00596943">
        <w:rPr>
          <w:rFonts w:ascii="Arial" w:hAnsi="Arial" w:cs="Arial"/>
          <w:sz w:val="20"/>
          <w:szCs w:val="20"/>
        </w:rPr>
        <w:t xml:space="preserve">he county had a population of 1,208,333 with </w:t>
      </w:r>
      <w:r w:rsidR="00514347">
        <w:rPr>
          <w:rFonts w:ascii="Arial" w:hAnsi="Arial" w:cs="Arial"/>
          <w:sz w:val="20"/>
          <w:szCs w:val="20"/>
        </w:rPr>
        <w:t xml:space="preserve">a </w:t>
      </w:r>
      <w:r w:rsidR="00514347" w:rsidRPr="00596943">
        <w:rPr>
          <w:rFonts w:ascii="Arial" w:hAnsi="Arial" w:cs="Arial"/>
          <w:sz w:val="20"/>
          <w:szCs w:val="20"/>
        </w:rPr>
        <w:t xml:space="preserve">projected growth to over 1.4 million by 2027 (KNBS, 2019). Its demographic </w:t>
      </w:r>
      <w:r w:rsidR="00514347">
        <w:rPr>
          <w:rFonts w:ascii="Arial" w:hAnsi="Arial" w:cs="Arial"/>
          <w:sz w:val="20"/>
          <w:szCs w:val="20"/>
        </w:rPr>
        <w:t xml:space="preserve">characterized by high youth unemployment, high population density and prevalence of informal settlements that is linked to crime </w:t>
      </w:r>
      <w:r w:rsidR="00514347" w:rsidRPr="00596943">
        <w:rPr>
          <w:rFonts w:ascii="Arial" w:hAnsi="Arial" w:cs="Arial"/>
          <w:sz w:val="20"/>
          <w:szCs w:val="20"/>
        </w:rPr>
        <w:t>vulnerability</w:t>
      </w:r>
      <w:r w:rsidR="00514347">
        <w:rPr>
          <w:rFonts w:ascii="Arial" w:hAnsi="Arial" w:cs="Arial"/>
          <w:sz w:val="20"/>
          <w:szCs w:val="20"/>
        </w:rPr>
        <w:t xml:space="preserve"> (Gakuru, 2019; Barasa, 2013). </w:t>
      </w:r>
      <w:r w:rsidR="00514347" w:rsidRPr="00596943">
        <w:rPr>
          <w:rFonts w:ascii="Arial" w:hAnsi="Arial" w:cs="Arial"/>
          <w:sz w:val="20"/>
          <w:szCs w:val="20"/>
        </w:rPr>
        <w:t xml:space="preserve">Due to its urban nature, strategic location and socioeconomic </w:t>
      </w:r>
      <w:r w:rsidR="00514347">
        <w:rPr>
          <w:rFonts w:ascii="Arial" w:hAnsi="Arial" w:cs="Arial"/>
          <w:sz w:val="20"/>
          <w:szCs w:val="20"/>
        </w:rPr>
        <w:t>status</w:t>
      </w:r>
      <w:r w:rsidR="00514347" w:rsidRPr="00596943">
        <w:rPr>
          <w:rFonts w:ascii="Arial" w:hAnsi="Arial" w:cs="Arial"/>
          <w:sz w:val="20"/>
          <w:szCs w:val="20"/>
        </w:rPr>
        <w:t xml:space="preserve">, Mombasa is both a site of economic opportunity and a hotspot for criminal activity. The concentration of trade, transport infrastructure and tourism </w:t>
      </w:r>
      <w:r w:rsidR="00514347">
        <w:rPr>
          <w:rFonts w:ascii="Arial" w:hAnsi="Arial" w:cs="Arial"/>
          <w:sz w:val="20"/>
          <w:szCs w:val="20"/>
        </w:rPr>
        <w:t>make</w:t>
      </w:r>
      <w:r w:rsidR="00514347" w:rsidRPr="00596943">
        <w:rPr>
          <w:rFonts w:ascii="Arial" w:hAnsi="Arial" w:cs="Arial"/>
          <w:sz w:val="20"/>
          <w:szCs w:val="20"/>
        </w:rPr>
        <w:t xml:space="preserve"> it</w:t>
      </w:r>
      <w:r w:rsidR="00514347">
        <w:rPr>
          <w:rFonts w:ascii="Arial" w:hAnsi="Arial" w:cs="Arial"/>
          <w:sz w:val="20"/>
          <w:szCs w:val="20"/>
        </w:rPr>
        <w:t xml:space="preserve"> more exposed </w:t>
      </w:r>
      <w:r w:rsidR="00514347" w:rsidRPr="00596943">
        <w:rPr>
          <w:rFonts w:ascii="Arial" w:hAnsi="Arial" w:cs="Arial"/>
          <w:sz w:val="20"/>
          <w:szCs w:val="20"/>
        </w:rPr>
        <w:t>to a wide range of crim</w:t>
      </w:r>
      <w:r w:rsidR="00514347">
        <w:rPr>
          <w:rFonts w:ascii="Arial" w:hAnsi="Arial" w:cs="Arial"/>
          <w:sz w:val="20"/>
          <w:szCs w:val="20"/>
        </w:rPr>
        <w:t>inal activities which</w:t>
      </w:r>
      <w:r w:rsidR="00514347" w:rsidRPr="00596943">
        <w:rPr>
          <w:rFonts w:ascii="Arial" w:hAnsi="Arial" w:cs="Arial"/>
          <w:sz w:val="20"/>
          <w:szCs w:val="20"/>
        </w:rPr>
        <w:t xml:space="preserve"> includ</w:t>
      </w:r>
      <w:r w:rsidR="00514347">
        <w:rPr>
          <w:rFonts w:ascii="Arial" w:hAnsi="Arial" w:cs="Arial"/>
          <w:sz w:val="20"/>
          <w:szCs w:val="20"/>
        </w:rPr>
        <w:t>es</w:t>
      </w:r>
      <w:r w:rsidR="00514347" w:rsidRPr="00596943">
        <w:rPr>
          <w:rFonts w:ascii="Arial" w:hAnsi="Arial" w:cs="Arial"/>
          <w:sz w:val="20"/>
          <w:szCs w:val="20"/>
        </w:rPr>
        <w:t xml:space="preserve"> theft, assault, drug abuse, and terrorism-related violence</w:t>
      </w:r>
      <w:r w:rsidR="00514347">
        <w:rPr>
          <w:rFonts w:ascii="Arial" w:hAnsi="Arial" w:cs="Arial"/>
          <w:sz w:val="20"/>
          <w:szCs w:val="20"/>
        </w:rPr>
        <w:t xml:space="preserve"> (Bardudeen, 2023)</w:t>
      </w:r>
      <w:r w:rsidR="00514347" w:rsidRPr="00596943">
        <w:rPr>
          <w:rFonts w:ascii="Arial" w:hAnsi="Arial" w:cs="Arial"/>
          <w:sz w:val="20"/>
          <w:szCs w:val="20"/>
        </w:rPr>
        <w:t>.</w:t>
      </w:r>
      <w:r w:rsidR="00514347">
        <w:rPr>
          <w:rFonts w:ascii="Arial" w:hAnsi="Arial" w:cs="Arial"/>
          <w:sz w:val="20"/>
          <w:szCs w:val="20"/>
        </w:rPr>
        <w:t xml:space="preserve"> With t</w:t>
      </w:r>
      <w:r w:rsidR="00514347" w:rsidRPr="00596943">
        <w:rPr>
          <w:rFonts w:ascii="Arial" w:hAnsi="Arial" w:cs="Arial"/>
          <w:sz w:val="20"/>
          <w:szCs w:val="20"/>
        </w:rPr>
        <w:t>hese dynamics</w:t>
      </w:r>
      <w:r w:rsidR="00514347">
        <w:rPr>
          <w:rFonts w:ascii="Arial" w:hAnsi="Arial" w:cs="Arial"/>
          <w:sz w:val="20"/>
          <w:szCs w:val="20"/>
        </w:rPr>
        <w:t xml:space="preserve">, Mombasa County is an </w:t>
      </w:r>
      <w:r w:rsidR="00514347" w:rsidRPr="00596943">
        <w:rPr>
          <w:rFonts w:ascii="Arial" w:hAnsi="Arial" w:cs="Arial"/>
          <w:sz w:val="20"/>
          <w:szCs w:val="20"/>
        </w:rPr>
        <w:t xml:space="preserve">ideal </w:t>
      </w:r>
      <w:r w:rsidR="00514347" w:rsidRPr="006D3C0E">
        <w:rPr>
          <w:rFonts w:ascii="Arial" w:hAnsi="Arial" w:cs="Arial"/>
          <w:sz w:val="20"/>
          <w:szCs w:val="20"/>
        </w:rPr>
        <w:t xml:space="preserve">site </w:t>
      </w:r>
      <w:r w:rsidR="00514347" w:rsidRPr="00475ED8">
        <w:rPr>
          <w:rFonts w:ascii="Arial" w:hAnsi="Arial" w:cs="Arial"/>
          <w:sz w:val="20"/>
          <w:szCs w:val="20"/>
        </w:rPr>
        <w:t>for spatio</w:t>
      </w:r>
      <w:r w:rsidR="00514347" w:rsidRPr="00596943">
        <w:rPr>
          <w:rFonts w:ascii="Arial" w:hAnsi="Arial" w:cs="Arial"/>
          <w:sz w:val="20"/>
          <w:szCs w:val="20"/>
        </w:rPr>
        <w:t>-temporal analysis of crime patterns using GIS and statistical modeling.</w:t>
      </w:r>
    </w:p>
    <w:p w14:paraId="096C2D4D" w14:textId="48FCBEE8" w:rsidR="00136411" w:rsidRDefault="00136411" w:rsidP="00915127">
      <w:pPr>
        <w:tabs>
          <w:tab w:val="left" w:pos="1095"/>
        </w:tabs>
        <w:jc w:val="both"/>
        <w:rPr>
          <w:rFonts w:ascii="Arial" w:hAnsi="Arial" w:cs="Arial"/>
          <w:sz w:val="20"/>
          <w:szCs w:val="20"/>
        </w:rPr>
      </w:pPr>
    </w:p>
    <w:p w14:paraId="12E9F6C9" w14:textId="5A190203" w:rsidR="00136411" w:rsidRDefault="00136411" w:rsidP="00F42FEC">
      <w:pPr>
        <w:tabs>
          <w:tab w:val="left" w:pos="1095"/>
        </w:tabs>
        <w:jc w:val="center"/>
        <w:rPr>
          <w:rFonts w:ascii="Arial" w:hAnsi="Arial" w:cs="Arial"/>
          <w:sz w:val="20"/>
          <w:szCs w:val="20"/>
        </w:rPr>
      </w:pPr>
      <w:r>
        <w:rPr>
          <w:rFonts w:ascii="Arial" w:hAnsi="Arial" w:cs="Arial"/>
          <w:noProof/>
          <w:sz w:val="20"/>
          <w:szCs w:val="20"/>
          <w:lang w:val="en-GB" w:eastAsia="en-GB"/>
          <w14:ligatures w14:val="none"/>
        </w:rPr>
        <w:lastRenderedPageBreak/>
        <w:drawing>
          <wp:inline distT="0" distB="0" distL="0" distR="0" wp14:anchorId="0C6F1AB7" wp14:editId="23F1AC30">
            <wp:extent cx="6037570" cy="7815943"/>
            <wp:effectExtent l="0" t="0" r="1905" b="0"/>
            <wp:docPr id="819097761" name="Picture 1" descr="A map of the island of mombas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74857" name="Picture 1" descr="A map of the island of mombasa&#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48171" cy="7959122"/>
                    </a:xfrm>
                    <a:prstGeom prst="rect">
                      <a:avLst/>
                    </a:prstGeom>
                  </pic:spPr>
                </pic:pic>
              </a:graphicData>
            </a:graphic>
          </wp:inline>
        </w:drawing>
      </w:r>
    </w:p>
    <w:p w14:paraId="0AC55621" w14:textId="48D781AF" w:rsidR="00136411" w:rsidRDefault="00136411" w:rsidP="00915127">
      <w:pPr>
        <w:tabs>
          <w:tab w:val="left" w:pos="1095"/>
        </w:tabs>
        <w:jc w:val="both"/>
        <w:rPr>
          <w:rFonts w:ascii="Arial" w:hAnsi="Arial" w:cs="Arial"/>
          <w:sz w:val="20"/>
          <w:szCs w:val="20"/>
        </w:rPr>
      </w:pPr>
      <w:r w:rsidRPr="00401707">
        <w:rPr>
          <w:rFonts w:ascii="Arial" w:hAnsi="Arial" w:cs="Arial"/>
          <w:b/>
          <w:bCs/>
          <w:sz w:val="20"/>
          <w:szCs w:val="20"/>
        </w:rPr>
        <w:t xml:space="preserve">Fig 1. Mombasa </w:t>
      </w:r>
      <w:r>
        <w:rPr>
          <w:rFonts w:ascii="Arial" w:hAnsi="Arial" w:cs="Arial"/>
          <w:b/>
          <w:bCs/>
          <w:sz w:val="20"/>
          <w:szCs w:val="20"/>
        </w:rPr>
        <w:t>sub-c</w:t>
      </w:r>
      <w:r w:rsidRPr="00401707">
        <w:rPr>
          <w:rFonts w:ascii="Arial" w:hAnsi="Arial" w:cs="Arial"/>
          <w:b/>
          <w:bCs/>
          <w:sz w:val="20"/>
          <w:szCs w:val="20"/>
        </w:rPr>
        <w:t>ount</w:t>
      </w:r>
      <w:r>
        <w:rPr>
          <w:rFonts w:ascii="Arial" w:hAnsi="Arial" w:cs="Arial"/>
          <w:b/>
          <w:bCs/>
          <w:sz w:val="20"/>
          <w:szCs w:val="20"/>
        </w:rPr>
        <w:t>ies s</w:t>
      </w:r>
      <w:r w:rsidRPr="00401707">
        <w:rPr>
          <w:rFonts w:ascii="Arial" w:hAnsi="Arial" w:cs="Arial"/>
          <w:b/>
          <w:bCs/>
          <w:sz w:val="20"/>
          <w:szCs w:val="20"/>
        </w:rPr>
        <w:t>tudy area</w:t>
      </w:r>
    </w:p>
    <w:p w14:paraId="4580206E" w14:textId="73FDBE90" w:rsidR="00136411" w:rsidRPr="00401707" w:rsidRDefault="00136411" w:rsidP="00136411">
      <w:pPr>
        <w:tabs>
          <w:tab w:val="left" w:pos="1095"/>
        </w:tabs>
        <w:jc w:val="both"/>
        <w:rPr>
          <w:rFonts w:ascii="Arial" w:hAnsi="Arial" w:cs="Arial"/>
          <w:b/>
          <w:bCs/>
          <w:sz w:val="22"/>
          <w:szCs w:val="22"/>
        </w:rPr>
      </w:pPr>
      <w:r w:rsidRPr="00401707">
        <w:rPr>
          <w:rFonts w:ascii="Arial" w:hAnsi="Arial" w:cs="Arial"/>
          <w:b/>
          <w:bCs/>
          <w:sz w:val="22"/>
          <w:szCs w:val="22"/>
        </w:rPr>
        <w:lastRenderedPageBreak/>
        <w:t>2.2 Data Sources</w:t>
      </w:r>
    </w:p>
    <w:p w14:paraId="5F68E577"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This study used secondary data collected from the National Police Service (NPS) through the respective Sub-County Police Headquarters within Mombasa County. The data comprised all officially reported crime incidents from 2019 to 2021</w:t>
      </w:r>
      <w:r>
        <w:rPr>
          <w:rFonts w:ascii="Arial" w:hAnsi="Arial" w:cs="Arial"/>
          <w:sz w:val="20"/>
          <w:szCs w:val="20"/>
        </w:rPr>
        <w:t xml:space="preserve">. They were </w:t>
      </w:r>
      <w:r w:rsidRPr="00596943">
        <w:rPr>
          <w:rFonts w:ascii="Arial" w:hAnsi="Arial" w:cs="Arial"/>
          <w:sz w:val="20"/>
          <w:szCs w:val="20"/>
        </w:rPr>
        <w:t xml:space="preserve">categorized by type, time and sub-county location. In total, 8,487 individual crime incidents were compiled into an Excel </w:t>
      </w:r>
      <w:r>
        <w:rPr>
          <w:rFonts w:ascii="Arial" w:hAnsi="Arial" w:cs="Arial"/>
          <w:sz w:val="20"/>
          <w:szCs w:val="20"/>
        </w:rPr>
        <w:t>file. E</w:t>
      </w:r>
      <w:r w:rsidRPr="00596943">
        <w:rPr>
          <w:rFonts w:ascii="Arial" w:hAnsi="Arial" w:cs="Arial"/>
          <w:sz w:val="20"/>
          <w:szCs w:val="20"/>
        </w:rPr>
        <w:t xml:space="preserve">ach record </w:t>
      </w:r>
      <w:r>
        <w:rPr>
          <w:rFonts w:ascii="Arial" w:hAnsi="Arial" w:cs="Arial"/>
          <w:sz w:val="20"/>
          <w:szCs w:val="20"/>
        </w:rPr>
        <w:t>had</w:t>
      </w:r>
      <w:r w:rsidRPr="00596943">
        <w:rPr>
          <w:rFonts w:ascii="Arial" w:hAnsi="Arial" w:cs="Arial"/>
          <w:sz w:val="20"/>
          <w:szCs w:val="20"/>
        </w:rPr>
        <w:t xml:space="preserve"> attributes </w:t>
      </w:r>
      <w:r>
        <w:rPr>
          <w:rFonts w:ascii="Arial" w:hAnsi="Arial" w:cs="Arial"/>
          <w:sz w:val="20"/>
          <w:szCs w:val="20"/>
        </w:rPr>
        <w:t>which included</w:t>
      </w:r>
      <w:r w:rsidRPr="00596943">
        <w:rPr>
          <w:rFonts w:ascii="Arial" w:hAnsi="Arial" w:cs="Arial"/>
          <w:sz w:val="20"/>
          <w:szCs w:val="20"/>
        </w:rPr>
        <w:t xml:space="preserve"> crime category, reporting date and administrative unit</w:t>
      </w:r>
      <w:r>
        <w:rPr>
          <w:rFonts w:ascii="Arial" w:hAnsi="Arial" w:cs="Arial"/>
          <w:sz w:val="20"/>
          <w:szCs w:val="20"/>
        </w:rPr>
        <w:t xml:space="preserve"> in the</w:t>
      </w:r>
      <w:r w:rsidRPr="00596943">
        <w:rPr>
          <w:rFonts w:ascii="Arial" w:hAnsi="Arial" w:cs="Arial"/>
          <w:sz w:val="20"/>
          <w:szCs w:val="20"/>
        </w:rPr>
        <w:t xml:space="preserve"> County.</w:t>
      </w:r>
    </w:p>
    <w:p w14:paraId="5637E756"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 xml:space="preserve">The dataset </w:t>
      </w:r>
      <w:r>
        <w:rPr>
          <w:rFonts w:ascii="Arial" w:hAnsi="Arial" w:cs="Arial"/>
          <w:sz w:val="20"/>
          <w:szCs w:val="20"/>
        </w:rPr>
        <w:t>had</w:t>
      </w:r>
      <w:r w:rsidRPr="00596943">
        <w:rPr>
          <w:rFonts w:ascii="Arial" w:hAnsi="Arial" w:cs="Arial"/>
          <w:sz w:val="20"/>
          <w:szCs w:val="20"/>
        </w:rPr>
        <w:t xml:space="preserve"> 73 variables</w:t>
      </w:r>
      <w:r>
        <w:rPr>
          <w:rFonts w:ascii="Arial" w:hAnsi="Arial" w:cs="Arial"/>
          <w:sz w:val="20"/>
          <w:szCs w:val="20"/>
        </w:rPr>
        <w:t xml:space="preserve"> that</w:t>
      </w:r>
      <w:r w:rsidRPr="00596943">
        <w:rPr>
          <w:rFonts w:ascii="Arial" w:hAnsi="Arial" w:cs="Arial"/>
          <w:sz w:val="20"/>
          <w:szCs w:val="20"/>
        </w:rPr>
        <w:t xml:space="preserve"> represent</w:t>
      </w:r>
      <w:r>
        <w:rPr>
          <w:rFonts w:ascii="Arial" w:hAnsi="Arial" w:cs="Arial"/>
          <w:sz w:val="20"/>
          <w:szCs w:val="20"/>
        </w:rPr>
        <w:t>ed</w:t>
      </w:r>
      <w:r w:rsidRPr="00596943">
        <w:rPr>
          <w:rFonts w:ascii="Arial" w:hAnsi="Arial" w:cs="Arial"/>
          <w:sz w:val="20"/>
          <w:szCs w:val="20"/>
        </w:rPr>
        <w:t xml:space="preserve"> different crime types ranging from petty offences</w:t>
      </w:r>
      <w:r>
        <w:rPr>
          <w:rFonts w:ascii="Arial" w:hAnsi="Arial" w:cs="Arial"/>
          <w:sz w:val="20"/>
          <w:szCs w:val="20"/>
        </w:rPr>
        <w:t xml:space="preserve"> such as drunkenness</w:t>
      </w:r>
      <w:r w:rsidRPr="00596943">
        <w:rPr>
          <w:rFonts w:ascii="Arial" w:hAnsi="Arial" w:cs="Arial"/>
          <w:sz w:val="20"/>
          <w:szCs w:val="20"/>
        </w:rPr>
        <w:t xml:space="preserve"> to serious crimes such as robbery with violence, defilement and murder. To enable systematic analysis</w:t>
      </w:r>
      <w:r>
        <w:rPr>
          <w:rFonts w:ascii="Arial" w:hAnsi="Arial" w:cs="Arial"/>
          <w:sz w:val="20"/>
          <w:szCs w:val="20"/>
        </w:rPr>
        <w:t xml:space="preserve"> of the data</w:t>
      </w:r>
      <w:r w:rsidRPr="00596943">
        <w:rPr>
          <w:rFonts w:ascii="Arial" w:hAnsi="Arial" w:cs="Arial"/>
          <w:sz w:val="20"/>
          <w:szCs w:val="20"/>
        </w:rPr>
        <w:t>, the crimes were grouped into broader categories</w:t>
      </w:r>
      <w:r>
        <w:rPr>
          <w:rFonts w:ascii="Arial" w:hAnsi="Arial" w:cs="Arial"/>
          <w:sz w:val="20"/>
          <w:szCs w:val="20"/>
        </w:rPr>
        <w:t xml:space="preserve"> which included</w:t>
      </w:r>
      <w:r w:rsidRPr="00596943">
        <w:rPr>
          <w:rFonts w:ascii="Arial" w:hAnsi="Arial" w:cs="Arial"/>
          <w:sz w:val="20"/>
          <w:szCs w:val="20"/>
        </w:rPr>
        <w:t xml:space="preserve"> stealing, offences against persons, drug-related crimes, economic crimes, sexual offences, robbery, homicide, and others</w:t>
      </w:r>
      <w:r>
        <w:rPr>
          <w:rFonts w:ascii="Arial" w:hAnsi="Arial" w:cs="Arial"/>
          <w:sz w:val="20"/>
          <w:szCs w:val="20"/>
        </w:rPr>
        <w:t xml:space="preserve"> (Muindi et.,2022)</w:t>
      </w:r>
      <w:r w:rsidRPr="00596943">
        <w:rPr>
          <w:rFonts w:ascii="Arial" w:hAnsi="Arial" w:cs="Arial"/>
          <w:sz w:val="20"/>
          <w:szCs w:val="20"/>
        </w:rPr>
        <w:t xml:space="preserve">. </w:t>
      </w:r>
      <w:r>
        <w:rPr>
          <w:rFonts w:ascii="Arial" w:hAnsi="Arial" w:cs="Arial"/>
          <w:sz w:val="20"/>
          <w:szCs w:val="20"/>
        </w:rPr>
        <w:t>In addition, a</w:t>
      </w:r>
      <w:r w:rsidRPr="00596943">
        <w:rPr>
          <w:rFonts w:ascii="Arial" w:hAnsi="Arial" w:cs="Arial"/>
          <w:sz w:val="20"/>
          <w:szCs w:val="20"/>
        </w:rPr>
        <w:t>dministrative boundary shapefiles for the six sub-counties were obtained from the Kenya Open Data portal and supplemented with layers from the Independent Electoral and Boundaries Commission</w:t>
      </w:r>
      <w:r>
        <w:rPr>
          <w:rFonts w:ascii="Arial" w:hAnsi="Arial" w:cs="Arial"/>
          <w:sz w:val="20"/>
          <w:szCs w:val="20"/>
        </w:rPr>
        <w:t xml:space="preserve"> (KNBS, 2019)</w:t>
      </w:r>
      <w:r w:rsidRPr="00596943">
        <w:rPr>
          <w:rFonts w:ascii="Arial" w:hAnsi="Arial" w:cs="Arial"/>
          <w:sz w:val="20"/>
          <w:szCs w:val="20"/>
        </w:rPr>
        <w:t>.</w:t>
      </w:r>
    </w:p>
    <w:p w14:paraId="39B2B7AB" w14:textId="77777777" w:rsidR="00136411" w:rsidRPr="00401707" w:rsidRDefault="00136411" w:rsidP="00136411">
      <w:pPr>
        <w:tabs>
          <w:tab w:val="left" w:pos="1095"/>
        </w:tabs>
        <w:jc w:val="both"/>
        <w:rPr>
          <w:rFonts w:ascii="Arial" w:hAnsi="Arial" w:cs="Arial"/>
          <w:b/>
          <w:bCs/>
          <w:sz w:val="22"/>
          <w:szCs w:val="22"/>
        </w:rPr>
      </w:pPr>
      <w:r w:rsidRPr="00401707">
        <w:rPr>
          <w:rFonts w:ascii="Arial" w:hAnsi="Arial" w:cs="Arial"/>
          <w:b/>
          <w:bCs/>
          <w:sz w:val="22"/>
          <w:szCs w:val="22"/>
        </w:rPr>
        <w:t>2.3 Data Cleaning and Standardization</w:t>
      </w:r>
    </w:p>
    <w:p w14:paraId="183CE467" w14:textId="77777777" w:rsidR="00136411" w:rsidRPr="00596943" w:rsidRDefault="00136411" w:rsidP="00136411">
      <w:pPr>
        <w:tabs>
          <w:tab w:val="left" w:pos="1095"/>
        </w:tabs>
        <w:jc w:val="both"/>
        <w:rPr>
          <w:rFonts w:ascii="Arial" w:hAnsi="Arial" w:cs="Arial"/>
          <w:sz w:val="20"/>
          <w:szCs w:val="20"/>
        </w:rPr>
      </w:pPr>
      <w:r>
        <w:rPr>
          <w:rFonts w:ascii="Arial" w:hAnsi="Arial" w:cs="Arial"/>
          <w:sz w:val="20"/>
          <w:szCs w:val="20"/>
        </w:rPr>
        <w:t>The data was cleaned b</w:t>
      </w:r>
      <w:r w:rsidRPr="00596943">
        <w:rPr>
          <w:rFonts w:ascii="Arial" w:hAnsi="Arial" w:cs="Arial"/>
          <w:sz w:val="20"/>
          <w:szCs w:val="20"/>
        </w:rPr>
        <w:t xml:space="preserve">efore analysis and standardized in Microsoft Excel and QGIS. </w:t>
      </w:r>
      <w:r>
        <w:rPr>
          <w:rFonts w:ascii="Arial" w:hAnsi="Arial" w:cs="Arial"/>
          <w:sz w:val="20"/>
          <w:szCs w:val="20"/>
        </w:rPr>
        <w:t>The cleaning procedure entailed</w:t>
      </w:r>
      <w:r w:rsidRPr="00596943">
        <w:rPr>
          <w:rFonts w:ascii="Arial" w:hAnsi="Arial" w:cs="Arial"/>
          <w:sz w:val="20"/>
          <w:szCs w:val="20"/>
        </w:rPr>
        <w:t xml:space="preserve"> checking for duplicates, missing values and inconsistencies in crime classification. </w:t>
      </w:r>
      <w:r>
        <w:rPr>
          <w:rFonts w:ascii="Arial" w:hAnsi="Arial" w:cs="Arial"/>
          <w:sz w:val="20"/>
          <w:szCs w:val="20"/>
        </w:rPr>
        <w:t>Further still the c</w:t>
      </w:r>
      <w:r w:rsidRPr="00596943">
        <w:rPr>
          <w:rFonts w:ascii="Arial" w:hAnsi="Arial" w:cs="Arial"/>
          <w:sz w:val="20"/>
          <w:szCs w:val="20"/>
        </w:rPr>
        <w:t>rime categories were unified by merging similar offences under standard headers based on the</w:t>
      </w:r>
      <w:r>
        <w:rPr>
          <w:rFonts w:ascii="Arial" w:hAnsi="Arial" w:cs="Arial"/>
          <w:sz w:val="20"/>
          <w:szCs w:val="20"/>
        </w:rPr>
        <w:t xml:space="preserve"> crime type (NPS, 2019)</w:t>
      </w:r>
      <w:r w:rsidRPr="00596943">
        <w:rPr>
          <w:rFonts w:ascii="Arial" w:hAnsi="Arial" w:cs="Arial"/>
          <w:sz w:val="20"/>
          <w:szCs w:val="20"/>
        </w:rPr>
        <w:t>.</w:t>
      </w:r>
      <w:r>
        <w:rPr>
          <w:rFonts w:ascii="Arial" w:hAnsi="Arial" w:cs="Arial"/>
          <w:sz w:val="20"/>
          <w:szCs w:val="20"/>
        </w:rPr>
        <w:t xml:space="preserve"> </w:t>
      </w:r>
      <w:r w:rsidRPr="00596943">
        <w:rPr>
          <w:rFonts w:ascii="Arial" w:hAnsi="Arial" w:cs="Arial"/>
          <w:sz w:val="20"/>
          <w:szCs w:val="20"/>
        </w:rPr>
        <w:t xml:space="preserve">Textual errors in sub-county naming and misclassifications were </w:t>
      </w:r>
      <w:r>
        <w:rPr>
          <w:rFonts w:ascii="Arial" w:hAnsi="Arial" w:cs="Arial"/>
          <w:sz w:val="20"/>
          <w:szCs w:val="20"/>
        </w:rPr>
        <w:t xml:space="preserve">also </w:t>
      </w:r>
      <w:r w:rsidRPr="00596943">
        <w:rPr>
          <w:rFonts w:ascii="Arial" w:hAnsi="Arial" w:cs="Arial"/>
          <w:sz w:val="20"/>
          <w:szCs w:val="20"/>
        </w:rPr>
        <w:t>corrected</w:t>
      </w:r>
      <w:r>
        <w:rPr>
          <w:rFonts w:ascii="Arial" w:hAnsi="Arial" w:cs="Arial"/>
          <w:sz w:val="20"/>
          <w:szCs w:val="20"/>
        </w:rPr>
        <w:t xml:space="preserve"> as part of data cleaning</w:t>
      </w:r>
      <w:r w:rsidRPr="00596943">
        <w:rPr>
          <w:rFonts w:ascii="Arial" w:hAnsi="Arial" w:cs="Arial"/>
          <w:sz w:val="20"/>
          <w:szCs w:val="20"/>
        </w:rPr>
        <w:t>. Geospatial referencing was conducted by associating each crime record with its corresponding sub-county polygon, given the lack of individual incident GPS coordinates</w:t>
      </w:r>
      <w:r>
        <w:rPr>
          <w:rFonts w:ascii="Arial" w:hAnsi="Arial" w:cs="Arial"/>
          <w:sz w:val="20"/>
          <w:szCs w:val="20"/>
        </w:rPr>
        <w:t xml:space="preserve"> (Barasa, 2013)</w:t>
      </w:r>
      <w:r w:rsidRPr="00596943">
        <w:rPr>
          <w:rFonts w:ascii="Arial" w:hAnsi="Arial" w:cs="Arial"/>
          <w:sz w:val="20"/>
          <w:szCs w:val="20"/>
        </w:rPr>
        <w:t>.</w:t>
      </w:r>
    </w:p>
    <w:p w14:paraId="73130F9E"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The data w</w:t>
      </w:r>
      <w:r>
        <w:rPr>
          <w:rFonts w:ascii="Arial" w:hAnsi="Arial" w:cs="Arial"/>
          <w:sz w:val="20"/>
          <w:szCs w:val="20"/>
        </w:rPr>
        <w:t>as</w:t>
      </w:r>
      <w:r w:rsidRPr="00596943">
        <w:rPr>
          <w:rFonts w:ascii="Arial" w:hAnsi="Arial" w:cs="Arial"/>
          <w:sz w:val="20"/>
          <w:szCs w:val="20"/>
        </w:rPr>
        <w:t xml:space="preserve"> then exported into shapefiles and joined with sub-county boundary maps in ArcGIS 10.8. These processes</w:t>
      </w:r>
      <w:r>
        <w:rPr>
          <w:rFonts w:ascii="Arial" w:hAnsi="Arial" w:cs="Arial"/>
          <w:sz w:val="20"/>
          <w:szCs w:val="20"/>
        </w:rPr>
        <w:t xml:space="preserve"> </w:t>
      </w:r>
      <w:r w:rsidRPr="00596943">
        <w:rPr>
          <w:rFonts w:ascii="Arial" w:hAnsi="Arial" w:cs="Arial"/>
          <w:sz w:val="20"/>
          <w:szCs w:val="20"/>
        </w:rPr>
        <w:t xml:space="preserve">allowed </w:t>
      </w:r>
      <w:r>
        <w:rPr>
          <w:rFonts w:ascii="Arial" w:hAnsi="Arial" w:cs="Arial"/>
          <w:sz w:val="20"/>
          <w:szCs w:val="20"/>
        </w:rPr>
        <w:t xml:space="preserve">simplified </w:t>
      </w:r>
      <w:r w:rsidRPr="00596943">
        <w:rPr>
          <w:rFonts w:ascii="Arial" w:hAnsi="Arial" w:cs="Arial"/>
          <w:sz w:val="20"/>
          <w:szCs w:val="20"/>
        </w:rPr>
        <w:t>visual representation and subsequent spatial analyses. Each crime type was coded numerically for statistical modeling and additional attributes such as population data and land use were added as covariates for regression analysis.</w:t>
      </w:r>
    </w:p>
    <w:p w14:paraId="3D4B1630" w14:textId="77777777" w:rsidR="00136411" w:rsidRPr="00401707" w:rsidRDefault="00136411" w:rsidP="00136411">
      <w:pPr>
        <w:tabs>
          <w:tab w:val="left" w:pos="1095"/>
        </w:tabs>
        <w:jc w:val="both"/>
        <w:rPr>
          <w:rFonts w:ascii="Arial" w:hAnsi="Arial" w:cs="Arial"/>
          <w:b/>
          <w:bCs/>
          <w:sz w:val="22"/>
          <w:szCs w:val="22"/>
        </w:rPr>
      </w:pPr>
      <w:r w:rsidRPr="00475ED8">
        <w:rPr>
          <w:rFonts w:ascii="Arial" w:hAnsi="Arial" w:cs="Arial"/>
          <w:b/>
          <w:bCs/>
          <w:sz w:val="22"/>
          <w:szCs w:val="22"/>
        </w:rPr>
        <w:t>2.4 Typology and General Spatial Trends of Crime</w:t>
      </w:r>
      <w:r w:rsidRPr="00475ED8" w:rsidDel="00C8559D">
        <w:rPr>
          <w:rFonts w:ascii="Arial" w:hAnsi="Arial" w:cs="Arial"/>
          <w:b/>
          <w:bCs/>
          <w:sz w:val="22"/>
          <w:szCs w:val="22"/>
        </w:rPr>
        <w:t xml:space="preserve"> </w:t>
      </w:r>
      <w:r w:rsidRPr="00475ED8">
        <w:rPr>
          <w:rFonts w:ascii="Arial" w:hAnsi="Arial" w:cs="Arial"/>
          <w:b/>
          <w:bCs/>
          <w:sz w:val="22"/>
          <w:szCs w:val="22"/>
        </w:rPr>
        <w:t xml:space="preserve"> </w:t>
      </w:r>
    </w:p>
    <w:p w14:paraId="049EF799" w14:textId="77777777" w:rsidR="00136411" w:rsidRPr="00596943" w:rsidRDefault="00136411" w:rsidP="00136411">
      <w:pPr>
        <w:tabs>
          <w:tab w:val="left" w:pos="1095"/>
        </w:tabs>
        <w:jc w:val="both"/>
        <w:rPr>
          <w:rFonts w:ascii="Arial" w:hAnsi="Arial" w:cs="Arial"/>
          <w:sz w:val="20"/>
          <w:szCs w:val="20"/>
        </w:rPr>
      </w:pPr>
      <w:r w:rsidRPr="00596943">
        <w:rPr>
          <w:rFonts w:ascii="Arial" w:hAnsi="Arial" w:cs="Arial"/>
          <w:sz w:val="20"/>
          <w:szCs w:val="20"/>
        </w:rPr>
        <w:t>To understand the distribution of different crime types, the data w</w:t>
      </w:r>
      <w:r>
        <w:rPr>
          <w:rFonts w:ascii="Arial" w:hAnsi="Arial" w:cs="Arial"/>
          <w:sz w:val="20"/>
          <w:szCs w:val="20"/>
        </w:rPr>
        <w:t>as</w:t>
      </w:r>
      <w:r w:rsidRPr="00596943">
        <w:rPr>
          <w:rFonts w:ascii="Arial" w:hAnsi="Arial" w:cs="Arial"/>
          <w:sz w:val="20"/>
          <w:szCs w:val="20"/>
        </w:rPr>
        <w:t xml:space="preserve"> grouped by category and summarized by sub-county and year. Charts and graphs were created to visualize dominant crime types and their changes over the three-year period. These descriptive analyses provided a </w:t>
      </w:r>
      <w:r>
        <w:rPr>
          <w:rFonts w:ascii="Arial" w:hAnsi="Arial" w:cs="Arial"/>
          <w:sz w:val="20"/>
          <w:szCs w:val="20"/>
        </w:rPr>
        <w:t>clear</w:t>
      </w:r>
      <w:r w:rsidRPr="00596943">
        <w:rPr>
          <w:rFonts w:ascii="Arial" w:hAnsi="Arial" w:cs="Arial"/>
          <w:sz w:val="20"/>
          <w:szCs w:val="20"/>
        </w:rPr>
        <w:t xml:space="preserve"> understanding of the spatial extent and frequency of different types of crime serving as input into the subsequent spatial modeling steps.</w:t>
      </w:r>
    </w:p>
    <w:p w14:paraId="3404DDFB" w14:textId="03AB92FF" w:rsidR="002F0790" w:rsidRDefault="00136411" w:rsidP="002F0790">
      <w:pPr>
        <w:tabs>
          <w:tab w:val="left" w:pos="1095"/>
        </w:tabs>
        <w:jc w:val="both"/>
        <w:rPr>
          <w:rFonts w:ascii="Arial" w:hAnsi="Arial" w:cs="Arial"/>
          <w:sz w:val="20"/>
          <w:szCs w:val="20"/>
        </w:rPr>
      </w:pPr>
      <w:r w:rsidRPr="00596943">
        <w:rPr>
          <w:rFonts w:ascii="Arial" w:hAnsi="Arial" w:cs="Arial"/>
          <w:sz w:val="20"/>
          <w:szCs w:val="20"/>
        </w:rPr>
        <w:t>The</w:t>
      </w:r>
      <w:r>
        <w:rPr>
          <w:rFonts w:ascii="Arial" w:hAnsi="Arial" w:cs="Arial"/>
          <w:sz w:val="20"/>
          <w:szCs w:val="20"/>
        </w:rPr>
        <w:t xml:space="preserve"> analysis, however helped to</w:t>
      </w:r>
      <w:r w:rsidRPr="00596943">
        <w:rPr>
          <w:rFonts w:ascii="Arial" w:hAnsi="Arial" w:cs="Arial"/>
          <w:sz w:val="20"/>
          <w:szCs w:val="20"/>
        </w:rPr>
        <w:t xml:space="preserve"> align</w:t>
      </w:r>
      <w:r>
        <w:rPr>
          <w:rFonts w:ascii="Arial" w:hAnsi="Arial" w:cs="Arial"/>
          <w:sz w:val="20"/>
          <w:szCs w:val="20"/>
        </w:rPr>
        <w:t xml:space="preserve"> the study </w:t>
      </w:r>
      <w:r w:rsidRPr="00596943">
        <w:rPr>
          <w:rFonts w:ascii="Arial" w:hAnsi="Arial" w:cs="Arial"/>
          <w:sz w:val="20"/>
          <w:szCs w:val="20"/>
        </w:rPr>
        <w:t>with national trends</w:t>
      </w:r>
      <w:r>
        <w:rPr>
          <w:rFonts w:ascii="Arial" w:hAnsi="Arial" w:cs="Arial"/>
          <w:sz w:val="20"/>
          <w:szCs w:val="20"/>
        </w:rPr>
        <w:t xml:space="preserve"> that are </w:t>
      </w:r>
      <w:r w:rsidRPr="00596943">
        <w:rPr>
          <w:rFonts w:ascii="Arial" w:hAnsi="Arial" w:cs="Arial"/>
          <w:sz w:val="20"/>
          <w:szCs w:val="20"/>
        </w:rPr>
        <w:t xml:space="preserve">reported by the National Crime Research Centre </w:t>
      </w:r>
      <w:r>
        <w:rPr>
          <w:rFonts w:ascii="Arial" w:hAnsi="Arial" w:cs="Arial"/>
          <w:sz w:val="20"/>
          <w:szCs w:val="20"/>
        </w:rPr>
        <w:t>hence</w:t>
      </w:r>
      <w:r w:rsidRPr="00596943">
        <w:rPr>
          <w:rFonts w:ascii="Arial" w:hAnsi="Arial" w:cs="Arial"/>
          <w:sz w:val="20"/>
          <w:szCs w:val="20"/>
        </w:rPr>
        <w:t xml:space="preserve"> provid</w:t>
      </w:r>
      <w:r>
        <w:rPr>
          <w:rFonts w:ascii="Arial" w:hAnsi="Arial" w:cs="Arial"/>
          <w:sz w:val="20"/>
          <w:szCs w:val="20"/>
        </w:rPr>
        <w:t>ing an</w:t>
      </w:r>
      <w:r w:rsidRPr="00596943">
        <w:rPr>
          <w:rFonts w:ascii="Arial" w:hAnsi="Arial" w:cs="Arial"/>
          <w:sz w:val="20"/>
          <w:szCs w:val="20"/>
        </w:rPr>
        <w:t xml:space="preserve"> important insight for mapping hotspots and determining variables for spatial autocorrelation analysis</w:t>
      </w:r>
      <w:r w:rsidR="002F0790">
        <w:rPr>
          <w:rFonts w:ascii="Arial" w:hAnsi="Arial" w:cs="Arial"/>
          <w:sz w:val="20"/>
          <w:szCs w:val="20"/>
        </w:rPr>
        <w:t>.</w:t>
      </w:r>
    </w:p>
    <w:p w14:paraId="42BC5290"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2.5 GIS-Based Hotspot Analysis Using Kernel Density Estimation (KDE)</w:t>
      </w:r>
    </w:p>
    <w:p w14:paraId="7F138816" w14:textId="3499108E" w:rsidR="003348C3" w:rsidRPr="00401707" w:rsidRDefault="003348C3" w:rsidP="003348C3">
      <w:pPr>
        <w:tabs>
          <w:tab w:val="left" w:pos="1095"/>
        </w:tabs>
        <w:jc w:val="both"/>
        <w:rPr>
          <w:rFonts w:ascii="Arial" w:hAnsi="Arial" w:cs="Arial"/>
          <w:sz w:val="20"/>
          <w:szCs w:val="20"/>
        </w:rPr>
      </w:pPr>
      <w:r w:rsidRPr="00596943">
        <w:rPr>
          <w:rFonts w:ascii="Arial" w:hAnsi="Arial" w:cs="Arial"/>
          <w:sz w:val="20"/>
          <w:szCs w:val="20"/>
        </w:rPr>
        <w:t>KDE is a widely used spatial analysis technique for identifying crime hotspots</w:t>
      </w:r>
      <w:r w:rsidR="002A1CFF">
        <w:rPr>
          <w:rFonts w:ascii="Arial" w:hAnsi="Arial" w:cs="Arial"/>
          <w:sz w:val="20"/>
          <w:szCs w:val="20"/>
        </w:rPr>
        <w:t xml:space="preserve"> </w:t>
      </w:r>
      <w:r w:rsidR="002A1CFF" w:rsidRPr="00F42FEC">
        <w:rPr>
          <w:rFonts w:ascii="Arial" w:hAnsi="Arial" w:cs="Arial"/>
          <w:sz w:val="20"/>
          <w:szCs w:val="20"/>
        </w:rPr>
        <w:t>(Braga et al.,2012</w:t>
      </w:r>
      <w:r w:rsidR="00E15A65" w:rsidRPr="00F42FEC">
        <w:rPr>
          <w:rFonts w:ascii="Arial" w:hAnsi="Arial" w:cs="Arial"/>
          <w:sz w:val="20"/>
          <w:szCs w:val="20"/>
        </w:rPr>
        <w:t>;</w:t>
      </w:r>
      <w:r w:rsidR="002A1CFF" w:rsidRPr="00F42FEC">
        <w:rPr>
          <w:rFonts w:ascii="Arial" w:hAnsi="Arial" w:cs="Arial"/>
          <w:sz w:val="20"/>
          <w:szCs w:val="20"/>
        </w:rPr>
        <w:t xml:space="preserve"> Gahlin, 2014)</w:t>
      </w:r>
      <w:r w:rsidRPr="00596943">
        <w:rPr>
          <w:rFonts w:ascii="Arial" w:hAnsi="Arial" w:cs="Arial"/>
          <w:sz w:val="20"/>
          <w:szCs w:val="20"/>
        </w:rPr>
        <w:t>. In this study, KDE</w:t>
      </w:r>
      <w:r w:rsidR="00C04D68">
        <w:rPr>
          <w:rFonts w:ascii="Arial" w:hAnsi="Arial" w:cs="Arial"/>
          <w:sz w:val="20"/>
          <w:szCs w:val="20"/>
        </w:rPr>
        <w:t xml:space="preserve"> </w:t>
      </w:r>
      <w:r w:rsidR="00C04D68" w:rsidRPr="00C04D68">
        <w:rPr>
          <w:rFonts w:ascii="Arial" w:hAnsi="Arial" w:cs="Arial"/>
          <w:sz w:val="20"/>
          <w:szCs w:val="20"/>
          <w:highlight w:val="yellow"/>
        </w:rPr>
        <w:t xml:space="preserve">with </w:t>
      </w:r>
      <w:proofErr w:type="spellStart"/>
      <w:r w:rsidR="00C04D68" w:rsidRPr="00C04D68">
        <w:rPr>
          <w:rFonts w:ascii="Arial" w:hAnsi="Arial" w:cs="Arial"/>
          <w:sz w:val="20"/>
          <w:szCs w:val="20"/>
          <w:highlight w:val="yellow"/>
        </w:rPr>
        <w:t>Epanechnikov</w:t>
      </w:r>
      <w:proofErr w:type="spellEnd"/>
      <w:r w:rsidR="00C04D68" w:rsidRPr="00C04D68">
        <w:rPr>
          <w:rFonts w:ascii="Arial" w:hAnsi="Arial" w:cs="Arial"/>
          <w:sz w:val="20"/>
          <w:szCs w:val="20"/>
          <w:highlight w:val="yellow"/>
        </w:rPr>
        <w:t xml:space="preserve"> kernel function</w:t>
      </w:r>
      <w:r w:rsidRPr="00596943">
        <w:rPr>
          <w:rFonts w:ascii="Arial" w:hAnsi="Arial" w:cs="Arial"/>
          <w:sz w:val="20"/>
          <w:szCs w:val="20"/>
        </w:rPr>
        <w:t xml:space="preserve"> was </w:t>
      </w:r>
      <w:r>
        <w:rPr>
          <w:rFonts w:ascii="Arial" w:hAnsi="Arial" w:cs="Arial"/>
          <w:sz w:val="20"/>
          <w:szCs w:val="20"/>
        </w:rPr>
        <w:t>applied</w:t>
      </w:r>
      <w:r w:rsidRPr="00596943">
        <w:rPr>
          <w:rFonts w:ascii="Arial" w:hAnsi="Arial" w:cs="Arial"/>
          <w:sz w:val="20"/>
          <w:szCs w:val="20"/>
        </w:rPr>
        <w:t xml:space="preserve"> using ArcGIS to create surface density maps</w:t>
      </w:r>
      <w:r>
        <w:rPr>
          <w:rFonts w:ascii="Arial" w:hAnsi="Arial" w:cs="Arial"/>
          <w:sz w:val="20"/>
          <w:szCs w:val="20"/>
        </w:rPr>
        <w:t xml:space="preserve"> that</w:t>
      </w:r>
      <w:r w:rsidRPr="00596943">
        <w:rPr>
          <w:rFonts w:ascii="Arial" w:hAnsi="Arial" w:cs="Arial"/>
          <w:sz w:val="20"/>
          <w:szCs w:val="20"/>
        </w:rPr>
        <w:t xml:space="preserve"> represent</w:t>
      </w:r>
      <w:r>
        <w:rPr>
          <w:rFonts w:ascii="Arial" w:hAnsi="Arial" w:cs="Arial"/>
          <w:sz w:val="20"/>
          <w:szCs w:val="20"/>
        </w:rPr>
        <w:t>ed</w:t>
      </w:r>
      <w:r w:rsidRPr="00596943">
        <w:rPr>
          <w:rFonts w:ascii="Arial" w:hAnsi="Arial" w:cs="Arial"/>
          <w:sz w:val="20"/>
          <w:szCs w:val="20"/>
        </w:rPr>
        <w:t xml:space="preserve"> the concentration of crime incidents across the six sub-counties. KDE calculates the density of crime events in a defined area around each grid cell, using a kernel function that assigns greater weight to events closer to the center point.</w:t>
      </w:r>
      <w:r w:rsidR="00DE5FC3">
        <w:rPr>
          <w:rFonts w:ascii="Arial" w:hAnsi="Arial" w:cs="Arial"/>
          <w:sz w:val="20"/>
          <w:szCs w:val="20"/>
        </w:rPr>
        <w:t xml:space="preserve"> </w:t>
      </w:r>
      <w:r w:rsidRPr="00596943">
        <w:rPr>
          <w:rFonts w:ascii="Arial" w:hAnsi="Arial" w:cs="Arial"/>
          <w:sz w:val="20"/>
          <w:szCs w:val="20"/>
        </w:rPr>
        <w:t xml:space="preserve">The KDE function is defined </w:t>
      </w:r>
      <w:r w:rsidR="004B58EE">
        <w:rPr>
          <w:rFonts w:ascii="Arial" w:hAnsi="Arial" w:cs="Arial"/>
          <w:sz w:val="20"/>
          <w:szCs w:val="20"/>
        </w:rPr>
        <w:t>in equation (1)</w:t>
      </w:r>
      <w:r w:rsidRPr="00596943">
        <w:rPr>
          <w:rFonts w:ascii="Arial" w:hAnsi="Arial" w:cs="Arial"/>
          <w:sz w:val="20"/>
          <w:szCs w:val="20"/>
        </w:rPr>
        <w:t>:</w:t>
      </w:r>
      <w:r w:rsidR="004B58EE">
        <w:rPr>
          <w:rFonts w:ascii="Arial" w:hAnsi="Arial" w:cs="Arial"/>
          <w:sz w:val="20"/>
          <w:szCs w:val="20"/>
        </w:rPr>
        <w:tab/>
      </w:r>
      <w:r w:rsidR="004B58EE">
        <w:rPr>
          <w:rFonts w:ascii="Arial" w:hAnsi="Arial" w:cs="Arial"/>
          <w:sz w:val="20"/>
          <w:szCs w:val="20"/>
        </w:rPr>
        <w:tab/>
      </w:r>
      <w:r w:rsidR="004B58EE">
        <w:rPr>
          <w:rFonts w:ascii="Arial" w:hAnsi="Arial" w:cs="Arial"/>
          <w:sz w:val="20"/>
          <w:szCs w:val="20"/>
        </w:rPr>
        <w:tab/>
      </w:r>
      <w:r w:rsidRPr="00262116">
        <w:rPr>
          <w:rFonts w:ascii="Cambria Math" w:eastAsia="Cambria Math" w:hAnsi="Cambria Math" w:cs="Cambria Math"/>
          <w:b/>
          <w:bCs/>
          <w:i/>
          <w:shd w:val="clear" w:color="auto" w:fill="FFFFFF"/>
        </w:rPr>
        <w:br/>
      </w:r>
      <m:oMathPara>
        <m:oMath>
          <m:acc>
            <m:accPr>
              <m:ctrlPr>
                <w:rPr>
                  <w:rFonts w:ascii="Cambria Math" w:eastAsia="Cambria Math" w:hAnsi="Cambria Math" w:cs="Arial"/>
                  <w:b/>
                  <w:bCs/>
                  <w:i/>
                  <w:shd w:val="clear" w:color="auto" w:fill="FFFFFF"/>
                </w:rPr>
              </m:ctrlPr>
            </m:accPr>
            <m:e>
              <m:r>
                <m:rPr>
                  <m:sty m:val="bi"/>
                </m:rPr>
                <w:rPr>
                  <w:rFonts w:ascii="Cambria Math" w:eastAsia="Cambria Math" w:hAnsi="Cambria Math" w:cs="Arial"/>
                  <w:shd w:val="clear" w:color="auto" w:fill="FFFFFF"/>
                </w:rPr>
                <m:t>f</m:t>
              </m:r>
            </m:e>
          </m:acc>
          <m:r>
            <m:rPr>
              <m:sty m:val="bi"/>
            </m:rPr>
            <w:rPr>
              <w:rFonts w:ascii="Cambria Math" w:eastAsia="Cambria Math" w:hAnsi="Cambria Math" w:cs="Arial"/>
              <w:shd w:val="clear" w:color="auto" w:fill="FFFFFF"/>
            </w:rPr>
            <m:t xml:space="preserve"> </m:t>
          </m:r>
          <m:d>
            <m:dPr>
              <m:ctrlPr>
                <w:rPr>
                  <w:rFonts w:ascii="Cambria Math" w:eastAsiaTheme="minorEastAsia" w:hAnsi="Cambria Math" w:cs="Arial"/>
                  <w:b/>
                  <w:bCs/>
                  <w:shd w:val="clear" w:color="auto" w:fill="FFFFFF"/>
                </w:rPr>
              </m:ctrlPr>
            </m:dPr>
            <m:e>
              <m:r>
                <m:rPr>
                  <m:sty m:val="bi"/>
                </m:rPr>
                <w:rPr>
                  <w:rFonts w:ascii="Cambria Math" w:eastAsiaTheme="minorEastAsia" w:hAnsi="Cambria Math" w:cs="Arial"/>
                  <w:shd w:val="clear" w:color="auto" w:fill="FFFFFF"/>
                </w:rPr>
                <m:t>x</m:t>
              </m:r>
            </m:e>
          </m:d>
          <m:r>
            <m:rPr>
              <m:sty m:val="bi"/>
            </m:rPr>
            <w:rPr>
              <w:rFonts w:ascii="Cambria Math" w:eastAsiaTheme="minorEastAsia" w:hAnsi="Cambria Math" w:cs="Arial"/>
              <w:shd w:val="clear" w:color="auto" w:fill="FFFFFF"/>
            </w:rPr>
            <m:t xml:space="preserve">=  </m:t>
          </m:r>
          <m:f>
            <m:fPr>
              <m:ctrlPr>
                <w:rPr>
                  <w:rFonts w:ascii="Cambria Math" w:eastAsia="Cambria Math" w:hAnsi="Cambria Math" w:cs="Arial"/>
                  <w:b/>
                  <w:bCs/>
                  <w:i/>
                  <w:shd w:val="clear" w:color="auto" w:fill="FFFFFF"/>
                </w:rPr>
              </m:ctrlPr>
            </m:fPr>
            <m:num>
              <m:r>
                <m:rPr>
                  <m:sty m:val="bi"/>
                </m:rPr>
                <w:rPr>
                  <w:rFonts w:ascii="Cambria Math" w:eastAsia="Cambria Math" w:hAnsi="Cambria Math" w:cs="Arial"/>
                  <w:shd w:val="clear" w:color="auto" w:fill="FFFFFF"/>
                </w:rPr>
                <m:t>1</m:t>
              </m:r>
            </m:num>
            <m:den>
              <m:r>
                <m:rPr>
                  <m:sty m:val="bi"/>
                </m:rPr>
                <w:rPr>
                  <w:rFonts w:ascii="Cambria Math" w:eastAsia="Cambria Math" w:hAnsi="Cambria Math" w:cs="Arial"/>
                  <w:shd w:val="clear" w:color="auto" w:fill="FFFFFF"/>
                </w:rPr>
                <m:t>n</m:t>
              </m:r>
              <m:sSup>
                <m:sSupPr>
                  <m:ctrlPr>
                    <w:rPr>
                      <w:rFonts w:ascii="Cambria Math" w:eastAsia="Cambria Math" w:hAnsi="Cambria Math" w:cs="Arial"/>
                      <w:b/>
                      <w:bCs/>
                      <w:i/>
                      <w:shd w:val="clear" w:color="auto" w:fill="FFFFFF"/>
                    </w:rPr>
                  </m:ctrlPr>
                </m:sSupPr>
                <m:e>
                  <m:r>
                    <m:rPr>
                      <m:sty m:val="bi"/>
                    </m:rPr>
                    <w:rPr>
                      <w:rFonts w:ascii="Cambria Math" w:eastAsia="Cambria Math" w:hAnsi="Cambria Math" w:cs="Arial"/>
                      <w:shd w:val="clear" w:color="auto" w:fill="FFFFFF"/>
                    </w:rPr>
                    <m:t>h</m:t>
                  </m:r>
                </m:e>
                <m:sup>
                  <m:r>
                    <m:rPr>
                      <m:sty m:val="bi"/>
                    </m:rPr>
                    <w:rPr>
                      <w:rFonts w:ascii="Cambria Math" w:eastAsia="Cambria Math" w:hAnsi="Cambria Math" w:cs="Arial"/>
                      <w:shd w:val="clear" w:color="auto" w:fill="FFFFFF"/>
                    </w:rPr>
                    <m:t>2</m:t>
                  </m:r>
                </m:sup>
              </m:sSup>
            </m:den>
          </m:f>
          <m:r>
            <m:rPr>
              <m:sty m:val="bi"/>
            </m:rPr>
            <w:rPr>
              <w:rFonts w:ascii="Cambria Math" w:eastAsiaTheme="minorEastAsia" w:hAnsi="Cambria Math" w:cs="Arial"/>
              <w:shd w:val="clear" w:color="auto" w:fill="FFFFFF"/>
            </w:rPr>
            <m:t xml:space="preserve">       </m:t>
          </m:r>
          <m:nary>
            <m:naryPr>
              <m:chr m:val="∑"/>
              <m:ctrlPr>
                <w:rPr>
                  <w:rFonts w:ascii="Cambria Math" w:eastAsia="Cambria Math" w:hAnsi="Cambria Math" w:cs="Arial"/>
                  <w:b/>
                  <w:bCs/>
                  <w:i/>
                  <w:shd w:val="clear" w:color="auto" w:fill="FFFFFF"/>
                </w:rPr>
              </m:ctrlPr>
            </m:naryPr>
            <m:sub>
              <m:r>
                <m:rPr>
                  <m:sty m:val="bi"/>
                </m:rPr>
                <w:rPr>
                  <w:rFonts w:ascii="Cambria Math" w:eastAsia="Cambria Math" w:hAnsi="Cambria Math" w:cs="Arial"/>
                  <w:shd w:val="clear" w:color="auto" w:fill="FFFFFF"/>
                </w:rPr>
                <m:t>i=1</m:t>
              </m:r>
            </m:sub>
            <m:sup>
              <m:r>
                <m:rPr>
                  <m:sty m:val="bi"/>
                </m:rPr>
                <w:rPr>
                  <w:rFonts w:ascii="Cambria Math" w:eastAsia="Cambria Math" w:hAnsi="Cambria Math" w:cs="Arial"/>
                  <w:shd w:val="clear" w:color="auto" w:fill="FFFFFF"/>
                </w:rPr>
                <m:t>n</m:t>
              </m:r>
            </m:sup>
            <m:e>
              <m:r>
                <m:rPr>
                  <m:sty m:val="bi"/>
                </m:rPr>
                <w:rPr>
                  <w:rFonts w:ascii="Cambria Math" w:eastAsia="Cambria Math" w:hAnsi="Cambria Math" w:cs="Arial"/>
                  <w:shd w:val="clear" w:color="auto" w:fill="FFFFFF"/>
                </w:rPr>
                <m:t>K</m:t>
              </m:r>
            </m:e>
          </m:nary>
          <m:r>
            <m:rPr>
              <m:sty m:val="bi"/>
            </m:rPr>
            <w:rPr>
              <w:rFonts w:ascii="Cambria Math" w:eastAsiaTheme="minorEastAsia" w:hAnsi="Cambria Math" w:cs="Arial"/>
              <w:shd w:val="clear" w:color="auto" w:fill="FFFFFF"/>
            </w:rPr>
            <m:t xml:space="preserve"> </m:t>
          </m:r>
          <m:d>
            <m:dPr>
              <m:ctrlPr>
                <w:rPr>
                  <w:rFonts w:ascii="Cambria Math" w:eastAsiaTheme="minorEastAsia" w:hAnsi="Cambria Math" w:cs="Arial"/>
                  <w:b/>
                  <w:bCs/>
                  <w:shd w:val="clear" w:color="auto" w:fill="FFFFFF"/>
                </w:rPr>
              </m:ctrlPr>
            </m:dPr>
            <m:e>
              <m:f>
                <m:fPr>
                  <m:ctrlPr>
                    <w:rPr>
                      <w:rFonts w:ascii="Cambria Math" w:eastAsia="Cambria Math" w:hAnsi="Cambria Math" w:cs="Arial"/>
                      <w:b/>
                      <w:bCs/>
                      <w:i/>
                      <w:shd w:val="clear" w:color="auto" w:fill="FFFFFF"/>
                    </w:rPr>
                  </m:ctrlPr>
                </m:fPr>
                <m:num>
                  <m:r>
                    <m:rPr>
                      <m:sty m:val="bi"/>
                    </m:rPr>
                    <w:rPr>
                      <w:rFonts w:ascii="Cambria Math" w:eastAsia="Cambria Math" w:hAnsi="Cambria Math" w:cs="Arial"/>
                      <w:shd w:val="clear" w:color="auto" w:fill="FFFFFF"/>
                    </w:rPr>
                    <m:t xml:space="preserve">x - </m:t>
                  </m:r>
                  <m:sSub>
                    <m:sSubPr>
                      <m:ctrlPr>
                        <w:rPr>
                          <w:rFonts w:ascii="Cambria Math" w:eastAsia="Cambria Math" w:hAnsi="Cambria Math" w:cs="Arial"/>
                          <w:b/>
                          <w:bCs/>
                          <w:i/>
                          <w:shd w:val="clear" w:color="auto" w:fill="FFFFFF"/>
                        </w:rPr>
                      </m:ctrlPr>
                    </m:sSubPr>
                    <m:e>
                      <m:r>
                        <m:rPr>
                          <m:sty m:val="bi"/>
                        </m:rPr>
                        <w:rPr>
                          <w:rFonts w:ascii="Cambria Math" w:eastAsia="Cambria Math" w:hAnsi="Cambria Math" w:cs="Arial"/>
                          <w:shd w:val="clear" w:color="auto" w:fill="FFFFFF"/>
                        </w:rPr>
                        <m:t>x</m:t>
                      </m:r>
                    </m:e>
                    <m:sub>
                      <m:r>
                        <m:rPr>
                          <m:sty m:val="bi"/>
                        </m:rPr>
                        <w:rPr>
                          <w:rFonts w:ascii="Cambria Math" w:eastAsia="Cambria Math" w:hAnsi="Cambria Math" w:cs="Arial"/>
                          <w:shd w:val="clear" w:color="auto" w:fill="FFFFFF"/>
                        </w:rPr>
                        <m:t>i</m:t>
                      </m:r>
                    </m:sub>
                  </m:sSub>
                </m:num>
                <m:den>
                  <m:r>
                    <m:rPr>
                      <m:sty m:val="bi"/>
                    </m:rPr>
                    <w:rPr>
                      <w:rFonts w:ascii="Cambria Math" w:eastAsia="Cambria Math" w:hAnsi="Cambria Math" w:cs="Arial"/>
                      <w:shd w:val="clear" w:color="auto" w:fill="FFFFFF"/>
                    </w:rPr>
                    <m:t>h</m:t>
                  </m:r>
                </m:den>
              </m:f>
            </m:e>
          </m:d>
          <m:r>
            <m:rPr>
              <m:sty m:val="bi"/>
            </m:rPr>
            <w:rPr>
              <w:rFonts w:ascii="Cambria Math" w:eastAsiaTheme="minorEastAsia" w:hAnsi="Cambria Math" w:cs="Arial"/>
              <w:shd w:val="clear" w:color="auto" w:fill="FFFFFF"/>
            </w:rPr>
            <m:t xml:space="preserve">   </m:t>
          </m:r>
        </m:oMath>
      </m:oMathPara>
    </w:p>
    <w:p w14:paraId="2B58B0D3" w14:textId="77777777" w:rsidR="003348C3" w:rsidRPr="00135F86" w:rsidRDefault="003348C3" w:rsidP="003348C3">
      <w:pPr>
        <w:spacing w:line="360" w:lineRule="auto"/>
        <w:jc w:val="both"/>
        <w:rPr>
          <w:rFonts w:ascii="Arial" w:hAnsi="Arial" w:cs="Arial"/>
          <w:sz w:val="20"/>
          <w:szCs w:val="20"/>
          <w:shd w:val="clear" w:color="auto" w:fill="FFFFFF"/>
        </w:rPr>
      </w:pPr>
      <w:r w:rsidRPr="00135F86">
        <w:rPr>
          <w:rFonts w:ascii="Arial" w:hAnsi="Arial" w:cs="Arial"/>
          <w:sz w:val="20"/>
          <w:szCs w:val="20"/>
          <w:shd w:val="clear" w:color="auto" w:fill="FFFFFF"/>
        </w:rPr>
        <w:t>Where;</w:t>
      </w:r>
    </w:p>
    <w:p w14:paraId="048459CF" w14:textId="1293EB97" w:rsidR="003348C3" w:rsidRPr="00D01F07" w:rsidRDefault="00F63C79" w:rsidP="00D01F07">
      <w:pPr>
        <w:spacing w:after="200" w:line="360" w:lineRule="auto"/>
        <w:ind w:left="360"/>
        <w:jc w:val="both"/>
        <w:rPr>
          <w:rFonts w:ascii="Arial" w:hAnsi="Arial" w:cs="Arial"/>
          <w:sz w:val="20"/>
          <w:szCs w:val="20"/>
          <w:shd w:val="clear" w:color="auto" w:fill="FFFFFF"/>
        </w:rPr>
      </w:pPr>
      <m:oMathPara>
        <m:oMathParaPr>
          <m:jc m:val="left"/>
        </m:oMathParaPr>
        <m:oMath>
          <m:acc>
            <m:accPr>
              <m:ctrlPr>
                <w:rPr>
                  <w:rFonts w:ascii="Cambria Math" w:eastAsia="Cambria Math" w:hAnsi="Cambria Math" w:cs="Arial"/>
                  <w:i/>
                  <w:sz w:val="20"/>
                  <w:szCs w:val="20"/>
                  <w:shd w:val="clear" w:color="auto" w:fill="FFFFFF"/>
                </w:rPr>
              </m:ctrlPr>
            </m:accPr>
            <m:e>
              <m:r>
                <w:rPr>
                  <w:rFonts w:ascii="Cambria Math" w:eastAsia="Cambria Math" w:hAnsi="Cambria Math" w:cs="Arial"/>
                  <w:sz w:val="20"/>
                  <w:szCs w:val="20"/>
                  <w:shd w:val="clear" w:color="auto" w:fill="FFFFFF"/>
                </w:rPr>
                <m:t>f</m:t>
              </m:r>
            </m:e>
          </m:acc>
          <m:d>
            <m:dPr>
              <m:ctrlPr>
                <w:rPr>
                  <w:rFonts w:ascii="Cambria Math" w:eastAsia="Cambria Math" w:hAnsi="Cambria Math" w:cs="Arial"/>
                  <w:i/>
                  <w:sz w:val="20"/>
                  <w:szCs w:val="20"/>
                  <w:shd w:val="clear" w:color="auto" w:fill="FFFFFF"/>
                </w:rPr>
              </m:ctrlPr>
            </m:dPr>
            <m:e>
              <m:r>
                <w:rPr>
                  <w:rFonts w:ascii="Cambria Math" w:eastAsia="Cambria Math" w:hAnsi="Cambria Math" w:cs="Arial"/>
                  <w:sz w:val="20"/>
                  <w:szCs w:val="20"/>
                  <w:shd w:val="clear" w:color="auto" w:fill="FFFFFF"/>
                </w:rPr>
                <m:t>x</m:t>
              </m:r>
              <m:ctrlPr>
                <w:rPr>
                  <w:rFonts w:ascii="Cambria Math" w:eastAsia="Cambria Math" w:hAnsi="Cambria Math" w:cs="Arial"/>
                  <w:sz w:val="20"/>
                  <w:szCs w:val="20"/>
                  <w:shd w:val="clear" w:color="auto" w:fill="FFFFFF"/>
                </w:rPr>
              </m:ctrlPr>
            </m:e>
          </m:d>
          <m:r>
            <m:rPr>
              <m:sty m:val="p"/>
            </m:rPr>
            <w:rPr>
              <w:rFonts w:ascii="Cambria Math" w:eastAsia="Cambria Math" w:hAnsi="Cambria Math" w:cs="Arial"/>
              <w:sz w:val="20"/>
              <w:szCs w:val="20"/>
              <w:shd w:val="clear" w:color="auto" w:fill="FFFFFF"/>
            </w:rPr>
            <m:t>=estimated density function at location</m:t>
          </m:r>
          <m:r>
            <w:rPr>
              <w:rFonts w:ascii="Cambria Math" w:eastAsia="Cambria Math" w:hAnsi="Cambria Math" w:cs="Arial"/>
              <w:sz w:val="20"/>
              <w:szCs w:val="20"/>
              <w:shd w:val="clear" w:color="auto" w:fill="FFFFFF"/>
            </w:rPr>
            <m:t xml:space="preserve"> </m:t>
          </m:r>
          <m:r>
            <w:rPr>
              <w:rFonts w:ascii="Cambria Math" w:eastAsiaTheme="minorEastAsia" w:hAnsi="Cambria Math" w:cs="Arial"/>
              <w:sz w:val="20"/>
              <w:szCs w:val="20"/>
              <w:shd w:val="clear" w:color="auto" w:fill="FFFFFF"/>
            </w:rPr>
            <m:t>x</m:t>
          </m:r>
          <m:r>
            <w:rPr>
              <w:rFonts w:ascii="Cambria Math" w:eastAsia="Cambria Math" w:hAnsi="Cambria Math" w:cs="Arial"/>
              <w:sz w:val="20"/>
              <w:szCs w:val="20"/>
              <w:shd w:val="clear" w:color="auto" w:fill="FFFFFF"/>
            </w:rPr>
            <m:t>,</m:t>
          </m:r>
        </m:oMath>
      </m:oMathPara>
    </w:p>
    <w:p w14:paraId="647614CB" w14:textId="4FC1BD5F" w:rsidR="003348C3" w:rsidRPr="00D01F07" w:rsidRDefault="003348C3" w:rsidP="00D01F07">
      <w:pPr>
        <w:spacing w:after="200" w:line="360" w:lineRule="auto"/>
        <w:ind w:left="360"/>
        <w:jc w:val="both"/>
        <w:rPr>
          <w:rFonts w:ascii="Arial" w:hAnsi="Arial" w:cs="Arial"/>
          <w:sz w:val="20"/>
          <w:szCs w:val="20"/>
          <w:shd w:val="clear" w:color="auto" w:fill="FFFFFF"/>
        </w:rPr>
      </w:pPr>
      <w:bookmarkStart w:id="0" w:name="_Hlk208751722"/>
      <m:oMath>
        <m:r>
          <w:rPr>
            <w:rFonts w:ascii="Cambria Math" w:eastAsia="Cambria Math" w:hAnsi="Cambria Math" w:cs="Arial"/>
            <w:sz w:val="20"/>
            <w:szCs w:val="20"/>
            <w:shd w:val="clear" w:color="auto" w:fill="FFFFFF"/>
          </w:rPr>
          <m:t>n</m:t>
        </m:r>
      </m:oMath>
      <w:r w:rsidRPr="00D01F07">
        <w:rPr>
          <w:rFonts w:ascii="Arial" w:hAnsi="Arial" w:cs="Arial"/>
          <w:sz w:val="20"/>
          <w:szCs w:val="20"/>
          <w:shd w:val="clear" w:color="auto" w:fill="FFFFFF"/>
        </w:rPr>
        <w:t xml:space="preserve"> </w:t>
      </w:r>
      <w:r w:rsidR="004B58EE" w:rsidRPr="00D01F07">
        <w:rPr>
          <w:rFonts w:ascii="Arial" w:eastAsia="Times New Roman" w:hAnsi="Arial" w:cs="Arial"/>
          <w:sz w:val="20"/>
          <w:szCs w:val="20"/>
          <w:shd w:val="clear" w:color="auto" w:fill="FFFFFF"/>
        </w:rPr>
        <w:t xml:space="preserve">= </w:t>
      </w:r>
      <w:r w:rsidRPr="00D01F07">
        <w:rPr>
          <w:rFonts w:ascii="Arial" w:eastAsia="Times New Roman" w:hAnsi="Arial" w:cs="Arial"/>
          <w:sz w:val="20"/>
          <w:szCs w:val="20"/>
          <w:shd w:val="clear" w:color="auto" w:fill="FFFFFF"/>
        </w:rPr>
        <w:t>number of crime events,</w:t>
      </w:r>
    </w:p>
    <w:p w14:paraId="21088B3C" w14:textId="568AC438" w:rsidR="003348C3" w:rsidRPr="00D01F07" w:rsidRDefault="003348C3" w:rsidP="00D01F07">
      <w:pPr>
        <w:spacing w:after="200" w:line="360" w:lineRule="auto"/>
        <w:ind w:left="360"/>
        <w:jc w:val="both"/>
        <w:rPr>
          <w:rFonts w:ascii="Arial" w:eastAsia="Times New Roman" w:hAnsi="Arial" w:cs="Arial"/>
          <w:sz w:val="20"/>
          <w:szCs w:val="20"/>
          <w:shd w:val="clear" w:color="auto" w:fill="FFFFFF"/>
        </w:rPr>
      </w:pPr>
      <m:oMath>
        <m:r>
          <m:rPr>
            <m:sty m:val="p"/>
          </m:rPr>
          <w:rPr>
            <w:rFonts w:ascii="Cambria Math" w:eastAsia="Cambria Math" w:hAnsi="Cambria Math" w:cs="Arial"/>
            <w:sz w:val="20"/>
            <w:szCs w:val="20"/>
            <w:shd w:val="clear" w:color="auto" w:fill="FFFFFF"/>
          </w:rPr>
          <m:t>h</m:t>
        </m:r>
      </m:oMath>
      <w:r w:rsidRPr="00D01F07">
        <w:rPr>
          <w:rFonts w:ascii="Arial" w:eastAsia="Times New Roman" w:hAnsi="Arial" w:cs="Arial"/>
          <w:sz w:val="20"/>
          <w:szCs w:val="20"/>
          <w:shd w:val="clear" w:color="auto" w:fill="FFFFFF"/>
        </w:rPr>
        <w:t xml:space="preserve"> </w:t>
      </w:r>
      <w:r w:rsidR="004B58EE" w:rsidRPr="00D01F07">
        <w:rPr>
          <w:rFonts w:ascii="Arial" w:eastAsia="Times New Roman" w:hAnsi="Arial" w:cs="Arial"/>
          <w:sz w:val="20"/>
          <w:szCs w:val="20"/>
          <w:shd w:val="clear" w:color="auto" w:fill="FFFFFF"/>
        </w:rPr>
        <w:t xml:space="preserve">= </w:t>
      </w:r>
      <w:r w:rsidRPr="00D01F07">
        <w:rPr>
          <w:rFonts w:ascii="Arial" w:eastAsia="Times New Roman" w:hAnsi="Arial" w:cs="Arial"/>
          <w:sz w:val="20"/>
          <w:szCs w:val="20"/>
          <w:shd w:val="clear" w:color="auto" w:fill="FFFFFF"/>
        </w:rPr>
        <w:t>bandwidth or smoothing parameters that determines the extent of smoothing,</w:t>
      </w:r>
    </w:p>
    <w:p w14:paraId="5FD24E51" w14:textId="249688F7" w:rsidR="003348C3" w:rsidRPr="00D01F07" w:rsidRDefault="00F63C79" w:rsidP="00D01F07">
      <w:pPr>
        <w:spacing w:after="200" w:line="360" w:lineRule="auto"/>
        <w:ind w:left="360"/>
        <w:jc w:val="both"/>
        <w:rPr>
          <w:rFonts w:ascii="Arial" w:eastAsia="Times New Roman" w:hAnsi="Arial" w:cs="Arial"/>
          <w:sz w:val="20"/>
          <w:szCs w:val="20"/>
          <w:shd w:val="clear" w:color="auto" w:fill="FFFFFF"/>
        </w:rPr>
      </w:pPr>
      <m:oMath>
        <m:sSub>
          <m:sSubPr>
            <m:ctrlPr>
              <w:rPr>
                <w:rFonts w:ascii="Cambria Math" w:eastAsia="Cambria Math" w:hAnsi="Cambria Math" w:cs="Arial"/>
                <w:i/>
                <w:sz w:val="20"/>
                <w:szCs w:val="20"/>
                <w:shd w:val="clear" w:color="auto" w:fill="FFFFFF"/>
              </w:rPr>
            </m:ctrlPr>
          </m:sSubPr>
          <m:e>
            <m:r>
              <w:rPr>
                <w:rFonts w:ascii="Cambria Math" w:eastAsia="Cambria Math" w:hAnsi="Cambria Math" w:cs="Arial"/>
                <w:sz w:val="20"/>
                <w:szCs w:val="20"/>
                <w:shd w:val="clear" w:color="auto" w:fill="FFFFFF"/>
              </w:rPr>
              <m:t>x</m:t>
            </m:r>
          </m:e>
          <m:sub>
            <m:r>
              <w:rPr>
                <w:rFonts w:ascii="Cambria Math" w:eastAsia="Cambria Math" w:hAnsi="Cambria Math" w:cs="Arial"/>
                <w:sz w:val="20"/>
                <w:szCs w:val="20"/>
                <w:shd w:val="clear" w:color="auto" w:fill="FFFFFF"/>
              </w:rPr>
              <m:t>i</m:t>
            </m:r>
          </m:sub>
        </m:sSub>
      </m:oMath>
      <w:r w:rsidR="003348C3" w:rsidRPr="00D01F07">
        <w:rPr>
          <w:rFonts w:ascii="Arial" w:eastAsia="Times New Roman" w:hAnsi="Arial" w:cs="Arial"/>
          <w:sz w:val="20"/>
          <w:szCs w:val="20"/>
          <w:shd w:val="clear" w:color="auto" w:fill="FFFFFF"/>
        </w:rPr>
        <w:t xml:space="preserve"> </w:t>
      </w:r>
      <w:r w:rsidR="004B58EE" w:rsidRPr="00D01F07">
        <w:rPr>
          <w:rFonts w:ascii="Arial" w:eastAsia="Times New Roman" w:hAnsi="Arial" w:cs="Arial"/>
          <w:sz w:val="20"/>
          <w:szCs w:val="20"/>
          <w:shd w:val="clear" w:color="auto" w:fill="FFFFFF"/>
        </w:rPr>
        <w:t xml:space="preserve">= </w:t>
      </w:r>
      <w:r w:rsidR="003348C3" w:rsidRPr="00D01F07">
        <w:rPr>
          <w:rFonts w:ascii="Arial" w:eastAsia="Times New Roman" w:hAnsi="Arial" w:cs="Arial"/>
          <w:sz w:val="20"/>
          <w:szCs w:val="20"/>
          <w:shd w:val="clear" w:color="auto" w:fill="FFFFFF"/>
        </w:rPr>
        <w:t>coordinates of each crime event,</w:t>
      </w:r>
    </w:p>
    <w:p w14:paraId="22136B3E" w14:textId="3E111F6E" w:rsidR="003348C3" w:rsidRDefault="003348C3" w:rsidP="00D01F07">
      <w:pPr>
        <w:spacing w:after="200" w:line="360" w:lineRule="auto"/>
        <w:ind w:left="360"/>
        <w:jc w:val="both"/>
        <w:rPr>
          <w:rFonts w:ascii="Arial" w:eastAsia="Times New Roman" w:hAnsi="Arial" w:cs="Arial"/>
          <w:sz w:val="20"/>
          <w:szCs w:val="20"/>
          <w:shd w:val="clear" w:color="auto" w:fill="FFFFFF"/>
        </w:rPr>
      </w:pPr>
      <w:r w:rsidRPr="00D01F07">
        <w:rPr>
          <w:rFonts w:ascii="Arial" w:hAnsi="Arial" w:cs="Arial"/>
          <w:sz w:val="20"/>
          <w:szCs w:val="20"/>
          <w:shd w:val="clear" w:color="auto" w:fill="FFFFFF"/>
        </w:rPr>
        <w:t xml:space="preserve">K </w:t>
      </w:r>
      <w:r w:rsidR="004B58EE" w:rsidRPr="00D01F07">
        <w:rPr>
          <w:rFonts w:ascii="Arial" w:eastAsia="Times New Roman" w:hAnsi="Arial" w:cs="Arial"/>
          <w:sz w:val="20"/>
          <w:szCs w:val="20"/>
          <w:shd w:val="clear" w:color="auto" w:fill="FFFFFF"/>
        </w:rPr>
        <w:t xml:space="preserve">= </w:t>
      </w:r>
      <w:r w:rsidRPr="00D01F07">
        <w:rPr>
          <w:rFonts w:ascii="Arial" w:eastAsia="Times New Roman" w:hAnsi="Arial" w:cs="Arial"/>
          <w:sz w:val="20"/>
          <w:szCs w:val="20"/>
          <w:shd w:val="clear" w:color="auto" w:fill="FFFFFF"/>
        </w:rPr>
        <w:t>kernel function (commonly Gaussian or Epanechnikov)</w:t>
      </w:r>
    </w:p>
    <w:bookmarkEnd w:id="0"/>
    <w:p w14:paraId="2BFD79C1" w14:textId="7441D355" w:rsidR="007A6F20" w:rsidRPr="00D01F07" w:rsidRDefault="007A6F20" w:rsidP="00495BE9">
      <w:pPr>
        <w:spacing w:after="200" w:line="360" w:lineRule="auto"/>
        <w:ind w:left="360"/>
        <w:jc w:val="both"/>
        <w:rPr>
          <w:rFonts w:ascii="Arial" w:eastAsia="Times New Roman" w:hAnsi="Arial" w:cs="Arial"/>
          <w:sz w:val="20"/>
          <w:szCs w:val="20"/>
          <w:shd w:val="clear" w:color="auto" w:fill="FFFFFF"/>
        </w:rPr>
      </w:pPr>
      <w:r w:rsidRPr="00495BE9">
        <w:rPr>
          <w:rFonts w:ascii="Arial" w:eastAsia="Times New Roman" w:hAnsi="Arial" w:cs="Arial"/>
          <w:sz w:val="20"/>
          <w:szCs w:val="20"/>
          <w:highlight w:val="yellow"/>
          <w:shd w:val="clear" w:color="auto" w:fill="FFFFFF"/>
        </w:rPr>
        <w:t>u =</w:t>
      </w:r>
      <w:r w:rsidR="00495BE9" w:rsidRPr="00495BE9">
        <w:rPr>
          <w:rFonts w:ascii="Arial" w:eastAsia="Times New Roman" w:hAnsi="Arial" w:cs="Arial"/>
          <w:sz w:val="20"/>
          <w:szCs w:val="20"/>
          <w:highlight w:val="yellow"/>
          <w:shd w:val="clear" w:color="auto" w:fill="FFFFFF"/>
        </w:rPr>
        <w:t xml:space="preserve"> </w:t>
      </w:r>
      <w:r w:rsidRPr="00495BE9">
        <w:rPr>
          <w:rFonts w:ascii="Arial" w:eastAsia="Times New Roman" w:hAnsi="Arial" w:cs="Arial"/>
          <w:sz w:val="20"/>
          <w:szCs w:val="20"/>
          <w:highlight w:val="yellow"/>
          <w:shd w:val="clear" w:color="auto" w:fill="FFFFFF"/>
        </w:rPr>
        <w:t>standardized distance between a point</w:t>
      </w:r>
      <w:r w:rsidR="009C441F" w:rsidRPr="00495BE9">
        <w:rPr>
          <w:rFonts w:ascii="Arial" w:eastAsia="Times New Roman" w:hAnsi="Arial" w:cs="Arial"/>
          <w:sz w:val="20"/>
          <w:szCs w:val="20"/>
          <w:highlight w:val="yellow"/>
          <w:shd w:val="clear" w:color="auto" w:fill="FFFFFF"/>
        </w:rPr>
        <w:t xml:space="preserve"> </w:t>
      </w:r>
      <m:oMath>
        <m:r>
          <w:rPr>
            <w:rFonts w:ascii="Cambria Math" w:eastAsia="Times New Roman" w:hAnsi="Cambria Math" w:cs="Arial"/>
            <w:sz w:val="20"/>
            <w:szCs w:val="20"/>
            <w:highlight w:val="yellow"/>
            <w:shd w:val="clear" w:color="auto" w:fill="FFFFFF"/>
          </w:rPr>
          <m:t>x</m:t>
        </m:r>
      </m:oMath>
      <w:r w:rsidRPr="00495BE9">
        <w:rPr>
          <w:rFonts w:ascii="Arial" w:eastAsia="Times New Roman" w:hAnsi="Arial" w:cs="Arial"/>
          <w:sz w:val="20"/>
          <w:szCs w:val="20"/>
          <w:highlight w:val="yellow"/>
          <w:shd w:val="clear" w:color="auto" w:fill="FFFFFF"/>
        </w:rPr>
        <w:t xml:space="preserve"> and a data point</w:t>
      </w:r>
      <w:r w:rsidR="00495BE9" w:rsidRPr="00495BE9">
        <w:rPr>
          <w:rFonts w:ascii="Arial" w:eastAsia="Times New Roman" w:hAnsi="Arial" w:cs="Arial"/>
          <w:sz w:val="20"/>
          <w:szCs w:val="20"/>
          <w:highlight w:val="yellow"/>
          <w:shd w:val="clear" w:color="auto" w:fill="FFFFFF"/>
        </w:rPr>
        <w:t xml:space="preserve"> </w:t>
      </w:r>
      <m:oMath>
        <m:sSub>
          <m:sSubPr>
            <m:ctrlPr>
              <w:rPr>
                <w:rFonts w:ascii="Cambria Math" w:eastAsia="Cambria Math" w:hAnsi="Cambria Math" w:cs="Arial"/>
                <w:i/>
                <w:sz w:val="20"/>
                <w:szCs w:val="20"/>
                <w:highlight w:val="yellow"/>
                <w:shd w:val="clear" w:color="auto" w:fill="FFFFFF"/>
              </w:rPr>
            </m:ctrlPr>
          </m:sSubPr>
          <m:e>
            <m:r>
              <w:rPr>
                <w:rFonts w:ascii="Cambria Math" w:eastAsia="Cambria Math" w:hAnsi="Cambria Math" w:cs="Arial"/>
                <w:sz w:val="20"/>
                <w:szCs w:val="20"/>
                <w:highlight w:val="yellow"/>
                <w:shd w:val="clear" w:color="auto" w:fill="FFFFFF"/>
              </w:rPr>
              <m:t>x</m:t>
            </m:r>
          </m:e>
          <m:sub>
            <m:r>
              <w:rPr>
                <w:rFonts w:ascii="Cambria Math" w:eastAsia="Cambria Math" w:hAnsi="Cambria Math" w:cs="Arial"/>
                <w:sz w:val="20"/>
                <w:szCs w:val="20"/>
                <w:highlight w:val="yellow"/>
                <w:shd w:val="clear" w:color="auto" w:fill="FFFFFF"/>
              </w:rPr>
              <m:t>i</m:t>
            </m:r>
          </m:sub>
        </m:sSub>
      </m:oMath>
      <w:r w:rsidRPr="00495BE9">
        <w:rPr>
          <w:rFonts w:ascii="Arial" w:eastAsia="Times New Roman" w:hAnsi="Arial" w:cs="Arial"/>
          <w:sz w:val="20"/>
          <w:szCs w:val="20"/>
          <w:highlight w:val="yellow"/>
          <w:shd w:val="clear" w:color="auto" w:fill="FFFFFF"/>
        </w:rPr>
        <w:t>,</w:t>
      </w:r>
      <w:r w:rsidR="00495BE9" w:rsidRPr="00495BE9">
        <w:rPr>
          <w:rFonts w:ascii="Arial" w:eastAsia="Times New Roman" w:hAnsi="Arial" w:cs="Arial"/>
          <w:sz w:val="20"/>
          <w:szCs w:val="20"/>
          <w:highlight w:val="yellow"/>
          <w:shd w:val="clear" w:color="auto" w:fill="FFFFFF"/>
        </w:rPr>
        <w:t xml:space="preserve"> </w:t>
      </w:r>
      <w:r w:rsidRPr="00495BE9">
        <w:rPr>
          <w:rFonts w:ascii="Arial" w:eastAsia="Times New Roman" w:hAnsi="Arial" w:cs="Arial"/>
          <w:sz w:val="20"/>
          <w:szCs w:val="20"/>
          <w:highlight w:val="yellow"/>
          <w:shd w:val="clear" w:color="auto" w:fill="FFFFFF"/>
        </w:rPr>
        <w:t>scaled by the bandwidth</w:t>
      </w:r>
      <w:r w:rsidR="00495BE9" w:rsidRPr="00495BE9">
        <w:rPr>
          <w:rFonts w:ascii="Arial" w:eastAsia="Times New Roman" w:hAnsi="Arial" w:cs="Arial"/>
          <w:sz w:val="20"/>
          <w:szCs w:val="20"/>
          <w:highlight w:val="yellow"/>
          <w:shd w:val="clear" w:color="auto" w:fill="FFFFFF"/>
        </w:rPr>
        <w:t xml:space="preserve"> </w:t>
      </w:r>
      <m:oMath>
        <m:r>
          <m:rPr>
            <m:sty m:val="p"/>
          </m:rPr>
          <w:rPr>
            <w:rFonts w:ascii="Cambria Math" w:eastAsia="Cambria Math" w:hAnsi="Cambria Math" w:cs="Arial"/>
            <w:sz w:val="20"/>
            <w:szCs w:val="20"/>
            <w:highlight w:val="yellow"/>
            <w:shd w:val="clear" w:color="auto" w:fill="FFFFFF"/>
          </w:rPr>
          <m:t>h</m:t>
        </m:r>
      </m:oMath>
      <w:r w:rsidR="00495BE9" w:rsidRPr="00495BE9">
        <w:rPr>
          <w:rFonts w:ascii="Arial" w:eastAsia="Times New Roman" w:hAnsi="Arial" w:cs="Arial"/>
          <w:sz w:val="20"/>
          <w:szCs w:val="20"/>
          <w:highlight w:val="yellow"/>
          <w:shd w:val="clear" w:color="auto" w:fill="FFFFFF"/>
        </w:rPr>
        <w:t>.</w:t>
      </w:r>
    </w:p>
    <w:p w14:paraId="5E05FFFD" w14:textId="77777777" w:rsidR="003348C3" w:rsidRPr="00401707" w:rsidRDefault="00F63C79" w:rsidP="00C03BED">
      <w:pPr>
        <w:spacing w:after="200" w:line="360" w:lineRule="auto"/>
        <w:ind w:left="360"/>
        <w:jc w:val="both"/>
        <w:rPr>
          <w:rFonts w:ascii="Arial" w:eastAsia="Times New Roman" w:hAnsi="Arial" w:cs="Arial"/>
          <w:shd w:val="clear" w:color="auto" w:fill="FFFFFF"/>
        </w:rPr>
      </w:pPr>
      <m:oMathPara>
        <m:oMath>
          <m:sSup>
            <m:sSupPr>
              <m:ctrlPr>
                <w:rPr>
                  <w:rFonts w:ascii="Cambria Math" w:eastAsiaTheme="minorEastAsia" w:hAnsi="Cambria Math" w:cs="Arial"/>
                  <w:b/>
                  <w:bCs/>
                  <w:i/>
                  <w:shd w:val="clear" w:color="auto" w:fill="FFFFFF"/>
                </w:rPr>
              </m:ctrlPr>
            </m:sSupPr>
            <m:e>
              <m:r>
                <m:rPr>
                  <m:sty m:val="bi"/>
                </m:rPr>
                <w:rPr>
                  <w:rFonts w:ascii="Cambria Math" w:eastAsiaTheme="minorEastAsia" w:hAnsi="Cambria Math" w:cs="Arial"/>
                  <w:shd w:val="clear" w:color="auto" w:fill="FFFFFF"/>
                </w:rPr>
                <m:t>K</m:t>
              </m:r>
              <m:d>
                <m:dPr>
                  <m:ctrlPr>
                    <w:rPr>
                      <w:rFonts w:ascii="Cambria Math" w:eastAsiaTheme="minorEastAsia" w:hAnsi="Cambria Math" w:cs="Arial"/>
                      <w:b/>
                      <w:bCs/>
                      <w:i/>
                      <w:shd w:val="clear" w:color="auto" w:fill="FFFFFF"/>
                    </w:rPr>
                  </m:ctrlPr>
                </m:dPr>
                <m:e>
                  <m:r>
                    <m:rPr>
                      <m:sty m:val="bi"/>
                    </m:rPr>
                    <w:rPr>
                      <w:rFonts w:ascii="Cambria Math" w:eastAsiaTheme="minorEastAsia" w:hAnsi="Cambria Math" w:cs="Arial"/>
                      <w:shd w:val="clear" w:color="auto" w:fill="FFFFFF"/>
                    </w:rPr>
                    <m:t>u</m:t>
                  </m:r>
                </m:e>
              </m:d>
              <m:r>
                <m:rPr>
                  <m:sty m:val="bi"/>
                </m:rPr>
                <w:rPr>
                  <w:rFonts w:ascii="Cambria Math" w:eastAsiaTheme="minorEastAsia" w:hAnsi="Cambria Math" w:cs="Arial"/>
                  <w:shd w:val="clear" w:color="auto" w:fill="FFFFFF"/>
                </w:rPr>
                <m:t xml:space="preserve">= </m:t>
              </m:r>
              <m:f>
                <m:fPr>
                  <m:ctrlPr>
                    <w:rPr>
                      <w:rFonts w:ascii="Cambria Math" w:eastAsiaTheme="minorEastAsia" w:hAnsi="Cambria Math" w:cs="Arial"/>
                      <w:b/>
                      <w:bCs/>
                      <w:i/>
                      <w:shd w:val="clear" w:color="auto" w:fill="FFFFFF"/>
                    </w:rPr>
                  </m:ctrlPr>
                </m:fPr>
                <m:num>
                  <m:r>
                    <m:rPr>
                      <m:sty m:val="bi"/>
                    </m:rPr>
                    <w:rPr>
                      <w:rFonts w:ascii="Cambria Math" w:hAnsi="Cambria Math" w:cs="Arial"/>
                      <w:shd w:val="clear" w:color="auto" w:fill="FFFFFF"/>
                    </w:rPr>
                    <m:t>1</m:t>
                  </m:r>
                </m:num>
                <m:den>
                  <m:rad>
                    <m:radPr>
                      <m:degHide m:val="1"/>
                      <m:ctrlPr>
                        <w:rPr>
                          <w:rFonts w:ascii="Cambria Math" w:hAnsi="Cambria Math" w:cs="Arial"/>
                          <w:b/>
                          <w:bCs/>
                          <w:i/>
                          <w:shd w:val="clear" w:color="auto" w:fill="FFFFFF"/>
                        </w:rPr>
                      </m:ctrlPr>
                    </m:radPr>
                    <m:deg/>
                    <m:e>
                      <m:r>
                        <m:rPr>
                          <m:sty m:val="bi"/>
                        </m:rPr>
                        <w:rPr>
                          <w:rFonts w:ascii="Cambria Math" w:hAnsi="Cambria Math" w:cs="Arial"/>
                          <w:shd w:val="clear" w:color="auto" w:fill="FFFFFF"/>
                        </w:rPr>
                        <m:t>2</m:t>
                      </m:r>
                    </m:e>
                  </m:rad>
                  <m:r>
                    <m:rPr>
                      <m:sty m:val="bi"/>
                    </m:rPr>
                    <w:rPr>
                      <w:rFonts w:ascii="Cambria Math" w:hAnsi="Cambria Math" w:cs="Arial"/>
                      <w:shd w:val="clear" w:color="auto" w:fill="FFFFFF"/>
                    </w:rPr>
                    <m:t>π</m:t>
                  </m:r>
                </m:den>
              </m:f>
              <m:r>
                <m:rPr>
                  <m:sty m:val="bi"/>
                </m:rPr>
                <w:rPr>
                  <w:rFonts w:ascii="Cambria Math" w:eastAsiaTheme="minorEastAsia" w:hAnsi="Cambria Math" w:cs="Arial"/>
                  <w:shd w:val="clear" w:color="auto" w:fill="FFFFFF"/>
                </w:rPr>
                <m:t xml:space="preserve"> </m:t>
              </m:r>
              <m:sSup>
                <m:sSupPr>
                  <m:ctrlPr>
                    <w:rPr>
                      <w:rFonts w:ascii="Cambria Math" w:eastAsiaTheme="minorEastAsia" w:hAnsi="Cambria Math" w:cs="Arial"/>
                      <w:b/>
                      <w:bCs/>
                      <w:i/>
                      <w:shd w:val="clear" w:color="auto" w:fill="FFFFFF"/>
                    </w:rPr>
                  </m:ctrlPr>
                </m:sSupPr>
                <m:e>
                  <m:r>
                    <m:rPr>
                      <m:sty m:val="bi"/>
                    </m:rPr>
                    <w:rPr>
                      <w:rFonts w:ascii="Cambria Math" w:hAnsi="Cambria Math" w:cs="Arial"/>
                      <w:shd w:val="clear" w:color="auto" w:fill="FFFFFF"/>
                    </w:rPr>
                    <m:t>e</m:t>
                  </m:r>
                </m:e>
                <m:sup>
                  <m:r>
                    <m:rPr>
                      <m:sty m:val="bi"/>
                    </m:rPr>
                    <w:rPr>
                      <w:rFonts w:ascii="Cambria Math" w:hAnsi="Cambria Math" w:cs="Arial"/>
                      <w:shd w:val="clear" w:color="auto" w:fill="FFFFFF"/>
                    </w:rPr>
                    <m:t>-</m:t>
                  </m:r>
                  <m:f>
                    <m:fPr>
                      <m:ctrlPr>
                        <w:rPr>
                          <w:rFonts w:ascii="Cambria Math" w:hAnsi="Cambria Math" w:cs="Arial"/>
                          <w:b/>
                          <w:bCs/>
                          <w:i/>
                          <w:shd w:val="clear" w:color="auto" w:fill="FFFFFF"/>
                        </w:rPr>
                      </m:ctrlPr>
                    </m:fPr>
                    <m:num>
                      <m:r>
                        <m:rPr>
                          <m:sty m:val="bi"/>
                        </m:rPr>
                        <w:rPr>
                          <w:rFonts w:ascii="Cambria Math" w:hAnsi="Cambria Math" w:cs="Arial"/>
                          <w:shd w:val="clear" w:color="auto" w:fill="FFFFFF"/>
                        </w:rPr>
                        <m:t>1</m:t>
                      </m:r>
                    </m:num>
                    <m:den>
                      <m:r>
                        <m:rPr>
                          <m:sty m:val="bi"/>
                        </m:rPr>
                        <w:rPr>
                          <w:rFonts w:ascii="Cambria Math" w:hAnsi="Cambria Math" w:cs="Arial"/>
                          <w:shd w:val="clear" w:color="auto" w:fill="FFFFFF"/>
                        </w:rPr>
                        <m:t xml:space="preserve">2 </m:t>
                      </m:r>
                    </m:den>
                  </m:f>
                  <m:r>
                    <m:rPr>
                      <m:sty m:val="bi"/>
                    </m:rPr>
                    <w:rPr>
                      <w:rFonts w:ascii="Cambria Math" w:hAnsi="Cambria Math" w:cs="Arial"/>
                      <w:shd w:val="clear" w:color="auto" w:fill="FFFFFF"/>
                    </w:rPr>
                    <m:t xml:space="preserve"> </m:t>
                  </m:r>
                  <m:r>
                    <m:rPr>
                      <m:sty m:val="bi"/>
                    </m:rPr>
                    <w:rPr>
                      <w:rFonts w:ascii="Cambria Math" w:eastAsiaTheme="minorEastAsia" w:hAnsi="Cambria Math" w:cs="Arial"/>
                      <w:shd w:val="clear" w:color="auto" w:fill="FFFFFF"/>
                    </w:rPr>
                    <m:t>u</m:t>
                  </m:r>
                </m:sup>
              </m:sSup>
            </m:e>
            <m:sup>
              <m:r>
                <m:rPr>
                  <m:sty m:val="bi"/>
                </m:rPr>
                <w:rPr>
                  <w:rFonts w:ascii="Cambria Math" w:eastAsiaTheme="minorEastAsia" w:hAnsi="Cambria Math" w:cs="Arial"/>
                  <w:shd w:val="clear" w:color="auto" w:fill="FFFFFF"/>
                </w:rPr>
                <m:t>2</m:t>
              </m:r>
            </m:sup>
          </m:sSup>
        </m:oMath>
      </m:oMathPara>
    </w:p>
    <w:p w14:paraId="273A7E47" w14:textId="77777777" w:rsidR="003348C3" w:rsidRPr="00596943" w:rsidRDefault="003348C3" w:rsidP="003348C3">
      <w:pPr>
        <w:tabs>
          <w:tab w:val="left" w:pos="1095"/>
        </w:tabs>
        <w:jc w:val="both"/>
        <w:rPr>
          <w:rFonts w:ascii="Arial" w:hAnsi="Arial" w:cs="Arial"/>
          <w:sz w:val="20"/>
          <w:szCs w:val="20"/>
        </w:rPr>
      </w:pPr>
      <w:r w:rsidRPr="00596943">
        <w:rPr>
          <w:rFonts w:ascii="Arial" w:hAnsi="Arial" w:cs="Arial"/>
          <w:sz w:val="20"/>
          <w:szCs w:val="20"/>
        </w:rPr>
        <w:t>In this study, a fixed bandwidth of 1000 meters was applied to generate continuous raster surfaces. Separate KDE maps were produced for each year and crime category. These visualizations identified persistent hotspots in areas such as Mvita, Likoni, and Kisauni, particularly for stealing, drug abuse, and interpersonal violence.</w:t>
      </w:r>
    </w:p>
    <w:p w14:paraId="0A0B3CD1"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 xml:space="preserve">2.6 Spatial Autocorrelation Analysis Using Moran’s </w:t>
      </w:r>
      <w:r w:rsidRPr="00D01F07">
        <w:rPr>
          <w:rFonts w:ascii="Arial" w:hAnsi="Arial" w:cs="Arial"/>
          <w:b/>
          <w:bCs/>
          <w:i/>
          <w:iCs/>
          <w:sz w:val="22"/>
          <w:szCs w:val="22"/>
        </w:rPr>
        <w:t>I</w:t>
      </w:r>
    </w:p>
    <w:p w14:paraId="5732CAFA" w14:textId="1C94A8E5" w:rsidR="001D5613" w:rsidRDefault="003348C3" w:rsidP="003348C3">
      <w:pPr>
        <w:tabs>
          <w:tab w:val="left" w:pos="1095"/>
        </w:tabs>
        <w:jc w:val="both"/>
        <w:rPr>
          <w:rFonts w:ascii="Arial" w:hAnsi="Arial" w:cs="Arial"/>
          <w:sz w:val="20"/>
          <w:szCs w:val="20"/>
        </w:rPr>
      </w:pPr>
      <w:r w:rsidRPr="00596943">
        <w:rPr>
          <w:rFonts w:ascii="Arial" w:hAnsi="Arial" w:cs="Arial"/>
          <w:sz w:val="20"/>
          <w:szCs w:val="20"/>
        </w:rPr>
        <w:t>To test whether crime patterns were spatially clustered or randomly distributed, Moran’s</w:t>
      </w:r>
      <w:r w:rsidRPr="00D01F07">
        <w:rPr>
          <w:rFonts w:ascii="Arial" w:hAnsi="Arial" w:cs="Arial"/>
          <w:i/>
          <w:iCs/>
          <w:sz w:val="20"/>
          <w:szCs w:val="20"/>
        </w:rPr>
        <w:t xml:space="preserve"> I </w:t>
      </w:r>
      <w:r w:rsidRPr="00596943">
        <w:rPr>
          <w:rFonts w:ascii="Arial" w:hAnsi="Arial" w:cs="Arial"/>
          <w:sz w:val="20"/>
          <w:szCs w:val="20"/>
        </w:rPr>
        <w:t>statistic was computed using ArcGIS’s spatial statistics toolbox</w:t>
      </w:r>
      <w:r w:rsidR="00CB538D">
        <w:rPr>
          <w:rFonts w:ascii="Arial" w:hAnsi="Arial" w:cs="Arial"/>
          <w:sz w:val="20"/>
          <w:szCs w:val="20"/>
        </w:rPr>
        <w:t xml:space="preserve"> </w:t>
      </w:r>
      <w:r w:rsidR="00CB538D" w:rsidRPr="00E15A65">
        <w:rPr>
          <w:rFonts w:ascii="Arial" w:hAnsi="Arial" w:cs="Arial"/>
          <w:sz w:val="20"/>
          <w:szCs w:val="20"/>
        </w:rPr>
        <w:t>(</w:t>
      </w:r>
      <w:r w:rsidR="00CB538D" w:rsidRPr="00F42FEC">
        <w:rPr>
          <w:rFonts w:ascii="Arial" w:hAnsi="Arial" w:cs="Arial"/>
          <w:sz w:val="20"/>
          <w:szCs w:val="20"/>
        </w:rPr>
        <w:t>Moran, 1950</w:t>
      </w:r>
      <w:r w:rsidR="00CB538D" w:rsidRPr="00E15A65">
        <w:rPr>
          <w:rFonts w:ascii="Arial" w:hAnsi="Arial" w:cs="Arial"/>
          <w:sz w:val="20"/>
          <w:szCs w:val="20"/>
        </w:rPr>
        <w:t>)</w:t>
      </w:r>
      <w:r w:rsidRPr="00E15A65">
        <w:rPr>
          <w:rFonts w:ascii="Arial" w:hAnsi="Arial" w:cs="Arial"/>
          <w:sz w:val="20"/>
          <w:szCs w:val="20"/>
        </w:rPr>
        <w:t>.</w:t>
      </w:r>
      <w:r w:rsidRPr="00596943">
        <w:rPr>
          <w:rFonts w:ascii="Arial" w:hAnsi="Arial" w:cs="Arial"/>
          <w:sz w:val="20"/>
          <w:szCs w:val="20"/>
        </w:rPr>
        <w:t xml:space="preserve"> Moran’s </w:t>
      </w:r>
      <w:r w:rsidRPr="00D01F07">
        <w:rPr>
          <w:rFonts w:ascii="Arial" w:hAnsi="Arial" w:cs="Arial"/>
          <w:i/>
          <w:iCs/>
          <w:sz w:val="20"/>
          <w:szCs w:val="20"/>
        </w:rPr>
        <w:t>I</w:t>
      </w:r>
      <w:r w:rsidRPr="00596943">
        <w:rPr>
          <w:rFonts w:ascii="Arial" w:hAnsi="Arial" w:cs="Arial"/>
          <w:sz w:val="20"/>
          <w:szCs w:val="20"/>
        </w:rPr>
        <w:t xml:space="preserve"> is a global measure of spatial autocorrelation </w:t>
      </w:r>
      <w:r w:rsidRPr="00E15A65">
        <w:rPr>
          <w:rFonts w:ascii="Arial" w:hAnsi="Arial" w:cs="Arial"/>
          <w:sz w:val="20"/>
          <w:szCs w:val="20"/>
        </w:rPr>
        <w:t xml:space="preserve">that </w:t>
      </w:r>
      <w:r w:rsidR="00555F55" w:rsidRPr="00F42FEC">
        <w:rPr>
          <w:rFonts w:ascii="Arial" w:hAnsi="Arial" w:cs="Arial"/>
          <w:sz w:val="20"/>
          <w:szCs w:val="20"/>
        </w:rPr>
        <w:t xml:space="preserve">can be used to </w:t>
      </w:r>
      <w:r w:rsidRPr="00F42FEC">
        <w:rPr>
          <w:rFonts w:ascii="Arial" w:hAnsi="Arial" w:cs="Arial"/>
          <w:sz w:val="20"/>
          <w:szCs w:val="20"/>
        </w:rPr>
        <w:t>quantif</w:t>
      </w:r>
      <w:r w:rsidR="00555F55" w:rsidRPr="00F42FEC">
        <w:rPr>
          <w:rFonts w:ascii="Arial" w:hAnsi="Arial" w:cs="Arial"/>
          <w:sz w:val="20"/>
          <w:szCs w:val="20"/>
        </w:rPr>
        <w:t>y</w:t>
      </w:r>
      <w:r w:rsidRPr="00E15A65">
        <w:rPr>
          <w:rFonts w:ascii="Arial" w:hAnsi="Arial" w:cs="Arial"/>
          <w:sz w:val="20"/>
          <w:szCs w:val="20"/>
        </w:rPr>
        <w:t xml:space="preserve"> the degree to which similar crime values cluster together spatially</w:t>
      </w:r>
      <w:r w:rsidR="002A1CFF" w:rsidRPr="00E15A65">
        <w:rPr>
          <w:rFonts w:ascii="Arial" w:hAnsi="Arial" w:cs="Arial"/>
          <w:sz w:val="22"/>
          <w:szCs w:val="22"/>
        </w:rPr>
        <w:t xml:space="preserve"> Eck et al., (2011)</w:t>
      </w:r>
      <w:r w:rsidR="00F32774" w:rsidRPr="00E15A65">
        <w:rPr>
          <w:rFonts w:ascii="Arial" w:hAnsi="Arial" w:cs="Arial"/>
          <w:sz w:val="20"/>
          <w:szCs w:val="20"/>
        </w:rPr>
        <w:t xml:space="preserve"> by </w:t>
      </w:r>
      <w:r w:rsidR="00C94A64" w:rsidRPr="00F42FEC">
        <w:rPr>
          <w:rFonts w:ascii="Arial" w:hAnsi="Arial" w:cs="Arial"/>
          <w:sz w:val="20"/>
          <w:szCs w:val="20"/>
        </w:rPr>
        <w:t>using t</w:t>
      </w:r>
      <w:r w:rsidRPr="00F42FEC">
        <w:rPr>
          <w:rFonts w:ascii="Arial" w:hAnsi="Arial" w:cs="Arial"/>
          <w:sz w:val="20"/>
          <w:szCs w:val="20"/>
        </w:rPr>
        <w:t xml:space="preserve">he </w:t>
      </w:r>
      <w:r w:rsidR="001D5613" w:rsidRPr="00F42FEC">
        <w:rPr>
          <w:rFonts w:ascii="Arial" w:hAnsi="Arial" w:cs="Arial"/>
          <w:sz w:val="20"/>
          <w:szCs w:val="20"/>
        </w:rPr>
        <w:t>equation (</w:t>
      </w:r>
      <w:r w:rsidR="00C03BED" w:rsidRPr="00F42FEC">
        <w:rPr>
          <w:rFonts w:ascii="Arial" w:hAnsi="Arial" w:cs="Arial"/>
          <w:sz w:val="20"/>
          <w:szCs w:val="20"/>
        </w:rPr>
        <w:t>2</w:t>
      </w:r>
      <w:r w:rsidR="001D5613" w:rsidRPr="00F42FEC">
        <w:rPr>
          <w:rFonts w:ascii="Arial" w:hAnsi="Arial" w:cs="Arial"/>
          <w:sz w:val="20"/>
          <w:szCs w:val="20"/>
        </w:rPr>
        <w:t>)</w:t>
      </w:r>
      <w:r w:rsidRPr="00F42FEC">
        <w:rPr>
          <w:rFonts w:ascii="Arial" w:hAnsi="Arial" w:cs="Arial"/>
          <w:sz w:val="20"/>
          <w:szCs w:val="20"/>
        </w:rPr>
        <w:t>:</w:t>
      </w:r>
      <w:r w:rsidR="001D5613">
        <w:rPr>
          <w:rFonts w:ascii="Arial" w:hAnsi="Arial" w:cs="Arial"/>
          <w:sz w:val="20"/>
          <w:szCs w:val="20"/>
        </w:rPr>
        <w:tab/>
      </w:r>
      <w:r w:rsidR="001D5613">
        <w:rPr>
          <w:rFonts w:ascii="Arial" w:hAnsi="Arial" w:cs="Arial"/>
          <w:sz w:val="20"/>
          <w:szCs w:val="20"/>
        </w:rPr>
        <w:tab/>
      </w:r>
      <w:r w:rsidR="001D5613">
        <w:rPr>
          <w:rFonts w:ascii="Arial" w:hAnsi="Arial" w:cs="Arial"/>
          <w:sz w:val="20"/>
          <w:szCs w:val="20"/>
        </w:rPr>
        <w:tab/>
      </w:r>
    </w:p>
    <w:p w14:paraId="76719D04" w14:textId="77777777" w:rsidR="003348C3" w:rsidRPr="00401707" w:rsidRDefault="003348C3" w:rsidP="003348C3">
      <w:pPr>
        <w:tabs>
          <w:tab w:val="left" w:pos="1095"/>
        </w:tabs>
        <w:jc w:val="both"/>
        <w:rPr>
          <w:rFonts w:ascii="Arial" w:hAnsi="Arial" w:cs="Arial"/>
        </w:rPr>
      </w:pPr>
      <m:oMathPara>
        <m:oMath>
          <m:r>
            <m:rPr>
              <m:sty m:val="bi"/>
            </m:rPr>
            <w:rPr>
              <w:rFonts w:ascii="Cambria Math" w:hAnsi="Cambria Math" w:cs="Arial"/>
            </w:rPr>
            <m:t>I=</m:t>
          </m:r>
          <m:f>
            <m:fPr>
              <m:ctrlPr>
                <w:rPr>
                  <w:rFonts w:ascii="Cambria Math" w:hAnsi="Cambria Math" w:cs="Arial"/>
                  <w:b/>
                  <w:bCs/>
                  <w:i/>
                </w:rPr>
              </m:ctrlPr>
            </m:fPr>
            <m:num>
              <m:r>
                <m:rPr>
                  <m:sty m:val="bi"/>
                </m:rPr>
                <w:rPr>
                  <w:rFonts w:ascii="Cambria Math" w:hAnsi="Cambria Math" w:cs="Arial"/>
                </w:rPr>
                <m:t>n</m:t>
              </m:r>
            </m:num>
            <m:den>
              <m:nary>
                <m:naryPr>
                  <m:chr m:val="∑"/>
                  <m:ctrlPr>
                    <w:rPr>
                      <w:rFonts w:ascii="Cambria Math" w:hAnsi="Cambria Math" w:cs="Arial"/>
                      <w:b/>
                      <w:bCs/>
                      <w:i/>
                    </w:rPr>
                  </m:ctrlPr>
                </m:naryPr>
                <m:sub>
                  <m:r>
                    <m:rPr>
                      <m:sty m:val="bi"/>
                    </m:rPr>
                    <w:rPr>
                      <w:rFonts w:ascii="Cambria Math" w:hAnsi="Cambria Math" w:cs="Arial"/>
                    </w:rPr>
                    <m:t>i=1</m:t>
                  </m:r>
                </m:sub>
                <m:sup>
                  <m:r>
                    <m:rPr>
                      <m:sty m:val="bi"/>
                    </m:rPr>
                    <w:rPr>
                      <w:rFonts w:ascii="Cambria Math" w:hAnsi="Cambria Math" w:cs="Arial"/>
                    </w:rPr>
                    <m:t>n</m:t>
                  </m:r>
                </m:sup>
                <m:e>
                  <m:nary>
                    <m:naryPr>
                      <m:chr m:val="∑"/>
                      <m:ctrlPr>
                        <w:rPr>
                          <w:rFonts w:ascii="Cambria Math" w:hAnsi="Cambria Math" w:cs="Arial"/>
                          <w:b/>
                          <w:bCs/>
                          <w:i/>
                        </w:rPr>
                      </m:ctrlPr>
                    </m:naryPr>
                    <m:sub>
                      <m:r>
                        <m:rPr>
                          <m:sty m:val="bi"/>
                        </m:rPr>
                        <w:rPr>
                          <w:rFonts w:ascii="Cambria Math" w:hAnsi="Cambria Math" w:cs="Arial"/>
                        </w:rPr>
                        <m:t>j=1</m:t>
                      </m:r>
                    </m:sub>
                    <m:sup>
                      <m:r>
                        <m:rPr>
                          <m:sty m:val="bi"/>
                        </m:rPr>
                        <w:rPr>
                          <w:rFonts w:ascii="Cambria Math" w:hAnsi="Cambria Math" w:cs="Arial"/>
                        </w:rPr>
                        <m:t>n</m:t>
                      </m:r>
                    </m:sup>
                    <m:e>
                      <m:sSub>
                        <m:sSubPr>
                          <m:ctrlPr>
                            <w:rPr>
                              <w:rFonts w:ascii="Cambria Math" w:hAnsi="Cambria Math" w:cs="Arial"/>
                              <w:b/>
                              <w:bCs/>
                              <w:i/>
                            </w:rPr>
                          </m:ctrlPr>
                        </m:sSubPr>
                        <m:e>
                          <m:r>
                            <m:rPr>
                              <m:sty m:val="bi"/>
                            </m:rPr>
                            <w:rPr>
                              <w:rFonts w:ascii="Cambria Math" w:hAnsi="Cambria Math" w:cs="Arial"/>
                            </w:rPr>
                            <m:t>ω</m:t>
                          </m:r>
                        </m:e>
                        <m:sub>
                          <m:r>
                            <m:rPr>
                              <m:sty m:val="bi"/>
                            </m:rPr>
                            <w:rPr>
                              <w:rFonts w:ascii="Cambria Math" w:hAnsi="Cambria Math" w:cs="Arial"/>
                            </w:rPr>
                            <m:t>ij</m:t>
                          </m:r>
                        </m:sub>
                      </m:sSub>
                    </m:e>
                  </m:nary>
                </m:e>
              </m:nary>
            </m:den>
          </m:f>
          <m:r>
            <m:rPr>
              <m:sty m:val="bi"/>
            </m:rPr>
            <w:rPr>
              <w:rFonts w:ascii="Cambria Math" w:hAnsi="Cambria Math" w:cs="Arial"/>
            </w:rPr>
            <m:t xml:space="preserve">  </m:t>
          </m:r>
          <m:f>
            <m:fPr>
              <m:ctrlPr>
                <w:rPr>
                  <w:rFonts w:ascii="Cambria Math" w:hAnsi="Cambria Math" w:cs="Arial"/>
                  <w:b/>
                  <w:bCs/>
                  <w:i/>
                </w:rPr>
              </m:ctrlPr>
            </m:fPr>
            <m:num>
              <m:nary>
                <m:naryPr>
                  <m:chr m:val="∑"/>
                  <m:ctrlPr>
                    <w:rPr>
                      <w:rFonts w:ascii="Cambria Math" w:hAnsi="Cambria Math" w:cs="Arial"/>
                      <w:b/>
                      <w:bCs/>
                      <w:i/>
                    </w:rPr>
                  </m:ctrlPr>
                </m:naryPr>
                <m:sub>
                  <m:r>
                    <m:rPr>
                      <m:sty m:val="bi"/>
                    </m:rPr>
                    <w:rPr>
                      <w:rFonts w:ascii="Cambria Math" w:hAnsi="Cambria Math" w:cs="Arial"/>
                    </w:rPr>
                    <m:t>i=1</m:t>
                  </m:r>
                </m:sub>
                <m:sup>
                  <m:r>
                    <m:rPr>
                      <m:sty m:val="bi"/>
                    </m:rPr>
                    <w:rPr>
                      <w:rFonts w:ascii="Cambria Math" w:hAnsi="Cambria Math" w:cs="Arial"/>
                    </w:rPr>
                    <m:t>n</m:t>
                  </m:r>
                </m:sup>
                <m:e>
                  <m:r>
                    <m:rPr>
                      <m:sty m:val="bi"/>
                    </m:rPr>
                    <w:rPr>
                      <w:rFonts w:ascii="Cambria Math" w:hAnsi="Cambria Math" w:cs="Arial"/>
                    </w:rPr>
                    <m:t xml:space="preserve"> </m:t>
                  </m:r>
                  <m:nary>
                    <m:naryPr>
                      <m:chr m:val="∑"/>
                      <m:ctrlPr>
                        <w:rPr>
                          <w:rFonts w:ascii="Cambria Math" w:hAnsi="Cambria Math" w:cs="Arial"/>
                          <w:b/>
                          <w:bCs/>
                          <w:i/>
                        </w:rPr>
                      </m:ctrlPr>
                    </m:naryPr>
                    <m:sub>
                      <m:r>
                        <m:rPr>
                          <m:sty m:val="bi"/>
                        </m:rPr>
                        <w:rPr>
                          <w:rFonts w:ascii="Cambria Math" w:hAnsi="Cambria Math" w:cs="Arial"/>
                        </w:rPr>
                        <m:t>j=1</m:t>
                      </m:r>
                    </m:sub>
                    <m:sup>
                      <m:r>
                        <m:rPr>
                          <m:sty m:val="bi"/>
                        </m:rPr>
                        <w:rPr>
                          <w:rFonts w:ascii="Cambria Math" w:hAnsi="Cambria Math" w:cs="Arial"/>
                        </w:rPr>
                        <m:t>n</m:t>
                      </m:r>
                    </m:sup>
                    <m:e>
                      <m:sSub>
                        <m:sSubPr>
                          <m:ctrlPr>
                            <w:rPr>
                              <w:rFonts w:ascii="Cambria Math" w:hAnsi="Cambria Math" w:cs="Arial"/>
                              <w:b/>
                              <w:bCs/>
                              <w:i/>
                            </w:rPr>
                          </m:ctrlPr>
                        </m:sSubPr>
                        <m:e>
                          <m:r>
                            <m:rPr>
                              <m:sty m:val="bi"/>
                            </m:rPr>
                            <w:rPr>
                              <w:rFonts w:ascii="Cambria Math" w:hAnsi="Cambria Math" w:cs="Arial"/>
                            </w:rPr>
                            <m:t>ω</m:t>
                          </m:r>
                        </m:e>
                        <m:sub>
                          <m:r>
                            <m:rPr>
                              <m:sty m:val="bi"/>
                            </m:rPr>
                            <w:rPr>
                              <w:rFonts w:ascii="Cambria Math" w:hAnsi="Cambria Math" w:cs="Arial"/>
                            </w:rPr>
                            <m:t xml:space="preserve">ij  </m:t>
                          </m:r>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 xml:space="preserve">i </m:t>
                                  </m:r>
                                </m:sub>
                              </m:sSub>
                              <m:r>
                                <m:rPr>
                                  <m:sty m:val="bi"/>
                                </m:rPr>
                                <w:rPr>
                                  <w:rFonts w:ascii="Cambria Math" w:hAnsi="Cambria Math" w:cs="Arial"/>
                                </w:rPr>
                                <m:t xml:space="preserve">- </m:t>
                              </m:r>
                              <m:acc>
                                <m:accPr>
                                  <m:chr m:val="̅"/>
                                  <m:ctrlPr>
                                    <w:rPr>
                                      <w:rFonts w:ascii="Cambria Math" w:hAnsi="Cambria Math" w:cs="Arial"/>
                                      <w:b/>
                                      <w:bCs/>
                                      <w:i/>
                                    </w:rPr>
                                  </m:ctrlPr>
                                </m:accPr>
                                <m:e>
                                  <m:r>
                                    <m:rPr>
                                      <m:sty m:val="bi"/>
                                    </m:rPr>
                                    <w:rPr>
                                      <w:rFonts w:ascii="Cambria Math" w:hAnsi="Cambria Math" w:cs="Arial"/>
                                    </w:rPr>
                                    <m:t>x</m:t>
                                  </m:r>
                                </m:e>
                              </m:acc>
                            </m:e>
                          </m:d>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j</m:t>
                                  </m:r>
                                </m:sub>
                              </m:sSub>
                              <m:r>
                                <m:rPr>
                                  <m:sty m:val="bi"/>
                                </m:rPr>
                                <w:rPr>
                                  <w:rFonts w:ascii="Cambria Math" w:hAnsi="Cambria Math" w:cs="Arial"/>
                                </w:rPr>
                                <m:t xml:space="preserve">- </m:t>
                              </m:r>
                              <m:acc>
                                <m:accPr>
                                  <m:chr m:val="̅"/>
                                  <m:ctrlPr>
                                    <w:rPr>
                                      <w:rFonts w:ascii="Cambria Math" w:hAnsi="Cambria Math" w:cs="Arial"/>
                                      <w:b/>
                                      <w:bCs/>
                                      <w:i/>
                                    </w:rPr>
                                  </m:ctrlPr>
                                </m:accPr>
                                <m:e>
                                  <m:r>
                                    <m:rPr>
                                      <m:sty m:val="bi"/>
                                    </m:rPr>
                                    <w:rPr>
                                      <w:rFonts w:ascii="Cambria Math" w:hAnsi="Cambria Math" w:cs="Arial"/>
                                    </w:rPr>
                                    <m:t>x</m:t>
                                  </m:r>
                                </m:e>
                              </m:acc>
                            </m:e>
                          </m:d>
                          <m:r>
                            <m:rPr>
                              <m:sty m:val="bi"/>
                            </m:rPr>
                            <w:rPr>
                              <w:rFonts w:ascii="Cambria Math" w:hAnsi="Cambria Math" w:cs="Arial"/>
                            </w:rPr>
                            <m:t xml:space="preserve"> </m:t>
                          </m:r>
                        </m:sub>
                      </m:sSub>
                    </m:e>
                  </m:nary>
                </m:e>
              </m:nary>
            </m:num>
            <m:den>
              <m:nary>
                <m:naryPr>
                  <m:chr m:val="∑"/>
                  <m:ctrlPr>
                    <w:rPr>
                      <w:rFonts w:ascii="Cambria Math" w:hAnsi="Cambria Math" w:cs="Arial"/>
                      <w:b/>
                      <w:bCs/>
                      <w:i/>
                    </w:rPr>
                  </m:ctrlPr>
                </m:naryPr>
                <m:sub>
                  <m:r>
                    <m:rPr>
                      <m:sty m:val="bi"/>
                    </m:rPr>
                    <w:rPr>
                      <w:rFonts w:ascii="Cambria Math" w:hAnsi="Cambria Math" w:cs="Arial"/>
                    </w:rPr>
                    <m:t>i=1</m:t>
                  </m:r>
                </m:sub>
                <m:sup>
                  <m:r>
                    <m:rPr>
                      <m:sty m:val="bi"/>
                    </m:rPr>
                    <w:rPr>
                      <w:rFonts w:ascii="Cambria Math" w:hAnsi="Cambria Math" w:cs="Arial"/>
                    </w:rPr>
                    <m:t>n</m:t>
                  </m:r>
                </m:sup>
                <m:e>
                  <m:r>
                    <m:rPr>
                      <m:sty m:val="bi"/>
                    </m:rPr>
                    <w:rPr>
                      <w:rFonts w:ascii="Cambria Math" w:hAnsi="Cambria Math" w:cs="Arial"/>
                    </w:rPr>
                    <m:t xml:space="preserve">   </m:t>
                  </m:r>
                  <m:sSup>
                    <m:sSupPr>
                      <m:ctrlPr>
                        <w:rPr>
                          <w:rFonts w:ascii="Cambria Math" w:hAnsi="Cambria Math" w:cs="Arial"/>
                          <w:b/>
                          <w:bCs/>
                          <w:i/>
                        </w:rPr>
                      </m:ctrlPr>
                    </m:sSupPr>
                    <m:e>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x</m:t>
                          </m:r>
                        </m:e>
                        <m:sub>
                          <m:r>
                            <m:rPr>
                              <m:sty m:val="bi"/>
                            </m:rPr>
                            <w:rPr>
                              <w:rFonts w:ascii="Cambria Math" w:hAnsi="Cambria Math" w:cs="Arial"/>
                            </w:rPr>
                            <m:t>i</m:t>
                          </m:r>
                        </m:sub>
                      </m:sSub>
                      <m:r>
                        <m:rPr>
                          <m:sty m:val="bi"/>
                        </m:rPr>
                        <w:rPr>
                          <w:rFonts w:ascii="Cambria Math" w:hAnsi="Cambria Math" w:cs="Arial"/>
                        </w:rPr>
                        <m:t>-</m:t>
                      </m:r>
                      <m:acc>
                        <m:accPr>
                          <m:chr m:val="̅"/>
                          <m:ctrlPr>
                            <w:rPr>
                              <w:rFonts w:ascii="Cambria Math" w:hAnsi="Cambria Math" w:cs="Arial"/>
                              <w:b/>
                              <w:bCs/>
                              <w:i/>
                            </w:rPr>
                          </m:ctrlPr>
                        </m:accPr>
                        <m:e>
                          <m:r>
                            <m:rPr>
                              <m:sty m:val="bi"/>
                            </m:rPr>
                            <w:rPr>
                              <w:rFonts w:ascii="Cambria Math" w:hAnsi="Cambria Math" w:cs="Arial"/>
                            </w:rPr>
                            <m:t>x</m:t>
                          </m:r>
                        </m:e>
                      </m:acc>
                      <m:r>
                        <m:rPr>
                          <m:sty m:val="bi"/>
                        </m:rPr>
                        <w:rPr>
                          <w:rFonts w:ascii="Cambria Math" w:hAnsi="Cambria Math" w:cs="Arial"/>
                        </w:rPr>
                        <m:t>)</m:t>
                      </m:r>
                    </m:e>
                    <m:sup>
                      <m:r>
                        <m:rPr>
                          <m:sty m:val="bi"/>
                        </m:rPr>
                        <w:rPr>
                          <w:rFonts w:ascii="Cambria Math" w:hAnsi="Cambria Math" w:cs="Arial"/>
                        </w:rPr>
                        <m:t>2</m:t>
                      </m:r>
                    </m:sup>
                  </m:sSup>
                  <m:r>
                    <m:rPr>
                      <m:sty m:val="bi"/>
                    </m:rPr>
                    <w:rPr>
                      <w:rFonts w:ascii="Cambria Math" w:hAnsi="Cambria Math" w:cs="Arial"/>
                    </w:rPr>
                    <m:t xml:space="preserve"> </m:t>
                  </m:r>
                </m:e>
              </m:nary>
            </m:den>
          </m:f>
          <m:r>
            <m:rPr>
              <m:sty m:val="bi"/>
            </m:rPr>
            <w:rPr>
              <w:rFonts w:ascii="Cambria Math" w:hAnsi="Cambria Math" w:cs="Arial"/>
            </w:rPr>
            <m:t xml:space="preserve">          </m:t>
          </m:r>
        </m:oMath>
      </m:oMathPara>
    </w:p>
    <w:p w14:paraId="7FA19B75" w14:textId="77777777" w:rsidR="003348C3" w:rsidRPr="00135F86" w:rsidRDefault="003348C3" w:rsidP="003348C3">
      <w:pPr>
        <w:tabs>
          <w:tab w:val="left" w:pos="1095"/>
        </w:tabs>
        <w:jc w:val="both"/>
        <w:rPr>
          <w:rFonts w:ascii="Arial" w:hAnsi="Arial" w:cs="Arial"/>
          <w:sz w:val="20"/>
          <w:szCs w:val="20"/>
        </w:rPr>
      </w:pPr>
      <w:r>
        <w:rPr>
          <w:rFonts w:ascii="Arial" w:hAnsi="Arial" w:cs="Arial"/>
          <w:sz w:val="20"/>
          <w:szCs w:val="20"/>
        </w:rPr>
        <w:t>W</w:t>
      </w:r>
      <w:r w:rsidRPr="00135F86">
        <w:rPr>
          <w:rFonts w:ascii="Arial" w:hAnsi="Arial" w:cs="Arial"/>
          <w:sz w:val="20"/>
          <w:szCs w:val="20"/>
        </w:rPr>
        <w:t>here</w:t>
      </w:r>
      <w:r>
        <w:rPr>
          <w:rFonts w:ascii="Arial" w:hAnsi="Arial" w:cs="Arial"/>
          <w:sz w:val="20"/>
          <w:szCs w:val="20"/>
        </w:rPr>
        <w:t>;</w:t>
      </w:r>
    </w:p>
    <w:p w14:paraId="75D5E531" w14:textId="08A164E3" w:rsidR="003348C3" w:rsidRPr="00D01F07" w:rsidRDefault="003348C3" w:rsidP="00D01F07">
      <w:pPr>
        <w:spacing w:after="200" w:line="276" w:lineRule="auto"/>
        <w:ind w:left="360"/>
        <w:rPr>
          <w:rFonts w:ascii="Arial" w:hAnsi="Arial" w:cs="Arial"/>
          <w:sz w:val="20"/>
          <w:szCs w:val="20"/>
        </w:rPr>
      </w:pPr>
      <m:oMath>
        <m:r>
          <w:rPr>
            <w:rFonts w:ascii="Cambria Math" w:hAnsi="Cambria Math" w:cs="Arial"/>
            <w:sz w:val="20"/>
            <w:szCs w:val="20"/>
          </w:rPr>
          <m:t>I</m:t>
        </m:r>
      </m:oMath>
      <w:r w:rsidRPr="00D01F07">
        <w:rPr>
          <w:rFonts w:ascii="Arial" w:eastAsia="Times New Roman" w:hAnsi="Arial" w:cs="Arial"/>
          <w:sz w:val="20"/>
          <w:szCs w:val="20"/>
          <w:shd w:val="clear" w:color="auto" w:fill="FFFFFF"/>
        </w:rPr>
        <w:t xml:space="preserve"> </w:t>
      </w:r>
      <w:r w:rsidR="00FE4638">
        <w:rPr>
          <w:rFonts w:ascii="Arial" w:eastAsia="Times New Roman" w:hAnsi="Arial" w:cs="Arial"/>
          <w:sz w:val="20"/>
          <w:szCs w:val="20"/>
          <w:shd w:val="clear" w:color="auto" w:fill="FFFFFF"/>
        </w:rPr>
        <w:t>=</w:t>
      </w:r>
      <w:r w:rsidRPr="00D01F07">
        <w:rPr>
          <w:rFonts w:ascii="Arial" w:hAnsi="Arial" w:cs="Arial"/>
          <w:sz w:val="20"/>
          <w:szCs w:val="20"/>
        </w:rPr>
        <w:t xml:space="preserve"> </w:t>
      </w:r>
      <w:r w:rsidRPr="00D01F07">
        <w:rPr>
          <w:rFonts w:ascii="Arial" w:eastAsia="Times New Roman" w:hAnsi="Arial" w:cs="Arial"/>
          <w:sz w:val="20"/>
          <w:szCs w:val="20"/>
          <w:shd w:val="clear" w:color="auto" w:fill="FFFFFF"/>
        </w:rPr>
        <w:t xml:space="preserve">Moran’s </w:t>
      </w:r>
      <w:r w:rsidRPr="00D01F07">
        <w:rPr>
          <w:rFonts w:ascii="Arial" w:eastAsia="Times New Roman" w:hAnsi="Arial" w:cs="Arial"/>
          <w:i/>
          <w:iCs/>
          <w:sz w:val="20"/>
          <w:szCs w:val="20"/>
          <w:shd w:val="clear" w:color="auto" w:fill="FFFFFF"/>
        </w:rPr>
        <w:t>I</w:t>
      </w:r>
      <w:r w:rsidRPr="00D01F07">
        <w:rPr>
          <w:rFonts w:ascii="Arial" w:eastAsia="Times New Roman" w:hAnsi="Arial" w:cs="Arial"/>
          <w:sz w:val="20"/>
          <w:szCs w:val="20"/>
          <w:shd w:val="clear" w:color="auto" w:fill="FFFFFF"/>
        </w:rPr>
        <w:t xml:space="preserve"> statistics</w:t>
      </w:r>
      <w:r w:rsidRPr="00D01F07">
        <w:rPr>
          <w:rFonts w:ascii="Arial" w:hAnsi="Arial" w:cs="Arial"/>
          <w:sz w:val="20"/>
          <w:szCs w:val="20"/>
        </w:rPr>
        <w:t>,</w:t>
      </w:r>
    </w:p>
    <w:p w14:paraId="29C67539" w14:textId="76A7CE26" w:rsidR="003348C3" w:rsidRPr="00D01F07" w:rsidRDefault="003348C3" w:rsidP="00D01F07">
      <w:pPr>
        <w:spacing w:after="200" w:line="276" w:lineRule="auto"/>
        <w:ind w:left="360"/>
        <w:rPr>
          <w:rFonts w:ascii="Arial" w:eastAsia="Times New Roman" w:hAnsi="Arial" w:cs="Arial"/>
          <w:sz w:val="20"/>
          <w:szCs w:val="20"/>
          <w:shd w:val="clear" w:color="auto" w:fill="FFFFFF"/>
        </w:rPr>
      </w:pPr>
      <m:oMath>
        <m:r>
          <w:rPr>
            <w:rFonts w:ascii="Cambria Math" w:hAnsi="Cambria Math" w:cs="Arial"/>
            <w:sz w:val="20"/>
            <w:szCs w:val="20"/>
          </w:rPr>
          <m:t>n</m:t>
        </m:r>
      </m:oMath>
      <w:r w:rsidRPr="00D01F07">
        <w:rPr>
          <w:rFonts w:ascii="Arial" w:hAnsi="Arial" w:cs="Arial"/>
          <w:sz w:val="20"/>
          <w:szCs w:val="20"/>
        </w:rPr>
        <w:t xml:space="preserve"> </w:t>
      </w:r>
      <w:r w:rsidR="00FE4638">
        <w:rPr>
          <w:rFonts w:ascii="Arial" w:eastAsia="Times New Roman" w:hAnsi="Arial" w:cs="Arial"/>
          <w:sz w:val="20"/>
          <w:szCs w:val="20"/>
          <w:shd w:val="clear" w:color="auto" w:fill="FFFFFF"/>
        </w:rPr>
        <w:t>=</w:t>
      </w:r>
      <w:r w:rsidRPr="00D01F07">
        <w:rPr>
          <w:rFonts w:ascii="Arial" w:eastAsia="Times New Roman" w:hAnsi="Arial" w:cs="Arial"/>
          <w:sz w:val="20"/>
          <w:szCs w:val="20"/>
          <w:shd w:val="clear" w:color="auto" w:fill="FFFFFF"/>
        </w:rPr>
        <w:t xml:space="preserve"> number of spatial units (crime events),</w:t>
      </w:r>
    </w:p>
    <w:p w14:paraId="3D8BDF41" w14:textId="725A71AA" w:rsidR="003348C3" w:rsidRPr="00D01F07" w:rsidRDefault="00F63C79" w:rsidP="00D01F07">
      <w:pPr>
        <w:spacing w:after="200" w:line="276" w:lineRule="auto"/>
        <w:ind w:left="36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ij</m:t>
            </m:r>
          </m:sub>
        </m:sSub>
      </m:oMath>
      <w:r w:rsidR="003348C3" w:rsidRPr="00D01F07">
        <w:rPr>
          <w:rFonts w:ascii="Arial" w:eastAsiaTheme="minorEastAsia" w:hAnsi="Arial" w:cs="Arial"/>
          <w:sz w:val="20"/>
          <w:szCs w:val="20"/>
        </w:rPr>
        <w:t xml:space="preserve"> </w:t>
      </w:r>
      <w:r w:rsidR="00FE4638">
        <w:rPr>
          <w:rFonts w:ascii="Arial" w:eastAsia="Times New Roman" w:hAnsi="Arial" w:cs="Arial"/>
          <w:sz w:val="20"/>
          <w:szCs w:val="20"/>
          <w:shd w:val="clear" w:color="auto" w:fill="FFFFFF"/>
        </w:rPr>
        <w:t>=</w:t>
      </w:r>
      <w:r w:rsidR="003348C3" w:rsidRPr="00D01F07">
        <w:rPr>
          <w:rFonts w:ascii="Arial" w:eastAsia="Times New Roman" w:hAnsi="Arial" w:cs="Arial"/>
          <w:sz w:val="20"/>
          <w:szCs w:val="20"/>
          <w:shd w:val="clear" w:color="auto" w:fill="FFFFFF"/>
        </w:rPr>
        <w:t xml:space="preserve"> spatial weight between observation</w:t>
      </w:r>
      <w:r w:rsidR="003348C3" w:rsidRPr="00D01F07">
        <w:rPr>
          <w:rFonts w:ascii="Arial" w:hAnsi="Arial" w:cs="Arial"/>
          <w:sz w:val="20"/>
          <w:szCs w:val="20"/>
        </w:rPr>
        <w:t xml:space="preserve"> </w:t>
      </w:r>
      <m:oMath>
        <m:r>
          <w:rPr>
            <w:rFonts w:ascii="Cambria Math" w:hAnsi="Cambria Math" w:cs="Arial"/>
            <w:sz w:val="20"/>
            <w:szCs w:val="20"/>
          </w:rPr>
          <m:t>i</m:t>
        </m:r>
      </m:oMath>
      <w:r w:rsidR="003348C3" w:rsidRPr="00D01F07">
        <w:rPr>
          <w:rFonts w:ascii="Arial" w:hAnsi="Arial" w:cs="Arial"/>
          <w:sz w:val="20"/>
          <w:szCs w:val="20"/>
        </w:rPr>
        <w:t xml:space="preserve"> </w:t>
      </w:r>
      <w:r w:rsidR="003348C3" w:rsidRPr="00D01F07">
        <w:rPr>
          <w:rFonts w:ascii="Arial" w:eastAsia="Times New Roman" w:hAnsi="Arial" w:cs="Arial"/>
          <w:sz w:val="20"/>
          <w:szCs w:val="20"/>
          <w:shd w:val="clear" w:color="auto" w:fill="FFFFFF"/>
        </w:rPr>
        <w:t>and</w:t>
      </w:r>
      <w:r w:rsidR="003348C3" w:rsidRPr="00D01F07">
        <w:rPr>
          <w:rFonts w:ascii="Arial" w:hAnsi="Arial" w:cs="Arial"/>
          <w:sz w:val="20"/>
          <w:szCs w:val="20"/>
        </w:rPr>
        <w:t xml:space="preserve"> </w:t>
      </w:r>
      <m:oMath>
        <m:r>
          <w:rPr>
            <w:rFonts w:ascii="Cambria Math" w:hAnsi="Cambria Math" w:cs="Arial"/>
            <w:sz w:val="20"/>
            <w:szCs w:val="20"/>
          </w:rPr>
          <m:t>j</m:t>
        </m:r>
      </m:oMath>
      <w:r w:rsidR="003348C3" w:rsidRPr="00D01F07">
        <w:rPr>
          <w:rFonts w:ascii="Arial" w:hAnsi="Arial" w:cs="Arial"/>
          <w:sz w:val="20"/>
          <w:szCs w:val="20"/>
        </w:rPr>
        <w:t xml:space="preserve"> (</w:t>
      </w:r>
      <w:r w:rsidR="003348C3" w:rsidRPr="00D01F07">
        <w:rPr>
          <w:rFonts w:ascii="Arial" w:eastAsia="Times New Roman" w:hAnsi="Arial" w:cs="Arial"/>
          <w:sz w:val="20"/>
          <w:szCs w:val="20"/>
          <w:shd w:val="clear" w:color="auto" w:fill="FFFFFF"/>
        </w:rPr>
        <w:t>typically based on distance)</w:t>
      </w:r>
    </w:p>
    <w:p w14:paraId="3A008865" w14:textId="0BD939CF" w:rsidR="003348C3" w:rsidRPr="00D01F07" w:rsidRDefault="00F63C79" w:rsidP="00D01F07">
      <w:pPr>
        <w:spacing w:after="200" w:line="276" w:lineRule="auto"/>
        <w:ind w:left="360"/>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 xml:space="preserve">i </m:t>
            </m:r>
          </m:sub>
        </m:sSub>
      </m:oMath>
      <w:r w:rsidR="003348C3" w:rsidRPr="00D01F07">
        <w:rPr>
          <w:rFonts w:ascii="Arial" w:eastAsiaTheme="minorEastAsia" w:hAnsi="Arial" w:cs="Arial"/>
          <w:sz w:val="20"/>
          <w:szCs w:val="20"/>
        </w:rPr>
        <w:t xml:space="preserve"> </w:t>
      </w:r>
      <w:r w:rsidR="003348C3" w:rsidRPr="00D01F07">
        <w:rPr>
          <w:rFonts w:ascii="Arial" w:eastAsia="Times New Roman" w:hAnsi="Arial" w:cs="Arial"/>
          <w:sz w:val="20"/>
          <w:szCs w:val="20"/>
          <w:shd w:val="clear" w:color="auto" w:fill="FFFFFF"/>
        </w:rPr>
        <w:t>and</w:t>
      </w:r>
      <w:r w:rsidR="003348C3" w:rsidRPr="00D01F07">
        <w:rPr>
          <w:rFonts w:ascii="Arial" w:eastAsiaTheme="minorEastAsia"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j</m:t>
            </m:r>
          </m:sub>
        </m:sSub>
      </m:oMath>
      <w:r w:rsidR="003348C3" w:rsidRPr="00D01F07">
        <w:rPr>
          <w:rFonts w:ascii="Arial" w:hAnsi="Arial" w:cs="Arial"/>
          <w:sz w:val="20"/>
          <w:szCs w:val="20"/>
        </w:rPr>
        <w:t xml:space="preserve"> </w:t>
      </w:r>
      <w:r w:rsidR="00326EDB">
        <w:rPr>
          <w:rFonts w:ascii="Arial" w:eastAsia="Times New Roman" w:hAnsi="Arial" w:cs="Arial"/>
          <w:sz w:val="20"/>
          <w:szCs w:val="20"/>
          <w:shd w:val="clear" w:color="auto" w:fill="FFFFFF"/>
        </w:rPr>
        <w:t xml:space="preserve">= </w:t>
      </w:r>
      <w:r w:rsidR="003348C3" w:rsidRPr="00D01F07">
        <w:rPr>
          <w:rFonts w:ascii="Arial" w:eastAsia="Times New Roman" w:hAnsi="Arial" w:cs="Arial"/>
          <w:sz w:val="20"/>
          <w:szCs w:val="20"/>
          <w:shd w:val="clear" w:color="auto" w:fill="FFFFFF"/>
        </w:rPr>
        <w:t>crime data values at locations</w:t>
      </w:r>
      <w:r w:rsidR="003348C3" w:rsidRPr="00D01F07">
        <w:rPr>
          <w:rFonts w:ascii="Arial" w:eastAsiaTheme="minorEastAsia" w:hAnsi="Arial" w:cs="Arial"/>
          <w:sz w:val="20"/>
          <w:szCs w:val="20"/>
        </w:rPr>
        <w:t xml:space="preserve"> </w:t>
      </w:r>
      <m:oMath>
        <m:r>
          <w:rPr>
            <w:rFonts w:ascii="Cambria Math" w:hAnsi="Cambria Math" w:cs="Arial"/>
            <w:sz w:val="20"/>
            <w:szCs w:val="20"/>
          </w:rPr>
          <m:t>i</m:t>
        </m:r>
      </m:oMath>
      <w:r w:rsidR="003348C3" w:rsidRPr="00D01F07">
        <w:rPr>
          <w:rFonts w:ascii="Arial" w:eastAsiaTheme="minorEastAsia" w:hAnsi="Arial" w:cs="Arial"/>
          <w:sz w:val="20"/>
          <w:szCs w:val="20"/>
        </w:rPr>
        <w:t xml:space="preserve"> </w:t>
      </w:r>
      <w:r w:rsidR="003348C3" w:rsidRPr="00D01F07">
        <w:rPr>
          <w:rFonts w:ascii="Arial" w:eastAsia="Times New Roman" w:hAnsi="Arial" w:cs="Arial"/>
          <w:sz w:val="20"/>
          <w:szCs w:val="20"/>
          <w:shd w:val="clear" w:color="auto" w:fill="FFFFFF"/>
        </w:rPr>
        <w:t>and</w:t>
      </w:r>
      <w:r w:rsidR="003348C3" w:rsidRPr="00D01F07">
        <w:rPr>
          <w:rFonts w:ascii="Arial" w:eastAsiaTheme="minorEastAsia" w:hAnsi="Arial" w:cs="Arial"/>
          <w:sz w:val="20"/>
          <w:szCs w:val="20"/>
        </w:rPr>
        <w:t xml:space="preserve"> </w:t>
      </w:r>
      <m:oMath>
        <m:r>
          <w:rPr>
            <w:rFonts w:ascii="Cambria Math" w:hAnsi="Cambria Math" w:cs="Arial"/>
            <w:sz w:val="20"/>
            <w:szCs w:val="20"/>
          </w:rPr>
          <m:t>j</m:t>
        </m:r>
      </m:oMath>
      <w:r w:rsidR="003348C3" w:rsidRPr="00D01F07">
        <w:rPr>
          <w:rFonts w:ascii="Arial" w:eastAsiaTheme="minorEastAsia" w:hAnsi="Arial" w:cs="Arial"/>
          <w:sz w:val="20"/>
          <w:szCs w:val="20"/>
        </w:rPr>
        <w:t>,</w:t>
      </w:r>
    </w:p>
    <w:p w14:paraId="417D64FB" w14:textId="2CB8E37A" w:rsidR="003348C3" w:rsidRPr="00D01F07" w:rsidRDefault="00F63C79" w:rsidP="00D01F07">
      <w:pPr>
        <w:spacing w:after="200" w:line="276" w:lineRule="auto"/>
        <w:ind w:left="360"/>
        <w:rPr>
          <w:rFonts w:ascii="Arial" w:hAnsi="Arial" w:cs="Arial"/>
          <w:sz w:val="20"/>
          <w:szCs w:val="20"/>
        </w:rPr>
      </w:pPr>
      <m:oMath>
        <m:acc>
          <m:accPr>
            <m:chr m:val="̅"/>
            <m:ctrlPr>
              <w:rPr>
                <w:rFonts w:ascii="Cambria Math" w:hAnsi="Cambria Math" w:cs="Arial"/>
                <w:i/>
                <w:sz w:val="20"/>
                <w:szCs w:val="20"/>
              </w:rPr>
            </m:ctrlPr>
          </m:accPr>
          <m:e>
            <m:r>
              <w:rPr>
                <w:rFonts w:ascii="Cambria Math" w:hAnsi="Cambria Math" w:cs="Arial"/>
                <w:sz w:val="20"/>
                <w:szCs w:val="20"/>
              </w:rPr>
              <m:t>x</m:t>
            </m:r>
          </m:e>
        </m:acc>
      </m:oMath>
      <w:r w:rsidR="003348C3" w:rsidRPr="00D01F07">
        <w:rPr>
          <w:rFonts w:ascii="Arial" w:eastAsiaTheme="minorEastAsia" w:hAnsi="Arial" w:cs="Arial"/>
          <w:sz w:val="20"/>
          <w:szCs w:val="20"/>
        </w:rPr>
        <w:t xml:space="preserve"> </w:t>
      </w:r>
      <w:r w:rsidR="00FE4638">
        <w:rPr>
          <w:rFonts w:ascii="Arial" w:eastAsia="Times New Roman" w:hAnsi="Arial" w:cs="Arial"/>
          <w:sz w:val="20"/>
          <w:szCs w:val="20"/>
          <w:shd w:val="clear" w:color="auto" w:fill="FFFFFF"/>
        </w:rPr>
        <w:t>=</w:t>
      </w:r>
      <w:r w:rsidR="003348C3" w:rsidRPr="00D01F07">
        <w:rPr>
          <w:rFonts w:ascii="Arial" w:eastAsia="Times New Roman" w:hAnsi="Arial" w:cs="Arial"/>
          <w:sz w:val="20"/>
          <w:szCs w:val="20"/>
          <w:shd w:val="clear" w:color="auto" w:fill="FFFFFF"/>
        </w:rPr>
        <w:t xml:space="preserve"> mean of the crime data values.</w:t>
      </w:r>
    </w:p>
    <w:p w14:paraId="0297C64E" w14:textId="254785B9" w:rsidR="003348C3" w:rsidRPr="00596943" w:rsidRDefault="00895A39" w:rsidP="00895A39">
      <w:pPr>
        <w:tabs>
          <w:tab w:val="left" w:pos="1095"/>
        </w:tabs>
        <w:jc w:val="both"/>
        <w:rPr>
          <w:rFonts w:ascii="Arial" w:hAnsi="Arial" w:cs="Arial"/>
          <w:sz w:val="20"/>
          <w:szCs w:val="20"/>
        </w:rPr>
      </w:pPr>
      <w:r w:rsidRPr="00895A39">
        <w:rPr>
          <w:rFonts w:ascii="Arial" w:hAnsi="Arial" w:cs="Arial"/>
          <w:sz w:val="20"/>
          <w:szCs w:val="20"/>
        </w:rPr>
        <w:lastRenderedPageBreak/>
        <w:t xml:space="preserve">Moran’s </w:t>
      </w:r>
      <w:r w:rsidRPr="00D01F07">
        <w:rPr>
          <w:rFonts w:ascii="Arial" w:hAnsi="Arial" w:cs="Arial"/>
          <w:i/>
          <w:iCs/>
          <w:sz w:val="20"/>
          <w:szCs w:val="20"/>
        </w:rPr>
        <w:t>I</w:t>
      </w:r>
      <w:r w:rsidRPr="00895A39">
        <w:rPr>
          <w:rFonts w:ascii="Arial" w:hAnsi="Arial" w:cs="Arial"/>
          <w:sz w:val="20"/>
          <w:szCs w:val="20"/>
        </w:rPr>
        <w:t xml:space="preserve"> values range from −1 to +1, with a positive Moran’s </w:t>
      </w:r>
      <w:r w:rsidRPr="00D01F07">
        <w:rPr>
          <w:rFonts w:ascii="Arial" w:hAnsi="Arial" w:cs="Arial"/>
          <w:i/>
          <w:iCs/>
          <w:sz w:val="20"/>
          <w:szCs w:val="20"/>
        </w:rPr>
        <w:t>I</w:t>
      </w:r>
      <w:r w:rsidRPr="00895A39">
        <w:rPr>
          <w:rFonts w:ascii="Arial" w:hAnsi="Arial" w:cs="Arial"/>
          <w:sz w:val="20"/>
          <w:szCs w:val="20"/>
        </w:rPr>
        <w:t xml:space="preserve"> value indicating similar value clustering, a negative Moran’s </w:t>
      </w:r>
      <w:r w:rsidRPr="00D01F07">
        <w:rPr>
          <w:rFonts w:ascii="Arial" w:hAnsi="Arial" w:cs="Arial"/>
          <w:i/>
          <w:iCs/>
          <w:sz w:val="20"/>
          <w:szCs w:val="20"/>
        </w:rPr>
        <w:t>I</w:t>
      </w:r>
      <w:r w:rsidRPr="00895A39">
        <w:rPr>
          <w:rFonts w:ascii="Arial" w:hAnsi="Arial" w:cs="Arial"/>
          <w:sz w:val="20"/>
          <w:szCs w:val="20"/>
        </w:rPr>
        <w:t xml:space="preserve"> value indicating dissimilar value clustering, and a value of 0 indicating random distribution. </w:t>
      </w:r>
      <w:r w:rsidR="003348C3" w:rsidRPr="00596943">
        <w:rPr>
          <w:rFonts w:ascii="Arial" w:hAnsi="Arial" w:cs="Arial"/>
          <w:sz w:val="20"/>
          <w:szCs w:val="20"/>
        </w:rPr>
        <w:t>The significance of spatial clustering was tested using z-scores and p-values</w:t>
      </w:r>
      <w:r w:rsidR="00E15A65">
        <w:rPr>
          <w:rFonts w:ascii="Arial" w:hAnsi="Arial" w:cs="Arial"/>
          <w:sz w:val="20"/>
          <w:szCs w:val="20"/>
        </w:rPr>
        <w:t>.</w:t>
      </w:r>
    </w:p>
    <w:p w14:paraId="139F5F01"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2.7 Temporal Crime Modelling Using Poisson Regression</w:t>
      </w:r>
    </w:p>
    <w:p w14:paraId="19B2DC7E" w14:textId="4B7BF7F6" w:rsidR="00C8559D" w:rsidRPr="00C2195F" w:rsidRDefault="003348C3" w:rsidP="003348C3">
      <w:pPr>
        <w:tabs>
          <w:tab w:val="left" w:pos="1095"/>
        </w:tabs>
        <w:jc w:val="both"/>
        <w:rPr>
          <w:rFonts w:ascii="Arial" w:hAnsi="Arial" w:cs="Arial"/>
          <w:sz w:val="20"/>
          <w:szCs w:val="20"/>
        </w:rPr>
      </w:pPr>
      <w:r w:rsidRPr="00596943">
        <w:rPr>
          <w:rFonts w:ascii="Arial" w:hAnsi="Arial" w:cs="Arial"/>
          <w:sz w:val="20"/>
          <w:szCs w:val="20"/>
        </w:rPr>
        <w:t xml:space="preserve">To model crime trends over time and evaluate the influence of spatial and socioeconomic factors, a Poisson regression model was </w:t>
      </w:r>
      <w:r>
        <w:rPr>
          <w:rFonts w:ascii="Arial" w:hAnsi="Arial" w:cs="Arial"/>
          <w:sz w:val="20"/>
          <w:szCs w:val="20"/>
        </w:rPr>
        <w:t>utilized</w:t>
      </w:r>
      <w:r w:rsidRPr="00596943">
        <w:rPr>
          <w:rFonts w:ascii="Arial" w:hAnsi="Arial" w:cs="Arial"/>
          <w:sz w:val="20"/>
          <w:szCs w:val="20"/>
        </w:rPr>
        <w:t>. This statistical model is appropriate for count</w:t>
      </w:r>
      <w:r>
        <w:rPr>
          <w:rFonts w:ascii="Arial" w:hAnsi="Arial" w:cs="Arial"/>
          <w:sz w:val="20"/>
          <w:szCs w:val="20"/>
        </w:rPr>
        <w:t>ing</w:t>
      </w:r>
      <w:r w:rsidRPr="00596943">
        <w:rPr>
          <w:rFonts w:ascii="Arial" w:hAnsi="Arial" w:cs="Arial"/>
          <w:sz w:val="20"/>
          <w:szCs w:val="20"/>
        </w:rPr>
        <w:t xml:space="preserve"> data and assumes that the variance equals the mea</w:t>
      </w:r>
      <w:r>
        <w:rPr>
          <w:rFonts w:ascii="Arial" w:hAnsi="Arial" w:cs="Arial"/>
          <w:sz w:val="20"/>
          <w:szCs w:val="20"/>
        </w:rPr>
        <w:t>n which is a</w:t>
      </w:r>
      <w:r w:rsidRPr="00596943">
        <w:rPr>
          <w:rFonts w:ascii="Arial" w:hAnsi="Arial" w:cs="Arial"/>
          <w:sz w:val="20"/>
          <w:szCs w:val="20"/>
        </w:rPr>
        <w:t xml:space="preserve"> reasonable assumption for aggregated crime </w:t>
      </w:r>
      <w:r w:rsidR="00E15A65" w:rsidRPr="00596943">
        <w:rPr>
          <w:rFonts w:ascii="Arial" w:hAnsi="Arial" w:cs="Arial"/>
          <w:sz w:val="20"/>
          <w:szCs w:val="20"/>
        </w:rPr>
        <w:t>data</w:t>
      </w:r>
      <w:r w:rsidR="00E15A65">
        <w:rPr>
          <w:rFonts w:ascii="Arial" w:hAnsi="Arial" w:cs="Arial"/>
          <w:sz w:val="20"/>
          <w:szCs w:val="20"/>
        </w:rPr>
        <w:t xml:space="preserve"> (</w:t>
      </w:r>
      <w:r w:rsidR="002A1CFF">
        <w:rPr>
          <w:rFonts w:ascii="Arial" w:hAnsi="Arial" w:cs="Arial"/>
          <w:sz w:val="20"/>
          <w:szCs w:val="20"/>
        </w:rPr>
        <w:t>Zhanjun et al.,2022</w:t>
      </w:r>
      <w:r w:rsidR="002A1CFF" w:rsidRPr="00E15A65">
        <w:rPr>
          <w:rFonts w:ascii="Arial" w:hAnsi="Arial" w:cs="Arial"/>
          <w:sz w:val="20"/>
          <w:szCs w:val="20"/>
        </w:rPr>
        <w:t>)</w:t>
      </w:r>
      <w:r w:rsidRPr="00E15A65">
        <w:rPr>
          <w:rFonts w:ascii="Arial" w:hAnsi="Arial" w:cs="Arial"/>
          <w:sz w:val="20"/>
          <w:szCs w:val="20"/>
        </w:rPr>
        <w:t>.</w:t>
      </w:r>
      <w:r w:rsidR="00C8559D" w:rsidRPr="00E15A65">
        <w:rPr>
          <w:rFonts w:ascii="Arial" w:hAnsi="Arial" w:cs="Arial"/>
          <w:sz w:val="20"/>
          <w:szCs w:val="20"/>
        </w:rPr>
        <w:t xml:space="preserve"> </w:t>
      </w:r>
      <w:r w:rsidRPr="00F42FEC">
        <w:rPr>
          <w:rFonts w:ascii="Arial" w:hAnsi="Arial" w:cs="Arial"/>
          <w:sz w:val="20"/>
          <w:szCs w:val="20"/>
        </w:rPr>
        <w:t>The general form of the model</w:t>
      </w:r>
      <w:r w:rsidR="00C8559D" w:rsidRPr="00F42FEC">
        <w:rPr>
          <w:rFonts w:ascii="Arial" w:hAnsi="Arial" w:cs="Arial"/>
          <w:sz w:val="20"/>
          <w:szCs w:val="20"/>
        </w:rPr>
        <w:t xml:space="preserve"> can be seen from the equation </w:t>
      </w:r>
      <w:r w:rsidR="0084789C" w:rsidRPr="00F42FEC">
        <w:rPr>
          <w:rFonts w:ascii="Arial" w:hAnsi="Arial" w:cs="Arial"/>
          <w:sz w:val="20"/>
          <w:szCs w:val="20"/>
        </w:rPr>
        <w:t>(</w:t>
      </w:r>
      <w:r w:rsidR="00C03BED" w:rsidRPr="00F42FEC">
        <w:rPr>
          <w:rFonts w:ascii="Arial" w:hAnsi="Arial" w:cs="Arial"/>
          <w:sz w:val="20"/>
          <w:szCs w:val="20"/>
        </w:rPr>
        <w:t>3</w:t>
      </w:r>
      <w:r w:rsidR="0084789C" w:rsidRPr="00F42FEC">
        <w:rPr>
          <w:rFonts w:ascii="Arial" w:hAnsi="Arial" w:cs="Arial"/>
          <w:sz w:val="20"/>
          <w:szCs w:val="20"/>
        </w:rPr>
        <w:t>)</w:t>
      </w:r>
      <w:r w:rsidRPr="00F42FEC">
        <w:rPr>
          <w:rFonts w:ascii="Arial" w:hAnsi="Arial" w:cs="Arial"/>
          <w:sz w:val="20"/>
          <w:szCs w:val="20"/>
        </w:rPr>
        <w:t>:</w:t>
      </w:r>
      <w:r w:rsidRPr="00596943">
        <w:rPr>
          <w:rFonts w:ascii="Arial" w:hAnsi="Arial" w:cs="Arial"/>
          <w:sz w:val="20"/>
          <w:szCs w:val="20"/>
        </w:rPr>
        <w:t xml:space="preserve"> </w:t>
      </w:r>
      <w:r w:rsidR="00C8559D" w:rsidRPr="00E158E6">
        <w:rPr>
          <w:rFonts w:ascii="Arial" w:hAnsi="Arial" w:cs="Arial"/>
          <w:sz w:val="20"/>
          <w:szCs w:val="20"/>
          <w:lang w:val="en-GB"/>
        </w:rPr>
        <w:tab/>
      </w:r>
      <w:r w:rsidR="00C8559D" w:rsidRPr="00E158E6">
        <w:rPr>
          <w:rFonts w:ascii="Arial" w:hAnsi="Arial" w:cs="Arial"/>
          <w:sz w:val="20"/>
          <w:szCs w:val="20"/>
          <w:lang w:val="en-GB"/>
        </w:rPr>
        <w:tab/>
      </w:r>
      <w:r w:rsidR="00C8559D" w:rsidRPr="00E158E6">
        <w:rPr>
          <w:rFonts w:ascii="Arial" w:hAnsi="Arial" w:cs="Arial"/>
          <w:sz w:val="20"/>
          <w:szCs w:val="20"/>
          <w:lang w:val="en-GB"/>
        </w:rPr>
        <w:tab/>
      </w:r>
    </w:p>
    <w:p w14:paraId="268DF0A6" w14:textId="77777777" w:rsidR="003348C3" w:rsidRPr="00401707" w:rsidRDefault="00F63C79" w:rsidP="003348C3">
      <w:pPr>
        <w:tabs>
          <w:tab w:val="left" w:pos="1095"/>
        </w:tabs>
        <w:jc w:val="both"/>
        <w:rPr>
          <w:rFonts w:ascii="Arial" w:hAnsi="Arial" w:cs="Arial"/>
        </w:rPr>
      </w:pPr>
      <m:oMathPara>
        <m:oMath>
          <m:func>
            <m:funcPr>
              <m:ctrlPr>
                <w:rPr>
                  <w:rFonts w:ascii="Cambria Math" w:hAnsi="Cambria Math" w:cs="Arial"/>
                  <w:b/>
                  <w:bCs/>
                  <w:i/>
                </w:rPr>
              </m:ctrlPr>
            </m:funcPr>
            <m:fName>
              <m:r>
                <m:rPr>
                  <m:sty m:val="b"/>
                </m:rPr>
                <w:rPr>
                  <w:rFonts w:ascii="Cambria Math" w:hAnsi="Cambria Math" w:cs="Arial"/>
                </w:rPr>
                <m:t>Log</m:t>
              </m:r>
            </m:fName>
            <m:e>
              <m:d>
                <m:dPr>
                  <m:ctrlPr>
                    <w:rPr>
                      <w:rFonts w:ascii="Cambria Math" w:hAnsi="Cambria Math" w:cs="Arial"/>
                      <w:b/>
                      <w:bCs/>
                      <w:i/>
                    </w:rPr>
                  </m:ctrlPr>
                </m:dPr>
                <m:e>
                  <m:sSub>
                    <m:sSubPr>
                      <m:ctrlPr>
                        <w:rPr>
                          <w:rFonts w:ascii="Cambria Math" w:hAnsi="Cambria Math" w:cs="Arial"/>
                          <w:b/>
                          <w:bCs/>
                          <w:i/>
                        </w:rPr>
                      </m:ctrlPr>
                    </m:sSubPr>
                    <m:e>
                      <m:r>
                        <m:rPr>
                          <m:sty m:val="bi"/>
                        </m:rPr>
                        <w:rPr>
                          <w:rFonts w:ascii="Cambria Math" w:hAnsi="Cambria Math" w:cs="Arial"/>
                        </w:rPr>
                        <m:t>λ</m:t>
                      </m:r>
                    </m:e>
                    <m:sub>
                      <m:r>
                        <m:rPr>
                          <m:sty m:val="bi"/>
                        </m:rPr>
                        <w:rPr>
                          <w:rFonts w:ascii="Cambria Math" w:hAnsi="Cambria Math" w:cs="Arial"/>
                        </w:rPr>
                        <m:t>i</m:t>
                      </m:r>
                    </m:sub>
                  </m:sSub>
                </m:e>
              </m:d>
            </m:e>
          </m:func>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 xml:space="preserve">ο     </m:t>
              </m:r>
            </m:sub>
          </m:sSub>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1</m:t>
              </m:r>
            </m:sub>
          </m:sSub>
          <m:sSub>
            <m:sSubPr>
              <m:ctrlPr>
                <w:rPr>
                  <w:rFonts w:ascii="Cambria Math" w:hAnsi="Cambria Math" w:cs="Arial"/>
                  <w:b/>
                  <w:bCs/>
                  <w:i/>
                </w:rPr>
              </m:ctrlPr>
            </m:sSubPr>
            <m:e>
              <m:r>
                <m:rPr>
                  <m:sty m:val="bi"/>
                </m:rPr>
                <w:rPr>
                  <w:rFonts w:ascii="Cambria Math" w:hAnsi="Cambria Math" w:cs="Arial"/>
                </w:rPr>
                <m:t>χ</m:t>
              </m:r>
            </m:e>
            <m:sub>
              <m:r>
                <m:rPr>
                  <m:sty m:val="bi"/>
                </m:rPr>
                <w:rPr>
                  <w:rFonts w:ascii="Cambria Math" w:hAnsi="Cambria Math" w:cs="Arial"/>
                </w:rPr>
                <m:t>1</m:t>
              </m:r>
              <m:r>
                <m:rPr>
                  <m:sty m:val="bi"/>
                </m:rPr>
                <w:rPr>
                  <w:rFonts w:ascii="Cambria Math" w:hAnsi="Cambria Math" w:cs="Arial"/>
                </w:rPr>
                <m:t>i</m:t>
              </m:r>
            </m:sub>
          </m:sSub>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2</m:t>
              </m:r>
            </m:sub>
          </m:sSub>
          <m:sSub>
            <m:sSubPr>
              <m:ctrlPr>
                <w:rPr>
                  <w:rFonts w:ascii="Cambria Math" w:hAnsi="Cambria Math" w:cs="Arial"/>
                  <w:b/>
                  <w:bCs/>
                  <w:i/>
                </w:rPr>
              </m:ctrlPr>
            </m:sSubPr>
            <m:e>
              <m:r>
                <m:rPr>
                  <m:sty m:val="bi"/>
                </m:rPr>
                <w:rPr>
                  <w:rFonts w:ascii="Cambria Math" w:hAnsi="Cambria Math" w:cs="Arial"/>
                </w:rPr>
                <m:t>χ</m:t>
              </m:r>
            </m:e>
            <m:sub>
              <m:r>
                <m:rPr>
                  <m:sty m:val="bi"/>
                </m:rPr>
                <w:rPr>
                  <w:rFonts w:ascii="Cambria Math" w:hAnsi="Cambria Math" w:cs="Arial"/>
                </w:rPr>
                <m:t>2</m:t>
              </m:r>
              <m:r>
                <m:rPr>
                  <m:sty m:val="bi"/>
                </m:rPr>
                <w:rPr>
                  <w:rFonts w:ascii="Cambria Math" w:hAnsi="Cambria Math" w:cs="Arial"/>
                </w:rPr>
                <m:t>i</m:t>
              </m:r>
            </m:sub>
          </m:sSub>
          <m:r>
            <m:rPr>
              <m:sty m:val="bi"/>
            </m:rPr>
            <w:rPr>
              <w:rFonts w:ascii="Cambria Math" w:hAnsi="Cambria Math" w:cs="Arial"/>
            </w:rPr>
            <m:t xml:space="preserve"> </m:t>
          </m:r>
          <m:sSub>
            <m:sSubPr>
              <m:ctrlPr>
                <w:rPr>
                  <w:rFonts w:ascii="Cambria Math" w:hAnsi="Cambria Math" w:cs="Arial"/>
                  <w:b/>
                  <w:bCs/>
                  <w:i/>
                </w:rPr>
              </m:ctrlPr>
            </m:sSubPr>
            <m:e>
              <m:r>
                <m:rPr>
                  <m:sty m:val="bi"/>
                </m:rPr>
                <w:rPr>
                  <w:rFonts w:ascii="Cambria Math" w:hAnsi="Cambria Math" w:cs="Arial"/>
                </w:rPr>
                <m:t>+ …+</m:t>
              </m:r>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k</m:t>
                  </m:r>
                </m:sub>
              </m:sSub>
              <m:sSub>
                <m:sSubPr>
                  <m:ctrlPr>
                    <w:rPr>
                      <w:rFonts w:ascii="Cambria Math" w:hAnsi="Cambria Math" w:cs="Arial"/>
                      <w:b/>
                      <w:bCs/>
                      <w:i/>
                    </w:rPr>
                  </m:ctrlPr>
                </m:sSubPr>
                <m:e>
                  <m:r>
                    <m:rPr>
                      <m:sty m:val="bi"/>
                    </m:rPr>
                    <w:rPr>
                      <w:rFonts w:ascii="Cambria Math" w:hAnsi="Cambria Math" w:cs="Arial"/>
                    </w:rPr>
                    <m:t>χ</m:t>
                  </m:r>
                </m:e>
                <m:sub>
                  <m:r>
                    <m:rPr>
                      <m:sty m:val="bi"/>
                    </m:rPr>
                    <w:rPr>
                      <w:rFonts w:ascii="Cambria Math" w:hAnsi="Cambria Math" w:cs="Arial"/>
                    </w:rPr>
                    <m:t>ki</m:t>
                  </m:r>
                </m:sub>
              </m:sSub>
            </m:e>
            <m:sub/>
          </m:sSub>
        </m:oMath>
      </m:oMathPara>
    </w:p>
    <w:p w14:paraId="2E55D6E3" w14:textId="77777777" w:rsidR="003348C3" w:rsidRPr="00135F86" w:rsidRDefault="003348C3" w:rsidP="003348C3">
      <w:pPr>
        <w:tabs>
          <w:tab w:val="left" w:pos="1095"/>
        </w:tabs>
        <w:jc w:val="both"/>
        <w:rPr>
          <w:rFonts w:ascii="Arial" w:hAnsi="Arial" w:cs="Arial"/>
          <w:sz w:val="20"/>
          <w:szCs w:val="20"/>
        </w:rPr>
      </w:pPr>
      <w:r w:rsidRPr="00135F86">
        <w:rPr>
          <w:rFonts w:ascii="Arial" w:hAnsi="Arial" w:cs="Arial"/>
          <w:sz w:val="20"/>
          <w:szCs w:val="20"/>
        </w:rPr>
        <w:t>Where;</w:t>
      </w:r>
    </w:p>
    <w:p w14:paraId="2E21A05A" w14:textId="45A8D8E3" w:rsidR="003348C3" w:rsidRPr="00D01F07" w:rsidRDefault="00F63C79" w:rsidP="00D01F07">
      <w:pPr>
        <w:tabs>
          <w:tab w:val="left" w:pos="1095"/>
        </w:tabs>
        <w:ind w:left="360"/>
        <w:jc w:val="both"/>
        <w:rPr>
          <w:rFonts w:ascii="Arial" w:hAnsi="Arial" w:cs="Arial"/>
          <w:bCs/>
          <w:sz w:val="20"/>
          <w:szCs w:val="20"/>
        </w:rPr>
      </w:pPr>
      <m:oMath>
        <m:sSub>
          <m:sSubPr>
            <m:ctrlPr>
              <w:rPr>
                <w:rFonts w:ascii="Cambria Math" w:hAnsi="Cambria Math" w:cs="Arial"/>
                <w:i/>
                <w:sz w:val="20"/>
                <w:szCs w:val="20"/>
              </w:rPr>
            </m:ctrlPr>
          </m:sSubPr>
          <m:e>
            <m:r>
              <w:rPr>
                <w:rFonts w:ascii="Cambria Math" w:hAnsi="Cambria Math" w:cs="Arial"/>
                <w:sz w:val="20"/>
                <w:szCs w:val="20"/>
              </w:rPr>
              <m:t>λ</m:t>
            </m:r>
          </m:e>
          <m:sub>
            <m:r>
              <w:rPr>
                <w:rFonts w:ascii="Cambria Math" w:hAnsi="Cambria Math" w:cs="Arial"/>
                <w:sz w:val="20"/>
                <w:szCs w:val="20"/>
              </w:rPr>
              <m:t>i</m:t>
            </m:r>
          </m:sub>
        </m:sSub>
      </m:oMath>
      <w:r w:rsidR="003348C3" w:rsidRPr="00D01F07">
        <w:rPr>
          <w:rFonts w:ascii="Arial" w:hAnsi="Arial" w:cs="Arial"/>
          <w:sz w:val="20"/>
          <w:szCs w:val="20"/>
        </w:rPr>
        <w:t xml:space="preserve"> </w:t>
      </w:r>
      <w:r w:rsidR="00C8559D">
        <w:rPr>
          <w:rFonts w:ascii="Arial" w:hAnsi="Arial" w:cs="Arial"/>
          <w:sz w:val="20"/>
          <w:szCs w:val="20"/>
        </w:rPr>
        <w:t xml:space="preserve">= </w:t>
      </w:r>
      <w:r w:rsidR="003348C3" w:rsidRPr="00D01F07">
        <w:rPr>
          <w:rFonts w:ascii="Arial" w:hAnsi="Arial" w:cs="Arial"/>
          <w:sz w:val="20"/>
          <w:szCs w:val="20"/>
        </w:rPr>
        <w:t xml:space="preserve">expected count of crime incidents in area </w:t>
      </w:r>
      <m:oMath>
        <m:r>
          <w:rPr>
            <w:rFonts w:ascii="Cambria Math" w:hAnsi="Cambria Math" w:cs="Arial"/>
            <w:sz w:val="20"/>
            <w:szCs w:val="20"/>
          </w:rPr>
          <m:t>i</m:t>
        </m:r>
      </m:oMath>
    </w:p>
    <w:p w14:paraId="5B116706" w14:textId="799567D5" w:rsidR="003348C3" w:rsidRPr="00D01F07" w:rsidRDefault="00F63C79" w:rsidP="00D01F07">
      <w:pPr>
        <w:tabs>
          <w:tab w:val="left" w:pos="1095"/>
        </w:tabs>
        <w:ind w:left="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 xml:space="preserve">ο     </m:t>
            </m:r>
          </m:sub>
        </m:sSub>
      </m:oMath>
      <w:r w:rsidR="003348C3" w:rsidRPr="00D01F07">
        <w:rPr>
          <w:rFonts w:ascii="Arial" w:hAnsi="Arial" w:cs="Arial"/>
          <w:sz w:val="20"/>
          <w:szCs w:val="20"/>
        </w:rPr>
        <w:t xml:space="preserve"> </w:t>
      </w:r>
      <w:r w:rsidR="00C8559D">
        <w:rPr>
          <w:rFonts w:ascii="Arial" w:hAnsi="Arial" w:cs="Arial"/>
          <w:sz w:val="20"/>
          <w:szCs w:val="20"/>
        </w:rPr>
        <w:t xml:space="preserve">= </w:t>
      </w:r>
      <w:r w:rsidR="003348C3" w:rsidRPr="00D01F07">
        <w:rPr>
          <w:rFonts w:ascii="Arial" w:hAnsi="Arial" w:cs="Arial"/>
          <w:sz w:val="20"/>
          <w:szCs w:val="20"/>
        </w:rPr>
        <w:t xml:space="preserve">intercept </w:t>
      </w:r>
    </w:p>
    <w:p w14:paraId="45AA3236" w14:textId="73BD61BE" w:rsidR="003348C3" w:rsidRPr="00D01F07" w:rsidRDefault="00F63C79" w:rsidP="00D01F07">
      <w:pPr>
        <w:tabs>
          <w:tab w:val="left" w:pos="1095"/>
        </w:tabs>
        <w:ind w:left="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χ</m:t>
            </m:r>
          </m:e>
          <m:sub>
            <m:r>
              <w:rPr>
                <w:rFonts w:ascii="Cambria Math" w:hAnsi="Cambria Math" w:cs="Arial"/>
                <w:sz w:val="20"/>
                <w:szCs w:val="20"/>
              </w:rPr>
              <m:t>1i</m:t>
            </m:r>
          </m:sub>
        </m:sSub>
        <m:r>
          <w:rPr>
            <w:rFonts w:ascii="Cambria Math" w:hAnsi="Cambria Math" w:cs="Arial"/>
            <w:sz w:val="20"/>
            <w:szCs w:val="20"/>
          </w:rPr>
          <m:t>,</m:t>
        </m:r>
      </m:oMath>
      <w:r w:rsidR="003348C3" w:rsidRPr="00D01F07">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χ</m:t>
            </m:r>
          </m:e>
          <m:sub>
            <m:r>
              <w:rPr>
                <w:rFonts w:ascii="Cambria Math" w:hAnsi="Cambria Math" w:cs="Arial"/>
                <w:sz w:val="20"/>
                <w:szCs w:val="20"/>
              </w:rPr>
              <m:t>2i</m:t>
            </m:r>
          </m:sub>
        </m:sSub>
      </m:oMath>
      <w:r w:rsidR="003348C3" w:rsidRPr="00D01F07">
        <w:rPr>
          <w:rFonts w:ascii="Arial" w:eastAsiaTheme="minorEastAsia" w:hAnsi="Arial" w:cs="Arial"/>
          <w:sz w:val="20"/>
          <w:szCs w:val="20"/>
        </w:rPr>
        <w:t>…</w:t>
      </w:r>
      <m:oMath>
        <m:sSub>
          <m:sSubPr>
            <m:ctrlPr>
              <w:rPr>
                <w:rFonts w:ascii="Cambria Math" w:hAnsi="Cambria Math" w:cs="Arial"/>
                <w:i/>
                <w:sz w:val="20"/>
                <w:szCs w:val="20"/>
              </w:rPr>
            </m:ctrlPr>
          </m:sSubPr>
          <m:e>
            <m:r>
              <w:rPr>
                <w:rFonts w:ascii="Cambria Math" w:hAnsi="Cambria Math" w:cs="Arial"/>
                <w:sz w:val="20"/>
                <w:szCs w:val="20"/>
              </w:rPr>
              <m:t>χ</m:t>
            </m:r>
          </m:e>
          <m:sub>
            <m:r>
              <w:rPr>
                <w:rFonts w:ascii="Cambria Math" w:hAnsi="Cambria Math" w:cs="Arial"/>
                <w:sz w:val="20"/>
                <w:szCs w:val="20"/>
              </w:rPr>
              <m:t>ki</m:t>
            </m:r>
          </m:sub>
        </m:sSub>
      </m:oMath>
      <w:r w:rsidR="003348C3" w:rsidRPr="00D01F07">
        <w:rPr>
          <w:rFonts w:ascii="Arial" w:eastAsiaTheme="minorEastAsia" w:hAnsi="Arial" w:cs="Arial"/>
          <w:b/>
          <w:bCs/>
          <w:sz w:val="20"/>
          <w:szCs w:val="20"/>
        </w:rPr>
        <w:t xml:space="preserve">  </w:t>
      </w:r>
      <w:r w:rsidR="00C8559D">
        <w:rPr>
          <w:rFonts w:ascii="Arial" w:hAnsi="Arial" w:cs="Arial"/>
          <w:sz w:val="20"/>
          <w:szCs w:val="20"/>
        </w:rPr>
        <w:t>=</w:t>
      </w:r>
      <w:r w:rsidR="003348C3" w:rsidRPr="00D01F07">
        <w:rPr>
          <w:rFonts w:ascii="Arial" w:hAnsi="Arial" w:cs="Arial"/>
          <w:sz w:val="20"/>
          <w:szCs w:val="20"/>
        </w:rPr>
        <w:t xml:space="preserve"> covariates</w:t>
      </w:r>
    </w:p>
    <w:p w14:paraId="2D552413" w14:textId="435BB088" w:rsidR="003348C3" w:rsidRPr="00D01F07" w:rsidRDefault="00F63C79" w:rsidP="00D01F07">
      <w:pPr>
        <w:tabs>
          <w:tab w:val="left" w:pos="1095"/>
        </w:tabs>
        <w:ind w:left="360"/>
        <w:jc w:val="both"/>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k</m:t>
            </m:r>
          </m:sub>
        </m:sSub>
      </m:oMath>
      <w:r w:rsidR="003348C3" w:rsidRPr="00D01F07">
        <w:rPr>
          <w:rFonts w:ascii="Arial" w:hAnsi="Arial" w:cs="Arial"/>
          <w:sz w:val="20"/>
          <w:szCs w:val="20"/>
        </w:rPr>
        <w:t xml:space="preserve"> </w:t>
      </w:r>
      <w:r w:rsidR="00C8559D">
        <w:rPr>
          <w:rFonts w:ascii="Arial" w:hAnsi="Arial" w:cs="Arial"/>
          <w:sz w:val="20"/>
          <w:szCs w:val="20"/>
        </w:rPr>
        <w:t xml:space="preserve">= </w:t>
      </w:r>
      <w:r w:rsidR="003348C3" w:rsidRPr="00D01F07">
        <w:rPr>
          <w:rFonts w:ascii="Arial" w:hAnsi="Arial" w:cs="Arial"/>
          <w:sz w:val="20"/>
          <w:szCs w:val="20"/>
        </w:rPr>
        <w:t xml:space="preserve">regression coefficients </w:t>
      </w:r>
    </w:p>
    <w:p w14:paraId="3655BA4E" w14:textId="1BD4D452" w:rsidR="003348C3" w:rsidRPr="00596943" w:rsidRDefault="003348C3" w:rsidP="003348C3">
      <w:pPr>
        <w:tabs>
          <w:tab w:val="left" w:pos="1095"/>
        </w:tabs>
        <w:jc w:val="both"/>
        <w:rPr>
          <w:rFonts w:ascii="Arial" w:hAnsi="Arial" w:cs="Arial"/>
          <w:sz w:val="20"/>
          <w:szCs w:val="20"/>
        </w:rPr>
      </w:pPr>
      <w:r w:rsidRPr="00596943">
        <w:rPr>
          <w:rFonts w:ascii="Arial" w:hAnsi="Arial" w:cs="Arial"/>
          <w:sz w:val="20"/>
          <w:szCs w:val="20"/>
        </w:rPr>
        <w:t>Independent variables included year, sub-county population, distance to the city center</w:t>
      </w:r>
      <w:r>
        <w:rPr>
          <w:rFonts w:ascii="Arial" w:hAnsi="Arial" w:cs="Arial"/>
          <w:sz w:val="20"/>
          <w:szCs w:val="20"/>
        </w:rPr>
        <w:t xml:space="preserve"> </w:t>
      </w:r>
      <w:r w:rsidRPr="00596943">
        <w:rPr>
          <w:rFonts w:ascii="Arial" w:hAnsi="Arial" w:cs="Arial"/>
          <w:sz w:val="20"/>
          <w:szCs w:val="20"/>
        </w:rPr>
        <w:t xml:space="preserve">and presence of informal settlements. The model was estimated </w:t>
      </w:r>
      <w:r w:rsidRPr="00C2195F">
        <w:rPr>
          <w:rFonts w:ascii="Arial" w:hAnsi="Arial" w:cs="Arial"/>
          <w:sz w:val="20"/>
          <w:szCs w:val="20"/>
        </w:rPr>
        <w:t>using</w:t>
      </w:r>
      <w:r w:rsidR="00C50CDD" w:rsidRPr="00C2195F">
        <w:rPr>
          <w:rFonts w:ascii="Arial" w:hAnsi="Arial" w:cs="Arial"/>
          <w:sz w:val="20"/>
          <w:szCs w:val="20"/>
        </w:rPr>
        <w:t xml:space="preserve"> the R software environment (version 4.2.2) (R Core Team, 2022)</w:t>
      </w:r>
      <w:r w:rsidR="00C2195F">
        <w:rPr>
          <w:rFonts w:ascii="Arial" w:hAnsi="Arial" w:cs="Arial"/>
          <w:sz w:val="20"/>
          <w:szCs w:val="20"/>
        </w:rPr>
        <w:t xml:space="preserve"> </w:t>
      </w:r>
      <w:r w:rsidRPr="00C2195F">
        <w:rPr>
          <w:rFonts w:ascii="Arial" w:hAnsi="Arial" w:cs="Arial"/>
          <w:sz w:val="20"/>
          <w:szCs w:val="20"/>
        </w:rPr>
        <w:t>and overdispersion was checked using</w:t>
      </w:r>
      <w:r w:rsidRPr="00596943">
        <w:rPr>
          <w:rFonts w:ascii="Arial" w:hAnsi="Arial" w:cs="Arial"/>
          <w:sz w:val="20"/>
          <w:szCs w:val="20"/>
        </w:rPr>
        <w:t xml:space="preserve"> deviance statistics. For variables showing overdispersion, a negative binomial model was considered as an alternative specification. Results from this model were used to predict crime trends and assess the effect of contextual factors on crime incidence.</w:t>
      </w:r>
    </w:p>
    <w:p w14:paraId="39C65A90" w14:textId="30C73B2E" w:rsidR="003348C3" w:rsidRPr="00716DBD" w:rsidRDefault="003348C3" w:rsidP="003348C3">
      <w:pPr>
        <w:tabs>
          <w:tab w:val="left" w:pos="1095"/>
        </w:tabs>
        <w:jc w:val="both"/>
        <w:rPr>
          <w:rFonts w:ascii="Arial" w:hAnsi="Arial" w:cs="Arial"/>
          <w:b/>
          <w:bCs/>
          <w:sz w:val="22"/>
          <w:szCs w:val="22"/>
        </w:rPr>
      </w:pPr>
      <w:r w:rsidRPr="00716DBD">
        <w:rPr>
          <w:rFonts w:ascii="Arial" w:hAnsi="Arial" w:cs="Arial"/>
          <w:b/>
          <w:bCs/>
          <w:sz w:val="22"/>
          <w:szCs w:val="22"/>
        </w:rPr>
        <w:t>3. RESULTS</w:t>
      </w:r>
    </w:p>
    <w:p w14:paraId="098D1883" w14:textId="66362B13" w:rsidR="003348C3" w:rsidRPr="00401707" w:rsidRDefault="003348C3" w:rsidP="003348C3">
      <w:pPr>
        <w:tabs>
          <w:tab w:val="left" w:pos="1095"/>
        </w:tabs>
        <w:jc w:val="both"/>
        <w:rPr>
          <w:rFonts w:ascii="Arial" w:hAnsi="Arial" w:cs="Arial"/>
          <w:b/>
          <w:bCs/>
          <w:sz w:val="22"/>
          <w:szCs w:val="22"/>
        </w:rPr>
      </w:pPr>
      <w:r w:rsidRPr="00F42FEC">
        <w:rPr>
          <w:rFonts w:ascii="Arial" w:hAnsi="Arial" w:cs="Arial"/>
          <w:b/>
          <w:bCs/>
          <w:sz w:val="22"/>
          <w:szCs w:val="22"/>
        </w:rPr>
        <w:t xml:space="preserve">3.1 </w:t>
      </w:r>
      <w:r w:rsidR="00B01322" w:rsidRPr="00F42FEC">
        <w:rPr>
          <w:rFonts w:ascii="Arial" w:hAnsi="Arial" w:cs="Arial"/>
          <w:b/>
          <w:bCs/>
          <w:sz w:val="22"/>
          <w:szCs w:val="22"/>
        </w:rPr>
        <w:t>Typolo</w:t>
      </w:r>
      <w:r w:rsidR="00CB02AB" w:rsidRPr="00F42FEC">
        <w:rPr>
          <w:rFonts w:ascii="Arial" w:hAnsi="Arial" w:cs="Arial"/>
          <w:b/>
          <w:bCs/>
          <w:sz w:val="22"/>
          <w:szCs w:val="22"/>
        </w:rPr>
        <w:t>gy</w:t>
      </w:r>
      <w:r w:rsidR="00C8559D" w:rsidRPr="00F42FEC">
        <w:rPr>
          <w:rFonts w:ascii="Arial" w:hAnsi="Arial" w:cs="Arial"/>
          <w:b/>
          <w:bCs/>
          <w:sz w:val="22"/>
          <w:szCs w:val="22"/>
        </w:rPr>
        <w:t xml:space="preserve"> </w:t>
      </w:r>
      <w:r w:rsidR="00904306" w:rsidRPr="00E15A65">
        <w:rPr>
          <w:rFonts w:ascii="Arial" w:hAnsi="Arial" w:cs="Arial"/>
          <w:b/>
          <w:bCs/>
          <w:sz w:val="22"/>
          <w:szCs w:val="22"/>
        </w:rPr>
        <w:t>and G</w:t>
      </w:r>
      <w:r w:rsidR="00D71232" w:rsidRPr="00E15A65">
        <w:rPr>
          <w:rFonts w:ascii="Arial" w:hAnsi="Arial" w:cs="Arial"/>
          <w:b/>
          <w:bCs/>
          <w:sz w:val="22"/>
          <w:szCs w:val="22"/>
        </w:rPr>
        <w:t>eneral</w:t>
      </w:r>
      <w:r w:rsidR="00904306" w:rsidRPr="00E15A65">
        <w:rPr>
          <w:rFonts w:ascii="Arial" w:hAnsi="Arial" w:cs="Arial"/>
          <w:b/>
          <w:bCs/>
          <w:sz w:val="22"/>
          <w:szCs w:val="22"/>
        </w:rPr>
        <w:t xml:space="preserve"> </w:t>
      </w:r>
      <w:r w:rsidR="00D71232" w:rsidRPr="00E15A65">
        <w:rPr>
          <w:rFonts w:ascii="Arial" w:hAnsi="Arial" w:cs="Arial"/>
          <w:b/>
          <w:bCs/>
          <w:sz w:val="22"/>
          <w:szCs w:val="22"/>
        </w:rPr>
        <w:t xml:space="preserve">Spatial </w:t>
      </w:r>
      <w:r w:rsidR="00904306" w:rsidRPr="00E15A65">
        <w:rPr>
          <w:rFonts w:ascii="Arial" w:hAnsi="Arial" w:cs="Arial"/>
          <w:b/>
          <w:bCs/>
          <w:sz w:val="22"/>
          <w:szCs w:val="22"/>
        </w:rPr>
        <w:t>Trends</w:t>
      </w:r>
      <w:r w:rsidR="00ED5726" w:rsidRPr="00E15A65">
        <w:rPr>
          <w:rFonts w:ascii="Arial" w:hAnsi="Arial" w:cs="Arial"/>
          <w:b/>
          <w:bCs/>
          <w:sz w:val="22"/>
          <w:szCs w:val="22"/>
        </w:rPr>
        <w:t xml:space="preserve"> </w:t>
      </w:r>
      <w:r w:rsidR="00C8559D" w:rsidRPr="00F42FEC">
        <w:rPr>
          <w:rFonts w:ascii="Arial" w:hAnsi="Arial" w:cs="Arial"/>
          <w:b/>
          <w:bCs/>
          <w:sz w:val="22"/>
          <w:szCs w:val="22"/>
        </w:rPr>
        <w:t>of Crime</w:t>
      </w:r>
      <w:r w:rsidR="00904306">
        <w:rPr>
          <w:rFonts w:ascii="Arial" w:hAnsi="Arial" w:cs="Arial"/>
          <w:b/>
          <w:bCs/>
          <w:sz w:val="22"/>
          <w:szCs w:val="22"/>
        </w:rPr>
        <w:t xml:space="preserve"> </w:t>
      </w:r>
    </w:p>
    <w:p w14:paraId="04F21709" w14:textId="07E6C528" w:rsidR="003348C3"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A total of 8,487 crime incidents were reported across the six sub-counties of Mombasa County during the study period. Analysis of crime typologies </w:t>
      </w:r>
      <w:r>
        <w:rPr>
          <w:rFonts w:ascii="Arial" w:hAnsi="Arial" w:cs="Arial"/>
          <w:sz w:val="20"/>
          <w:szCs w:val="20"/>
        </w:rPr>
        <w:t>showed</w:t>
      </w:r>
      <w:r w:rsidRPr="00DE1370">
        <w:rPr>
          <w:rFonts w:ascii="Arial" w:hAnsi="Arial" w:cs="Arial"/>
          <w:sz w:val="20"/>
          <w:szCs w:val="20"/>
        </w:rPr>
        <w:t xml:space="preserve"> that stealing was the most prevalent crime</w:t>
      </w:r>
      <w:r>
        <w:rPr>
          <w:rFonts w:ascii="Arial" w:hAnsi="Arial" w:cs="Arial"/>
          <w:sz w:val="20"/>
          <w:szCs w:val="20"/>
        </w:rPr>
        <w:t xml:space="preserve"> with approximately</w:t>
      </w:r>
      <w:r w:rsidRPr="00DE1370">
        <w:rPr>
          <w:rFonts w:ascii="Arial" w:hAnsi="Arial" w:cs="Arial"/>
          <w:sz w:val="20"/>
          <w:szCs w:val="20"/>
        </w:rPr>
        <w:t xml:space="preserve"> 37.1% of </w:t>
      </w:r>
      <w:r>
        <w:rPr>
          <w:rFonts w:ascii="Arial" w:hAnsi="Arial" w:cs="Arial"/>
          <w:sz w:val="20"/>
          <w:szCs w:val="20"/>
        </w:rPr>
        <w:t xml:space="preserve">the </w:t>
      </w:r>
      <w:r w:rsidRPr="00DE1370">
        <w:rPr>
          <w:rFonts w:ascii="Arial" w:hAnsi="Arial" w:cs="Arial"/>
          <w:sz w:val="20"/>
          <w:szCs w:val="20"/>
        </w:rPr>
        <w:t>total incidents across</w:t>
      </w:r>
      <w:r>
        <w:rPr>
          <w:rFonts w:ascii="Arial" w:hAnsi="Arial" w:cs="Arial"/>
          <w:sz w:val="20"/>
          <w:szCs w:val="20"/>
        </w:rPr>
        <w:t xml:space="preserve"> within</w:t>
      </w:r>
      <w:r w:rsidRPr="00DE1370">
        <w:rPr>
          <w:rFonts w:ascii="Arial" w:hAnsi="Arial" w:cs="Arial"/>
          <w:sz w:val="20"/>
          <w:szCs w:val="20"/>
        </w:rPr>
        <w:t xml:space="preserve"> the three years</w:t>
      </w:r>
      <w:r>
        <w:rPr>
          <w:rFonts w:ascii="Arial" w:hAnsi="Arial" w:cs="Arial"/>
          <w:sz w:val="20"/>
          <w:szCs w:val="20"/>
        </w:rPr>
        <w:t xml:space="preserve"> period</w:t>
      </w:r>
      <w:r w:rsidRPr="00DE1370">
        <w:rPr>
          <w:rFonts w:ascii="Arial" w:hAnsi="Arial" w:cs="Arial"/>
          <w:sz w:val="20"/>
          <w:szCs w:val="20"/>
        </w:rPr>
        <w:t xml:space="preserve">. This was </w:t>
      </w:r>
      <w:r>
        <w:rPr>
          <w:rFonts w:ascii="Arial" w:hAnsi="Arial" w:cs="Arial"/>
          <w:sz w:val="20"/>
          <w:szCs w:val="20"/>
        </w:rPr>
        <w:t xml:space="preserve">closely </w:t>
      </w:r>
      <w:r w:rsidRPr="00DE1370">
        <w:rPr>
          <w:rFonts w:ascii="Arial" w:hAnsi="Arial" w:cs="Arial"/>
          <w:sz w:val="20"/>
          <w:szCs w:val="20"/>
        </w:rPr>
        <w:t xml:space="preserve">followed by offences against persons </w:t>
      </w:r>
      <w:r>
        <w:rPr>
          <w:rFonts w:ascii="Arial" w:hAnsi="Arial" w:cs="Arial"/>
          <w:sz w:val="20"/>
          <w:szCs w:val="20"/>
        </w:rPr>
        <w:t xml:space="preserve">at </w:t>
      </w:r>
      <w:r w:rsidRPr="00DE1370">
        <w:rPr>
          <w:rFonts w:ascii="Arial" w:hAnsi="Arial" w:cs="Arial"/>
          <w:sz w:val="20"/>
          <w:szCs w:val="20"/>
        </w:rPr>
        <w:t xml:space="preserve">22.4%, drug-related crimes 18.3% and sexual offences </w:t>
      </w:r>
      <w:r>
        <w:rPr>
          <w:rFonts w:ascii="Arial" w:hAnsi="Arial" w:cs="Arial"/>
          <w:sz w:val="20"/>
          <w:szCs w:val="20"/>
        </w:rPr>
        <w:t xml:space="preserve">accounting for </w:t>
      </w:r>
      <w:r w:rsidRPr="00DE1370">
        <w:rPr>
          <w:rFonts w:ascii="Arial" w:hAnsi="Arial" w:cs="Arial"/>
          <w:sz w:val="20"/>
          <w:szCs w:val="20"/>
        </w:rPr>
        <w:t>8.9%</w:t>
      </w:r>
      <w:r>
        <w:rPr>
          <w:rFonts w:ascii="Arial" w:hAnsi="Arial" w:cs="Arial"/>
          <w:sz w:val="20"/>
          <w:szCs w:val="20"/>
        </w:rPr>
        <w:t xml:space="preserve"> of the reported cased</w:t>
      </w:r>
      <w:r w:rsidRPr="00DE1370">
        <w:rPr>
          <w:rFonts w:ascii="Arial" w:hAnsi="Arial" w:cs="Arial"/>
          <w:sz w:val="20"/>
          <w:szCs w:val="20"/>
        </w:rPr>
        <w:t>. Other less frequent crimes included</w:t>
      </w:r>
      <w:r>
        <w:rPr>
          <w:rFonts w:ascii="Arial" w:hAnsi="Arial" w:cs="Arial"/>
          <w:sz w:val="20"/>
          <w:szCs w:val="20"/>
        </w:rPr>
        <w:t xml:space="preserve"> </w:t>
      </w:r>
      <w:r w:rsidRPr="00DE1370">
        <w:rPr>
          <w:rFonts w:ascii="Arial" w:hAnsi="Arial" w:cs="Arial"/>
          <w:sz w:val="20"/>
          <w:szCs w:val="20"/>
        </w:rPr>
        <w:t>economic crimes</w:t>
      </w:r>
      <w:r>
        <w:rPr>
          <w:rFonts w:ascii="Arial" w:hAnsi="Arial" w:cs="Arial"/>
          <w:sz w:val="20"/>
          <w:szCs w:val="20"/>
        </w:rPr>
        <w:t>,</w:t>
      </w:r>
      <w:r w:rsidRPr="00DE1370">
        <w:rPr>
          <w:rFonts w:ascii="Arial" w:hAnsi="Arial" w:cs="Arial"/>
          <w:sz w:val="20"/>
          <w:szCs w:val="20"/>
        </w:rPr>
        <w:t xml:space="preserve"> homicides, robbery and traffic offences</w:t>
      </w:r>
      <w:r w:rsidR="00E576EA">
        <w:rPr>
          <w:rFonts w:ascii="Arial" w:hAnsi="Arial" w:cs="Arial"/>
          <w:sz w:val="20"/>
          <w:szCs w:val="20"/>
        </w:rPr>
        <w:t xml:space="preserve"> </w:t>
      </w:r>
      <w:r w:rsidR="00E576EA" w:rsidRPr="00C2195F">
        <w:rPr>
          <w:rFonts w:ascii="Arial" w:hAnsi="Arial" w:cs="Arial"/>
          <w:sz w:val="20"/>
          <w:szCs w:val="20"/>
        </w:rPr>
        <w:t>Table 1.</w:t>
      </w:r>
    </w:p>
    <w:p w14:paraId="566A65A5" w14:textId="1610194D" w:rsidR="003348C3" w:rsidRPr="00FF6529" w:rsidRDefault="003348C3" w:rsidP="003348C3">
      <w:pPr>
        <w:tabs>
          <w:tab w:val="left" w:pos="1095"/>
        </w:tabs>
        <w:jc w:val="both"/>
        <w:rPr>
          <w:rFonts w:ascii="Arial" w:hAnsi="Arial" w:cs="Arial"/>
          <w:b/>
          <w:bCs/>
          <w:sz w:val="20"/>
          <w:szCs w:val="20"/>
        </w:rPr>
      </w:pPr>
      <w:r w:rsidRPr="00FF6529">
        <w:rPr>
          <w:rFonts w:ascii="Arial" w:hAnsi="Arial" w:cs="Arial"/>
          <w:b/>
          <w:bCs/>
          <w:sz w:val="20"/>
          <w:szCs w:val="20"/>
        </w:rPr>
        <w:t>Table 1</w:t>
      </w:r>
      <w:r>
        <w:rPr>
          <w:rFonts w:ascii="Arial" w:hAnsi="Arial" w:cs="Arial"/>
          <w:b/>
          <w:bCs/>
          <w:sz w:val="20"/>
          <w:szCs w:val="20"/>
        </w:rPr>
        <w:t>.</w:t>
      </w:r>
      <w:r w:rsidRPr="00FF6529">
        <w:rPr>
          <w:rFonts w:ascii="Arial" w:hAnsi="Arial" w:cs="Arial"/>
          <w:b/>
          <w:bCs/>
          <w:sz w:val="20"/>
          <w:szCs w:val="20"/>
        </w:rPr>
        <w:t xml:space="preserve"> Top crime types by year</w:t>
      </w:r>
    </w:p>
    <w:tbl>
      <w:tblPr>
        <w:tblStyle w:val="TableGridLight"/>
        <w:tblW w:w="0" w:type="auto"/>
        <w:tblLook w:val="04A0" w:firstRow="1" w:lastRow="0" w:firstColumn="1" w:lastColumn="0" w:noHBand="0" w:noVBand="1"/>
      </w:tblPr>
      <w:tblGrid>
        <w:gridCol w:w="1870"/>
        <w:gridCol w:w="1870"/>
        <w:gridCol w:w="1870"/>
        <w:gridCol w:w="1870"/>
        <w:gridCol w:w="1870"/>
      </w:tblGrid>
      <w:tr w:rsidR="003348C3" w14:paraId="34785594" w14:textId="77777777" w:rsidTr="000C347D">
        <w:tc>
          <w:tcPr>
            <w:tcW w:w="1870" w:type="dxa"/>
          </w:tcPr>
          <w:p w14:paraId="4ACA5FAE" w14:textId="471F702A" w:rsidR="003348C3" w:rsidRPr="001966DA" w:rsidRDefault="003348C3" w:rsidP="000C347D">
            <w:pPr>
              <w:tabs>
                <w:tab w:val="left" w:pos="1095"/>
              </w:tabs>
              <w:jc w:val="both"/>
              <w:rPr>
                <w:rFonts w:ascii="Arial" w:hAnsi="Arial" w:cs="Arial"/>
                <w:b/>
                <w:bCs/>
                <w:sz w:val="20"/>
                <w:szCs w:val="20"/>
              </w:rPr>
            </w:pPr>
            <w:r w:rsidRPr="001966DA">
              <w:rPr>
                <w:rFonts w:ascii="Arial" w:hAnsi="Arial" w:cs="Arial"/>
                <w:b/>
                <w:bCs/>
                <w:sz w:val="20"/>
                <w:szCs w:val="20"/>
              </w:rPr>
              <w:t xml:space="preserve">Crime </w:t>
            </w:r>
            <w:r w:rsidR="007C6E67">
              <w:rPr>
                <w:rFonts w:ascii="Arial" w:hAnsi="Arial" w:cs="Arial"/>
                <w:b/>
                <w:bCs/>
                <w:sz w:val="20"/>
                <w:szCs w:val="20"/>
              </w:rPr>
              <w:t>t</w:t>
            </w:r>
            <w:r w:rsidRPr="001966DA">
              <w:rPr>
                <w:rFonts w:ascii="Arial" w:hAnsi="Arial" w:cs="Arial"/>
                <w:b/>
                <w:bCs/>
                <w:sz w:val="20"/>
                <w:szCs w:val="20"/>
              </w:rPr>
              <w:t>ype</w:t>
            </w:r>
          </w:p>
        </w:tc>
        <w:tc>
          <w:tcPr>
            <w:tcW w:w="1870" w:type="dxa"/>
          </w:tcPr>
          <w:p w14:paraId="50C56FE6" w14:textId="77777777" w:rsidR="003348C3" w:rsidRPr="001966DA" w:rsidRDefault="003348C3" w:rsidP="000C347D">
            <w:pPr>
              <w:tabs>
                <w:tab w:val="left" w:pos="1095"/>
              </w:tabs>
              <w:jc w:val="both"/>
              <w:rPr>
                <w:rFonts w:ascii="Arial" w:hAnsi="Arial" w:cs="Arial"/>
                <w:b/>
                <w:bCs/>
                <w:sz w:val="20"/>
                <w:szCs w:val="20"/>
              </w:rPr>
            </w:pPr>
            <w:r w:rsidRPr="001966DA">
              <w:rPr>
                <w:rFonts w:ascii="Arial" w:hAnsi="Arial" w:cs="Arial"/>
                <w:b/>
                <w:bCs/>
                <w:sz w:val="20"/>
                <w:szCs w:val="20"/>
              </w:rPr>
              <w:t>2019</w:t>
            </w:r>
          </w:p>
        </w:tc>
        <w:tc>
          <w:tcPr>
            <w:tcW w:w="1870" w:type="dxa"/>
          </w:tcPr>
          <w:p w14:paraId="4162B4A7" w14:textId="77777777" w:rsidR="003348C3" w:rsidRPr="001966DA" w:rsidRDefault="003348C3" w:rsidP="000C347D">
            <w:pPr>
              <w:tabs>
                <w:tab w:val="left" w:pos="1095"/>
              </w:tabs>
              <w:jc w:val="both"/>
              <w:rPr>
                <w:rFonts w:ascii="Arial" w:hAnsi="Arial" w:cs="Arial"/>
                <w:b/>
                <w:bCs/>
                <w:sz w:val="20"/>
                <w:szCs w:val="20"/>
              </w:rPr>
            </w:pPr>
            <w:r w:rsidRPr="001966DA">
              <w:rPr>
                <w:rFonts w:ascii="Arial" w:hAnsi="Arial" w:cs="Arial"/>
                <w:b/>
                <w:bCs/>
                <w:sz w:val="20"/>
                <w:szCs w:val="20"/>
              </w:rPr>
              <w:t>2020</w:t>
            </w:r>
          </w:p>
        </w:tc>
        <w:tc>
          <w:tcPr>
            <w:tcW w:w="1870" w:type="dxa"/>
          </w:tcPr>
          <w:p w14:paraId="02B94C4E" w14:textId="77777777" w:rsidR="003348C3" w:rsidRPr="001966DA" w:rsidRDefault="003348C3" w:rsidP="000C347D">
            <w:pPr>
              <w:tabs>
                <w:tab w:val="left" w:pos="1095"/>
              </w:tabs>
              <w:jc w:val="both"/>
              <w:rPr>
                <w:rFonts w:ascii="Arial" w:hAnsi="Arial" w:cs="Arial"/>
                <w:b/>
                <w:bCs/>
                <w:sz w:val="20"/>
                <w:szCs w:val="20"/>
              </w:rPr>
            </w:pPr>
            <w:r w:rsidRPr="001966DA">
              <w:rPr>
                <w:rFonts w:ascii="Arial" w:hAnsi="Arial" w:cs="Arial"/>
                <w:b/>
                <w:bCs/>
                <w:sz w:val="20"/>
                <w:szCs w:val="20"/>
              </w:rPr>
              <w:t>2021</w:t>
            </w:r>
          </w:p>
        </w:tc>
        <w:tc>
          <w:tcPr>
            <w:tcW w:w="1870" w:type="dxa"/>
          </w:tcPr>
          <w:p w14:paraId="19B0F374" w14:textId="77777777" w:rsidR="003348C3" w:rsidRPr="001966DA" w:rsidRDefault="003348C3" w:rsidP="000C347D">
            <w:pPr>
              <w:tabs>
                <w:tab w:val="left" w:pos="1095"/>
              </w:tabs>
              <w:jc w:val="both"/>
              <w:rPr>
                <w:rFonts w:ascii="Arial" w:hAnsi="Arial" w:cs="Arial"/>
                <w:b/>
                <w:bCs/>
                <w:sz w:val="20"/>
                <w:szCs w:val="20"/>
              </w:rPr>
            </w:pPr>
            <w:r w:rsidRPr="001966DA">
              <w:rPr>
                <w:rFonts w:ascii="Arial" w:hAnsi="Arial" w:cs="Arial"/>
                <w:b/>
                <w:bCs/>
                <w:sz w:val="20"/>
                <w:szCs w:val="20"/>
              </w:rPr>
              <w:t>Total</w:t>
            </w:r>
          </w:p>
        </w:tc>
      </w:tr>
      <w:tr w:rsidR="003348C3" w14:paraId="3DEE216F" w14:textId="77777777" w:rsidTr="000C347D">
        <w:tc>
          <w:tcPr>
            <w:tcW w:w="1870" w:type="dxa"/>
          </w:tcPr>
          <w:p w14:paraId="0777CE3C"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Theft</w:t>
            </w:r>
          </w:p>
        </w:tc>
        <w:tc>
          <w:tcPr>
            <w:tcW w:w="1870" w:type="dxa"/>
          </w:tcPr>
          <w:p w14:paraId="1A2F8181"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1250</w:t>
            </w:r>
          </w:p>
        </w:tc>
        <w:tc>
          <w:tcPr>
            <w:tcW w:w="1870" w:type="dxa"/>
          </w:tcPr>
          <w:p w14:paraId="2B880410"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980</w:t>
            </w:r>
          </w:p>
        </w:tc>
        <w:tc>
          <w:tcPr>
            <w:tcW w:w="1870" w:type="dxa"/>
          </w:tcPr>
          <w:p w14:paraId="1C109742"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900</w:t>
            </w:r>
          </w:p>
        </w:tc>
        <w:tc>
          <w:tcPr>
            <w:tcW w:w="1870" w:type="dxa"/>
          </w:tcPr>
          <w:p w14:paraId="4387705B"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3130</w:t>
            </w:r>
          </w:p>
        </w:tc>
      </w:tr>
      <w:tr w:rsidR="003348C3" w14:paraId="48AD32D1" w14:textId="77777777" w:rsidTr="000C347D">
        <w:tc>
          <w:tcPr>
            <w:tcW w:w="1870" w:type="dxa"/>
          </w:tcPr>
          <w:p w14:paraId="73857903"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Assault</w:t>
            </w:r>
          </w:p>
        </w:tc>
        <w:tc>
          <w:tcPr>
            <w:tcW w:w="1870" w:type="dxa"/>
          </w:tcPr>
          <w:p w14:paraId="62805230"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700</w:t>
            </w:r>
          </w:p>
        </w:tc>
        <w:tc>
          <w:tcPr>
            <w:tcW w:w="1870" w:type="dxa"/>
          </w:tcPr>
          <w:p w14:paraId="6FDDDD11"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630</w:t>
            </w:r>
          </w:p>
        </w:tc>
        <w:tc>
          <w:tcPr>
            <w:tcW w:w="1870" w:type="dxa"/>
          </w:tcPr>
          <w:p w14:paraId="2D76C904"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570</w:t>
            </w:r>
          </w:p>
        </w:tc>
        <w:tc>
          <w:tcPr>
            <w:tcW w:w="1870" w:type="dxa"/>
          </w:tcPr>
          <w:p w14:paraId="410A7166"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1900</w:t>
            </w:r>
          </w:p>
        </w:tc>
      </w:tr>
      <w:tr w:rsidR="003348C3" w14:paraId="19C90BA3" w14:textId="77777777" w:rsidTr="000C347D">
        <w:tc>
          <w:tcPr>
            <w:tcW w:w="1870" w:type="dxa"/>
          </w:tcPr>
          <w:p w14:paraId="378350D2"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Drug Offences</w:t>
            </w:r>
          </w:p>
        </w:tc>
        <w:tc>
          <w:tcPr>
            <w:tcW w:w="1870" w:type="dxa"/>
          </w:tcPr>
          <w:p w14:paraId="43C05A69"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550</w:t>
            </w:r>
          </w:p>
        </w:tc>
        <w:tc>
          <w:tcPr>
            <w:tcW w:w="1870" w:type="dxa"/>
          </w:tcPr>
          <w:p w14:paraId="45594AFB"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510</w:t>
            </w:r>
          </w:p>
        </w:tc>
        <w:tc>
          <w:tcPr>
            <w:tcW w:w="1870" w:type="dxa"/>
          </w:tcPr>
          <w:p w14:paraId="0D9E5B0D"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490</w:t>
            </w:r>
          </w:p>
        </w:tc>
        <w:tc>
          <w:tcPr>
            <w:tcW w:w="1870" w:type="dxa"/>
          </w:tcPr>
          <w:p w14:paraId="0F17A95D"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1550</w:t>
            </w:r>
          </w:p>
        </w:tc>
      </w:tr>
      <w:tr w:rsidR="003348C3" w14:paraId="58A00DBD" w14:textId="77777777" w:rsidTr="000C347D">
        <w:tc>
          <w:tcPr>
            <w:tcW w:w="1870" w:type="dxa"/>
          </w:tcPr>
          <w:p w14:paraId="50D01E31"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Sexual Offences</w:t>
            </w:r>
          </w:p>
        </w:tc>
        <w:tc>
          <w:tcPr>
            <w:tcW w:w="1870" w:type="dxa"/>
          </w:tcPr>
          <w:p w14:paraId="5B231D8F"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290</w:t>
            </w:r>
          </w:p>
        </w:tc>
        <w:tc>
          <w:tcPr>
            <w:tcW w:w="1870" w:type="dxa"/>
          </w:tcPr>
          <w:p w14:paraId="6D31D60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280</w:t>
            </w:r>
          </w:p>
        </w:tc>
        <w:tc>
          <w:tcPr>
            <w:tcW w:w="1870" w:type="dxa"/>
          </w:tcPr>
          <w:p w14:paraId="2BECDE01"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190</w:t>
            </w:r>
          </w:p>
        </w:tc>
        <w:tc>
          <w:tcPr>
            <w:tcW w:w="1870" w:type="dxa"/>
          </w:tcPr>
          <w:p w14:paraId="390D91D3"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760</w:t>
            </w:r>
          </w:p>
        </w:tc>
      </w:tr>
      <w:tr w:rsidR="003348C3" w14:paraId="6BB120A9" w14:textId="77777777" w:rsidTr="000C347D">
        <w:tc>
          <w:tcPr>
            <w:tcW w:w="1870" w:type="dxa"/>
          </w:tcPr>
          <w:p w14:paraId="0F3BED72"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Homicide</w:t>
            </w:r>
          </w:p>
        </w:tc>
        <w:tc>
          <w:tcPr>
            <w:tcW w:w="1870" w:type="dxa"/>
          </w:tcPr>
          <w:p w14:paraId="0910E37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120</w:t>
            </w:r>
          </w:p>
        </w:tc>
        <w:tc>
          <w:tcPr>
            <w:tcW w:w="1870" w:type="dxa"/>
          </w:tcPr>
          <w:p w14:paraId="67F316C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110</w:t>
            </w:r>
          </w:p>
        </w:tc>
        <w:tc>
          <w:tcPr>
            <w:tcW w:w="1870" w:type="dxa"/>
          </w:tcPr>
          <w:p w14:paraId="73BDEC97"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100</w:t>
            </w:r>
          </w:p>
        </w:tc>
        <w:tc>
          <w:tcPr>
            <w:tcW w:w="1870" w:type="dxa"/>
          </w:tcPr>
          <w:p w14:paraId="582A594F"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330</w:t>
            </w:r>
          </w:p>
        </w:tc>
      </w:tr>
      <w:tr w:rsidR="003348C3" w14:paraId="68A94A81" w14:textId="77777777" w:rsidTr="000C347D">
        <w:tc>
          <w:tcPr>
            <w:tcW w:w="1870" w:type="dxa"/>
          </w:tcPr>
          <w:p w14:paraId="053EE1FE"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Robbery</w:t>
            </w:r>
          </w:p>
        </w:tc>
        <w:tc>
          <w:tcPr>
            <w:tcW w:w="1870" w:type="dxa"/>
          </w:tcPr>
          <w:p w14:paraId="587084A5"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140</w:t>
            </w:r>
          </w:p>
        </w:tc>
        <w:tc>
          <w:tcPr>
            <w:tcW w:w="1870" w:type="dxa"/>
          </w:tcPr>
          <w:p w14:paraId="6F9D90B2"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130</w:t>
            </w:r>
          </w:p>
        </w:tc>
        <w:tc>
          <w:tcPr>
            <w:tcW w:w="1870" w:type="dxa"/>
          </w:tcPr>
          <w:p w14:paraId="0AC4E5F1"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120</w:t>
            </w:r>
          </w:p>
        </w:tc>
        <w:tc>
          <w:tcPr>
            <w:tcW w:w="1870" w:type="dxa"/>
          </w:tcPr>
          <w:p w14:paraId="3EB609F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390</w:t>
            </w:r>
          </w:p>
        </w:tc>
      </w:tr>
      <w:tr w:rsidR="003348C3" w14:paraId="607C1AD4" w14:textId="77777777" w:rsidTr="000C347D">
        <w:tc>
          <w:tcPr>
            <w:tcW w:w="1870" w:type="dxa"/>
          </w:tcPr>
          <w:p w14:paraId="419C27C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Others</w:t>
            </w:r>
          </w:p>
        </w:tc>
        <w:tc>
          <w:tcPr>
            <w:tcW w:w="1870" w:type="dxa"/>
          </w:tcPr>
          <w:p w14:paraId="1EAEF33C"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152</w:t>
            </w:r>
          </w:p>
        </w:tc>
        <w:tc>
          <w:tcPr>
            <w:tcW w:w="1870" w:type="dxa"/>
          </w:tcPr>
          <w:p w14:paraId="38B5F487"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141</w:t>
            </w:r>
          </w:p>
        </w:tc>
        <w:tc>
          <w:tcPr>
            <w:tcW w:w="1870" w:type="dxa"/>
          </w:tcPr>
          <w:p w14:paraId="3772AD92"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134</w:t>
            </w:r>
          </w:p>
        </w:tc>
        <w:tc>
          <w:tcPr>
            <w:tcW w:w="1870" w:type="dxa"/>
          </w:tcPr>
          <w:p w14:paraId="45797B4D"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427</w:t>
            </w:r>
          </w:p>
        </w:tc>
      </w:tr>
    </w:tbl>
    <w:p w14:paraId="141E1966" w14:textId="77777777" w:rsidR="003348C3" w:rsidRPr="00DE1370" w:rsidRDefault="003348C3" w:rsidP="003348C3">
      <w:pPr>
        <w:tabs>
          <w:tab w:val="left" w:pos="1095"/>
        </w:tabs>
        <w:jc w:val="both"/>
        <w:rPr>
          <w:rFonts w:ascii="Arial" w:hAnsi="Arial" w:cs="Arial"/>
          <w:sz w:val="20"/>
          <w:szCs w:val="20"/>
        </w:rPr>
      </w:pPr>
    </w:p>
    <w:p w14:paraId="1749A5DF" w14:textId="46D6EA89" w:rsidR="00C8559D" w:rsidRDefault="003348C3" w:rsidP="00C8559D">
      <w:pPr>
        <w:tabs>
          <w:tab w:val="left" w:pos="1095"/>
        </w:tabs>
        <w:jc w:val="both"/>
        <w:rPr>
          <w:rFonts w:ascii="Arial" w:hAnsi="Arial" w:cs="Arial"/>
          <w:sz w:val="20"/>
          <w:szCs w:val="20"/>
        </w:rPr>
      </w:pPr>
      <w:r w:rsidRPr="00DE1370">
        <w:rPr>
          <w:rFonts w:ascii="Arial" w:hAnsi="Arial" w:cs="Arial"/>
          <w:sz w:val="20"/>
          <w:szCs w:val="20"/>
        </w:rPr>
        <w:lastRenderedPageBreak/>
        <w:t>Year</w:t>
      </w:r>
      <w:r>
        <w:rPr>
          <w:rFonts w:ascii="Arial" w:hAnsi="Arial" w:cs="Arial"/>
          <w:sz w:val="20"/>
          <w:szCs w:val="20"/>
        </w:rPr>
        <w:t>ly</w:t>
      </w:r>
      <w:r w:rsidRPr="00DE1370">
        <w:rPr>
          <w:rFonts w:ascii="Arial" w:hAnsi="Arial" w:cs="Arial"/>
          <w:sz w:val="20"/>
          <w:szCs w:val="20"/>
        </w:rPr>
        <w:t xml:space="preserve"> trends </w:t>
      </w:r>
      <w:r>
        <w:rPr>
          <w:rFonts w:ascii="Arial" w:hAnsi="Arial" w:cs="Arial"/>
          <w:sz w:val="20"/>
          <w:szCs w:val="20"/>
        </w:rPr>
        <w:t>indicated</w:t>
      </w:r>
      <w:r w:rsidRPr="00DE1370">
        <w:rPr>
          <w:rFonts w:ascii="Arial" w:hAnsi="Arial" w:cs="Arial"/>
          <w:sz w:val="20"/>
          <w:szCs w:val="20"/>
        </w:rPr>
        <w:t xml:space="preserve"> a notable fluctuation in crime </w:t>
      </w:r>
      <w:r>
        <w:rPr>
          <w:rFonts w:ascii="Arial" w:hAnsi="Arial" w:cs="Arial"/>
          <w:sz w:val="20"/>
          <w:szCs w:val="20"/>
        </w:rPr>
        <w:t>activities reported</w:t>
      </w:r>
      <w:r w:rsidRPr="00DE1370">
        <w:rPr>
          <w:rFonts w:ascii="Arial" w:hAnsi="Arial" w:cs="Arial"/>
          <w:sz w:val="20"/>
          <w:szCs w:val="20"/>
        </w:rPr>
        <w:t>. 2019 re</w:t>
      </w:r>
      <w:r>
        <w:rPr>
          <w:rFonts w:ascii="Arial" w:hAnsi="Arial" w:cs="Arial"/>
          <w:sz w:val="20"/>
          <w:szCs w:val="20"/>
        </w:rPr>
        <w:t>ported 3,202 cases which then in 2020 with 2,781 cases reported which can be attributed to COVID-19 pandemic measures. These measures travel</w:t>
      </w:r>
      <w:r w:rsidRPr="00DE1370">
        <w:rPr>
          <w:rFonts w:ascii="Arial" w:hAnsi="Arial" w:cs="Arial"/>
          <w:sz w:val="20"/>
          <w:szCs w:val="20"/>
        </w:rPr>
        <w:t xml:space="preserve"> restrictions</w:t>
      </w:r>
      <w:r>
        <w:rPr>
          <w:rFonts w:ascii="Arial" w:hAnsi="Arial" w:cs="Arial"/>
          <w:sz w:val="20"/>
          <w:szCs w:val="20"/>
        </w:rPr>
        <w:t xml:space="preserve">, </w:t>
      </w:r>
      <w:r w:rsidRPr="00DE1370">
        <w:rPr>
          <w:rFonts w:ascii="Arial" w:hAnsi="Arial" w:cs="Arial"/>
          <w:sz w:val="20"/>
          <w:szCs w:val="20"/>
        </w:rPr>
        <w:t>curfews</w:t>
      </w:r>
      <w:r>
        <w:rPr>
          <w:rFonts w:ascii="Arial" w:hAnsi="Arial" w:cs="Arial"/>
          <w:sz w:val="20"/>
          <w:szCs w:val="20"/>
        </w:rPr>
        <w:t xml:space="preserve"> and</w:t>
      </w:r>
      <w:r w:rsidRPr="00DE1370">
        <w:rPr>
          <w:rFonts w:ascii="Arial" w:hAnsi="Arial" w:cs="Arial"/>
          <w:sz w:val="20"/>
          <w:szCs w:val="20"/>
        </w:rPr>
        <w:t xml:space="preserve"> lockdowns</w:t>
      </w:r>
      <w:r>
        <w:rPr>
          <w:rFonts w:ascii="Arial" w:hAnsi="Arial" w:cs="Arial"/>
          <w:sz w:val="20"/>
          <w:szCs w:val="20"/>
        </w:rPr>
        <w:t xml:space="preserve"> </w:t>
      </w:r>
      <w:r w:rsidRPr="00DE1370">
        <w:rPr>
          <w:rFonts w:ascii="Arial" w:hAnsi="Arial" w:cs="Arial"/>
          <w:sz w:val="20"/>
          <w:szCs w:val="20"/>
        </w:rPr>
        <w:t xml:space="preserve">that reduced both social and criminal activities. In 2021, crime </w:t>
      </w:r>
      <w:r>
        <w:rPr>
          <w:rFonts w:ascii="Arial" w:hAnsi="Arial" w:cs="Arial"/>
          <w:sz w:val="20"/>
          <w:szCs w:val="20"/>
        </w:rPr>
        <w:t>cases reported</w:t>
      </w:r>
      <w:r w:rsidRPr="00DE1370">
        <w:rPr>
          <w:rFonts w:ascii="Arial" w:hAnsi="Arial" w:cs="Arial"/>
          <w:sz w:val="20"/>
          <w:szCs w:val="20"/>
        </w:rPr>
        <w:t xml:space="preserve"> began to rise again </w:t>
      </w:r>
      <w:r>
        <w:rPr>
          <w:rFonts w:ascii="Arial" w:hAnsi="Arial" w:cs="Arial"/>
          <w:sz w:val="20"/>
          <w:szCs w:val="20"/>
        </w:rPr>
        <w:t xml:space="preserve">at </w:t>
      </w:r>
      <w:r w:rsidRPr="00DE1370">
        <w:rPr>
          <w:rFonts w:ascii="Arial" w:hAnsi="Arial" w:cs="Arial"/>
          <w:sz w:val="20"/>
          <w:szCs w:val="20"/>
        </w:rPr>
        <w:t>2,504 cases</w:t>
      </w:r>
      <w:r>
        <w:rPr>
          <w:rFonts w:ascii="Arial" w:hAnsi="Arial" w:cs="Arial"/>
          <w:sz w:val="20"/>
          <w:szCs w:val="20"/>
        </w:rPr>
        <w:t xml:space="preserve"> more particularly </w:t>
      </w:r>
      <w:r w:rsidRPr="00DE1370">
        <w:rPr>
          <w:rFonts w:ascii="Arial" w:hAnsi="Arial" w:cs="Arial"/>
          <w:sz w:val="20"/>
          <w:szCs w:val="20"/>
        </w:rPr>
        <w:t>in urban hotspots</w:t>
      </w:r>
      <w:r>
        <w:rPr>
          <w:rFonts w:ascii="Arial" w:hAnsi="Arial" w:cs="Arial"/>
          <w:sz w:val="20"/>
          <w:szCs w:val="20"/>
        </w:rPr>
        <w:t xml:space="preserve"> </w:t>
      </w:r>
      <w:r w:rsidRPr="00DE1370">
        <w:rPr>
          <w:rFonts w:ascii="Arial" w:hAnsi="Arial" w:cs="Arial"/>
          <w:sz w:val="20"/>
          <w:szCs w:val="20"/>
        </w:rPr>
        <w:t>coinciding with the relaxation of restrictions</w:t>
      </w:r>
      <w:r>
        <w:rPr>
          <w:rFonts w:ascii="Arial" w:hAnsi="Arial" w:cs="Arial"/>
          <w:sz w:val="20"/>
          <w:szCs w:val="20"/>
        </w:rPr>
        <w:t xml:space="preserve"> </w:t>
      </w:r>
      <w:r w:rsidR="006B052B">
        <w:rPr>
          <w:rFonts w:ascii="Arial" w:hAnsi="Arial" w:cs="Arial"/>
          <w:sz w:val="20"/>
          <w:szCs w:val="20"/>
        </w:rPr>
        <w:t>(Perez, 2022)</w:t>
      </w:r>
      <w:r w:rsidRPr="00DE1370">
        <w:rPr>
          <w:rFonts w:ascii="Arial" w:hAnsi="Arial" w:cs="Arial"/>
          <w:sz w:val="20"/>
          <w:szCs w:val="20"/>
        </w:rPr>
        <w:t>. Notably, drug-related crimes remained consistent across all three years</w:t>
      </w:r>
      <w:r>
        <w:rPr>
          <w:rFonts w:ascii="Arial" w:hAnsi="Arial" w:cs="Arial"/>
          <w:sz w:val="20"/>
          <w:szCs w:val="20"/>
        </w:rPr>
        <w:t xml:space="preserve">. This was evident in </w:t>
      </w:r>
      <w:r w:rsidRPr="00DE1370">
        <w:rPr>
          <w:rFonts w:ascii="Arial" w:hAnsi="Arial" w:cs="Arial"/>
          <w:sz w:val="20"/>
          <w:szCs w:val="20"/>
        </w:rPr>
        <w:t>Kisauni and Likoni sub-counties</w:t>
      </w:r>
      <w:r>
        <w:rPr>
          <w:rFonts w:ascii="Arial" w:hAnsi="Arial" w:cs="Arial"/>
          <w:sz w:val="20"/>
          <w:szCs w:val="20"/>
        </w:rPr>
        <w:t xml:space="preserve"> emphasizing</w:t>
      </w:r>
      <w:r w:rsidRPr="00DE1370">
        <w:rPr>
          <w:rFonts w:ascii="Arial" w:hAnsi="Arial" w:cs="Arial"/>
          <w:sz w:val="20"/>
          <w:szCs w:val="20"/>
        </w:rPr>
        <w:t xml:space="preserve"> the challenge of substance abuse and trafficking in coastal Kenya</w:t>
      </w:r>
      <w:r>
        <w:rPr>
          <w:rFonts w:ascii="Arial" w:hAnsi="Arial" w:cs="Arial"/>
          <w:sz w:val="20"/>
          <w:szCs w:val="20"/>
        </w:rPr>
        <w:t xml:space="preserve"> </w:t>
      </w:r>
      <w:r w:rsidR="006B052B">
        <w:rPr>
          <w:rFonts w:ascii="Arial" w:hAnsi="Arial" w:cs="Arial"/>
          <w:sz w:val="20"/>
          <w:szCs w:val="20"/>
        </w:rPr>
        <w:t>(Badurdeen, 2023)</w:t>
      </w:r>
      <w:r w:rsidRPr="00DE1370">
        <w:rPr>
          <w:rFonts w:ascii="Arial" w:hAnsi="Arial" w:cs="Arial"/>
          <w:sz w:val="20"/>
          <w:szCs w:val="20"/>
        </w:rPr>
        <w:t>.</w:t>
      </w:r>
    </w:p>
    <w:p w14:paraId="0A9596B3" w14:textId="2AB665A9"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 xml:space="preserve">Crime typology for each </w:t>
      </w:r>
      <w:r w:rsidR="00C8559D">
        <w:rPr>
          <w:rFonts w:ascii="Arial" w:hAnsi="Arial" w:cs="Arial"/>
          <w:sz w:val="20"/>
          <w:szCs w:val="20"/>
        </w:rPr>
        <w:t>s</w:t>
      </w:r>
      <w:r w:rsidRPr="00D01F07">
        <w:rPr>
          <w:rFonts w:ascii="Arial" w:hAnsi="Arial" w:cs="Arial"/>
          <w:sz w:val="20"/>
          <w:szCs w:val="20"/>
        </w:rPr>
        <w:t xml:space="preserve">ub-County was visualized using pie charts, which displayed the proportion of each crime type in all six </w:t>
      </w:r>
      <w:r w:rsidR="00C8559D">
        <w:rPr>
          <w:rFonts w:ascii="Arial" w:hAnsi="Arial" w:cs="Arial"/>
          <w:sz w:val="20"/>
          <w:szCs w:val="20"/>
        </w:rPr>
        <w:t>s</w:t>
      </w:r>
      <w:r w:rsidRPr="00D01F07">
        <w:rPr>
          <w:rFonts w:ascii="Arial" w:hAnsi="Arial" w:cs="Arial"/>
          <w:sz w:val="20"/>
          <w:szCs w:val="20"/>
        </w:rPr>
        <w:t>ub-</w:t>
      </w:r>
      <w:r w:rsidR="00ED5726">
        <w:rPr>
          <w:rFonts w:ascii="Arial" w:hAnsi="Arial" w:cs="Arial"/>
          <w:sz w:val="20"/>
          <w:szCs w:val="20"/>
        </w:rPr>
        <w:t>c</w:t>
      </w:r>
      <w:r w:rsidRPr="00D01F07">
        <w:rPr>
          <w:rFonts w:ascii="Arial" w:hAnsi="Arial" w:cs="Arial"/>
          <w:sz w:val="20"/>
          <w:szCs w:val="20"/>
        </w:rPr>
        <w:t>ounties for the years 2019, 2020, and 2021 individually, as well as for the three years combined. As shown in Fig</w:t>
      </w:r>
      <w:r w:rsidR="002574F8">
        <w:rPr>
          <w:rFonts w:ascii="Arial" w:hAnsi="Arial" w:cs="Arial"/>
          <w:sz w:val="20"/>
          <w:szCs w:val="20"/>
        </w:rPr>
        <w:t>. 2</w:t>
      </w:r>
      <w:r w:rsidRPr="00D01F07">
        <w:rPr>
          <w:rFonts w:ascii="Arial" w:hAnsi="Arial" w:cs="Arial"/>
          <w:sz w:val="20"/>
          <w:szCs w:val="20"/>
        </w:rPr>
        <w:t>, in 2019, the most dominant crime types in Changamwe were stealing, dangerous drugs, other offences against persons, other penal code offences, and offences against morality. In Jomvu, stealing, other offences, dangerous drugs, offences against morality, and other penal code offences were the most prevalent. Kisauni recorded high incidences of stealing, other offences against persons, other penal code offences, dangerous drugs, and criminal damages. Similarly, in Likoni, the most dominant crimes were stealing, other offences against persons, dangerous drugs, offences against morality, and other penal code offences. In Mvita, dangerous drugs, stealing, economic crimes, other penal code offences, and other offences against persons were the leading crime categories. Lastly, in Nyali, stealing, other offences against persons, other penal code offences, offences against morality, and breaking were the most frequent crimes. Overall, stealing emerged as the most dominant crime across all six sub</w:t>
      </w:r>
      <w:r w:rsidR="00ED5726">
        <w:rPr>
          <w:rFonts w:ascii="Arial" w:hAnsi="Arial" w:cs="Arial"/>
          <w:sz w:val="20"/>
          <w:szCs w:val="20"/>
        </w:rPr>
        <w:t>-</w:t>
      </w:r>
      <w:r w:rsidRPr="00D01F07">
        <w:rPr>
          <w:rFonts w:ascii="Arial" w:hAnsi="Arial" w:cs="Arial"/>
          <w:sz w:val="20"/>
          <w:szCs w:val="20"/>
        </w:rPr>
        <w:t>counties, as highlighted in the 2019 map, where it appears with the highest proportion, represented by the orange color.</w:t>
      </w:r>
    </w:p>
    <w:p w14:paraId="27C31AAF" w14:textId="6BE46B36" w:rsidR="005732B6" w:rsidRPr="009B169E" w:rsidRDefault="005732B6" w:rsidP="00D01F07">
      <w:pPr>
        <w:spacing w:line="360" w:lineRule="auto"/>
        <w:jc w:val="center"/>
        <w:rPr>
          <w:shd w:val="clear" w:color="auto" w:fill="FFFFFF"/>
        </w:rPr>
      </w:pPr>
      <w:r w:rsidRPr="009B169E">
        <w:rPr>
          <w:noProof/>
          <w:shd w:val="clear" w:color="auto" w:fill="FFFFFF"/>
          <w:lang w:val="en-GB" w:eastAsia="en-GB"/>
        </w:rPr>
        <w:drawing>
          <wp:inline distT="0" distB="0" distL="0" distR="0" wp14:anchorId="21C5B192" wp14:editId="55A6E693">
            <wp:extent cx="5357146" cy="3829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3537" cy="3834291"/>
                    </a:xfrm>
                    <a:prstGeom prst="rect">
                      <a:avLst/>
                    </a:prstGeom>
                    <a:noFill/>
                  </pic:spPr>
                </pic:pic>
              </a:graphicData>
            </a:graphic>
          </wp:inline>
        </w:drawing>
      </w:r>
    </w:p>
    <w:p w14:paraId="02E37442" w14:textId="5130C50C" w:rsidR="005732B6" w:rsidRPr="00D01F07" w:rsidRDefault="005732B6" w:rsidP="00D01F07">
      <w:pPr>
        <w:tabs>
          <w:tab w:val="left" w:pos="1095"/>
        </w:tabs>
        <w:jc w:val="both"/>
        <w:rPr>
          <w:rFonts w:ascii="Arial" w:hAnsi="Arial" w:cs="Arial"/>
          <w:b/>
          <w:bCs/>
          <w:sz w:val="20"/>
          <w:szCs w:val="20"/>
        </w:rPr>
      </w:pPr>
      <w:bookmarkStart w:id="1" w:name="_Toc192676924"/>
      <w:r w:rsidRPr="00D01F07">
        <w:rPr>
          <w:rFonts w:ascii="Arial" w:hAnsi="Arial" w:cs="Arial"/>
          <w:b/>
          <w:bCs/>
          <w:sz w:val="20"/>
          <w:szCs w:val="20"/>
        </w:rPr>
        <w:t>Fig</w:t>
      </w:r>
      <w:r w:rsidR="002574F8">
        <w:rPr>
          <w:rFonts w:ascii="Arial" w:hAnsi="Arial" w:cs="Arial"/>
          <w:b/>
          <w:bCs/>
          <w:sz w:val="20"/>
          <w:szCs w:val="20"/>
        </w:rPr>
        <w:t>.</w:t>
      </w:r>
      <w:r w:rsidRPr="00D01F07">
        <w:rPr>
          <w:rFonts w:ascii="Arial" w:hAnsi="Arial" w:cs="Arial"/>
          <w:b/>
          <w:bCs/>
          <w:sz w:val="20"/>
          <w:szCs w:val="20"/>
        </w:rPr>
        <w:t>2</w:t>
      </w:r>
      <w:r w:rsidR="002574F8">
        <w:rPr>
          <w:rFonts w:ascii="Arial" w:hAnsi="Arial" w:cs="Arial"/>
          <w:b/>
          <w:bCs/>
          <w:sz w:val="20"/>
          <w:szCs w:val="20"/>
        </w:rPr>
        <w:t xml:space="preserve">. </w:t>
      </w:r>
      <w:r w:rsidRPr="00D01F07">
        <w:rPr>
          <w:rFonts w:ascii="Arial" w:hAnsi="Arial" w:cs="Arial"/>
          <w:b/>
          <w:bCs/>
          <w:sz w:val="20"/>
          <w:szCs w:val="20"/>
        </w:rPr>
        <w:t>Map showing the proportion of different types of crimes reported in Mombasa sub</w:t>
      </w:r>
      <w:r w:rsidR="002574F8">
        <w:rPr>
          <w:rFonts w:ascii="Arial" w:hAnsi="Arial" w:cs="Arial"/>
          <w:b/>
          <w:bCs/>
          <w:sz w:val="20"/>
          <w:szCs w:val="20"/>
        </w:rPr>
        <w:t>-</w:t>
      </w:r>
      <w:r w:rsidRPr="00D01F07">
        <w:rPr>
          <w:rFonts w:ascii="Arial" w:hAnsi="Arial" w:cs="Arial"/>
          <w:b/>
          <w:bCs/>
          <w:sz w:val="20"/>
          <w:szCs w:val="20"/>
        </w:rPr>
        <w:t>counties in 2019</w:t>
      </w:r>
      <w:bookmarkEnd w:id="1"/>
    </w:p>
    <w:p w14:paraId="1FF3FF51" w14:textId="3DF06243"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lastRenderedPageBreak/>
        <w:t xml:space="preserve">In 2020, as shown in </w:t>
      </w:r>
      <w:r w:rsidR="00AD2A87">
        <w:rPr>
          <w:rFonts w:ascii="Arial" w:hAnsi="Arial" w:cs="Arial"/>
          <w:sz w:val="20"/>
          <w:szCs w:val="20"/>
        </w:rPr>
        <w:t>F</w:t>
      </w:r>
      <w:r w:rsidRPr="00D01F07">
        <w:rPr>
          <w:rFonts w:ascii="Arial" w:hAnsi="Arial" w:cs="Arial"/>
          <w:sz w:val="20"/>
          <w:szCs w:val="20"/>
        </w:rPr>
        <w:t>ig</w:t>
      </w:r>
      <w:r w:rsidR="002574F8" w:rsidRPr="00D01F07">
        <w:rPr>
          <w:rFonts w:ascii="Arial" w:hAnsi="Arial" w:cs="Arial"/>
          <w:sz w:val="20"/>
          <w:szCs w:val="20"/>
        </w:rPr>
        <w:t xml:space="preserve">. </w:t>
      </w:r>
      <w:r w:rsidRPr="00D01F07">
        <w:rPr>
          <w:rFonts w:ascii="Arial" w:hAnsi="Arial" w:cs="Arial"/>
          <w:sz w:val="20"/>
          <w:szCs w:val="20"/>
        </w:rPr>
        <w:t>3, the dominant crime types in Changamwe remained consistent with those in 2019, with stealing, dangerous drugs, other offences against persons, other penal code offences, and offences against morality being the most prevalent. In Jomvu, the leading crimes were stealing, other offences against persons, offences against morality, dangerous drugs, and other penal code offences. Kisauni recorded high incidences of stealing, other offences against persons, offences against morality, other penal code offences, and dangerous drugs. In Likoni, the most dominant crimes were other offences against persons, offences against morality, stealing, robbery, and other penal code offences. Mvita had high occurrences of stealing, dangerous drugs, economic crimes, other penal code offences, and other offences against persons, while in Nyali, the most reported crimes were stealing, other offences against persons, other penal code offences, offences against morality, and breaking.</w:t>
      </w:r>
    </w:p>
    <w:p w14:paraId="6E9690E7" w14:textId="77777777" w:rsidR="005732B6" w:rsidRPr="009B169E" w:rsidRDefault="005732B6" w:rsidP="00D01F07">
      <w:pPr>
        <w:spacing w:line="360" w:lineRule="auto"/>
        <w:jc w:val="center"/>
        <w:rPr>
          <w:shd w:val="clear" w:color="auto" w:fill="FFFFFF"/>
        </w:rPr>
      </w:pPr>
      <w:r w:rsidRPr="009B169E">
        <w:rPr>
          <w:noProof/>
          <w:shd w:val="clear" w:color="auto" w:fill="FFFFFF"/>
          <w:lang w:val="en-GB" w:eastAsia="en-GB"/>
        </w:rPr>
        <w:drawing>
          <wp:inline distT="0" distB="0" distL="0" distR="0" wp14:anchorId="23982812" wp14:editId="4A3CDA52">
            <wp:extent cx="5447437" cy="3894268"/>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2650" cy="3905143"/>
                    </a:xfrm>
                    <a:prstGeom prst="rect">
                      <a:avLst/>
                    </a:prstGeom>
                    <a:noFill/>
                  </pic:spPr>
                </pic:pic>
              </a:graphicData>
            </a:graphic>
          </wp:inline>
        </w:drawing>
      </w:r>
    </w:p>
    <w:p w14:paraId="5046233B" w14:textId="1E12FCA6" w:rsidR="005732B6" w:rsidRPr="00D01F07" w:rsidRDefault="005732B6" w:rsidP="00D01F07">
      <w:pPr>
        <w:tabs>
          <w:tab w:val="left" w:pos="1095"/>
        </w:tabs>
        <w:jc w:val="both"/>
        <w:rPr>
          <w:rFonts w:ascii="Arial" w:hAnsi="Arial" w:cs="Arial"/>
          <w:b/>
          <w:bCs/>
          <w:sz w:val="20"/>
          <w:szCs w:val="20"/>
        </w:rPr>
      </w:pPr>
      <w:bookmarkStart w:id="2" w:name="_Toc192676925"/>
      <w:r w:rsidRPr="00D01F07">
        <w:rPr>
          <w:rFonts w:ascii="Arial" w:hAnsi="Arial" w:cs="Arial"/>
          <w:b/>
          <w:bCs/>
          <w:sz w:val="20"/>
          <w:szCs w:val="20"/>
        </w:rPr>
        <w:t>Fig</w:t>
      </w:r>
      <w:r w:rsidR="002574F8">
        <w:rPr>
          <w:rFonts w:ascii="Arial" w:hAnsi="Arial" w:cs="Arial"/>
          <w:b/>
          <w:bCs/>
          <w:sz w:val="20"/>
          <w:szCs w:val="20"/>
        </w:rPr>
        <w:t>.</w:t>
      </w:r>
      <w:r w:rsidRPr="00D01F07">
        <w:rPr>
          <w:rFonts w:ascii="Arial" w:hAnsi="Arial" w:cs="Arial"/>
          <w:b/>
          <w:bCs/>
          <w:sz w:val="20"/>
          <w:szCs w:val="20"/>
        </w:rPr>
        <w:t xml:space="preserve"> 3</w:t>
      </w:r>
      <w:r w:rsidR="002574F8">
        <w:rPr>
          <w:rFonts w:ascii="Arial" w:hAnsi="Arial" w:cs="Arial"/>
          <w:b/>
          <w:bCs/>
          <w:sz w:val="20"/>
          <w:szCs w:val="20"/>
        </w:rPr>
        <w:t xml:space="preserve">. </w:t>
      </w:r>
      <w:r w:rsidRPr="00D01F07">
        <w:rPr>
          <w:rFonts w:ascii="Arial" w:hAnsi="Arial" w:cs="Arial"/>
          <w:b/>
          <w:bCs/>
          <w:sz w:val="20"/>
          <w:szCs w:val="20"/>
        </w:rPr>
        <w:t>Map showing the proportion of different types of crimes reported in Mombasa sub</w:t>
      </w:r>
      <w:r w:rsidR="002574F8">
        <w:rPr>
          <w:rFonts w:ascii="Arial" w:hAnsi="Arial" w:cs="Arial"/>
          <w:b/>
          <w:bCs/>
          <w:sz w:val="20"/>
          <w:szCs w:val="20"/>
        </w:rPr>
        <w:t>-</w:t>
      </w:r>
      <w:r w:rsidRPr="00D01F07">
        <w:rPr>
          <w:rFonts w:ascii="Arial" w:hAnsi="Arial" w:cs="Arial"/>
          <w:b/>
          <w:bCs/>
          <w:sz w:val="20"/>
          <w:szCs w:val="20"/>
        </w:rPr>
        <w:t>counties in 2020</w:t>
      </w:r>
      <w:bookmarkEnd w:id="2"/>
    </w:p>
    <w:p w14:paraId="2DC27576" w14:textId="20CAC274"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In 2021, stealing continued to be the most dominant crime in all sub</w:t>
      </w:r>
      <w:r w:rsidR="00ED5726">
        <w:rPr>
          <w:rFonts w:ascii="Arial" w:hAnsi="Arial" w:cs="Arial"/>
          <w:sz w:val="20"/>
          <w:szCs w:val="20"/>
        </w:rPr>
        <w:t>-</w:t>
      </w:r>
      <w:r w:rsidRPr="00D01F07">
        <w:rPr>
          <w:rFonts w:ascii="Arial" w:hAnsi="Arial" w:cs="Arial"/>
          <w:sz w:val="20"/>
          <w:szCs w:val="20"/>
        </w:rPr>
        <w:t>counties except for Likoni, where other offences against persons were the most frequently reported. As shown in Fig</w:t>
      </w:r>
      <w:r w:rsidR="00232C23">
        <w:rPr>
          <w:rFonts w:ascii="Arial" w:hAnsi="Arial" w:cs="Arial"/>
          <w:sz w:val="20"/>
          <w:szCs w:val="20"/>
        </w:rPr>
        <w:t>.</w:t>
      </w:r>
      <w:r w:rsidRPr="00D01F07">
        <w:rPr>
          <w:rFonts w:ascii="Arial" w:hAnsi="Arial" w:cs="Arial"/>
          <w:sz w:val="20"/>
          <w:szCs w:val="20"/>
        </w:rPr>
        <w:t>4, in Changamwe, the most reported crimes were other offences against persons, stealing, offences against morality, other penal code offences, and dangerous drugs. In Jomvu, stealing, other offences against persons, offences against morality, other penal code offences, and dangerous drugs were the most prevalent. Kisauni recorded high occurrences of offences against morality, other offences against persons, other penal code offences, stealing, and traffic offences. In Likoni, stealing, other offences against persons, other penal code offences, offences against morality, and robbery were dominant. Mvita had stealing, other penal code offences, dangerous drugs, and economic crimes as the most frequent crime categories. Lastly, in Nyali, stealing, other offences against persons, offences against morality, economic crimes, and other penal code offences were the most reported crimes.</w:t>
      </w:r>
    </w:p>
    <w:p w14:paraId="18210058" w14:textId="1516CC5D" w:rsidR="005732B6" w:rsidRPr="009B169E" w:rsidRDefault="005732B6" w:rsidP="00D01F07">
      <w:pPr>
        <w:spacing w:line="360" w:lineRule="auto"/>
        <w:jc w:val="center"/>
        <w:rPr>
          <w:shd w:val="clear" w:color="auto" w:fill="FFFFFF"/>
        </w:rPr>
      </w:pPr>
      <w:r w:rsidRPr="009B169E">
        <w:rPr>
          <w:noProof/>
          <w:shd w:val="clear" w:color="auto" w:fill="FFFFFF"/>
          <w:lang w:val="en-GB" w:eastAsia="en-GB"/>
        </w:rPr>
        <w:lastRenderedPageBreak/>
        <w:drawing>
          <wp:inline distT="0" distB="0" distL="0" distR="0" wp14:anchorId="5A9A8C2C" wp14:editId="1B5B055C">
            <wp:extent cx="5251811" cy="375441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4272" cy="3784773"/>
                    </a:xfrm>
                    <a:prstGeom prst="rect">
                      <a:avLst/>
                    </a:prstGeom>
                    <a:noFill/>
                  </pic:spPr>
                </pic:pic>
              </a:graphicData>
            </a:graphic>
          </wp:inline>
        </w:drawing>
      </w:r>
    </w:p>
    <w:p w14:paraId="4516E697" w14:textId="2A2001F5" w:rsidR="005732B6" w:rsidRPr="00D01F07" w:rsidRDefault="005732B6" w:rsidP="00D01F07">
      <w:pPr>
        <w:tabs>
          <w:tab w:val="left" w:pos="1095"/>
        </w:tabs>
        <w:jc w:val="both"/>
        <w:rPr>
          <w:rFonts w:ascii="Arial" w:hAnsi="Arial" w:cs="Arial"/>
          <w:b/>
          <w:bCs/>
          <w:sz w:val="20"/>
          <w:szCs w:val="20"/>
        </w:rPr>
      </w:pPr>
      <w:bookmarkStart w:id="3" w:name="_Toc192676926"/>
      <w:r w:rsidRPr="00D01F07">
        <w:rPr>
          <w:rFonts w:ascii="Arial" w:hAnsi="Arial" w:cs="Arial"/>
          <w:b/>
          <w:bCs/>
          <w:sz w:val="20"/>
          <w:szCs w:val="20"/>
        </w:rPr>
        <w:t>Fig</w:t>
      </w:r>
      <w:r w:rsidR="00C42C43">
        <w:rPr>
          <w:rFonts w:ascii="Arial" w:hAnsi="Arial" w:cs="Arial"/>
          <w:b/>
          <w:bCs/>
          <w:sz w:val="20"/>
          <w:szCs w:val="20"/>
        </w:rPr>
        <w:t>.</w:t>
      </w:r>
      <w:r w:rsidRPr="00D01F07">
        <w:rPr>
          <w:rFonts w:ascii="Arial" w:hAnsi="Arial" w:cs="Arial"/>
          <w:b/>
          <w:bCs/>
          <w:sz w:val="20"/>
          <w:szCs w:val="20"/>
        </w:rPr>
        <w:t xml:space="preserve"> 4</w:t>
      </w:r>
      <w:r w:rsidR="00C42C43">
        <w:rPr>
          <w:rFonts w:ascii="Arial" w:hAnsi="Arial" w:cs="Arial"/>
          <w:b/>
          <w:bCs/>
          <w:sz w:val="20"/>
          <w:szCs w:val="20"/>
        </w:rPr>
        <w:t xml:space="preserve">. </w:t>
      </w:r>
      <w:r w:rsidRPr="00D01F07">
        <w:rPr>
          <w:rFonts w:ascii="Arial" w:hAnsi="Arial" w:cs="Arial"/>
          <w:b/>
          <w:bCs/>
          <w:sz w:val="20"/>
          <w:szCs w:val="20"/>
        </w:rPr>
        <w:t>Map showing the proportion of different types of crimes reported in Mombasa sub</w:t>
      </w:r>
      <w:r w:rsidR="00C42C43">
        <w:rPr>
          <w:rFonts w:ascii="Arial" w:hAnsi="Arial" w:cs="Arial"/>
          <w:b/>
          <w:bCs/>
          <w:sz w:val="20"/>
          <w:szCs w:val="20"/>
        </w:rPr>
        <w:t>-</w:t>
      </w:r>
      <w:r w:rsidRPr="00D01F07">
        <w:rPr>
          <w:rFonts w:ascii="Arial" w:hAnsi="Arial" w:cs="Arial"/>
          <w:b/>
          <w:bCs/>
          <w:sz w:val="20"/>
          <w:szCs w:val="20"/>
        </w:rPr>
        <w:t>counties in 2021</w:t>
      </w:r>
      <w:bookmarkEnd w:id="3"/>
    </w:p>
    <w:p w14:paraId="6ACBE557" w14:textId="49F66BAC"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 xml:space="preserve">When all crime cases from 2019 to 2021 are combined as shown in </w:t>
      </w:r>
      <w:r w:rsidR="003B59CD">
        <w:rPr>
          <w:rFonts w:ascii="Arial" w:hAnsi="Arial" w:cs="Arial"/>
          <w:sz w:val="20"/>
          <w:szCs w:val="20"/>
        </w:rPr>
        <w:t>F</w:t>
      </w:r>
      <w:r w:rsidRPr="00D01F07">
        <w:rPr>
          <w:rFonts w:ascii="Arial" w:hAnsi="Arial" w:cs="Arial"/>
          <w:sz w:val="20"/>
          <w:szCs w:val="20"/>
        </w:rPr>
        <w:t>ig</w:t>
      </w:r>
      <w:r w:rsidR="00C42C43">
        <w:rPr>
          <w:rFonts w:ascii="Arial" w:hAnsi="Arial" w:cs="Arial"/>
          <w:sz w:val="20"/>
          <w:szCs w:val="20"/>
        </w:rPr>
        <w:t>.</w:t>
      </w:r>
      <w:r w:rsidRPr="00D01F07">
        <w:rPr>
          <w:rFonts w:ascii="Arial" w:hAnsi="Arial" w:cs="Arial"/>
          <w:sz w:val="20"/>
          <w:szCs w:val="20"/>
        </w:rPr>
        <w:t xml:space="preserve"> 5, the most dominant crime types across the six sub</w:t>
      </w:r>
      <w:r w:rsidR="00ED5726">
        <w:rPr>
          <w:rFonts w:ascii="Arial" w:hAnsi="Arial" w:cs="Arial"/>
          <w:sz w:val="20"/>
          <w:szCs w:val="20"/>
        </w:rPr>
        <w:t>-</w:t>
      </w:r>
      <w:r w:rsidRPr="00D01F07">
        <w:rPr>
          <w:rFonts w:ascii="Arial" w:hAnsi="Arial" w:cs="Arial"/>
          <w:sz w:val="20"/>
          <w:szCs w:val="20"/>
        </w:rPr>
        <w:t>counties include stealing, other offences against persons, dangerous drugs, other penal code offences, and offences against morality. In Changamwe, these five crime categories each accounted for more than 10% of all reported crimes. In Jomvu, the dominant crimes were stealing, other offences against persons, dangerous drugs, offences against morality, and other penal code offences each making up over 18% of all crimes in the subcounty. In Kisauni, these five categories were even more prevalent, with each contributing to more than 22% of total crime cases. In Likoni, the most reported crime type was other offences against persons, followed by stealing, offences against morality, other penal code offences, and dangerous drugs, each exceeding 20% of the total cases in the subcounty. In Mvita, the dominant crimes were stealing, offences against morality, other penal code offences, and dangerous drugs each accounted for over 20% of the total crimes. In Nyali, the most reported crimes were stealing, other offences against persons, other penal code offences, offences against morality, and breaking.</w:t>
      </w:r>
    </w:p>
    <w:p w14:paraId="2B2A326B" w14:textId="77777777" w:rsidR="005732B6" w:rsidRDefault="005732B6" w:rsidP="00D01F07">
      <w:pPr>
        <w:spacing w:line="360" w:lineRule="auto"/>
        <w:jc w:val="center"/>
      </w:pPr>
      <w:r w:rsidRPr="009B169E">
        <w:rPr>
          <w:noProof/>
          <w:shd w:val="clear" w:color="auto" w:fill="FFFFFF"/>
          <w:lang w:val="en-GB" w:eastAsia="en-GB"/>
        </w:rPr>
        <w:lastRenderedPageBreak/>
        <w:drawing>
          <wp:inline distT="0" distB="0" distL="0" distR="0" wp14:anchorId="0814C288" wp14:editId="00857AF1">
            <wp:extent cx="5236763" cy="374366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952" cy="3763813"/>
                    </a:xfrm>
                    <a:prstGeom prst="rect">
                      <a:avLst/>
                    </a:prstGeom>
                    <a:noFill/>
                  </pic:spPr>
                </pic:pic>
              </a:graphicData>
            </a:graphic>
          </wp:inline>
        </w:drawing>
      </w:r>
    </w:p>
    <w:p w14:paraId="0CDCF76F" w14:textId="4B52763F" w:rsidR="005732B6" w:rsidRPr="00D01F07" w:rsidRDefault="005732B6" w:rsidP="00D01F07">
      <w:pPr>
        <w:tabs>
          <w:tab w:val="left" w:pos="1095"/>
        </w:tabs>
        <w:jc w:val="both"/>
        <w:rPr>
          <w:rFonts w:ascii="Arial" w:hAnsi="Arial" w:cs="Arial"/>
          <w:b/>
          <w:bCs/>
          <w:sz w:val="20"/>
          <w:szCs w:val="20"/>
        </w:rPr>
      </w:pPr>
      <w:bookmarkStart w:id="4" w:name="_Toc192676927"/>
      <w:r w:rsidRPr="00D01F07">
        <w:rPr>
          <w:rFonts w:ascii="Arial" w:hAnsi="Arial" w:cs="Arial"/>
          <w:b/>
          <w:bCs/>
          <w:sz w:val="20"/>
          <w:szCs w:val="20"/>
        </w:rPr>
        <w:t>Fig</w:t>
      </w:r>
      <w:r w:rsidR="00C42C43">
        <w:rPr>
          <w:rFonts w:ascii="Arial" w:hAnsi="Arial" w:cs="Arial"/>
          <w:b/>
          <w:bCs/>
          <w:sz w:val="20"/>
          <w:szCs w:val="20"/>
        </w:rPr>
        <w:t>.</w:t>
      </w:r>
      <w:r w:rsidRPr="00D01F07">
        <w:rPr>
          <w:rFonts w:ascii="Arial" w:hAnsi="Arial" w:cs="Arial"/>
          <w:b/>
          <w:bCs/>
          <w:sz w:val="20"/>
          <w:szCs w:val="20"/>
        </w:rPr>
        <w:t xml:space="preserve"> 5</w:t>
      </w:r>
      <w:r w:rsidR="00C42C43">
        <w:rPr>
          <w:rFonts w:ascii="Arial" w:hAnsi="Arial" w:cs="Arial"/>
          <w:b/>
          <w:bCs/>
          <w:sz w:val="20"/>
          <w:szCs w:val="20"/>
        </w:rPr>
        <w:t xml:space="preserve">. </w:t>
      </w:r>
      <w:r w:rsidRPr="00D01F07">
        <w:rPr>
          <w:rFonts w:ascii="Arial" w:hAnsi="Arial" w:cs="Arial"/>
          <w:b/>
          <w:bCs/>
          <w:sz w:val="20"/>
          <w:szCs w:val="20"/>
        </w:rPr>
        <w:t>Map showing the proportion of all different types of crimes reported in Mombasa sub</w:t>
      </w:r>
      <w:r w:rsidR="00C42C43">
        <w:rPr>
          <w:rFonts w:ascii="Arial" w:hAnsi="Arial" w:cs="Arial"/>
          <w:b/>
          <w:bCs/>
          <w:sz w:val="20"/>
          <w:szCs w:val="20"/>
        </w:rPr>
        <w:t>-</w:t>
      </w:r>
      <w:r w:rsidRPr="00D01F07">
        <w:rPr>
          <w:rFonts w:ascii="Arial" w:hAnsi="Arial" w:cs="Arial"/>
          <w:b/>
          <w:bCs/>
          <w:sz w:val="20"/>
          <w:szCs w:val="20"/>
        </w:rPr>
        <w:t>counties from 2019 to 2021</w:t>
      </w:r>
      <w:bookmarkEnd w:id="4"/>
    </w:p>
    <w:p w14:paraId="140D1885" w14:textId="07F3A307" w:rsidR="005732B6" w:rsidRPr="00D01F07" w:rsidRDefault="005732B6" w:rsidP="00D01F07">
      <w:pPr>
        <w:tabs>
          <w:tab w:val="left" w:pos="1095"/>
        </w:tabs>
        <w:jc w:val="both"/>
        <w:rPr>
          <w:rFonts w:ascii="Arial" w:hAnsi="Arial" w:cs="Arial"/>
          <w:sz w:val="20"/>
          <w:szCs w:val="20"/>
        </w:rPr>
      </w:pPr>
      <w:r w:rsidRPr="00D01F07">
        <w:rPr>
          <w:rFonts w:ascii="Arial" w:hAnsi="Arial" w:cs="Arial"/>
          <w:sz w:val="20"/>
          <w:szCs w:val="20"/>
        </w:rPr>
        <w:t>Across the three years, stealing has remained the most frequently reported crime type across all sub</w:t>
      </w:r>
      <w:r w:rsidR="00ED5726">
        <w:rPr>
          <w:rFonts w:ascii="Arial" w:hAnsi="Arial" w:cs="Arial"/>
          <w:sz w:val="20"/>
          <w:szCs w:val="20"/>
        </w:rPr>
        <w:t>-</w:t>
      </w:r>
      <w:r w:rsidRPr="00D01F07">
        <w:rPr>
          <w:rFonts w:ascii="Arial" w:hAnsi="Arial" w:cs="Arial"/>
          <w:sz w:val="20"/>
          <w:szCs w:val="20"/>
        </w:rPr>
        <w:t>counties: Nyali recorded the highest proportion of stealing cases at 63.1%, followed by Kisauni at 51.1%, Jomvu and Mvita at 45.8%, while Changamwe recorded the lowest stealing cases at 19.7%. However, Likoni stood out as the only subcounty where other offences against persons (31%) surpassed stealing as the most reported crime category.</w:t>
      </w:r>
    </w:p>
    <w:p w14:paraId="15D2ED1F" w14:textId="0D8D7C54" w:rsidR="00D71232" w:rsidRPr="00DE1370" w:rsidRDefault="005732B6" w:rsidP="00D71232">
      <w:pPr>
        <w:tabs>
          <w:tab w:val="left" w:pos="1095"/>
        </w:tabs>
        <w:jc w:val="both"/>
        <w:rPr>
          <w:rFonts w:ascii="Arial" w:hAnsi="Arial" w:cs="Arial"/>
          <w:sz w:val="20"/>
          <w:szCs w:val="20"/>
        </w:rPr>
      </w:pPr>
      <w:r w:rsidRPr="00D01F07">
        <w:rPr>
          <w:rFonts w:ascii="Arial" w:hAnsi="Arial" w:cs="Arial"/>
          <w:sz w:val="20"/>
          <w:szCs w:val="20"/>
        </w:rPr>
        <w:t>While certain crimes were highly prevalent across the sub</w:t>
      </w:r>
      <w:r w:rsidR="00ED5726">
        <w:rPr>
          <w:rFonts w:ascii="Arial" w:hAnsi="Arial" w:cs="Arial"/>
          <w:sz w:val="20"/>
          <w:szCs w:val="20"/>
        </w:rPr>
        <w:t>-</w:t>
      </w:r>
      <w:r w:rsidRPr="00D01F07">
        <w:rPr>
          <w:rFonts w:ascii="Arial" w:hAnsi="Arial" w:cs="Arial"/>
          <w:sz w:val="20"/>
          <w:szCs w:val="20"/>
        </w:rPr>
        <w:t xml:space="preserve">counties, some offences were reported at significantly lower frequencies. Traffic offences were minimal, with 0.1% of cases in Likoni, 0.3% in Jomvu and Mvita, 9.7% in Kisauni, and no reported cases in Changamwe and Nyali. Offences involving police officers were also rare, with 0.3% of cases in Mvita, 0.5% in Kisauni, 1.1% in Jomvu, and no reported cases in Changamwe, Likoni, and Nyali. Corruption cases were only recorded in Mvita (0.3%) and Jomvu (0.5%). Offences involving tourists were entirely absent across all </w:t>
      </w:r>
      <w:r w:rsidR="004631D5">
        <w:rPr>
          <w:rFonts w:ascii="Arial" w:hAnsi="Arial" w:cs="Arial"/>
          <w:sz w:val="20"/>
          <w:szCs w:val="20"/>
        </w:rPr>
        <w:t>s</w:t>
      </w:r>
      <w:r w:rsidRPr="00D01F07">
        <w:rPr>
          <w:rFonts w:ascii="Arial" w:hAnsi="Arial" w:cs="Arial"/>
          <w:sz w:val="20"/>
          <w:szCs w:val="20"/>
        </w:rPr>
        <w:t>u</w:t>
      </w:r>
      <w:r w:rsidR="00ED5726">
        <w:rPr>
          <w:rFonts w:ascii="Arial" w:hAnsi="Arial" w:cs="Arial"/>
          <w:sz w:val="20"/>
          <w:szCs w:val="20"/>
        </w:rPr>
        <w:t>b-c</w:t>
      </w:r>
      <w:r w:rsidRPr="00D01F07">
        <w:rPr>
          <w:rFonts w:ascii="Arial" w:hAnsi="Arial" w:cs="Arial"/>
          <w:sz w:val="20"/>
          <w:szCs w:val="20"/>
        </w:rPr>
        <w:t>ounties.</w:t>
      </w:r>
      <w:r w:rsidR="00425B5F">
        <w:rPr>
          <w:rFonts w:ascii="Arial" w:hAnsi="Arial" w:cs="Arial"/>
          <w:sz w:val="20"/>
          <w:szCs w:val="20"/>
        </w:rPr>
        <w:t xml:space="preserve"> S</w:t>
      </w:r>
      <w:r w:rsidR="00425B5F" w:rsidRPr="00C95E90">
        <w:rPr>
          <w:rFonts w:ascii="Arial" w:hAnsi="Arial" w:cs="Arial"/>
          <w:sz w:val="20"/>
          <w:szCs w:val="20"/>
        </w:rPr>
        <w:t>patial-temporal trends of various crimes across Mombasa sub</w:t>
      </w:r>
      <w:r w:rsidR="00425B5F">
        <w:rPr>
          <w:rFonts w:ascii="Arial" w:hAnsi="Arial" w:cs="Arial"/>
          <w:sz w:val="20"/>
          <w:szCs w:val="20"/>
        </w:rPr>
        <w:t>-</w:t>
      </w:r>
      <w:r w:rsidR="00425B5F" w:rsidRPr="00C95E90">
        <w:rPr>
          <w:rFonts w:ascii="Arial" w:hAnsi="Arial" w:cs="Arial"/>
          <w:sz w:val="20"/>
          <w:szCs w:val="20"/>
        </w:rPr>
        <w:t>counties from 2019 to 202</w:t>
      </w:r>
      <w:r w:rsidR="00425B5F">
        <w:rPr>
          <w:rFonts w:ascii="Arial" w:hAnsi="Arial" w:cs="Arial"/>
          <w:sz w:val="20"/>
          <w:szCs w:val="20"/>
        </w:rPr>
        <w:t xml:space="preserve"> are depicted from b</w:t>
      </w:r>
      <w:r w:rsidR="00425B5F" w:rsidRPr="00D01F07">
        <w:rPr>
          <w:rFonts w:ascii="Arial" w:hAnsi="Arial" w:cs="Arial"/>
          <w:sz w:val="20"/>
          <w:szCs w:val="20"/>
        </w:rPr>
        <w:t>ar graphs</w:t>
      </w:r>
      <w:r w:rsidR="00425B5F">
        <w:rPr>
          <w:rFonts w:ascii="Arial" w:hAnsi="Arial" w:cs="Arial"/>
          <w:sz w:val="20"/>
          <w:szCs w:val="20"/>
        </w:rPr>
        <w:t xml:space="preserve"> in </w:t>
      </w:r>
      <w:r w:rsidR="003B59CD">
        <w:rPr>
          <w:rFonts w:ascii="Arial" w:hAnsi="Arial" w:cs="Arial"/>
          <w:sz w:val="20"/>
          <w:szCs w:val="20"/>
        </w:rPr>
        <w:t>F</w:t>
      </w:r>
      <w:r w:rsidR="00425B5F">
        <w:rPr>
          <w:rFonts w:ascii="Arial" w:hAnsi="Arial" w:cs="Arial"/>
          <w:sz w:val="20"/>
          <w:szCs w:val="20"/>
        </w:rPr>
        <w:t>igs.</w:t>
      </w:r>
      <w:r w:rsidR="007C6E67">
        <w:rPr>
          <w:rFonts w:ascii="Arial" w:hAnsi="Arial" w:cs="Arial"/>
          <w:sz w:val="20"/>
          <w:szCs w:val="20"/>
        </w:rPr>
        <w:t xml:space="preserve"> </w:t>
      </w:r>
      <w:r w:rsidR="00425B5F">
        <w:rPr>
          <w:rFonts w:ascii="Arial" w:hAnsi="Arial" w:cs="Arial"/>
          <w:sz w:val="20"/>
          <w:szCs w:val="20"/>
        </w:rPr>
        <w:t>6</w:t>
      </w:r>
      <w:r w:rsidR="007C6E67">
        <w:rPr>
          <w:rFonts w:ascii="Arial" w:hAnsi="Arial" w:cs="Arial"/>
          <w:sz w:val="20"/>
          <w:szCs w:val="20"/>
        </w:rPr>
        <w:t xml:space="preserve">, </w:t>
      </w:r>
      <w:r w:rsidR="00425B5F">
        <w:rPr>
          <w:rFonts w:ascii="Arial" w:hAnsi="Arial" w:cs="Arial"/>
          <w:sz w:val="20"/>
          <w:szCs w:val="20"/>
        </w:rPr>
        <w:t>7 and 8.</w:t>
      </w:r>
      <w:r w:rsidR="00D71232">
        <w:rPr>
          <w:rFonts w:ascii="Arial" w:hAnsi="Arial" w:cs="Arial"/>
          <w:sz w:val="20"/>
          <w:szCs w:val="20"/>
        </w:rPr>
        <w:t xml:space="preserve"> Table 2 gives a s</w:t>
      </w:r>
      <w:r w:rsidR="00D71232" w:rsidRPr="00D71232">
        <w:rPr>
          <w:rFonts w:ascii="Arial" w:hAnsi="Arial" w:cs="Arial"/>
          <w:sz w:val="20"/>
          <w:szCs w:val="20"/>
        </w:rPr>
        <w:t>ummary of the spatial-temporal crime trends across sub-counties</w:t>
      </w:r>
      <w:r w:rsidR="00D71232">
        <w:rPr>
          <w:rFonts w:ascii="Arial" w:hAnsi="Arial" w:cs="Arial"/>
          <w:sz w:val="20"/>
          <w:szCs w:val="20"/>
        </w:rPr>
        <w:t>.</w:t>
      </w:r>
    </w:p>
    <w:p w14:paraId="55726CD3" w14:textId="57DF860B" w:rsidR="005732B6" w:rsidRPr="00D01F07" w:rsidRDefault="005732B6" w:rsidP="00D01F07">
      <w:pPr>
        <w:tabs>
          <w:tab w:val="left" w:pos="1095"/>
        </w:tabs>
        <w:jc w:val="both"/>
        <w:rPr>
          <w:rFonts w:ascii="Arial" w:hAnsi="Arial" w:cs="Arial"/>
          <w:sz w:val="20"/>
          <w:szCs w:val="20"/>
        </w:rPr>
      </w:pPr>
    </w:p>
    <w:p w14:paraId="2ED3F9AB" w14:textId="77777777" w:rsidR="00086960" w:rsidRDefault="00086960" w:rsidP="003348C3">
      <w:pPr>
        <w:tabs>
          <w:tab w:val="left" w:pos="1095"/>
        </w:tabs>
        <w:jc w:val="both"/>
        <w:rPr>
          <w:rFonts w:ascii="Arial" w:hAnsi="Arial" w:cs="Arial"/>
          <w:sz w:val="20"/>
          <w:szCs w:val="20"/>
        </w:rPr>
      </w:pPr>
    </w:p>
    <w:p w14:paraId="3E686F42" w14:textId="77777777" w:rsidR="004631D5" w:rsidRDefault="004631D5" w:rsidP="003348C3">
      <w:pPr>
        <w:tabs>
          <w:tab w:val="left" w:pos="1095"/>
        </w:tabs>
        <w:jc w:val="both"/>
        <w:rPr>
          <w:rFonts w:ascii="Arial" w:hAnsi="Arial" w:cs="Arial"/>
          <w:sz w:val="20"/>
          <w:szCs w:val="20"/>
        </w:rPr>
      </w:pPr>
    </w:p>
    <w:p w14:paraId="44B3632F" w14:textId="77777777" w:rsidR="004631D5" w:rsidRPr="009B169E" w:rsidRDefault="004631D5" w:rsidP="004631D5">
      <w:pPr>
        <w:spacing w:line="360" w:lineRule="auto"/>
        <w:jc w:val="both"/>
        <w:rPr>
          <w:shd w:val="clear" w:color="auto" w:fill="FFFFFF"/>
        </w:rPr>
      </w:pPr>
    </w:p>
    <w:p w14:paraId="36F6145E" w14:textId="77777777" w:rsidR="004631D5" w:rsidRPr="009B169E" w:rsidRDefault="004631D5" w:rsidP="004631D5">
      <w:pPr>
        <w:spacing w:line="360" w:lineRule="auto"/>
        <w:jc w:val="both"/>
        <w:rPr>
          <w:shd w:val="clear" w:color="auto" w:fill="FFFFFF"/>
        </w:rPr>
      </w:pPr>
    </w:p>
    <w:p w14:paraId="197825C1" w14:textId="77777777" w:rsidR="004631D5" w:rsidRPr="009B169E" w:rsidRDefault="004631D5" w:rsidP="00D01F07">
      <w:pPr>
        <w:spacing w:line="360" w:lineRule="auto"/>
        <w:jc w:val="center"/>
        <w:rPr>
          <w:shd w:val="clear" w:color="auto" w:fill="FFFFFF"/>
        </w:rPr>
      </w:pPr>
      <w:r>
        <w:rPr>
          <w:noProof/>
          <w:shd w:val="clear" w:color="auto" w:fill="FFFFFF"/>
          <w:lang w:val="en-GB" w:eastAsia="en-GB"/>
        </w:rPr>
        <w:lastRenderedPageBreak/>
        <w:drawing>
          <wp:inline distT="0" distB="0" distL="0" distR="0" wp14:anchorId="27FBFE39" wp14:editId="7652C7A6">
            <wp:extent cx="5101838" cy="3032760"/>
            <wp:effectExtent l="76200" t="76200" r="137160" b="129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1838" cy="3032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4D1B28" w14:textId="72C4B9C8" w:rsidR="004631D5" w:rsidRPr="00D01F07" w:rsidRDefault="004631D5" w:rsidP="00D01F07">
      <w:pPr>
        <w:tabs>
          <w:tab w:val="left" w:pos="1095"/>
        </w:tabs>
        <w:jc w:val="both"/>
        <w:rPr>
          <w:rFonts w:ascii="Arial" w:hAnsi="Arial" w:cs="Arial"/>
          <w:b/>
          <w:bCs/>
          <w:sz w:val="20"/>
          <w:szCs w:val="20"/>
        </w:rPr>
      </w:pPr>
      <w:bookmarkStart w:id="5" w:name="_Toc192676928"/>
      <w:r w:rsidRPr="00D01F07">
        <w:rPr>
          <w:rFonts w:ascii="Arial" w:hAnsi="Arial" w:cs="Arial"/>
          <w:b/>
          <w:bCs/>
          <w:sz w:val="20"/>
          <w:szCs w:val="20"/>
        </w:rPr>
        <w:t>Fig</w:t>
      </w:r>
      <w:r w:rsidR="00425B5F">
        <w:rPr>
          <w:rFonts w:ascii="Arial" w:hAnsi="Arial" w:cs="Arial"/>
          <w:b/>
          <w:bCs/>
          <w:sz w:val="20"/>
          <w:szCs w:val="20"/>
        </w:rPr>
        <w:t>.</w:t>
      </w:r>
      <w:r w:rsidRPr="00D01F07">
        <w:rPr>
          <w:rFonts w:ascii="Arial" w:hAnsi="Arial" w:cs="Arial"/>
          <w:b/>
          <w:bCs/>
          <w:sz w:val="20"/>
          <w:szCs w:val="20"/>
        </w:rPr>
        <w:t xml:space="preserve"> 6</w:t>
      </w:r>
      <w:r w:rsidR="00425B5F">
        <w:rPr>
          <w:rFonts w:ascii="Arial" w:hAnsi="Arial" w:cs="Arial"/>
          <w:b/>
          <w:bCs/>
          <w:sz w:val="20"/>
          <w:szCs w:val="20"/>
        </w:rPr>
        <w:t xml:space="preserve">. </w:t>
      </w:r>
      <w:r w:rsidRPr="00D01F07">
        <w:rPr>
          <w:rFonts w:ascii="Arial" w:hAnsi="Arial" w:cs="Arial"/>
          <w:b/>
          <w:bCs/>
          <w:sz w:val="20"/>
          <w:szCs w:val="20"/>
        </w:rPr>
        <w:t>Bar graphs showing the spatial-temporal trends of various crimes across Mombasa sub counties from 2019 to 2021. (a) Breakings, (b) Other Offences Against Persons (c)Offences Against Morality, (d) Homicides (e) Vehicle Thefts (d) Theft by Servants</w:t>
      </w:r>
      <w:bookmarkEnd w:id="5"/>
    </w:p>
    <w:p w14:paraId="01076105" w14:textId="65D5695F" w:rsidR="004631D5" w:rsidRPr="00D01F07" w:rsidRDefault="004631D5" w:rsidP="00D01F07">
      <w:pPr>
        <w:spacing w:line="360" w:lineRule="auto"/>
        <w:jc w:val="center"/>
        <w:rPr>
          <w:color w:val="FF0000"/>
          <w:shd w:val="clear" w:color="auto" w:fill="FFFFFF"/>
        </w:rPr>
      </w:pPr>
      <w:r>
        <w:rPr>
          <w:noProof/>
          <w:color w:val="FF0000"/>
          <w:shd w:val="clear" w:color="auto" w:fill="FFFFFF"/>
          <w:lang w:val="en-GB" w:eastAsia="en-GB"/>
        </w:rPr>
        <w:drawing>
          <wp:inline distT="0" distB="0" distL="0" distR="0" wp14:anchorId="0CE0D3E9" wp14:editId="7D92342B">
            <wp:extent cx="4969213" cy="3188432"/>
            <wp:effectExtent l="76200" t="76200" r="136525" b="1263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7080" cy="3270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9C0662" w14:textId="35AB0909" w:rsidR="004631D5" w:rsidRPr="00D01F07" w:rsidRDefault="004631D5" w:rsidP="00D01F07">
      <w:pPr>
        <w:tabs>
          <w:tab w:val="left" w:pos="1095"/>
        </w:tabs>
        <w:jc w:val="both"/>
        <w:rPr>
          <w:rFonts w:ascii="Arial" w:hAnsi="Arial" w:cs="Arial"/>
          <w:b/>
          <w:bCs/>
          <w:sz w:val="20"/>
          <w:szCs w:val="20"/>
        </w:rPr>
      </w:pPr>
      <w:bookmarkStart w:id="6" w:name="_Toc192676929"/>
      <w:r w:rsidRPr="00D01F07">
        <w:rPr>
          <w:rFonts w:ascii="Arial" w:hAnsi="Arial" w:cs="Arial"/>
          <w:b/>
          <w:bCs/>
          <w:sz w:val="20"/>
          <w:szCs w:val="20"/>
        </w:rPr>
        <w:t>Fig</w:t>
      </w:r>
      <w:r w:rsidR="00425B5F">
        <w:rPr>
          <w:rFonts w:ascii="Arial" w:hAnsi="Arial" w:cs="Arial"/>
          <w:b/>
          <w:bCs/>
          <w:sz w:val="20"/>
          <w:szCs w:val="20"/>
        </w:rPr>
        <w:t>.</w:t>
      </w:r>
      <w:r w:rsidRPr="00D01F07">
        <w:rPr>
          <w:rFonts w:ascii="Arial" w:hAnsi="Arial" w:cs="Arial"/>
          <w:b/>
          <w:bCs/>
          <w:sz w:val="20"/>
          <w:szCs w:val="20"/>
        </w:rPr>
        <w:t xml:space="preserve"> 7</w:t>
      </w:r>
      <w:r w:rsidR="00425B5F">
        <w:rPr>
          <w:rFonts w:ascii="Arial" w:hAnsi="Arial" w:cs="Arial"/>
          <w:b/>
          <w:bCs/>
          <w:sz w:val="20"/>
          <w:szCs w:val="20"/>
        </w:rPr>
        <w:t xml:space="preserve">. </w:t>
      </w:r>
      <w:r w:rsidRPr="00D01F07">
        <w:rPr>
          <w:rFonts w:ascii="Arial" w:hAnsi="Arial" w:cs="Arial"/>
          <w:b/>
          <w:bCs/>
          <w:sz w:val="20"/>
          <w:szCs w:val="20"/>
        </w:rPr>
        <w:t>Bar graphs showing the spatial-temporal trends of various crimes across Mombasa sub counties from 2019 to 2021. (a) Theft by stock (b) Economic crimes (c)Traffic offence (d) Offences involving tourists (e) Offence involving police (d) Crime damage trend</w:t>
      </w:r>
      <w:bookmarkEnd w:id="6"/>
    </w:p>
    <w:p w14:paraId="7BE6A23D" w14:textId="0F4E5426" w:rsidR="004631D5" w:rsidRPr="00D01F07" w:rsidRDefault="004631D5" w:rsidP="00D01F07">
      <w:pPr>
        <w:jc w:val="center"/>
        <w:rPr>
          <w:shd w:val="clear" w:color="auto" w:fill="FFFFFF"/>
        </w:rPr>
      </w:pPr>
      <w:r>
        <w:rPr>
          <w:noProof/>
          <w:shd w:val="clear" w:color="auto" w:fill="FFFFFF"/>
          <w:lang w:val="en-GB" w:eastAsia="en-GB"/>
        </w:rPr>
        <w:lastRenderedPageBreak/>
        <w:drawing>
          <wp:inline distT="0" distB="0" distL="0" distR="0" wp14:anchorId="124F65BD" wp14:editId="4B221A2B">
            <wp:extent cx="4967318" cy="2827020"/>
            <wp:effectExtent l="76200" t="76200" r="138430" b="1257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S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89166" cy="28394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EB03C2" w14:textId="47299357" w:rsidR="004631D5" w:rsidRPr="00D01F07" w:rsidRDefault="004631D5" w:rsidP="00D01F07">
      <w:pPr>
        <w:tabs>
          <w:tab w:val="left" w:pos="1095"/>
        </w:tabs>
        <w:jc w:val="both"/>
        <w:rPr>
          <w:rFonts w:ascii="Arial" w:hAnsi="Arial" w:cs="Arial"/>
          <w:b/>
          <w:bCs/>
          <w:sz w:val="20"/>
          <w:szCs w:val="20"/>
        </w:rPr>
      </w:pPr>
      <w:bookmarkStart w:id="7" w:name="_Toc192676930"/>
      <w:r w:rsidRPr="00D01F07">
        <w:rPr>
          <w:rFonts w:ascii="Arial" w:hAnsi="Arial" w:cs="Arial"/>
          <w:b/>
          <w:bCs/>
          <w:sz w:val="20"/>
          <w:szCs w:val="20"/>
        </w:rPr>
        <w:t>Fig</w:t>
      </w:r>
      <w:r w:rsidR="00425B5F">
        <w:rPr>
          <w:rFonts w:ascii="Arial" w:hAnsi="Arial" w:cs="Arial"/>
          <w:b/>
          <w:bCs/>
          <w:sz w:val="20"/>
          <w:szCs w:val="20"/>
        </w:rPr>
        <w:t>.</w:t>
      </w:r>
      <w:r w:rsidRPr="00D01F07">
        <w:rPr>
          <w:rFonts w:ascii="Arial" w:hAnsi="Arial" w:cs="Arial"/>
          <w:b/>
          <w:bCs/>
          <w:sz w:val="20"/>
          <w:szCs w:val="20"/>
        </w:rPr>
        <w:t xml:space="preserve"> 8</w:t>
      </w:r>
      <w:r w:rsidR="00425B5F">
        <w:rPr>
          <w:rFonts w:ascii="Arial" w:hAnsi="Arial" w:cs="Arial"/>
          <w:b/>
          <w:bCs/>
          <w:sz w:val="20"/>
          <w:szCs w:val="20"/>
        </w:rPr>
        <w:t xml:space="preserve">. </w:t>
      </w:r>
      <w:r w:rsidRPr="00D01F07">
        <w:rPr>
          <w:rFonts w:ascii="Arial" w:hAnsi="Arial" w:cs="Arial"/>
          <w:b/>
          <w:bCs/>
          <w:sz w:val="20"/>
          <w:szCs w:val="20"/>
        </w:rPr>
        <w:t>Bar graphs showing the spatial-temporal trends of various crimes across Mombasa sub counties from 2019 to 2021. (a) Stealing (b) Other penal code (c)Dangerous drugs (d) Number of total crimes per year (e) Corruption trends (d) Robbery offences</w:t>
      </w:r>
      <w:bookmarkEnd w:id="7"/>
    </w:p>
    <w:p w14:paraId="18523013" w14:textId="77777777" w:rsidR="004631D5" w:rsidRDefault="004631D5" w:rsidP="003348C3">
      <w:pPr>
        <w:tabs>
          <w:tab w:val="left" w:pos="1095"/>
        </w:tabs>
        <w:jc w:val="both"/>
        <w:rPr>
          <w:rFonts w:ascii="Arial" w:hAnsi="Arial" w:cs="Arial"/>
          <w:sz w:val="20"/>
          <w:szCs w:val="20"/>
        </w:rPr>
      </w:pPr>
    </w:p>
    <w:p w14:paraId="7E3788F1" w14:textId="07E76A00" w:rsidR="00D71232" w:rsidRPr="00D01F07" w:rsidRDefault="00D71232" w:rsidP="00D01F07">
      <w:pPr>
        <w:tabs>
          <w:tab w:val="left" w:pos="1095"/>
        </w:tabs>
        <w:jc w:val="both"/>
        <w:rPr>
          <w:rFonts w:ascii="Arial" w:hAnsi="Arial" w:cs="Arial"/>
          <w:b/>
          <w:bCs/>
          <w:sz w:val="20"/>
          <w:szCs w:val="20"/>
        </w:rPr>
      </w:pPr>
      <w:r w:rsidRPr="00D01F07">
        <w:rPr>
          <w:rFonts w:ascii="Arial" w:hAnsi="Arial" w:cs="Arial"/>
          <w:b/>
          <w:bCs/>
          <w:sz w:val="20"/>
          <w:szCs w:val="20"/>
        </w:rPr>
        <w:t>Table 2. Summary of the spati</w:t>
      </w:r>
      <w:r w:rsidR="00E15A65">
        <w:rPr>
          <w:rFonts w:ascii="Arial" w:hAnsi="Arial" w:cs="Arial"/>
          <w:b/>
          <w:bCs/>
          <w:sz w:val="20"/>
          <w:szCs w:val="20"/>
        </w:rPr>
        <w:t>o</w:t>
      </w:r>
      <w:r w:rsidRPr="00D01F07">
        <w:rPr>
          <w:rFonts w:ascii="Arial" w:hAnsi="Arial" w:cs="Arial"/>
          <w:b/>
          <w:bCs/>
          <w:sz w:val="20"/>
          <w:szCs w:val="20"/>
        </w:rPr>
        <w:t>-temporal crime trends across sub-counties</w:t>
      </w:r>
    </w:p>
    <w:tbl>
      <w:tblPr>
        <w:tblW w:w="5000" w:type="pct"/>
        <w:tblCellMar>
          <w:left w:w="70" w:type="dxa"/>
          <w:right w:w="70" w:type="dxa"/>
        </w:tblCellMar>
        <w:tblLook w:val="04A0" w:firstRow="1" w:lastRow="0" w:firstColumn="1" w:lastColumn="0" w:noHBand="0" w:noVBand="1"/>
      </w:tblPr>
      <w:tblGrid>
        <w:gridCol w:w="1790"/>
        <w:gridCol w:w="2309"/>
        <w:gridCol w:w="2260"/>
        <w:gridCol w:w="2981"/>
      </w:tblGrid>
      <w:tr w:rsidR="00072619" w:rsidRPr="00054AFC" w14:paraId="1932789E" w14:textId="77777777" w:rsidTr="00F42FEC">
        <w:trPr>
          <w:trHeight w:val="390"/>
        </w:trPr>
        <w:tc>
          <w:tcPr>
            <w:tcW w:w="958" w:type="pct"/>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49B75C1" w14:textId="77777777" w:rsidR="00072619" w:rsidRPr="00054AFC" w:rsidRDefault="00072619" w:rsidP="00F42FEC">
            <w:pPr>
              <w:spacing w:after="0" w:line="240" w:lineRule="auto"/>
              <w:rPr>
                <w:rFonts w:ascii="Arial" w:eastAsia="Times New Roman" w:hAnsi="Arial" w:cs="Arial"/>
                <w:b/>
                <w:bCs/>
                <w:color w:val="000000"/>
                <w:kern w:val="0"/>
                <w:sz w:val="20"/>
                <w:szCs w:val="20"/>
                <w:lang w:val="fi-FI" w:eastAsia="fi-FI"/>
                <w14:ligatures w14:val="none"/>
              </w:rPr>
            </w:pPr>
            <w:r w:rsidRPr="00054AFC">
              <w:rPr>
                <w:rFonts w:ascii="Arial" w:eastAsia="Times New Roman" w:hAnsi="Arial" w:cs="Arial"/>
                <w:b/>
                <w:bCs/>
                <w:color w:val="000000"/>
                <w:kern w:val="0"/>
                <w:sz w:val="20"/>
                <w:szCs w:val="20"/>
                <w:lang w:val="fi-FI" w:eastAsia="fi-FI"/>
                <w14:ligatures w14:val="none"/>
              </w:rPr>
              <w:t>Crime Type</w:t>
            </w:r>
          </w:p>
        </w:tc>
        <w:tc>
          <w:tcPr>
            <w:tcW w:w="1236" w:type="pct"/>
            <w:tcBorders>
              <w:top w:val="single" w:sz="8" w:space="0" w:color="BFBFBF"/>
              <w:left w:val="nil"/>
              <w:bottom w:val="single" w:sz="8" w:space="0" w:color="BFBFBF"/>
              <w:right w:val="single" w:sz="8" w:space="0" w:color="BFBFBF"/>
            </w:tcBorders>
            <w:shd w:val="clear" w:color="auto" w:fill="auto"/>
            <w:vAlign w:val="center"/>
            <w:hideMark/>
          </w:tcPr>
          <w:p w14:paraId="5B012D2D" w14:textId="77777777" w:rsidR="00072619" w:rsidRPr="00054AFC" w:rsidRDefault="00072619" w:rsidP="00F42FEC">
            <w:pPr>
              <w:spacing w:after="0" w:line="240" w:lineRule="auto"/>
              <w:rPr>
                <w:rFonts w:ascii="Arial" w:eastAsia="Times New Roman" w:hAnsi="Arial" w:cs="Arial"/>
                <w:b/>
                <w:bCs/>
                <w:color w:val="000000"/>
                <w:kern w:val="0"/>
                <w:sz w:val="20"/>
                <w:szCs w:val="20"/>
                <w:lang w:val="en-GB" w:eastAsia="fi-FI"/>
                <w14:ligatures w14:val="none"/>
              </w:rPr>
            </w:pPr>
            <w:r w:rsidRPr="00054AFC">
              <w:rPr>
                <w:rFonts w:ascii="Arial" w:eastAsia="Times New Roman" w:hAnsi="Arial" w:cs="Arial"/>
                <w:b/>
                <w:bCs/>
                <w:color w:val="000000"/>
                <w:kern w:val="0"/>
                <w:sz w:val="20"/>
                <w:szCs w:val="20"/>
                <w:lang w:val="en-GB" w:eastAsia="fi-FI"/>
                <w14:ligatures w14:val="none"/>
              </w:rPr>
              <w:t>Sub-County with Highest Increase</w:t>
            </w:r>
          </w:p>
        </w:tc>
        <w:tc>
          <w:tcPr>
            <w:tcW w:w="1210" w:type="pct"/>
            <w:tcBorders>
              <w:top w:val="single" w:sz="8" w:space="0" w:color="BFBFBF"/>
              <w:left w:val="nil"/>
              <w:bottom w:val="single" w:sz="8" w:space="0" w:color="BFBFBF"/>
              <w:right w:val="single" w:sz="8" w:space="0" w:color="BFBFBF"/>
            </w:tcBorders>
            <w:shd w:val="clear" w:color="auto" w:fill="auto"/>
            <w:vAlign w:val="center"/>
            <w:hideMark/>
          </w:tcPr>
          <w:p w14:paraId="572EFCCD" w14:textId="77777777" w:rsidR="00072619" w:rsidRPr="00054AFC" w:rsidRDefault="00072619" w:rsidP="00F42FEC">
            <w:pPr>
              <w:spacing w:after="0" w:line="240" w:lineRule="auto"/>
              <w:rPr>
                <w:rFonts w:ascii="Arial" w:eastAsia="Times New Roman" w:hAnsi="Arial" w:cs="Arial"/>
                <w:b/>
                <w:bCs/>
                <w:color w:val="000000"/>
                <w:kern w:val="0"/>
                <w:sz w:val="20"/>
                <w:szCs w:val="20"/>
                <w:lang w:val="en-GB" w:eastAsia="fi-FI"/>
                <w14:ligatures w14:val="none"/>
              </w:rPr>
            </w:pPr>
            <w:r w:rsidRPr="00054AFC">
              <w:rPr>
                <w:rFonts w:ascii="Arial" w:eastAsia="Times New Roman" w:hAnsi="Arial" w:cs="Arial"/>
                <w:b/>
                <w:bCs/>
                <w:color w:val="000000"/>
                <w:kern w:val="0"/>
                <w:sz w:val="20"/>
                <w:szCs w:val="20"/>
                <w:lang w:val="en-GB" w:eastAsia="fi-FI"/>
                <w14:ligatures w14:val="none"/>
              </w:rPr>
              <w:t>Sub-County with Highest Decrease</w:t>
            </w:r>
          </w:p>
        </w:tc>
        <w:tc>
          <w:tcPr>
            <w:tcW w:w="1596" w:type="pct"/>
            <w:tcBorders>
              <w:top w:val="single" w:sz="8" w:space="0" w:color="BFBFBF"/>
              <w:left w:val="nil"/>
              <w:bottom w:val="single" w:sz="8" w:space="0" w:color="BFBFBF"/>
              <w:right w:val="single" w:sz="8" w:space="0" w:color="BFBFBF"/>
            </w:tcBorders>
            <w:shd w:val="clear" w:color="auto" w:fill="auto"/>
            <w:vAlign w:val="center"/>
            <w:hideMark/>
          </w:tcPr>
          <w:p w14:paraId="40A51C10" w14:textId="77777777" w:rsidR="00072619" w:rsidRPr="00054AFC" w:rsidRDefault="00072619" w:rsidP="00F42FEC">
            <w:pPr>
              <w:spacing w:after="0" w:line="240" w:lineRule="auto"/>
              <w:rPr>
                <w:rFonts w:ascii="Arial" w:eastAsia="Times New Roman" w:hAnsi="Arial" w:cs="Arial"/>
                <w:b/>
                <w:bCs/>
                <w:color w:val="000000"/>
                <w:kern w:val="0"/>
                <w:sz w:val="20"/>
                <w:szCs w:val="20"/>
                <w:lang w:val="fi-FI" w:eastAsia="fi-FI"/>
                <w14:ligatures w14:val="none"/>
              </w:rPr>
            </w:pPr>
            <w:r w:rsidRPr="00054AFC">
              <w:rPr>
                <w:rFonts w:ascii="Arial" w:eastAsia="Times New Roman" w:hAnsi="Arial" w:cs="Arial"/>
                <w:b/>
                <w:bCs/>
                <w:color w:val="000000"/>
                <w:kern w:val="0"/>
                <w:sz w:val="20"/>
                <w:szCs w:val="20"/>
                <w:lang w:val="fi-FI" w:eastAsia="fi-FI"/>
                <w14:ligatures w14:val="none"/>
              </w:rPr>
              <w:t>Notes</w:t>
            </w:r>
          </w:p>
        </w:tc>
      </w:tr>
      <w:tr w:rsidR="00072619" w:rsidRPr="00054AFC" w14:paraId="37B8594C"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404A00F7"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Homicide</w:t>
            </w:r>
          </w:p>
        </w:tc>
        <w:tc>
          <w:tcPr>
            <w:tcW w:w="1236" w:type="pct"/>
            <w:tcBorders>
              <w:top w:val="nil"/>
              <w:left w:val="nil"/>
              <w:bottom w:val="single" w:sz="8" w:space="0" w:color="BFBFBF"/>
              <w:right w:val="single" w:sz="8" w:space="0" w:color="BFBFBF"/>
            </w:tcBorders>
            <w:shd w:val="clear" w:color="auto" w:fill="auto"/>
            <w:vAlign w:val="center"/>
            <w:hideMark/>
          </w:tcPr>
          <w:p w14:paraId="7213ED14"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Likoni (2021, +266%)</w:t>
            </w:r>
          </w:p>
        </w:tc>
        <w:tc>
          <w:tcPr>
            <w:tcW w:w="1210" w:type="pct"/>
            <w:tcBorders>
              <w:top w:val="nil"/>
              <w:left w:val="nil"/>
              <w:bottom w:val="single" w:sz="8" w:space="0" w:color="BFBFBF"/>
              <w:right w:val="single" w:sz="8" w:space="0" w:color="BFBFBF"/>
            </w:tcBorders>
            <w:shd w:val="clear" w:color="auto" w:fill="auto"/>
            <w:vAlign w:val="center"/>
            <w:hideMark/>
          </w:tcPr>
          <w:p w14:paraId="017B00F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 -62.5%)</w:t>
            </w:r>
          </w:p>
        </w:tc>
        <w:tc>
          <w:tcPr>
            <w:tcW w:w="1596" w:type="pct"/>
            <w:tcBorders>
              <w:top w:val="nil"/>
              <w:left w:val="nil"/>
              <w:bottom w:val="single" w:sz="8" w:space="0" w:color="BFBFBF"/>
              <w:right w:val="single" w:sz="8" w:space="0" w:color="BFBFBF"/>
            </w:tcBorders>
            <w:shd w:val="clear" w:color="auto" w:fill="auto"/>
            <w:vAlign w:val="center"/>
            <w:hideMark/>
          </w:tcPr>
          <w:p w14:paraId="66DFEDF2"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Sharp fluctuations across sub-counties</w:t>
            </w:r>
          </w:p>
        </w:tc>
      </w:tr>
      <w:tr w:rsidR="00072619" w:rsidRPr="00054AFC" w14:paraId="49919501"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36468BA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Offences Against Morality</w:t>
            </w:r>
          </w:p>
        </w:tc>
        <w:tc>
          <w:tcPr>
            <w:tcW w:w="1236" w:type="pct"/>
            <w:tcBorders>
              <w:top w:val="nil"/>
              <w:left w:val="nil"/>
              <w:bottom w:val="single" w:sz="8" w:space="0" w:color="BFBFBF"/>
              <w:right w:val="single" w:sz="8" w:space="0" w:color="BFBFBF"/>
            </w:tcBorders>
            <w:shd w:val="clear" w:color="auto" w:fill="auto"/>
            <w:vAlign w:val="center"/>
            <w:hideMark/>
          </w:tcPr>
          <w:p w14:paraId="4B678338"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 from 0 to 91)</w:t>
            </w:r>
          </w:p>
        </w:tc>
        <w:tc>
          <w:tcPr>
            <w:tcW w:w="1210" w:type="pct"/>
            <w:tcBorders>
              <w:top w:val="nil"/>
              <w:left w:val="nil"/>
              <w:bottom w:val="single" w:sz="8" w:space="0" w:color="BFBFBF"/>
              <w:right w:val="single" w:sz="8" w:space="0" w:color="BFBFBF"/>
            </w:tcBorders>
            <w:shd w:val="clear" w:color="auto" w:fill="auto"/>
            <w:vAlign w:val="center"/>
            <w:hideMark/>
          </w:tcPr>
          <w:p w14:paraId="5D21CC1D"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(2021, -100%)</w:t>
            </w:r>
          </w:p>
        </w:tc>
        <w:tc>
          <w:tcPr>
            <w:tcW w:w="1596" w:type="pct"/>
            <w:tcBorders>
              <w:top w:val="nil"/>
              <w:left w:val="nil"/>
              <w:bottom w:val="single" w:sz="8" w:space="0" w:color="BFBFBF"/>
              <w:right w:val="single" w:sz="8" w:space="0" w:color="BFBFBF"/>
            </w:tcBorders>
            <w:shd w:val="clear" w:color="auto" w:fill="auto"/>
            <w:vAlign w:val="center"/>
            <w:hideMark/>
          </w:tcPr>
          <w:p w14:paraId="74A06D64"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Kisauni experienced high absolute increase from 0</w:t>
            </w:r>
          </w:p>
        </w:tc>
      </w:tr>
      <w:tr w:rsidR="00072619" w:rsidRPr="00054AFC" w14:paraId="6F244358"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710E34FB"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Other Offences Against Person</w:t>
            </w:r>
          </w:p>
        </w:tc>
        <w:tc>
          <w:tcPr>
            <w:tcW w:w="1236" w:type="pct"/>
            <w:tcBorders>
              <w:top w:val="nil"/>
              <w:left w:val="nil"/>
              <w:bottom w:val="single" w:sz="8" w:space="0" w:color="BFBFBF"/>
              <w:right w:val="single" w:sz="8" w:space="0" w:color="BFBFBF"/>
            </w:tcBorders>
            <w:shd w:val="clear" w:color="auto" w:fill="auto"/>
            <w:vAlign w:val="center"/>
            <w:hideMark/>
          </w:tcPr>
          <w:p w14:paraId="4913776C"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(2020-21, +39.2%)</w:t>
            </w:r>
          </w:p>
        </w:tc>
        <w:tc>
          <w:tcPr>
            <w:tcW w:w="1210" w:type="pct"/>
            <w:tcBorders>
              <w:top w:val="nil"/>
              <w:left w:val="nil"/>
              <w:bottom w:val="single" w:sz="8" w:space="0" w:color="BFBFBF"/>
              <w:right w:val="single" w:sz="8" w:space="0" w:color="BFBFBF"/>
            </w:tcBorders>
            <w:shd w:val="clear" w:color="auto" w:fill="auto"/>
            <w:vAlign w:val="center"/>
            <w:hideMark/>
          </w:tcPr>
          <w:p w14:paraId="0AD935FE"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(2020, -52.3%)</w:t>
            </w:r>
          </w:p>
        </w:tc>
        <w:tc>
          <w:tcPr>
            <w:tcW w:w="1596" w:type="pct"/>
            <w:tcBorders>
              <w:top w:val="nil"/>
              <w:left w:val="nil"/>
              <w:bottom w:val="single" w:sz="8" w:space="0" w:color="BFBFBF"/>
              <w:right w:val="single" w:sz="8" w:space="0" w:color="BFBFBF"/>
            </w:tcBorders>
            <w:shd w:val="clear" w:color="auto" w:fill="auto"/>
            <w:vAlign w:val="center"/>
            <w:hideMark/>
          </w:tcPr>
          <w:p w14:paraId="49F8F6E3"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Mixed trends, especially in Mvita</w:t>
            </w:r>
          </w:p>
        </w:tc>
      </w:tr>
      <w:tr w:rsidR="00072619" w:rsidRPr="00054AFC" w14:paraId="3EC1A26C"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5D3881DA"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Breaking</w:t>
            </w:r>
          </w:p>
        </w:tc>
        <w:tc>
          <w:tcPr>
            <w:tcW w:w="1236" w:type="pct"/>
            <w:tcBorders>
              <w:top w:val="nil"/>
              <w:left w:val="nil"/>
              <w:bottom w:val="single" w:sz="8" w:space="0" w:color="BFBFBF"/>
              <w:right w:val="single" w:sz="8" w:space="0" w:color="BFBFBF"/>
            </w:tcBorders>
            <w:shd w:val="clear" w:color="auto" w:fill="auto"/>
            <w:vAlign w:val="center"/>
            <w:hideMark/>
          </w:tcPr>
          <w:p w14:paraId="5BDA5DD6"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Likoni (2021, +130.8%)</w:t>
            </w:r>
          </w:p>
        </w:tc>
        <w:tc>
          <w:tcPr>
            <w:tcW w:w="1210" w:type="pct"/>
            <w:tcBorders>
              <w:top w:val="nil"/>
              <w:left w:val="nil"/>
              <w:bottom w:val="single" w:sz="8" w:space="0" w:color="BFBFBF"/>
              <w:right w:val="single" w:sz="8" w:space="0" w:color="BFBFBF"/>
            </w:tcBorders>
            <w:shd w:val="clear" w:color="auto" w:fill="auto"/>
            <w:vAlign w:val="center"/>
            <w:hideMark/>
          </w:tcPr>
          <w:p w14:paraId="634ECC2F"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(2021, -23.8%)</w:t>
            </w:r>
          </w:p>
        </w:tc>
        <w:tc>
          <w:tcPr>
            <w:tcW w:w="1596" w:type="pct"/>
            <w:tcBorders>
              <w:top w:val="nil"/>
              <w:left w:val="nil"/>
              <w:bottom w:val="single" w:sz="8" w:space="0" w:color="BFBFBF"/>
              <w:right w:val="single" w:sz="8" w:space="0" w:color="BFBFBF"/>
            </w:tcBorders>
            <w:shd w:val="clear" w:color="auto" w:fill="auto"/>
            <w:vAlign w:val="center"/>
            <w:hideMark/>
          </w:tcPr>
          <w:p w14:paraId="60FC0110"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Highest volatility in Likoni and Mvita</w:t>
            </w:r>
          </w:p>
        </w:tc>
      </w:tr>
      <w:tr w:rsidR="00072619" w:rsidRPr="00054AFC" w14:paraId="4CE8BF68"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2580DA6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Robbery</w:t>
            </w:r>
          </w:p>
        </w:tc>
        <w:tc>
          <w:tcPr>
            <w:tcW w:w="1236" w:type="pct"/>
            <w:tcBorders>
              <w:top w:val="nil"/>
              <w:left w:val="nil"/>
              <w:bottom w:val="single" w:sz="8" w:space="0" w:color="BFBFBF"/>
              <w:right w:val="single" w:sz="8" w:space="0" w:color="BFBFBF"/>
            </w:tcBorders>
            <w:shd w:val="clear" w:color="auto" w:fill="auto"/>
            <w:vAlign w:val="center"/>
            <w:hideMark/>
          </w:tcPr>
          <w:p w14:paraId="5B46B093"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(2021, +350%)</w:t>
            </w:r>
          </w:p>
        </w:tc>
        <w:tc>
          <w:tcPr>
            <w:tcW w:w="1210" w:type="pct"/>
            <w:tcBorders>
              <w:top w:val="nil"/>
              <w:left w:val="nil"/>
              <w:bottom w:val="single" w:sz="8" w:space="0" w:color="BFBFBF"/>
              <w:right w:val="single" w:sz="8" w:space="0" w:color="BFBFBF"/>
            </w:tcBorders>
            <w:shd w:val="clear" w:color="auto" w:fill="auto"/>
            <w:vAlign w:val="center"/>
            <w:hideMark/>
          </w:tcPr>
          <w:p w14:paraId="41F0E27A"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 -80%)</w:t>
            </w:r>
          </w:p>
        </w:tc>
        <w:tc>
          <w:tcPr>
            <w:tcW w:w="1596" w:type="pct"/>
            <w:tcBorders>
              <w:top w:val="nil"/>
              <w:left w:val="nil"/>
              <w:bottom w:val="single" w:sz="8" w:space="0" w:color="BFBFBF"/>
              <w:right w:val="single" w:sz="8" w:space="0" w:color="BFBFBF"/>
            </w:tcBorders>
            <w:shd w:val="clear" w:color="auto" w:fill="auto"/>
            <w:vAlign w:val="center"/>
            <w:hideMark/>
          </w:tcPr>
          <w:p w14:paraId="512D2B73"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Very high spike in Kisauni post major drop</w:t>
            </w:r>
          </w:p>
        </w:tc>
      </w:tr>
      <w:tr w:rsidR="00072619" w:rsidRPr="00054AFC" w14:paraId="1058D5CF"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1803D073"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Stealing</w:t>
            </w:r>
          </w:p>
        </w:tc>
        <w:tc>
          <w:tcPr>
            <w:tcW w:w="1236" w:type="pct"/>
            <w:tcBorders>
              <w:top w:val="nil"/>
              <w:left w:val="nil"/>
              <w:bottom w:val="single" w:sz="8" w:space="0" w:color="BFBFBF"/>
              <w:right w:val="single" w:sz="8" w:space="0" w:color="BFBFBF"/>
            </w:tcBorders>
            <w:shd w:val="clear" w:color="auto" w:fill="auto"/>
            <w:vAlign w:val="center"/>
            <w:hideMark/>
          </w:tcPr>
          <w:p w14:paraId="6560932F"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 +27.5%)</w:t>
            </w:r>
          </w:p>
        </w:tc>
        <w:tc>
          <w:tcPr>
            <w:tcW w:w="1210" w:type="pct"/>
            <w:tcBorders>
              <w:top w:val="nil"/>
              <w:left w:val="nil"/>
              <w:bottom w:val="single" w:sz="8" w:space="0" w:color="BFBFBF"/>
              <w:right w:val="single" w:sz="8" w:space="0" w:color="BFBFBF"/>
            </w:tcBorders>
            <w:shd w:val="clear" w:color="auto" w:fill="auto"/>
            <w:vAlign w:val="center"/>
            <w:hideMark/>
          </w:tcPr>
          <w:p w14:paraId="44FB4FE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Changamwe (2020, -89%)</w:t>
            </w:r>
          </w:p>
        </w:tc>
        <w:tc>
          <w:tcPr>
            <w:tcW w:w="1596" w:type="pct"/>
            <w:tcBorders>
              <w:top w:val="nil"/>
              <w:left w:val="nil"/>
              <w:bottom w:val="single" w:sz="8" w:space="0" w:color="BFBFBF"/>
              <w:right w:val="single" w:sz="8" w:space="0" w:color="BFBFBF"/>
            </w:tcBorders>
            <w:shd w:val="clear" w:color="auto" w:fill="auto"/>
            <w:vAlign w:val="center"/>
            <w:hideMark/>
          </w:tcPr>
          <w:p w14:paraId="78347AD3"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Significant drop in Kisauni</w:t>
            </w:r>
          </w:p>
        </w:tc>
      </w:tr>
      <w:tr w:rsidR="00072619" w:rsidRPr="00054AFC" w14:paraId="157B1944"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3B0F221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Theft by Servants</w:t>
            </w:r>
          </w:p>
        </w:tc>
        <w:tc>
          <w:tcPr>
            <w:tcW w:w="1236" w:type="pct"/>
            <w:tcBorders>
              <w:top w:val="nil"/>
              <w:left w:val="nil"/>
              <w:bottom w:val="single" w:sz="8" w:space="0" w:color="BFBFBF"/>
              <w:right w:val="single" w:sz="8" w:space="0" w:color="BFBFBF"/>
            </w:tcBorders>
            <w:shd w:val="clear" w:color="auto" w:fill="auto"/>
            <w:vAlign w:val="center"/>
            <w:hideMark/>
          </w:tcPr>
          <w:p w14:paraId="4E9AC509"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+116.6%)</w:t>
            </w:r>
          </w:p>
        </w:tc>
        <w:tc>
          <w:tcPr>
            <w:tcW w:w="1210" w:type="pct"/>
            <w:tcBorders>
              <w:top w:val="nil"/>
              <w:left w:val="nil"/>
              <w:bottom w:val="single" w:sz="8" w:space="0" w:color="BFBFBF"/>
              <w:right w:val="single" w:sz="8" w:space="0" w:color="BFBFBF"/>
            </w:tcBorders>
            <w:shd w:val="clear" w:color="auto" w:fill="auto"/>
            <w:vAlign w:val="center"/>
            <w:hideMark/>
          </w:tcPr>
          <w:p w14:paraId="2285C276"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(2020, -41.7%)</w:t>
            </w:r>
          </w:p>
        </w:tc>
        <w:tc>
          <w:tcPr>
            <w:tcW w:w="1596" w:type="pct"/>
            <w:tcBorders>
              <w:top w:val="nil"/>
              <w:left w:val="nil"/>
              <w:bottom w:val="single" w:sz="8" w:space="0" w:color="BFBFBF"/>
              <w:right w:val="single" w:sz="8" w:space="0" w:color="BFBFBF"/>
            </w:tcBorders>
            <w:shd w:val="clear" w:color="auto" w:fill="auto"/>
            <w:vAlign w:val="center"/>
            <w:hideMark/>
          </w:tcPr>
          <w:p w14:paraId="0081FAB1"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Varied patterns; high volatility in Nyali</w:t>
            </w:r>
          </w:p>
        </w:tc>
      </w:tr>
      <w:tr w:rsidR="00072619" w:rsidRPr="00054AFC" w14:paraId="4755B295"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2E850BB0"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Vehicle Theft</w:t>
            </w:r>
          </w:p>
        </w:tc>
        <w:tc>
          <w:tcPr>
            <w:tcW w:w="1236" w:type="pct"/>
            <w:tcBorders>
              <w:top w:val="nil"/>
              <w:left w:val="nil"/>
              <w:bottom w:val="single" w:sz="8" w:space="0" w:color="BFBFBF"/>
              <w:right w:val="single" w:sz="8" w:space="0" w:color="BFBFBF"/>
            </w:tcBorders>
            <w:shd w:val="clear" w:color="auto" w:fill="auto"/>
            <w:vAlign w:val="center"/>
            <w:hideMark/>
          </w:tcPr>
          <w:p w14:paraId="411E36F1"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+73.7%)</w:t>
            </w:r>
          </w:p>
        </w:tc>
        <w:tc>
          <w:tcPr>
            <w:tcW w:w="1210" w:type="pct"/>
            <w:tcBorders>
              <w:top w:val="nil"/>
              <w:left w:val="nil"/>
              <w:bottom w:val="single" w:sz="8" w:space="0" w:color="BFBFBF"/>
              <w:right w:val="single" w:sz="8" w:space="0" w:color="BFBFBF"/>
            </w:tcBorders>
            <w:shd w:val="clear" w:color="auto" w:fill="auto"/>
            <w:vAlign w:val="center"/>
            <w:hideMark/>
          </w:tcPr>
          <w:p w14:paraId="3F2E8F2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Changamwe (2020, -88.2%)</w:t>
            </w:r>
          </w:p>
        </w:tc>
        <w:tc>
          <w:tcPr>
            <w:tcW w:w="1596" w:type="pct"/>
            <w:tcBorders>
              <w:top w:val="nil"/>
              <w:left w:val="nil"/>
              <w:bottom w:val="single" w:sz="8" w:space="0" w:color="BFBFBF"/>
              <w:right w:val="single" w:sz="8" w:space="0" w:color="BFBFBF"/>
            </w:tcBorders>
            <w:shd w:val="clear" w:color="auto" w:fill="auto"/>
            <w:vAlign w:val="center"/>
            <w:hideMark/>
          </w:tcPr>
          <w:p w14:paraId="7835E9C2"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Mostly upward trends, especially in coastal areas</w:t>
            </w:r>
          </w:p>
        </w:tc>
      </w:tr>
      <w:tr w:rsidR="00072619" w:rsidRPr="00054AFC" w14:paraId="2C55DAD3"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3DB0E8C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Dangerous Drugs</w:t>
            </w:r>
          </w:p>
        </w:tc>
        <w:tc>
          <w:tcPr>
            <w:tcW w:w="1236" w:type="pct"/>
            <w:tcBorders>
              <w:top w:val="nil"/>
              <w:left w:val="nil"/>
              <w:bottom w:val="single" w:sz="8" w:space="0" w:color="BFBFBF"/>
              <w:right w:val="single" w:sz="8" w:space="0" w:color="BFBFBF"/>
            </w:tcBorders>
            <w:shd w:val="clear" w:color="auto" w:fill="auto"/>
            <w:vAlign w:val="center"/>
            <w:hideMark/>
          </w:tcPr>
          <w:p w14:paraId="46DDF9CC"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Likoni (2020-21, +56.7%)</w:t>
            </w:r>
          </w:p>
        </w:tc>
        <w:tc>
          <w:tcPr>
            <w:tcW w:w="1210" w:type="pct"/>
            <w:tcBorders>
              <w:top w:val="nil"/>
              <w:left w:val="nil"/>
              <w:bottom w:val="single" w:sz="8" w:space="0" w:color="BFBFBF"/>
              <w:right w:val="single" w:sz="8" w:space="0" w:color="BFBFBF"/>
            </w:tcBorders>
            <w:shd w:val="clear" w:color="auto" w:fill="auto"/>
            <w:vAlign w:val="center"/>
            <w:hideMark/>
          </w:tcPr>
          <w:p w14:paraId="4CC4DE1A"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(2021, -24%)</w:t>
            </w:r>
          </w:p>
        </w:tc>
        <w:tc>
          <w:tcPr>
            <w:tcW w:w="1596" w:type="pct"/>
            <w:tcBorders>
              <w:top w:val="nil"/>
              <w:left w:val="nil"/>
              <w:bottom w:val="single" w:sz="8" w:space="0" w:color="BFBFBF"/>
              <w:right w:val="single" w:sz="8" w:space="0" w:color="BFBFBF"/>
            </w:tcBorders>
            <w:shd w:val="clear" w:color="auto" w:fill="auto"/>
            <w:vAlign w:val="center"/>
            <w:hideMark/>
          </w:tcPr>
          <w:p w14:paraId="378960DD"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Strong increases in Likoni and Nyali</w:t>
            </w:r>
          </w:p>
        </w:tc>
      </w:tr>
      <w:tr w:rsidR="00072619" w:rsidRPr="00054AFC" w14:paraId="15F45D28"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74B890A3"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Traffic Offences</w:t>
            </w:r>
          </w:p>
        </w:tc>
        <w:tc>
          <w:tcPr>
            <w:tcW w:w="1236" w:type="pct"/>
            <w:tcBorders>
              <w:top w:val="nil"/>
              <w:left w:val="nil"/>
              <w:bottom w:val="single" w:sz="8" w:space="0" w:color="BFBFBF"/>
              <w:right w:val="single" w:sz="8" w:space="0" w:color="BFBFBF"/>
            </w:tcBorders>
            <w:shd w:val="clear" w:color="auto" w:fill="auto"/>
            <w:vAlign w:val="center"/>
            <w:hideMark/>
          </w:tcPr>
          <w:p w14:paraId="6791C210"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(2020-21, +182.4%)</w:t>
            </w:r>
          </w:p>
        </w:tc>
        <w:tc>
          <w:tcPr>
            <w:tcW w:w="1210" w:type="pct"/>
            <w:tcBorders>
              <w:top w:val="nil"/>
              <w:left w:val="nil"/>
              <w:bottom w:val="single" w:sz="8" w:space="0" w:color="BFBFBF"/>
              <w:right w:val="single" w:sz="8" w:space="0" w:color="BFBFBF"/>
            </w:tcBorders>
            <w:shd w:val="clear" w:color="auto" w:fill="auto"/>
            <w:vAlign w:val="center"/>
            <w:hideMark/>
          </w:tcPr>
          <w:p w14:paraId="5DCEBB99"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(2021, -100%)</w:t>
            </w:r>
          </w:p>
        </w:tc>
        <w:tc>
          <w:tcPr>
            <w:tcW w:w="1596" w:type="pct"/>
            <w:tcBorders>
              <w:top w:val="nil"/>
              <w:left w:val="nil"/>
              <w:bottom w:val="single" w:sz="8" w:space="0" w:color="BFBFBF"/>
              <w:right w:val="single" w:sz="8" w:space="0" w:color="BFBFBF"/>
            </w:tcBorders>
            <w:shd w:val="clear" w:color="auto" w:fill="auto"/>
            <w:vAlign w:val="center"/>
            <w:hideMark/>
          </w:tcPr>
          <w:p w14:paraId="5EFFC9FA"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Kisauni shows steep rise over two years</w:t>
            </w:r>
          </w:p>
        </w:tc>
      </w:tr>
      <w:tr w:rsidR="00072619" w:rsidRPr="00054AFC" w14:paraId="0947812F"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5AA6792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Criminal Offences</w:t>
            </w:r>
          </w:p>
        </w:tc>
        <w:tc>
          <w:tcPr>
            <w:tcW w:w="1236" w:type="pct"/>
            <w:tcBorders>
              <w:top w:val="nil"/>
              <w:left w:val="nil"/>
              <w:bottom w:val="single" w:sz="8" w:space="0" w:color="BFBFBF"/>
              <w:right w:val="single" w:sz="8" w:space="0" w:color="BFBFBF"/>
            </w:tcBorders>
            <w:shd w:val="clear" w:color="auto" w:fill="auto"/>
            <w:vAlign w:val="center"/>
            <w:hideMark/>
          </w:tcPr>
          <w:p w14:paraId="3F81F0A2"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(2020-21, +108.3%)</w:t>
            </w:r>
          </w:p>
        </w:tc>
        <w:tc>
          <w:tcPr>
            <w:tcW w:w="1210" w:type="pct"/>
            <w:tcBorders>
              <w:top w:val="nil"/>
              <w:left w:val="nil"/>
              <w:bottom w:val="single" w:sz="8" w:space="0" w:color="BFBFBF"/>
              <w:right w:val="single" w:sz="8" w:space="0" w:color="BFBFBF"/>
            </w:tcBorders>
            <w:shd w:val="clear" w:color="auto" w:fill="auto"/>
            <w:vAlign w:val="center"/>
            <w:hideMark/>
          </w:tcPr>
          <w:p w14:paraId="76F9442D"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Changamwe (2021, -45.5%)</w:t>
            </w:r>
          </w:p>
        </w:tc>
        <w:tc>
          <w:tcPr>
            <w:tcW w:w="1596" w:type="pct"/>
            <w:tcBorders>
              <w:top w:val="nil"/>
              <w:left w:val="nil"/>
              <w:bottom w:val="single" w:sz="8" w:space="0" w:color="BFBFBF"/>
              <w:right w:val="single" w:sz="8" w:space="0" w:color="BFBFBF"/>
            </w:tcBorders>
            <w:shd w:val="clear" w:color="auto" w:fill="auto"/>
            <w:vAlign w:val="center"/>
            <w:hideMark/>
          </w:tcPr>
          <w:p w14:paraId="53B95D9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showed consistent increases</w:t>
            </w:r>
          </w:p>
        </w:tc>
      </w:tr>
      <w:tr w:rsidR="00072619" w:rsidRPr="00054AFC" w14:paraId="0EF6DFAD"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1733A51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lastRenderedPageBreak/>
              <w:t>Economic Crimes</w:t>
            </w:r>
          </w:p>
        </w:tc>
        <w:tc>
          <w:tcPr>
            <w:tcW w:w="1236" w:type="pct"/>
            <w:tcBorders>
              <w:top w:val="nil"/>
              <w:left w:val="nil"/>
              <w:bottom w:val="single" w:sz="8" w:space="0" w:color="BFBFBF"/>
              <w:right w:val="single" w:sz="8" w:space="0" w:color="BFBFBF"/>
            </w:tcBorders>
            <w:shd w:val="clear" w:color="auto" w:fill="auto"/>
            <w:vAlign w:val="center"/>
            <w:hideMark/>
          </w:tcPr>
          <w:p w14:paraId="33505179"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Kisauni (2020, from 0 to 34)</w:t>
            </w:r>
          </w:p>
        </w:tc>
        <w:tc>
          <w:tcPr>
            <w:tcW w:w="1210" w:type="pct"/>
            <w:tcBorders>
              <w:top w:val="nil"/>
              <w:left w:val="nil"/>
              <w:bottom w:val="single" w:sz="8" w:space="0" w:color="BFBFBF"/>
              <w:right w:val="single" w:sz="8" w:space="0" w:color="BFBFBF"/>
            </w:tcBorders>
            <w:shd w:val="clear" w:color="auto" w:fill="auto"/>
            <w:vAlign w:val="center"/>
            <w:hideMark/>
          </w:tcPr>
          <w:p w14:paraId="2B524FB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(2020, -40%)</w:t>
            </w:r>
          </w:p>
        </w:tc>
        <w:tc>
          <w:tcPr>
            <w:tcW w:w="1596" w:type="pct"/>
            <w:tcBorders>
              <w:top w:val="nil"/>
              <w:left w:val="nil"/>
              <w:bottom w:val="single" w:sz="8" w:space="0" w:color="BFBFBF"/>
              <w:right w:val="single" w:sz="8" w:space="0" w:color="BFBFBF"/>
            </w:tcBorders>
            <w:shd w:val="clear" w:color="auto" w:fill="auto"/>
            <w:vAlign w:val="center"/>
            <w:hideMark/>
          </w:tcPr>
          <w:p w14:paraId="0FC8371C"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Kisauni had highest jump from zero</w:t>
            </w:r>
          </w:p>
        </w:tc>
      </w:tr>
      <w:tr w:rsidR="00072619" w:rsidRPr="00054AFC" w14:paraId="2E8670E7"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2FEFB3A9"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Corruption</w:t>
            </w:r>
          </w:p>
        </w:tc>
        <w:tc>
          <w:tcPr>
            <w:tcW w:w="1236" w:type="pct"/>
            <w:tcBorders>
              <w:top w:val="nil"/>
              <w:left w:val="nil"/>
              <w:bottom w:val="single" w:sz="8" w:space="0" w:color="BFBFBF"/>
              <w:right w:val="single" w:sz="8" w:space="0" w:color="BFBFBF"/>
            </w:tcBorders>
            <w:shd w:val="clear" w:color="auto" w:fill="auto"/>
            <w:vAlign w:val="center"/>
            <w:hideMark/>
          </w:tcPr>
          <w:p w14:paraId="19CC1CA2"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(2020, from 0 to 2)</w:t>
            </w:r>
          </w:p>
        </w:tc>
        <w:tc>
          <w:tcPr>
            <w:tcW w:w="1210" w:type="pct"/>
            <w:tcBorders>
              <w:top w:val="nil"/>
              <w:left w:val="nil"/>
              <w:bottom w:val="single" w:sz="8" w:space="0" w:color="BFBFBF"/>
              <w:right w:val="single" w:sz="8" w:space="0" w:color="BFBFBF"/>
            </w:tcBorders>
            <w:shd w:val="clear" w:color="auto" w:fill="auto"/>
            <w:vAlign w:val="center"/>
            <w:hideMark/>
          </w:tcPr>
          <w:p w14:paraId="46733C35"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 -100%)</w:t>
            </w:r>
          </w:p>
        </w:tc>
        <w:tc>
          <w:tcPr>
            <w:tcW w:w="1596" w:type="pct"/>
            <w:tcBorders>
              <w:top w:val="nil"/>
              <w:left w:val="nil"/>
              <w:bottom w:val="single" w:sz="8" w:space="0" w:color="BFBFBF"/>
              <w:right w:val="single" w:sz="8" w:space="0" w:color="BFBFBF"/>
            </w:tcBorders>
            <w:shd w:val="clear" w:color="auto" w:fill="auto"/>
            <w:vAlign w:val="center"/>
            <w:hideMark/>
          </w:tcPr>
          <w:p w14:paraId="4DD9906C" w14:textId="7E624F40"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 xml:space="preserve">Minimal cases </w:t>
            </w:r>
            <w:r w:rsidR="00FD4AE0" w:rsidRPr="00054AFC">
              <w:rPr>
                <w:rFonts w:ascii="Arial" w:eastAsia="Times New Roman" w:hAnsi="Arial" w:cs="Arial"/>
                <w:color w:val="000000"/>
                <w:kern w:val="0"/>
                <w:sz w:val="20"/>
                <w:szCs w:val="20"/>
                <w:lang w:val="fi-FI" w:eastAsia="fi-FI"/>
                <w14:ligatures w14:val="none"/>
              </w:rPr>
              <w:t xml:space="preserve">reported </w:t>
            </w:r>
            <w:r w:rsidRPr="00054AFC">
              <w:rPr>
                <w:rFonts w:ascii="Arial" w:eastAsia="Times New Roman" w:hAnsi="Arial" w:cs="Arial"/>
                <w:color w:val="000000"/>
                <w:kern w:val="0"/>
                <w:sz w:val="20"/>
                <w:szCs w:val="20"/>
                <w:lang w:val="fi-FI" w:eastAsia="fi-FI"/>
                <w14:ligatures w14:val="none"/>
              </w:rPr>
              <w:t>overall</w:t>
            </w:r>
          </w:p>
        </w:tc>
      </w:tr>
      <w:tr w:rsidR="00072619" w:rsidRPr="00054AFC" w14:paraId="545DE5BB"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76A6167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Police Offences</w:t>
            </w:r>
          </w:p>
        </w:tc>
        <w:tc>
          <w:tcPr>
            <w:tcW w:w="1236" w:type="pct"/>
            <w:tcBorders>
              <w:top w:val="nil"/>
              <w:left w:val="nil"/>
              <w:bottom w:val="single" w:sz="8" w:space="0" w:color="BFBFBF"/>
              <w:right w:val="single" w:sz="8" w:space="0" w:color="BFBFBF"/>
            </w:tcBorders>
            <w:shd w:val="clear" w:color="auto" w:fill="auto"/>
            <w:vAlign w:val="center"/>
            <w:hideMark/>
          </w:tcPr>
          <w:p w14:paraId="5CB80D05"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(2020, from 0 to 8)</w:t>
            </w:r>
          </w:p>
        </w:tc>
        <w:tc>
          <w:tcPr>
            <w:tcW w:w="1210" w:type="pct"/>
            <w:tcBorders>
              <w:top w:val="nil"/>
              <w:left w:val="nil"/>
              <w:bottom w:val="single" w:sz="8" w:space="0" w:color="BFBFBF"/>
              <w:right w:val="single" w:sz="8" w:space="0" w:color="BFBFBF"/>
            </w:tcBorders>
            <w:shd w:val="clear" w:color="auto" w:fill="auto"/>
            <w:vAlign w:val="center"/>
            <w:hideMark/>
          </w:tcPr>
          <w:p w14:paraId="1BD87187"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(2021, -100%)</w:t>
            </w:r>
          </w:p>
        </w:tc>
        <w:tc>
          <w:tcPr>
            <w:tcW w:w="1596" w:type="pct"/>
            <w:tcBorders>
              <w:top w:val="nil"/>
              <w:left w:val="nil"/>
              <w:bottom w:val="single" w:sz="8" w:space="0" w:color="BFBFBF"/>
              <w:right w:val="single" w:sz="8" w:space="0" w:color="BFBFBF"/>
            </w:tcBorders>
            <w:shd w:val="clear" w:color="auto" w:fill="auto"/>
            <w:vAlign w:val="center"/>
            <w:hideMark/>
          </w:tcPr>
          <w:p w14:paraId="5988136B"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Localized and short-lived spikes</w:t>
            </w:r>
          </w:p>
        </w:tc>
      </w:tr>
      <w:tr w:rsidR="00072619" w:rsidRPr="00054AFC" w14:paraId="6D70D93F"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31432C6C"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Tourist Offences</w:t>
            </w:r>
          </w:p>
        </w:tc>
        <w:tc>
          <w:tcPr>
            <w:tcW w:w="1236" w:type="pct"/>
            <w:tcBorders>
              <w:top w:val="nil"/>
              <w:left w:val="nil"/>
              <w:bottom w:val="single" w:sz="8" w:space="0" w:color="BFBFBF"/>
              <w:right w:val="single" w:sz="8" w:space="0" w:color="BFBFBF"/>
            </w:tcBorders>
            <w:shd w:val="clear" w:color="auto" w:fill="auto"/>
            <w:vAlign w:val="center"/>
            <w:hideMark/>
          </w:tcPr>
          <w:p w14:paraId="790BFDE1"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None</w:t>
            </w:r>
          </w:p>
        </w:tc>
        <w:tc>
          <w:tcPr>
            <w:tcW w:w="1210" w:type="pct"/>
            <w:tcBorders>
              <w:top w:val="nil"/>
              <w:left w:val="nil"/>
              <w:bottom w:val="single" w:sz="8" w:space="0" w:color="BFBFBF"/>
              <w:right w:val="single" w:sz="8" w:space="0" w:color="BFBFBF"/>
            </w:tcBorders>
            <w:shd w:val="clear" w:color="auto" w:fill="auto"/>
            <w:vAlign w:val="center"/>
            <w:hideMark/>
          </w:tcPr>
          <w:p w14:paraId="5C1787FD"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All (no cases reported)</w:t>
            </w:r>
          </w:p>
        </w:tc>
        <w:tc>
          <w:tcPr>
            <w:tcW w:w="1596" w:type="pct"/>
            <w:tcBorders>
              <w:top w:val="nil"/>
              <w:left w:val="nil"/>
              <w:bottom w:val="single" w:sz="8" w:space="0" w:color="BFBFBF"/>
              <w:right w:val="single" w:sz="8" w:space="0" w:color="BFBFBF"/>
            </w:tcBorders>
            <w:shd w:val="clear" w:color="auto" w:fill="auto"/>
            <w:vAlign w:val="center"/>
            <w:hideMark/>
          </w:tcPr>
          <w:p w14:paraId="0DC8DA71" w14:textId="30620738"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No cases</w:t>
            </w:r>
            <w:r w:rsidR="008072C1" w:rsidRPr="00054AFC">
              <w:rPr>
                <w:rFonts w:ascii="Arial" w:eastAsia="Times New Roman" w:hAnsi="Arial" w:cs="Arial"/>
                <w:color w:val="000000"/>
                <w:kern w:val="0"/>
                <w:sz w:val="20"/>
                <w:szCs w:val="20"/>
                <w:lang w:val="fi-FI" w:eastAsia="fi-FI"/>
                <w14:ligatures w14:val="none"/>
              </w:rPr>
              <w:t xml:space="preserve"> reported </w:t>
            </w:r>
            <w:r w:rsidRPr="00054AFC">
              <w:rPr>
                <w:rFonts w:ascii="Arial" w:eastAsia="Times New Roman" w:hAnsi="Arial" w:cs="Arial"/>
                <w:color w:val="000000"/>
                <w:kern w:val="0"/>
                <w:sz w:val="20"/>
                <w:szCs w:val="20"/>
                <w:lang w:val="fi-FI" w:eastAsia="fi-FI"/>
                <w14:ligatures w14:val="none"/>
              </w:rPr>
              <w:t>throughout 2019–2021</w:t>
            </w:r>
          </w:p>
        </w:tc>
      </w:tr>
      <w:tr w:rsidR="00072619" w:rsidRPr="00054AFC" w14:paraId="1A1CA15F"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1D4B2892"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Penal Code Offences</w:t>
            </w:r>
          </w:p>
        </w:tc>
        <w:tc>
          <w:tcPr>
            <w:tcW w:w="1236" w:type="pct"/>
            <w:tcBorders>
              <w:top w:val="nil"/>
              <w:left w:val="nil"/>
              <w:bottom w:val="single" w:sz="8" w:space="0" w:color="BFBFBF"/>
              <w:right w:val="single" w:sz="8" w:space="0" w:color="BFBFBF"/>
            </w:tcBorders>
            <w:shd w:val="clear" w:color="auto" w:fill="auto"/>
            <w:vAlign w:val="center"/>
            <w:hideMark/>
          </w:tcPr>
          <w:p w14:paraId="6760250E"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Mvita (2020-21, +51.6%)</w:t>
            </w:r>
          </w:p>
        </w:tc>
        <w:tc>
          <w:tcPr>
            <w:tcW w:w="1210" w:type="pct"/>
            <w:tcBorders>
              <w:top w:val="nil"/>
              <w:left w:val="nil"/>
              <w:bottom w:val="single" w:sz="8" w:space="0" w:color="BFBFBF"/>
              <w:right w:val="single" w:sz="8" w:space="0" w:color="BFBFBF"/>
            </w:tcBorders>
            <w:shd w:val="clear" w:color="auto" w:fill="auto"/>
            <w:vAlign w:val="center"/>
            <w:hideMark/>
          </w:tcPr>
          <w:p w14:paraId="6E7A76E1"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-41.4%)</w:t>
            </w:r>
          </w:p>
        </w:tc>
        <w:tc>
          <w:tcPr>
            <w:tcW w:w="1596" w:type="pct"/>
            <w:tcBorders>
              <w:top w:val="nil"/>
              <w:left w:val="nil"/>
              <w:bottom w:val="single" w:sz="8" w:space="0" w:color="BFBFBF"/>
              <w:right w:val="single" w:sz="8" w:space="0" w:color="BFBFBF"/>
            </w:tcBorders>
            <w:shd w:val="clear" w:color="auto" w:fill="auto"/>
            <w:vAlign w:val="center"/>
            <w:hideMark/>
          </w:tcPr>
          <w:p w14:paraId="6B2F8C0C"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Mvita showed strong consistent growth</w:t>
            </w:r>
          </w:p>
        </w:tc>
      </w:tr>
      <w:tr w:rsidR="00072619" w:rsidRPr="00054AFC" w14:paraId="17D582AC" w14:textId="77777777" w:rsidTr="00F42FEC">
        <w:trPr>
          <w:trHeight w:val="390"/>
        </w:trPr>
        <w:tc>
          <w:tcPr>
            <w:tcW w:w="958" w:type="pct"/>
            <w:tcBorders>
              <w:top w:val="nil"/>
              <w:left w:val="single" w:sz="8" w:space="0" w:color="BFBFBF"/>
              <w:bottom w:val="single" w:sz="8" w:space="0" w:color="BFBFBF"/>
              <w:right w:val="single" w:sz="8" w:space="0" w:color="BFBFBF"/>
            </w:tcBorders>
            <w:shd w:val="clear" w:color="auto" w:fill="auto"/>
            <w:vAlign w:val="center"/>
            <w:hideMark/>
          </w:tcPr>
          <w:p w14:paraId="57677A79"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Theft by Stock</w:t>
            </w:r>
          </w:p>
        </w:tc>
        <w:tc>
          <w:tcPr>
            <w:tcW w:w="1236" w:type="pct"/>
            <w:tcBorders>
              <w:top w:val="nil"/>
              <w:left w:val="nil"/>
              <w:bottom w:val="single" w:sz="8" w:space="0" w:color="BFBFBF"/>
              <w:right w:val="single" w:sz="8" w:space="0" w:color="BFBFBF"/>
            </w:tcBorders>
            <w:shd w:val="clear" w:color="auto" w:fill="auto"/>
            <w:vAlign w:val="center"/>
            <w:hideMark/>
          </w:tcPr>
          <w:p w14:paraId="37D2604E" w14:textId="77777777" w:rsidR="00072619" w:rsidRPr="00054AFC" w:rsidRDefault="00072619" w:rsidP="00054AFC">
            <w:pPr>
              <w:spacing w:after="0" w:line="240" w:lineRule="auto"/>
              <w:jc w:val="both"/>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Nyali (2021, +50%)</w:t>
            </w:r>
          </w:p>
        </w:tc>
        <w:tc>
          <w:tcPr>
            <w:tcW w:w="1210" w:type="pct"/>
            <w:tcBorders>
              <w:top w:val="nil"/>
              <w:left w:val="nil"/>
              <w:bottom w:val="single" w:sz="8" w:space="0" w:color="BFBFBF"/>
              <w:right w:val="single" w:sz="8" w:space="0" w:color="BFBFBF"/>
            </w:tcBorders>
            <w:shd w:val="clear" w:color="auto" w:fill="auto"/>
            <w:vAlign w:val="center"/>
            <w:hideMark/>
          </w:tcPr>
          <w:p w14:paraId="1CC55CD7" w14:textId="77777777" w:rsidR="00072619" w:rsidRPr="00054AFC" w:rsidRDefault="00072619" w:rsidP="00F42FEC">
            <w:pPr>
              <w:spacing w:after="0" w:line="240" w:lineRule="auto"/>
              <w:rPr>
                <w:rFonts w:ascii="Arial" w:eastAsia="Times New Roman" w:hAnsi="Arial" w:cs="Arial"/>
                <w:color w:val="000000"/>
                <w:kern w:val="0"/>
                <w:sz w:val="20"/>
                <w:szCs w:val="20"/>
                <w:lang w:val="fi-FI" w:eastAsia="fi-FI"/>
                <w14:ligatures w14:val="none"/>
              </w:rPr>
            </w:pPr>
            <w:r w:rsidRPr="00054AFC">
              <w:rPr>
                <w:rFonts w:ascii="Arial" w:eastAsia="Times New Roman" w:hAnsi="Arial" w:cs="Arial"/>
                <w:color w:val="000000"/>
                <w:kern w:val="0"/>
                <w:sz w:val="20"/>
                <w:szCs w:val="20"/>
                <w:lang w:val="fi-FI" w:eastAsia="fi-FI"/>
                <w14:ligatures w14:val="none"/>
              </w:rPr>
              <w:t>Jomvu (2021, -50%)</w:t>
            </w:r>
          </w:p>
        </w:tc>
        <w:tc>
          <w:tcPr>
            <w:tcW w:w="1596" w:type="pct"/>
            <w:tcBorders>
              <w:top w:val="nil"/>
              <w:left w:val="nil"/>
              <w:bottom w:val="single" w:sz="8" w:space="0" w:color="BFBFBF"/>
              <w:right w:val="single" w:sz="8" w:space="0" w:color="BFBFBF"/>
            </w:tcBorders>
            <w:shd w:val="clear" w:color="auto" w:fill="auto"/>
            <w:vAlign w:val="center"/>
            <w:hideMark/>
          </w:tcPr>
          <w:p w14:paraId="5A87690A" w14:textId="77777777" w:rsidR="00072619" w:rsidRPr="00054AFC" w:rsidRDefault="00072619" w:rsidP="00F42FEC">
            <w:pPr>
              <w:spacing w:after="0" w:line="240" w:lineRule="auto"/>
              <w:rPr>
                <w:rFonts w:ascii="Arial" w:eastAsia="Times New Roman" w:hAnsi="Arial" w:cs="Arial"/>
                <w:color w:val="000000"/>
                <w:kern w:val="0"/>
                <w:sz w:val="20"/>
                <w:szCs w:val="20"/>
                <w:lang w:val="en-GB" w:eastAsia="fi-FI"/>
                <w14:ligatures w14:val="none"/>
              </w:rPr>
            </w:pPr>
            <w:r w:rsidRPr="00054AFC">
              <w:rPr>
                <w:rFonts w:ascii="Arial" w:eastAsia="Times New Roman" w:hAnsi="Arial" w:cs="Arial"/>
                <w:color w:val="000000"/>
                <w:kern w:val="0"/>
                <w:sz w:val="20"/>
                <w:szCs w:val="20"/>
                <w:lang w:val="en-GB" w:eastAsia="fi-FI"/>
                <w14:ligatures w14:val="none"/>
              </w:rPr>
              <w:t>Nyali showed sharp year-on-year growth</w:t>
            </w:r>
          </w:p>
        </w:tc>
      </w:tr>
    </w:tbl>
    <w:p w14:paraId="1640A05D" w14:textId="77777777" w:rsidR="00D71232" w:rsidRDefault="00D71232" w:rsidP="003348C3">
      <w:pPr>
        <w:tabs>
          <w:tab w:val="left" w:pos="1095"/>
        </w:tabs>
        <w:jc w:val="both"/>
        <w:rPr>
          <w:rFonts w:ascii="Arial" w:hAnsi="Arial" w:cs="Arial"/>
          <w:sz w:val="20"/>
          <w:szCs w:val="20"/>
        </w:rPr>
      </w:pPr>
    </w:p>
    <w:p w14:paraId="49A19F5C" w14:textId="53DA406A" w:rsidR="003348C3" w:rsidRPr="00401707" w:rsidRDefault="003348C3" w:rsidP="003348C3">
      <w:pPr>
        <w:tabs>
          <w:tab w:val="left" w:pos="1095"/>
        </w:tabs>
        <w:jc w:val="both"/>
        <w:rPr>
          <w:rFonts w:ascii="Arial" w:hAnsi="Arial" w:cs="Arial"/>
          <w:b/>
          <w:bCs/>
          <w:sz w:val="22"/>
          <w:szCs w:val="22"/>
        </w:rPr>
      </w:pPr>
      <w:bookmarkStart w:id="8" w:name="_Hlk199246976"/>
      <w:r w:rsidRPr="00401707">
        <w:rPr>
          <w:rFonts w:ascii="Arial" w:hAnsi="Arial" w:cs="Arial"/>
          <w:b/>
          <w:bCs/>
          <w:sz w:val="22"/>
          <w:szCs w:val="22"/>
        </w:rPr>
        <w:t>3.2 Spati</w:t>
      </w:r>
      <w:r w:rsidR="00E15A65">
        <w:rPr>
          <w:rFonts w:ascii="Arial" w:hAnsi="Arial" w:cs="Arial"/>
          <w:b/>
          <w:bCs/>
          <w:sz w:val="22"/>
          <w:szCs w:val="22"/>
        </w:rPr>
        <w:t>o</w:t>
      </w:r>
      <w:r w:rsidRPr="00401707">
        <w:rPr>
          <w:rFonts w:ascii="Arial" w:hAnsi="Arial" w:cs="Arial"/>
          <w:b/>
          <w:bCs/>
          <w:sz w:val="22"/>
          <w:szCs w:val="22"/>
        </w:rPr>
        <w:t xml:space="preserve"> Distribution and</w:t>
      </w:r>
      <w:r w:rsidR="00656EDF">
        <w:rPr>
          <w:rFonts w:ascii="Arial" w:hAnsi="Arial" w:cs="Arial"/>
          <w:b/>
          <w:bCs/>
          <w:sz w:val="22"/>
          <w:szCs w:val="22"/>
        </w:rPr>
        <w:t xml:space="preserve"> </w:t>
      </w:r>
      <w:r w:rsidRPr="00401707">
        <w:rPr>
          <w:rFonts w:ascii="Arial" w:hAnsi="Arial" w:cs="Arial"/>
          <w:b/>
          <w:bCs/>
          <w:sz w:val="22"/>
          <w:szCs w:val="22"/>
        </w:rPr>
        <w:t>Hotspots</w:t>
      </w:r>
      <w:r w:rsidR="00656EDF">
        <w:rPr>
          <w:rFonts w:ascii="Arial" w:hAnsi="Arial" w:cs="Arial"/>
          <w:b/>
          <w:bCs/>
          <w:sz w:val="22"/>
          <w:szCs w:val="22"/>
        </w:rPr>
        <w:t xml:space="preserve"> of Crime</w:t>
      </w:r>
    </w:p>
    <w:p w14:paraId="74DE337B" w14:textId="4436DF21" w:rsidR="00CC3735" w:rsidRDefault="0025250D" w:rsidP="0025250D">
      <w:pPr>
        <w:tabs>
          <w:tab w:val="left" w:pos="1095"/>
        </w:tabs>
        <w:jc w:val="both"/>
        <w:rPr>
          <w:rFonts w:ascii="Arial" w:hAnsi="Arial" w:cs="Arial"/>
          <w:sz w:val="20"/>
          <w:szCs w:val="20"/>
        </w:rPr>
      </w:pPr>
      <w:r w:rsidRPr="0025250D">
        <w:rPr>
          <w:rFonts w:ascii="Arial" w:hAnsi="Arial" w:cs="Arial"/>
          <w:sz w:val="20"/>
          <w:szCs w:val="20"/>
        </w:rPr>
        <w:t>Geospatial analysis using KDE</w:t>
      </w:r>
      <w:r w:rsidR="00495BE9">
        <w:rPr>
          <w:rFonts w:ascii="Arial" w:hAnsi="Arial" w:cs="Arial"/>
          <w:sz w:val="20"/>
          <w:szCs w:val="20"/>
        </w:rPr>
        <w:t xml:space="preserve"> </w:t>
      </w:r>
      <w:r w:rsidR="00495BE9" w:rsidRPr="00495BE9">
        <w:rPr>
          <w:rFonts w:ascii="Arial" w:hAnsi="Arial" w:cs="Arial"/>
          <w:sz w:val="20"/>
          <w:szCs w:val="20"/>
          <w:highlight w:val="yellow"/>
        </w:rPr>
        <w:t xml:space="preserve">with </w:t>
      </w:r>
      <w:proofErr w:type="spellStart"/>
      <w:r w:rsidR="00495BE9" w:rsidRPr="00495BE9">
        <w:rPr>
          <w:rFonts w:ascii="Arial" w:hAnsi="Arial" w:cs="Arial"/>
          <w:sz w:val="20"/>
          <w:szCs w:val="20"/>
          <w:highlight w:val="yellow"/>
        </w:rPr>
        <w:t>Epanechnikov</w:t>
      </w:r>
      <w:proofErr w:type="spellEnd"/>
      <w:r w:rsidR="00495BE9" w:rsidRPr="00495BE9">
        <w:rPr>
          <w:rFonts w:ascii="Arial" w:hAnsi="Arial" w:cs="Arial"/>
          <w:sz w:val="20"/>
          <w:szCs w:val="20"/>
          <w:highlight w:val="yellow"/>
        </w:rPr>
        <w:t xml:space="preserve"> kernel function</w:t>
      </w:r>
      <w:r w:rsidRPr="0025250D">
        <w:rPr>
          <w:rFonts w:ascii="Arial" w:hAnsi="Arial" w:cs="Arial"/>
          <w:sz w:val="20"/>
          <w:szCs w:val="20"/>
        </w:rPr>
        <w:t xml:space="preserve"> revealed significant spatial disparities in the distribution of crime across Mombasa’s sub-counties. The KDE outputs consistently identified Mvita, Kisauni, and Likoni as persistent crime hotspots over the three-year period (2019–2021), collectively accounting for over 70% of all reported criminal incidents. High-density clusters were particularly prominent in neighborhoods such as Majengo, Bangladesh, and Old Town, suggesting the presence of localized structural crime drivers</w:t>
      </w:r>
      <w:r>
        <w:rPr>
          <w:rFonts w:ascii="Arial" w:hAnsi="Arial" w:cs="Arial"/>
          <w:sz w:val="20"/>
          <w:szCs w:val="20"/>
        </w:rPr>
        <w:t xml:space="preserve"> (see </w:t>
      </w:r>
      <w:r w:rsidR="003B59CD">
        <w:rPr>
          <w:rFonts w:ascii="Arial" w:hAnsi="Arial" w:cs="Arial"/>
          <w:sz w:val="20"/>
          <w:szCs w:val="20"/>
        </w:rPr>
        <w:t>F</w:t>
      </w:r>
      <w:r>
        <w:rPr>
          <w:rFonts w:ascii="Arial" w:hAnsi="Arial" w:cs="Arial"/>
          <w:sz w:val="20"/>
          <w:szCs w:val="20"/>
        </w:rPr>
        <w:t>igs. 9, 10 and 11)</w:t>
      </w:r>
      <w:r w:rsidRPr="0025250D">
        <w:rPr>
          <w:rFonts w:ascii="Arial" w:hAnsi="Arial" w:cs="Arial"/>
          <w:sz w:val="20"/>
          <w:szCs w:val="20"/>
        </w:rPr>
        <w:t>.</w:t>
      </w:r>
      <w:r>
        <w:rPr>
          <w:rFonts w:ascii="Arial" w:hAnsi="Arial" w:cs="Arial"/>
          <w:sz w:val="20"/>
          <w:szCs w:val="20"/>
        </w:rPr>
        <w:t xml:space="preserve"> </w:t>
      </w:r>
      <w:r w:rsidR="0049605E">
        <w:rPr>
          <w:rFonts w:ascii="Arial" w:hAnsi="Arial" w:cs="Arial"/>
          <w:sz w:val="20"/>
          <w:szCs w:val="20"/>
        </w:rPr>
        <w:t>Table 3</w:t>
      </w:r>
      <w:r w:rsidRPr="0025250D">
        <w:rPr>
          <w:rFonts w:ascii="Arial" w:hAnsi="Arial" w:cs="Arial"/>
          <w:sz w:val="20"/>
          <w:szCs w:val="20"/>
        </w:rPr>
        <w:t xml:space="preserve"> presents the total number of reported crimes by sub-county during the study period.</w:t>
      </w:r>
    </w:p>
    <w:p w14:paraId="2A28168F" w14:textId="0709FB5B" w:rsidR="003348C3" w:rsidRPr="00FF6529" w:rsidRDefault="0049605E" w:rsidP="003348C3">
      <w:pPr>
        <w:tabs>
          <w:tab w:val="left" w:pos="1095"/>
        </w:tabs>
        <w:jc w:val="both"/>
        <w:rPr>
          <w:rFonts w:ascii="Arial" w:hAnsi="Arial" w:cs="Arial"/>
          <w:b/>
          <w:bCs/>
          <w:sz w:val="20"/>
          <w:szCs w:val="20"/>
        </w:rPr>
      </w:pPr>
      <w:r>
        <w:rPr>
          <w:rFonts w:ascii="Arial" w:hAnsi="Arial" w:cs="Arial"/>
          <w:b/>
          <w:bCs/>
          <w:sz w:val="20"/>
          <w:szCs w:val="20"/>
        </w:rPr>
        <w:t>Table 3</w:t>
      </w:r>
      <w:r w:rsidR="003348C3" w:rsidRPr="00FF6529">
        <w:rPr>
          <w:rFonts w:ascii="Arial" w:hAnsi="Arial" w:cs="Arial"/>
          <w:b/>
          <w:bCs/>
          <w:sz w:val="20"/>
          <w:szCs w:val="20"/>
        </w:rPr>
        <w:t>. Total crime incidents by sub-county</w:t>
      </w:r>
    </w:p>
    <w:tbl>
      <w:tblPr>
        <w:tblStyle w:val="TableGridLight"/>
        <w:tblW w:w="0" w:type="auto"/>
        <w:tblLook w:val="04A0" w:firstRow="1" w:lastRow="0" w:firstColumn="1" w:lastColumn="0" w:noHBand="0" w:noVBand="1"/>
      </w:tblPr>
      <w:tblGrid>
        <w:gridCol w:w="4675"/>
        <w:gridCol w:w="4675"/>
      </w:tblGrid>
      <w:tr w:rsidR="003348C3" w14:paraId="3516259B" w14:textId="77777777" w:rsidTr="000C347D">
        <w:tc>
          <w:tcPr>
            <w:tcW w:w="4675" w:type="dxa"/>
          </w:tcPr>
          <w:p w14:paraId="5EF62F15" w14:textId="70ACF618" w:rsidR="003348C3" w:rsidRPr="00D01F07" w:rsidRDefault="003348C3" w:rsidP="000C347D">
            <w:pPr>
              <w:tabs>
                <w:tab w:val="left" w:pos="1095"/>
              </w:tabs>
              <w:jc w:val="both"/>
              <w:rPr>
                <w:rFonts w:ascii="Arial" w:hAnsi="Arial" w:cs="Arial"/>
                <w:b/>
                <w:bCs/>
                <w:sz w:val="20"/>
                <w:szCs w:val="20"/>
              </w:rPr>
            </w:pPr>
            <w:r w:rsidRPr="00D01F07">
              <w:rPr>
                <w:rFonts w:ascii="Arial" w:hAnsi="Arial" w:cs="Arial"/>
                <w:b/>
                <w:bCs/>
                <w:sz w:val="20"/>
                <w:szCs w:val="20"/>
              </w:rPr>
              <w:t>Sub-</w:t>
            </w:r>
            <w:r w:rsidR="007C6E67" w:rsidRPr="00D01F07">
              <w:rPr>
                <w:rFonts w:ascii="Arial" w:hAnsi="Arial" w:cs="Arial"/>
                <w:b/>
                <w:bCs/>
                <w:sz w:val="20"/>
                <w:szCs w:val="20"/>
              </w:rPr>
              <w:t>c</w:t>
            </w:r>
            <w:r w:rsidRPr="00D01F07">
              <w:rPr>
                <w:rFonts w:ascii="Arial" w:hAnsi="Arial" w:cs="Arial"/>
                <w:b/>
                <w:bCs/>
                <w:sz w:val="20"/>
                <w:szCs w:val="20"/>
              </w:rPr>
              <w:t>ounty</w:t>
            </w:r>
          </w:p>
        </w:tc>
        <w:tc>
          <w:tcPr>
            <w:tcW w:w="4675" w:type="dxa"/>
          </w:tcPr>
          <w:p w14:paraId="25792F3E" w14:textId="77777777" w:rsidR="003348C3" w:rsidRPr="00D01F07" w:rsidRDefault="003348C3" w:rsidP="000C347D">
            <w:pPr>
              <w:tabs>
                <w:tab w:val="left" w:pos="1095"/>
              </w:tabs>
              <w:jc w:val="both"/>
              <w:rPr>
                <w:rFonts w:ascii="Arial" w:hAnsi="Arial" w:cs="Arial"/>
                <w:b/>
                <w:bCs/>
                <w:sz w:val="20"/>
                <w:szCs w:val="20"/>
              </w:rPr>
            </w:pPr>
            <w:r w:rsidRPr="00D01F07">
              <w:rPr>
                <w:rFonts w:ascii="Arial" w:hAnsi="Arial" w:cs="Arial"/>
                <w:b/>
                <w:bCs/>
                <w:sz w:val="20"/>
                <w:szCs w:val="20"/>
              </w:rPr>
              <w:t>Total Reported Crimes</w:t>
            </w:r>
          </w:p>
        </w:tc>
      </w:tr>
      <w:tr w:rsidR="003348C3" w14:paraId="2ADDB85D" w14:textId="77777777" w:rsidTr="000C347D">
        <w:tc>
          <w:tcPr>
            <w:tcW w:w="4675" w:type="dxa"/>
          </w:tcPr>
          <w:p w14:paraId="2DAD7B1C"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Mvita</w:t>
            </w:r>
          </w:p>
        </w:tc>
        <w:tc>
          <w:tcPr>
            <w:tcW w:w="4675" w:type="dxa"/>
          </w:tcPr>
          <w:p w14:paraId="7358A5CE"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2200</w:t>
            </w:r>
          </w:p>
        </w:tc>
      </w:tr>
      <w:tr w:rsidR="003348C3" w14:paraId="435B859D" w14:textId="77777777" w:rsidTr="000C347D">
        <w:tc>
          <w:tcPr>
            <w:tcW w:w="4675" w:type="dxa"/>
          </w:tcPr>
          <w:p w14:paraId="16F68A40"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Kisauni</w:t>
            </w:r>
          </w:p>
        </w:tc>
        <w:tc>
          <w:tcPr>
            <w:tcW w:w="4675" w:type="dxa"/>
          </w:tcPr>
          <w:p w14:paraId="0B227126"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1800</w:t>
            </w:r>
          </w:p>
        </w:tc>
      </w:tr>
      <w:tr w:rsidR="003348C3" w14:paraId="7C7F8B51" w14:textId="77777777" w:rsidTr="000C347D">
        <w:tc>
          <w:tcPr>
            <w:tcW w:w="4675" w:type="dxa"/>
          </w:tcPr>
          <w:p w14:paraId="2921A477"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Likoni</w:t>
            </w:r>
          </w:p>
        </w:tc>
        <w:tc>
          <w:tcPr>
            <w:tcW w:w="4675" w:type="dxa"/>
          </w:tcPr>
          <w:p w14:paraId="0AAF2733"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1700</w:t>
            </w:r>
          </w:p>
        </w:tc>
      </w:tr>
      <w:tr w:rsidR="003348C3" w14:paraId="56F038FF" w14:textId="77777777" w:rsidTr="000C347D">
        <w:tc>
          <w:tcPr>
            <w:tcW w:w="4675" w:type="dxa"/>
          </w:tcPr>
          <w:p w14:paraId="4410A0AE"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Changamwe</w:t>
            </w:r>
          </w:p>
        </w:tc>
        <w:tc>
          <w:tcPr>
            <w:tcW w:w="4675" w:type="dxa"/>
          </w:tcPr>
          <w:p w14:paraId="4CF10F99"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1000</w:t>
            </w:r>
          </w:p>
        </w:tc>
      </w:tr>
      <w:tr w:rsidR="003348C3" w14:paraId="2EDCCBDC" w14:textId="77777777" w:rsidTr="000C347D">
        <w:tc>
          <w:tcPr>
            <w:tcW w:w="4675" w:type="dxa"/>
          </w:tcPr>
          <w:p w14:paraId="58C7755D"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Jomvu</w:t>
            </w:r>
          </w:p>
        </w:tc>
        <w:tc>
          <w:tcPr>
            <w:tcW w:w="4675" w:type="dxa"/>
          </w:tcPr>
          <w:p w14:paraId="76EE4BBF"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950</w:t>
            </w:r>
          </w:p>
        </w:tc>
      </w:tr>
      <w:tr w:rsidR="003348C3" w14:paraId="0E98A3C0" w14:textId="77777777" w:rsidTr="000C347D">
        <w:tc>
          <w:tcPr>
            <w:tcW w:w="4675" w:type="dxa"/>
          </w:tcPr>
          <w:p w14:paraId="678578EE"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Nyali</w:t>
            </w:r>
          </w:p>
        </w:tc>
        <w:tc>
          <w:tcPr>
            <w:tcW w:w="4675" w:type="dxa"/>
          </w:tcPr>
          <w:p w14:paraId="067D43A4"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837</w:t>
            </w:r>
          </w:p>
        </w:tc>
      </w:tr>
    </w:tbl>
    <w:p w14:paraId="10CEC6EF" w14:textId="77777777" w:rsidR="003348C3" w:rsidRDefault="003348C3" w:rsidP="003348C3">
      <w:pPr>
        <w:tabs>
          <w:tab w:val="left" w:pos="1095"/>
        </w:tabs>
        <w:jc w:val="both"/>
        <w:rPr>
          <w:rFonts w:ascii="Arial" w:hAnsi="Arial" w:cs="Arial"/>
          <w:sz w:val="20"/>
          <w:szCs w:val="20"/>
        </w:rPr>
      </w:pPr>
    </w:p>
    <w:p w14:paraId="2CC9198C" w14:textId="211CD6E9" w:rsidR="0025250D" w:rsidRDefault="00651148" w:rsidP="00651148">
      <w:pPr>
        <w:tabs>
          <w:tab w:val="left" w:pos="1095"/>
        </w:tabs>
        <w:jc w:val="both"/>
        <w:rPr>
          <w:rFonts w:ascii="Arial" w:hAnsi="Arial" w:cs="Arial"/>
          <w:sz w:val="20"/>
          <w:szCs w:val="20"/>
        </w:rPr>
      </w:pPr>
      <w:r w:rsidRPr="00651148">
        <w:rPr>
          <w:rFonts w:ascii="Arial" w:hAnsi="Arial" w:cs="Arial"/>
          <w:sz w:val="20"/>
          <w:szCs w:val="20"/>
        </w:rPr>
        <w:t xml:space="preserve">Mvita sub-county consistently recorded the highest number of incidents, with a predominance of stealing, interpersonal violence, and economic crimes. This trend can be attributed to Mvita’s proximity to Mombasa’s Central Business District (CBD), an area marked by intense economic activity and high pedestrian traffic—factors often linked to increased crime opportunities </w:t>
      </w:r>
      <w:r w:rsidR="00F87FE5">
        <w:rPr>
          <w:rFonts w:ascii="Arial" w:hAnsi="Arial" w:cs="Arial"/>
          <w:sz w:val="20"/>
          <w:szCs w:val="20"/>
        </w:rPr>
        <w:t>(Braga et al.,2012, Gakuru, 2019)</w:t>
      </w:r>
      <w:r w:rsidRPr="00651148">
        <w:rPr>
          <w:rFonts w:ascii="Arial" w:hAnsi="Arial" w:cs="Arial"/>
          <w:sz w:val="20"/>
          <w:szCs w:val="20"/>
        </w:rPr>
        <w:t>.</w:t>
      </w:r>
      <w:r>
        <w:rPr>
          <w:rFonts w:ascii="Arial" w:hAnsi="Arial" w:cs="Arial"/>
          <w:sz w:val="20"/>
          <w:szCs w:val="20"/>
        </w:rPr>
        <w:t xml:space="preserve"> </w:t>
      </w:r>
      <w:r w:rsidRPr="00651148">
        <w:rPr>
          <w:rFonts w:ascii="Arial" w:hAnsi="Arial" w:cs="Arial"/>
          <w:sz w:val="20"/>
          <w:szCs w:val="20"/>
        </w:rPr>
        <w:t>In contrast, Kisauni and Likoni emerged as primary hotspots for drug-related offences and sexual violence. These patterns are indicative of distinct socio-economic conditions, including high youth unemployment, the prevalence of informal settlements, and limited access to essential social services</w:t>
      </w:r>
      <w:r w:rsidR="00F87FE5">
        <w:rPr>
          <w:rFonts w:ascii="Arial" w:hAnsi="Arial" w:cs="Arial"/>
          <w:sz w:val="20"/>
          <w:szCs w:val="20"/>
        </w:rPr>
        <w:t xml:space="preserve"> (Barasa, 2013)</w:t>
      </w:r>
      <w:r w:rsidR="00F63C79">
        <w:rPr>
          <w:rFonts w:ascii="Arial" w:hAnsi="Arial" w:cs="Arial"/>
          <w:sz w:val="20"/>
          <w:szCs w:val="20"/>
        </w:rPr>
        <w:t>.</w:t>
      </w:r>
      <w:r w:rsidRPr="00651148">
        <w:rPr>
          <w:rFonts w:ascii="Arial" w:hAnsi="Arial" w:cs="Arial"/>
          <w:sz w:val="20"/>
          <w:szCs w:val="20"/>
        </w:rPr>
        <w:t xml:space="preserve"> Notably, some crime hotspots remained geographically stable across the three years, suggesting the presence of entrenched structural and environmental risk factors. These findings align with theories in environmental criminology, which emphasize the role of urban form, land use, and economic opportunity in shaping the spatial behavior of offenders </w:t>
      </w:r>
      <w:r w:rsidR="00F87FE5">
        <w:rPr>
          <w:rFonts w:ascii="Arial" w:hAnsi="Arial" w:cs="Arial"/>
          <w:sz w:val="20"/>
          <w:szCs w:val="20"/>
        </w:rPr>
        <w:t>(Eck et al.,2011)</w:t>
      </w:r>
      <w:r w:rsidRPr="00651148">
        <w:rPr>
          <w:rFonts w:ascii="Arial" w:hAnsi="Arial" w:cs="Arial"/>
          <w:sz w:val="20"/>
          <w:szCs w:val="20"/>
        </w:rPr>
        <w:t>.</w:t>
      </w:r>
      <w:r>
        <w:rPr>
          <w:rFonts w:ascii="Arial" w:hAnsi="Arial" w:cs="Arial"/>
          <w:sz w:val="20"/>
          <w:szCs w:val="20"/>
        </w:rPr>
        <w:t xml:space="preserve"> </w:t>
      </w:r>
      <w:r w:rsidRPr="00651148">
        <w:rPr>
          <w:rFonts w:ascii="Arial" w:hAnsi="Arial" w:cs="Arial"/>
          <w:sz w:val="20"/>
          <w:szCs w:val="20"/>
        </w:rPr>
        <w:t>A breakdown of crime types revealed further spatial differentiation. Homicide cases were most prevalent in Likoni and Mvita, while offences against morality were heavily concentrated in Likoni, followed by Mvita. Offences against persons were most common in Nyali and Ki</w:t>
      </w:r>
      <w:bookmarkStart w:id="9" w:name="_GoBack"/>
      <w:bookmarkEnd w:id="9"/>
      <w:r w:rsidRPr="00651148">
        <w:rPr>
          <w:rFonts w:ascii="Arial" w:hAnsi="Arial" w:cs="Arial"/>
          <w:sz w:val="20"/>
          <w:szCs w:val="20"/>
        </w:rPr>
        <w:t>sauni, whereas breaking cases were primarily reported in Nyali and Jomvu.</w:t>
      </w:r>
      <w:r>
        <w:rPr>
          <w:rFonts w:ascii="Arial" w:hAnsi="Arial" w:cs="Arial"/>
          <w:sz w:val="20"/>
          <w:szCs w:val="20"/>
        </w:rPr>
        <w:t xml:space="preserve"> </w:t>
      </w:r>
      <w:r w:rsidRPr="00651148">
        <w:rPr>
          <w:rFonts w:ascii="Arial" w:hAnsi="Arial" w:cs="Arial"/>
          <w:sz w:val="20"/>
          <w:szCs w:val="20"/>
        </w:rPr>
        <w:t xml:space="preserve">Robbery was heavily concentrated in Likoni and Jomvu, while stealing, the most dominant crime overall, was particularly pronounced in Nyali and Kisauni. Mvita recorded the highest numbers of both theft by servants and vehicle theft, followed closely by </w:t>
      </w:r>
      <w:r w:rsidRPr="00651148">
        <w:rPr>
          <w:rFonts w:ascii="Arial" w:hAnsi="Arial" w:cs="Arial"/>
          <w:sz w:val="20"/>
          <w:szCs w:val="20"/>
        </w:rPr>
        <w:lastRenderedPageBreak/>
        <w:t>Nyali. Dangerous drug offences were most frequent in Mvita and Jomvu, and traffic offences were overwhelmingly concentrated in Kisauni.</w:t>
      </w:r>
    </w:p>
    <w:p w14:paraId="410D5FD5" w14:textId="027A05E2" w:rsidR="00656EDF" w:rsidRPr="00D01F07" w:rsidRDefault="00656EDF" w:rsidP="00D01F07">
      <w:pPr>
        <w:tabs>
          <w:tab w:val="left" w:pos="1095"/>
        </w:tabs>
        <w:jc w:val="both"/>
        <w:rPr>
          <w:rFonts w:ascii="Arial" w:hAnsi="Arial" w:cs="Arial"/>
          <w:sz w:val="20"/>
          <w:szCs w:val="20"/>
        </w:rPr>
      </w:pPr>
      <w:r w:rsidRPr="00D01F07">
        <w:rPr>
          <w:rFonts w:ascii="Arial" w:hAnsi="Arial" w:cs="Arial"/>
          <w:sz w:val="20"/>
          <w:szCs w:val="20"/>
        </w:rPr>
        <w:t>Crime hotspots were visualized using choropleth maps, where crime intensity was represented in shades of red. lighter shades showed lower crime numbers and darker shades showed hotspots with higher crime rates. In 2019 (Fig 9), Nyali recorded the highest total crime cases, with 821 incidents, while Changamwe had the lowest at 297 cases.</w:t>
      </w:r>
    </w:p>
    <w:p w14:paraId="39224047" w14:textId="396E1F81" w:rsidR="00656EDF" w:rsidRPr="009B169E" w:rsidRDefault="00656EDF" w:rsidP="00D01F07">
      <w:pPr>
        <w:spacing w:line="360" w:lineRule="auto"/>
        <w:jc w:val="center"/>
        <w:rPr>
          <w:shd w:val="clear" w:color="auto" w:fill="FFFFFF"/>
        </w:rPr>
      </w:pPr>
      <w:r w:rsidRPr="009B169E">
        <w:rPr>
          <w:noProof/>
          <w:shd w:val="clear" w:color="auto" w:fill="FFFFFF"/>
          <w:lang w:val="en-GB" w:eastAsia="en-GB"/>
        </w:rPr>
        <w:drawing>
          <wp:inline distT="0" distB="0" distL="0" distR="0" wp14:anchorId="7DFCE726" wp14:editId="6A3C8554">
            <wp:extent cx="5944235" cy="4249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4249420"/>
                    </a:xfrm>
                    <a:prstGeom prst="rect">
                      <a:avLst/>
                    </a:prstGeom>
                    <a:noFill/>
                  </pic:spPr>
                </pic:pic>
              </a:graphicData>
            </a:graphic>
          </wp:inline>
        </w:drawing>
      </w:r>
    </w:p>
    <w:p w14:paraId="7208ABB9" w14:textId="20E17219" w:rsidR="00656EDF" w:rsidRPr="00D01F07" w:rsidRDefault="00656EDF" w:rsidP="00D01F07">
      <w:pPr>
        <w:tabs>
          <w:tab w:val="left" w:pos="1095"/>
        </w:tabs>
        <w:jc w:val="both"/>
        <w:rPr>
          <w:rFonts w:ascii="Arial" w:hAnsi="Arial" w:cs="Arial"/>
          <w:b/>
          <w:bCs/>
          <w:sz w:val="20"/>
          <w:szCs w:val="20"/>
        </w:rPr>
      </w:pPr>
      <w:r w:rsidRPr="00D01F07">
        <w:rPr>
          <w:rFonts w:ascii="Arial" w:hAnsi="Arial" w:cs="Arial"/>
          <w:b/>
          <w:bCs/>
          <w:sz w:val="20"/>
          <w:szCs w:val="20"/>
        </w:rPr>
        <w:t>Fig</w:t>
      </w:r>
      <w:r w:rsidR="00DD0F9B">
        <w:rPr>
          <w:rFonts w:ascii="Arial" w:hAnsi="Arial" w:cs="Arial"/>
          <w:b/>
          <w:bCs/>
          <w:sz w:val="20"/>
          <w:szCs w:val="20"/>
        </w:rPr>
        <w:t>.</w:t>
      </w:r>
      <w:r w:rsidRPr="00D01F07">
        <w:rPr>
          <w:rFonts w:ascii="Arial" w:hAnsi="Arial" w:cs="Arial"/>
          <w:b/>
          <w:bCs/>
          <w:sz w:val="20"/>
          <w:szCs w:val="20"/>
        </w:rPr>
        <w:t xml:space="preserve"> 9</w:t>
      </w:r>
      <w:r w:rsidR="00DD0F9B">
        <w:rPr>
          <w:rFonts w:ascii="Arial" w:hAnsi="Arial" w:cs="Arial"/>
          <w:b/>
          <w:bCs/>
          <w:sz w:val="20"/>
          <w:szCs w:val="20"/>
        </w:rPr>
        <w:t xml:space="preserve">. </w:t>
      </w:r>
      <w:r w:rsidRPr="00D01F07">
        <w:rPr>
          <w:rFonts w:ascii="Arial" w:hAnsi="Arial" w:cs="Arial"/>
          <w:b/>
          <w:bCs/>
          <w:sz w:val="20"/>
          <w:szCs w:val="20"/>
        </w:rPr>
        <w:t>Map showing the total number of crimes reported in Mombasa sub</w:t>
      </w:r>
      <w:r w:rsidR="00DD0F9B">
        <w:rPr>
          <w:rFonts w:ascii="Arial" w:hAnsi="Arial" w:cs="Arial"/>
          <w:b/>
          <w:bCs/>
          <w:sz w:val="20"/>
          <w:szCs w:val="20"/>
        </w:rPr>
        <w:t>-</w:t>
      </w:r>
      <w:r w:rsidRPr="00D01F07">
        <w:rPr>
          <w:rFonts w:ascii="Arial" w:hAnsi="Arial" w:cs="Arial"/>
          <w:b/>
          <w:bCs/>
          <w:sz w:val="20"/>
          <w:szCs w:val="20"/>
        </w:rPr>
        <w:t>counties in 2019</w:t>
      </w:r>
    </w:p>
    <w:p w14:paraId="51B0C06E" w14:textId="58D17EE8" w:rsidR="00656EDF" w:rsidRDefault="00656EDF" w:rsidP="00656EDF">
      <w:pPr>
        <w:pStyle w:val="Caption"/>
        <w:jc w:val="both"/>
        <w:rPr>
          <w:color w:val="auto"/>
          <w:sz w:val="24"/>
          <w:szCs w:val="24"/>
        </w:rPr>
      </w:pPr>
    </w:p>
    <w:p w14:paraId="6302779B" w14:textId="77777777" w:rsidR="00E15A65" w:rsidRDefault="00E15A65" w:rsidP="00E15A65"/>
    <w:p w14:paraId="0B90E7D1" w14:textId="77777777" w:rsidR="00E15A65" w:rsidRDefault="00E15A65" w:rsidP="00E15A65"/>
    <w:p w14:paraId="6F22AEDA" w14:textId="77777777" w:rsidR="00E15A65" w:rsidRDefault="00E15A65" w:rsidP="00E15A65"/>
    <w:p w14:paraId="32153288" w14:textId="77777777" w:rsidR="00E15A65" w:rsidRDefault="00E15A65" w:rsidP="00E15A65"/>
    <w:p w14:paraId="28304639" w14:textId="77777777" w:rsidR="00E15A65" w:rsidRDefault="00E15A65" w:rsidP="00E15A65"/>
    <w:p w14:paraId="3BB2F6DB" w14:textId="77777777" w:rsidR="00E15A65" w:rsidRPr="00E15A65" w:rsidRDefault="00E15A65" w:rsidP="00F42FEC"/>
    <w:p w14:paraId="242C9F86" w14:textId="315F16C8" w:rsidR="00656EDF" w:rsidRPr="00D01F07" w:rsidRDefault="00656EDF" w:rsidP="00D01F07">
      <w:pPr>
        <w:tabs>
          <w:tab w:val="left" w:pos="1095"/>
        </w:tabs>
        <w:jc w:val="both"/>
        <w:rPr>
          <w:rFonts w:ascii="Arial" w:hAnsi="Arial" w:cs="Arial"/>
          <w:sz w:val="20"/>
          <w:szCs w:val="20"/>
        </w:rPr>
      </w:pPr>
      <w:r w:rsidRPr="00D01F07">
        <w:rPr>
          <w:rFonts w:ascii="Arial" w:hAnsi="Arial" w:cs="Arial"/>
          <w:sz w:val="20"/>
          <w:szCs w:val="20"/>
        </w:rPr>
        <w:lastRenderedPageBreak/>
        <w:t>In 2020 (Fig 10), Kisauni emerged as the most crime-prone area, reporting 543 cases, whereas Changamwe again had the fewest at 211 cases</w:t>
      </w:r>
      <w:r w:rsidR="00AD1E14" w:rsidRPr="00D01F07">
        <w:rPr>
          <w:rFonts w:ascii="Arial" w:hAnsi="Arial" w:cs="Arial"/>
          <w:sz w:val="20"/>
          <w:szCs w:val="20"/>
        </w:rPr>
        <w:t>.</w:t>
      </w:r>
    </w:p>
    <w:p w14:paraId="4D36EDC8" w14:textId="659583B8" w:rsidR="00656EDF" w:rsidRDefault="00656EDF" w:rsidP="00D01F07">
      <w:pPr>
        <w:spacing w:line="360" w:lineRule="auto"/>
        <w:jc w:val="center"/>
        <w:rPr>
          <w:shd w:val="clear" w:color="auto" w:fill="FFFFFF"/>
        </w:rPr>
      </w:pPr>
      <w:r w:rsidRPr="009B169E">
        <w:rPr>
          <w:noProof/>
          <w:shd w:val="clear" w:color="auto" w:fill="FFFFFF"/>
          <w:lang w:val="en-GB" w:eastAsia="en-GB"/>
        </w:rPr>
        <w:drawing>
          <wp:inline distT="0" distB="0" distL="0" distR="0" wp14:anchorId="2ED3D057" wp14:editId="0EEC77DE">
            <wp:extent cx="5944235" cy="42494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4249420"/>
                    </a:xfrm>
                    <a:prstGeom prst="rect">
                      <a:avLst/>
                    </a:prstGeom>
                    <a:noFill/>
                  </pic:spPr>
                </pic:pic>
              </a:graphicData>
            </a:graphic>
          </wp:inline>
        </w:drawing>
      </w:r>
    </w:p>
    <w:p w14:paraId="53D6A59C" w14:textId="79C337D9" w:rsidR="00656EDF" w:rsidRPr="00D01F07" w:rsidRDefault="00656EDF" w:rsidP="00D01F07">
      <w:pPr>
        <w:tabs>
          <w:tab w:val="left" w:pos="1095"/>
        </w:tabs>
        <w:jc w:val="both"/>
        <w:rPr>
          <w:rFonts w:ascii="Arial" w:hAnsi="Arial" w:cs="Arial"/>
          <w:b/>
          <w:bCs/>
          <w:sz w:val="20"/>
          <w:szCs w:val="20"/>
        </w:rPr>
      </w:pPr>
      <w:r w:rsidRPr="00D01F07">
        <w:rPr>
          <w:rFonts w:ascii="Arial" w:hAnsi="Arial" w:cs="Arial"/>
          <w:b/>
          <w:bCs/>
          <w:sz w:val="20"/>
          <w:szCs w:val="20"/>
        </w:rPr>
        <w:t>Fig</w:t>
      </w:r>
      <w:r w:rsidR="003B59CD">
        <w:rPr>
          <w:rFonts w:ascii="Arial" w:hAnsi="Arial" w:cs="Arial"/>
          <w:b/>
          <w:bCs/>
          <w:sz w:val="20"/>
          <w:szCs w:val="20"/>
        </w:rPr>
        <w:t xml:space="preserve">. </w:t>
      </w:r>
      <w:r w:rsidRPr="00D01F07">
        <w:rPr>
          <w:rFonts w:ascii="Arial" w:hAnsi="Arial" w:cs="Arial"/>
          <w:b/>
          <w:bCs/>
          <w:sz w:val="20"/>
          <w:szCs w:val="20"/>
        </w:rPr>
        <w:t>10</w:t>
      </w:r>
      <w:r w:rsidR="00DD0F9B">
        <w:rPr>
          <w:rFonts w:ascii="Arial" w:hAnsi="Arial" w:cs="Arial"/>
          <w:b/>
          <w:bCs/>
          <w:sz w:val="20"/>
          <w:szCs w:val="20"/>
        </w:rPr>
        <w:t xml:space="preserve">. </w:t>
      </w:r>
      <w:r w:rsidRPr="00D01F07">
        <w:rPr>
          <w:rFonts w:ascii="Arial" w:hAnsi="Arial" w:cs="Arial"/>
          <w:b/>
          <w:bCs/>
          <w:sz w:val="20"/>
          <w:szCs w:val="20"/>
        </w:rPr>
        <w:t>Map showing the total number of crimes reported in Mombasa sub</w:t>
      </w:r>
      <w:r w:rsidR="00DD0F9B">
        <w:rPr>
          <w:rFonts w:ascii="Arial" w:hAnsi="Arial" w:cs="Arial"/>
          <w:b/>
          <w:bCs/>
          <w:sz w:val="20"/>
          <w:szCs w:val="20"/>
        </w:rPr>
        <w:t>-</w:t>
      </w:r>
      <w:r w:rsidRPr="00D01F07">
        <w:rPr>
          <w:rFonts w:ascii="Arial" w:hAnsi="Arial" w:cs="Arial"/>
          <w:b/>
          <w:bCs/>
          <w:sz w:val="20"/>
          <w:szCs w:val="20"/>
        </w:rPr>
        <w:t>counties in 2020</w:t>
      </w:r>
    </w:p>
    <w:p w14:paraId="6C9C4369" w14:textId="51426F1A" w:rsidR="00656EDF" w:rsidRPr="00D01F07" w:rsidRDefault="00656EDF" w:rsidP="00D01F07">
      <w:pPr>
        <w:tabs>
          <w:tab w:val="left" w:pos="1095"/>
        </w:tabs>
        <w:jc w:val="both"/>
        <w:rPr>
          <w:rFonts w:ascii="Arial" w:hAnsi="Arial" w:cs="Arial"/>
          <w:sz w:val="20"/>
          <w:szCs w:val="20"/>
        </w:rPr>
      </w:pPr>
      <w:r w:rsidRPr="00D01F07">
        <w:rPr>
          <w:rFonts w:ascii="Arial" w:hAnsi="Arial" w:cs="Arial"/>
          <w:sz w:val="20"/>
          <w:szCs w:val="20"/>
        </w:rPr>
        <w:t xml:space="preserve">The trend continued in 2021 as shown in </w:t>
      </w:r>
      <w:r w:rsidR="003B59CD">
        <w:rPr>
          <w:rFonts w:ascii="Arial" w:hAnsi="Arial" w:cs="Arial"/>
          <w:sz w:val="20"/>
          <w:szCs w:val="20"/>
        </w:rPr>
        <w:t>F</w:t>
      </w:r>
      <w:r w:rsidRPr="00D01F07">
        <w:rPr>
          <w:rFonts w:ascii="Arial" w:hAnsi="Arial" w:cs="Arial"/>
          <w:sz w:val="20"/>
          <w:szCs w:val="20"/>
        </w:rPr>
        <w:t>ig</w:t>
      </w:r>
      <w:r w:rsidR="00AD1E14">
        <w:rPr>
          <w:rFonts w:ascii="Arial" w:hAnsi="Arial" w:cs="Arial"/>
          <w:sz w:val="20"/>
          <w:szCs w:val="20"/>
        </w:rPr>
        <w:t xml:space="preserve">. </w:t>
      </w:r>
      <w:r w:rsidRPr="00D01F07">
        <w:rPr>
          <w:rFonts w:ascii="Arial" w:hAnsi="Arial" w:cs="Arial"/>
          <w:sz w:val="20"/>
          <w:szCs w:val="20"/>
        </w:rPr>
        <w:t>11, with Kisauni leading at 541 cases, while Changamwe recorded 248 cases. Overall, Changamwe consistently reported the lowest crime numbers across the three years, while Kisauni emerged as a major crime hotspot in 2020 and 2021.</w:t>
      </w:r>
    </w:p>
    <w:p w14:paraId="41D30902" w14:textId="77777777" w:rsidR="00656EDF" w:rsidRPr="009B169E" w:rsidRDefault="00656EDF" w:rsidP="00656EDF">
      <w:pPr>
        <w:spacing w:line="360" w:lineRule="auto"/>
        <w:jc w:val="both"/>
        <w:rPr>
          <w:shd w:val="clear" w:color="auto" w:fill="FFFFFF"/>
        </w:rPr>
      </w:pPr>
    </w:p>
    <w:p w14:paraId="580D60ED" w14:textId="77777777" w:rsidR="00656EDF" w:rsidRPr="009B169E" w:rsidRDefault="00656EDF" w:rsidP="00656EDF">
      <w:pPr>
        <w:spacing w:line="360" w:lineRule="auto"/>
        <w:jc w:val="both"/>
        <w:rPr>
          <w:shd w:val="clear" w:color="auto" w:fill="FFFFFF"/>
        </w:rPr>
      </w:pPr>
    </w:p>
    <w:p w14:paraId="144C3DB7" w14:textId="77777777" w:rsidR="00656EDF" w:rsidRPr="009B169E" w:rsidRDefault="00656EDF" w:rsidP="00656EDF">
      <w:pPr>
        <w:spacing w:line="360" w:lineRule="auto"/>
        <w:jc w:val="both"/>
        <w:rPr>
          <w:shd w:val="clear" w:color="auto" w:fill="FFFFFF"/>
        </w:rPr>
      </w:pPr>
    </w:p>
    <w:p w14:paraId="2AA820A4" w14:textId="6E11AA6B" w:rsidR="00656EDF" w:rsidRPr="00EB2625" w:rsidRDefault="00656EDF" w:rsidP="00D01F07">
      <w:pPr>
        <w:spacing w:line="360" w:lineRule="auto"/>
        <w:jc w:val="center"/>
        <w:rPr>
          <w:shd w:val="clear" w:color="auto" w:fill="FFFFFF"/>
        </w:rPr>
      </w:pPr>
      <w:r w:rsidRPr="009B169E">
        <w:rPr>
          <w:noProof/>
          <w:shd w:val="clear" w:color="auto" w:fill="FFFFFF"/>
          <w:lang w:val="en-GB" w:eastAsia="en-GB"/>
        </w:rPr>
        <w:lastRenderedPageBreak/>
        <w:drawing>
          <wp:inline distT="0" distB="0" distL="0" distR="0" wp14:anchorId="20BF4675" wp14:editId="6FEBF12D">
            <wp:extent cx="5326743" cy="3807987"/>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1599" cy="3811458"/>
                    </a:xfrm>
                    <a:prstGeom prst="rect">
                      <a:avLst/>
                    </a:prstGeom>
                    <a:noFill/>
                  </pic:spPr>
                </pic:pic>
              </a:graphicData>
            </a:graphic>
          </wp:inline>
        </w:drawing>
      </w:r>
    </w:p>
    <w:p w14:paraId="75CB9B68" w14:textId="0E709BC7" w:rsidR="00656EDF" w:rsidRPr="00D01F07" w:rsidRDefault="00656EDF" w:rsidP="003348C3">
      <w:pPr>
        <w:tabs>
          <w:tab w:val="left" w:pos="1095"/>
        </w:tabs>
        <w:jc w:val="both"/>
        <w:rPr>
          <w:rFonts w:ascii="Arial" w:hAnsi="Arial" w:cs="Arial"/>
          <w:b/>
          <w:bCs/>
          <w:sz w:val="20"/>
          <w:szCs w:val="20"/>
        </w:rPr>
      </w:pPr>
      <w:r w:rsidRPr="00D01F07">
        <w:rPr>
          <w:rFonts w:ascii="Arial" w:hAnsi="Arial" w:cs="Arial"/>
          <w:b/>
          <w:bCs/>
          <w:sz w:val="20"/>
          <w:szCs w:val="20"/>
        </w:rPr>
        <w:t>Fig</w:t>
      </w:r>
      <w:r w:rsidR="00DD0F9B">
        <w:rPr>
          <w:rFonts w:ascii="Arial" w:hAnsi="Arial" w:cs="Arial"/>
          <w:b/>
          <w:bCs/>
          <w:sz w:val="20"/>
          <w:szCs w:val="20"/>
        </w:rPr>
        <w:t>.</w:t>
      </w:r>
      <w:r w:rsidRPr="00D01F07">
        <w:rPr>
          <w:rFonts w:ascii="Arial" w:hAnsi="Arial" w:cs="Arial"/>
          <w:b/>
          <w:bCs/>
          <w:sz w:val="20"/>
          <w:szCs w:val="20"/>
        </w:rPr>
        <w:t xml:space="preserve"> 1</w:t>
      </w:r>
      <w:r w:rsidR="00DD0F9B">
        <w:rPr>
          <w:rFonts w:ascii="Arial" w:hAnsi="Arial" w:cs="Arial"/>
          <w:b/>
          <w:bCs/>
          <w:sz w:val="20"/>
          <w:szCs w:val="20"/>
        </w:rPr>
        <w:t xml:space="preserve">1. </w:t>
      </w:r>
      <w:r w:rsidRPr="00D01F07">
        <w:rPr>
          <w:rFonts w:ascii="Arial" w:hAnsi="Arial" w:cs="Arial"/>
          <w:b/>
          <w:bCs/>
          <w:sz w:val="20"/>
          <w:szCs w:val="20"/>
        </w:rPr>
        <w:t>Map showing the total number of crimes reported in Mombasa sub</w:t>
      </w:r>
      <w:r w:rsidR="00AD1E14">
        <w:rPr>
          <w:rFonts w:ascii="Arial" w:hAnsi="Arial" w:cs="Arial"/>
          <w:b/>
          <w:bCs/>
          <w:sz w:val="20"/>
          <w:szCs w:val="20"/>
        </w:rPr>
        <w:t>-</w:t>
      </w:r>
      <w:r w:rsidRPr="00D01F07">
        <w:rPr>
          <w:rFonts w:ascii="Arial" w:hAnsi="Arial" w:cs="Arial"/>
          <w:b/>
          <w:bCs/>
          <w:sz w:val="20"/>
          <w:szCs w:val="20"/>
        </w:rPr>
        <w:t>counties in 2021</w:t>
      </w:r>
    </w:p>
    <w:bookmarkEnd w:id="8"/>
    <w:p w14:paraId="0304EA2D"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 xml:space="preserve">3.3 Spatial Autocorrelation Analysis (Moran’s </w:t>
      </w:r>
      <w:r w:rsidRPr="00D01F07">
        <w:rPr>
          <w:rFonts w:ascii="Arial" w:hAnsi="Arial" w:cs="Arial"/>
          <w:b/>
          <w:bCs/>
          <w:i/>
          <w:iCs/>
          <w:sz w:val="22"/>
          <w:szCs w:val="22"/>
        </w:rPr>
        <w:t>I</w:t>
      </w:r>
      <w:r w:rsidRPr="00401707">
        <w:rPr>
          <w:rFonts w:ascii="Arial" w:hAnsi="Arial" w:cs="Arial"/>
          <w:b/>
          <w:bCs/>
          <w:sz w:val="22"/>
          <w:szCs w:val="22"/>
        </w:rPr>
        <w:t>)</w:t>
      </w:r>
    </w:p>
    <w:p w14:paraId="6E986CDA" w14:textId="77777777" w:rsidR="003348C3"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To statistically validate the presence of spatial clustering, Moran’s </w:t>
      </w:r>
      <w:r w:rsidRPr="00D01F07">
        <w:rPr>
          <w:rFonts w:ascii="Arial" w:hAnsi="Arial" w:cs="Arial"/>
          <w:i/>
          <w:iCs/>
          <w:sz w:val="20"/>
          <w:szCs w:val="20"/>
        </w:rPr>
        <w:t>I</w:t>
      </w:r>
      <w:r w:rsidRPr="00DE1370">
        <w:rPr>
          <w:rFonts w:ascii="Arial" w:hAnsi="Arial" w:cs="Arial"/>
          <w:sz w:val="20"/>
          <w:szCs w:val="20"/>
        </w:rPr>
        <w:t xml:space="preserve"> was </w:t>
      </w:r>
      <w:r>
        <w:rPr>
          <w:rFonts w:ascii="Arial" w:hAnsi="Arial" w:cs="Arial"/>
          <w:sz w:val="20"/>
          <w:szCs w:val="20"/>
        </w:rPr>
        <w:t>applied</w:t>
      </w:r>
      <w:r w:rsidRPr="00DE1370">
        <w:rPr>
          <w:rFonts w:ascii="Arial" w:hAnsi="Arial" w:cs="Arial"/>
          <w:sz w:val="20"/>
          <w:szCs w:val="20"/>
        </w:rPr>
        <w:t xml:space="preserve"> for aggregated crime data. The overall Moran’s </w:t>
      </w:r>
      <w:r w:rsidRPr="00D01F07">
        <w:rPr>
          <w:rFonts w:ascii="Arial" w:hAnsi="Arial" w:cs="Arial"/>
          <w:i/>
          <w:iCs/>
          <w:sz w:val="20"/>
          <w:szCs w:val="20"/>
        </w:rPr>
        <w:t>I</w:t>
      </w:r>
      <w:r w:rsidRPr="00DE1370">
        <w:rPr>
          <w:rFonts w:ascii="Arial" w:hAnsi="Arial" w:cs="Arial"/>
          <w:sz w:val="20"/>
          <w:szCs w:val="20"/>
        </w:rPr>
        <w:t xml:space="preserve"> for total crimes across sub-counties was 0.482 (p &lt; 0.01), indicating moderate positive spatial autocorrelation. This suggest</w:t>
      </w:r>
      <w:r>
        <w:rPr>
          <w:rFonts w:ascii="Arial" w:hAnsi="Arial" w:cs="Arial"/>
          <w:sz w:val="20"/>
          <w:szCs w:val="20"/>
        </w:rPr>
        <w:t>ed</w:t>
      </w:r>
      <w:r w:rsidRPr="00DE1370">
        <w:rPr>
          <w:rFonts w:ascii="Arial" w:hAnsi="Arial" w:cs="Arial"/>
          <w:sz w:val="20"/>
          <w:szCs w:val="20"/>
        </w:rPr>
        <w:t xml:space="preserve"> that high-crime sub-counties are spatially proximate to other high-crime areas, while low-crime areas are adjacent to similarly low-crime neighborhoods</w:t>
      </w:r>
      <w:r>
        <w:rPr>
          <w:rFonts w:ascii="Arial" w:hAnsi="Arial" w:cs="Arial"/>
          <w:sz w:val="20"/>
          <w:szCs w:val="20"/>
        </w:rPr>
        <w:t>.</w:t>
      </w:r>
    </w:p>
    <w:p w14:paraId="6894E35A" w14:textId="010EEE7B" w:rsidR="003348C3" w:rsidRPr="00FF6529" w:rsidRDefault="0049605E" w:rsidP="003348C3">
      <w:pPr>
        <w:tabs>
          <w:tab w:val="left" w:pos="1095"/>
        </w:tabs>
        <w:jc w:val="both"/>
        <w:rPr>
          <w:rFonts w:ascii="Arial" w:hAnsi="Arial" w:cs="Arial"/>
          <w:b/>
          <w:bCs/>
          <w:sz w:val="20"/>
          <w:szCs w:val="20"/>
        </w:rPr>
      </w:pPr>
      <w:r>
        <w:rPr>
          <w:rFonts w:ascii="Arial" w:hAnsi="Arial" w:cs="Arial"/>
          <w:b/>
          <w:bCs/>
          <w:sz w:val="20"/>
          <w:szCs w:val="20"/>
        </w:rPr>
        <w:t>Table 4</w:t>
      </w:r>
      <w:r w:rsidR="003348C3" w:rsidRPr="00FF6529">
        <w:rPr>
          <w:rFonts w:ascii="Arial" w:hAnsi="Arial" w:cs="Arial"/>
          <w:b/>
          <w:bCs/>
          <w:sz w:val="20"/>
          <w:szCs w:val="20"/>
        </w:rPr>
        <w:t>. Moran’s I statistics by crime type</w:t>
      </w:r>
    </w:p>
    <w:tbl>
      <w:tblPr>
        <w:tblStyle w:val="TableGridLight"/>
        <w:tblW w:w="0" w:type="auto"/>
        <w:tblLook w:val="04A0" w:firstRow="1" w:lastRow="0" w:firstColumn="1" w:lastColumn="0" w:noHBand="0" w:noVBand="1"/>
      </w:tblPr>
      <w:tblGrid>
        <w:gridCol w:w="1870"/>
        <w:gridCol w:w="1870"/>
        <w:gridCol w:w="1870"/>
        <w:gridCol w:w="1675"/>
        <w:gridCol w:w="2065"/>
      </w:tblGrid>
      <w:tr w:rsidR="003348C3" w14:paraId="3AA03525" w14:textId="77777777" w:rsidTr="000C347D">
        <w:tc>
          <w:tcPr>
            <w:tcW w:w="1870" w:type="dxa"/>
          </w:tcPr>
          <w:p w14:paraId="32E2E3B7"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Crime Type</w:t>
            </w:r>
          </w:p>
        </w:tc>
        <w:tc>
          <w:tcPr>
            <w:tcW w:w="1870" w:type="dxa"/>
          </w:tcPr>
          <w:p w14:paraId="4546AC29"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Moran’s I</w:t>
            </w:r>
          </w:p>
        </w:tc>
        <w:tc>
          <w:tcPr>
            <w:tcW w:w="1870" w:type="dxa"/>
          </w:tcPr>
          <w:p w14:paraId="43478214"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Z -score</w:t>
            </w:r>
          </w:p>
        </w:tc>
        <w:tc>
          <w:tcPr>
            <w:tcW w:w="1675" w:type="dxa"/>
          </w:tcPr>
          <w:p w14:paraId="2956034C"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P – value</w:t>
            </w:r>
          </w:p>
        </w:tc>
        <w:tc>
          <w:tcPr>
            <w:tcW w:w="2065" w:type="dxa"/>
          </w:tcPr>
          <w:p w14:paraId="63C93FC4"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Spatial Pattern</w:t>
            </w:r>
          </w:p>
        </w:tc>
      </w:tr>
      <w:tr w:rsidR="003348C3" w14:paraId="621D4010" w14:textId="77777777" w:rsidTr="000C347D">
        <w:tc>
          <w:tcPr>
            <w:tcW w:w="1870" w:type="dxa"/>
          </w:tcPr>
          <w:p w14:paraId="2F23985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Theft</w:t>
            </w:r>
          </w:p>
        </w:tc>
        <w:tc>
          <w:tcPr>
            <w:tcW w:w="1870" w:type="dxa"/>
          </w:tcPr>
          <w:p w14:paraId="039841E3"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0.518</w:t>
            </w:r>
          </w:p>
        </w:tc>
        <w:tc>
          <w:tcPr>
            <w:tcW w:w="1870" w:type="dxa"/>
          </w:tcPr>
          <w:p w14:paraId="032453BF"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2.74</w:t>
            </w:r>
          </w:p>
        </w:tc>
        <w:tc>
          <w:tcPr>
            <w:tcW w:w="1675" w:type="dxa"/>
          </w:tcPr>
          <w:p w14:paraId="23AD754B"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&lt;0.01</w:t>
            </w:r>
          </w:p>
        </w:tc>
        <w:tc>
          <w:tcPr>
            <w:tcW w:w="2065" w:type="dxa"/>
          </w:tcPr>
          <w:p w14:paraId="50798CD9"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Significant clustering</w:t>
            </w:r>
          </w:p>
        </w:tc>
      </w:tr>
      <w:tr w:rsidR="003348C3" w14:paraId="298E6E09" w14:textId="77777777" w:rsidTr="000C347D">
        <w:tc>
          <w:tcPr>
            <w:tcW w:w="1870" w:type="dxa"/>
          </w:tcPr>
          <w:p w14:paraId="172FA0D9"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Drug Offences</w:t>
            </w:r>
          </w:p>
        </w:tc>
        <w:tc>
          <w:tcPr>
            <w:tcW w:w="1870" w:type="dxa"/>
          </w:tcPr>
          <w:p w14:paraId="193A620D"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0.467</w:t>
            </w:r>
          </w:p>
        </w:tc>
        <w:tc>
          <w:tcPr>
            <w:tcW w:w="1870" w:type="dxa"/>
          </w:tcPr>
          <w:p w14:paraId="6FD04F8E"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2.31</w:t>
            </w:r>
          </w:p>
        </w:tc>
        <w:tc>
          <w:tcPr>
            <w:tcW w:w="1675" w:type="dxa"/>
          </w:tcPr>
          <w:p w14:paraId="2588FBB0"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132C6795"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Significant clustering</w:t>
            </w:r>
          </w:p>
        </w:tc>
      </w:tr>
      <w:tr w:rsidR="003348C3" w14:paraId="326F6009" w14:textId="77777777" w:rsidTr="000C347D">
        <w:tc>
          <w:tcPr>
            <w:tcW w:w="1870" w:type="dxa"/>
          </w:tcPr>
          <w:p w14:paraId="58201DDE"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Assault</w:t>
            </w:r>
          </w:p>
        </w:tc>
        <w:tc>
          <w:tcPr>
            <w:tcW w:w="1870" w:type="dxa"/>
          </w:tcPr>
          <w:p w14:paraId="6326BC3E"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0.442</w:t>
            </w:r>
          </w:p>
        </w:tc>
        <w:tc>
          <w:tcPr>
            <w:tcW w:w="1870" w:type="dxa"/>
          </w:tcPr>
          <w:p w14:paraId="60107442"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2.10</w:t>
            </w:r>
          </w:p>
        </w:tc>
        <w:tc>
          <w:tcPr>
            <w:tcW w:w="1675" w:type="dxa"/>
          </w:tcPr>
          <w:p w14:paraId="7248EABB"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7261F135"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Moderate clustering</w:t>
            </w:r>
          </w:p>
        </w:tc>
      </w:tr>
      <w:tr w:rsidR="003348C3" w14:paraId="22025FC3" w14:textId="77777777" w:rsidTr="000C347D">
        <w:tc>
          <w:tcPr>
            <w:tcW w:w="1870" w:type="dxa"/>
          </w:tcPr>
          <w:p w14:paraId="75C414C1"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Homicide</w:t>
            </w:r>
          </w:p>
        </w:tc>
        <w:tc>
          <w:tcPr>
            <w:tcW w:w="1870" w:type="dxa"/>
          </w:tcPr>
          <w:p w14:paraId="7E5D27FF"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0.298</w:t>
            </w:r>
          </w:p>
        </w:tc>
        <w:tc>
          <w:tcPr>
            <w:tcW w:w="1870" w:type="dxa"/>
          </w:tcPr>
          <w:p w14:paraId="56D45374"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1.50</w:t>
            </w:r>
          </w:p>
        </w:tc>
        <w:tc>
          <w:tcPr>
            <w:tcW w:w="1675" w:type="dxa"/>
          </w:tcPr>
          <w:p w14:paraId="2A925FAF"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0.08</w:t>
            </w:r>
          </w:p>
        </w:tc>
        <w:tc>
          <w:tcPr>
            <w:tcW w:w="2065" w:type="dxa"/>
          </w:tcPr>
          <w:p w14:paraId="4C6D8E8C"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Weak clustering</w:t>
            </w:r>
          </w:p>
        </w:tc>
      </w:tr>
    </w:tbl>
    <w:p w14:paraId="50207995" w14:textId="77777777" w:rsidR="003348C3" w:rsidRDefault="003348C3" w:rsidP="003348C3">
      <w:pPr>
        <w:tabs>
          <w:tab w:val="left" w:pos="1095"/>
        </w:tabs>
        <w:jc w:val="both"/>
        <w:rPr>
          <w:rFonts w:ascii="Arial" w:hAnsi="Arial" w:cs="Arial"/>
          <w:sz w:val="20"/>
          <w:szCs w:val="20"/>
        </w:rPr>
      </w:pPr>
    </w:p>
    <w:p w14:paraId="08E51662" w14:textId="0812B0C7" w:rsidR="003348C3" w:rsidRPr="00DE1370" w:rsidRDefault="003348C3" w:rsidP="003348C3">
      <w:pPr>
        <w:tabs>
          <w:tab w:val="left" w:pos="1095"/>
        </w:tabs>
        <w:jc w:val="both"/>
        <w:rPr>
          <w:rFonts w:ascii="Arial" w:hAnsi="Arial" w:cs="Arial"/>
          <w:sz w:val="20"/>
          <w:szCs w:val="20"/>
        </w:rPr>
      </w:pPr>
      <w:r w:rsidRPr="00DE1370">
        <w:rPr>
          <w:rFonts w:ascii="Arial" w:hAnsi="Arial" w:cs="Arial"/>
          <w:sz w:val="20"/>
          <w:szCs w:val="20"/>
        </w:rPr>
        <w:t>Disaggregated analysis revealed that stealing had the highest spatial clustering</w:t>
      </w:r>
      <w:r>
        <w:rPr>
          <w:rFonts w:ascii="Arial" w:hAnsi="Arial" w:cs="Arial"/>
          <w:sz w:val="20"/>
          <w:szCs w:val="20"/>
        </w:rPr>
        <w:t xml:space="preserve"> at</w:t>
      </w:r>
      <w:r w:rsidRPr="00DE1370">
        <w:rPr>
          <w:rFonts w:ascii="Arial" w:hAnsi="Arial" w:cs="Arial"/>
          <w:sz w:val="20"/>
          <w:szCs w:val="20"/>
        </w:rPr>
        <w:t xml:space="preserve"> 0.518, followed by drug-related crimes </w:t>
      </w:r>
      <w:r>
        <w:rPr>
          <w:rFonts w:ascii="Arial" w:hAnsi="Arial" w:cs="Arial"/>
          <w:sz w:val="20"/>
          <w:szCs w:val="20"/>
        </w:rPr>
        <w:t xml:space="preserve">at </w:t>
      </w:r>
      <w:r w:rsidRPr="00DE1370">
        <w:rPr>
          <w:rFonts w:ascii="Arial" w:hAnsi="Arial" w:cs="Arial"/>
          <w:sz w:val="20"/>
          <w:szCs w:val="20"/>
        </w:rPr>
        <w:t xml:space="preserve">0.467 and offences against persons </w:t>
      </w:r>
      <w:r>
        <w:rPr>
          <w:rFonts w:ascii="Arial" w:hAnsi="Arial" w:cs="Arial"/>
          <w:sz w:val="20"/>
          <w:szCs w:val="20"/>
        </w:rPr>
        <w:t xml:space="preserve">at </w:t>
      </w:r>
      <w:r w:rsidRPr="00DE1370">
        <w:rPr>
          <w:rFonts w:ascii="Arial" w:hAnsi="Arial" w:cs="Arial"/>
          <w:sz w:val="20"/>
          <w:szCs w:val="20"/>
        </w:rPr>
        <w:t>0.442. These values highlight</w:t>
      </w:r>
      <w:r>
        <w:rPr>
          <w:rFonts w:ascii="Arial" w:hAnsi="Arial" w:cs="Arial"/>
          <w:sz w:val="20"/>
          <w:szCs w:val="20"/>
        </w:rPr>
        <w:t>ed</w:t>
      </w:r>
      <w:r w:rsidRPr="00DE1370">
        <w:rPr>
          <w:rFonts w:ascii="Arial" w:hAnsi="Arial" w:cs="Arial"/>
          <w:sz w:val="20"/>
          <w:szCs w:val="20"/>
        </w:rPr>
        <w:t xml:space="preserve"> a non-random, patterned spatial arrangement of crime incidents in Mombasa.</w:t>
      </w:r>
      <w:r>
        <w:rPr>
          <w:rFonts w:ascii="Arial" w:hAnsi="Arial" w:cs="Arial"/>
          <w:sz w:val="20"/>
          <w:szCs w:val="20"/>
        </w:rPr>
        <w:t xml:space="preserve"> In regards to </w:t>
      </w:r>
      <w:r w:rsidRPr="00DE1370">
        <w:rPr>
          <w:rFonts w:ascii="Arial" w:hAnsi="Arial" w:cs="Arial"/>
          <w:sz w:val="20"/>
          <w:szCs w:val="20"/>
        </w:rPr>
        <w:t>Likoni and Kisauni</w:t>
      </w:r>
      <w:r>
        <w:rPr>
          <w:rFonts w:ascii="Arial" w:hAnsi="Arial" w:cs="Arial"/>
          <w:sz w:val="20"/>
          <w:szCs w:val="20"/>
        </w:rPr>
        <w:t>, they had the</w:t>
      </w:r>
      <w:r w:rsidRPr="00DE1370">
        <w:rPr>
          <w:rFonts w:ascii="Arial" w:hAnsi="Arial" w:cs="Arial"/>
          <w:sz w:val="20"/>
          <w:szCs w:val="20"/>
        </w:rPr>
        <w:t xml:space="preserve"> strongest clustering for drug-related crimes</w:t>
      </w:r>
      <w:r>
        <w:rPr>
          <w:rFonts w:ascii="Arial" w:hAnsi="Arial" w:cs="Arial"/>
          <w:sz w:val="20"/>
          <w:szCs w:val="20"/>
        </w:rPr>
        <w:t xml:space="preserve"> which was </w:t>
      </w:r>
      <w:r w:rsidRPr="00DE1370">
        <w:rPr>
          <w:rFonts w:ascii="Arial" w:hAnsi="Arial" w:cs="Arial"/>
          <w:sz w:val="20"/>
          <w:szCs w:val="20"/>
        </w:rPr>
        <w:t xml:space="preserve">likely </w:t>
      </w:r>
      <w:r>
        <w:rPr>
          <w:rFonts w:ascii="Arial" w:hAnsi="Arial" w:cs="Arial"/>
          <w:sz w:val="20"/>
          <w:szCs w:val="20"/>
        </w:rPr>
        <w:t>fueled</w:t>
      </w:r>
      <w:r w:rsidRPr="00DE1370">
        <w:rPr>
          <w:rFonts w:ascii="Arial" w:hAnsi="Arial" w:cs="Arial"/>
          <w:sz w:val="20"/>
          <w:szCs w:val="20"/>
        </w:rPr>
        <w:t xml:space="preserve"> by established trafficking networks and socio-economic marginalization</w:t>
      </w:r>
      <w:r>
        <w:rPr>
          <w:rFonts w:ascii="Arial" w:hAnsi="Arial" w:cs="Arial"/>
          <w:sz w:val="20"/>
          <w:szCs w:val="20"/>
        </w:rPr>
        <w:t xml:space="preserve"> </w:t>
      </w:r>
      <w:r w:rsidR="006B2044">
        <w:rPr>
          <w:rFonts w:ascii="Arial" w:hAnsi="Arial" w:cs="Arial"/>
          <w:sz w:val="20"/>
          <w:szCs w:val="20"/>
        </w:rPr>
        <w:t>(Badurdeen, 2023)</w:t>
      </w:r>
      <w:r w:rsidRPr="00DE1370">
        <w:rPr>
          <w:rFonts w:ascii="Arial" w:hAnsi="Arial" w:cs="Arial"/>
          <w:sz w:val="20"/>
          <w:szCs w:val="20"/>
        </w:rPr>
        <w:t xml:space="preserve">. </w:t>
      </w:r>
      <w:r>
        <w:rPr>
          <w:rFonts w:ascii="Arial" w:hAnsi="Arial" w:cs="Arial"/>
          <w:sz w:val="20"/>
          <w:szCs w:val="20"/>
        </w:rPr>
        <w:t>Similarly</w:t>
      </w:r>
      <w:r w:rsidRPr="00DE1370">
        <w:rPr>
          <w:rFonts w:ascii="Arial" w:hAnsi="Arial" w:cs="Arial"/>
          <w:sz w:val="20"/>
          <w:szCs w:val="20"/>
        </w:rPr>
        <w:t xml:space="preserve">, economic crimes and homicides </w:t>
      </w:r>
      <w:r>
        <w:rPr>
          <w:rFonts w:ascii="Arial" w:hAnsi="Arial" w:cs="Arial"/>
          <w:sz w:val="20"/>
          <w:szCs w:val="20"/>
        </w:rPr>
        <w:t xml:space="preserve">demonstrated </w:t>
      </w:r>
      <w:r w:rsidRPr="00DE1370">
        <w:rPr>
          <w:rFonts w:ascii="Arial" w:hAnsi="Arial" w:cs="Arial"/>
          <w:sz w:val="20"/>
          <w:szCs w:val="20"/>
        </w:rPr>
        <w:t>relatively lower spatial autocorrelation suggesting more random distributions or underreporting in less urbanized areas.</w:t>
      </w:r>
    </w:p>
    <w:p w14:paraId="57986B7E" w14:textId="3B97FC82" w:rsidR="003348C3" w:rsidRPr="00DE1370" w:rsidRDefault="003348C3" w:rsidP="003348C3">
      <w:pPr>
        <w:tabs>
          <w:tab w:val="left" w:pos="1095"/>
        </w:tabs>
        <w:jc w:val="both"/>
        <w:rPr>
          <w:rFonts w:ascii="Arial" w:hAnsi="Arial" w:cs="Arial"/>
          <w:sz w:val="20"/>
          <w:szCs w:val="20"/>
        </w:rPr>
      </w:pPr>
      <w:r w:rsidRPr="00DE1370">
        <w:rPr>
          <w:rFonts w:ascii="Arial" w:hAnsi="Arial" w:cs="Arial"/>
          <w:sz w:val="20"/>
          <w:szCs w:val="20"/>
        </w:rPr>
        <w:lastRenderedPageBreak/>
        <w:t xml:space="preserve">These findings </w:t>
      </w:r>
      <w:r>
        <w:rPr>
          <w:rFonts w:ascii="Arial" w:hAnsi="Arial" w:cs="Arial"/>
          <w:sz w:val="20"/>
          <w:szCs w:val="20"/>
        </w:rPr>
        <w:t>retaliated</w:t>
      </w:r>
      <w:r w:rsidRPr="00DE1370">
        <w:rPr>
          <w:rFonts w:ascii="Arial" w:hAnsi="Arial" w:cs="Arial"/>
          <w:sz w:val="20"/>
          <w:szCs w:val="20"/>
        </w:rPr>
        <w:t xml:space="preserve"> earlier studies by</w:t>
      </w:r>
      <w:r>
        <w:rPr>
          <w:rFonts w:ascii="Arial" w:hAnsi="Arial" w:cs="Arial"/>
          <w:sz w:val="20"/>
          <w:szCs w:val="20"/>
        </w:rPr>
        <w:t xml:space="preserve"> </w:t>
      </w:r>
      <w:r w:rsidR="006B2044">
        <w:rPr>
          <w:rFonts w:ascii="Arial" w:hAnsi="Arial" w:cs="Arial"/>
          <w:sz w:val="20"/>
          <w:szCs w:val="20"/>
        </w:rPr>
        <w:t>Fonji et al., (2014)</w:t>
      </w:r>
      <w:r w:rsidRPr="00DE1370">
        <w:rPr>
          <w:rFonts w:ascii="Arial" w:hAnsi="Arial" w:cs="Arial"/>
          <w:sz w:val="20"/>
          <w:szCs w:val="20"/>
        </w:rPr>
        <w:t xml:space="preserve">, who emphasized the utility of Moran’s </w:t>
      </w:r>
      <w:r w:rsidRPr="00D01F07">
        <w:rPr>
          <w:rFonts w:ascii="Arial" w:hAnsi="Arial" w:cs="Arial"/>
          <w:i/>
          <w:iCs/>
          <w:sz w:val="20"/>
          <w:szCs w:val="20"/>
        </w:rPr>
        <w:t>I</w:t>
      </w:r>
      <w:r w:rsidRPr="00DE1370">
        <w:rPr>
          <w:rFonts w:ascii="Arial" w:hAnsi="Arial" w:cs="Arial"/>
          <w:sz w:val="20"/>
          <w:szCs w:val="20"/>
        </w:rPr>
        <w:t xml:space="preserve"> in identifying spatial dependency in urban crime systems. They also support </w:t>
      </w:r>
      <w:r w:rsidR="006B2044">
        <w:rPr>
          <w:rFonts w:ascii="Arial" w:hAnsi="Arial" w:cs="Arial"/>
          <w:sz w:val="20"/>
          <w:szCs w:val="20"/>
        </w:rPr>
        <w:t xml:space="preserve">Eck </w:t>
      </w:r>
      <w:r w:rsidR="00954852">
        <w:rPr>
          <w:rFonts w:ascii="Arial" w:hAnsi="Arial" w:cs="Arial"/>
          <w:sz w:val="20"/>
          <w:szCs w:val="20"/>
        </w:rPr>
        <w:t>et al., (</w:t>
      </w:r>
      <w:r w:rsidR="006B2044">
        <w:rPr>
          <w:rFonts w:ascii="Arial" w:hAnsi="Arial" w:cs="Arial"/>
          <w:sz w:val="20"/>
          <w:szCs w:val="20"/>
        </w:rPr>
        <w:t>2011)</w:t>
      </w:r>
      <w:r w:rsidRPr="00DE1370">
        <w:rPr>
          <w:rFonts w:ascii="Arial" w:hAnsi="Arial" w:cs="Arial"/>
          <w:sz w:val="20"/>
          <w:szCs w:val="20"/>
        </w:rPr>
        <w:t>, who noted that repeat victimization and offender familiarity contribute to geographic concentration of crimes.</w:t>
      </w:r>
    </w:p>
    <w:p w14:paraId="0D609BF7" w14:textId="77777777" w:rsidR="003348C3" w:rsidRPr="00401707" w:rsidRDefault="003348C3" w:rsidP="003348C3">
      <w:pPr>
        <w:tabs>
          <w:tab w:val="left" w:pos="1095"/>
        </w:tabs>
        <w:jc w:val="both"/>
        <w:rPr>
          <w:rFonts w:ascii="Arial" w:hAnsi="Arial" w:cs="Arial"/>
          <w:b/>
          <w:bCs/>
          <w:sz w:val="22"/>
          <w:szCs w:val="22"/>
        </w:rPr>
      </w:pPr>
      <w:r w:rsidRPr="00401707">
        <w:rPr>
          <w:rFonts w:ascii="Arial" w:hAnsi="Arial" w:cs="Arial"/>
          <w:b/>
          <w:bCs/>
          <w:sz w:val="22"/>
          <w:szCs w:val="22"/>
        </w:rPr>
        <w:t>3.4 Poisson Regression for Temporal Crime Modeling</w:t>
      </w:r>
    </w:p>
    <w:p w14:paraId="4E4C0861" w14:textId="77777777" w:rsidR="003348C3" w:rsidRDefault="003348C3" w:rsidP="003348C3">
      <w:pPr>
        <w:tabs>
          <w:tab w:val="left" w:pos="1095"/>
        </w:tabs>
        <w:jc w:val="both"/>
        <w:rPr>
          <w:rFonts w:ascii="Arial" w:hAnsi="Arial" w:cs="Arial"/>
          <w:sz w:val="20"/>
          <w:szCs w:val="20"/>
        </w:rPr>
      </w:pPr>
      <w:r w:rsidRPr="00DE1370">
        <w:rPr>
          <w:rFonts w:ascii="Arial" w:hAnsi="Arial" w:cs="Arial"/>
          <w:sz w:val="20"/>
          <w:szCs w:val="20"/>
        </w:rPr>
        <w:t xml:space="preserve">To assess temporal variations and predictors of crime, a Poisson regression model was </w:t>
      </w:r>
      <w:r>
        <w:rPr>
          <w:rFonts w:ascii="Arial" w:hAnsi="Arial" w:cs="Arial"/>
          <w:sz w:val="20"/>
          <w:szCs w:val="20"/>
        </w:rPr>
        <w:t>used</w:t>
      </w:r>
      <w:r w:rsidRPr="00DE1370">
        <w:rPr>
          <w:rFonts w:ascii="Arial" w:hAnsi="Arial" w:cs="Arial"/>
          <w:sz w:val="20"/>
          <w:szCs w:val="20"/>
        </w:rPr>
        <w:t xml:space="preserve"> to count crimes per sub-county per year. </w:t>
      </w:r>
      <w:r>
        <w:rPr>
          <w:rFonts w:ascii="Arial" w:hAnsi="Arial" w:cs="Arial"/>
          <w:sz w:val="20"/>
          <w:szCs w:val="20"/>
        </w:rPr>
        <w:t>The i</w:t>
      </w:r>
      <w:r w:rsidRPr="00DE1370">
        <w:rPr>
          <w:rFonts w:ascii="Arial" w:hAnsi="Arial" w:cs="Arial"/>
          <w:sz w:val="20"/>
          <w:szCs w:val="20"/>
        </w:rPr>
        <w:t>ndependent variables</w:t>
      </w:r>
      <w:r>
        <w:rPr>
          <w:rFonts w:ascii="Arial" w:hAnsi="Arial" w:cs="Arial"/>
          <w:sz w:val="20"/>
          <w:szCs w:val="20"/>
        </w:rPr>
        <w:t xml:space="preserve"> used</w:t>
      </w:r>
      <w:r w:rsidRPr="00DE1370">
        <w:rPr>
          <w:rFonts w:ascii="Arial" w:hAnsi="Arial" w:cs="Arial"/>
          <w:sz w:val="20"/>
          <w:szCs w:val="20"/>
        </w:rPr>
        <w:t xml:space="preserve"> included year, population size and </w:t>
      </w:r>
      <w:r>
        <w:rPr>
          <w:rFonts w:ascii="Arial" w:hAnsi="Arial" w:cs="Arial"/>
          <w:sz w:val="20"/>
          <w:szCs w:val="20"/>
        </w:rPr>
        <w:t>proximity</w:t>
      </w:r>
      <w:r w:rsidRPr="00DE1370">
        <w:rPr>
          <w:rFonts w:ascii="Arial" w:hAnsi="Arial" w:cs="Arial"/>
          <w:sz w:val="20"/>
          <w:szCs w:val="20"/>
        </w:rPr>
        <w:t xml:space="preserve"> from the </w:t>
      </w:r>
      <w:r>
        <w:rPr>
          <w:rFonts w:ascii="Arial" w:hAnsi="Arial" w:cs="Arial"/>
          <w:sz w:val="20"/>
          <w:szCs w:val="20"/>
        </w:rPr>
        <w:t>CBD</w:t>
      </w:r>
      <w:r w:rsidRPr="00DE1370">
        <w:rPr>
          <w:rFonts w:ascii="Arial" w:hAnsi="Arial" w:cs="Arial"/>
          <w:sz w:val="20"/>
          <w:szCs w:val="20"/>
        </w:rPr>
        <w:t>. The model was statistically significant at the 0.01 level</w:t>
      </w:r>
      <w:r>
        <w:rPr>
          <w:rFonts w:ascii="Arial" w:hAnsi="Arial" w:cs="Arial"/>
          <w:sz w:val="20"/>
          <w:szCs w:val="20"/>
        </w:rPr>
        <w:t xml:space="preserve"> which</w:t>
      </w:r>
      <w:r w:rsidRPr="00DE1370">
        <w:rPr>
          <w:rFonts w:ascii="Arial" w:hAnsi="Arial" w:cs="Arial"/>
          <w:sz w:val="20"/>
          <w:szCs w:val="20"/>
        </w:rPr>
        <w:t xml:space="preserve"> indicat</w:t>
      </w:r>
      <w:r>
        <w:rPr>
          <w:rFonts w:ascii="Arial" w:hAnsi="Arial" w:cs="Arial"/>
          <w:sz w:val="20"/>
          <w:szCs w:val="20"/>
        </w:rPr>
        <w:t>ed</w:t>
      </w:r>
      <w:r w:rsidRPr="00DE1370">
        <w:rPr>
          <w:rFonts w:ascii="Arial" w:hAnsi="Arial" w:cs="Arial"/>
          <w:sz w:val="20"/>
          <w:szCs w:val="20"/>
        </w:rPr>
        <w:t xml:space="preserve"> a good fit for explaining temporal crime variation.</w:t>
      </w:r>
    </w:p>
    <w:p w14:paraId="55EA4D2D" w14:textId="63A464AD" w:rsidR="003348C3" w:rsidRPr="00FF6529" w:rsidRDefault="0049605E" w:rsidP="003348C3">
      <w:pPr>
        <w:tabs>
          <w:tab w:val="left" w:pos="1095"/>
        </w:tabs>
        <w:jc w:val="both"/>
        <w:rPr>
          <w:rFonts w:ascii="Arial" w:hAnsi="Arial" w:cs="Arial"/>
          <w:b/>
          <w:bCs/>
          <w:sz w:val="20"/>
          <w:szCs w:val="20"/>
        </w:rPr>
      </w:pPr>
      <w:r>
        <w:rPr>
          <w:rFonts w:ascii="Arial" w:hAnsi="Arial" w:cs="Arial"/>
          <w:b/>
          <w:bCs/>
          <w:sz w:val="20"/>
          <w:szCs w:val="20"/>
        </w:rPr>
        <w:t>Table 5</w:t>
      </w:r>
      <w:r w:rsidR="003348C3" w:rsidRPr="00FF6529">
        <w:rPr>
          <w:rFonts w:ascii="Arial" w:hAnsi="Arial" w:cs="Arial"/>
          <w:b/>
          <w:bCs/>
          <w:sz w:val="20"/>
          <w:szCs w:val="20"/>
        </w:rPr>
        <w:t>. Poisson regression results</w:t>
      </w:r>
    </w:p>
    <w:tbl>
      <w:tblPr>
        <w:tblStyle w:val="TableGridLight"/>
        <w:tblW w:w="0" w:type="auto"/>
        <w:tblLook w:val="04A0" w:firstRow="1" w:lastRow="0" w:firstColumn="1" w:lastColumn="0" w:noHBand="0" w:noVBand="1"/>
      </w:tblPr>
      <w:tblGrid>
        <w:gridCol w:w="2399"/>
        <w:gridCol w:w="1466"/>
        <w:gridCol w:w="1145"/>
        <w:gridCol w:w="1195"/>
        <w:gridCol w:w="1080"/>
        <w:gridCol w:w="2065"/>
      </w:tblGrid>
      <w:tr w:rsidR="003348C3" w14:paraId="270A6BF8" w14:textId="77777777" w:rsidTr="000C347D">
        <w:tc>
          <w:tcPr>
            <w:tcW w:w="2399" w:type="dxa"/>
          </w:tcPr>
          <w:p w14:paraId="189F8C52"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Variable</w:t>
            </w:r>
          </w:p>
        </w:tc>
        <w:tc>
          <w:tcPr>
            <w:tcW w:w="1466" w:type="dxa"/>
          </w:tcPr>
          <w:p w14:paraId="3BD6D884"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 xml:space="preserve">Coefficient </w:t>
            </w:r>
            <w:r w:rsidRPr="00C55819">
              <w:rPr>
                <w:rFonts w:ascii="Arial" w:hAnsi="Arial" w:cs="Arial"/>
                <w:sz w:val="20"/>
                <w:szCs w:val="20"/>
              </w:rPr>
              <w:t>(β)</w:t>
            </w:r>
          </w:p>
        </w:tc>
        <w:tc>
          <w:tcPr>
            <w:tcW w:w="1145" w:type="dxa"/>
          </w:tcPr>
          <w:p w14:paraId="3C3D18AB"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Std.Error</w:t>
            </w:r>
          </w:p>
        </w:tc>
        <w:tc>
          <w:tcPr>
            <w:tcW w:w="1195" w:type="dxa"/>
          </w:tcPr>
          <w:p w14:paraId="0EE8345C"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Z – Value</w:t>
            </w:r>
          </w:p>
        </w:tc>
        <w:tc>
          <w:tcPr>
            <w:tcW w:w="1080" w:type="dxa"/>
          </w:tcPr>
          <w:p w14:paraId="7D2D77E6"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P - Value</w:t>
            </w:r>
          </w:p>
        </w:tc>
        <w:tc>
          <w:tcPr>
            <w:tcW w:w="2065" w:type="dxa"/>
          </w:tcPr>
          <w:p w14:paraId="545DA186"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Interpretation</w:t>
            </w:r>
          </w:p>
        </w:tc>
      </w:tr>
      <w:tr w:rsidR="003348C3" w14:paraId="16D717DC" w14:textId="77777777" w:rsidTr="000C347D">
        <w:tc>
          <w:tcPr>
            <w:tcW w:w="2399" w:type="dxa"/>
          </w:tcPr>
          <w:p w14:paraId="55DCDE36"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Intercept</w:t>
            </w:r>
          </w:p>
        </w:tc>
        <w:tc>
          <w:tcPr>
            <w:tcW w:w="1466" w:type="dxa"/>
          </w:tcPr>
          <w:p w14:paraId="1545A4A6"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1.250</w:t>
            </w:r>
          </w:p>
        </w:tc>
        <w:tc>
          <w:tcPr>
            <w:tcW w:w="1145" w:type="dxa"/>
          </w:tcPr>
          <w:p w14:paraId="2BCA1E6A"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0.234</w:t>
            </w:r>
          </w:p>
        </w:tc>
        <w:tc>
          <w:tcPr>
            <w:tcW w:w="1195" w:type="dxa"/>
          </w:tcPr>
          <w:p w14:paraId="03FDA57F"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5.34</w:t>
            </w:r>
          </w:p>
        </w:tc>
        <w:tc>
          <w:tcPr>
            <w:tcW w:w="1080" w:type="dxa"/>
          </w:tcPr>
          <w:p w14:paraId="34C2BC93"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&lt;0.001</w:t>
            </w:r>
          </w:p>
        </w:tc>
        <w:tc>
          <w:tcPr>
            <w:tcW w:w="2065" w:type="dxa"/>
          </w:tcPr>
          <w:p w14:paraId="2DC91929"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Baseline crime level</w:t>
            </w:r>
          </w:p>
        </w:tc>
      </w:tr>
      <w:tr w:rsidR="003348C3" w14:paraId="3309F699" w14:textId="77777777" w:rsidTr="000C347D">
        <w:tc>
          <w:tcPr>
            <w:tcW w:w="2399" w:type="dxa"/>
          </w:tcPr>
          <w:p w14:paraId="54BAFDDB"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Year 2020</w:t>
            </w:r>
          </w:p>
        </w:tc>
        <w:tc>
          <w:tcPr>
            <w:tcW w:w="1466" w:type="dxa"/>
          </w:tcPr>
          <w:p w14:paraId="24A99779"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-0.219</w:t>
            </w:r>
          </w:p>
        </w:tc>
        <w:tc>
          <w:tcPr>
            <w:tcW w:w="1145" w:type="dxa"/>
          </w:tcPr>
          <w:p w14:paraId="1924B96D"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0.092</w:t>
            </w:r>
          </w:p>
        </w:tc>
        <w:tc>
          <w:tcPr>
            <w:tcW w:w="1195" w:type="dxa"/>
          </w:tcPr>
          <w:p w14:paraId="30EA547A"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-2.38</w:t>
            </w:r>
          </w:p>
        </w:tc>
        <w:tc>
          <w:tcPr>
            <w:tcW w:w="1080" w:type="dxa"/>
          </w:tcPr>
          <w:p w14:paraId="28B7A9E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28FDFE1A"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 xml:space="preserve">Covid-19 effect </w:t>
            </w:r>
          </w:p>
        </w:tc>
      </w:tr>
      <w:tr w:rsidR="003348C3" w14:paraId="7EE3BE76" w14:textId="77777777" w:rsidTr="000C347D">
        <w:tc>
          <w:tcPr>
            <w:tcW w:w="2399" w:type="dxa"/>
          </w:tcPr>
          <w:p w14:paraId="20462C8B"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Population (log)</w:t>
            </w:r>
          </w:p>
        </w:tc>
        <w:tc>
          <w:tcPr>
            <w:tcW w:w="1466" w:type="dxa"/>
          </w:tcPr>
          <w:p w14:paraId="3F27859F"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0.392</w:t>
            </w:r>
          </w:p>
        </w:tc>
        <w:tc>
          <w:tcPr>
            <w:tcW w:w="1145" w:type="dxa"/>
          </w:tcPr>
          <w:p w14:paraId="6A3DF64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0.067</w:t>
            </w:r>
          </w:p>
        </w:tc>
        <w:tc>
          <w:tcPr>
            <w:tcW w:w="1195" w:type="dxa"/>
          </w:tcPr>
          <w:p w14:paraId="661E19F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5.85</w:t>
            </w:r>
          </w:p>
        </w:tc>
        <w:tc>
          <w:tcPr>
            <w:tcW w:w="1080" w:type="dxa"/>
          </w:tcPr>
          <w:p w14:paraId="2BD73BED"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&lt;0.001</w:t>
            </w:r>
          </w:p>
        </w:tc>
        <w:tc>
          <w:tcPr>
            <w:tcW w:w="2065" w:type="dxa"/>
          </w:tcPr>
          <w:p w14:paraId="7B22BE19"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High population</w:t>
            </w:r>
          </w:p>
        </w:tc>
      </w:tr>
      <w:tr w:rsidR="003348C3" w14:paraId="2DB81FC3" w14:textId="77777777" w:rsidTr="000C347D">
        <w:tc>
          <w:tcPr>
            <w:tcW w:w="2399" w:type="dxa"/>
          </w:tcPr>
          <w:p w14:paraId="020EBEF7" w14:textId="50BECF28" w:rsidR="003348C3" w:rsidRDefault="003348C3" w:rsidP="000C347D">
            <w:pPr>
              <w:tabs>
                <w:tab w:val="left" w:pos="1095"/>
              </w:tabs>
              <w:jc w:val="both"/>
              <w:rPr>
                <w:rFonts w:ascii="Arial" w:hAnsi="Arial" w:cs="Arial"/>
                <w:sz w:val="20"/>
                <w:szCs w:val="20"/>
              </w:rPr>
            </w:pPr>
            <w:r>
              <w:rPr>
                <w:rFonts w:ascii="Arial" w:hAnsi="Arial" w:cs="Arial"/>
                <w:sz w:val="20"/>
                <w:szCs w:val="20"/>
              </w:rPr>
              <w:t xml:space="preserve">Distance from </w:t>
            </w:r>
            <w:r w:rsidR="00E15A65">
              <w:rPr>
                <w:rFonts w:ascii="Arial" w:hAnsi="Arial" w:cs="Arial"/>
                <w:sz w:val="20"/>
                <w:szCs w:val="20"/>
              </w:rPr>
              <w:t>CBD (</w:t>
            </w:r>
            <w:r>
              <w:rPr>
                <w:rFonts w:ascii="Arial" w:hAnsi="Arial" w:cs="Arial"/>
                <w:sz w:val="20"/>
                <w:szCs w:val="20"/>
              </w:rPr>
              <w:t>km)</w:t>
            </w:r>
          </w:p>
        </w:tc>
        <w:tc>
          <w:tcPr>
            <w:tcW w:w="1466" w:type="dxa"/>
          </w:tcPr>
          <w:p w14:paraId="0AC0B438"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-0.153</w:t>
            </w:r>
          </w:p>
        </w:tc>
        <w:tc>
          <w:tcPr>
            <w:tcW w:w="1145" w:type="dxa"/>
          </w:tcPr>
          <w:p w14:paraId="1DCE7B73"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0.059</w:t>
            </w:r>
          </w:p>
        </w:tc>
        <w:tc>
          <w:tcPr>
            <w:tcW w:w="1195" w:type="dxa"/>
          </w:tcPr>
          <w:p w14:paraId="1562B09B"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-2.59</w:t>
            </w:r>
          </w:p>
        </w:tc>
        <w:tc>
          <w:tcPr>
            <w:tcW w:w="1080" w:type="dxa"/>
          </w:tcPr>
          <w:p w14:paraId="061DD9A1"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&lt;0.05</w:t>
            </w:r>
          </w:p>
        </w:tc>
        <w:tc>
          <w:tcPr>
            <w:tcW w:w="2065" w:type="dxa"/>
          </w:tcPr>
          <w:p w14:paraId="4232B0DF" w14:textId="77777777" w:rsidR="003348C3" w:rsidRDefault="003348C3" w:rsidP="000C347D">
            <w:pPr>
              <w:tabs>
                <w:tab w:val="left" w:pos="1095"/>
              </w:tabs>
              <w:jc w:val="both"/>
              <w:rPr>
                <w:rFonts w:ascii="Arial" w:hAnsi="Arial" w:cs="Arial"/>
                <w:sz w:val="20"/>
                <w:szCs w:val="20"/>
              </w:rPr>
            </w:pPr>
            <w:r>
              <w:rPr>
                <w:rFonts w:ascii="Arial" w:hAnsi="Arial" w:cs="Arial"/>
                <w:sz w:val="20"/>
                <w:szCs w:val="20"/>
              </w:rPr>
              <w:t>Further from center</w:t>
            </w:r>
          </w:p>
        </w:tc>
      </w:tr>
    </w:tbl>
    <w:p w14:paraId="0BA7353D" w14:textId="77777777" w:rsidR="003348C3" w:rsidRPr="00DE1370" w:rsidRDefault="003348C3" w:rsidP="003348C3">
      <w:pPr>
        <w:tabs>
          <w:tab w:val="left" w:pos="1095"/>
        </w:tabs>
        <w:jc w:val="both"/>
        <w:rPr>
          <w:rFonts w:ascii="Arial" w:hAnsi="Arial" w:cs="Arial"/>
          <w:sz w:val="20"/>
          <w:szCs w:val="20"/>
        </w:rPr>
      </w:pPr>
    </w:p>
    <w:p w14:paraId="28B21DE2" w14:textId="77777777" w:rsidR="003348C3" w:rsidRPr="00BC6777" w:rsidRDefault="003348C3" w:rsidP="003348C3">
      <w:pPr>
        <w:rPr>
          <w:rFonts w:ascii="Arial" w:hAnsi="Arial" w:cs="Arial"/>
          <w:sz w:val="20"/>
          <w:szCs w:val="20"/>
        </w:rPr>
      </w:pPr>
      <w:r w:rsidRPr="00BC6777">
        <w:rPr>
          <w:rFonts w:ascii="Arial" w:hAnsi="Arial" w:cs="Arial"/>
          <w:sz w:val="20"/>
          <w:szCs w:val="20"/>
        </w:rPr>
        <w:t>The regression revealed that</w:t>
      </w:r>
      <w:r>
        <w:rPr>
          <w:rFonts w:ascii="Arial" w:hAnsi="Arial" w:cs="Arial"/>
          <w:sz w:val="20"/>
          <w:szCs w:val="20"/>
        </w:rPr>
        <w:t xml:space="preserve"> the y</w:t>
      </w:r>
      <w:r w:rsidRPr="00E4524D">
        <w:rPr>
          <w:rFonts w:ascii="Arial" w:hAnsi="Arial" w:cs="Arial"/>
          <w:sz w:val="20"/>
          <w:szCs w:val="20"/>
        </w:rPr>
        <w:t>ear 2020 had a significant negative coefficient (β = -0.219, p &lt; 0.05)</w:t>
      </w:r>
      <w:r>
        <w:rPr>
          <w:rFonts w:ascii="Arial" w:hAnsi="Arial" w:cs="Arial"/>
          <w:sz w:val="20"/>
          <w:szCs w:val="20"/>
        </w:rPr>
        <w:t xml:space="preserve"> which was</w:t>
      </w:r>
      <w:r w:rsidRPr="00E4524D">
        <w:rPr>
          <w:rFonts w:ascii="Arial" w:hAnsi="Arial" w:cs="Arial"/>
          <w:sz w:val="20"/>
          <w:szCs w:val="20"/>
        </w:rPr>
        <w:t xml:space="preserve"> consistent with the observed drop in crime during the peak of the COVID-19 pandemic.</w:t>
      </w:r>
      <w:r>
        <w:rPr>
          <w:rFonts w:ascii="Arial" w:hAnsi="Arial" w:cs="Arial"/>
          <w:sz w:val="20"/>
          <w:szCs w:val="20"/>
        </w:rPr>
        <w:t xml:space="preserve"> It also revealed that p</w:t>
      </w:r>
      <w:r w:rsidRPr="00E4524D">
        <w:rPr>
          <w:rFonts w:ascii="Arial" w:hAnsi="Arial" w:cs="Arial"/>
          <w:sz w:val="20"/>
          <w:szCs w:val="20"/>
        </w:rPr>
        <w:t>opulation size was a significant positive predictor (β = 0.392, p &lt; 0.01) indicating that crime levels were higher in more densely populated sub-counties.</w:t>
      </w:r>
      <w:r>
        <w:rPr>
          <w:rFonts w:ascii="Arial" w:hAnsi="Arial" w:cs="Arial"/>
          <w:sz w:val="20"/>
          <w:szCs w:val="20"/>
        </w:rPr>
        <w:t xml:space="preserve"> Similarly, the d</w:t>
      </w:r>
      <w:r w:rsidRPr="00BC6777">
        <w:rPr>
          <w:rFonts w:ascii="Arial" w:hAnsi="Arial" w:cs="Arial"/>
          <w:sz w:val="20"/>
          <w:szCs w:val="20"/>
        </w:rPr>
        <w:t>istance from CBD had a negative coefficient (β = -0.153, p &lt; 0.05)</w:t>
      </w:r>
      <w:r>
        <w:rPr>
          <w:rFonts w:ascii="Arial" w:hAnsi="Arial" w:cs="Arial"/>
          <w:sz w:val="20"/>
          <w:szCs w:val="20"/>
        </w:rPr>
        <w:t xml:space="preserve"> which</w:t>
      </w:r>
      <w:r w:rsidRPr="00BC6777">
        <w:rPr>
          <w:rFonts w:ascii="Arial" w:hAnsi="Arial" w:cs="Arial"/>
          <w:sz w:val="20"/>
          <w:szCs w:val="20"/>
        </w:rPr>
        <w:t xml:space="preserve"> suggest</w:t>
      </w:r>
      <w:r>
        <w:rPr>
          <w:rFonts w:ascii="Arial" w:hAnsi="Arial" w:cs="Arial"/>
          <w:sz w:val="20"/>
          <w:szCs w:val="20"/>
        </w:rPr>
        <w:t>ed</w:t>
      </w:r>
      <w:r w:rsidRPr="00BC6777">
        <w:rPr>
          <w:rFonts w:ascii="Arial" w:hAnsi="Arial" w:cs="Arial"/>
          <w:sz w:val="20"/>
          <w:szCs w:val="20"/>
        </w:rPr>
        <w:t xml:space="preserve"> that areas further from central Mombasa had fewer reported crimes.</w:t>
      </w:r>
    </w:p>
    <w:p w14:paraId="54312DD5" w14:textId="30D9E5FE" w:rsidR="003348C3" w:rsidRPr="00D8581F" w:rsidRDefault="003348C3" w:rsidP="00D8581F">
      <w:pPr>
        <w:autoSpaceDE w:val="0"/>
        <w:autoSpaceDN w:val="0"/>
        <w:adjustRightInd w:val="0"/>
        <w:spacing w:after="0" w:line="240" w:lineRule="auto"/>
        <w:jc w:val="both"/>
        <w:rPr>
          <w:rFonts w:ascii="Arial" w:hAnsi="Arial" w:cs="Arial"/>
          <w:kern w:val="0"/>
          <w:sz w:val="20"/>
          <w:szCs w:val="20"/>
          <w:lang w:val="en-GB"/>
          <w14:ligatures w14:val="none"/>
        </w:rPr>
      </w:pPr>
      <w:r w:rsidRPr="00DE1370">
        <w:rPr>
          <w:rFonts w:ascii="Arial" w:hAnsi="Arial" w:cs="Arial"/>
          <w:sz w:val="20"/>
          <w:szCs w:val="20"/>
        </w:rPr>
        <w:t xml:space="preserve">These results </w:t>
      </w:r>
      <w:r>
        <w:rPr>
          <w:rFonts w:ascii="Arial" w:hAnsi="Arial" w:cs="Arial"/>
          <w:sz w:val="20"/>
          <w:szCs w:val="20"/>
        </w:rPr>
        <w:t>underlined</w:t>
      </w:r>
      <w:r w:rsidRPr="00DE1370">
        <w:rPr>
          <w:rFonts w:ascii="Arial" w:hAnsi="Arial" w:cs="Arial"/>
          <w:sz w:val="20"/>
          <w:szCs w:val="20"/>
        </w:rPr>
        <w:t xml:space="preserve"> the utility of temporal regression models in capturing the influence of demographic and geographic factors on crime rates. Similar conclusions were drawn by </w:t>
      </w:r>
      <w:r w:rsidR="006B2044">
        <w:rPr>
          <w:rFonts w:ascii="Arial" w:hAnsi="Arial" w:cs="Arial"/>
          <w:sz w:val="20"/>
          <w:szCs w:val="20"/>
        </w:rPr>
        <w:t xml:space="preserve">Zhanjun et </w:t>
      </w:r>
      <w:r w:rsidR="00E15A65">
        <w:rPr>
          <w:rFonts w:ascii="Arial" w:hAnsi="Arial" w:cs="Arial"/>
          <w:sz w:val="20"/>
          <w:szCs w:val="20"/>
        </w:rPr>
        <w:t>al (</w:t>
      </w:r>
      <w:r w:rsidR="006B2044">
        <w:rPr>
          <w:rFonts w:ascii="Arial" w:hAnsi="Arial" w:cs="Arial"/>
          <w:sz w:val="20"/>
          <w:szCs w:val="20"/>
        </w:rPr>
        <w:t>2022)</w:t>
      </w:r>
      <w:r w:rsidRPr="00DE1370">
        <w:rPr>
          <w:rFonts w:ascii="Arial" w:hAnsi="Arial" w:cs="Arial"/>
          <w:sz w:val="20"/>
          <w:szCs w:val="20"/>
        </w:rPr>
        <w:t xml:space="preserve"> who applied Poisson models to urban crime data and found significant associations with spatial proximity, mobility</w:t>
      </w:r>
      <w:r>
        <w:rPr>
          <w:rFonts w:ascii="Arial" w:hAnsi="Arial" w:cs="Arial"/>
          <w:sz w:val="20"/>
          <w:szCs w:val="20"/>
        </w:rPr>
        <w:t xml:space="preserve"> </w:t>
      </w:r>
      <w:r w:rsidRPr="00DE1370">
        <w:rPr>
          <w:rFonts w:ascii="Arial" w:hAnsi="Arial" w:cs="Arial"/>
          <w:sz w:val="20"/>
          <w:szCs w:val="20"/>
        </w:rPr>
        <w:t>and population concentration.</w:t>
      </w:r>
      <w:r w:rsidR="0042790B">
        <w:rPr>
          <w:rFonts w:ascii="Arial" w:hAnsi="Arial" w:cs="Arial"/>
          <w:sz w:val="20"/>
          <w:szCs w:val="20"/>
        </w:rPr>
        <w:t xml:space="preserve"> </w:t>
      </w:r>
      <w:r w:rsidR="0042790B" w:rsidRPr="009C474A">
        <w:rPr>
          <w:rFonts w:ascii="Arial" w:hAnsi="Arial" w:cs="Arial"/>
          <w:sz w:val="20"/>
          <w:szCs w:val="20"/>
          <w:highlight w:val="yellow"/>
        </w:rPr>
        <w:t xml:space="preserve">Osgood (2017) used </w:t>
      </w:r>
      <w:proofErr w:type="spellStart"/>
      <w:r w:rsidR="0042790B" w:rsidRPr="009C474A">
        <w:rPr>
          <w:rFonts w:ascii="Arial" w:hAnsi="Arial" w:cs="Arial"/>
          <w:sz w:val="20"/>
          <w:szCs w:val="20"/>
          <w:highlight w:val="yellow"/>
        </w:rPr>
        <w:t>poisson</w:t>
      </w:r>
      <w:proofErr w:type="spellEnd"/>
      <w:r w:rsidR="0042790B" w:rsidRPr="009C474A">
        <w:rPr>
          <w:rFonts w:ascii="Arial" w:hAnsi="Arial" w:cs="Arial"/>
          <w:sz w:val="20"/>
          <w:szCs w:val="20"/>
          <w:highlight w:val="yellow"/>
        </w:rPr>
        <w:t xml:space="preserve">-based regression models of offense counts to analyze per capita offense rates </w:t>
      </w:r>
      <w:r w:rsidR="00C07615" w:rsidRPr="009C474A">
        <w:rPr>
          <w:rFonts w:ascii="Arial" w:hAnsi="Arial" w:cs="Arial"/>
          <w:sz w:val="20"/>
          <w:szCs w:val="20"/>
          <w:highlight w:val="yellow"/>
        </w:rPr>
        <w:t>in nonmetropolitan counties in four states in the USA</w:t>
      </w:r>
      <w:r w:rsidR="00D8581F" w:rsidRPr="009C474A">
        <w:rPr>
          <w:rFonts w:ascii="Arial" w:hAnsi="Arial" w:cs="Arial"/>
          <w:sz w:val="20"/>
          <w:szCs w:val="20"/>
          <w:highlight w:val="yellow"/>
        </w:rPr>
        <w:t xml:space="preserve">  and found out that </w:t>
      </w:r>
      <w:r w:rsidR="00D8581F" w:rsidRPr="009C474A">
        <w:rPr>
          <w:rFonts w:ascii="Arial" w:hAnsi="Arial" w:cs="Arial"/>
          <w:kern w:val="0"/>
          <w:sz w:val="20"/>
          <w:szCs w:val="20"/>
          <w:highlight w:val="yellow"/>
          <w:lang w:val="en-GB"/>
          <w14:ligatures w14:val="none"/>
        </w:rPr>
        <w:t xml:space="preserve"> the Poisson-based negative binomial model provides a very good fit to the data, while OLS analyses produce outliers and require arbitrary choices that have a striking impact on results</w:t>
      </w:r>
      <w:r w:rsidR="00D8581F" w:rsidRPr="009C474A">
        <w:rPr>
          <w:rFonts w:ascii="Arial" w:hAnsi="Arial" w:cs="Arial"/>
          <w:sz w:val="20"/>
          <w:szCs w:val="20"/>
          <w:highlight w:val="yellow"/>
        </w:rPr>
        <w:t>,</w:t>
      </w:r>
      <w:r w:rsidR="00C07615" w:rsidRPr="009C474A">
        <w:rPr>
          <w:rFonts w:ascii="Arial" w:hAnsi="Arial" w:cs="Arial"/>
          <w:sz w:val="20"/>
          <w:szCs w:val="20"/>
          <w:highlight w:val="yellow"/>
        </w:rPr>
        <w:t xml:space="preserve"> </w:t>
      </w:r>
      <w:r w:rsidR="00D8581F" w:rsidRPr="009C474A">
        <w:rPr>
          <w:rFonts w:ascii="Arial" w:hAnsi="Arial" w:cs="Arial"/>
          <w:sz w:val="20"/>
          <w:szCs w:val="20"/>
          <w:highlight w:val="yellow"/>
        </w:rPr>
        <w:t xml:space="preserve">on contrary </w:t>
      </w:r>
      <w:r w:rsidR="00C07615" w:rsidRPr="009C474A">
        <w:rPr>
          <w:rFonts w:ascii="Arial" w:hAnsi="Arial" w:cs="Arial"/>
          <w:sz w:val="20"/>
          <w:szCs w:val="20"/>
          <w:highlight w:val="yellow"/>
        </w:rPr>
        <w:t>Dian ,(2021) investigated Count Regression Models for Analyzing Crime Rates in The</w:t>
      </w:r>
      <w:r w:rsidR="00D8581F" w:rsidRPr="009C474A">
        <w:rPr>
          <w:rFonts w:ascii="Arial" w:hAnsi="Arial" w:cs="Arial"/>
          <w:sz w:val="20"/>
          <w:szCs w:val="20"/>
          <w:highlight w:val="yellow"/>
        </w:rPr>
        <w:t xml:space="preserve"> </w:t>
      </w:r>
      <w:r w:rsidR="00C07615" w:rsidRPr="009C474A">
        <w:rPr>
          <w:rFonts w:ascii="Arial" w:hAnsi="Arial" w:cs="Arial"/>
          <w:sz w:val="20"/>
          <w:szCs w:val="20"/>
          <w:highlight w:val="yellow"/>
        </w:rPr>
        <w:t xml:space="preserve">East Java </w:t>
      </w:r>
      <w:proofErr w:type="spellStart"/>
      <w:r w:rsidR="00C07615" w:rsidRPr="009C474A">
        <w:rPr>
          <w:rFonts w:ascii="Arial" w:hAnsi="Arial" w:cs="Arial"/>
          <w:sz w:val="20"/>
          <w:szCs w:val="20"/>
          <w:highlight w:val="yellow"/>
        </w:rPr>
        <w:t>Province</w:t>
      </w:r>
      <w:r w:rsidR="009C474A" w:rsidRPr="009C474A">
        <w:rPr>
          <w:rFonts w:ascii="Arial" w:hAnsi="Arial" w:cs="Arial"/>
          <w:sz w:val="20"/>
          <w:szCs w:val="20"/>
          <w:highlight w:val="yellow"/>
        </w:rPr>
        <w:t>,Indonesia</w:t>
      </w:r>
      <w:proofErr w:type="spellEnd"/>
      <w:r w:rsidR="009C474A" w:rsidRPr="009C474A">
        <w:rPr>
          <w:rFonts w:ascii="Arial" w:hAnsi="Arial" w:cs="Arial"/>
          <w:sz w:val="20"/>
          <w:szCs w:val="20"/>
          <w:highlight w:val="yellow"/>
        </w:rPr>
        <w:t xml:space="preserve"> </w:t>
      </w:r>
      <w:r w:rsidR="00D8581F" w:rsidRPr="009C474A">
        <w:rPr>
          <w:rFonts w:ascii="Arial" w:hAnsi="Arial" w:cs="Arial"/>
          <w:sz w:val="20"/>
          <w:szCs w:val="20"/>
          <w:highlight w:val="yellow"/>
        </w:rPr>
        <w:t xml:space="preserve">and found out that fitting Poisson regression model for analyzing the relationship between </w:t>
      </w:r>
      <w:proofErr w:type="spellStart"/>
      <w:r w:rsidR="00D8581F" w:rsidRPr="009C474A">
        <w:rPr>
          <w:rFonts w:ascii="Arial" w:hAnsi="Arial" w:cs="Arial"/>
          <w:sz w:val="20"/>
          <w:szCs w:val="20"/>
          <w:highlight w:val="yellow"/>
        </w:rPr>
        <w:t>crimerates</w:t>
      </w:r>
      <w:proofErr w:type="spellEnd"/>
      <w:r w:rsidR="00D8581F" w:rsidRPr="009C474A">
        <w:rPr>
          <w:rFonts w:ascii="Arial" w:hAnsi="Arial" w:cs="Arial"/>
          <w:sz w:val="20"/>
          <w:szCs w:val="20"/>
          <w:highlight w:val="yellow"/>
        </w:rPr>
        <w:t xml:space="preserve"> and some explanatory variables in the East Java Province is not suitable because there is an indication of overdispersion.</w:t>
      </w:r>
    </w:p>
    <w:p w14:paraId="125040EA" w14:textId="7FC6DEB7" w:rsidR="00AC673A" w:rsidRDefault="00AC673A" w:rsidP="003348C3">
      <w:pPr>
        <w:tabs>
          <w:tab w:val="left" w:pos="1095"/>
        </w:tabs>
        <w:jc w:val="both"/>
        <w:rPr>
          <w:rFonts w:ascii="Arial" w:hAnsi="Arial" w:cs="Arial"/>
          <w:b/>
          <w:bCs/>
          <w:sz w:val="22"/>
          <w:szCs w:val="22"/>
        </w:rPr>
      </w:pPr>
      <w:r>
        <w:rPr>
          <w:rFonts w:ascii="Arial" w:hAnsi="Arial" w:cs="Arial"/>
          <w:b/>
          <w:bCs/>
          <w:sz w:val="22"/>
          <w:szCs w:val="22"/>
        </w:rPr>
        <w:t xml:space="preserve">4. </w:t>
      </w:r>
      <w:r w:rsidRPr="00716DBD">
        <w:rPr>
          <w:rFonts w:ascii="Arial" w:hAnsi="Arial" w:cs="Arial"/>
          <w:b/>
          <w:bCs/>
          <w:sz w:val="22"/>
          <w:szCs w:val="22"/>
        </w:rPr>
        <w:t>DISCUSSION</w:t>
      </w:r>
    </w:p>
    <w:p w14:paraId="4EA41EC4" w14:textId="7BAF5AEE" w:rsidR="00700DC9" w:rsidRPr="00D01F07" w:rsidRDefault="00700DC9" w:rsidP="00700DC9">
      <w:pPr>
        <w:tabs>
          <w:tab w:val="left" w:pos="1095"/>
        </w:tabs>
        <w:jc w:val="both"/>
        <w:rPr>
          <w:rFonts w:ascii="Arial" w:hAnsi="Arial" w:cs="Arial"/>
          <w:b/>
          <w:bCs/>
          <w:sz w:val="22"/>
          <w:szCs w:val="22"/>
        </w:rPr>
      </w:pPr>
      <w:r w:rsidRPr="00D01F07">
        <w:rPr>
          <w:rFonts w:ascii="Arial" w:hAnsi="Arial" w:cs="Arial"/>
          <w:b/>
          <w:bCs/>
          <w:sz w:val="22"/>
          <w:szCs w:val="22"/>
        </w:rPr>
        <w:t>4.1 Spatio-Temporal patterns and trends of Crime in Mombasa County</w:t>
      </w:r>
    </w:p>
    <w:p w14:paraId="73C2BC63" w14:textId="37C844C8" w:rsidR="00954852" w:rsidRPr="0013200C" w:rsidRDefault="00700DC9" w:rsidP="0013200C">
      <w:pPr>
        <w:tabs>
          <w:tab w:val="left" w:pos="1095"/>
        </w:tabs>
        <w:jc w:val="both"/>
        <w:rPr>
          <w:rFonts w:ascii="Arial" w:hAnsi="Arial" w:cs="Arial"/>
          <w:sz w:val="20"/>
          <w:szCs w:val="20"/>
        </w:rPr>
      </w:pPr>
      <w:r w:rsidRPr="00700DC9">
        <w:rPr>
          <w:rFonts w:ascii="Arial" w:hAnsi="Arial" w:cs="Arial"/>
          <w:sz w:val="20"/>
          <w:szCs w:val="20"/>
        </w:rPr>
        <w:t>This study aimed to examine the spati</w:t>
      </w:r>
      <w:r w:rsidR="00954852">
        <w:rPr>
          <w:rFonts w:ascii="Arial" w:hAnsi="Arial" w:cs="Arial"/>
          <w:sz w:val="20"/>
          <w:szCs w:val="20"/>
        </w:rPr>
        <w:t>o</w:t>
      </w:r>
      <w:r w:rsidRPr="00700DC9">
        <w:rPr>
          <w:rFonts w:ascii="Arial" w:hAnsi="Arial" w:cs="Arial"/>
          <w:sz w:val="20"/>
          <w:szCs w:val="20"/>
        </w:rPr>
        <w:t xml:space="preserve"> and temporal patterns of crime in Mo</w:t>
      </w:r>
      <w:r w:rsidR="0013200C">
        <w:rPr>
          <w:rFonts w:ascii="Arial" w:hAnsi="Arial" w:cs="Arial"/>
          <w:sz w:val="20"/>
          <w:szCs w:val="20"/>
        </w:rPr>
        <w:t>mbasa County using a combinatio</w:t>
      </w:r>
      <w:r w:rsidR="00581704">
        <w:rPr>
          <w:rFonts w:ascii="Arial" w:hAnsi="Arial" w:cs="Arial"/>
          <w:sz w:val="20"/>
          <w:szCs w:val="20"/>
        </w:rPr>
        <w:t>n</w:t>
      </w:r>
      <w:r w:rsidRPr="00700DC9">
        <w:rPr>
          <w:rFonts w:ascii="Arial" w:hAnsi="Arial" w:cs="Arial"/>
          <w:sz w:val="20"/>
          <w:szCs w:val="20"/>
        </w:rPr>
        <w:t xml:space="preserve"> of GIS, spatial autocorrelation and statistical modeling. Guided by three specific objectives</w:t>
      </w:r>
      <w:r w:rsidR="00E15A65">
        <w:rPr>
          <w:rFonts w:ascii="Arial" w:hAnsi="Arial" w:cs="Arial"/>
          <w:sz w:val="20"/>
          <w:szCs w:val="20"/>
        </w:rPr>
        <w:t xml:space="preserve"> </w:t>
      </w:r>
      <w:r w:rsidRPr="00700DC9">
        <w:rPr>
          <w:rFonts w:ascii="Arial" w:hAnsi="Arial" w:cs="Arial"/>
          <w:sz w:val="20"/>
          <w:szCs w:val="20"/>
        </w:rPr>
        <w:t>analyzing crime typology by sub-county, evaluating spati</w:t>
      </w:r>
      <w:r w:rsidR="00E15A65">
        <w:rPr>
          <w:rFonts w:ascii="Arial" w:hAnsi="Arial" w:cs="Arial"/>
          <w:sz w:val="20"/>
          <w:szCs w:val="20"/>
        </w:rPr>
        <w:t>o</w:t>
      </w:r>
      <w:r w:rsidRPr="00700DC9">
        <w:rPr>
          <w:rFonts w:ascii="Arial" w:hAnsi="Arial" w:cs="Arial"/>
          <w:sz w:val="20"/>
          <w:szCs w:val="20"/>
        </w:rPr>
        <w:t>-temporal trends and identifying crime hotspots</w:t>
      </w:r>
      <w:r w:rsidR="00E15A65">
        <w:rPr>
          <w:rFonts w:ascii="Arial" w:hAnsi="Arial" w:cs="Arial"/>
          <w:sz w:val="20"/>
          <w:szCs w:val="20"/>
        </w:rPr>
        <w:t xml:space="preserve"> </w:t>
      </w:r>
      <w:r w:rsidRPr="00700DC9">
        <w:rPr>
          <w:rFonts w:ascii="Arial" w:hAnsi="Arial" w:cs="Arial"/>
          <w:sz w:val="20"/>
          <w:szCs w:val="20"/>
        </w:rPr>
        <w:t xml:space="preserve">the research provided comprehensive insights into the dynamics of crime across the county between 2019 and 2021. </w:t>
      </w:r>
      <w:r w:rsidR="0013200C" w:rsidRPr="00671830">
        <w:rPr>
          <w:rFonts w:ascii="Arial" w:hAnsi="Arial" w:cs="Arial"/>
          <w:sz w:val="20"/>
          <w:szCs w:val="20"/>
          <w:highlight w:val="yellow"/>
        </w:rPr>
        <w:t xml:space="preserve">Other </w:t>
      </w:r>
      <w:r w:rsidR="0013200C" w:rsidRPr="00671830">
        <w:rPr>
          <w:rFonts w:ascii="Arial" w:hAnsi="Arial" w:cs="Arial"/>
          <w:bCs/>
          <w:sz w:val="20"/>
          <w:szCs w:val="20"/>
          <w:highlight w:val="yellow"/>
        </w:rPr>
        <w:t xml:space="preserve">more recent Kenyan or East African studies applying geospatial analysis include </w:t>
      </w:r>
      <w:r w:rsidR="00C44E2E" w:rsidRPr="00671830">
        <w:rPr>
          <w:rFonts w:ascii="Arial" w:hAnsi="Arial" w:cs="Arial"/>
          <w:color w:val="222222"/>
          <w:sz w:val="20"/>
          <w:szCs w:val="20"/>
          <w:highlight w:val="yellow"/>
          <w:shd w:val="clear" w:color="auto" w:fill="FFFFFF"/>
        </w:rPr>
        <w:t>Korir</w:t>
      </w:r>
      <w:r w:rsidR="00C33E88">
        <w:rPr>
          <w:rFonts w:ascii="Arial" w:hAnsi="Arial" w:cs="Arial"/>
          <w:color w:val="222222"/>
          <w:sz w:val="20"/>
          <w:szCs w:val="20"/>
          <w:highlight w:val="yellow"/>
          <w:shd w:val="clear" w:color="auto" w:fill="FFFFFF"/>
        </w:rPr>
        <w:t xml:space="preserve"> et al. </w:t>
      </w:r>
      <w:r w:rsidR="00C44E2E" w:rsidRPr="00671830">
        <w:rPr>
          <w:rFonts w:ascii="Arial" w:hAnsi="Arial" w:cs="Arial"/>
          <w:color w:val="222222"/>
          <w:sz w:val="20"/>
          <w:szCs w:val="20"/>
          <w:highlight w:val="yellow"/>
          <w:shd w:val="clear" w:color="auto" w:fill="FFFFFF"/>
        </w:rPr>
        <w:t>(</w:t>
      </w:r>
      <w:r w:rsidR="0013200C" w:rsidRPr="00671830">
        <w:rPr>
          <w:rFonts w:ascii="Arial" w:hAnsi="Arial" w:cs="Arial"/>
          <w:color w:val="222222"/>
          <w:sz w:val="20"/>
          <w:szCs w:val="20"/>
          <w:highlight w:val="yellow"/>
          <w:shd w:val="clear" w:color="auto" w:fill="FFFFFF"/>
        </w:rPr>
        <w:t>2024</w:t>
      </w:r>
      <w:r w:rsidR="00C44E2E" w:rsidRPr="00671830">
        <w:rPr>
          <w:rFonts w:ascii="Arial" w:hAnsi="Arial" w:cs="Arial"/>
          <w:color w:val="222222"/>
          <w:sz w:val="20"/>
          <w:szCs w:val="20"/>
          <w:highlight w:val="yellow"/>
          <w:shd w:val="clear" w:color="auto" w:fill="FFFFFF"/>
        </w:rPr>
        <w:t>)</w:t>
      </w:r>
      <w:r w:rsidR="0013200C" w:rsidRPr="00671830">
        <w:rPr>
          <w:rFonts w:ascii="Arial" w:hAnsi="Arial" w:cs="Arial"/>
          <w:color w:val="222222"/>
          <w:sz w:val="20"/>
          <w:szCs w:val="20"/>
          <w:highlight w:val="yellow"/>
          <w:shd w:val="clear" w:color="auto" w:fill="FFFFFF"/>
        </w:rPr>
        <w:t xml:space="preserve"> and </w:t>
      </w:r>
      <w:r w:rsidR="00C44E2E" w:rsidRPr="00671830">
        <w:rPr>
          <w:rFonts w:ascii="Arial" w:hAnsi="Arial" w:cs="Arial"/>
          <w:color w:val="222222"/>
          <w:sz w:val="20"/>
          <w:szCs w:val="20"/>
          <w:highlight w:val="yellow"/>
          <w:shd w:val="clear" w:color="auto" w:fill="FFFFFF"/>
        </w:rPr>
        <w:t>Adionyi</w:t>
      </w:r>
      <w:r w:rsidR="00C33E88">
        <w:rPr>
          <w:rFonts w:ascii="Arial" w:hAnsi="Arial" w:cs="Arial"/>
          <w:color w:val="222222"/>
          <w:sz w:val="20"/>
          <w:szCs w:val="20"/>
          <w:highlight w:val="yellow"/>
          <w:shd w:val="clear" w:color="auto" w:fill="FFFFFF"/>
        </w:rPr>
        <w:t xml:space="preserve"> et al. </w:t>
      </w:r>
      <w:r w:rsidR="00C44E2E" w:rsidRPr="00671830">
        <w:rPr>
          <w:rFonts w:ascii="Arial" w:hAnsi="Arial" w:cs="Arial"/>
          <w:color w:val="222222"/>
          <w:sz w:val="20"/>
          <w:szCs w:val="20"/>
          <w:highlight w:val="yellow"/>
          <w:shd w:val="clear" w:color="auto" w:fill="FFFFFF"/>
        </w:rPr>
        <w:t>(</w:t>
      </w:r>
      <w:r w:rsidR="0013200C" w:rsidRPr="00671830">
        <w:rPr>
          <w:rFonts w:ascii="Arial" w:hAnsi="Arial" w:cs="Arial"/>
          <w:color w:val="222222"/>
          <w:sz w:val="20"/>
          <w:szCs w:val="20"/>
          <w:highlight w:val="yellow"/>
          <w:shd w:val="clear" w:color="auto" w:fill="FFFFFF"/>
        </w:rPr>
        <w:t>2024</w:t>
      </w:r>
      <w:r w:rsidR="00C44E2E" w:rsidRPr="00671830">
        <w:rPr>
          <w:rFonts w:ascii="Arial" w:hAnsi="Arial" w:cs="Arial"/>
          <w:color w:val="222222"/>
          <w:sz w:val="20"/>
          <w:szCs w:val="20"/>
          <w:highlight w:val="yellow"/>
          <w:shd w:val="clear" w:color="auto" w:fill="FFFFFF"/>
        </w:rPr>
        <w:t>).</w:t>
      </w:r>
    </w:p>
    <w:p w14:paraId="1961F7A0" w14:textId="4A5C6746"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The findings support the integration of geospatial science into both policy-making and practical crime prevention strategies.</w:t>
      </w:r>
      <w:r>
        <w:rPr>
          <w:rFonts w:ascii="Arial" w:hAnsi="Arial" w:cs="Arial"/>
          <w:sz w:val="20"/>
          <w:szCs w:val="20"/>
        </w:rPr>
        <w:t xml:space="preserve"> </w:t>
      </w:r>
      <w:r w:rsidRPr="00700DC9">
        <w:rPr>
          <w:rFonts w:ascii="Arial" w:hAnsi="Arial" w:cs="Arial"/>
          <w:sz w:val="20"/>
          <w:szCs w:val="20"/>
        </w:rPr>
        <w:t xml:space="preserve">Regarding the first objective, the analysis confirmed that stealing was the predominant crime across nearly all sub-counties. It accounted for more than half of the reported incidents in Nyali (63.1%) and Kisauni (51.1%), and remained the most prevalent category in Mvita and Jomvu. In </w:t>
      </w:r>
      <w:r w:rsidRPr="00700DC9">
        <w:rPr>
          <w:rFonts w:ascii="Arial" w:hAnsi="Arial" w:cs="Arial"/>
          <w:sz w:val="20"/>
          <w:szCs w:val="20"/>
        </w:rPr>
        <w:lastRenderedPageBreak/>
        <w:t>contrast, Likoni reported a higher proportion of offences against persons (31%), highlighting sub-county-level variation in crime typology. The dominance of stealing corresponds with structural socio-economic factors such as unemployment, poverty and rapid urbanization which tend to heighten vulnerability to petty and opportunistic crimes. These patterns echo national trends reported by the Kenya National Bureau of Statistics (KNBS, 2022) and align with findings by Gitonga &amp; Soi (2022), who link theft to economic hardship and urban density.</w:t>
      </w:r>
      <w:r>
        <w:rPr>
          <w:rFonts w:ascii="Arial" w:hAnsi="Arial" w:cs="Arial"/>
          <w:sz w:val="20"/>
          <w:szCs w:val="20"/>
        </w:rPr>
        <w:t xml:space="preserve"> </w:t>
      </w:r>
      <w:r w:rsidRPr="00700DC9">
        <w:rPr>
          <w:rFonts w:ascii="Arial" w:hAnsi="Arial" w:cs="Arial"/>
          <w:sz w:val="20"/>
          <w:szCs w:val="20"/>
        </w:rPr>
        <w:t>Spatial mapping of crime types provided visual clarity on how different categories are distributed across sub-counties. This visualization approach helped contextualize the demographic and economic disparities that may influence crime patterns, underscoring the importance of place-based analysis in understanding urban security challenges.</w:t>
      </w:r>
      <w:r>
        <w:rPr>
          <w:rFonts w:ascii="Arial" w:hAnsi="Arial" w:cs="Arial"/>
          <w:sz w:val="20"/>
          <w:szCs w:val="20"/>
        </w:rPr>
        <w:t xml:space="preserve"> </w:t>
      </w:r>
    </w:p>
    <w:p w14:paraId="4CA89A0A" w14:textId="55F2BAB3"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In relation to the second objective, temporal analysis revealed that crime levels fluctuated significantly year by year, shaped by broader societal disruptions. For instance, homicide cases in Changamwe fell by 66.7% in 2020 but increased by 200% in 2021, while Likoni experienced a 40% drop followed by a 266% increase. A similar trend was seen in offences against morality in Kisauni and Changamwe. These shifts point to a crime environment that is reactive to external pressures</w:t>
      </w:r>
      <w:r w:rsidR="00E15A65">
        <w:rPr>
          <w:rFonts w:ascii="Arial" w:hAnsi="Arial" w:cs="Arial"/>
          <w:sz w:val="20"/>
          <w:szCs w:val="20"/>
        </w:rPr>
        <w:t xml:space="preserve"> </w:t>
      </w:r>
      <w:r w:rsidRPr="00700DC9">
        <w:rPr>
          <w:rFonts w:ascii="Arial" w:hAnsi="Arial" w:cs="Arial"/>
          <w:sz w:val="20"/>
          <w:szCs w:val="20"/>
        </w:rPr>
        <w:t>particularly the effects of the COVID-19 pandemic. Movement restrictions and curfews likely suppressed crime in 2020, while their removal in 2021 coincided with a resurgence, possibly exacerbated by economic strain and weakened social controls (Akanmu et al., 2021).</w:t>
      </w:r>
      <w:r>
        <w:rPr>
          <w:rFonts w:ascii="Arial" w:hAnsi="Arial" w:cs="Arial"/>
          <w:sz w:val="20"/>
          <w:szCs w:val="20"/>
        </w:rPr>
        <w:t xml:space="preserve"> </w:t>
      </w:r>
    </w:p>
    <w:p w14:paraId="56A2506E" w14:textId="32676148"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For the third objective, the identification of spati</w:t>
      </w:r>
      <w:r w:rsidR="00954852">
        <w:rPr>
          <w:rFonts w:ascii="Arial" w:hAnsi="Arial" w:cs="Arial"/>
          <w:sz w:val="20"/>
          <w:szCs w:val="20"/>
        </w:rPr>
        <w:t>o</w:t>
      </w:r>
      <w:r w:rsidRPr="00700DC9">
        <w:rPr>
          <w:rFonts w:ascii="Arial" w:hAnsi="Arial" w:cs="Arial"/>
          <w:sz w:val="20"/>
          <w:szCs w:val="20"/>
        </w:rPr>
        <w:t xml:space="preserve"> crime hotspots using KDE revealed consistent concentrations of criminal activity in Kisauni, Likoni, and Mvita sub-counties. These areas share structural vulnerabilities including high population density, inadequate public services, informal housing, and high youth unemployment</w:t>
      </w:r>
      <w:r w:rsidR="00E15A65">
        <w:rPr>
          <w:rFonts w:ascii="Arial" w:hAnsi="Arial" w:cs="Arial"/>
          <w:sz w:val="20"/>
          <w:szCs w:val="20"/>
        </w:rPr>
        <w:t xml:space="preserve"> </w:t>
      </w:r>
      <w:r w:rsidRPr="00700DC9">
        <w:rPr>
          <w:rFonts w:ascii="Arial" w:hAnsi="Arial" w:cs="Arial"/>
          <w:sz w:val="20"/>
          <w:szCs w:val="20"/>
        </w:rPr>
        <w:t>conditions that collectively foster environments conducive to crime (Kiplagat, 2021). This spati</w:t>
      </w:r>
      <w:r w:rsidR="00E15A65">
        <w:rPr>
          <w:rFonts w:ascii="Arial" w:hAnsi="Arial" w:cs="Arial"/>
          <w:sz w:val="20"/>
          <w:szCs w:val="20"/>
        </w:rPr>
        <w:t>o</w:t>
      </w:r>
      <w:r w:rsidRPr="00700DC9">
        <w:rPr>
          <w:rFonts w:ascii="Arial" w:hAnsi="Arial" w:cs="Arial"/>
          <w:sz w:val="20"/>
          <w:szCs w:val="20"/>
        </w:rPr>
        <w:t xml:space="preserve"> pattern was statistically confirmed through Moran’s </w:t>
      </w:r>
      <w:r w:rsidRPr="00F42FEC">
        <w:rPr>
          <w:rFonts w:ascii="Arial" w:hAnsi="Arial" w:cs="Arial"/>
          <w:i/>
          <w:iCs/>
          <w:sz w:val="20"/>
          <w:szCs w:val="20"/>
        </w:rPr>
        <w:t>I</w:t>
      </w:r>
      <w:r w:rsidRPr="00700DC9">
        <w:rPr>
          <w:rFonts w:ascii="Arial" w:hAnsi="Arial" w:cs="Arial"/>
          <w:sz w:val="20"/>
          <w:szCs w:val="20"/>
        </w:rPr>
        <w:t xml:space="preserve"> analysis, which demonstrated significant spatial autocorrelation, indicating that crime clusters are not random but geographically systematic.</w:t>
      </w:r>
      <w:r>
        <w:rPr>
          <w:rFonts w:ascii="Arial" w:hAnsi="Arial" w:cs="Arial"/>
          <w:sz w:val="20"/>
          <w:szCs w:val="20"/>
        </w:rPr>
        <w:t xml:space="preserve"> </w:t>
      </w:r>
      <w:r w:rsidRPr="00700DC9">
        <w:rPr>
          <w:rFonts w:ascii="Arial" w:hAnsi="Arial" w:cs="Arial"/>
          <w:sz w:val="20"/>
          <w:szCs w:val="20"/>
        </w:rPr>
        <w:t>The application of Poisson regression further reinforced the spati</w:t>
      </w:r>
      <w:r w:rsidR="00954852">
        <w:rPr>
          <w:rFonts w:ascii="Arial" w:hAnsi="Arial" w:cs="Arial"/>
          <w:sz w:val="20"/>
          <w:szCs w:val="20"/>
        </w:rPr>
        <w:t>o</w:t>
      </w:r>
      <w:r w:rsidRPr="00700DC9">
        <w:rPr>
          <w:rFonts w:ascii="Arial" w:hAnsi="Arial" w:cs="Arial"/>
          <w:sz w:val="20"/>
          <w:szCs w:val="20"/>
        </w:rPr>
        <w:t xml:space="preserve"> findings with proximity to the CBD and high population density emerging as significant predictors of crime frequency. These results support rational choice theory, which posits that offenders weigh opportunity, risk and escape routes before committing crimes. High-density, economically active areas tend to offer anonymity and abundant targets, making them attractive to offenders. </w:t>
      </w:r>
    </w:p>
    <w:p w14:paraId="26559E35" w14:textId="7D11B21B" w:rsidR="00954852" w:rsidRDefault="00700DC9" w:rsidP="00700DC9">
      <w:pPr>
        <w:tabs>
          <w:tab w:val="left" w:pos="1095"/>
        </w:tabs>
        <w:jc w:val="both"/>
        <w:rPr>
          <w:rFonts w:ascii="Arial" w:hAnsi="Arial" w:cs="Arial"/>
          <w:sz w:val="20"/>
          <w:szCs w:val="20"/>
        </w:rPr>
      </w:pPr>
      <w:r w:rsidRPr="00700DC9">
        <w:rPr>
          <w:rFonts w:ascii="Arial" w:hAnsi="Arial" w:cs="Arial"/>
          <w:sz w:val="20"/>
          <w:szCs w:val="20"/>
        </w:rPr>
        <w:t>Additionally, the findings align with social learning theory, which suggests that repeated exposure to criminal behavior</w:t>
      </w:r>
      <w:r w:rsidR="00E15A65">
        <w:rPr>
          <w:rFonts w:ascii="Arial" w:hAnsi="Arial" w:cs="Arial"/>
          <w:sz w:val="20"/>
          <w:szCs w:val="20"/>
        </w:rPr>
        <w:t xml:space="preserve"> </w:t>
      </w:r>
      <w:r w:rsidRPr="00700DC9">
        <w:rPr>
          <w:rFonts w:ascii="Arial" w:hAnsi="Arial" w:cs="Arial"/>
          <w:sz w:val="20"/>
          <w:szCs w:val="20"/>
        </w:rPr>
        <w:t>particularly in communities with weak institutional controls</w:t>
      </w:r>
      <w:r w:rsidR="00E15A65">
        <w:rPr>
          <w:rFonts w:ascii="Arial" w:hAnsi="Arial" w:cs="Arial"/>
          <w:sz w:val="20"/>
          <w:szCs w:val="20"/>
        </w:rPr>
        <w:t xml:space="preserve"> </w:t>
      </w:r>
      <w:r w:rsidRPr="00700DC9">
        <w:rPr>
          <w:rFonts w:ascii="Arial" w:hAnsi="Arial" w:cs="Arial"/>
          <w:sz w:val="20"/>
          <w:szCs w:val="20"/>
        </w:rPr>
        <w:t>can normalize crime and encourage imitation (Barasa, 2013).</w:t>
      </w:r>
      <w:r>
        <w:rPr>
          <w:rFonts w:ascii="Arial" w:hAnsi="Arial" w:cs="Arial"/>
          <w:sz w:val="20"/>
          <w:szCs w:val="20"/>
        </w:rPr>
        <w:t xml:space="preserve"> </w:t>
      </w:r>
      <w:r w:rsidRPr="00700DC9">
        <w:rPr>
          <w:rFonts w:ascii="Arial" w:hAnsi="Arial" w:cs="Arial"/>
          <w:sz w:val="20"/>
          <w:szCs w:val="20"/>
        </w:rPr>
        <w:t>Taken together, the results highlight the spatially clustered and socio-economically embedded nature of crime in Mombasa County. Crime is not only a law enforcement issue but a manifestation of underlying systemic challenges. Addressing it effectively thus requires a holistic, multi-dimensional approach</w:t>
      </w:r>
      <w:r w:rsidR="00E15A65">
        <w:rPr>
          <w:rFonts w:ascii="Arial" w:hAnsi="Arial" w:cs="Arial"/>
          <w:sz w:val="20"/>
          <w:szCs w:val="20"/>
        </w:rPr>
        <w:t xml:space="preserve"> </w:t>
      </w:r>
      <w:r w:rsidRPr="00700DC9">
        <w:rPr>
          <w:rFonts w:ascii="Arial" w:hAnsi="Arial" w:cs="Arial"/>
          <w:sz w:val="20"/>
          <w:szCs w:val="20"/>
        </w:rPr>
        <w:t>one that goes beyond traditional policing to incorporate urban planning, economic development, youth empowerment, and community-based interventions. This holistic way involves coordinating multiple actors</w:t>
      </w:r>
      <w:r w:rsidR="00E15A65">
        <w:rPr>
          <w:rFonts w:ascii="Arial" w:hAnsi="Arial" w:cs="Arial"/>
          <w:sz w:val="20"/>
          <w:szCs w:val="20"/>
        </w:rPr>
        <w:t xml:space="preserve"> </w:t>
      </w:r>
      <w:r w:rsidRPr="00700DC9">
        <w:rPr>
          <w:rFonts w:ascii="Arial" w:hAnsi="Arial" w:cs="Arial"/>
          <w:sz w:val="20"/>
          <w:szCs w:val="20"/>
        </w:rPr>
        <w:t>including local governments, civil society, education institutions, and public health agencies</w:t>
      </w:r>
      <w:r w:rsidR="00E15A65">
        <w:rPr>
          <w:rFonts w:ascii="Arial" w:hAnsi="Arial" w:cs="Arial"/>
          <w:sz w:val="20"/>
          <w:szCs w:val="20"/>
        </w:rPr>
        <w:t xml:space="preserve"> </w:t>
      </w:r>
      <w:r w:rsidRPr="00700DC9">
        <w:rPr>
          <w:rFonts w:ascii="Arial" w:hAnsi="Arial" w:cs="Arial"/>
          <w:sz w:val="20"/>
          <w:szCs w:val="20"/>
        </w:rPr>
        <w:t>to tackle the root causes of crime while improving institutional trust and community resilience.</w:t>
      </w:r>
    </w:p>
    <w:p w14:paraId="77AFD630" w14:textId="2AEAA2E8" w:rsidR="00700DC9" w:rsidRDefault="00700DC9" w:rsidP="00700DC9">
      <w:pPr>
        <w:tabs>
          <w:tab w:val="left" w:pos="1095"/>
        </w:tabs>
        <w:jc w:val="both"/>
        <w:rPr>
          <w:rFonts w:ascii="Arial" w:hAnsi="Arial" w:cs="Arial"/>
          <w:sz w:val="20"/>
          <w:szCs w:val="20"/>
        </w:rPr>
      </w:pPr>
      <w:r w:rsidRPr="00700DC9">
        <w:rPr>
          <w:rFonts w:ascii="Arial" w:hAnsi="Arial" w:cs="Arial"/>
          <w:sz w:val="20"/>
          <w:szCs w:val="20"/>
        </w:rPr>
        <w:t>Ultimately, the integration of spatial analytics and predictive modeling offers a powerful toolkit for diagnosing, anticipating, and responding to urban crime. These tools help shift crime prevention from a reactive to a proactive stance by identifying vulnerable areas, optimizing resource allocation, and guiding targeted interventions.</w:t>
      </w:r>
      <w:r>
        <w:rPr>
          <w:rFonts w:ascii="Arial" w:hAnsi="Arial" w:cs="Arial"/>
          <w:sz w:val="20"/>
          <w:szCs w:val="20"/>
        </w:rPr>
        <w:t xml:space="preserve"> </w:t>
      </w:r>
      <w:r w:rsidRPr="00700DC9">
        <w:rPr>
          <w:rFonts w:ascii="Arial" w:hAnsi="Arial" w:cs="Arial"/>
          <w:sz w:val="20"/>
          <w:szCs w:val="20"/>
        </w:rPr>
        <w:t>The evidence generated from this study supports the adoption of data-driven, context-specific crime prevention strategies that are adaptable to the socio-economic realities of Mombasa and other rapidly urbanizing regions.</w:t>
      </w:r>
    </w:p>
    <w:p w14:paraId="4FD1D466" w14:textId="5397321C" w:rsidR="00700DC9" w:rsidRPr="00700DC9" w:rsidRDefault="00700DC9" w:rsidP="00700DC9">
      <w:pPr>
        <w:tabs>
          <w:tab w:val="left" w:pos="1095"/>
        </w:tabs>
        <w:jc w:val="both"/>
        <w:rPr>
          <w:rFonts w:ascii="Arial" w:hAnsi="Arial" w:cs="Arial"/>
          <w:sz w:val="20"/>
          <w:szCs w:val="20"/>
        </w:rPr>
      </w:pPr>
      <w:r w:rsidRPr="00700DC9">
        <w:rPr>
          <w:rFonts w:ascii="Arial" w:hAnsi="Arial" w:cs="Arial"/>
          <w:sz w:val="20"/>
          <w:szCs w:val="20"/>
        </w:rPr>
        <w:lastRenderedPageBreak/>
        <w:t>While this study has provided critical insights into the spatial and temporal dynamics of crime in Mombasa County, it also opens up several avenues for future research. First, subsequent studies could benefit from higher-resolution spatial data, such as georeferenced coordinates at the neighborhood or street level, to allow for more granular hotspot detection and analysis. This would improve the precision of interventions and resource allocation.</w:t>
      </w:r>
      <w:r>
        <w:rPr>
          <w:rFonts w:ascii="Arial" w:hAnsi="Arial" w:cs="Arial"/>
          <w:sz w:val="20"/>
          <w:szCs w:val="20"/>
        </w:rPr>
        <w:t xml:space="preserve"> </w:t>
      </w:r>
      <w:r w:rsidRPr="00700DC9">
        <w:rPr>
          <w:rFonts w:ascii="Arial" w:hAnsi="Arial" w:cs="Arial"/>
          <w:sz w:val="20"/>
          <w:szCs w:val="20"/>
        </w:rPr>
        <w:t>Second, incorporating qualitative data</w:t>
      </w:r>
      <w:r w:rsidR="00E15A65">
        <w:rPr>
          <w:rFonts w:ascii="Arial" w:hAnsi="Arial" w:cs="Arial"/>
          <w:sz w:val="20"/>
          <w:szCs w:val="20"/>
        </w:rPr>
        <w:t xml:space="preserve"> </w:t>
      </w:r>
      <w:r w:rsidRPr="00700DC9">
        <w:rPr>
          <w:rFonts w:ascii="Arial" w:hAnsi="Arial" w:cs="Arial"/>
          <w:sz w:val="20"/>
          <w:szCs w:val="20"/>
        </w:rPr>
        <w:t>including community perceptions, victim experiences, and local policing strategies</w:t>
      </w:r>
      <w:r w:rsidR="00E15A65">
        <w:rPr>
          <w:rFonts w:ascii="Arial" w:hAnsi="Arial" w:cs="Arial"/>
          <w:sz w:val="20"/>
          <w:szCs w:val="20"/>
        </w:rPr>
        <w:t xml:space="preserve"> </w:t>
      </w:r>
      <w:r w:rsidRPr="00700DC9">
        <w:rPr>
          <w:rFonts w:ascii="Arial" w:hAnsi="Arial" w:cs="Arial"/>
          <w:sz w:val="20"/>
          <w:szCs w:val="20"/>
        </w:rPr>
        <w:t>would provide a richer understanding of the social context surrounding crime. Such mixed-methods approaches can bridge the gap between statistical findings and lived realities, enabling more grounded policy responses.</w:t>
      </w:r>
      <w:r>
        <w:rPr>
          <w:rFonts w:ascii="Arial" w:hAnsi="Arial" w:cs="Arial"/>
          <w:sz w:val="20"/>
          <w:szCs w:val="20"/>
        </w:rPr>
        <w:t xml:space="preserve"> </w:t>
      </w:r>
      <w:r w:rsidRPr="00700DC9">
        <w:rPr>
          <w:rFonts w:ascii="Arial" w:hAnsi="Arial" w:cs="Arial"/>
          <w:sz w:val="20"/>
          <w:szCs w:val="20"/>
        </w:rPr>
        <w:t>Third, future work could integrate longitudinal datasets that span a longer time frame to identify sustained trends, cyclical patterns, or the long-term effects of major social disruptions (e.g., pandemics, elections). This would help distinguish between short-term anomalies and persistent structural problems.</w:t>
      </w:r>
    </w:p>
    <w:p w14:paraId="60919C15" w14:textId="602971C8" w:rsidR="00700DC9" w:rsidRDefault="00700DC9" w:rsidP="00055708">
      <w:pPr>
        <w:tabs>
          <w:tab w:val="left" w:pos="1095"/>
        </w:tabs>
        <w:jc w:val="both"/>
        <w:rPr>
          <w:rFonts w:ascii="Arial" w:hAnsi="Arial" w:cs="Arial"/>
          <w:sz w:val="20"/>
          <w:szCs w:val="20"/>
        </w:rPr>
      </w:pPr>
      <w:r w:rsidRPr="00700DC9">
        <w:rPr>
          <w:rFonts w:ascii="Arial" w:hAnsi="Arial" w:cs="Arial"/>
          <w:sz w:val="20"/>
          <w:szCs w:val="20"/>
        </w:rPr>
        <w:t>Additionally, expanding the scope of research to include socioeconomic and infrastructural variables such as income levels, education, land use, and access to services would deepen the explanatory power of predictive models. These variables can help uncover root causes of crime and refine strategies for long-term prevention.</w:t>
      </w:r>
      <w:r>
        <w:rPr>
          <w:rFonts w:ascii="Arial" w:hAnsi="Arial" w:cs="Arial"/>
          <w:sz w:val="20"/>
          <w:szCs w:val="20"/>
        </w:rPr>
        <w:t xml:space="preserve"> </w:t>
      </w:r>
      <w:r w:rsidRPr="00700DC9">
        <w:rPr>
          <w:rFonts w:ascii="Arial" w:hAnsi="Arial" w:cs="Arial"/>
          <w:sz w:val="20"/>
          <w:szCs w:val="20"/>
        </w:rPr>
        <w:t>Finally, applying and testing the study’s methodological framework in other urban and peri-urban counties across Kenya or East Africa would assess its generalizability and relevance across diverse spatial and governance contexts. Comparative analysis could also identify regional best practices in crime prevention and spatial planning.</w:t>
      </w:r>
      <w:r>
        <w:rPr>
          <w:rFonts w:ascii="Arial" w:hAnsi="Arial" w:cs="Arial"/>
          <w:sz w:val="20"/>
          <w:szCs w:val="20"/>
        </w:rPr>
        <w:t xml:space="preserve"> </w:t>
      </w:r>
      <w:r w:rsidRPr="00700DC9">
        <w:rPr>
          <w:rFonts w:ascii="Arial" w:hAnsi="Arial" w:cs="Arial"/>
          <w:sz w:val="20"/>
          <w:szCs w:val="20"/>
        </w:rPr>
        <w:t>By building on the current study, future research can play a pivotal role in advancing a more evidence-based, context-aware, and integrated approach to urban security and development.</w:t>
      </w:r>
    </w:p>
    <w:p w14:paraId="56B81113" w14:textId="27737F73" w:rsidR="00417E3D" w:rsidRDefault="00700DC9" w:rsidP="00603123">
      <w:pPr>
        <w:tabs>
          <w:tab w:val="left" w:pos="1095"/>
        </w:tabs>
        <w:jc w:val="both"/>
        <w:rPr>
          <w:rFonts w:ascii="Arial" w:hAnsi="Arial" w:cs="Arial"/>
          <w:sz w:val="20"/>
          <w:szCs w:val="20"/>
        </w:rPr>
      </w:pPr>
      <w:r w:rsidRPr="00D01F07">
        <w:rPr>
          <w:rFonts w:ascii="Arial" w:hAnsi="Arial" w:cs="Arial"/>
          <w:b/>
          <w:bCs/>
          <w:sz w:val="22"/>
          <w:szCs w:val="22"/>
        </w:rPr>
        <w:t xml:space="preserve">4.2 </w:t>
      </w:r>
      <w:r w:rsidR="00603123" w:rsidRPr="00D01F07">
        <w:rPr>
          <w:rFonts w:ascii="Arial" w:hAnsi="Arial" w:cs="Arial"/>
          <w:b/>
          <w:bCs/>
          <w:sz w:val="22"/>
          <w:szCs w:val="22"/>
        </w:rPr>
        <w:t xml:space="preserve">Limitations of the </w:t>
      </w:r>
      <w:r w:rsidR="00417E3D" w:rsidRPr="00D01F07">
        <w:rPr>
          <w:rFonts w:ascii="Arial" w:hAnsi="Arial" w:cs="Arial"/>
          <w:b/>
          <w:bCs/>
          <w:sz w:val="22"/>
          <w:szCs w:val="22"/>
        </w:rPr>
        <w:t>study</w:t>
      </w:r>
    </w:p>
    <w:p w14:paraId="5228CEEA" w14:textId="053EC944" w:rsidR="00603123" w:rsidRDefault="00417E3D" w:rsidP="00055708">
      <w:pPr>
        <w:tabs>
          <w:tab w:val="left" w:pos="1095"/>
        </w:tabs>
        <w:jc w:val="both"/>
        <w:rPr>
          <w:rFonts w:ascii="Arial" w:hAnsi="Arial" w:cs="Arial"/>
          <w:sz w:val="20"/>
          <w:szCs w:val="20"/>
        </w:rPr>
      </w:pPr>
      <w:r w:rsidRPr="00417E3D">
        <w:rPr>
          <w:rFonts w:ascii="Arial" w:hAnsi="Arial" w:cs="Arial"/>
          <w:sz w:val="20"/>
          <w:szCs w:val="20"/>
        </w:rPr>
        <w:t>Despite its contributions, this study is subject to several limitations that should be acknowledged.</w:t>
      </w:r>
      <w:r>
        <w:rPr>
          <w:rFonts w:ascii="Arial" w:hAnsi="Arial" w:cs="Arial"/>
          <w:sz w:val="20"/>
          <w:szCs w:val="20"/>
        </w:rPr>
        <w:t xml:space="preserve"> </w:t>
      </w:r>
      <w:r w:rsidRPr="00417E3D">
        <w:rPr>
          <w:rFonts w:ascii="Arial" w:hAnsi="Arial" w:cs="Arial"/>
          <w:sz w:val="20"/>
          <w:szCs w:val="20"/>
        </w:rPr>
        <w:t>First, the analysis was based solely on officially reported crime data, which may underrepresent the actual magnitude of criminal activity due to underreporting</w:t>
      </w:r>
      <w:r w:rsidR="00E15A65">
        <w:rPr>
          <w:rFonts w:ascii="Arial" w:hAnsi="Arial" w:cs="Arial"/>
          <w:sz w:val="20"/>
          <w:szCs w:val="20"/>
        </w:rPr>
        <w:t xml:space="preserve"> </w:t>
      </w:r>
      <w:r w:rsidRPr="00417E3D">
        <w:rPr>
          <w:rFonts w:ascii="Arial" w:hAnsi="Arial" w:cs="Arial"/>
          <w:sz w:val="20"/>
          <w:szCs w:val="20"/>
        </w:rPr>
        <w:t>a common issue influenced by public trust in law enforcement, social stigma, or accessibility to reporting mechanisms.</w:t>
      </w:r>
      <w:r>
        <w:rPr>
          <w:rFonts w:ascii="Arial" w:hAnsi="Arial" w:cs="Arial"/>
          <w:sz w:val="20"/>
          <w:szCs w:val="20"/>
        </w:rPr>
        <w:t xml:space="preserve"> </w:t>
      </w:r>
      <w:r w:rsidRPr="00417E3D">
        <w:rPr>
          <w:rFonts w:ascii="Arial" w:hAnsi="Arial" w:cs="Arial"/>
          <w:sz w:val="20"/>
          <w:szCs w:val="20"/>
        </w:rPr>
        <w:t>Second, the spatial resolution of the data was confined to the sub-county level, limiting the ability to detect finer-grained crime patterns at the neighborhood or street level. This may have masked critical micro-hotspots of criminal activity.</w:t>
      </w:r>
      <w:r>
        <w:rPr>
          <w:rFonts w:ascii="Arial" w:hAnsi="Arial" w:cs="Arial"/>
          <w:sz w:val="20"/>
          <w:szCs w:val="20"/>
        </w:rPr>
        <w:t xml:space="preserve"> </w:t>
      </w:r>
      <w:r w:rsidRPr="00417E3D">
        <w:rPr>
          <w:rFonts w:ascii="Arial" w:hAnsi="Arial" w:cs="Arial"/>
          <w:sz w:val="20"/>
          <w:szCs w:val="20"/>
        </w:rPr>
        <w:t>Third, the absence of precise georeferenced coordinates for individual crime incidents reduced the spatial accuracy of the analysis. As a result, spatial clustering and density estimations relied on aggregated data, which may obscure localized variations in crime distribution.</w:t>
      </w:r>
      <w:r>
        <w:rPr>
          <w:rFonts w:ascii="Arial" w:hAnsi="Arial" w:cs="Arial"/>
          <w:sz w:val="20"/>
          <w:szCs w:val="20"/>
        </w:rPr>
        <w:t xml:space="preserve"> </w:t>
      </w:r>
      <w:r w:rsidRPr="00417E3D">
        <w:rPr>
          <w:rFonts w:ascii="Arial" w:hAnsi="Arial" w:cs="Arial"/>
          <w:sz w:val="20"/>
          <w:szCs w:val="20"/>
        </w:rPr>
        <w:t>Fourth, the study did not incorporate potentially influential socio-economic and demographic variables</w:t>
      </w:r>
      <w:r w:rsidR="00E15A65">
        <w:rPr>
          <w:rFonts w:ascii="Arial" w:hAnsi="Arial" w:cs="Arial"/>
          <w:sz w:val="20"/>
          <w:szCs w:val="20"/>
        </w:rPr>
        <w:t xml:space="preserve"> </w:t>
      </w:r>
      <w:r w:rsidRPr="00417E3D">
        <w:rPr>
          <w:rFonts w:ascii="Arial" w:hAnsi="Arial" w:cs="Arial"/>
          <w:sz w:val="20"/>
          <w:szCs w:val="20"/>
        </w:rPr>
        <w:t>such as household income, educational attainment, and population density</w:t>
      </w:r>
      <w:r w:rsidR="00E15A65">
        <w:rPr>
          <w:rFonts w:ascii="Arial" w:hAnsi="Arial" w:cs="Arial"/>
          <w:sz w:val="20"/>
          <w:szCs w:val="20"/>
        </w:rPr>
        <w:t xml:space="preserve"> </w:t>
      </w:r>
      <w:r w:rsidRPr="00417E3D">
        <w:rPr>
          <w:rFonts w:ascii="Arial" w:hAnsi="Arial" w:cs="Arial"/>
          <w:sz w:val="20"/>
          <w:szCs w:val="20"/>
        </w:rPr>
        <w:t>due to the unavailability of reliable and spatially disaggregated datasets. The exclusion of these factors may limit the comprehensiveness of the explanatory models used.</w:t>
      </w:r>
      <w:r>
        <w:rPr>
          <w:rFonts w:ascii="Arial" w:hAnsi="Arial" w:cs="Arial"/>
          <w:sz w:val="20"/>
          <w:szCs w:val="20"/>
        </w:rPr>
        <w:t xml:space="preserve"> </w:t>
      </w:r>
      <w:r w:rsidRPr="00417E3D">
        <w:rPr>
          <w:rFonts w:ascii="Arial" w:hAnsi="Arial" w:cs="Arial"/>
          <w:sz w:val="20"/>
          <w:szCs w:val="20"/>
        </w:rPr>
        <w:t xml:space="preserve">Nevertheless, the integration of KDE, Moran’s </w:t>
      </w:r>
      <w:r w:rsidRPr="00D01F07">
        <w:rPr>
          <w:rFonts w:ascii="Arial" w:hAnsi="Arial" w:cs="Arial"/>
          <w:i/>
          <w:iCs/>
          <w:sz w:val="20"/>
          <w:szCs w:val="20"/>
        </w:rPr>
        <w:t>I</w:t>
      </w:r>
      <w:r w:rsidRPr="00417E3D">
        <w:rPr>
          <w:rFonts w:ascii="Arial" w:hAnsi="Arial" w:cs="Arial"/>
          <w:sz w:val="20"/>
          <w:szCs w:val="20"/>
        </w:rPr>
        <w:t>, and Poisson regression modeling provided a robust analytical framework for exploring spatial and temporal crime dynamics in Mombasa County. Despite the outlined constraints, the findings offer a valuable foundation for evidence-based policy-making and targeted crime prevention interventions.</w:t>
      </w:r>
    </w:p>
    <w:p w14:paraId="0A01AED5" w14:textId="3BD7BAA4" w:rsidR="00656C46" w:rsidRPr="00401707" w:rsidRDefault="00656C46" w:rsidP="00656C46">
      <w:pPr>
        <w:tabs>
          <w:tab w:val="left" w:pos="1095"/>
        </w:tabs>
        <w:jc w:val="both"/>
        <w:rPr>
          <w:rFonts w:ascii="Arial" w:hAnsi="Arial" w:cs="Arial"/>
          <w:b/>
          <w:bCs/>
          <w:sz w:val="22"/>
          <w:szCs w:val="22"/>
        </w:rPr>
      </w:pPr>
      <w:r>
        <w:rPr>
          <w:rFonts w:ascii="Arial" w:hAnsi="Arial" w:cs="Arial"/>
          <w:b/>
          <w:bCs/>
          <w:sz w:val="22"/>
          <w:szCs w:val="22"/>
        </w:rPr>
        <w:t>4</w:t>
      </w:r>
      <w:r w:rsidRPr="00401707">
        <w:rPr>
          <w:rFonts w:ascii="Arial" w:hAnsi="Arial" w:cs="Arial"/>
          <w:b/>
          <w:bCs/>
          <w:sz w:val="22"/>
          <w:szCs w:val="22"/>
        </w:rPr>
        <w:t>.</w:t>
      </w:r>
      <w:r w:rsidR="00700DC9">
        <w:rPr>
          <w:rFonts w:ascii="Arial" w:hAnsi="Arial" w:cs="Arial"/>
          <w:b/>
          <w:bCs/>
          <w:sz w:val="22"/>
          <w:szCs w:val="22"/>
        </w:rPr>
        <w:t>3</w:t>
      </w:r>
      <w:r w:rsidRPr="00401707">
        <w:rPr>
          <w:rFonts w:ascii="Arial" w:hAnsi="Arial" w:cs="Arial"/>
          <w:b/>
          <w:bCs/>
          <w:sz w:val="22"/>
          <w:szCs w:val="22"/>
        </w:rPr>
        <w:t xml:space="preserve"> Interpretation and Policy Implications</w:t>
      </w:r>
    </w:p>
    <w:p w14:paraId="45D4DF3D" w14:textId="32EB6AE2" w:rsidR="00AC673A" w:rsidRPr="00DE1370" w:rsidRDefault="0051413C" w:rsidP="003348C3">
      <w:pPr>
        <w:tabs>
          <w:tab w:val="left" w:pos="1095"/>
        </w:tabs>
        <w:jc w:val="both"/>
        <w:rPr>
          <w:rFonts w:ascii="Arial" w:hAnsi="Arial" w:cs="Arial"/>
          <w:sz w:val="20"/>
          <w:szCs w:val="20"/>
        </w:rPr>
      </w:pPr>
      <w:r w:rsidRPr="0051413C">
        <w:rPr>
          <w:rFonts w:ascii="Arial" w:hAnsi="Arial" w:cs="Arial"/>
          <w:sz w:val="20"/>
          <w:szCs w:val="20"/>
        </w:rPr>
        <w:t xml:space="preserve">The convergence of results from KDE, Moran’s </w:t>
      </w:r>
      <w:r w:rsidRPr="00F42FEC">
        <w:rPr>
          <w:rFonts w:ascii="Arial" w:hAnsi="Arial" w:cs="Arial"/>
          <w:i/>
          <w:iCs/>
          <w:sz w:val="20"/>
          <w:szCs w:val="20"/>
        </w:rPr>
        <w:t>I</w:t>
      </w:r>
      <w:r w:rsidRPr="0051413C">
        <w:rPr>
          <w:rFonts w:ascii="Arial" w:hAnsi="Arial" w:cs="Arial"/>
          <w:sz w:val="20"/>
          <w:szCs w:val="20"/>
        </w:rPr>
        <w:t>, and Poisson regression analysis reveals that crime in Mombasa County is spatially clustered and strongly influenced by socio-economic and environmental factors. Crime is concentrated in specific sub-counties</w:t>
      </w:r>
      <w:r w:rsidR="00E15A65">
        <w:rPr>
          <w:rFonts w:ascii="Arial" w:hAnsi="Arial" w:cs="Arial"/>
          <w:sz w:val="20"/>
          <w:szCs w:val="20"/>
        </w:rPr>
        <w:t xml:space="preserve"> </w:t>
      </w:r>
      <w:r w:rsidRPr="0051413C">
        <w:rPr>
          <w:rFonts w:ascii="Arial" w:hAnsi="Arial" w:cs="Arial"/>
          <w:sz w:val="20"/>
          <w:szCs w:val="20"/>
        </w:rPr>
        <w:t>particularly Mvita, Kisauni, and Likoni</w:t>
      </w:r>
      <w:r w:rsidR="00E15A65">
        <w:rPr>
          <w:rFonts w:ascii="Arial" w:hAnsi="Arial" w:cs="Arial"/>
          <w:sz w:val="20"/>
          <w:szCs w:val="20"/>
        </w:rPr>
        <w:t xml:space="preserve"> </w:t>
      </w:r>
      <w:r w:rsidRPr="0051413C">
        <w:rPr>
          <w:rFonts w:ascii="Arial" w:hAnsi="Arial" w:cs="Arial"/>
          <w:sz w:val="20"/>
          <w:szCs w:val="20"/>
        </w:rPr>
        <w:t>rather than being uniformly distributed. These hotspots persist across time, pointing to structural drivers such as economic inequality, urban density, limited social services, and inadequate infrastructure.</w:t>
      </w:r>
      <w:r>
        <w:rPr>
          <w:rFonts w:ascii="Arial" w:hAnsi="Arial" w:cs="Arial"/>
          <w:sz w:val="20"/>
          <w:szCs w:val="20"/>
        </w:rPr>
        <w:t xml:space="preserve"> </w:t>
      </w:r>
      <w:r w:rsidRPr="0051413C">
        <w:rPr>
          <w:rFonts w:ascii="Arial" w:hAnsi="Arial" w:cs="Arial"/>
          <w:sz w:val="20"/>
          <w:szCs w:val="20"/>
        </w:rPr>
        <w:t xml:space="preserve">These findings challenge the effectiveness of reactive or enforcement-focused policing strategies. Instead, they support the need for integrated, place-based interventions that combine law enforcement with community </w:t>
      </w:r>
      <w:r w:rsidRPr="0051413C">
        <w:rPr>
          <w:rFonts w:ascii="Arial" w:hAnsi="Arial" w:cs="Arial"/>
          <w:sz w:val="20"/>
          <w:szCs w:val="20"/>
        </w:rPr>
        <w:lastRenderedPageBreak/>
        <w:t>engagement, youth empowerment, drug rehabilitation, and urban renewal. In particular, the prominence of drug-related offences and interpersonal violence in certain areas underscores the importance of addressing substance abuse and social exclusion, especially in informal settlements.</w:t>
      </w:r>
      <w:r>
        <w:rPr>
          <w:rFonts w:ascii="Arial" w:hAnsi="Arial" w:cs="Arial"/>
          <w:sz w:val="20"/>
          <w:szCs w:val="20"/>
        </w:rPr>
        <w:t xml:space="preserve"> </w:t>
      </w:r>
      <w:r w:rsidRPr="0051413C">
        <w:rPr>
          <w:rFonts w:ascii="Arial" w:hAnsi="Arial" w:cs="Arial"/>
          <w:sz w:val="20"/>
          <w:szCs w:val="20"/>
        </w:rPr>
        <w:t>From a policy and planning perspective, incorporating spatial analysis tools into crime monitoring systems can greatly enhance the targeting and deployment of policing resources, including surveillance infrastructure and patrol routes. Routine use of geospatial data enables authorities to prioritize high-risk areas, make informed decisions, and adopt proactive crime prevention strategies.</w:t>
      </w:r>
      <w:r>
        <w:rPr>
          <w:rFonts w:ascii="Arial" w:hAnsi="Arial" w:cs="Arial"/>
          <w:sz w:val="20"/>
          <w:szCs w:val="20"/>
        </w:rPr>
        <w:t xml:space="preserve"> </w:t>
      </w:r>
      <w:r w:rsidRPr="0051413C">
        <w:rPr>
          <w:rFonts w:ascii="Arial" w:hAnsi="Arial" w:cs="Arial"/>
          <w:sz w:val="20"/>
          <w:szCs w:val="20"/>
        </w:rPr>
        <w:t>Collaboration is essential. County governments, national security agencies, urban planners, and civil society must work together to implement evidence-based, data-driven interventions tailored to the unique socio-economic context of each hotspot. Moreover, the methodological framework employed in this study can be replicated in other urban settings, offering a scalable tool for security planning, resource allocation, and legislative guidance across Kenya and beyond.</w:t>
      </w:r>
    </w:p>
    <w:p w14:paraId="2BB6234E" w14:textId="69D9DD1F" w:rsidR="003348C3" w:rsidRPr="00DE1370" w:rsidRDefault="00AC673A" w:rsidP="003348C3">
      <w:pPr>
        <w:tabs>
          <w:tab w:val="left" w:pos="1095"/>
        </w:tabs>
        <w:jc w:val="both"/>
        <w:rPr>
          <w:rFonts w:ascii="Arial" w:hAnsi="Arial" w:cs="Arial"/>
          <w:b/>
          <w:bCs/>
          <w:sz w:val="22"/>
          <w:szCs w:val="22"/>
        </w:rPr>
      </w:pPr>
      <w:r>
        <w:rPr>
          <w:rFonts w:ascii="Arial" w:hAnsi="Arial" w:cs="Arial"/>
          <w:b/>
          <w:bCs/>
          <w:sz w:val="22"/>
          <w:szCs w:val="22"/>
        </w:rPr>
        <w:t>5</w:t>
      </w:r>
      <w:r w:rsidR="003348C3" w:rsidRPr="00DE1370">
        <w:rPr>
          <w:rFonts w:ascii="Arial" w:hAnsi="Arial" w:cs="Arial"/>
          <w:b/>
          <w:bCs/>
          <w:sz w:val="22"/>
          <w:szCs w:val="22"/>
        </w:rPr>
        <w:t>. CONCLUSION</w:t>
      </w:r>
    </w:p>
    <w:p w14:paraId="7C7A5109" w14:textId="1030835B" w:rsidR="0051413C" w:rsidRDefault="0051413C" w:rsidP="0051413C">
      <w:pPr>
        <w:tabs>
          <w:tab w:val="left" w:pos="1095"/>
        </w:tabs>
        <w:jc w:val="both"/>
        <w:rPr>
          <w:rFonts w:ascii="Arial" w:hAnsi="Arial" w:cs="Arial"/>
          <w:sz w:val="20"/>
          <w:szCs w:val="20"/>
        </w:rPr>
      </w:pPr>
      <w:r w:rsidRPr="0051413C">
        <w:rPr>
          <w:rFonts w:ascii="Arial" w:hAnsi="Arial" w:cs="Arial"/>
          <w:sz w:val="20"/>
          <w:szCs w:val="20"/>
        </w:rPr>
        <w:t>This study investigated the spatial and temporal dynamics of crime in Mombasa County between 2019 and 2021, using a combination of crime mapping, spatial autocorrelation, and Poisson regression. The analysis uncovered clear patterns in the distribution, typology, and intensity of crime, offering new insights into the geography of urban insecurity.</w:t>
      </w:r>
      <w:r>
        <w:rPr>
          <w:rFonts w:ascii="Arial" w:hAnsi="Arial" w:cs="Arial"/>
          <w:sz w:val="20"/>
          <w:szCs w:val="20"/>
        </w:rPr>
        <w:t xml:space="preserve"> </w:t>
      </w:r>
      <w:r w:rsidRPr="0051413C">
        <w:rPr>
          <w:rFonts w:ascii="Arial" w:hAnsi="Arial" w:cs="Arial"/>
          <w:sz w:val="20"/>
          <w:szCs w:val="20"/>
        </w:rPr>
        <w:t>Crime was found to be concentrated in a few sub-counties, especially Mvita, Kisauni, and Likoni, with recurring patterns of stealing, drug offences, and interpersonal violence. Spatial autocorrelation confirmed that crime is not randomly distributed but is significantly clustered, reflecting deeper socio-economic and environmental disparities across neighborhoods.</w:t>
      </w:r>
      <w:r>
        <w:rPr>
          <w:rFonts w:ascii="Arial" w:hAnsi="Arial" w:cs="Arial"/>
          <w:sz w:val="20"/>
          <w:szCs w:val="20"/>
        </w:rPr>
        <w:t xml:space="preserve"> </w:t>
      </w:r>
      <w:r w:rsidRPr="0051413C">
        <w:rPr>
          <w:rFonts w:ascii="Arial" w:hAnsi="Arial" w:cs="Arial"/>
          <w:sz w:val="20"/>
          <w:szCs w:val="20"/>
        </w:rPr>
        <w:t>Temporal trends showed a noticeable decline in crime during 2020, likely due to COVID-19 containment measures, followed by a sharp resurgence in 2021, signaling a return to pre-pandemic patterns. The Poisson regression analysis further emphasized the role of population density and urban proximity in explaining crime prevalence, reinforcing established criminological theories that link urbanization with increased crime risk.</w:t>
      </w:r>
      <w:r>
        <w:rPr>
          <w:rFonts w:ascii="Arial" w:hAnsi="Arial" w:cs="Arial"/>
          <w:sz w:val="20"/>
          <w:szCs w:val="20"/>
        </w:rPr>
        <w:t xml:space="preserve"> </w:t>
      </w:r>
      <w:r w:rsidRPr="0051413C">
        <w:rPr>
          <w:rFonts w:ascii="Arial" w:hAnsi="Arial" w:cs="Arial"/>
          <w:sz w:val="20"/>
          <w:szCs w:val="20"/>
        </w:rPr>
        <w:t>Overall, the study demonstrates the value of GIS and spatial-statistical methods in diagnosing urban crime patterns. These tools are not only effective for visualizing and analyzing crime but are also crucial for guiding evidence-based decision-making. The findings underscore the urgent need for localized, data-informed, and multi-sectoral crime prevention strategies that are responsive to the spatial realities and socio-economic context of affected communities</w:t>
      </w:r>
    </w:p>
    <w:p w14:paraId="302BFC4C" w14:textId="227AB8F7" w:rsidR="0030126E" w:rsidRDefault="0030126E" w:rsidP="0051413C">
      <w:pPr>
        <w:tabs>
          <w:tab w:val="left" w:pos="1095"/>
        </w:tabs>
        <w:jc w:val="both"/>
        <w:rPr>
          <w:rFonts w:ascii="Arial" w:hAnsi="Arial" w:cs="Arial"/>
          <w:sz w:val="20"/>
          <w:szCs w:val="20"/>
        </w:rPr>
      </w:pPr>
    </w:p>
    <w:p w14:paraId="56409F38" w14:textId="77777777" w:rsidR="0030126E" w:rsidRPr="00FE7640" w:rsidRDefault="0030126E" w:rsidP="0030126E">
      <w:pPr>
        <w:rPr>
          <w:rFonts w:ascii="Calibri" w:eastAsia="Calibri" w:hAnsi="Calibri" w:cs="Times New Roman"/>
          <w:highlight w:val="yellow"/>
        </w:rPr>
      </w:pPr>
      <w:bookmarkStart w:id="10" w:name="_Hlk201835975"/>
      <w:bookmarkStart w:id="11" w:name="_Hlk193540946"/>
      <w:bookmarkStart w:id="12" w:name="_Hlk180402183"/>
      <w:bookmarkStart w:id="13" w:name="_Hlk183680988"/>
      <w:bookmarkStart w:id="14" w:name="_Hlk197173371"/>
      <w:r w:rsidRPr="00FE7640">
        <w:rPr>
          <w:rFonts w:ascii="Calibri" w:eastAsia="Calibri" w:hAnsi="Calibri" w:cs="Times New Roman"/>
          <w:highlight w:val="yellow"/>
        </w:rPr>
        <w:t>Disclaimer (Artificial intelligence)</w:t>
      </w:r>
    </w:p>
    <w:p w14:paraId="0829163E" w14:textId="77777777" w:rsidR="0030126E" w:rsidRPr="009C5487" w:rsidRDefault="0030126E" w:rsidP="0030126E">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2B46F568" w14:textId="77777777" w:rsidR="0030126E" w:rsidRPr="009C5487" w:rsidRDefault="0030126E" w:rsidP="0030126E">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manuscript. </w:t>
      </w:r>
    </w:p>
    <w:p w14:paraId="5C41690D" w14:textId="77777777" w:rsidR="0030126E" w:rsidRPr="009C5487" w:rsidRDefault="0030126E" w:rsidP="0030126E">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5468027F" w14:textId="77777777" w:rsidR="0030126E" w:rsidRPr="009C5487" w:rsidRDefault="0030126E" w:rsidP="0030126E">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53495C2" w14:textId="77777777" w:rsidR="0030126E" w:rsidRPr="009C5487" w:rsidRDefault="0030126E" w:rsidP="0030126E">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3D62023A" w14:textId="77777777" w:rsidR="0030126E" w:rsidRPr="009C5487" w:rsidRDefault="0030126E" w:rsidP="0030126E">
      <w:pPr>
        <w:rPr>
          <w:rFonts w:ascii="Calibri" w:eastAsia="Calibri" w:hAnsi="Calibri" w:cs="Times New Roman"/>
          <w:highlight w:val="yellow"/>
        </w:rPr>
      </w:pPr>
      <w:r w:rsidRPr="009C5487">
        <w:rPr>
          <w:rFonts w:ascii="Calibri" w:eastAsia="Calibri" w:hAnsi="Calibri" w:cs="Times New Roman"/>
          <w:highlight w:val="yellow"/>
        </w:rPr>
        <w:lastRenderedPageBreak/>
        <w:t>1.</w:t>
      </w:r>
    </w:p>
    <w:p w14:paraId="73FC413C" w14:textId="77777777" w:rsidR="0030126E" w:rsidRPr="009C5487" w:rsidRDefault="0030126E" w:rsidP="0030126E">
      <w:pPr>
        <w:rPr>
          <w:rFonts w:ascii="Calibri" w:eastAsia="Calibri" w:hAnsi="Calibri" w:cs="Times New Roman"/>
          <w:highlight w:val="yellow"/>
        </w:rPr>
      </w:pPr>
      <w:r w:rsidRPr="009C5487">
        <w:rPr>
          <w:rFonts w:ascii="Calibri" w:eastAsia="Calibri" w:hAnsi="Calibri" w:cs="Times New Roman"/>
          <w:highlight w:val="yellow"/>
        </w:rPr>
        <w:t>2.</w:t>
      </w:r>
      <w:bookmarkEnd w:id="10"/>
    </w:p>
    <w:p w14:paraId="2F5F96A8" w14:textId="77777777" w:rsidR="0030126E" w:rsidRPr="009C5487" w:rsidRDefault="0030126E" w:rsidP="0030126E">
      <w:pPr>
        <w:rPr>
          <w:rFonts w:ascii="Calibri" w:eastAsia="Calibri" w:hAnsi="Calibri" w:cs="Times New Roman"/>
        </w:rPr>
      </w:pPr>
      <w:r w:rsidRPr="009C5487">
        <w:rPr>
          <w:rFonts w:ascii="Calibri" w:eastAsia="Calibri" w:hAnsi="Calibri" w:cs="Times New Roman"/>
          <w:highlight w:val="yellow"/>
        </w:rPr>
        <w:t>3.</w:t>
      </w:r>
      <w:bookmarkEnd w:id="11"/>
    </w:p>
    <w:bookmarkEnd w:id="12"/>
    <w:bookmarkEnd w:id="13"/>
    <w:bookmarkEnd w:id="14"/>
    <w:p w14:paraId="5916AEE6" w14:textId="77777777" w:rsidR="0030126E" w:rsidRDefault="0030126E" w:rsidP="0051413C">
      <w:pPr>
        <w:tabs>
          <w:tab w:val="left" w:pos="1095"/>
        </w:tabs>
        <w:jc w:val="both"/>
        <w:rPr>
          <w:rFonts w:ascii="Arial" w:hAnsi="Arial" w:cs="Arial"/>
          <w:sz w:val="20"/>
          <w:szCs w:val="20"/>
        </w:rPr>
      </w:pPr>
    </w:p>
    <w:p w14:paraId="73C7AF1E" w14:textId="6E0E5B3C" w:rsidR="00A4312A" w:rsidRDefault="00033E6D" w:rsidP="00D01F07">
      <w:pPr>
        <w:tabs>
          <w:tab w:val="left" w:pos="1095"/>
        </w:tabs>
        <w:jc w:val="both"/>
        <w:rPr>
          <w:rFonts w:ascii="Arial" w:hAnsi="Arial" w:cs="Arial"/>
          <w:b/>
          <w:bCs/>
          <w:sz w:val="22"/>
          <w:szCs w:val="22"/>
        </w:rPr>
      </w:pPr>
      <w:r w:rsidRPr="00F42FEC">
        <w:rPr>
          <w:rFonts w:ascii="Arial" w:hAnsi="Arial" w:cs="Arial"/>
          <w:b/>
          <w:bCs/>
          <w:sz w:val="22"/>
          <w:szCs w:val="22"/>
        </w:rPr>
        <w:t>REFERENCES</w:t>
      </w:r>
    </w:p>
    <w:p w14:paraId="37CEFE64" w14:textId="74067F36" w:rsidR="00C44E2E" w:rsidRPr="00C44E2E" w:rsidRDefault="00C44E2E" w:rsidP="00C44E2E">
      <w:pPr>
        <w:pStyle w:val="Heading2"/>
        <w:rPr>
          <w:rFonts w:ascii="Arial" w:hAnsi="Arial" w:cs="Arial"/>
          <w:color w:val="222222"/>
          <w:shd w:val="clear" w:color="auto" w:fill="FFFFFF"/>
        </w:rPr>
      </w:pPr>
      <w:r w:rsidRPr="009C474A">
        <w:rPr>
          <w:rFonts w:ascii="Arial" w:hAnsi="Arial" w:cs="Arial"/>
          <w:color w:val="222222"/>
          <w:sz w:val="20"/>
          <w:szCs w:val="20"/>
          <w:highlight w:val="yellow"/>
          <w:shd w:val="clear" w:color="auto" w:fill="FFFFFF"/>
        </w:rPr>
        <w:t>Adionyi, L., Adero, N., Mutua, S., Korir, D., &amp; Siljander, M. (2024). Habitat Suitability Modeling for the Invasive Opuntia stricta Using Remote Sensing and Maxent in Tsavo East National Park, Kenya. </w:t>
      </w:r>
      <w:r w:rsidRPr="009C474A">
        <w:rPr>
          <w:rFonts w:ascii="Arial" w:hAnsi="Arial" w:cs="Arial"/>
          <w:i/>
          <w:iCs/>
          <w:color w:val="222222"/>
          <w:sz w:val="20"/>
          <w:szCs w:val="20"/>
          <w:highlight w:val="yellow"/>
          <w:shd w:val="clear" w:color="auto" w:fill="FFFFFF"/>
        </w:rPr>
        <w:t>Journal of Geography, Environment and Earth Science International</w:t>
      </w:r>
      <w:r w:rsidRPr="009C474A">
        <w:rPr>
          <w:rFonts w:ascii="Arial" w:hAnsi="Arial" w:cs="Arial"/>
          <w:color w:val="222222"/>
          <w:sz w:val="20"/>
          <w:szCs w:val="20"/>
          <w:highlight w:val="yellow"/>
          <w:shd w:val="clear" w:color="auto" w:fill="FFFFFF"/>
        </w:rPr>
        <w:t>, </w:t>
      </w:r>
      <w:r w:rsidRPr="009C474A">
        <w:rPr>
          <w:rFonts w:ascii="Arial" w:hAnsi="Arial" w:cs="Arial"/>
          <w:i/>
          <w:iCs/>
          <w:color w:val="222222"/>
          <w:sz w:val="20"/>
          <w:szCs w:val="20"/>
          <w:highlight w:val="yellow"/>
          <w:shd w:val="clear" w:color="auto" w:fill="FFFFFF"/>
        </w:rPr>
        <w:t>28</w:t>
      </w:r>
      <w:r w:rsidRPr="009C474A">
        <w:rPr>
          <w:rFonts w:ascii="Arial" w:hAnsi="Arial" w:cs="Arial"/>
          <w:color w:val="222222"/>
          <w:sz w:val="20"/>
          <w:szCs w:val="20"/>
          <w:highlight w:val="yellow"/>
          <w:shd w:val="clear" w:color="auto" w:fill="FFFFFF"/>
        </w:rPr>
        <w:t>(12), 1-18</w:t>
      </w:r>
      <w:r>
        <w:rPr>
          <w:rFonts w:ascii="Arial" w:hAnsi="Arial" w:cs="Arial"/>
          <w:color w:val="222222"/>
          <w:sz w:val="20"/>
          <w:szCs w:val="20"/>
          <w:shd w:val="clear" w:color="auto" w:fill="FFFFFF"/>
        </w:rPr>
        <w:t>.</w:t>
      </w:r>
    </w:p>
    <w:p w14:paraId="30E159A0" w14:textId="190228D5" w:rsidR="003D3745" w:rsidRPr="00D01F07" w:rsidRDefault="003D3745" w:rsidP="00D01F07">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rPr>
        <w:t xml:space="preserve">Akanmu, A. A., Salisu, U. O., Daramola, O. P., Ogunsesan, A. S., Fasina, S. O., Adejare, J. A., .Olatunji, O. M. (2021). </w:t>
      </w:r>
      <w:r w:rsidRPr="00D01F07">
        <w:rPr>
          <w:rFonts w:ascii="Arial" w:hAnsi="Arial" w:cs="Arial"/>
          <w:noProof/>
          <w:sz w:val="20"/>
          <w:szCs w:val="20"/>
        </w:rPr>
        <w:t>The COVID-19 pandemic and insecurity: the furiousness in Nigerian Communities. Urban Planning and Transport Research, pp. 9(1), 368-406. doi:https://doi.org/10/1080/21650020.2021.1946420</w:t>
      </w:r>
    </w:p>
    <w:p w14:paraId="50380C91"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Aronson, S. L. (2010). Crime and development in Kenya: Emerging trends and the transnational implications of political, economic and social instability. Inquires Journal, 2, 1-6.</w:t>
      </w:r>
    </w:p>
    <w:p w14:paraId="1146EE6C" w14:textId="77777777" w:rsidR="003D3745"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Badurdeen, F. A. (2023). International and local NGOs addressing violent and hateful extremism in Kenya. Conflict, Security and Development. doi:https://doi.org/10.1080/14678802.2023.2211034</w:t>
      </w:r>
    </w:p>
    <w:p w14:paraId="69CC7934" w14:textId="77777777" w:rsidR="00486344" w:rsidRPr="00F42FEC" w:rsidRDefault="00486344" w:rsidP="00F42FEC">
      <w:pPr>
        <w:pStyle w:val="Bibliography"/>
        <w:spacing w:after="0" w:line="240" w:lineRule="auto"/>
        <w:ind w:left="720" w:hanging="720"/>
        <w:rPr>
          <w:rFonts w:ascii="Arial" w:hAnsi="Arial" w:cs="Arial"/>
          <w:noProof/>
          <w:sz w:val="20"/>
          <w:szCs w:val="20"/>
          <w:lang w:val="en-GB"/>
        </w:rPr>
      </w:pPr>
      <w:r w:rsidRPr="00F42FEC">
        <w:rPr>
          <w:rFonts w:ascii="Arial" w:hAnsi="Arial" w:cs="Arial"/>
          <w:noProof/>
          <w:sz w:val="20"/>
          <w:szCs w:val="20"/>
          <w:lang w:val="en-GB"/>
        </w:rPr>
        <w:t>Baraka, E. G. (2023). An Evidence based Theoretical Underpinning of Technological Transformation in Policing: From Manual Crime Mapping to Geographical Information Systems in Kenya. International Journal of Police Science and Management. doi:DOI:10.13140/RG.2.2.22835.91682</w:t>
      </w:r>
    </w:p>
    <w:p w14:paraId="69354D3E" w14:textId="399979E2" w:rsidR="003D3745" w:rsidRPr="00D01F07" w:rsidRDefault="003D3745" w:rsidP="00D01F07">
      <w:pPr>
        <w:pStyle w:val="Bibliography"/>
        <w:spacing w:after="0" w:line="240" w:lineRule="auto"/>
        <w:ind w:left="720" w:hanging="720"/>
        <w:rPr>
          <w:rFonts w:ascii="Arial" w:hAnsi="Arial" w:cs="Arial"/>
          <w:noProof/>
          <w:sz w:val="20"/>
          <w:szCs w:val="20"/>
        </w:rPr>
      </w:pPr>
      <w:r w:rsidRPr="00C2195F">
        <w:rPr>
          <w:rFonts w:ascii="Arial" w:hAnsi="Arial" w:cs="Arial"/>
          <w:noProof/>
          <w:sz w:val="20"/>
          <w:szCs w:val="20"/>
        </w:rPr>
        <w:t>Barasa</w:t>
      </w:r>
      <w:r w:rsidR="00C2195F" w:rsidRPr="00C2195F">
        <w:rPr>
          <w:rFonts w:ascii="Arial" w:hAnsi="Arial" w:cs="Arial"/>
          <w:noProof/>
          <w:sz w:val="20"/>
          <w:szCs w:val="20"/>
        </w:rPr>
        <w:t>, B.M</w:t>
      </w:r>
      <w:r w:rsidRPr="00C2195F">
        <w:rPr>
          <w:rFonts w:ascii="Arial" w:hAnsi="Arial" w:cs="Arial"/>
          <w:noProof/>
          <w:sz w:val="20"/>
          <w:szCs w:val="20"/>
        </w:rPr>
        <w:t>. (2013). Factors influencing drug abuse among students in public secondary schools in Mombasa district, mombasa county, Kenya.  Mombasa, Kenya.</w:t>
      </w:r>
    </w:p>
    <w:p w14:paraId="3CE14394"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Braga, A., Papachristos, A., &amp; Hureau, D. (2012). Hot spots policing effects on crime. Campbell Systematic Reviews. doi:https://doi.org/10.4073/csr.2012.8</w:t>
      </w:r>
    </w:p>
    <w:p w14:paraId="28EA4881"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Danjuma, I. A. (2023). The influx of irregular migrants as a challenge to security in Nigeria. International Journal of Management Studies and Social Science Research, 05(06), 89–96. doi:https://doi.org/10.56293/ijmsssr.2023.4710</w:t>
      </w:r>
    </w:p>
    <w:p w14:paraId="3EEC3822"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Eck, J. E., Chainey, S., &amp; Cameron, J. G. (2011). Mapping Crime: Understanding Hotspots. National Institute of Justice.</w:t>
      </w:r>
    </w:p>
    <w:p w14:paraId="07323DD5"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Fonji, S. F., &amp; Larrivee, M. (2014). Public Participation GIS (PPGIS) for Regional Mapping and Environmental Awareness. Journal of Geographic Information System, 135 - 149. doi:10.4236/jgis.2014.62015.</w:t>
      </w:r>
    </w:p>
    <w:p w14:paraId="2D7AC0D0"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Gahlin, C. (2014). Crime Hotspots: An Evaluation of the KDE Spatial Mapping Technique. Karlskrona: Blekinge Institute of Technology.</w:t>
      </w:r>
    </w:p>
    <w:p w14:paraId="5943BA63"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Gakuru, J. K. (2019). GIS Approach to crime mapping and spatial analysis: Nairobi City County. Nairobi: University of Nairobi.</w:t>
      </w:r>
    </w:p>
    <w:p w14:paraId="1652451B" w14:textId="798B8FAA" w:rsidR="003D3745"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Grawert, A. C., Kimble, C., &amp; Fielding, J. (2021). Poverty and Mass Incarceration in New York. An Agenda for Change.</w:t>
      </w:r>
    </w:p>
    <w:p w14:paraId="7A136B89" w14:textId="68437F3F" w:rsidR="009C474A" w:rsidRPr="009C474A" w:rsidRDefault="009C474A" w:rsidP="009C474A">
      <w:proofErr w:type="spellStart"/>
      <w:r w:rsidRPr="009C474A">
        <w:rPr>
          <w:rFonts w:ascii="Arial" w:hAnsi="Arial" w:cs="Arial"/>
          <w:color w:val="222222"/>
          <w:sz w:val="20"/>
          <w:szCs w:val="20"/>
          <w:highlight w:val="yellow"/>
          <w:shd w:val="clear" w:color="auto" w:fill="FFFFFF"/>
        </w:rPr>
        <w:t>Handayani</w:t>
      </w:r>
      <w:proofErr w:type="spellEnd"/>
      <w:r w:rsidRPr="009C474A">
        <w:rPr>
          <w:rFonts w:ascii="Arial" w:hAnsi="Arial" w:cs="Arial"/>
          <w:color w:val="222222"/>
          <w:sz w:val="20"/>
          <w:szCs w:val="20"/>
          <w:highlight w:val="yellow"/>
          <w:shd w:val="clear" w:color="auto" w:fill="FFFFFF"/>
        </w:rPr>
        <w:t xml:space="preserve">, D., </w:t>
      </w:r>
      <w:proofErr w:type="spellStart"/>
      <w:r w:rsidRPr="009C474A">
        <w:rPr>
          <w:rFonts w:ascii="Arial" w:hAnsi="Arial" w:cs="Arial"/>
          <w:color w:val="222222"/>
          <w:sz w:val="20"/>
          <w:szCs w:val="20"/>
          <w:highlight w:val="yellow"/>
          <w:shd w:val="clear" w:color="auto" w:fill="FFFFFF"/>
        </w:rPr>
        <w:t>Artari</w:t>
      </w:r>
      <w:proofErr w:type="spellEnd"/>
      <w:r w:rsidRPr="009C474A">
        <w:rPr>
          <w:rFonts w:ascii="Arial" w:hAnsi="Arial" w:cs="Arial"/>
          <w:color w:val="222222"/>
          <w:sz w:val="20"/>
          <w:szCs w:val="20"/>
          <w:highlight w:val="yellow"/>
          <w:shd w:val="clear" w:color="auto" w:fill="FFFFFF"/>
        </w:rPr>
        <w:t xml:space="preserve">, A. F., </w:t>
      </w:r>
      <w:proofErr w:type="spellStart"/>
      <w:r w:rsidRPr="009C474A">
        <w:rPr>
          <w:rFonts w:ascii="Arial" w:hAnsi="Arial" w:cs="Arial"/>
          <w:color w:val="222222"/>
          <w:sz w:val="20"/>
          <w:szCs w:val="20"/>
          <w:highlight w:val="yellow"/>
          <w:shd w:val="clear" w:color="auto" w:fill="FFFFFF"/>
        </w:rPr>
        <w:t>Safitri</w:t>
      </w:r>
      <w:proofErr w:type="spellEnd"/>
      <w:r w:rsidRPr="009C474A">
        <w:rPr>
          <w:rFonts w:ascii="Arial" w:hAnsi="Arial" w:cs="Arial"/>
          <w:color w:val="222222"/>
          <w:sz w:val="20"/>
          <w:szCs w:val="20"/>
          <w:highlight w:val="yellow"/>
          <w:shd w:val="clear" w:color="auto" w:fill="FFFFFF"/>
        </w:rPr>
        <w:t>, W., Rahayu, W., &amp; Santi, V. M. (2021, November). Count Regression Models for Analyzing Crime Rates in The East Java Province. In </w:t>
      </w:r>
      <w:r w:rsidRPr="009C474A">
        <w:rPr>
          <w:rFonts w:ascii="Arial" w:hAnsi="Arial" w:cs="Arial"/>
          <w:i/>
          <w:iCs/>
          <w:color w:val="222222"/>
          <w:sz w:val="20"/>
          <w:szCs w:val="20"/>
          <w:highlight w:val="yellow"/>
          <w:shd w:val="clear" w:color="auto" w:fill="FFFFFF"/>
        </w:rPr>
        <w:t>Journal of Physics: Conference Series</w:t>
      </w:r>
      <w:r w:rsidRPr="009C474A">
        <w:rPr>
          <w:rFonts w:ascii="Arial" w:hAnsi="Arial" w:cs="Arial"/>
          <w:color w:val="222222"/>
          <w:sz w:val="20"/>
          <w:szCs w:val="20"/>
          <w:highlight w:val="yellow"/>
          <w:shd w:val="clear" w:color="auto" w:fill="FFFFFF"/>
        </w:rPr>
        <w:t> (Vol. 2123, No. 1, p. 012028). IOP Publishing.</w:t>
      </w:r>
    </w:p>
    <w:p w14:paraId="6A9E86DA" w14:textId="0B3AE260" w:rsidR="000A45E5" w:rsidRDefault="000A45E5" w:rsidP="000A45E5">
      <w:pPr>
        <w:pStyle w:val="Bibliography"/>
        <w:spacing w:after="0" w:line="240" w:lineRule="auto"/>
        <w:ind w:left="720" w:hanging="720"/>
        <w:rPr>
          <w:rFonts w:ascii="Arial" w:hAnsi="Arial" w:cs="Arial"/>
          <w:noProof/>
          <w:sz w:val="20"/>
          <w:szCs w:val="20"/>
        </w:rPr>
      </w:pPr>
      <w:r w:rsidRPr="00C2195F">
        <w:rPr>
          <w:rFonts w:ascii="Arial" w:hAnsi="Arial" w:cs="Arial"/>
          <w:noProof/>
          <w:sz w:val="20"/>
          <w:szCs w:val="20"/>
        </w:rPr>
        <w:t>Kannan, M. &amp; Singh, M. (2023). Geographical Information System and Crime Mapping. 1st ed. Routledge, London</w:t>
      </w:r>
    </w:p>
    <w:p w14:paraId="6D0B34EB" w14:textId="61510741" w:rsidR="00C44E2E" w:rsidRPr="00C44E2E" w:rsidRDefault="00C44E2E" w:rsidP="00C44E2E">
      <w:r w:rsidRPr="00C33E88">
        <w:rPr>
          <w:rFonts w:ascii="Arial" w:hAnsi="Arial" w:cs="Arial"/>
          <w:color w:val="222222"/>
          <w:sz w:val="20"/>
          <w:szCs w:val="20"/>
          <w:highlight w:val="yellow"/>
          <w:shd w:val="clear" w:color="auto" w:fill="FFFFFF"/>
          <w:lang w:val="sv-SE"/>
        </w:rPr>
        <w:t xml:space="preserve">Korir, D. K., Namu, F., Adionyi, L., &amp; Siljander, M. (2024). </w:t>
      </w:r>
      <w:r w:rsidRPr="009C474A">
        <w:rPr>
          <w:rFonts w:ascii="Arial" w:hAnsi="Arial" w:cs="Arial"/>
          <w:color w:val="222222"/>
          <w:sz w:val="20"/>
          <w:szCs w:val="20"/>
          <w:highlight w:val="yellow"/>
          <w:shd w:val="clear" w:color="auto" w:fill="FFFFFF"/>
        </w:rPr>
        <w:t xml:space="preserve">Geospatial Patterns and </w:t>
      </w:r>
      <w:proofErr w:type="spellStart"/>
      <w:r w:rsidRPr="009C474A">
        <w:rPr>
          <w:rFonts w:ascii="Arial" w:hAnsi="Arial" w:cs="Arial"/>
          <w:color w:val="222222"/>
          <w:sz w:val="20"/>
          <w:szCs w:val="20"/>
          <w:highlight w:val="yellow"/>
          <w:shd w:val="clear" w:color="auto" w:fill="FFFFFF"/>
        </w:rPr>
        <w:t>Behavioural</w:t>
      </w:r>
      <w:proofErr w:type="spellEnd"/>
      <w:r w:rsidRPr="009C474A">
        <w:rPr>
          <w:rFonts w:ascii="Arial" w:hAnsi="Arial" w:cs="Arial"/>
          <w:color w:val="222222"/>
          <w:sz w:val="20"/>
          <w:szCs w:val="20"/>
          <w:highlight w:val="yellow"/>
          <w:shd w:val="clear" w:color="auto" w:fill="FFFFFF"/>
        </w:rPr>
        <w:t xml:space="preserve">    Responses of Elephants to Cattle and Mortality Risk in a Pastoralist Maasai Mara Landscape, Kenya. </w:t>
      </w:r>
      <w:r w:rsidRPr="009C474A">
        <w:rPr>
          <w:rFonts w:ascii="Arial" w:hAnsi="Arial" w:cs="Arial"/>
          <w:i/>
          <w:iCs/>
          <w:color w:val="222222"/>
          <w:sz w:val="20"/>
          <w:szCs w:val="20"/>
          <w:highlight w:val="yellow"/>
          <w:shd w:val="clear" w:color="auto" w:fill="FFFFFF"/>
        </w:rPr>
        <w:t>Journal of Geography, Environment and Earth Science International</w:t>
      </w:r>
      <w:r w:rsidRPr="009C474A">
        <w:rPr>
          <w:rFonts w:ascii="Arial" w:hAnsi="Arial" w:cs="Arial"/>
          <w:color w:val="222222"/>
          <w:sz w:val="20"/>
          <w:szCs w:val="20"/>
          <w:highlight w:val="yellow"/>
          <w:shd w:val="clear" w:color="auto" w:fill="FFFFFF"/>
        </w:rPr>
        <w:t>, </w:t>
      </w:r>
      <w:r w:rsidRPr="009C474A">
        <w:rPr>
          <w:rFonts w:ascii="Arial" w:hAnsi="Arial" w:cs="Arial"/>
          <w:i/>
          <w:iCs/>
          <w:color w:val="222222"/>
          <w:sz w:val="20"/>
          <w:szCs w:val="20"/>
          <w:highlight w:val="yellow"/>
          <w:shd w:val="clear" w:color="auto" w:fill="FFFFFF"/>
        </w:rPr>
        <w:t>28</w:t>
      </w:r>
      <w:r w:rsidRPr="009C474A">
        <w:rPr>
          <w:rFonts w:ascii="Arial" w:hAnsi="Arial" w:cs="Arial"/>
          <w:color w:val="222222"/>
          <w:sz w:val="20"/>
          <w:szCs w:val="20"/>
          <w:highlight w:val="yellow"/>
          <w:shd w:val="clear" w:color="auto" w:fill="FFFFFF"/>
        </w:rPr>
        <w:t>(12), 112-130.</w:t>
      </w:r>
    </w:p>
    <w:p w14:paraId="6D31C7D1"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KNBS. (2019). Economic Survey. Nairobi: Kenya National Bureau of Statistics.</w:t>
      </w:r>
    </w:p>
    <w:p w14:paraId="29CB80CF"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lastRenderedPageBreak/>
        <w:t>Lamond, G. (2007). What is a crime? Oxford Journal of Legal Studies,, 27(4), 609–632. doi:https://doi.org/10.1093/ojls/gqm018</w:t>
      </w:r>
    </w:p>
    <w:p w14:paraId="269296E6" w14:textId="7768E9A0" w:rsidR="00A4312A" w:rsidRPr="00F42FEC" w:rsidRDefault="00A4312A" w:rsidP="00A4312A">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lang w:val="fi-FI"/>
        </w:rPr>
        <w:t xml:space="preserve">Mansourihanis, O., Tilaki, M. J. M., Armitage, R., &amp; Zaroujtaghi, A. (2025). </w:t>
      </w:r>
      <w:r w:rsidRPr="00F42FEC">
        <w:rPr>
          <w:rFonts w:ascii="Arial" w:hAnsi="Arial" w:cs="Arial"/>
          <w:noProof/>
          <w:sz w:val="20"/>
          <w:szCs w:val="20"/>
        </w:rPr>
        <w:t xml:space="preserve">Evolution and prospects of Geographic Information Systems (GIS) applications in urban crime analysis: A review of literature. </w:t>
      </w:r>
      <w:r w:rsidRPr="00F42FEC">
        <w:rPr>
          <w:rFonts w:ascii="Arial" w:hAnsi="Arial" w:cs="Arial"/>
          <w:i/>
          <w:iCs/>
          <w:noProof/>
          <w:sz w:val="20"/>
          <w:szCs w:val="20"/>
        </w:rPr>
        <w:t>Remote Sensing Applications: Society and Environment, 38</w:t>
      </w:r>
      <w:r w:rsidRPr="00F42FEC">
        <w:rPr>
          <w:rFonts w:ascii="Arial" w:hAnsi="Arial" w:cs="Arial"/>
          <w:noProof/>
          <w:sz w:val="20"/>
          <w:szCs w:val="20"/>
        </w:rPr>
        <w:t xml:space="preserve">, 101583. </w:t>
      </w:r>
      <w:hyperlink r:id="rId17" w:tgtFrame="_new" w:history="1">
        <w:r w:rsidRPr="00F42FEC">
          <w:rPr>
            <w:rFonts w:ascii="Arial" w:hAnsi="Arial" w:cs="Arial"/>
            <w:noProof/>
            <w:sz w:val="20"/>
            <w:szCs w:val="20"/>
          </w:rPr>
          <w:t>https://doi.org/10.1016/j.rsase.2025.101583</w:t>
        </w:r>
      </w:hyperlink>
    </w:p>
    <w:p w14:paraId="6DE2C510" w14:textId="77777777" w:rsidR="00CB538D" w:rsidRPr="00F42FEC" w:rsidRDefault="00CB538D" w:rsidP="00CB538D">
      <w:pPr>
        <w:pStyle w:val="Bibliography"/>
        <w:spacing w:after="0" w:line="240" w:lineRule="auto"/>
        <w:ind w:left="720" w:hanging="720"/>
        <w:rPr>
          <w:rFonts w:ascii="Arial" w:hAnsi="Arial" w:cs="Arial"/>
          <w:noProof/>
          <w:sz w:val="20"/>
          <w:szCs w:val="20"/>
          <w:lang w:val="fi-FI"/>
        </w:rPr>
      </w:pPr>
      <w:r w:rsidRPr="00F42FEC">
        <w:rPr>
          <w:rFonts w:ascii="Arial" w:hAnsi="Arial" w:cs="Arial"/>
          <w:noProof/>
          <w:sz w:val="20"/>
          <w:szCs w:val="20"/>
        </w:rPr>
        <w:t xml:space="preserve">Moran, P.A., 1950. Notes on continuous stochastic phenomena. </w:t>
      </w:r>
      <w:r w:rsidRPr="00F42FEC">
        <w:rPr>
          <w:rFonts w:ascii="Arial" w:hAnsi="Arial" w:cs="Arial"/>
          <w:noProof/>
          <w:sz w:val="20"/>
          <w:szCs w:val="20"/>
          <w:lang w:val="fi-FI"/>
        </w:rPr>
        <w:t xml:space="preserve">Biometrika 37, 17–23. </w:t>
      </w:r>
    </w:p>
    <w:p w14:paraId="51CDA640" w14:textId="2FAEE269" w:rsidR="00CB538D" w:rsidRPr="00D01F07" w:rsidRDefault="00CB538D" w:rsidP="00D01F07">
      <w:pPr>
        <w:pStyle w:val="Bibliography"/>
        <w:spacing w:after="0" w:line="240" w:lineRule="auto"/>
        <w:ind w:left="720"/>
        <w:rPr>
          <w:rFonts w:ascii="Arial" w:hAnsi="Arial" w:cs="Arial"/>
          <w:noProof/>
          <w:sz w:val="20"/>
          <w:szCs w:val="20"/>
          <w:lang w:val="fi-FI"/>
        </w:rPr>
      </w:pPr>
      <w:r w:rsidRPr="00F42FEC">
        <w:rPr>
          <w:rFonts w:ascii="Arial" w:hAnsi="Arial" w:cs="Arial"/>
          <w:noProof/>
          <w:sz w:val="20"/>
          <w:szCs w:val="20"/>
          <w:lang w:val="fi-FI"/>
        </w:rPr>
        <w:t>https://doi.org/10.1093/biomet/37.1-2.17.</w:t>
      </w:r>
    </w:p>
    <w:p w14:paraId="7F193D9E" w14:textId="63A234D2"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lang w:val="sv-SE"/>
        </w:rPr>
        <w:t xml:space="preserve">Muindi, K., Mberu, B., Aboderin, I., &amp; Amugsi, D. (2022). </w:t>
      </w:r>
      <w:r w:rsidRPr="00D01F07">
        <w:rPr>
          <w:rFonts w:ascii="Arial" w:hAnsi="Arial" w:cs="Arial"/>
          <w:noProof/>
          <w:sz w:val="20"/>
          <w:szCs w:val="20"/>
        </w:rPr>
        <w:t>Conflict and crime in municipal solid waste management: evidence from Mombasa and Nairobi, Kenya. Cities and Health. 6(1), 159–167. doi: https://doi.org/10.1080/23748834.2020.1810600</w:t>
      </w:r>
    </w:p>
    <w:p w14:paraId="065DCDFD" w14:textId="77777777" w:rsidR="003D3745" w:rsidRPr="00D01F07"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 xml:space="preserve">Nilsson, L. (2021). The Portrayal Of Crime Printed News Media’s Representation Of Crime in MALMO. August. </w:t>
      </w:r>
    </w:p>
    <w:p w14:paraId="57B4127D" w14:textId="131BBB8C" w:rsidR="003D3745" w:rsidRDefault="003D3745" w:rsidP="00D01F07">
      <w:pPr>
        <w:pStyle w:val="Bibliography"/>
        <w:spacing w:after="0" w:line="240" w:lineRule="auto"/>
        <w:ind w:left="720" w:hanging="720"/>
        <w:rPr>
          <w:rFonts w:ascii="Arial" w:hAnsi="Arial" w:cs="Arial"/>
          <w:noProof/>
          <w:sz w:val="20"/>
          <w:szCs w:val="20"/>
        </w:rPr>
      </w:pPr>
      <w:r w:rsidRPr="00D01F07">
        <w:rPr>
          <w:rFonts w:ascii="Arial" w:hAnsi="Arial" w:cs="Arial"/>
          <w:noProof/>
          <w:sz w:val="20"/>
          <w:szCs w:val="20"/>
        </w:rPr>
        <w:t xml:space="preserve">NPS. (2019). National Police Service annual report 2022 Service with dignity. </w:t>
      </w:r>
    </w:p>
    <w:p w14:paraId="29F6B0D1" w14:textId="77777777" w:rsidR="009C474A" w:rsidRPr="009C474A" w:rsidRDefault="009C474A" w:rsidP="009C474A"/>
    <w:p w14:paraId="1B02C609" w14:textId="757C2F80" w:rsidR="0042790B" w:rsidRPr="0042790B" w:rsidRDefault="0042790B" w:rsidP="0042790B">
      <w:r w:rsidRPr="009C474A">
        <w:rPr>
          <w:rFonts w:ascii="Arial" w:hAnsi="Arial" w:cs="Arial"/>
          <w:color w:val="222222"/>
          <w:sz w:val="20"/>
          <w:szCs w:val="20"/>
          <w:highlight w:val="yellow"/>
          <w:shd w:val="clear" w:color="auto" w:fill="FFFFFF"/>
        </w:rPr>
        <w:t>Osgood, D. W. (2017). Poisson-based regression analysis of aggregate crime rates. In </w:t>
      </w:r>
      <w:r w:rsidRPr="009C474A">
        <w:rPr>
          <w:rFonts w:ascii="Arial" w:hAnsi="Arial" w:cs="Arial"/>
          <w:i/>
          <w:iCs/>
          <w:color w:val="222222"/>
          <w:sz w:val="20"/>
          <w:szCs w:val="20"/>
          <w:highlight w:val="yellow"/>
          <w:shd w:val="clear" w:color="auto" w:fill="FFFFFF"/>
        </w:rPr>
        <w:t>Quantitative methods in criminology</w:t>
      </w:r>
      <w:r w:rsidRPr="009C474A">
        <w:rPr>
          <w:rFonts w:ascii="Arial" w:hAnsi="Arial" w:cs="Arial"/>
          <w:color w:val="222222"/>
          <w:sz w:val="20"/>
          <w:szCs w:val="20"/>
          <w:highlight w:val="yellow"/>
          <w:shd w:val="clear" w:color="auto" w:fill="FFFFFF"/>
        </w:rPr>
        <w:t> (pp. 577-599). Routledge.</w:t>
      </w:r>
    </w:p>
    <w:p w14:paraId="32362C5D" w14:textId="34BBEC41" w:rsidR="003D3745" w:rsidRDefault="003D3745" w:rsidP="00D01F07">
      <w:pPr>
        <w:pStyle w:val="Bibliography"/>
        <w:spacing w:after="0" w:line="240" w:lineRule="auto"/>
        <w:ind w:left="720" w:hanging="720"/>
        <w:rPr>
          <w:rFonts w:ascii="Arial" w:hAnsi="Arial" w:cs="Arial"/>
          <w:noProof/>
          <w:sz w:val="20"/>
          <w:szCs w:val="20"/>
        </w:rPr>
      </w:pPr>
    </w:p>
    <w:p w14:paraId="04733690" w14:textId="1BF51E9C" w:rsidR="006C7DFF" w:rsidRPr="006C7DFF" w:rsidRDefault="006C7DFF" w:rsidP="006C7DFF">
      <w:r w:rsidRPr="000C347D">
        <w:rPr>
          <w:rFonts w:ascii="Arial" w:hAnsi="Arial" w:cs="Arial"/>
          <w:color w:val="222222"/>
          <w:sz w:val="20"/>
          <w:szCs w:val="20"/>
          <w:highlight w:val="yellow"/>
          <w:shd w:val="clear" w:color="auto" w:fill="FFFFFF"/>
        </w:rPr>
        <w:t>Perez, R. (2022). An analysis of the suspect: The impact of economic conditions on crime.</w:t>
      </w:r>
    </w:p>
    <w:p w14:paraId="6B6663A0" w14:textId="77777777" w:rsidR="00173795" w:rsidRPr="00F42FEC" w:rsidRDefault="00173795" w:rsidP="00F42FEC">
      <w:pPr>
        <w:pStyle w:val="Bibliography"/>
        <w:spacing w:after="0" w:line="240" w:lineRule="auto"/>
        <w:ind w:left="720" w:hanging="720"/>
        <w:rPr>
          <w:rFonts w:ascii="Arial" w:hAnsi="Arial" w:cs="Arial"/>
          <w:noProof/>
          <w:sz w:val="20"/>
          <w:szCs w:val="20"/>
        </w:rPr>
      </w:pPr>
      <w:r w:rsidRPr="00C2195F">
        <w:rPr>
          <w:rFonts w:ascii="Arial" w:hAnsi="Arial" w:cs="Arial"/>
          <w:noProof/>
          <w:sz w:val="20"/>
          <w:szCs w:val="20"/>
        </w:rPr>
        <w:t xml:space="preserve">R Core Team, 2022., R: A language and environment for statistical computing. R Foundation for Statistical Computing, Vienna, Austria. </w:t>
      </w:r>
      <w:hyperlink r:id="rId18" w:history="1">
        <w:r w:rsidRPr="00C2195F">
          <w:rPr>
            <w:rFonts w:ascii="Arial" w:hAnsi="Arial" w:cs="Arial"/>
            <w:noProof/>
            <w:sz w:val="20"/>
            <w:szCs w:val="20"/>
          </w:rPr>
          <w:t>https://www.R-project.org/</w:t>
        </w:r>
      </w:hyperlink>
      <w:r w:rsidRPr="00C2195F">
        <w:rPr>
          <w:rFonts w:ascii="Arial" w:hAnsi="Arial" w:cs="Arial"/>
          <w:noProof/>
          <w:sz w:val="20"/>
          <w:szCs w:val="20"/>
        </w:rPr>
        <w:t>.</w:t>
      </w:r>
    </w:p>
    <w:p w14:paraId="6350B54A" w14:textId="77777777" w:rsidR="003D3745" w:rsidRDefault="003D3745" w:rsidP="00D01F07">
      <w:pPr>
        <w:pStyle w:val="Bibliography"/>
        <w:spacing w:after="0" w:line="240" w:lineRule="auto"/>
        <w:ind w:left="720" w:hanging="720"/>
        <w:rPr>
          <w:rFonts w:ascii="Arial" w:hAnsi="Arial" w:cs="Arial"/>
          <w:noProof/>
          <w:sz w:val="20"/>
          <w:szCs w:val="20"/>
        </w:rPr>
      </w:pPr>
      <w:r w:rsidRPr="00054761">
        <w:rPr>
          <w:rFonts w:ascii="Arial" w:hAnsi="Arial" w:cs="Arial"/>
          <w:noProof/>
          <w:sz w:val="20"/>
          <w:szCs w:val="20"/>
          <w:highlight w:val="yellow"/>
        </w:rPr>
        <w:t>Sigel, L. (2016). Criminology, Theories, Patterns and Typology. New York: West Publishing.</w:t>
      </w:r>
    </w:p>
    <w:p w14:paraId="4D670147" w14:textId="77777777" w:rsidR="00486344" w:rsidRDefault="00486344" w:rsidP="00486344">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rPr>
        <w:t>Wang, D., Ding, W., Lo, H., &amp; Stepinski, T. (2013). Crime hotspot mapping using the crime related factors - A spatial data mining approach. Applied Intelligence, 39, 772. doi:DOI:10.1007/s10489-012-0400-x</w:t>
      </w:r>
    </w:p>
    <w:p w14:paraId="47A691AC" w14:textId="77777777" w:rsidR="00486344" w:rsidRPr="00F42FEC" w:rsidRDefault="00486344" w:rsidP="00F42FEC">
      <w:pPr>
        <w:pStyle w:val="Bibliography"/>
        <w:spacing w:after="0" w:line="240" w:lineRule="auto"/>
        <w:ind w:left="720" w:hanging="720"/>
        <w:rPr>
          <w:rFonts w:ascii="Arial" w:hAnsi="Arial" w:cs="Arial"/>
          <w:noProof/>
          <w:sz w:val="20"/>
          <w:szCs w:val="20"/>
        </w:rPr>
      </w:pPr>
      <w:r w:rsidRPr="00F42FEC">
        <w:rPr>
          <w:rFonts w:ascii="Arial" w:hAnsi="Arial" w:cs="Arial"/>
          <w:noProof/>
          <w:sz w:val="20"/>
          <w:szCs w:val="20"/>
        </w:rPr>
        <w:t>Yar, P., &amp; Nasir, J. (2016). GIS Based Spatial and Temporal Analysis of Crimes, a Case Study of Mardan City, Pakistan. International Journal of Geosciences, 7, 325 - 334. doi:doi: 10.4236/ijg.2016.73025.</w:t>
      </w:r>
    </w:p>
    <w:p w14:paraId="0D8CA108" w14:textId="2A47B8FE" w:rsidR="003348C3" w:rsidRPr="00D01F07" w:rsidRDefault="003D3745" w:rsidP="00D01F07">
      <w:pPr>
        <w:pStyle w:val="Bibliography"/>
        <w:spacing w:after="0" w:line="240" w:lineRule="auto"/>
        <w:ind w:left="720" w:hanging="720"/>
        <w:rPr>
          <w:rFonts w:ascii="Arial" w:hAnsi="Arial" w:cs="Arial"/>
          <w:noProof/>
          <w:sz w:val="20"/>
          <w:szCs w:val="20"/>
        </w:rPr>
      </w:pPr>
      <w:r w:rsidRPr="00E158E6">
        <w:rPr>
          <w:rFonts w:ascii="Arial" w:hAnsi="Arial" w:cs="Arial"/>
          <w:noProof/>
          <w:sz w:val="20"/>
          <w:szCs w:val="20"/>
          <w:lang w:val="en-GB"/>
        </w:rPr>
        <w:t xml:space="preserve">Zhanjun, H., Zhipeng, W., Zhong, X., &amp; Liang, W. (2022). </w:t>
      </w:r>
      <w:r w:rsidRPr="00D01F07">
        <w:rPr>
          <w:rFonts w:ascii="Arial" w:hAnsi="Arial" w:cs="Arial"/>
          <w:noProof/>
          <w:sz w:val="20"/>
          <w:szCs w:val="20"/>
        </w:rPr>
        <w:t>Multiscale analysis of the influence of street built environment on crime occurrence using street-view images. Computer, Environment and Urban Systems, 97(3).</w:t>
      </w:r>
    </w:p>
    <w:p w14:paraId="670A5B23" w14:textId="77777777" w:rsidR="003348C3" w:rsidRDefault="003348C3" w:rsidP="003348C3"/>
    <w:p w14:paraId="23858E88" w14:textId="77777777" w:rsidR="00D93168" w:rsidRDefault="00D93168"/>
    <w:sectPr w:rsidR="00D9316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E7EA8"/>
    <w:multiLevelType w:val="hybridMultilevel"/>
    <w:tmpl w:val="7B8E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90257"/>
    <w:multiLevelType w:val="hybridMultilevel"/>
    <w:tmpl w:val="E3F275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2970F2E"/>
    <w:multiLevelType w:val="hybridMultilevel"/>
    <w:tmpl w:val="0D2A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336C40"/>
    <w:multiLevelType w:val="hybridMultilevel"/>
    <w:tmpl w:val="5980F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7F3FBD"/>
    <w:multiLevelType w:val="multilevel"/>
    <w:tmpl w:val="C9485DD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A813765"/>
    <w:multiLevelType w:val="hybridMultilevel"/>
    <w:tmpl w:val="569AE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146199"/>
    <w:multiLevelType w:val="hybridMultilevel"/>
    <w:tmpl w:val="0102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8C3"/>
    <w:rsid w:val="00004BA1"/>
    <w:rsid w:val="00006D2E"/>
    <w:rsid w:val="000215E1"/>
    <w:rsid w:val="00033E6D"/>
    <w:rsid w:val="00043EA2"/>
    <w:rsid w:val="00054761"/>
    <w:rsid w:val="00054AFC"/>
    <w:rsid w:val="00055708"/>
    <w:rsid w:val="00072619"/>
    <w:rsid w:val="000825EF"/>
    <w:rsid w:val="00082A5A"/>
    <w:rsid w:val="00086960"/>
    <w:rsid w:val="000A45E5"/>
    <w:rsid w:val="000C347D"/>
    <w:rsid w:val="000E5631"/>
    <w:rsid w:val="001264B4"/>
    <w:rsid w:val="00130033"/>
    <w:rsid w:val="0013200C"/>
    <w:rsid w:val="00136411"/>
    <w:rsid w:val="0016377B"/>
    <w:rsid w:val="0016781B"/>
    <w:rsid w:val="00173795"/>
    <w:rsid w:val="001757E8"/>
    <w:rsid w:val="001A079D"/>
    <w:rsid w:val="001B01C6"/>
    <w:rsid w:val="001D5613"/>
    <w:rsid w:val="00222173"/>
    <w:rsid w:val="00225485"/>
    <w:rsid w:val="00232C23"/>
    <w:rsid w:val="002367FB"/>
    <w:rsid w:val="00240BD4"/>
    <w:rsid w:val="00251764"/>
    <w:rsid w:val="0025250D"/>
    <w:rsid w:val="002574F8"/>
    <w:rsid w:val="002A1CFF"/>
    <w:rsid w:val="002B1555"/>
    <w:rsid w:val="002B2B35"/>
    <w:rsid w:val="002C15B5"/>
    <w:rsid w:val="002E094C"/>
    <w:rsid w:val="002E0DAD"/>
    <w:rsid w:val="002F0790"/>
    <w:rsid w:val="0030126E"/>
    <w:rsid w:val="0030722F"/>
    <w:rsid w:val="00323979"/>
    <w:rsid w:val="00326EDB"/>
    <w:rsid w:val="003275D5"/>
    <w:rsid w:val="00332A57"/>
    <w:rsid w:val="003348C3"/>
    <w:rsid w:val="00335C06"/>
    <w:rsid w:val="00372BC2"/>
    <w:rsid w:val="003A6D1B"/>
    <w:rsid w:val="003B59CD"/>
    <w:rsid w:val="003D3380"/>
    <w:rsid w:val="003D3745"/>
    <w:rsid w:val="004076F0"/>
    <w:rsid w:val="00410D33"/>
    <w:rsid w:val="0041587F"/>
    <w:rsid w:val="00417E3D"/>
    <w:rsid w:val="00425B5F"/>
    <w:rsid w:val="0042790B"/>
    <w:rsid w:val="00432D8B"/>
    <w:rsid w:val="004355D8"/>
    <w:rsid w:val="00447373"/>
    <w:rsid w:val="004631D5"/>
    <w:rsid w:val="0047243D"/>
    <w:rsid w:val="00486344"/>
    <w:rsid w:val="00495BE9"/>
    <w:rsid w:val="0049605E"/>
    <w:rsid w:val="004B58EE"/>
    <w:rsid w:val="004D447D"/>
    <w:rsid w:val="004E3CE7"/>
    <w:rsid w:val="004E7E1D"/>
    <w:rsid w:val="0051413C"/>
    <w:rsid w:val="00514347"/>
    <w:rsid w:val="00555F55"/>
    <w:rsid w:val="00562A47"/>
    <w:rsid w:val="005732B6"/>
    <w:rsid w:val="00581704"/>
    <w:rsid w:val="00583E5F"/>
    <w:rsid w:val="00593197"/>
    <w:rsid w:val="005A380B"/>
    <w:rsid w:val="005B5743"/>
    <w:rsid w:val="005B722A"/>
    <w:rsid w:val="005D1E45"/>
    <w:rsid w:val="005D587E"/>
    <w:rsid w:val="005E25DA"/>
    <w:rsid w:val="00603123"/>
    <w:rsid w:val="006227C4"/>
    <w:rsid w:val="00627B79"/>
    <w:rsid w:val="00651148"/>
    <w:rsid w:val="00656C46"/>
    <w:rsid w:val="00656EDF"/>
    <w:rsid w:val="00671830"/>
    <w:rsid w:val="006941CF"/>
    <w:rsid w:val="006A3815"/>
    <w:rsid w:val="006A456A"/>
    <w:rsid w:val="006A607E"/>
    <w:rsid w:val="006B052B"/>
    <w:rsid w:val="006B2044"/>
    <w:rsid w:val="006C3729"/>
    <w:rsid w:val="006C7DFF"/>
    <w:rsid w:val="006D3C0E"/>
    <w:rsid w:val="006D6AD9"/>
    <w:rsid w:val="00700DC9"/>
    <w:rsid w:val="00713A42"/>
    <w:rsid w:val="007165B2"/>
    <w:rsid w:val="00737006"/>
    <w:rsid w:val="00737A06"/>
    <w:rsid w:val="00751C09"/>
    <w:rsid w:val="00751D17"/>
    <w:rsid w:val="007522C6"/>
    <w:rsid w:val="00756B31"/>
    <w:rsid w:val="007849A5"/>
    <w:rsid w:val="007A6F20"/>
    <w:rsid w:val="007C6E67"/>
    <w:rsid w:val="007D365E"/>
    <w:rsid w:val="007D6E8D"/>
    <w:rsid w:val="008072C1"/>
    <w:rsid w:val="00821F14"/>
    <w:rsid w:val="0084789C"/>
    <w:rsid w:val="00852678"/>
    <w:rsid w:val="00880B8C"/>
    <w:rsid w:val="008930AF"/>
    <w:rsid w:val="00895A39"/>
    <w:rsid w:val="008A5F70"/>
    <w:rsid w:val="00904306"/>
    <w:rsid w:val="00905B8F"/>
    <w:rsid w:val="00915127"/>
    <w:rsid w:val="00917733"/>
    <w:rsid w:val="00934B18"/>
    <w:rsid w:val="00937C08"/>
    <w:rsid w:val="00940C9D"/>
    <w:rsid w:val="00951B55"/>
    <w:rsid w:val="00954852"/>
    <w:rsid w:val="009712A7"/>
    <w:rsid w:val="009A78C7"/>
    <w:rsid w:val="009C441F"/>
    <w:rsid w:val="009C474A"/>
    <w:rsid w:val="009C62B6"/>
    <w:rsid w:val="00A4312A"/>
    <w:rsid w:val="00A852EF"/>
    <w:rsid w:val="00A92F97"/>
    <w:rsid w:val="00AB7617"/>
    <w:rsid w:val="00AC673A"/>
    <w:rsid w:val="00AD1E14"/>
    <w:rsid w:val="00AD2A87"/>
    <w:rsid w:val="00AD606C"/>
    <w:rsid w:val="00AD68BC"/>
    <w:rsid w:val="00AF2271"/>
    <w:rsid w:val="00AF2897"/>
    <w:rsid w:val="00B01322"/>
    <w:rsid w:val="00B0564F"/>
    <w:rsid w:val="00B50E98"/>
    <w:rsid w:val="00B51868"/>
    <w:rsid w:val="00B74204"/>
    <w:rsid w:val="00B95AE5"/>
    <w:rsid w:val="00BA0898"/>
    <w:rsid w:val="00BB0220"/>
    <w:rsid w:val="00BB1910"/>
    <w:rsid w:val="00BB4361"/>
    <w:rsid w:val="00BC7DAA"/>
    <w:rsid w:val="00C03BED"/>
    <w:rsid w:val="00C04D68"/>
    <w:rsid w:val="00C05102"/>
    <w:rsid w:val="00C07615"/>
    <w:rsid w:val="00C1093E"/>
    <w:rsid w:val="00C12D40"/>
    <w:rsid w:val="00C153DE"/>
    <w:rsid w:val="00C2195F"/>
    <w:rsid w:val="00C33E88"/>
    <w:rsid w:val="00C42C43"/>
    <w:rsid w:val="00C44E2E"/>
    <w:rsid w:val="00C50CDD"/>
    <w:rsid w:val="00C712AF"/>
    <w:rsid w:val="00C832FF"/>
    <w:rsid w:val="00C8559D"/>
    <w:rsid w:val="00C94A64"/>
    <w:rsid w:val="00CB02AB"/>
    <w:rsid w:val="00CB538D"/>
    <w:rsid w:val="00CC3735"/>
    <w:rsid w:val="00CD56DB"/>
    <w:rsid w:val="00CE12B7"/>
    <w:rsid w:val="00CE499F"/>
    <w:rsid w:val="00CF0984"/>
    <w:rsid w:val="00CF7837"/>
    <w:rsid w:val="00D01F07"/>
    <w:rsid w:val="00D50B67"/>
    <w:rsid w:val="00D71232"/>
    <w:rsid w:val="00D8581F"/>
    <w:rsid w:val="00D93168"/>
    <w:rsid w:val="00DD0F9B"/>
    <w:rsid w:val="00DD14F1"/>
    <w:rsid w:val="00DE5FC3"/>
    <w:rsid w:val="00DF1B23"/>
    <w:rsid w:val="00DF3DC2"/>
    <w:rsid w:val="00E158E6"/>
    <w:rsid w:val="00E15A65"/>
    <w:rsid w:val="00E22439"/>
    <w:rsid w:val="00E246F9"/>
    <w:rsid w:val="00E31D64"/>
    <w:rsid w:val="00E576EA"/>
    <w:rsid w:val="00E608EA"/>
    <w:rsid w:val="00E656CF"/>
    <w:rsid w:val="00E83A6D"/>
    <w:rsid w:val="00EA12C9"/>
    <w:rsid w:val="00EA4859"/>
    <w:rsid w:val="00ED5726"/>
    <w:rsid w:val="00EE5869"/>
    <w:rsid w:val="00F147AB"/>
    <w:rsid w:val="00F32774"/>
    <w:rsid w:val="00F40003"/>
    <w:rsid w:val="00F42FEC"/>
    <w:rsid w:val="00F63C79"/>
    <w:rsid w:val="00F75AF4"/>
    <w:rsid w:val="00F8593C"/>
    <w:rsid w:val="00F87FE5"/>
    <w:rsid w:val="00FA053C"/>
    <w:rsid w:val="00FB7288"/>
    <w:rsid w:val="00FD4AE0"/>
    <w:rsid w:val="00FD5BFE"/>
    <w:rsid w:val="00FE4638"/>
    <w:rsid w:val="00FE7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534C78"/>
  <w15:chartTrackingRefBased/>
  <w15:docId w15:val="{0D210D8F-B159-448F-B26F-798BFCE17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8C3"/>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3348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348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348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348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348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348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48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48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48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8C3"/>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3348C3"/>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3348C3"/>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3348C3"/>
    <w:rPr>
      <w:rFonts w:eastAsiaTheme="majorEastAsia" w:cstheme="majorBidi"/>
      <w:i/>
      <w:iCs/>
      <w:color w:val="2F5496"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3348C3"/>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3348C3"/>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3348C3"/>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3348C3"/>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3348C3"/>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3348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8C3"/>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3348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48C3"/>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3348C3"/>
    <w:pPr>
      <w:spacing w:before="160"/>
      <w:jc w:val="center"/>
    </w:pPr>
    <w:rPr>
      <w:i/>
      <w:iCs/>
      <w:color w:val="404040" w:themeColor="text1" w:themeTint="BF"/>
    </w:rPr>
  </w:style>
  <w:style w:type="character" w:customStyle="1" w:styleId="QuoteChar">
    <w:name w:val="Quote Char"/>
    <w:basedOn w:val="DefaultParagraphFont"/>
    <w:link w:val="Quote"/>
    <w:uiPriority w:val="29"/>
    <w:rsid w:val="003348C3"/>
    <w:rPr>
      <w:i/>
      <w:iCs/>
      <w:color w:val="404040" w:themeColor="text1" w:themeTint="BF"/>
      <w:kern w:val="2"/>
      <w:sz w:val="24"/>
      <w:szCs w:val="24"/>
      <w14:ligatures w14:val="standardContextual"/>
    </w:rPr>
  </w:style>
  <w:style w:type="paragraph" w:styleId="ListParagraph">
    <w:name w:val="List Paragraph"/>
    <w:basedOn w:val="Normal"/>
    <w:uiPriority w:val="34"/>
    <w:qFormat/>
    <w:rsid w:val="003348C3"/>
    <w:pPr>
      <w:ind w:left="720"/>
      <w:contextualSpacing/>
    </w:pPr>
  </w:style>
  <w:style w:type="character" w:styleId="IntenseEmphasis">
    <w:name w:val="Intense Emphasis"/>
    <w:basedOn w:val="DefaultParagraphFont"/>
    <w:uiPriority w:val="21"/>
    <w:qFormat/>
    <w:rsid w:val="003348C3"/>
    <w:rPr>
      <w:i/>
      <w:iCs/>
      <w:color w:val="2F5496" w:themeColor="accent1" w:themeShade="BF"/>
    </w:rPr>
  </w:style>
  <w:style w:type="paragraph" w:styleId="IntenseQuote">
    <w:name w:val="Intense Quote"/>
    <w:basedOn w:val="Normal"/>
    <w:next w:val="Normal"/>
    <w:link w:val="IntenseQuoteChar"/>
    <w:uiPriority w:val="30"/>
    <w:qFormat/>
    <w:rsid w:val="003348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348C3"/>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3348C3"/>
    <w:rPr>
      <w:b/>
      <w:bCs/>
      <w:smallCaps/>
      <w:color w:val="2F5496" w:themeColor="accent1" w:themeShade="BF"/>
      <w:spacing w:val="5"/>
    </w:rPr>
  </w:style>
  <w:style w:type="paragraph" w:customStyle="1" w:styleId="Author">
    <w:name w:val="Author"/>
    <w:basedOn w:val="Normal"/>
    <w:rsid w:val="003348C3"/>
    <w:pPr>
      <w:spacing w:after="0" w:line="280" w:lineRule="exact"/>
      <w:jc w:val="right"/>
    </w:pPr>
    <w:rPr>
      <w:rFonts w:ascii="Helvetica" w:eastAsia="Times New Roman" w:hAnsi="Helvetica" w:cs="Times New Roman"/>
      <w:b/>
      <w:kern w:val="0"/>
      <w:szCs w:val="20"/>
      <w14:ligatures w14:val="none"/>
    </w:rPr>
  </w:style>
  <w:style w:type="paragraph" w:customStyle="1" w:styleId="Affiliation">
    <w:name w:val="Affiliation"/>
    <w:basedOn w:val="Normal"/>
    <w:rsid w:val="003348C3"/>
    <w:pPr>
      <w:spacing w:after="240" w:line="240" w:lineRule="exact"/>
      <w:jc w:val="right"/>
    </w:pPr>
    <w:rPr>
      <w:rFonts w:ascii="Helvetica" w:eastAsia="Times New Roman" w:hAnsi="Helvetica" w:cs="Times New Roman"/>
      <w:kern w:val="0"/>
      <w:sz w:val="20"/>
      <w:szCs w:val="20"/>
      <w14:ligatures w14:val="none"/>
    </w:rPr>
  </w:style>
  <w:style w:type="paragraph" w:customStyle="1" w:styleId="Body">
    <w:name w:val="Body"/>
    <w:basedOn w:val="Normal"/>
    <w:rsid w:val="003348C3"/>
    <w:pPr>
      <w:spacing w:after="240" w:line="240" w:lineRule="auto"/>
      <w:jc w:val="both"/>
    </w:pPr>
    <w:rPr>
      <w:rFonts w:ascii="Helvetica" w:eastAsia="Times New Roman" w:hAnsi="Helvetica" w:cs="Times New Roman"/>
      <w:kern w:val="0"/>
      <w:sz w:val="20"/>
      <w:szCs w:val="20"/>
      <w14:ligatures w14:val="none"/>
    </w:rPr>
  </w:style>
  <w:style w:type="paragraph" w:styleId="Bibliography">
    <w:name w:val="Bibliography"/>
    <w:basedOn w:val="Normal"/>
    <w:next w:val="Normal"/>
    <w:uiPriority w:val="37"/>
    <w:unhideWhenUsed/>
    <w:rsid w:val="003348C3"/>
  </w:style>
  <w:style w:type="character" w:styleId="Hyperlink">
    <w:name w:val="Hyperlink"/>
    <w:basedOn w:val="DefaultParagraphFont"/>
    <w:uiPriority w:val="99"/>
    <w:unhideWhenUsed/>
    <w:rsid w:val="003348C3"/>
    <w:rPr>
      <w:color w:val="0563C1" w:themeColor="hyperlink"/>
      <w:u w:val="single"/>
    </w:rPr>
  </w:style>
  <w:style w:type="character" w:customStyle="1" w:styleId="UnresolvedMention1">
    <w:name w:val="Unresolved Mention1"/>
    <w:basedOn w:val="DefaultParagraphFont"/>
    <w:uiPriority w:val="99"/>
    <w:semiHidden/>
    <w:unhideWhenUsed/>
    <w:rsid w:val="003348C3"/>
    <w:rPr>
      <w:color w:val="605E5C"/>
      <w:shd w:val="clear" w:color="auto" w:fill="E1DFDD"/>
    </w:rPr>
  </w:style>
  <w:style w:type="table" w:styleId="TableGrid">
    <w:name w:val="Table Grid"/>
    <w:basedOn w:val="TableNormal"/>
    <w:uiPriority w:val="39"/>
    <w:rsid w:val="003348C3"/>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48C3"/>
    <w:pPr>
      <w:spacing w:after="0" w:line="240" w:lineRule="auto"/>
    </w:pPr>
    <w:rPr>
      <w:kern w:val="2"/>
      <w:sz w:val="24"/>
      <w:szCs w:val="24"/>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FE7AC1"/>
    <w:pPr>
      <w:spacing w:after="0" w:line="240" w:lineRule="auto"/>
    </w:pPr>
    <w:rPr>
      <w:kern w:val="2"/>
      <w:sz w:val="24"/>
      <w:szCs w:val="24"/>
      <w14:ligatures w14:val="standardContextual"/>
    </w:rPr>
  </w:style>
  <w:style w:type="character" w:styleId="CommentReference">
    <w:name w:val="annotation reference"/>
    <w:basedOn w:val="DefaultParagraphFont"/>
    <w:uiPriority w:val="99"/>
    <w:semiHidden/>
    <w:unhideWhenUsed/>
    <w:rsid w:val="009712A7"/>
    <w:rPr>
      <w:sz w:val="16"/>
      <w:szCs w:val="16"/>
    </w:rPr>
  </w:style>
  <w:style w:type="paragraph" w:styleId="CommentText">
    <w:name w:val="annotation text"/>
    <w:basedOn w:val="Normal"/>
    <w:link w:val="CommentTextChar"/>
    <w:uiPriority w:val="99"/>
    <w:unhideWhenUsed/>
    <w:rsid w:val="009712A7"/>
    <w:pPr>
      <w:spacing w:line="240" w:lineRule="auto"/>
    </w:pPr>
    <w:rPr>
      <w:sz w:val="20"/>
      <w:szCs w:val="20"/>
    </w:rPr>
  </w:style>
  <w:style w:type="character" w:customStyle="1" w:styleId="CommentTextChar">
    <w:name w:val="Comment Text Char"/>
    <w:basedOn w:val="DefaultParagraphFont"/>
    <w:link w:val="CommentText"/>
    <w:uiPriority w:val="99"/>
    <w:rsid w:val="009712A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9712A7"/>
    <w:rPr>
      <w:b/>
      <w:bCs/>
    </w:rPr>
  </w:style>
  <w:style w:type="character" w:customStyle="1" w:styleId="CommentSubjectChar">
    <w:name w:val="Comment Subject Char"/>
    <w:basedOn w:val="CommentTextChar"/>
    <w:link w:val="CommentSubject"/>
    <w:uiPriority w:val="99"/>
    <w:semiHidden/>
    <w:rsid w:val="009712A7"/>
    <w:rPr>
      <w:b/>
      <w:bCs/>
      <w:kern w:val="2"/>
      <w:sz w:val="20"/>
      <w:szCs w:val="20"/>
      <w14:ligatures w14:val="standardContextual"/>
    </w:rPr>
  </w:style>
  <w:style w:type="paragraph" w:styleId="Caption">
    <w:name w:val="caption"/>
    <w:basedOn w:val="Normal"/>
    <w:next w:val="Normal"/>
    <w:uiPriority w:val="35"/>
    <w:unhideWhenUsed/>
    <w:qFormat/>
    <w:rsid w:val="005732B6"/>
    <w:pPr>
      <w:spacing w:after="200" w:line="240" w:lineRule="auto"/>
    </w:pPr>
    <w:rPr>
      <w:rFonts w:ascii="Times New Roman" w:eastAsia="Times New Roman" w:hAnsi="Times New Roman" w:cs="Times New Roman"/>
      <w:i/>
      <w:iCs/>
      <w:color w:val="44546A" w:themeColor="text2"/>
      <w:kern w:val="0"/>
      <w:sz w:val="18"/>
      <w:szCs w:val="18"/>
      <w14:ligatures w14:val="none"/>
    </w:rPr>
  </w:style>
  <w:style w:type="character" w:styleId="PlaceholderText">
    <w:name w:val="Placeholder Text"/>
    <w:basedOn w:val="DefaultParagraphFont"/>
    <w:uiPriority w:val="99"/>
    <w:semiHidden/>
    <w:rsid w:val="009C441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6737021">
      <w:bodyDiv w:val="1"/>
      <w:marLeft w:val="0"/>
      <w:marRight w:val="0"/>
      <w:marTop w:val="0"/>
      <w:marBottom w:val="0"/>
      <w:divBdr>
        <w:top w:val="none" w:sz="0" w:space="0" w:color="auto"/>
        <w:left w:val="none" w:sz="0" w:space="0" w:color="auto"/>
        <w:bottom w:val="none" w:sz="0" w:space="0" w:color="auto"/>
        <w:right w:val="none" w:sz="0" w:space="0" w:color="auto"/>
      </w:divBdr>
    </w:div>
    <w:div w:id="881744394">
      <w:bodyDiv w:val="1"/>
      <w:marLeft w:val="0"/>
      <w:marRight w:val="0"/>
      <w:marTop w:val="0"/>
      <w:marBottom w:val="0"/>
      <w:divBdr>
        <w:top w:val="none" w:sz="0" w:space="0" w:color="auto"/>
        <w:left w:val="none" w:sz="0" w:space="0" w:color="auto"/>
        <w:bottom w:val="none" w:sz="0" w:space="0" w:color="auto"/>
        <w:right w:val="none" w:sz="0" w:space="0" w:color="auto"/>
      </w:divBdr>
    </w:div>
    <w:div w:id="966742946">
      <w:bodyDiv w:val="1"/>
      <w:marLeft w:val="0"/>
      <w:marRight w:val="0"/>
      <w:marTop w:val="0"/>
      <w:marBottom w:val="0"/>
      <w:divBdr>
        <w:top w:val="none" w:sz="0" w:space="0" w:color="auto"/>
        <w:left w:val="none" w:sz="0" w:space="0" w:color="auto"/>
        <w:bottom w:val="none" w:sz="0" w:space="0" w:color="auto"/>
        <w:right w:val="none" w:sz="0" w:space="0" w:color="auto"/>
      </w:divBdr>
    </w:div>
    <w:div w:id="1341660081">
      <w:bodyDiv w:val="1"/>
      <w:marLeft w:val="0"/>
      <w:marRight w:val="0"/>
      <w:marTop w:val="0"/>
      <w:marBottom w:val="0"/>
      <w:divBdr>
        <w:top w:val="none" w:sz="0" w:space="0" w:color="auto"/>
        <w:left w:val="none" w:sz="0" w:space="0" w:color="auto"/>
        <w:bottom w:val="none" w:sz="0" w:space="0" w:color="auto"/>
        <w:right w:val="none" w:sz="0" w:space="0" w:color="auto"/>
      </w:divBdr>
    </w:div>
    <w:div w:id="1506631744">
      <w:bodyDiv w:val="1"/>
      <w:marLeft w:val="0"/>
      <w:marRight w:val="0"/>
      <w:marTop w:val="0"/>
      <w:marBottom w:val="0"/>
      <w:divBdr>
        <w:top w:val="none" w:sz="0" w:space="0" w:color="auto"/>
        <w:left w:val="none" w:sz="0" w:space="0" w:color="auto"/>
        <w:bottom w:val="none" w:sz="0" w:space="0" w:color="auto"/>
        <w:right w:val="none" w:sz="0" w:space="0" w:color="auto"/>
      </w:divBdr>
    </w:div>
    <w:div w:id="1882859484">
      <w:bodyDiv w:val="1"/>
      <w:marLeft w:val="0"/>
      <w:marRight w:val="0"/>
      <w:marTop w:val="0"/>
      <w:marBottom w:val="0"/>
      <w:divBdr>
        <w:top w:val="none" w:sz="0" w:space="0" w:color="auto"/>
        <w:left w:val="none" w:sz="0" w:space="0" w:color="auto"/>
        <w:bottom w:val="none" w:sz="0" w:space="0" w:color="auto"/>
        <w:right w:val="none" w:sz="0" w:space="0" w:color="auto"/>
      </w:divBdr>
    </w:div>
    <w:div w:id="1901744684">
      <w:bodyDiv w:val="1"/>
      <w:marLeft w:val="0"/>
      <w:marRight w:val="0"/>
      <w:marTop w:val="0"/>
      <w:marBottom w:val="0"/>
      <w:divBdr>
        <w:top w:val="none" w:sz="0" w:space="0" w:color="auto"/>
        <w:left w:val="none" w:sz="0" w:space="0" w:color="auto"/>
        <w:bottom w:val="none" w:sz="0" w:space="0" w:color="auto"/>
        <w:right w:val="none" w:sz="0" w:space="0" w:color="auto"/>
      </w:divBdr>
    </w:div>
    <w:div w:id="191057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www.R-project.or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hyperlink" Target="https://doi.org/10.1016/j.rsase.2025.101583"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C3215-D0BC-43CB-9BD0-FAE5BB2CD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23</Pages>
  <Words>7664</Words>
  <Characters>43686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MESHACK MWANYOLO</dc:creator>
  <cp:keywords/>
  <dc:description/>
  <cp:lastModifiedBy>MESHACK MWANYOLO</cp:lastModifiedBy>
  <cp:revision>24</cp:revision>
  <dcterms:created xsi:type="dcterms:W3CDTF">2025-08-12T09:28:00Z</dcterms:created>
  <dcterms:modified xsi:type="dcterms:W3CDTF">2025-09-14T18:34:00Z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cc7042c2-e2c3-46bc-95e1-69bd977ee50d</vt:lpwstr>
  </property>
</Properties>
</file>