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506C0" w14:textId="121630C7" w:rsidR="00DA4A8B" w:rsidRPr="00D01B7A" w:rsidRDefault="00DA4A8B" w:rsidP="00810EFA">
      <w:pPr>
        <w:spacing w:line="360" w:lineRule="auto"/>
        <w:jc w:val="center"/>
        <w:rPr>
          <w:rFonts w:ascii="Arial" w:hAnsi="Arial" w:cs="Arial"/>
          <w:b/>
          <w:bCs/>
        </w:rPr>
      </w:pPr>
      <w:r w:rsidRPr="00D01B7A">
        <w:rPr>
          <w:rFonts w:ascii="Arial" w:hAnsi="Arial" w:cs="Arial"/>
          <w:b/>
          <w:bCs/>
        </w:rPr>
        <w:t>Exploring Ho</w:t>
      </w:r>
      <w:r w:rsidR="006204EB" w:rsidRPr="00D01B7A">
        <w:rPr>
          <w:rFonts w:ascii="Arial" w:hAnsi="Arial" w:cs="Arial"/>
          <w:b/>
          <w:bCs/>
        </w:rPr>
        <w:t>w Risk-Weighted Capital, Credit Risk, and Liquidity Risk</w:t>
      </w:r>
      <w:r w:rsidRPr="00D01B7A">
        <w:rPr>
          <w:rFonts w:ascii="Arial" w:hAnsi="Arial" w:cs="Arial"/>
          <w:b/>
          <w:bCs/>
        </w:rPr>
        <w:t xml:space="preserve"> Shape Bank Performance</w:t>
      </w:r>
    </w:p>
    <w:p w14:paraId="2440FCB2" w14:textId="77777777" w:rsidR="003F7885" w:rsidRPr="00D01B7A" w:rsidRDefault="003F7885" w:rsidP="003F7885">
      <w:pPr>
        <w:spacing w:line="360" w:lineRule="auto"/>
        <w:rPr>
          <w:rFonts w:ascii="Arial" w:hAnsi="Arial" w:cs="Arial"/>
          <w:b/>
        </w:rPr>
      </w:pPr>
      <w:r w:rsidRPr="00D01B7A">
        <w:rPr>
          <w:rFonts w:ascii="Arial" w:hAnsi="Arial" w:cs="Arial"/>
          <w:b/>
        </w:rPr>
        <w:t>Abstract</w:t>
      </w:r>
    </w:p>
    <w:p w14:paraId="105FE4AB" w14:textId="77777777" w:rsidR="00F03889" w:rsidRPr="00F03889" w:rsidRDefault="00F03889" w:rsidP="00540795">
      <w:pPr>
        <w:spacing w:after="0" w:line="360" w:lineRule="auto"/>
        <w:jc w:val="both"/>
        <w:rPr>
          <w:rFonts w:ascii="Arial" w:eastAsia="Times New Roman" w:hAnsi="Arial" w:cs="Arial"/>
        </w:rPr>
      </w:pPr>
      <w:r w:rsidRPr="00F03889">
        <w:rPr>
          <w:rFonts w:ascii="Arial" w:eastAsia="Times New Roman" w:hAnsi="Arial" w:cs="Arial"/>
          <w:bCs/>
          <w:iCs/>
        </w:rPr>
        <w:t>This study reinforces the pivotal role of banks in fostering financial stability and economic growth. Using a balanced panel dataset of 12 banks from 2010 to 2023, it examines the impact of risk-weighted capital, credit risk, and liquidity risk on the performance of Nigerian banks. Employing Panel-Corrected Standard Errors (PCSE) and Feasible Generalized Least Squares (FGLS) estimators, the analysis reveals a consistent negative relationship between bank performance, measured by return on assets (ROA), and each of the three risk dimensions. Specifically, higher risk-weighted capital (RWC) levels are associated with reduced profitability, implying that excessive capitalization may impede revenue-generating activities. Similarly, higher credit risk, as proxied by the Z-score, and increased liquidity risk negatively impact ROA, underscoring the need for robust credit evaluation and liquidity management frameworks. Interestingly, when modeled jointly, liquidity risk exhibits a positive effect on performance, indicating that banks with robust liquidity positions may engage in profitable risk-taking. Additionally, the study reveals that larger banks tend to experience diminishing returns, likely due to inefficiencies associated with scale. These findings highlight the complex interplay between risk factors and bank performance, underscoring the need for integrated risk management strategies. The study recommends that the Central Bank of Nigeria should strengthen real-time risk monitoring systems, enforce capital and loan quality standards, promote adequate liquidity buffers, and facilitate advanced analytics training for staff development. Moreover, the study emphasizes the necessity of enhanced transparency in risk disclosures to strengthen investor confidence. These policy measures are crucial to fostering a banking industry that is resilient, effective, and stable</w:t>
      </w:r>
      <w:r w:rsidRPr="00F03889">
        <w:rPr>
          <w:rFonts w:ascii="Arial" w:eastAsia="Times New Roman" w:hAnsi="Arial" w:cs="Arial"/>
          <w:color w:val="0F58BD"/>
        </w:rPr>
        <w:t>.</w:t>
      </w:r>
    </w:p>
    <w:p w14:paraId="208D4286" w14:textId="77777777" w:rsidR="00D01B7A" w:rsidRPr="00D01B7A" w:rsidRDefault="00D01B7A" w:rsidP="00540795">
      <w:pPr>
        <w:spacing w:after="0" w:line="360" w:lineRule="auto"/>
        <w:rPr>
          <w:rFonts w:ascii="Arial" w:hAnsi="Arial" w:cs="Arial"/>
          <w:iCs/>
        </w:rPr>
      </w:pPr>
      <w:bookmarkStart w:id="0" w:name="_GoBack"/>
      <w:bookmarkEnd w:id="0"/>
    </w:p>
    <w:p w14:paraId="4B88FAFA" w14:textId="7EC9D8C0" w:rsidR="00B330CE" w:rsidRPr="00D01B7A" w:rsidRDefault="00B330CE" w:rsidP="009D7B7D">
      <w:pPr>
        <w:spacing w:line="360" w:lineRule="auto"/>
        <w:rPr>
          <w:rFonts w:ascii="Arial" w:hAnsi="Arial" w:cs="Arial"/>
          <w:b/>
        </w:rPr>
      </w:pPr>
      <w:r w:rsidRPr="00D01B7A">
        <w:rPr>
          <w:rFonts w:ascii="Arial" w:hAnsi="Arial" w:cs="Arial"/>
          <w:i/>
          <w:iCs/>
        </w:rPr>
        <w:t xml:space="preserve">Keywords: </w:t>
      </w:r>
      <w:r w:rsidR="003F7885" w:rsidRPr="00D01B7A">
        <w:rPr>
          <w:rFonts w:ascii="Arial" w:hAnsi="Arial" w:cs="Arial"/>
          <w:iCs/>
        </w:rPr>
        <w:t>Buffer Theory</w:t>
      </w:r>
      <w:r w:rsidR="003F7885" w:rsidRPr="00D01B7A">
        <w:rPr>
          <w:rFonts w:ascii="Arial" w:hAnsi="Arial" w:cs="Arial"/>
          <w:i/>
          <w:iCs/>
        </w:rPr>
        <w:t xml:space="preserve">, </w:t>
      </w:r>
      <w:r w:rsidRPr="00D01B7A">
        <w:rPr>
          <w:rFonts w:ascii="Arial" w:hAnsi="Arial" w:cs="Arial"/>
          <w:iCs/>
        </w:rPr>
        <w:t>Credit Risk, Liquidity R</w:t>
      </w:r>
      <w:r w:rsidR="00835DB2" w:rsidRPr="00D01B7A">
        <w:rPr>
          <w:rFonts w:ascii="Arial" w:hAnsi="Arial" w:cs="Arial"/>
          <w:iCs/>
        </w:rPr>
        <w:t>isk, Return on Asset, Risk-Weigh</w:t>
      </w:r>
      <w:r w:rsidRPr="00D01B7A">
        <w:rPr>
          <w:rFonts w:ascii="Arial" w:hAnsi="Arial" w:cs="Arial"/>
          <w:iCs/>
        </w:rPr>
        <w:t>ted Capit</w:t>
      </w:r>
      <w:r w:rsidR="00835DB2" w:rsidRPr="00D01B7A">
        <w:rPr>
          <w:rFonts w:ascii="Arial" w:hAnsi="Arial" w:cs="Arial"/>
          <w:iCs/>
        </w:rPr>
        <w:t>al.</w:t>
      </w:r>
    </w:p>
    <w:p w14:paraId="611136BD" w14:textId="175E123E" w:rsidR="00B330CE" w:rsidRPr="00D01B7A" w:rsidRDefault="00B330CE" w:rsidP="009D7B7D">
      <w:pPr>
        <w:spacing w:after="0" w:line="360" w:lineRule="auto"/>
        <w:jc w:val="both"/>
        <w:rPr>
          <w:rFonts w:ascii="Arial" w:hAnsi="Arial" w:cs="Arial"/>
          <w:color w:val="212529"/>
          <w:shd w:val="clear" w:color="auto" w:fill="FFFFFF"/>
        </w:rPr>
      </w:pPr>
    </w:p>
    <w:p w14:paraId="0EEE9989" w14:textId="62BA9AA4" w:rsidR="00E77C09" w:rsidRPr="00D01B7A" w:rsidRDefault="00B9713A" w:rsidP="009D7B7D">
      <w:pPr>
        <w:pStyle w:val="ListParagraph"/>
        <w:numPr>
          <w:ilvl w:val="0"/>
          <w:numId w:val="7"/>
        </w:numPr>
        <w:spacing w:after="0" w:line="360" w:lineRule="auto"/>
        <w:jc w:val="both"/>
        <w:rPr>
          <w:rFonts w:ascii="Arial" w:hAnsi="Arial" w:cs="Arial"/>
          <w:color w:val="212529"/>
          <w:shd w:val="clear" w:color="auto" w:fill="FFFFFF"/>
        </w:rPr>
      </w:pPr>
      <w:r w:rsidRPr="00D01B7A">
        <w:rPr>
          <w:rFonts w:ascii="Arial" w:eastAsia="Times New Roman" w:hAnsi="Arial" w:cs="Arial"/>
          <w:b/>
        </w:rPr>
        <w:t>Introduction</w:t>
      </w:r>
    </w:p>
    <w:p w14:paraId="27A0143F" w14:textId="31F5E938" w:rsidR="009E43FE" w:rsidRPr="00D01B7A" w:rsidRDefault="009E43FE" w:rsidP="001970FC">
      <w:pPr>
        <w:spacing w:after="0" w:line="360" w:lineRule="auto"/>
        <w:jc w:val="both"/>
        <w:rPr>
          <w:rFonts w:ascii="Arial" w:eastAsia="Times New Roman" w:hAnsi="Arial" w:cs="Arial"/>
        </w:rPr>
      </w:pPr>
      <w:r w:rsidRPr="009E43FE">
        <w:rPr>
          <w:rFonts w:ascii="Arial" w:eastAsia="Times New Roman" w:hAnsi="Arial" w:cs="Arial"/>
        </w:rPr>
        <w:t xml:space="preserve">Financial institutions, particularly deposit-taking banks, play a crucial role as key agents of resource allocation, thereby promoting economic growth and stability. As intermediaries, they connect savers and investors, addressing market flaws such as information asymmetries. Their borrower evaluation skills allow them to connect short-term deposits with long-term investments, supporting growth and societal welfare (Adegbie &amp; Dada, 2016). The 2007-2009 financial crisis </w:t>
      </w:r>
      <w:r w:rsidRPr="009E43FE">
        <w:rPr>
          <w:rFonts w:ascii="Arial" w:eastAsia="Times New Roman" w:hAnsi="Arial" w:cs="Arial"/>
        </w:rPr>
        <w:lastRenderedPageBreak/>
        <w:t>underscored the need for a strong financial system. Thus, a resilient financial system is vital for any growing economy (Chai et al., 2022).</w:t>
      </w:r>
    </w:p>
    <w:p w14:paraId="4200D818" w14:textId="77777777" w:rsidR="00F03889" w:rsidRPr="009E43FE" w:rsidRDefault="00F03889" w:rsidP="001970FC">
      <w:pPr>
        <w:spacing w:after="0" w:line="360" w:lineRule="auto"/>
        <w:jc w:val="both"/>
        <w:rPr>
          <w:rFonts w:ascii="Arial" w:eastAsia="Times New Roman" w:hAnsi="Arial" w:cs="Arial"/>
        </w:rPr>
      </w:pPr>
    </w:p>
    <w:p w14:paraId="02132B55" w14:textId="77777777" w:rsidR="003723D7" w:rsidRPr="003723D7" w:rsidRDefault="003723D7" w:rsidP="001970FC">
      <w:pPr>
        <w:spacing w:after="0" w:line="360" w:lineRule="auto"/>
        <w:jc w:val="both"/>
        <w:rPr>
          <w:rFonts w:ascii="Arial" w:eastAsia="Times New Roman" w:hAnsi="Arial" w:cs="Arial"/>
        </w:rPr>
      </w:pPr>
      <w:r w:rsidRPr="003723D7">
        <w:rPr>
          <w:rFonts w:ascii="Arial" w:eastAsia="Times New Roman" w:hAnsi="Arial" w:cs="Arial"/>
        </w:rPr>
        <w:t>During the 2007-2009 financial crisis, major banks faced the risk of collapse. This prompted government bailouts (Katata &amp; Nwaigwe, 2016). The crisis exposed flaws in banking regulations. Notably, there was non-uniformity in banks’ computation of risk-weighted assets (RWAs) due to reliance on internal models (Bastos e Santos et al., 2020). In Nigeria, the Central Bank provided a ₦160.2 billion rescue package in 2009 to eight banks. Their poor lending led to major capital losses (Katata &amp; Nwaigwe, 2016). These banks struggled to issue new loans and their profits suffered, since a significant portion of their earnings comes from lending. This crisis led to a shift toward risk-based supervision. Regulators began focusing on identifying and evaluating risks (Ma’aji et al., 2025). The COVID-19 pandemic later increased liquidity and credit risks globally. This further pressured bank profitability (Haris et al., 2024). To address regulatory shortcomings, the Basel Committee on Banking Supervision introduced Basel III reforms in 2017. These reforms shifted to a risk-sensitive approach for capital adequacy in commercial banks (Sowmya, 2020). This risk evaluation approach takes into account the inherent risks associated with bank operations. Consequently, financial institutions can adjust their capital reserves above the regulatory capital based on their size and risk level.</w:t>
      </w:r>
    </w:p>
    <w:p w14:paraId="43356E35" w14:textId="3471FE6C" w:rsidR="009E43FE" w:rsidRPr="009E43FE" w:rsidRDefault="009E43FE" w:rsidP="001970FC">
      <w:pPr>
        <w:spacing w:after="0" w:line="360" w:lineRule="auto"/>
        <w:jc w:val="both"/>
        <w:rPr>
          <w:rFonts w:ascii="Arial" w:eastAsia="Times New Roman" w:hAnsi="Arial" w:cs="Arial"/>
        </w:rPr>
      </w:pPr>
    </w:p>
    <w:p w14:paraId="7DA501C5" w14:textId="77777777" w:rsidR="003723D7" w:rsidRPr="003723D7" w:rsidRDefault="003723D7" w:rsidP="009D7B7D">
      <w:pPr>
        <w:spacing w:after="120" w:line="360" w:lineRule="auto"/>
        <w:jc w:val="both"/>
        <w:rPr>
          <w:rFonts w:ascii="Arial" w:eastAsia="Times New Roman" w:hAnsi="Arial" w:cs="Arial"/>
        </w:rPr>
      </w:pPr>
      <w:r w:rsidRPr="003723D7">
        <w:rPr>
          <w:rFonts w:ascii="Arial" w:eastAsia="Times New Roman" w:hAnsi="Arial" w:cs="Arial"/>
        </w:rPr>
        <w:t>The 2017 Basel III reforms stressed a risk-based approach to capital adequacy, tying regulatory capital to banks' operational risks. The primary goal is to establish robust standards that protect banks, depositors, investors, and the broader economy from financial instability. Importantly, Basel III recognizes that banks face diverse risks, requiring sufficient capital reserves (Milojević &amp; Redžepagić, 2021). Accordingly, RWAs should reflect changes in a bank’s asset quality and mix. For example, in downturns, rising credit risk increases RWAs, making a strong capital base essential for absorbing losses. Thus, a bank’s capital is sufficient if it supports its operations based on asset-related risks and provides a loss buffer (Udenwa et al., 2023). Furthermore, bank capital size indicates financial strength and helps protect against asset decline. More capital boosts depositors’ confidence, showing readiness for shocks. As a result, capital adequacy and risk management are key for a resilient banking system.</w:t>
      </w:r>
    </w:p>
    <w:p w14:paraId="0556D9B2" w14:textId="77777777" w:rsidR="003723D7" w:rsidRPr="009E43FE" w:rsidRDefault="003723D7" w:rsidP="009D7B7D">
      <w:pPr>
        <w:spacing w:after="120" w:line="360" w:lineRule="auto"/>
        <w:jc w:val="both"/>
        <w:rPr>
          <w:rFonts w:ascii="Arial" w:eastAsia="Times New Roman" w:hAnsi="Arial" w:cs="Arial"/>
        </w:rPr>
      </w:pPr>
    </w:p>
    <w:p w14:paraId="280A083F" w14:textId="77777777" w:rsidR="00393521" w:rsidRPr="00393521" w:rsidRDefault="00393521" w:rsidP="009D7B7D">
      <w:pPr>
        <w:spacing w:after="120" w:line="360" w:lineRule="auto"/>
        <w:jc w:val="both"/>
        <w:rPr>
          <w:rFonts w:ascii="Arial" w:eastAsia="Times New Roman" w:hAnsi="Arial" w:cs="Arial"/>
        </w:rPr>
      </w:pPr>
      <w:r w:rsidRPr="00393521">
        <w:rPr>
          <w:rFonts w:ascii="Arial" w:eastAsia="Times New Roman" w:hAnsi="Arial" w:cs="Arial"/>
        </w:rPr>
        <w:t xml:space="preserve">Banks drive capital formation by channeling savings into business loans, but this exposes them to credit risk, which threatens their profitability and survival (Abbas &amp; Ullah, 2023). The Central </w:t>
      </w:r>
      <w:r w:rsidRPr="00393521">
        <w:rPr>
          <w:rFonts w:ascii="Arial" w:eastAsia="Times New Roman" w:hAnsi="Arial" w:cs="Arial"/>
        </w:rPr>
        <w:lastRenderedPageBreak/>
        <w:t>Bank of Nigeria (2008) defines credit risk as the potential for loss that may occur when a borrower, counterparty, or obligor fails to fulfill their contractual obligations. More succinctly, credit risk pertains to the likelihood of borrowers defaulting on loans or debts at maturity. The degree of exposure to credit risk is determined by the type of asset class involved, which includes segments like retail, corporate, financial institutions, or sovereign risk. Persistent default rates can lead to significant exposure to credit risk for financial institutions. In the absence of robust capital reserves to mitigate potential losses, a bank may face insolvency risks, which could prompt regulatory intervention and the threat of liquidation. Effective credit risk management is crucial for safeguarding institutions and maintaining global banking stability (Ali &amp; Ahmed, 2024). A strong credit risk framework is vital for maintaining a stable and resilient banking system (Ali &amp; Ahmed, 2024). Clearly, credit risk can have a significant impact on bank performance, resulting in losses and lower earnings.</w:t>
      </w:r>
    </w:p>
    <w:p w14:paraId="50A76A5D" w14:textId="23EB132F" w:rsidR="009E43FE" w:rsidRPr="009E43FE" w:rsidRDefault="009E43FE" w:rsidP="001970FC">
      <w:pPr>
        <w:spacing w:after="0" w:line="360" w:lineRule="auto"/>
        <w:jc w:val="both"/>
        <w:rPr>
          <w:rFonts w:ascii="Arial" w:eastAsia="Times New Roman" w:hAnsi="Arial" w:cs="Arial"/>
        </w:rPr>
      </w:pPr>
    </w:p>
    <w:p w14:paraId="1964A8A0" w14:textId="1A391176" w:rsidR="00371788" w:rsidRPr="00371788" w:rsidRDefault="00371788" w:rsidP="009D7B7D">
      <w:pPr>
        <w:spacing w:after="0" w:line="360" w:lineRule="auto"/>
        <w:jc w:val="both"/>
        <w:rPr>
          <w:rFonts w:ascii="Arial" w:eastAsia="Times New Roman" w:hAnsi="Arial" w:cs="Arial"/>
        </w:rPr>
      </w:pPr>
      <w:r w:rsidRPr="00371788">
        <w:rPr>
          <w:rFonts w:ascii="Arial" w:eastAsia="Times New Roman" w:hAnsi="Arial" w:cs="Arial"/>
        </w:rPr>
        <w:t>Besides credit risk, ensuring adequate liquidity is essential for economic stability. While deposit-taking banks play a crucial role in implementing monetary policy and managing the money supply, they are also instrumental in controlling inflation and fostering economic growth. Liquidity risk, which arises from mismatches between deposits and assets, poses a threat to bank stability. The 2007-2009 crisis revealed poor liquidity practices and led to the introduction of Basel III rules on liquid reserves (Saleh &amp; Abu Afifa, 2020). Should a bank become unable to meet obligations or secure short-term funding, it risks a liquidity crisis and potential runs</w:t>
      </w:r>
      <w:r w:rsidR="00E62C00" w:rsidRPr="00D01B7A">
        <w:rPr>
          <w:rFonts w:ascii="Arial" w:eastAsia="Times New Roman" w:hAnsi="Arial" w:cs="Arial"/>
        </w:rPr>
        <w:t xml:space="preserve"> (</w:t>
      </w:r>
      <w:r w:rsidR="00E62C00" w:rsidRPr="00D01B7A">
        <w:rPr>
          <w:rFonts w:ascii="Arial" w:hAnsi="Arial" w:cs="Arial"/>
          <w:color w:val="222222"/>
          <w:shd w:val="clear" w:color="auto" w:fill="FFFFFF"/>
        </w:rPr>
        <w:t>Ayinuola</w:t>
      </w:r>
      <w:r w:rsidR="00E62C00" w:rsidRPr="00D01B7A">
        <w:rPr>
          <w:rFonts w:ascii="Arial" w:hAnsi="Arial" w:cs="Arial"/>
          <w:color w:val="222222"/>
          <w:shd w:val="clear" w:color="auto" w:fill="FFFFFF"/>
        </w:rPr>
        <w:t>, &amp; Gumel, 2023)</w:t>
      </w:r>
      <w:r w:rsidRPr="00371788">
        <w:rPr>
          <w:rFonts w:ascii="Arial" w:eastAsia="Times New Roman" w:hAnsi="Arial" w:cs="Arial"/>
        </w:rPr>
        <w:t>. Liquidity risk, according to the Central Bank of Nigeria (CBN, 2013), occurs when banks are unable to obtain funding or sell assets without incurring losses. To mitigate this, the CBN requires banks to hold a portion of their deposits in liquid assets and monitors compliance with liquidity standards, underscoring robust frameworks for financial stability. Relying on short-term deposits to fund long-term assets increases liquidity risks for banks, underscoring the importance of effective liquidity management to ensure profitability and long-term viability.</w:t>
      </w:r>
    </w:p>
    <w:p w14:paraId="5D3F46DA" w14:textId="77777777" w:rsidR="009E43FE" w:rsidRPr="00D01B7A" w:rsidRDefault="009E43FE" w:rsidP="009D7B7D">
      <w:pPr>
        <w:spacing w:after="0" w:line="360" w:lineRule="auto"/>
        <w:jc w:val="both"/>
        <w:rPr>
          <w:rFonts w:ascii="Arial" w:hAnsi="Arial" w:cs="Arial"/>
        </w:rPr>
      </w:pPr>
    </w:p>
    <w:p w14:paraId="4903673D" w14:textId="77777777" w:rsidR="00F67C07" w:rsidRPr="00D01B7A" w:rsidRDefault="00F67C07" w:rsidP="009D7B7D">
      <w:pPr>
        <w:shd w:val="clear" w:color="auto" w:fill="FFFFFF"/>
        <w:spacing w:after="0" w:line="360" w:lineRule="auto"/>
        <w:rPr>
          <w:rFonts w:ascii="Arial" w:hAnsi="Arial" w:cs="Arial"/>
          <w:b/>
          <w:color w:val="1E1E1E"/>
          <w:shd w:val="clear" w:color="auto" w:fill="FFFFFF"/>
        </w:rPr>
      </w:pPr>
      <w:r w:rsidRPr="00D01B7A">
        <w:rPr>
          <w:rFonts w:ascii="Arial" w:hAnsi="Arial" w:cs="Arial"/>
          <w:b/>
          <w:color w:val="1E1E1E"/>
          <w:shd w:val="clear" w:color="auto" w:fill="FFFFFF"/>
        </w:rPr>
        <w:t xml:space="preserve">1.1 </w:t>
      </w:r>
      <w:r w:rsidR="00427D87" w:rsidRPr="00D01B7A">
        <w:rPr>
          <w:rFonts w:ascii="Arial" w:hAnsi="Arial" w:cs="Arial"/>
          <w:b/>
          <w:color w:val="1E1E1E"/>
          <w:shd w:val="clear" w:color="auto" w:fill="FFFFFF"/>
        </w:rPr>
        <w:t>Limitations of Previous Studies</w:t>
      </w:r>
    </w:p>
    <w:p w14:paraId="01B71690" w14:textId="55C5C715" w:rsidR="009A6F50" w:rsidRPr="009A6F50" w:rsidRDefault="009A6F50" w:rsidP="009D7B7D">
      <w:pPr>
        <w:spacing w:after="0" w:line="360" w:lineRule="auto"/>
        <w:jc w:val="both"/>
        <w:rPr>
          <w:rFonts w:ascii="Arial" w:eastAsia="Times New Roman" w:hAnsi="Arial" w:cs="Arial"/>
        </w:rPr>
      </w:pPr>
      <w:r w:rsidRPr="009A6F50">
        <w:rPr>
          <w:rFonts w:ascii="Arial" w:eastAsia="Times New Roman" w:hAnsi="Arial" w:cs="Arial"/>
        </w:rPr>
        <w:t xml:space="preserve">Empirical research is replete with studies on bank risk factors (Imani &amp; Pracoyo, 2018; Abbas et al., 2019; Adelopo et al., 2020; Saleh &amp; Abu Afifa, 2020; Sari et al., 2022; Hussain et al., 2022; </w:t>
      </w:r>
      <w:r w:rsidR="002925CF" w:rsidRPr="00D01B7A">
        <w:rPr>
          <w:rFonts w:ascii="Arial" w:hAnsi="Arial" w:cs="Arial"/>
          <w:shd w:val="clear" w:color="auto" w:fill="FFFFFF"/>
        </w:rPr>
        <w:t>Eyalsalman</w:t>
      </w:r>
      <w:r w:rsidR="002925CF" w:rsidRPr="00D01B7A">
        <w:rPr>
          <w:rFonts w:ascii="Arial" w:eastAsia="Times New Roman" w:hAnsi="Arial" w:cs="Arial"/>
        </w:rPr>
        <w:t xml:space="preserve"> </w:t>
      </w:r>
      <w:r w:rsidRPr="009A6F50">
        <w:rPr>
          <w:rFonts w:ascii="Arial" w:eastAsia="Times New Roman" w:hAnsi="Arial" w:cs="Arial"/>
        </w:rPr>
        <w:t xml:space="preserve">et al., 2024; Ma’aji et al., 2025) and performance, but these have led to varied conclusions. For example, some studies (Abbas et al., 2019; Imani &amp; Pracoyo, 2018) reported no significant relationship between these variables and bank performance, while others (Islam &amp; Nishiyama, 2016; Susan &amp; Nasieku, 2016; Riyanto &amp; Surjandari, 2018; Aluko et al., 2019; Chioma </w:t>
      </w:r>
      <w:r w:rsidRPr="009A6F50">
        <w:rPr>
          <w:rFonts w:ascii="Arial" w:eastAsia="Times New Roman" w:hAnsi="Arial" w:cs="Arial"/>
        </w:rPr>
        <w:lastRenderedPageBreak/>
        <w:t>et al., 2021) established positive relationships. In contrast, certain studies (Mousa et al., 2018; Rifqah et al., 2019; Chai et al., 2022; Abdelaziz et al., 2022; Abba &amp; Ullah, 2023; Razermera et al., 2024; Haris et al., 2024; Ngo &amp; Trinh, 2025) demonstrated adverse results. Such inconsistent findings across various locations underscore the lack of consensus and highlight a research gap regarding the impact of risk factors on bank performance. In Nigeria, moreover, earlier work has mainly focused on specific relationships between individual variables and performance, often overlooking broader risks associated with banking operations. Therefore, further research is needed to address this gap in the Nigerian context. Accordingly, this study focuses on risk-weighted capital as a measure of capital adequacy in Nigerian banks.</w:t>
      </w:r>
    </w:p>
    <w:p w14:paraId="57AE2FBB" w14:textId="67E955D2" w:rsidR="00D539EF" w:rsidRPr="00D01B7A" w:rsidRDefault="00D539EF" w:rsidP="009D7B7D">
      <w:pPr>
        <w:spacing w:after="0" w:line="360" w:lineRule="auto"/>
        <w:jc w:val="both"/>
        <w:rPr>
          <w:rFonts w:ascii="Arial" w:eastAsia="Times New Roman" w:hAnsi="Arial" w:cs="Arial"/>
        </w:rPr>
      </w:pPr>
    </w:p>
    <w:p w14:paraId="59A23CB0" w14:textId="36868E97" w:rsidR="009A6F50" w:rsidRDefault="009A6F50" w:rsidP="009D7B7D">
      <w:pPr>
        <w:spacing w:after="0" w:line="360" w:lineRule="auto"/>
        <w:jc w:val="both"/>
        <w:rPr>
          <w:rFonts w:ascii="Arial" w:eastAsia="Times New Roman" w:hAnsi="Arial" w:cs="Arial"/>
        </w:rPr>
      </w:pPr>
      <w:r w:rsidRPr="009A6F50">
        <w:rPr>
          <w:rFonts w:ascii="Arial" w:eastAsia="Times New Roman" w:hAnsi="Arial" w:cs="Arial"/>
        </w:rPr>
        <w:t>Recently, there has been a significant shift toward examining the risks associated with banks' asset portfolios. These risks are crucial for assessing capital adequacy. This study aims to contribute to the knowledge base by incorporating risk-weighted capital into assessments of capital adequacy and its impact on bank performance. Unlike previous research in Nigeria, this study employs the Z-score as an accounting-based measure to assess default risk, departing from traditional approaches to risk assessment. The Z-score method offers a more effective way to assess risk than other accounting indicators, such as non-performing loans (NPLs) or leverage ratios. It considers both bank returns and capital structures, and it mitigates issues with international comparability that arise from different NPL classification standards (Kabir et al., 2015). This research also contributes to the existing literature by examining the interdependencies among risk-weighted capital, liquidity risk, credit risk, and bank performance.</w:t>
      </w:r>
    </w:p>
    <w:p w14:paraId="6318FFE9" w14:textId="77777777" w:rsidR="009D7B7D" w:rsidRPr="009A6F50" w:rsidRDefault="009D7B7D" w:rsidP="009D7B7D">
      <w:pPr>
        <w:spacing w:after="0" w:line="360" w:lineRule="auto"/>
        <w:jc w:val="both"/>
        <w:rPr>
          <w:rFonts w:ascii="Arial" w:eastAsia="Times New Roman" w:hAnsi="Arial" w:cs="Arial"/>
        </w:rPr>
      </w:pPr>
    </w:p>
    <w:p w14:paraId="10FEBBC8" w14:textId="77777777" w:rsidR="009F27EF" w:rsidRPr="00D01B7A" w:rsidRDefault="00F67C07" w:rsidP="009D7B7D">
      <w:pPr>
        <w:spacing w:line="360" w:lineRule="auto"/>
        <w:jc w:val="both"/>
        <w:rPr>
          <w:rFonts w:ascii="Arial" w:hAnsi="Arial" w:cs="Arial"/>
          <w:b/>
        </w:rPr>
      </w:pPr>
      <w:r w:rsidRPr="00D01B7A">
        <w:rPr>
          <w:rFonts w:ascii="Arial" w:hAnsi="Arial" w:cs="Arial"/>
          <w:b/>
        </w:rPr>
        <w:t xml:space="preserve">2.0 </w:t>
      </w:r>
      <w:r w:rsidR="009F27EF" w:rsidRPr="00D01B7A">
        <w:rPr>
          <w:rFonts w:ascii="Arial" w:hAnsi="Arial" w:cs="Arial"/>
          <w:b/>
        </w:rPr>
        <w:t>Review of Previous Literature</w:t>
      </w:r>
    </w:p>
    <w:p w14:paraId="11ADDE5B" w14:textId="3DA570AC" w:rsidR="009C1FC0" w:rsidRPr="00D01B7A" w:rsidRDefault="009C1FC0" w:rsidP="009D7B7D">
      <w:pPr>
        <w:spacing w:after="120" w:line="360" w:lineRule="auto"/>
        <w:jc w:val="both"/>
        <w:rPr>
          <w:rFonts w:ascii="Arial" w:eastAsia="Times New Roman" w:hAnsi="Arial" w:cs="Arial"/>
        </w:rPr>
      </w:pPr>
      <w:r w:rsidRPr="009C1FC0">
        <w:rPr>
          <w:rFonts w:ascii="Arial" w:eastAsia="Times New Roman" w:hAnsi="Arial" w:cs="Arial"/>
        </w:rPr>
        <w:t>The banking sector is inherently exposed to significant risks due to its intermediary role and dependence on high leverage, primarily funded by depositors' resources (AlZoubi, 2021). Despite ongoing enhancements to regulatory frameworks, recurring bank failures indicate that these measures have not fully achieved their intended objectives. A recent example is the Central Bank of Nigeria’s revocation of a commercial bank’s license following prolonged underperformance, despite prior temporary support—an action taken to prevent systemic risk and uphold financial system integrity. In light of these operational vulnerabilities, this study adopts the Buffer Theory of capital adequacy as its theoretical foundation. The Theory is consistent with Basel III's recommendation for banks to prioritize maintaining minimum capital standards to ensure the stability and profitability of financial institutions (Ma’aji et al., 2025).</w:t>
      </w:r>
    </w:p>
    <w:p w14:paraId="0EE054BF" w14:textId="77777777" w:rsidR="009C1FC0" w:rsidRPr="009C1FC0" w:rsidRDefault="009C1FC0" w:rsidP="001970FC">
      <w:pPr>
        <w:spacing w:after="0" w:line="360" w:lineRule="auto"/>
        <w:jc w:val="both"/>
        <w:rPr>
          <w:rFonts w:ascii="Arial" w:eastAsia="Times New Roman" w:hAnsi="Arial" w:cs="Arial"/>
        </w:rPr>
      </w:pPr>
    </w:p>
    <w:p w14:paraId="563801DA" w14:textId="77777777" w:rsidR="009C1FC0" w:rsidRPr="009C1FC0" w:rsidRDefault="009C1FC0" w:rsidP="009D7B7D">
      <w:pPr>
        <w:spacing w:after="120" w:line="360" w:lineRule="auto"/>
        <w:jc w:val="both"/>
        <w:rPr>
          <w:rFonts w:ascii="Arial" w:eastAsia="Times New Roman" w:hAnsi="Arial" w:cs="Arial"/>
        </w:rPr>
      </w:pPr>
      <w:r w:rsidRPr="009C1FC0">
        <w:rPr>
          <w:rFonts w:ascii="Arial" w:eastAsia="Times New Roman" w:hAnsi="Arial" w:cs="Arial"/>
        </w:rPr>
        <w:t>Empirical evidence suggests that larger capital buffers enhance bank profitability by reducing vulnerability and increasing resilience, particularly in volatile emerging markets (Ma’aji et al., 2025). According to Buffer Theory, financial institutions should maintain capital levels above regulatory minimums to effectively manage risks and avoid sanctions from the apex bank (Septiarini et al., 2021). This buffer serves as a safeguard against unexpected asset losses, particularly those backed by depositors’ funds, and plays a vital role in maintaining systemic stability during economic downturns (Muhammad, 2005). As banks approach the minimum capital threshold, they are encouraged to strengthen their capital ratios (Lotto, 2018), as falling below regulatory requirements can lead to direct costs, such as fines or license revocation, as well as indirect costs, including restrictions on risk-taking activities. Consequently, the Buffer Theory emphasizes the importance of the Basel III capital adequacy framework, which recognizes that banks are exposed to various financial risks, necessitating the maintenance of sufficient capital reserves (Sowmya, 2020).</w:t>
      </w:r>
    </w:p>
    <w:p w14:paraId="3DABFC42" w14:textId="77777777" w:rsidR="009C1FC0" w:rsidRPr="009C1FC0" w:rsidRDefault="009C1FC0" w:rsidP="001970FC">
      <w:pPr>
        <w:spacing w:after="0" w:line="360" w:lineRule="auto"/>
        <w:rPr>
          <w:rFonts w:ascii="Arial" w:eastAsia="Times New Roman" w:hAnsi="Arial" w:cs="Arial"/>
        </w:rPr>
      </w:pPr>
    </w:p>
    <w:p w14:paraId="3D0A6EF0" w14:textId="77777777" w:rsidR="00E60239" w:rsidRPr="00D01B7A" w:rsidRDefault="00F67C07" w:rsidP="009D7B7D">
      <w:pPr>
        <w:spacing w:after="0" w:line="360" w:lineRule="auto"/>
        <w:jc w:val="both"/>
        <w:rPr>
          <w:rFonts w:ascii="Arial" w:hAnsi="Arial" w:cs="Arial"/>
          <w:b/>
        </w:rPr>
      </w:pPr>
      <w:r w:rsidRPr="00D01B7A">
        <w:rPr>
          <w:rFonts w:ascii="Arial" w:hAnsi="Arial" w:cs="Arial"/>
          <w:b/>
        </w:rPr>
        <w:t xml:space="preserve">2.1 </w:t>
      </w:r>
      <w:r w:rsidR="00E60239" w:rsidRPr="00D01B7A">
        <w:rPr>
          <w:rFonts w:ascii="Arial" w:hAnsi="Arial" w:cs="Arial"/>
          <w:b/>
        </w:rPr>
        <w:t>Empirical Review</w:t>
      </w:r>
    </w:p>
    <w:p w14:paraId="07E52C6D" w14:textId="5B30AF0D" w:rsidR="00D539EF" w:rsidRPr="00D01B7A" w:rsidRDefault="00D539EF" w:rsidP="009D7B7D">
      <w:pPr>
        <w:spacing w:after="120" w:line="360" w:lineRule="auto"/>
        <w:jc w:val="both"/>
        <w:rPr>
          <w:rFonts w:ascii="Arial" w:eastAsia="Times New Roman" w:hAnsi="Arial" w:cs="Arial"/>
        </w:rPr>
      </w:pPr>
      <w:r w:rsidRPr="00D01B7A">
        <w:rPr>
          <w:rFonts w:ascii="Arial" w:eastAsia="Times New Roman" w:hAnsi="Arial" w:cs="Arial"/>
        </w:rPr>
        <w:t>The significance of capital adequacy within the banking sector for ensuring financial stability remains critically important, as underscored by numerous studies. A resilient banking system fundamentally depends on adequate capital to safeguard depositors' funds, sustain public confidence, and foster overall economic stability.  Nevertheless, empirical research reveals inconsistent findings concerning the relationship between capital and bank performance. Specifically, several studies conducted in Nigeria, including those by Aruwa and Mohammed (2011), Onaolapo and Olufemi (2012), and Olalekan and Adeyinka (2013), identified either a negative or statistically insignificant relationship between capital levels and performance metrics. In contrast, other research, such as that undertaken by Chioma et al. (2021) and Ejoh and Iwara (2014), indicated a positive influence between capital adequacy and financial performance. Similar studies in Asia by Islam and Nishiyama (2016) and Lee and Hsieh (2013), as well as the Kenyan study by Susan and Nasieku (2016), reinforce the positive correlation between capital adequacy and profitability in banking institutions across both Asian and African settings. Moreover, Ma’aji et al. (2025) demonstrate that return on average assets (ROAA) tends to rise alongside increased levels of bank capital.  Conversely, Sari et al. (2022) reported that capital and credit risks have a negative and statistically significant effect on financial performance in Indonesia. These divergent conclusions underscore the complexity of the capital adequacy-bank performance nexus and the need for context-specific analysis.</w:t>
      </w:r>
    </w:p>
    <w:p w14:paraId="3F4A1CE8" w14:textId="0196598A" w:rsidR="006204EB" w:rsidRPr="00D01B7A" w:rsidRDefault="006204EB" w:rsidP="009D7B7D">
      <w:pPr>
        <w:spacing w:after="0" w:line="360" w:lineRule="auto"/>
        <w:ind w:left="720" w:hanging="720"/>
        <w:jc w:val="both"/>
        <w:rPr>
          <w:rFonts w:ascii="Arial" w:eastAsia="Times New Roman" w:hAnsi="Arial" w:cs="Arial"/>
          <w:i/>
        </w:rPr>
      </w:pPr>
      <w:r w:rsidRPr="00D01B7A">
        <w:rPr>
          <w:rFonts w:ascii="Arial" w:hAnsi="Arial" w:cs="Arial"/>
          <w:i/>
          <w:iCs/>
        </w:rPr>
        <w:lastRenderedPageBreak/>
        <w:t>H</w:t>
      </w:r>
      <w:r w:rsidRPr="00D01B7A">
        <w:rPr>
          <w:rFonts w:ascii="Arial" w:hAnsi="Arial" w:cs="Arial"/>
          <w:i/>
          <w:iCs/>
          <w:vertAlign w:val="subscript"/>
        </w:rPr>
        <w:t>1</w:t>
      </w:r>
      <w:r w:rsidRPr="00D01B7A">
        <w:rPr>
          <w:rFonts w:ascii="Arial" w:eastAsia="Times New Roman" w:hAnsi="Arial" w:cs="Arial"/>
          <w:i/>
          <w:iCs/>
        </w:rPr>
        <w:t>:</w:t>
      </w:r>
      <w:r w:rsidRPr="00D01B7A">
        <w:rPr>
          <w:rFonts w:ascii="Arial" w:eastAsia="Times New Roman" w:hAnsi="Arial" w:cs="Arial"/>
          <w:i/>
          <w:iCs/>
        </w:rPr>
        <w:tab/>
      </w:r>
      <w:r w:rsidRPr="00D01B7A">
        <w:rPr>
          <w:rFonts w:ascii="Arial" w:eastAsia="Times New Roman" w:hAnsi="Arial" w:cs="Arial"/>
          <w:i/>
        </w:rPr>
        <w:t>There is no significant relationship bet</w:t>
      </w:r>
      <w:r w:rsidRPr="00D01B7A">
        <w:rPr>
          <w:rFonts w:ascii="Arial" w:eastAsia="Times New Roman" w:hAnsi="Arial" w:cs="Arial"/>
          <w:i/>
        </w:rPr>
        <w:t>ween risk-adjusted capital and bank</w:t>
      </w:r>
      <w:r w:rsidRPr="00D01B7A">
        <w:rPr>
          <w:rFonts w:ascii="Arial" w:eastAsia="Times New Roman" w:hAnsi="Arial" w:cs="Arial"/>
          <w:i/>
        </w:rPr>
        <w:t xml:space="preserve"> performance </w:t>
      </w:r>
    </w:p>
    <w:p w14:paraId="75B86AA6" w14:textId="77777777" w:rsidR="006204EB" w:rsidRPr="00D01B7A" w:rsidRDefault="006204EB" w:rsidP="001970FC">
      <w:pPr>
        <w:spacing w:after="0" w:line="360" w:lineRule="auto"/>
        <w:rPr>
          <w:rFonts w:ascii="Arial" w:eastAsia="Times New Roman" w:hAnsi="Arial" w:cs="Arial"/>
        </w:rPr>
      </w:pPr>
    </w:p>
    <w:p w14:paraId="7B3848C3" w14:textId="7797B629" w:rsidR="00D539EF" w:rsidRPr="00D01B7A" w:rsidRDefault="00D539EF" w:rsidP="009D7B7D">
      <w:pPr>
        <w:spacing w:after="120" w:line="360" w:lineRule="auto"/>
        <w:jc w:val="both"/>
        <w:rPr>
          <w:rFonts w:ascii="Arial" w:eastAsia="Times New Roman" w:hAnsi="Arial" w:cs="Arial"/>
        </w:rPr>
      </w:pPr>
      <w:r w:rsidRPr="00D01B7A">
        <w:rPr>
          <w:rFonts w:ascii="Arial" w:eastAsia="Times New Roman" w:hAnsi="Arial" w:cs="Arial"/>
        </w:rPr>
        <w:t>The relationship between credit risk and bank performance is more consistently negative. Mendoza and Rivera (2017), Mousa et al. (2018), and Chai et al. (2022) showed that credit risk undermines bank stability and profitability. Adelopo et al. (2022), Abdelaziz et al. (2022), Abba and Ullah (2023), Razermera et al. (2024), Haris et al. (2024), and Ngo and Trinh (2025) confirmed these negative effects across banking systems. Some exceptions exist—Kargi (2011), Owusu-Boafo et al. (2020), and Aluko et al. (2019) noted positive correlations in certain cases. Overall, credit risk is widely regarded as a significant threat to bank performance, necessitating robust risk management.</w:t>
      </w:r>
    </w:p>
    <w:p w14:paraId="766CD0F4" w14:textId="4FE8E6AD" w:rsidR="00475386" w:rsidRPr="00D01B7A" w:rsidRDefault="00475386" w:rsidP="009D7B7D">
      <w:pPr>
        <w:spacing w:after="0" w:line="360" w:lineRule="auto"/>
        <w:ind w:left="720" w:hanging="720"/>
        <w:jc w:val="both"/>
        <w:rPr>
          <w:rFonts w:ascii="Arial" w:eastAsia="Times New Roman" w:hAnsi="Arial" w:cs="Arial"/>
          <w:i/>
        </w:rPr>
      </w:pPr>
      <w:r w:rsidRPr="00D01B7A">
        <w:rPr>
          <w:rFonts w:ascii="Arial" w:hAnsi="Arial" w:cs="Arial"/>
          <w:i/>
          <w:iCs/>
        </w:rPr>
        <w:t>H</w:t>
      </w:r>
      <w:r w:rsidRPr="00D01B7A">
        <w:rPr>
          <w:rFonts w:ascii="Arial" w:hAnsi="Arial" w:cs="Arial"/>
          <w:i/>
          <w:iCs/>
          <w:vertAlign w:val="subscript"/>
        </w:rPr>
        <w:t>2</w:t>
      </w:r>
      <w:r w:rsidRPr="00D01B7A">
        <w:rPr>
          <w:rFonts w:ascii="Arial" w:eastAsia="Times New Roman" w:hAnsi="Arial" w:cs="Arial"/>
          <w:i/>
          <w:iCs/>
        </w:rPr>
        <w:t>:</w:t>
      </w:r>
      <w:r w:rsidRPr="00D01B7A">
        <w:rPr>
          <w:rFonts w:ascii="Arial" w:eastAsia="Times New Roman" w:hAnsi="Arial" w:cs="Arial"/>
          <w:i/>
          <w:iCs/>
        </w:rPr>
        <w:tab/>
      </w:r>
      <w:r w:rsidRPr="00D01B7A">
        <w:rPr>
          <w:rFonts w:ascii="Arial" w:eastAsia="Times New Roman" w:hAnsi="Arial" w:cs="Arial"/>
          <w:i/>
        </w:rPr>
        <w:t xml:space="preserve">Credit risk </w:t>
      </w:r>
      <w:r w:rsidRPr="00D01B7A">
        <w:rPr>
          <w:rFonts w:ascii="Arial" w:eastAsia="Times New Roman" w:hAnsi="Arial" w:cs="Arial"/>
          <w:i/>
        </w:rPr>
        <w:t xml:space="preserve">has a negative </w:t>
      </w:r>
      <w:r w:rsidRPr="00D01B7A">
        <w:rPr>
          <w:rFonts w:ascii="Arial" w:eastAsia="Times New Roman" w:hAnsi="Arial" w:cs="Arial"/>
          <w:i/>
        </w:rPr>
        <w:t>significant impact on b</w:t>
      </w:r>
      <w:r w:rsidRPr="00D01B7A">
        <w:rPr>
          <w:rFonts w:ascii="Arial" w:eastAsia="Times New Roman" w:hAnsi="Arial" w:cs="Arial"/>
          <w:i/>
        </w:rPr>
        <w:t>ank</w:t>
      </w:r>
      <w:r w:rsidRPr="00D01B7A">
        <w:rPr>
          <w:rFonts w:ascii="Arial" w:eastAsia="Times New Roman" w:hAnsi="Arial" w:cs="Arial"/>
          <w:i/>
        </w:rPr>
        <w:t xml:space="preserve"> performance in Nigeria.</w:t>
      </w:r>
    </w:p>
    <w:p w14:paraId="34E66ACB" w14:textId="77777777" w:rsidR="003735F2" w:rsidRPr="00D01B7A" w:rsidRDefault="003735F2" w:rsidP="009D7B7D">
      <w:pPr>
        <w:spacing w:after="0" w:line="360" w:lineRule="auto"/>
        <w:ind w:left="720" w:hanging="720"/>
        <w:jc w:val="both"/>
        <w:rPr>
          <w:rFonts w:ascii="Arial" w:eastAsia="Times New Roman" w:hAnsi="Arial" w:cs="Arial"/>
        </w:rPr>
      </w:pPr>
    </w:p>
    <w:p w14:paraId="58C0C8D4" w14:textId="77777777" w:rsidR="00475386" w:rsidRPr="00D01B7A" w:rsidRDefault="00475386" w:rsidP="009D7B7D">
      <w:pPr>
        <w:spacing w:after="120" w:line="360" w:lineRule="auto"/>
        <w:jc w:val="both"/>
        <w:rPr>
          <w:rFonts w:ascii="Arial" w:eastAsia="Times New Roman" w:hAnsi="Arial" w:cs="Arial"/>
        </w:rPr>
      </w:pPr>
      <w:r w:rsidRPr="00D01B7A">
        <w:rPr>
          <w:rFonts w:ascii="Arial" w:eastAsia="Times New Roman" w:hAnsi="Arial" w:cs="Arial"/>
        </w:rPr>
        <w:t>The relationship between liquidity risk and bank performance is similarly marked by inconsistent findings across different regions and periods. Several studies, including those by Ajibike and Aremu (2015), Chioma et al. (2021), and Adelopo et al. (2022) in Nigeria, have found a positive correlation between liquidity and bank performance. In contrast, Ly (2015) and Sari et al. (2022) identified a negative or insignificant relationship. Research outside Nigeria, such as Al-Husainy et al. (2021) and Hussain and Rasheed (2022), further supports a positive association. Studies by Ahmad et al. (2019) and Khalid et al. (2019) found no direct link, whereas Haris et al. (2024) observed a positive effect of liquidity risk on returns following the COVID-19 pandemic. These varied results suggest that factors such as the macroeconomic environment, regulation, and regional conditions have an influence.</w:t>
      </w:r>
    </w:p>
    <w:p w14:paraId="083C614B" w14:textId="665B5BE2" w:rsidR="00475386" w:rsidRPr="00D01B7A" w:rsidRDefault="00475386" w:rsidP="009D7B7D">
      <w:pPr>
        <w:spacing w:after="0" w:line="360" w:lineRule="auto"/>
        <w:ind w:left="720" w:hanging="720"/>
        <w:jc w:val="both"/>
        <w:rPr>
          <w:rFonts w:ascii="Arial" w:eastAsia="Times New Roman" w:hAnsi="Arial" w:cs="Arial"/>
          <w:i/>
        </w:rPr>
      </w:pPr>
      <w:r w:rsidRPr="00D01B7A">
        <w:rPr>
          <w:rFonts w:ascii="Arial" w:hAnsi="Arial" w:cs="Arial"/>
          <w:i/>
          <w:iCs/>
        </w:rPr>
        <w:t>H</w:t>
      </w:r>
      <w:r w:rsidRPr="00D01B7A">
        <w:rPr>
          <w:rFonts w:ascii="Arial" w:hAnsi="Arial" w:cs="Arial"/>
          <w:i/>
          <w:iCs/>
          <w:vertAlign w:val="subscript"/>
        </w:rPr>
        <w:t>2</w:t>
      </w:r>
      <w:r w:rsidRPr="00D01B7A">
        <w:rPr>
          <w:rFonts w:ascii="Arial" w:eastAsia="Times New Roman" w:hAnsi="Arial" w:cs="Arial"/>
          <w:i/>
          <w:iCs/>
        </w:rPr>
        <w:t>:</w:t>
      </w:r>
      <w:r w:rsidRPr="00D01B7A">
        <w:rPr>
          <w:rFonts w:ascii="Arial" w:eastAsia="Times New Roman" w:hAnsi="Arial" w:cs="Arial"/>
          <w:i/>
          <w:iCs/>
        </w:rPr>
        <w:tab/>
        <w:t> </w:t>
      </w:r>
      <w:r w:rsidRPr="00D01B7A">
        <w:rPr>
          <w:rFonts w:ascii="Arial" w:eastAsia="Times New Roman" w:hAnsi="Arial" w:cs="Arial"/>
          <w:i/>
        </w:rPr>
        <w:t>Liquidity risk has no</w:t>
      </w:r>
      <w:r w:rsidRPr="00D01B7A">
        <w:rPr>
          <w:rFonts w:ascii="Arial" w:eastAsia="Times New Roman" w:hAnsi="Arial" w:cs="Arial"/>
          <w:i/>
        </w:rPr>
        <w:t xml:space="preserve"> significant impact on b</w:t>
      </w:r>
      <w:r w:rsidRPr="00D01B7A">
        <w:rPr>
          <w:rFonts w:ascii="Arial" w:eastAsia="Times New Roman" w:hAnsi="Arial" w:cs="Arial"/>
          <w:i/>
        </w:rPr>
        <w:t>ank</w:t>
      </w:r>
      <w:r w:rsidRPr="00D01B7A">
        <w:rPr>
          <w:rFonts w:ascii="Arial" w:eastAsia="Times New Roman" w:hAnsi="Arial" w:cs="Arial"/>
          <w:i/>
        </w:rPr>
        <w:t xml:space="preserve"> performance in Nigeria.</w:t>
      </w:r>
    </w:p>
    <w:p w14:paraId="12342B46" w14:textId="77777777" w:rsidR="00475386" w:rsidRPr="00D01B7A" w:rsidRDefault="00475386" w:rsidP="001970FC">
      <w:pPr>
        <w:spacing w:after="0" w:line="360" w:lineRule="auto"/>
        <w:rPr>
          <w:rFonts w:ascii="Arial" w:eastAsia="Times New Roman" w:hAnsi="Arial" w:cs="Arial"/>
        </w:rPr>
      </w:pPr>
    </w:p>
    <w:p w14:paraId="7D2D7630" w14:textId="314FFDBC" w:rsidR="00475386" w:rsidRPr="00D01B7A" w:rsidRDefault="00475386" w:rsidP="009D7B7D">
      <w:pPr>
        <w:spacing w:after="120" w:line="360" w:lineRule="auto"/>
        <w:jc w:val="both"/>
        <w:rPr>
          <w:rFonts w:ascii="Arial" w:eastAsia="Times New Roman" w:hAnsi="Arial" w:cs="Arial"/>
        </w:rPr>
      </w:pPr>
      <w:r w:rsidRPr="00475386">
        <w:rPr>
          <w:rFonts w:ascii="Arial" w:eastAsia="Times New Roman" w:hAnsi="Arial" w:cs="Arial"/>
        </w:rPr>
        <w:t xml:space="preserve">Research into the interdependence of banking risk factors reveals complex, joint effects on bank performance. For example, Abdelaziz et al. (2022) found that rising credit and liquidity risks sharply reduce profitability in MENA banks, whether considered separately or together. Conversely, Hussain and Rasheed (2022) reported that capital adequacy, liquidity, and credit risks can boost performance, with bank ownership playing a minimal moderating role. Furthermore, Saleh and Abu Afifa (2020) stress that these risks can either enhance or weaken profitability, urging stronger credit policies to curb non-performing loans. From the Asia–Pacific region, Le and Pham (2021) found that increasing bank capital can raise credit risk, which in turn constrains liquidity creation. Notably, their findings also reveal a negative feedback loop between </w:t>
      </w:r>
      <w:r w:rsidRPr="00475386">
        <w:rPr>
          <w:rFonts w:ascii="Arial" w:eastAsia="Times New Roman" w:hAnsi="Arial" w:cs="Arial"/>
        </w:rPr>
        <w:lastRenderedPageBreak/>
        <w:t>liquidity creation and capital, highlighting a strategic trade-off. Similarly, Ahmad et al. (2019) concluded that credit and liquidity risks, although not closely linked, each independently affect performance and, together, contribute to sector instability. Collectively, this research highlights the importance of balanced risk management for achieving sustained profitability and stability.</w:t>
      </w:r>
    </w:p>
    <w:p w14:paraId="145212FB" w14:textId="77777777" w:rsidR="00475386" w:rsidRPr="00D01B7A" w:rsidRDefault="00475386" w:rsidP="001970FC">
      <w:pPr>
        <w:spacing w:after="0" w:line="360" w:lineRule="auto"/>
        <w:ind w:left="720" w:hanging="720"/>
        <w:jc w:val="both"/>
        <w:rPr>
          <w:rFonts w:ascii="Arial" w:eastAsia="Times New Roman" w:hAnsi="Arial" w:cs="Arial"/>
          <w:i/>
        </w:rPr>
      </w:pPr>
      <w:r w:rsidRPr="00D01B7A">
        <w:rPr>
          <w:rFonts w:ascii="Arial" w:hAnsi="Arial" w:cs="Arial"/>
          <w:i/>
          <w:iCs/>
        </w:rPr>
        <w:t>H</w:t>
      </w:r>
      <w:r w:rsidRPr="00D01B7A">
        <w:rPr>
          <w:rFonts w:ascii="Arial" w:hAnsi="Arial" w:cs="Arial"/>
          <w:i/>
          <w:iCs/>
          <w:vertAlign w:val="subscript"/>
        </w:rPr>
        <w:t>4</w:t>
      </w:r>
      <w:r w:rsidRPr="00D01B7A">
        <w:rPr>
          <w:rFonts w:ascii="Arial" w:eastAsia="Times New Roman" w:hAnsi="Arial" w:cs="Arial"/>
          <w:i/>
          <w:iCs/>
        </w:rPr>
        <w:t>:</w:t>
      </w:r>
      <w:r w:rsidRPr="00D01B7A">
        <w:rPr>
          <w:rFonts w:ascii="Arial" w:eastAsia="Times New Roman" w:hAnsi="Arial" w:cs="Arial"/>
          <w:i/>
          <w:iCs/>
        </w:rPr>
        <w:tab/>
      </w:r>
      <w:r w:rsidRPr="00D01B7A">
        <w:rPr>
          <w:rFonts w:ascii="Arial" w:eastAsia="Times New Roman" w:hAnsi="Arial" w:cs="Arial"/>
          <w:i/>
        </w:rPr>
        <w:t>There is no interdependency among risk-weighted capital, liquidity risk, and credit risk.</w:t>
      </w:r>
    </w:p>
    <w:p w14:paraId="64C5D38F" w14:textId="77777777" w:rsidR="00475386" w:rsidRPr="00475386" w:rsidRDefault="00475386" w:rsidP="001970FC">
      <w:pPr>
        <w:spacing w:line="360" w:lineRule="auto"/>
        <w:rPr>
          <w:rFonts w:ascii="Arial" w:eastAsia="Times New Roman" w:hAnsi="Arial" w:cs="Arial"/>
        </w:rPr>
      </w:pPr>
    </w:p>
    <w:p w14:paraId="3EF3593E" w14:textId="77777777" w:rsidR="00AC0043" w:rsidRPr="00D01B7A" w:rsidRDefault="00D17AFA" w:rsidP="009D7B7D">
      <w:pPr>
        <w:pStyle w:val="Heading1"/>
        <w:spacing w:after="160" w:line="360" w:lineRule="auto"/>
        <w:rPr>
          <w:rFonts w:ascii="Arial" w:hAnsi="Arial" w:cs="Arial"/>
          <w:b/>
          <w:color w:val="auto"/>
          <w:sz w:val="22"/>
          <w:szCs w:val="22"/>
        </w:rPr>
      </w:pPr>
      <w:r w:rsidRPr="00D01B7A">
        <w:rPr>
          <w:rFonts w:ascii="Arial" w:hAnsi="Arial" w:cs="Arial"/>
          <w:b/>
          <w:color w:val="auto"/>
          <w:sz w:val="22"/>
          <w:szCs w:val="22"/>
        </w:rPr>
        <w:t>3</w:t>
      </w:r>
      <w:r w:rsidR="00F67C07" w:rsidRPr="00D01B7A">
        <w:rPr>
          <w:rFonts w:ascii="Arial" w:hAnsi="Arial" w:cs="Arial"/>
          <w:b/>
          <w:color w:val="auto"/>
          <w:sz w:val="22"/>
          <w:szCs w:val="22"/>
        </w:rPr>
        <w:t xml:space="preserve">.0 </w:t>
      </w:r>
      <w:r w:rsidR="00AC0043" w:rsidRPr="00D01B7A">
        <w:rPr>
          <w:rFonts w:ascii="Arial" w:hAnsi="Arial" w:cs="Arial"/>
          <w:b/>
          <w:color w:val="auto"/>
          <w:sz w:val="22"/>
          <w:szCs w:val="22"/>
        </w:rPr>
        <w:t>Methods and Model</w:t>
      </w:r>
    </w:p>
    <w:p w14:paraId="18B368BB" w14:textId="77777777" w:rsidR="00AC0043" w:rsidRPr="00D01B7A" w:rsidRDefault="00AC0043" w:rsidP="009D7B7D">
      <w:pPr>
        <w:autoSpaceDE w:val="0"/>
        <w:autoSpaceDN w:val="0"/>
        <w:adjustRightInd w:val="0"/>
        <w:spacing w:line="360" w:lineRule="auto"/>
        <w:jc w:val="both"/>
        <w:rPr>
          <w:rFonts w:ascii="Arial" w:hAnsi="Arial" w:cs="Arial"/>
          <w:b/>
          <w:bCs/>
          <w:lang w:val="en-AE"/>
        </w:rPr>
      </w:pPr>
      <w:r w:rsidRPr="00D01B7A">
        <w:rPr>
          <w:rFonts w:ascii="Arial" w:hAnsi="Arial" w:cs="Arial"/>
          <w:b/>
          <w:bCs/>
          <w:lang w:val="en-AE"/>
        </w:rPr>
        <w:t>3.1 Data and sources</w:t>
      </w:r>
    </w:p>
    <w:p w14:paraId="2A67EFB7" w14:textId="5E975578" w:rsidR="00FF332B" w:rsidRPr="00D01B7A" w:rsidRDefault="00FF332B" w:rsidP="009D7B7D">
      <w:pPr>
        <w:spacing w:after="120" w:line="360" w:lineRule="auto"/>
        <w:jc w:val="both"/>
        <w:rPr>
          <w:rFonts w:ascii="Arial" w:eastAsia="Times New Roman" w:hAnsi="Arial" w:cs="Arial"/>
        </w:rPr>
      </w:pPr>
      <w:r w:rsidRPr="00FF332B">
        <w:rPr>
          <w:rFonts w:ascii="Arial" w:eastAsia="Times New Roman" w:hAnsi="Arial" w:cs="Arial"/>
        </w:rPr>
        <w:t>The study employed secondary data spanning 14 years from 2010 to 2023. It focused on commercial banks listed on the Nigerian Stock Exchange (NSE) that remained operational and were not delisted during the period examined. A non-probabilistic sampling technique was employed to represent the entire Nigerian banking system and gain a deeper understanding of operational performance. The rationale for this purposive approach was to obtain actual study data from Nigerian commercial banks listed on the NSE. Data for the analysis came from the NSE’s annual report and Factbook publications, Central Bank of Nigeria statistical bulletins and annual reports, individual banks’ annual financial statements, and other relevant materials. The study’s adopted variables and models were based on Imani and Pracoyo (2018) in the</w:t>
      </w:r>
      <w:r w:rsidR="003735F2" w:rsidRPr="00D01B7A">
        <w:rPr>
          <w:rFonts w:ascii="Arial" w:eastAsia="Times New Roman" w:hAnsi="Arial" w:cs="Arial"/>
        </w:rPr>
        <w:t>ir</w:t>
      </w:r>
      <w:r w:rsidRPr="00FF332B">
        <w:rPr>
          <w:rFonts w:ascii="Arial" w:eastAsia="Times New Roman" w:hAnsi="Arial" w:cs="Arial"/>
        </w:rPr>
        <w:t xml:space="preserve"> work, "Analysis of the effect of capital, credit risk, and liquidity risk on profitability in banks." Profitability was measured by Return on Assets (ROA), calculated as the profit before taxes divided by total assets. Liquidity risk was measured by the loan-to-deposit ratio (LDR), and risk-weighted capital was measured by the ratio of qualifying capital to risk-weighted assets (RWA). Unlike previous research, this study enhanced the model by integrating financial stability Z-score techniques to assess bank soundness as a proxy for credit risk, following the approach of Abbas and Ullah (2023). Table 1 below presents the details of the variables, their proxies, and the corresponding measures.</w:t>
      </w:r>
    </w:p>
    <w:p w14:paraId="6EB6CEDB" w14:textId="4CD897B3" w:rsidR="003735F2" w:rsidRDefault="003735F2" w:rsidP="009D7B7D">
      <w:pPr>
        <w:spacing w:after="120" w:line="360" w:lineRule="auto"/>
        <w:jc w:val="both"/>
        <w:rPr>
          <w:rFonts w:ascii="Arial" w:eastAsia="Times New Roman" w:hAnsi="Arial" w:cs="Arial"/>
        </w:rPr>
      </w:pPr>
    </w:p>
    <w:p w14:paraId="2C408F23" w14:textId="43BFF4C7" w:rsidR="009D7B7D" w:rsidRDefault="009D7B7D" w:rsidP="009D7B7D">
      <w:pPr>
        <w:spacing w:after="120" w:line="360" w:lineRule="auto"/>
        <w:jc w:val="both"/>
        <w:rPr>
          <w:rFonts w:ascii="Arial" w:eastAsia="Times New Roman" w:hAnsi="Arial" w:cs="Arial"/>
        </w:rPr>
      </w:pPr>
    </w:p>
    <w:p w14:paraId="77ABAC2A" w14:textId="77777777" w:rsidR="006457BE" w:rsidRPr="00D01B7A" w:rsidRDefault="00AC0043" w:rsidP="009D7B7D">
      <w:pPr>
        <w:spacing w:after="0" w:line="360" w:lineRule="auto"/>
        <w:jc w:val="both"/>
        <w:rPr>
          <w:rFonts w:ascii="Arial" w:hAnsi="Arial" w:cs="Arial"/>
          <w:b/>
          <w:bCs/>
          <w:iCs/>
          <w:shd w:val="clear" w:color="auto" w:fill="FFFFFF"/>
        </w:rPr>
      </w:pPr>
      <w:r w:rsidRPr="00D01B7A">
        <w:rPr>
          <w:rFonts w:ascii="Arial" w:hAnsi="Arial" w:cs="Arial"/>
          <w:b/>
          <w:bCs/>
          <w:iCs/>
          <w:shd w:val="clear" w:color="auto" w:fill="FFFFFF"/>
        </w:rPr>
        <w:t>Table 1</w:t>
      </w:r>
    </w:p>
    <w:p w14:paraId="0FF8B568" w14:textId="77777777" w:rsidR="00AC0043" w:rsidRPr="00D01B7A" w:rsidRDefault="00AC0043" w:rsidP="009D7B7D">
      <w:pPr>
        <w:spacing w:after="0" w:line="360" w:lineRule="auto"/>
        <w:jc w:val="both"/>
        <w:rPr>
          <w:rFonts w:ascii="Arial" w:hAnsi="Arial" w:cs="Arial"/>
          <w:b/>
          <w:bCs/>
          <w:iCs/>
          <w:shd w:val="clear" w:color="auto" w:fill="FFFFFF"/>
        </w:rPr>
      </w:pPr>
      <w:r w:rsidRPr="00D01B7A">
        <w:rPr>
          <w:rFonts w:ascii="Arial" w:hAnsi="Arial" w:cs="Arial"/>
          <w:b/>
          <w:bCs/>
          <w:iCs/>
          <w:shd w:val="clear" w:color="auto" w:fill="FFFFFF"/>
        </w:rPr>
        <w:t>Description of Variables</w:t>
      </w:r>
    </w:p>
    <w:tbl>
      <w:tblPr>
        <w:tblStyle w:val="TableGrid"/>
        <w:tblW w:w="9351" w:type="dxa"/>
        <w:tblLook w:val="04A0" w:firstRow="1" w:lastRow="0" w:firstColumn="1" w:lastColumn="0" w:noHBand="0" w:noVBand="1"/>
      </w:tblPr>
      <w:tblGrid>
        <w:gridCol w:w="2547"/>
        <w:gridCol w:w="3118"/>
        <w:gridCol w:w="3686"/>
      </w:tblGrid>
      <w:tr w:rsidR="00E05F0D" w:rsidRPr="00D01B7A" w14:paraId="4657F788" w14:textId="77777777" w:rsidTr="00E05F0D">
        <w:trPr>
          <w:trHeight w:val="108"/>
        </w:trPr>
        <w:tc>
          <w:tcPr>
            <w:tcW w:w="2547" w:type="dxa"/>
          </w:tcPr>
          <w:p w14:paraId="585EC911" w14:textId="66228202" w:rsidR="00E05F0D" w:rsidRPr="00D01B7A" w:rsidRDefault="00E05F0D" w:rsidP="00E05F0D">
            <w:pPr>
              <w:spacing w:line="276" w:lineRule="auto"/>
              <w:jc w:val="both"/>
              <w:rPr>
                <w:rFonts w:ascii="Arial" w:hAnsi="Arial" w:cs="Arial"/>
                <w:b/>
                <w:iCs/>
                <w:sz w:val="22"/>
                <w:szCs w:val="22"/>
                <w:shd w:val="clear" w:color="auto" w:fill="FFFFFF"/>
              </w:rPr>
            </w:pPr>
            <w:r w:rsidRPr="00D01B7A">
              <w:rPr>
                <w:rFonts w:ascii="Arial" w:hAnsi="Arial" w:cs="Arial"/>
                <w:b/>
                <w:iCs/>
                <w:sz w:val="22"/>
                <w:szCs w:val="22"/>
                <w:shd w:val="clear" w:color="auto" w:fill="FFFFFF"/>
              </w:rPr>
              <w:t>Variable</w:t>
            </w:r>
          </w:p>
        </w:tc>
        <w:tc>
          <w:tcPr>
            <w:tcW w:w="3118" w:type="dxa"/>
          </w:tcPr>
          <w:p w14:paraId="5A31569D" w14:textId="223B4F52" w:rsidR="00E05F0D" w:rsidRPr="00D01B7A" w:rsidRDefault="00E05F0D" w:rsidP="00E05F0D">
            <w:pPr>
              <w:spacing w:line="276" w:lineRule="auto"/>
              <w:jc w:val="both"/>
              <w:rPr>
                <w:rFonts w:ascii="Arial" w:hAnsi="Arial" w:cs="Arial"/>
                <w:b/>
                <w:iCs/>
                <w:sz w:val="22"/>
                <w:szCs w:val="22"/>
                <w:shd w:val="clear" w:color="auto" w:fill="FFFFFF"/>
              </w:rPr>
            </w:pPr>
            <w:r w:rsidRPr="00D01B7A">
              <w:rPr>
                <w:rFonts w:ascii="Arial" w:hAnsi="Arial" w:cs="Arial"/>
                <w:b/>
                <w:iCs/>
                <w:sz w:val="22"/>
                <w:szCs w:val="22"/>
                <w:shd w:val="clear" w:color="auto" w:fill="FFFFFF"/>
              </w:rPr>
              <w:t>Proxy</w:t>
            </w:r>
          </w:p>
        </w:tc>
        <w:tc>
          <w:tcPr>
            <w:tcW w:w="3686" w:type="dxa"/>
          </w:tcPr>
          <w:p w14:paraId="459D8083" w14:textId="77777777" w:rsidR="00E05F0D" w:rsidRPr="00D01B7A" w:rsidRDefault="00E05F0D" w:rsidP="00E05F0D">
            <w:pPr>
              <w:spacing w:line="276" w:lineRule="auto"/>
              <w:jc w:val="both"/>
              <w:rPr>
                <w:rFonts w:ascii="Arial" w:hAnsi="Arial" w:cs="Arial"/>
                <w:b/>
                <w:iCs/>
                <w:sz w:val="22"/>
                <w:szCs w:val="22"/>
                <w:shd w:val="clear" w:color="auto" w:fill="FFFFFF"/>
              </w:rPr>
            </w:pPr>
            <w:r w:rsidRPr="00D01B7A">
              <w:rPr>
                <w:rFonts w:ascii="Arial" w:hAnsi="Arial" w:cs="Arial"/>
                <w:b/>
                <w:iCs/>
                <w:sz w:val="22"/>
                <w:szCs w:val="22"/>
                <w:shd w:val="clear" w:color="auto" w:fill="FFFFFF"/>
              </w:rPr>
              <w:t>Measurement</w:t>
            </w:r>
          </w:p>
        </w:tc>
      </w:tr>
      <w:tr w:rsidR="00E05F0D" w:rsidRPr="00D01B7A" w14:paraId="467DDE44" w14:textId="77777777" w:rsidTr="00E05F0D">
        <w:trPr>
          <w:trHeight w:val="108"/>
        </w:trPr>
        <w:tc>
          <w:tcPr>
            <w:tcW w:w="2547" w:type="dxa"/>
          </w:tcPr>
          <w:p w14:paraId="5D377B91" w14:textId="367F3807" w:rsidR="00E05F0D" w:rsidRPr="00D01B7A" w:rsidRDefault="00E05F0D" w:rsidP="00E05F0D">
            <w:pPr>
              <w:spacing w:line="276" w:lineRule="auto"/>
              <w:jc w:val="both"/>
              <w:rPr>
                <w:rFonts w:ascii="Arial" w:hAnsi="Arial" w:cs="Arial"/>
                <w:b/>
                <w:bCs/>
                <w:i/>
                <w:sz w:val="22"/>
                <w:szCs w:val="22"/>
                <w:shd w:val="clear" w:color="auto" w:fill="FFFFFF"/>
              </w:rPr>
            </w:pPr>
            <w:r w:rsidRPr="00D01B7A">
              <w:rPr>
                <w:rFonts w:ascii="Arial" w:hAnsi="Arial" w:cs="Arial"/>
                <w:b/>
                <w:bCs/>
                <w:i/>
                <w:sz w:val="22"/>
                <w:szCs w:val="22"/>
                <w:shd w:val="clear" w:color="auto" w:fill="FFFFFF"/>
              </w:rPr>
              <w:t>Dependent</w:t>
            </w:r>
          </w:p>
        </w:tc>
        <w:tc>
          <w:tcPr>
            <w:tcW w:w="3118" w:type="dxa"/>
          </w:tcPr>
          <w:p w14:paraId="348C471D" w14:textId="77777777" w:rsidR="00E05F0D" w:rsidRPr="00D01B7A" w:rsidRDefault="00E05F0D" w:rsidP="00E05F0D">
            <w:pPr>
              <w:spacing w:line="276" w:lineRule="auto"/>
              <w:jc w:val="both"/>
              <w:rPr>
                <w:rFonts w:ascii="Arial" w:hAnsi="Arial" w:cs="Arial"/>
                <w:iCs/>
                <w:sz w:val="22"/>
                <w:szCs w:val="22"/>
                <w:shd w:val="clear" w:color="auto" w:fill="FFFFFF"/>
              </w:rPr>
            </w:pPr>
          </w:p>
        </w:tc>
        <w:tc>
          <w:tcPr>
            <w:tcW w:w="3686" w:type="dxa"/>
          </w:tcPr>
          <w:p w14:paraId="0490EA6C" w14:textId="77777777" w:rsidR="00E05F0D" w:rsidRPr="00D01B7A" w:rsidRDefault="00E05F0D" w:rsidP="00E05F0D">
            <w:pPr>
              <w:spacing w:line="276" w:lineRule="auto"/>
              <w:jc w:val="both"/>
              <w:rPr>
                <w:rFonts w:ascii="Arial" w:hAnsi="Arial" w:cs="Arial"/>
                <w:iCs/>
                <w:sz w:val="22"/>
                <w:szCs w:val="22"/>
                <w:shd w:val="clear" w:color="auto" w:fill="FFFFFF"/>
              </w:rPr>
            </w:pPr>
          </w:p>
        </w:tc>
      </w:tr>
      <w:tr w:rsidR="00D01B7A" w:rsidRPr="00D01B7A" w14:paraId="3772EAB5" w14:textId="77777777" w:rsidTr="00E05F0D">
        <w:trPr>
          <w:trHeight w:val="108"/>
        </w:trPr>
        <w:tc>
          <w:tcPr>
            <w:tcW w:w="2547" w:type="dxa"/>
          </w:tcPr>
          <w:p w14:paraId="0C161014" w14:textId="54E279E4" w:rsidR="00E05F0D" w:rsidRPr="00D01B7A" w:rsidRDefault="00E05F0D"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lastRenderedPageBreak/>
              <w:t>Banks performance</w:t>
            </w:r>
          </w:p>
        </w:tc>
        <w:tc>
          <w:tcPr>
            <w:tcW w:w="3118" w:type="dxa"/>
          </w:tcPr>
          <w:p w14:paraId="5C4DA9ED" w14:textId="47546791" w:rsidR="00E05F0D" w:rsidRPr="00D01B7A" w:rsidRDefault="00E05F0D"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ROA (</w:t>
            </w:r>
            <w:r w:rsidRPr="00D01B7A">
              <w:rPr>
                <w:rFonts w:ascii="Arial" w:hAnsi="Arial" w:cs="Arial"/>
                <w:sz w:val="22"/>
                <w:szCs w:val="22"/>
              </w:rPr>
              <w:t>Return on Assets)</w:t>
            </w:r>
          </w:p>
        </w:tc>
        <w:tc>
          <w:tcPr>
            <w:tcW w:w="3686" w:type="dxa"/>
          </w:tcPr>
          <w:p w14:paraId="10661651" w14:textId="6357E6A9" w:rsidR="00E05F0D" w:rsidRPr="00D01B7A" w:rsidRDefault="00072DF2" w:rsidP="00E05F0D">
            <w:pPr>
              <w:spacing w:line="276" w:lineRule="auto"/>
              <w:jc w:val="both"/>
              <w:rPr>
                <w:rFonts w:ascii="Arial" w:hAnsi="Arial" w:cs="Arial"/>
                <w:iCs/>
                <w:sz w:val="22"/>
                <w:szCs w:val="22"/>
                <w:shd w:val="clear" w:color="auto" w:fill="FFFFFF"/>
              </w:rPr>
            </w:pPr>
            <w:r w:rsidRPr="00D01B7A">
              <w:rPr>
                <w:rFonts w:ascii="Arial" w:eastAsia="Times New Roman" w:hAnsi="Arial" w:cs="Arial"/>
                <w:sz w:val="22"/>
                <w:szCs w:val="22"/>
              </w:rPr>
              <w:t xml:space="preserve">Profit before taxes </w:t>
            </w:r>
            <w:r w:rsidR="00E05F0D" w:rsidRPr="00D01B7A">
              <w:rPr>
                <w:rFonts w:ascii="Arial" w:hAnsi="Arial" w:cs="Arial"/>
                <w:iCs/>
                <w:sz w:val="22"/>
                <w:szCs w:val="22"/>
                <w:shd w:val="clear" w:color="auto" w:fill="FFFFFF"/>
              </w:rPr>
              <w:t>/Total asset</w:t>
            </w:r>
          </w:p>
        </w:tc>
      </w:tr>
      <w:tr w:rsidR="00E05F0D" w:rsidRPr="00D01B7A" w14:paraId="518B12C8" w14:textId="77777777" w:rsidTr="00E05F0D">
        <w:trPr>
          <w:trHeight w:val="108"/>
        </w:trPr>
        <w:tc>
          <w:tcPr>
            <w:tcW w:w="2547" w:type="dxa"/>
          </w:tcPr>
          <w:p w14:paraId="42AAC206" w14:textId="610D85A9" w:rsidR="00E05F0D" w:rsidRPr="00D01B7A" w:rsidRDefault="00E05F0D" w:rsidP="00E05F0D">
            <w:pPr>
              <w:spacing w:line="276" w:lineRule="auto"/>
              <w:jc w:val="both"/>
              <w:rPr>
                <w:rFonts w:ascii="Arial" w:hAnsi="Arial" w:cs="Arial"/>
                <w:b/>
                <w:bCs/>
                <w:i/>
                <w:sz w:val="22"/>
                <w:szCs w:val="22"/>
                <w:shd w:val="clear" w:color="auto" w:fill="FFFFFF"/>
              </w:rPr>
            </w:pPr>
            <w:r w:rsidRPr="00D01B7A">
              <w:rPr>
                <w:rFonts w:ascii="Arial" w:hAnsi="Arial" w:cs="Arial"/>
                <w:b/>
                <w:bCs/>
                <w:i/>
                <w:sz w:val="22"/>
                <w:szCs w:val="22"/>
                <w:shd w:val="clear" w:color="auto" w:fill="FFFFFF"/>
              </w:rPr>
              <w:t>Independents</w:t>
            </w:r>
          </w:p>
        </w:tc>
        <w:tc>
          <w:tcPr>
            <w:tcW w:w="3118" w:type="dxa"/>
          </w:tcPr>
          <w:p w14:paraId="2BE23959" w14:textId="77777777" w:rsidR="00E05F0D" w:rsidRPr="00D01B7A" w:rsidRDefault="00E05F0D" w:rsidP="00E05F0D">
            <w:pPr>
              <w:spacing w:line="276" w:lineRule="auto"/>
              <w:jc w:val="both"/>
              <w:rPr>
                <w:rFonts w:ascii="Arial" w:hAnsi="Arial" w:cs="Arial"/>
                <w:iCs/>
                <w:sz w:val="22"/>
                <w:szCs w:val="22"/>
                <w:shd w:val="clear" w:color="auto" w:fill="FFFFFF"/>
              </w:rPr>
            </w:pPr>
          </w:p>
        </w:tc>
        <w:tc>
          <w:tcPr>
            <w:tcW w:w="3686" w:type="dxa"/>
          </w:tcPr>
          <w:p w14:paraId="20BEC4A8" w14:textId="77777777" w:rsidR="00E05F0D" w:rsidRPr="00D01B7A" w:rsidRDefault="00E05F0D" w:rsidP="00E05F0D">
            <w:pPr>
              <w:spacing w:line="276" w:lineRule="auto"/>
              <w:jc w:val="both"/>
              <w:rPr>
                <w:rFonts w:ascii="Arial" w:hAnsi="Arial" w:cs="Arial"/>
                <w:iCs/>
                <w:sz w:val="22"/>
                <w:szCs w:val="22"/>
                <w:shd w:val="clear" w:color="auto" w:fill="FFFFFF"/>
              </w:rPr>
            </w:pPr>
          </w:p>
        </w:tc>
      </w:tr>
      <w:tr w:rsidR="00D01B7A" w:rsidRPr="00D01B7A" w14:paraId="2F44C0A3" w14:textId="77777777" w:rsidTr="00E05F0D">
        <w:trPr>
          <w:trHeight w:val="108"/>
        </w:trPr>
        <w:tc>
          <w:tcPr>
            <w:tcW w:w="2547" w:type="dxa"/>
          </w:tcPr>
          <w:p w14:paraId="7B040959" w14:textId="0F6B00A4" w:rsidR="00E05F0D" w:rsidRPr="00D01B7A" w:rsidRDefault="00E05F0D"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Capital adequacy</w:t>
            </w:r>
          </w:p>
        </w:tc>
        <w:tc>
          <w:tcPr>
            <w:tcW w:w="3118" w:type="dxa"/>
          </w:tcPr>
          <w:p w14:paraId="5B8F9F6D" w14:textId="065F7EC1" w:rsidR="00E05F0D" w:rsidRPr="00D01B7A" w:rsidRDefault="00EA4C3E" w:rsidP="00072DF2">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RWC</w:t>
            </w:r>
            <w:r w:rsidR="00E05F0D" w:rsidRPr="00D01B7A">
              <w:rPr>
                <w:rFonts w:ascii="Arial" w:hAnsi="Arial" w:cs="Arial"/>
                <w:iCs/>
                <w:sz w:val="22"/>
                <w:szCs w:val="22"/>
                <w:shd w:val="clear" w:color="auto" w:fill="FFFFFF"/>
              </w:rPr>
              <w:t xml:space="preserve"> (</w:t>
            </w:r>
            <w:r w:rsidR="00E05F0D" w:rsidRPr="00D01B7A">
              <w:rPr>
                <w:rFonts w:ascii="Arial" w:hAnsi="Arial" w:cs="Arial"/>
                <w:sz w:val="22"/>
                <w:szCs w:val="22"/>
              </w:rPr>
              <w:t xml:space="preserve">Risk </w:t>
            </w:r>
            <w:r w:rsidR="00072DF2" w:rsidRPr="00D01B7A">
              <w:rPr>
                <w:rFonts w:ascii="Arial" w:hAnsi="Arial" w:cs="Arial"/>
                <w:sz w:val="22"/>
                <w:szCs w:val="22"/>
              </w:rPr>
              <w:t>Weighted</w:t>
            </w:r>
            <w:r w:rsidR="00E05F0D" w:rsidRPr="00D01B7A">
              <w:rPr>
                <w:rFonts w:ascii="Arial" w:hAnsi="Arial" w:cs="Arial"/>
                <w:sz w:val="22"/>
                <w:szCs w:val="22"/>
              </w:rPr>
              <w:t xml:space="preserve"> Capital)</w:t>
            </w:r>
          </w:p>
        </w:tc>
        <w:tc>
          <w:tcPr>
            <w:tcW w:w="3686" w:type="dxa"/>
          </w:tcPr>
          <w:p w14:paraId="59F1E0AA" w14:textId="6EDF8480" w:rsidR="00E05F0D" w:rsidRPr="00D01B7A" w:rsidRDefault="00BF467C"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w:t>
            </w:r>
          </w:p>
        </w:tc>
      </w:tr>
      <w:tr w:rsidR="00D01B7A" w:rsidRPr="00D01B7A" w14:paraId="22A07943" w14:textId="77777777" w:rsidTr="00E05F0D">
        <w:trPr>
          <w:trHeight w:val="108"/>
        </w:trPr>
        <w:tc>
          <w:tcPr>
            <w:tcW w:w="2547" w:type="dxa"/>
          </w:tcPr>
          <w:p w14:paraId="2371F217" w14:textId="17043AC5" w:rsidR="00E05F0D" w:rsidRPr="00D01B7A" w:rsidRDefault="00E05F0D"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Liquidity risk</w:t>
            </w:r>
          </w:p>
        </w:tc>
        <w:tc>
          <w:tcPr>
            <w:tcW w:w="3118" w:type="dxa"/>
          </w:tcPr>
          <w:p w14:paraId="1B607DFB" w14:textId="64E795FD" w:rsidR="00E05F0D" w:rsidRPr="00D01B7A" w:rsidRDefault="00E05F0D"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LDR (</w:t>
            </w:r>
            <w:r w:rsidRPr="00D01B7A">
              <w:rPr>
                <w:rFonts w:ascii="Arial" w:hAnsi="Arial" w:cs="Arial"/>
                <w:sz w:val="22"/>
                <w:szCs w:val="22"/>
              </w:rPr>
              <w:t>Loan to Deposit Ratio)</w:t>
            </w:r>
          </w:p>
        </w:tc>
        <w:tc>
          <w:tcPr>
            <w:tcW w:w="3686" w:type="dxa"/>
          </w:tcPr>
          <w:p w14:paraId="74A2BFAE" w14:textId="7D7AB6FA" w:rsidR="00E05F0D" w:rsidRPr="00D01B7A" w:rsidRDefault="00072DF2" w:rsidP="00ED76B9">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 xml:space="preserve">Total </w:t>
            </w:r>
            <w:r w:rsidR="00ED76B9" w:rsidRPr="00D01B7A">
              <w:rPr>
                <w:rFonts w:ascii="Arial" w:hAnsi="Arial" w:cs="Arial"/>
                <w:iCs/>
                <w:sz w:val="22"/>
                <w:szCs w:val="22"/>
                <w:shd w:val="clear" w:color="auto" w:fill="FFFFFF"/>
              </w:rPr>
              <w:t>Loans / Total D</w:t>
            </w:r>
            <w:r w:rsidRPr="00D01B7A">
              <w:rPr>
                <w:rFonts w:ascii="Arial" w:hAnsi="Arial" w:cs="Arial"/>
                <w:iCs/>
                <w:sz w:val="22"/>
                <w:szCs w:val="22"/>
                <w:shd w:val="clear" w:color="auto" w:fill="FFFFFF"/>
              </w:rPr>
              <w:t>eposits</w:t>
            </w:r>
          </w:p>
        </w:tc>
      </w:tr>
      <w:tr w:rsidR="00D01B7A" w:rsidRPr="00D01B7A" w14:paraId="7071FF29" w14:textId="77777777" w:rsidTr="00E05F0D">
        <w:trPr>
          <w:trHeight w:val="108"/>
        </w:trPr>
        <w:tc>
          <w:tcPr>
            <w:tcW w:w="2547" w:type="dxa"/>
          </w:tcPr>
          <w:p w14:paraId="58588829" w14:textId="184F4AF8" w:rsidR="00E05F0D" w:rsidRPr="00D01B7A" w:rsidRDefault="00E05F0D"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Credit risk</w:t>
            </w:r>
          </w:p>
        </w:tc>
        <w:tc>
          <w:tcPr>
            <w:tcW w:w="3118" w:type="dxa"/>
          </w:tcPr>
          <w:p w14:paraId="46CA5FD1" w14:textId="65611466" w:rsidR="00E05F0D" w:rsidRPr="00D01B7A" w:rsidRDefault="00E05F0D"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Zscore</w:t>
            </w:r>
          </w:p>
        </w:tc>
        <w:tc>
          <w:tcPr>
            <w:tcW w:w="3686" w:type="dxa"/>
          </w:tcPr>
          <w:p w14:paraId="6665F4EC" w14:textId="77777777" w:rsidR="00E05F0D" w:rsidRPr="00D01B7A" w:rsidRDefault="00E05F0D" w:rsidP="00E05F0D">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(ROA+Equity/Total asset)/σ(ROA)</w:t>
            </w:r>
          </w:p>
        </w:tc>
      </w:tr>
      <w:tr w:rsidR="0057784D" w:rsidRPr="00D01B7A" w14:paraId="7DBD9188" w14:textId="77777777" w:rsidTr="00E05F0D">
        <w:trPr>
          <w:trHeight w:val="108"/>
        </w:trPr>
        <w:tc>
          <w:tcPr>
            <w:tcW w:w="2547" w:type="dxa"/>
          </w:tcPr>
          <w:p w14:paraId="268CDA24" w14:textId="4562B2C3" w:rsidR="0057784D" w:rsidRPr="00D01B7A" w:rsidRDefault="0057784D" w:rsidP="006432F9">
            <w:pPr>
              <w:spacing w:line="276" w:lineRule="auto"/>
              <w:jc w:val="both"/>
              <w:rPr>
                <w:rFonts w:ascii="Arial" w:hAnsi="Arial" w:cs="Arial"/>
                <w:b/>
                <w:bCs/>
                <w:i/>
                <w:sz w:val="22"/>
                <w:szCs w:val="22"/>
                <w:shd w:val="clear" w:color="auto" w:fill="FFFFFF"/>
              </w:rPr>
            </w:pPr>
            <w:r w:rsidRPr="00D01B7A">
              <w:rPr>
                <w:rFonts w:ascii="Arial" w:hAnsi="Arial" w:cs="Arial"/>
                <w:b/>
                <w:bCs/>
                <w:i/>
                <w:sz w:val="22"/>
                <w:szCs w:val="22"/>
                <w:shd w:val="clear" w:color="auto" w:fill="FFFFFF"/>
              </w:rPr>
              <w:t>Control</w:t>
            </w:r>
          </w:p>
        </w:tc>
        <w:tc>
          <w:tcPr>
            <w:tcW w:w="3118" w:type="dxa"/>
          </w:tcPr>
          <w:p w14:paraId="04995FB0" w14:textId="77777777" w:rsidR="0057784D" w:rsidRPr="00D01B7A" w:rsidRDefault="0057784D" w:rsidP="006432F9">
            <w:pPr>
              <w:spacing w:line="276" w:lineRule="auto"/>
              <w:jc w:val="both"/>
              <w:rPr>
                <w:rFonts w:ascii="Arial" w:hAnsi="Arial" w:cs="Arial"/>
                <w:iCs/>
                <w:sz w:val="22"/>
                <w:szCs w:val="22"/>
                <w:shd w:val="clear" w:color="auto" w:fill="FFFFFF"/>
              </w:rPr>
            </w:pPr>
          </w:p>
        </w:tc>
        <w:tc>
          <w:tcPr>
            <w:tcW w:w="3686" w:type="dxa"/>
          </w:tcPr>
          <w:p w14:paraId="0AF896CB" w14:textId="77777777" w:rsidR="0057784D" w:rsidRPr="00D01B7A" w:rsidRDefault="0057784D" w:rsidP="006432F9">
            <w:pPr>
              <w:spacing w:line="276" w:lineRule="auto"/>
              <w:jc w:val="both"/>
              <w:rPr>
                <w:rFonts w:ascii="Arial" w:hAnsi="Arial" w:cs="Arial"/>
                <w:iCs/>
                <w:sz w:val="22"/>
                <w:szCs w:val="22"/>
                <w:shd w:val="clear" w:color="auto" w:fill="FFFFFF"/>
              </w:rPr>
            </w:pPr>
          </w:p>
        </w:tc>
      </w:tr>
      <w:tr w:rsidR="00D01B7A" w:rsidRPr="00D01B7A" w14:paraId="7DF8A4EE" w14:textId="77777777" w:rsidTr="00E05F0D">
        <w:trPr>
          <w:trHeight w:val="108"/>
        </w:trPr>
        <w:tc>
          <w:tcPr>
            <w:tcW w:w="2547" w:type="dxa"/>
          </w:tcPr>
          <w:p w14:paraId="772F0F20" w14:textId="6C4F31E9" w:rsidR="00E05F0D" w:rsidRPr="00D01B7A" w:rsidRDefault="009800AD" w:rsidP="006432F9">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Bank size</w:t>
            </w:r>
          </w:p>
        </w:tc>
        <w:tc>
          <w:tcPr>
            <w:tcW w:w="3118" w:type="dxa"/>
          </w:tcPr>
          <w:p w14:paraId="7CA8F46E" w14:textId="576C7771" w:rsidR="00E05F0D" w:rsidRPr="00D01B7A" w:rsidRDefault="00E05F0D" w:rsidP="006432F9">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Bank Size</w:t>
            </w:r>
          </w:p>
        </w:tc>
        <w:tc>
          <w:tcPr>
            <w:tcW w:w="3686" w:type="dxa"/>
          </w:tcPr>
          <w:p w14:paraId="7B36BCDF" w14:textId="77777777" w:rsidR="00E05F0D" w:rsidRPr="00D01B7A" w:rsidRDefault="00E05F0D" w:rsidP="006432F9">
            <w:pPr>
              <w:spacing w:line="276" w:lineRule="auto"/>
              <w:jc w:val="both"/>
              <w:rPr>
                <w:rFonts w:ascii="Arial" w:hAnsi="Arial" w:cs="Arial"/>
                <w:iCs/>
                <w:sz w:val="22"/>
                <w:szCs w:val="22"/>
                <w:shd w:val="clear" w:color="auto" w:fill="FFFFFF"/>
              </w:rPr>
            </w:pPr>
            <w:r w:rsidRPr="00D01B7A">
              <w:rPr>
                <w:rFonts w:ascii="Arial" w:hAnsi="Arial" w:cs="Arial"/>
                <w:iCs/>
                <w:sz w:val="22"/>
                <w:szCs w:val="22"/>
                <w:shd w:val="clear" w:color="auto" w:fill="FFFFFF"/>
              </w:rPr>
              <w:t>Log(Total asset)</w:t>
            </w:r>
          </w:p>
        </w:tc>
      </w:tr>
    </w:tbl>
    <w:p w14:paraId="71609F53" w14:textId="77777777" w:rsidR="00BF467C" w:rsidRPr="00D01B7A" w:rsidRDefault="00BF467C" w:rsidP="001970FC">
      <w:pPr>
        <w:autoSpaceDE w:val="0"/>
        <w:autoSpaceDN w:val="0"/>
        <w:adjustRightInd w:val="0"/>
        <w:spacing w:after="0" w:line="360" w:lineRule="auto"/>
        <w:jc w:val="both"/>
        <w:rPr>
          <w:rFonts w:ascii="Arial" w:hAnsi="Arial" w:cs="Arial"/>
          <w:b/>
          <w:bCs/>
          <w:lang w:val="en-AE"/>
        </w:rPr>
      </w:pPr>
    </w:p>
    <w:p w14:paraId="023064C6" w14:textId="6CA65368" w:rsidR="00BF467C" w:rsidRPr="00D01B7A" w:rsidRDefault="00BF467C" w:rsidP="001970FC">
      <w:pPr>
        <w:autoSpaceDE w:val="0"/>
        <w:autoSpaceDN w:val="0"/>
        <w:adjustRightInd w:val="0"/>
        <w:spacing w:after="0" w:line="360" w:lineRule="auto"/>
        <w:jc w:val="both"/>
        <w:rPr>
          <w:rFonts w:ascii="Arial" w:hAnsi="Arial" w:cs="Arial"/>
        </w:rPr>
      </w:pPr>
      <w:r w:rsidRPr="00D01B7A">
        <w:rPr>
          <w:rFonts w:ascii="Arial" w:hAnsi="Arial" w:cs="Arial"/>
          <w:bCs/>
          <w:i/>
          <w:lang w:val="en-AE"/>
        </w:rPr>
        <w:t>***</w:t>
      </w:r>
      <w:r w:rsidR="00ED76B9" w:rsidRPr="00D01B7A">
        <w:rPr>
          <w:rFonts w:ascii="Arial" w:hAnsi="Arial" w:cs="Arial"/>
          <w:bCs/>
          <w:i/>
          <w:lang w:val="en-AE"/>
        </w:rPr>
        <w:t>Where:</w:t>
      </w:r>
      <w:r w:rsidR="00ED76B9" w:rsidRPr="00D01B7A">
        <w:rPr>
          <w:rFonts w:ascii="Arial" w:hAnsi="Arial" w:cs="Arial"/>
          <w:b/>
          <w:bCs/>
          <w:lang w:val="en-AE"/>
        </w:rPr>
        <w:t xml:space="preserve"> </w:t>
      </w:r>
      <w:r w:rsidR="00ED76B9" w:rsidRPr="00D01B7A">
        <w:rPr>
          <w:rFonts w:ascii="Arial" w:hAnsi="Arial" w:cs="Arial"/>
          <w:bCs/>
          <w:lang w:val="en-AE"/>
        </w:rPr>
        <w:t>RWA =</w:t>
      </w:r>
      <w:r w:rsidRPr="00D01B7A">
        <w:rPr>
          <w:rFonts w:ascii="Arial" w:hAnsi="Arial" w:cs="Arial"/>
        </w:rPr>
        <w:tab/>
        <w:t xml:space="preserve">                             Qualifying Capital</w:t>
      </w:r>
    </w:p>
    <w:p w14:paraId="1596BC66" w14:textId="77777777" w:rsidR="00BF467C" w:rsidRPr="00D01B7A" w:rsidRDefault="00BF467C" w:rsidP="001970FC">
      <w:pPr>
        <w:autoSpaceDE w:val="0"/>
        <w:autoSpaceDN w:val="0"/>
        <w:adjustRightInd w:val="0"/>
        <w:spacing w:line="360" w:lineRule="auto"/>
        <w:ind w:left="1440" w:firstLine="720"/>
        <w:jc w:val="both"/>
        <w:rPr>
          <w:rFonts w:ascii="Arial" w:hAnsi="Arial" w:cs="Arial"/>
        </w:rPr>
      </w:pPr>
      <w:r w:rsidRPr="00D01B7A">
        <w:rPr>
          <w:rFonts w:ascii="Arial" w:hAnsi="Arial" w:cs="Arial"/>
        </w:rPr>
        <w:t>__________________________________________</w:t>
      </w:r>
      <w:r w:rsidRPr="00D01B7A">
        <w:rPr>
          <w:rFonts w:ascii="Arial" w:hAnsi="Arial" w:cs="Arial"/>
        </w:rPr>
        <w:tab/>
        <w:t>x 100</w:t>
      </w:r>
    </w:p>
    <w:p w14:paraId="52C65EEF" w14:textId="77777777" w:rsidR="00BF467C" w:rsidRPr="00D01B7A" w:rsidRDefault="00BF467C" w:rsidP="001970FC">
      <w:pPr>
        <w:autoSpaceDE w:val="0"/>
        <w:autoSpaceDN w:val="0"/>
        <w:adjustRightInd w:val="0"/>
        <w:spacing w:line="360" w:lineRule="auto"/>
        <w:ind w:left="1440" w:firstLine="720"/>
        <w:jc w:val="both"/>
        <w:rPr>
          <w:rFonts w:ascii="Arial" w:hAnsi="Arial" w:cs="Arial"/>
          <w:b/>
          <w:bCs/>
        </w:rPr>
      </w:pPr>
      <w:r w:rsidRPr="00D01B7A">
        <w:rPr>
          <w:rFonts w:ascii="Cambria Math" w:hAnsi="Cambria Math" w:cs="Cambria Math"/>
        </w:rPr>
        <w:t>𝑇𝑜𝑡𝑎𝑙</w:t>
      </w:r>
      <w:r w:rsidRPr="00D01B7A">
        <w:rPr>
          <w:rFonts w:ascii="Arial" w:hAnsi="Arial" w:cs="Arial"/>
        </w:rPr>
        <w:t xml:space="preserve"> </w:t>
      </w:r>
      <w:r w:rsidRPr="00D01B7A">
        <w:rPr>
          <w:rFonts w:ascii="Cambria Math" w:hAnsi="Cambria Math" w:cs="Cambria Math"/>
        </w:rPr>
        <w:t>𝑅𝑊𝐴</w:t>
      </w:r>
      <w:r w:rsidRPr="00D01B7A">
        <w:rPr>
          <w:rFonts w:ascii="Arial" w:hAnsi="Arial" w:cs="Arial"/>
        </w:rPr>
        <w:t xml:space="preserve"> (</w:t>
      </w:r>
      <w:r w:rsidRPr="00D01B7A">
        <w:rPr>
          <w:rFonts w:ascii="Cambria Math" w:hAnsi="Cambria Math" w:cs="Cambria Math"/>
        </w:rPr>
        <w:t>𝐶𝑟𝑒𝑑𝑖𝑡</w:t>
      </w:r>
      <w:r w:rsidRPr="00D01B7A">
        <w:rPr>
          <w:rFonts w:ascii="Arial" w:hAnsi="Arial" w:cs="Arial"/>
        </w:rPr>
        <w:t xml:space="preserve"> </w:t>
      </w:r>
      <w:r w:rsidRPr="00D01B7A">
        <w:rPr>
          <w:rFonts w:ascii="Cambria Math" w:hAnsi="Cambria Math" w:cs="Cambria Math"/>
        </w:rPr>
        <w:t>𝑅𝑊𝐴</w:t>
      </w:r>
      <w:r w:rsidRPr="00D01B7A">
        <w:rPr>
          <w:rFonts w:ascii="Arial" w:hAnsi="Arial" w:cs="Arial"/>
        </w:rPr>
        <w:t>+</w:t>
      </w:r>
      <w:r w:rsidRPr="00D01B7A">
        <w:rPr>
          <w:rFonts w:ascii="Cambria Math" w:hAnsi="Cambria Math" w:cs="Cambria Math"/>
        </w:rPr>
        <w:t>𝑀𝑎𝑟𝑘𝑒𝑡</w:t>
      </w:r>
      <w:r w:rsidRPr="00D01B7A">
        <w:rPr>
          <w:rFonts w:ascii="Arial" w:hAnsi="Arial" w:cs="Arial"/>
        </w:rPr>
        <w:t xml:space="preserve"> </w:t>
      </w:r>
      <w:r w:rsidRPr="00D01B7A">
        <w:rPr>
          <w:rFonts w:ascii="Cambria Math" w:hAnsi="Cambria Math" w:cs="Cambria Math"/>
        </w:rPr>
        <w:t>𝑅𝑊𝐴</w:t>
      </w:r>
      <w:r w:rsidRPr="00D01B7A">
        <w:rPr>
          <w:rFonts w:ascii="Arial" w:hAnsi="Arial" w:cs="Arial"/>
        </w:rPr>
        <w:t>+</w:t>
      </w:r>
      <w:r w:rsidRPr="00D01B7A">
        <w:rPr>
          <w:rFonts w:ascii="Cambria Math" w:hAnsi="Cambria Math" w:cs="Cambria Math"/>
        </w:rPr>
        <w:t>𝑂𝑝𝑒𝑟𝑎𝑡𝑖𝑜𝑛𝑎𝑙</w:t>
      </w:r>
      <w:r w:rsidRPr="00D01B7A">
        <w:rPr>
          <w:rFonts w:ascii="Arial" w:hAnsi="Arial" w:cs="Arial"/>
        </w:rPr>
        <w:t xml:space="preserve"> </w:t>
      </w:r>
      <w:r w:rsidRPr="00D01B7A">
        <w:rPr>
          <w:rFonts w:ascii="Cambria Math" w:hAnsi="Cambria Math" w:cs="Cambria Math"/>
        </w:rPr>
        <w:t>𝑅𝑊𝐴</w:t>
      </w:r>
      <w:r w:rsidRPr="00D01B7A">
        <w:rPr>
          <w:rFonts w:ascii="Arial" w:hAnsi="Arial" w:cs="Arial"/>
        </w:rPr>
        <w:t>)</w:t>
      </w:r>
    </w:p>
    <w:p w14:paraId="074EF4AF" w14:textId="77777777" w:rsidR="00AC0043" w:rsidRPr="00D01B7A" w:rsidRDefault="00AC0043" w:rsidP="001970FC">
      <w:pPr>
        <w:autoSpaceDE w:val="0"/>
        <w:autoSpaceDN w:val="0"/>
        <w:adjustRightInd w:val="0"/>
        <w:spacing w:after="0" w:line="360" w:lineRule="auto"/>
        <w:jc w:val="both"/>
        <w:rPr>
          <w:rFonts w:ascii="Arial" w:hAnsi="Arial" w:cs="Arial"/>
          <w:b/>
          <w:bCs/>
          <w:lang w:val="en-AE"/>
        </w:rPr>
      </w:pPr>
      <w:r w:rsidRPr="00D01B7A">
        <w:rPr>
          <w:rFonts w:ascii="Arial" w:hAnsi="Arial" w:cs="Arial"/>
          <w:b/>
          <w:bCs/>
          <w:lang w:val="en-AE"/>
        </w:rPr>
        <w:t>3.2 Model Specification</w:t>
      </w:r>
    </w:p>
    <w:p w14:paraId="7B0D9FF5" w14:textId="77777777" w:rsidR="00AC0043" w:rsidRPr="00D01B7A" w:rsidRDefault="006457BE" w:rsidP="001970FC">
      <w:pPr>
        <w:autoSpaceDE w:val="0"/>
        <w:autoSpaceDN w:val="0"/>
        <w:adjustRightInd w:val="0"/>
        <w:spacing w:after="0" w:line="360" w:lineRule="auto"/>
        <w:jc w:val="both"/>
        <w:rPr>
          <w:rFonts w:ascii="Arial" w:hAnsi="Arial" w:cs="Arial"/>
          <w:lang w:val="en-AE"/>
        </w:rPr>
      </w:pPr>
      <w:r w:rsidRPr="00D01B7A">
        <w:rPr>
          <w:rFonts w:ascii="Arial" w:hAnsi="Arial" w:cs="Arial"/>
          <w:lang w:val="en-AE"/>
        </w:rPr>
        <w:t>In line with the research</w:t>
      </w:r>
      <w:r w:rsidR="00AC0043" w:rsidRPr="00D01B7A">
        <w:rPr>
          <w:rFonts w:ascii="Arial" w:hAnsi="Arial" w:cs="Arial"/>
          <w:lang w:val="en-AE"/>
        </w:rPr>
        <w:t xml:space="preserve"> objec</w:t>
      </w:r>
      <w:r w:rsidRPr="00D01B7A">
        <w:rPr>
          <w:rFonts w:ascii="Arial" w:hAnsi="Arial" w:cs="Arial"/>
          <w:lang w:val="en-AE"/>
        </w:rPr>
        <w:t>tives and hypothesis, this sudy</w:t>
      </w:r>
      <w:r w:rsidR="00AC0043" w:rsidRPr="00D01B7A">
        <w:rPr>
          <w:rFonts w:ascii="Arial" w:hAnsi="Arial" w:cs="Arial"/>
          <w:lang w:val="en-AE"/>
        </w:rPr>
        <w:t xml:space="preserve"> starts by specifying a baseline model with bank performance expressed as a linear combination of bank size, and of course while also accounting for years dummy to control for yearly inflation and interest rates. </w:t>
      </w:r>
    </w:p>
    <w:p w14:paraId="54BE77A8" w14:textId="77777777" w:rsidR="00AC0043" w:rsidRPr="00D01B7A" w:rsidRDefault="00AC0043" w:rsidP="001970FC">
      <w:pPr>
        <w:autoSpaceDE w:val="0"/>
        <w:autoSpaceDN w:val="0"/>
        <w:adjustRightInd w:val="0"/>
        <w:spacing w:after="0" w:line="360" w:lineRule="auto"/>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m:t>
        </m:r>
        <m:sSub>
          <m:sSubPr>
            <m:ctrlPr>
              <w:rPr>
                <w:rFonts w:ascii="Cambria Math" w:hAnsi="Cambria Math" w:cs="Arial"/>
                <w:i/>
                <w:lang w:val="en-AE"/>
              </w:rPr>
            </m:ctrlPr>
          </m:sSubPr>
          <m:e>
            <m:r>
              <w:rPr>
                <w:rFonts w:ascii="Cambria Math" w:hAnsi="Cambria Math" w:cs="Arial"/>
                <w:lang w:val="en-AE"/>
              </w:rPr>
              <m:t>e</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t>(1)</w:t>
      </w:r>
    </w:p>
    <w:p w14:paraId="2A015966" w14:textId="6C7D8199" w:rsidR="00AC0043" w:rsidRPr="00D01B7A" w:rsidRDefault="00AC0043" w:rsidP="001970FC">
      <w:pPr>
        <w:autoSpaceDE w:val="0"/>
        <w:autoSpaceDN w:val="0"/>
        <w:adjustRightInd w:val="0"/>
        <w:spacing w:after="0" w:line="360" w:lineRule="auto"/>
        <w:jc w:val="both"/>
        <w:rPr>
          <w:rFonts w:ascii="Arial" w:hAnsi="Arial" w:cs="Arial"/>
          <w:lang w:val="en-AE"/>
        </w:rPr>
      </w:pPr>
      <w:r w:rsidRPr="00D01B7A">
        <w:rPr>
          <w:rFonts w:ascii="Arial" w:hAnsi="Arial" w:cs="Arial"/>
          <w:lang w:val="en-AE"/>
        </w:rPr>
        <w:t xml:space="preserve">To achieve the first, second, and third hypothesis of investigating whether risk </w:t>
      </w:r>
      <w:r w:rsidR="00EA4C3E" w:rsidRPr="00D01B7A">
        <w:rPr>
          <w:rFonts w:ascii="Arial" w:eastAsia="Times New Roman" w:hAnsi="Arial" w:cs="Arial"/>
        </w:rPr>
        <w:t xml:space="preserve">weighted </w:t>
      </w:r>
      <w:r w:rsidRPr="00D01B7A">
        <w:rPr>
          <w:rFonts w:ascii="Arial" w:hAnsi="Arial" w:cs="Arial"/>
          <w:lang w:val="en-AE"/>
        </w:rPr>
        <w:t>capita, liquidity risk, and credit risk has a significan</w:t>
      </w:r>
      <w:r w:rsidR="00EA4C3E" w:rsidRPr="00D01B7A">
        <w:rPr>
          <w:rFonts w:ascii="Arial" w:hAnsi="Arial" w:cs="Arial"/>
          <w:lang w:val="en-AE"/>
        </w:rPr>
        <w:t>t effect on bank performance, RW</w:t>
      </w:r>
      <w:r w:rsidRPr="00D01B7A">
        <w:rPr>
          <w:rFonts w:ascii="Arial" w:hAnsi="Arial" w:cs="Arial"/>
          <w:lang w:val="en-AE"/>
        </w:rPr>
        <w:t>C, LDR, and Z-score was each included into Equation (1).</w:t>
      </w:r>
    </w:p>
    <w:p w14:paraId="10CF7114" w14:textId="169E8933" w:rsidR="00AC0043" w:rsidRPr="00D01B7A" w:rsidRDefault="00AC0043" w:rsidP="001970FC">
      <w:pPr>
        <w:autoSpaceDE w:val="0"/>
        <w:autoSpaceDN w:val="0"/>
        <w:adjustRightInd w:val="0"/>
        <w:spacing w:after="0" w:line="360" w:lineRule="auto"/>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m:t>
        </m:r>
        <m:sSub>
          <m:sSubPr>
            <m:ctrlPr>
              <w:rPr>
                <w:rFonts w:ascii="Cambria Math" w:hAnsi="Cambria Math" w:cs="Arial"/>
                <w:i/>
                <w:lang w:val="en-AE"/>
              </w:rPr>
            </m:ctrlPr>
          </m:sSubPr>
          <m:e>
            <m:r>
              <w:rPr>
                <w:rFonts w:ascii="Cambria Math" w:hAnsi="Cambria Math" w:cs="Arial"/>
                <w:lang w:val="en-AE"/>
              </w:rPr>
              <m:t>e</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2</m:t>
            </m:r>
          </m:sub>
        </m:sSub>
        <m:r>
          <w:rPr>
            <w:rFonts w:ascii="Cambria Math" w:hAnsi="Cambria Math" w:cs="Arial"/>
            <w:lang w:val="en-AE"/>
          </w:rPr>
          <m:t>RW</m:t>
        </m:r>
        <m:sSub>
          <m:sSubPr>
            <m:ctrlPr>
              <w:rPr>
                <w:rFonts w:ascii="Cambria Math" w:hAnsi="Cambria Math" w:cs="Arial"/>
                <w:i/>
                <w:lang w:val="en-AE"/>
              </w:rPr>
            </m:ctrlPr>
          </m:sSubPr>
          <m:e>
            <m:r>
              <w:rPr>
                <w:rFonts w:ascii="Cambria Math" w:hAnsi="Cambria Math" w:cs="Arial"/>
                <w:lang w:val="en-AE"/>
              </w:rPr>
              <m:t>C</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006432F9" w:rsidRPr="00D01B7A">
        <w:rPr>
          <w:rFonts w:ascii="Arial" w:hAnsi="Arial" w:cs="Arial"/>
          <w:lang w:val="en-AE"/>
        </w:rPr>
        <w:tab/>
      </w:r>
      <w:r w:rsidRPr="00D01B7A">
        <w:rPr>
          <w:rFonts w:ascii="Arial" w:hAnsi="Arial" w:cs="Arial"/>
          <w:lang w:val="en-AE"/>
        </w:rPr>
        <w:t>(2)</w:t>
      </w:r>
    </w:p>
    <w:p w14:paraId="0131C9A3" w14:textId="77777777" w:rsidR="00AC0043" w:rsidRPr="00D01B7A" w:rsidRDefault="00AC0043" w:rsidP="001970FC">
      <w:pPr>
        <w:autoSpaceDE w:val="0"/>
        <w:autoSpaceDN w:val="0"/>
        <w:adjustRightInd w:val="0"/>
        <w:spacing w:after="0" w:line="360" w:lineRule="auto"/>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Bsize+</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2</m:t>
            </m:r>
          </m:sub>
        </m:sSub>
        <m:r>
          <w:rPr>
            <w:rFonts w:ascii="Cambria Math" w:hAnsi="Cambria Math" w:cs="Arial"/>
            <w:lang w:val="en-AE"/>
          </w:rPr>
          <m:t>LD</m:t>
        </m:r>
        <m:sSub>
          <m:sSubPr>
            <m:ctrlPr>
              <w:rPr>
                <w:rFonts w:ascii="Cambria Math" w:hAnsi="Cambria Math" w:cs="Arial"/>
                <w:i/>
                <w:lang w:val="en-AE"/>
              </w:rPr>
            </m:ctrlPr>
          </m:sSubPr>
          <m:e>
            <m:r>
              <w:rPr>
                <w:rFonts w:ascii="Cambria Math" w:hAnsi="Cambria Math" w:cs="Arial"/>
                <w:lang w:val="en-AE"/>
              </w:rPr>
              <m:t>R</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t>(3)</w:t>
      </w:r>
    </w:p>
    <w:p w14:paraId="6E111C9F" w14:textId="77777777" w:rsidR="00AC0043" w:rsidRPr="00D01B7A" w:rsidRDefault="00AC0043" w:rsidP="001970FC">
      <w:pPr>
        <w:autoSpaceDE w:val="0"/>
        <w:autoSpaceDN w:val="0"/>
        <w:adjustRightInd w:val="0"/>
        <w:spacing w:after="0" w:line="360" w:lineRule="auto"/>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Bsize+</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2</m:t>
            </m:r>
          </m:sub>
        </m:sSub>
        <m:sSub>
          <m:sSubPr>
            <m:ctrlPr>
              <w:rPr>
                <w:rFonts w:ascii="Cambria Math" w:hAnsi="Cambria Math" w:cs="Arial"/>
                <w:i/>
                <w:lang w:val="en-AE"/>
              </w:rPr>
            </m:ctrlPr>
          </m:sSubPr>
          <m:e>
            <m:r>
              <w:rPr>
                <w:rFonts w:ascii="Cambria Math" w:hAnsi="Cambria Math" w:cs="Arial"/>
                <w:lang w:val="en-AE"/>
              </w:rPr>
              <m:t>Zscore</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Pr="00D01B7A">
        <w:rPr>
          <w:rFonts w:ascii="Arial" w:hAnsi="Arial" w:cs="Arial"/>
          <w:lang w:val="en-AE"/>
        </w:rPr>
        <w:tab/>
      </w:r>
      <w:r w:rsidR="006432F9" w:rsidRPr="00D01B7A">
        <w:rPr>
          <w:rFonts w:ascii="Arial" w:hAnsi="Arial" w:cs="Arial"/>
          <w:lang w:val="en-AE"/>
        </w:rPr>
        <w:tab/>
      </w:r>
      <w:r w:rsidRPr="00D01B7A">
        <w:rPr>
          <w:rFonts w:ascii="Arial" w:hAnsi="Arial" w:cs="Arial"/>
          <w:lang w:val="en-AE"/>
        </w:rPr>
        <w:t>(4)</w:t>
      </w:r>
    </w:p>
    <w:p w14:paraId="2183F8A0" w14:textId="357FFEE3" w:rsidR="00AC0043" w:rsidRPr="00D01B7A" w:rsidRDefault="00AC0043" w:rsidP="001970FC">
      <w:pPr>
        <w:autoSpaceDE w:val="0"/>
        <w:autoSpaceDN w:val="0"/>
        <w:adjustRightInd w:val="0"/>
        <w:spacing w:after="0" w:line="360" w:lineRule="auto"/>
        <w:jc w:val="both"/>
        <w:rPr>
          <w:rFonts w:ascii="Arial" w:hAnsi="Arial" w:cs="Arial"/>
          <w:lang w:val="en-AE"/>
        </w:rPr>
      </w:pPr>
      <w:r w:rsidRPr="00D01B7A">
        <w:rPr>
          <w:rFonts w:ascii="Arial" w:hAnsi="Arial" w:cs="Arial"/>
          <w:lang w:val="en-AE"/>
        </w:rPr>
        <w:t xml:space="preserve">To achieve the interdependence hypothesis of checking whether there is a joint significant effect of risk </w:t>
      </w:r>
      <w:r w:rsidR="00BF467C" w:rsidRPr="00D01B7A">
        <w:rPr>
          <w:rFonts w:ascii="Arial" w:hAnsi="Arial" w:cs="Arial"/>
          <w:lang w:val="en-AE"/>
        </w:rPr>
        <w:t>Weighted</w:t>
      </w:r>
      <w:r w:rsidRPr="00D01B7A">
        <w:rPr>
          <w:rFonts w:ascii="Arial" w:hAnsi="Arial" w:cs="Arial"/>
          <w:lang w:val="en-AE"/>
        </w:rPr>
        <w:t xml:space="preserve"> capita</w:t>
      </w:r>
      <w:r w:rsidR="00BF467C" w:rsidRPr="00D01B7A">
        <w:rPr>
          <w:rFonts w:ascii="Arial" w:hAnsi="Arial" w:cs="Arial"/>
          <w:lang w:val="en-AE"/>
        </w:rPr>
        <w:t>l</w:t>
      </w:r>
      <w:r w:rsidRPr="00D01B7A">
        <w:rPr>
          <w:rFonts w:ascii="Arial" w:hAnsi="Arial" w:cs="Arial"/>
          <w:lang w:val="en-AE"/>
        </w:rPr>
        <w:t xml:space="preserve">, liquidity risk, and credit risk on bank performance, this study infused these three variables simultaneously into Equation 1 and then we have the following final model specified. </w:t>
      </w:r>
    </w:p>
    <w:p w14:paraId="5EE5D0B0" w14:textId="77777777" w:rsidR="00AC0043" w:rsidRPr="00D01B7A" w:rsidRDefault="00AC0043" w:rsidP="001970FC">
      <w:pPr>
        <w:autoSpaceDE w:val="0"/>
        <w:autoSpaceDN w:val="0"/>
        <w:adjustRightInd w:val="0"/>
        <w:spacing w:after="0" w:line="360" w:lineRule="auto"/>
        <w:jc w:val="both"/>
        <w:rPr>
          <w:rFonts w:ascii="Arial" w:hAnsi="Arial" w:cs="Arial"/>
          <w:lang w:val="en-AE"/>
        </w:rPr>
      </w:pPr>
      <w:r w:rsidRPr="00D01B7A">
        <w:rPr>
          <w:rFonts w:ascii="Arial" w:hAnsi="Arial" w:cs="Arial"/>
          <w:lang w:val="en-AE"/>
        </w:rPr>
        <w:t xml:space="preserve"> </w:t>
      </w: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0</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1</m:t>
            </m:r>
          </m:sub>
        </m:sSub>
        <m:r>
          <w:rPr>
            <w:rFonts w:ascii="Cambria Math" w:hAnsi="Cambria Math" w:cs="Arial"/>
            <w:lang w:val="en-AE"/>
          </w:rPr>
          <m:t>Bsize+</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2</m:t>
            </m:r>
          </m:sub>
        </m:sSub>
        <m:r>
          <w:rPr>
            <w:rFonts w:ascii="Cambria Math" w:hAnsi="Cambria Math" w:cs="Arial"/>
            <w:lang w:val="en-AE"/>
          </w:rPr>
          <m:t>RACit+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3</m:t>
            </m:r>
          </m:sub>
        </m:sSub>
        <m:r>
          <w:rPr>
            <w:rFonts w:ascii="Cambria Math" w:hAnsi="Cambria Math" w:cs="Arial"/>
            <w:lang w:val="en-AE"/>
          </w:rPr>
          <m:t>LDRit+</m:t>
        </m:r>
        <m:sSub>
          <m:sSubPr>
            <m:ctrlPr>
              <w:rPr>
                <w:rFonts w:ascii="Cambria Math" w:hAnsi="Cambria Math" w:cs="Arial"/>
                <w:i/>
                <w:lang w:val="en-AE"/>
              </w:rPr>
            </m:ctrlPr>
          </m:sSubPr>
          <m:e>
            <m:r>
              <w:rPr>
                <w:rFonts w:ascii="Cambria Math" w:hAnsi="Cambria Math" w:cs="Arial"/>
                <w:lang w:val="en-AE"/>
              </w:rPr>
              <m:t>β</m:t>
            </m:r>
          </m:e>
          <m:sub>
            <m:r>
              <w:rPr>
                <w:rFonts w:ascii="Cambria Math" w:hAnsi="Cambria Math" w:cs="Arial"/>
                <w:lang w:val="en-AE"/>
              </w:rPr>
              <m:t>4</m:t>
            </m:r>
          </m:sub>
        </m:sSub>
        <m:r>
          <w:rPr>
            <w:rFonts w:ascii="Cambria Math" w:hAnsi="Cambria Math" w:cs="Arial"/>
            <w:lang w:val="en-AE"/>
          </w:rPr>
          <m:t>Zscor</m:t>
        </m:r>
        <m:sSub>
          <m:sSubPr>
            <m:ctrlPr>
              <w:rPr>
                <w:rFonts w:ascii="Cambria Math" w:hAnsi="Cambria Math" w:cs="Arial"/>
                <w:i/>
                <w:lang w:val="en-AE"/>
              </w:rPr>
            </m:ctrlPr>
          </m:sSubPr>
          <m:e>
            <m:r>
              <w:rPr>
                <w:rFonts w:ascii="Cambria Math" w:hAnsi="Cambria Math" w:cs="Arial"/>
                <w:lang w:val="en-AE"/>
              </w:rPr>
              <m:t>e</m:t>
            </m:r>
          </m:e>
          <m:sub>
            <m:r>
              <w:rPr>
                <w:rFonts w:ascii="Cambria Math" w:hAnsi="Cambria Math" w:cs="Arial"/>
                <w:lang w:val="en-AE"/>
              </w:rPr>
              <m:t>it</m:t>
            </m:r>
          </m:sub>
        </m:sSub>
        <m:r>
          <w:rPr>
            <w:rFonts w:ascii="Cambria Math" w:hAnsi="Cambria Math" w:cs="Arial"/>
            <w:lang w:val="en-AE"/>
          </w:rPr>
          <m:t>+</m:t>
        </m:r>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r>
          <w:rPr>
            <w:rFonts w:ascii="Cambria Math" w:hAnsi="Cambria Math" w:cs="Arial"/>
            <w:lang w:val="en-AE"/>
          </w:rPr>
          <m:t xml:space="preserve">Year+ </m:t>
        </m:r>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Pr="00D01B7A">
        <w:rPr>
          <w:rFonts w:ascii="Arial" w:hAnsi="Arial" w:cs="Arial"/>
          <w:lang w:val="en-AE"/>
        </w:rPr>
        <w:tab/>
      </w:r>
      <w:r w:rsidRPr="00D01B7A">
        <w:rPr>
          <w:rFonts w:ascii="Arial" w:hAnsi="Arial" w:cs="Arial"/>
          <w:lang w:val="en-AE"/>
        </w:rPr>
        <w:tab/>
      </w:r>
      <w:r w:rsidR="006432F9" w:rsidRPr="00D01B7A">
        <w:rPr>
          <w:rFonts w:ascii="Arial" w:hAnsi="Arial" w:cs="Arial"/>
          <w:lang w:val="en-AE"/>
        </w:rPr>
        <w:tab/>
      </w:r>
      <w:r w:rsidRPr="00D01B7A">
        <w:rPr>
          <w:rFonts w:ascii="Arial" w:hAnsi="Arial" w:cs="Arial"/>
          <w:lang w:val="en-AE"/>
        </w:rPr>
        <w:t>(5)</w:t>
      </w:r>
    </w:p>
    <w:p w14:paraId="3183E37A" w14:textId="77777777" w:rsidR="00AC0043" w:rsidRPr="00D01B7A" w:rsidRDefault="00AC0043" w:rsidP="001970FC">
      <w:pPr>
        <w:autoSpaceDE w:val="0"/>
        <w:autoSpaceDN w:val="0"/>
        <w:adjustRightInd w:val="0"/>
        <w:spacing w:after="0" w:line="360" w:lineRule="auto"/>
        <w:jc w:val="both"/>
        <w:rPr>
          <w:rFonts w:ascii="Arial" w:hAnsi="Arial" w:cs="Arial"/>
          <w:lang w:val="en-AE"/>
        </w:rPr>
      </w:pPr>
      <w:r w:rsidRPr="00D01B7A">
        <w:rPr>
          <w:rFonts w:ascii="Arial" w:hAnsi="Arial" w:cs="Arial"/>
          <w:lang w:val="en-AE"/>
        </w:rPr>
        <w:t>Where:</w:t>
      </w:r>
    </w:p>
    <w:p w14:paraId="2BBA9C9C" w14:textId="77777777" w:rsidR="00AC0043" w:rsidRPr="00D01B7A" w:rsidRDefault="00AC0043" w:rsidP="001970FC">
      <w:pPr>
        <w:autoSpaceDE w:val="0"/>
        <w:autoSpaceDN w:val="0"/>
        <w:adjustRightInd w:val="0"/>
        <w:spacing w:after="0" w:line="360" w:lineRule="auto"/>
        <w:ind w:left="360"/>
        <w:jc w:val="both"/>
        <w:rPr>
          <w:rFonts w:ascii="Arial" w:hAnsi="Arial" w:cs="Arial"/>
          <w:lang w:val="en-AE"/>
        </w:rPr>
      </w:pPr>
      <m:oMath>
        <m:r>
          <w:rPr>
            <w:rFonts w:ascii="Cambria Math" w:hAnsi="Cambria Math" w:cs="Arial"/>
            <w:lang w:val="en-AE"/>
          </w:rPr>
          <m:t>RO</m:t>
        </m:r>
        <m:sSub>
          <m:sSubPr>
            <m:ctrlPr>
              <w:rPr>
                <w:rFonts w:ascii="Cambria Math" w:hAnsi="Cambria Math" w:cs="Arial"/>
                <w:i/>
                <w:lang w:val="en-AE"/>
              </w:rPr>
            </m:ctrlPr>
          </m:sSubPr>
          <m:e>
            <m:r>
              <w:rPr>
                <w:rFonts w:ascii="Cambria Math" w:hAnsi="Cambria Math" w:cs="Arial"/>
                <w:lang w:val="en-AE"/>
              </w:rPr>
              <m:t>A</m:t>
            </m:r>
          </m:e>
          <m:sub>
            <m:r>
              <w:rPr>
                <w:rFonts w:ascii="Cambria Math" w:hAnsi="Cambria Math" w:cs="Arial"/>
                <w:lang w:val="en-AE"/>
              </w:rPr>
              <m:t>it</m:t>
            </m:r>
          </m:sub>
        </m:sSub>
      </m:oMath>
      <w:r w:rsidRPr="00D01B7A">
        <w:rPr>
          <w:rFonts w:ascii="Arial" w:hAnsi="Arial" w:cs="Arial"/>
          <w:lang w:val="en-AE"/>
        </w:rPr>
        <w:t xml:space="preserve"> is the return on assets (performance) of bank </w:t>
      </w:r>
      <m:oMath>
        <m:r>
          <w:rPr>
            <w:rFonts w:ascii="Cambria Math" w:hAnsi="Cambria Math" w:cs="Arial"/>
            <w:lang w:val="en-AE"/>
          </w:rPr>
          <m:t>i</m:t>
        </m:r>
      </m:oMath>
      <w:r w:rsidRPr="00D01B7A">
        <w:rPr>
          <w:rFonts w:ascii="Arial" w:hAnsi="Arial" w:cs="Arial"/>
          <w:lang w:val="en-AE"/>
        </w:rPr>
        <w:t xml:space="preserve"> at time </w:t>
      </w:r>
      <m:oMath>
        <m:r>
          <w:rPr>
            <w:rFonts w:ascii="Cambria Math" w:hAnsi="Cambria Math" w:cs="Arial"/>
            <w:lang w:val="en-AE"/>
          </w:rPr>
          <m:t>t</m:t>
        </m:r>
      </m:oMath>
    </w:p>
    <w:p w14:paraId="3116C59E" w14:textId="046953DB" w:rsidR="00AC0043" w:rsidRPr="00D01B7A" w:rsidRDefault="00AC0043" w:rsidP="001970FC">
      <w:pPr>
        <w:autoSpaceDE w:val="0"/>
        <w:autoSpaceDN w:val="0"/>
        <w:adjustRightInd w:val="0"/>
        <w:spacing w:after="0" w:line="360" w:lineRule="auto"/>
        <w:ind w:left="360"/>
        <w:jc w:val="both"/>
        <w:rPr>
          <w:rFonts w:ascii="Arial" w:hAnsi="Arial" w:cs="Arial"/>
          <w:lang w:val="en-AE"/>
        </w:rPr>
      </w:pPr>
      <m:oMath>
        <m:r>
          <w:rPr>
            <w:rFonts w:ascii="Cambria Math" w:hAnsi="Cambria Math" w:cs="Arial"/>
            <w:lang w:val="en-AE"/>
          </w:rPr>
          <m:t>R</m:t>
        </m:r>
        <m:sSub>
          <m:sSubPr>
            <m:ctrlPr>
              <w:rPr>
                <w:rFonts w:ascii="Cambria Math" w:hAnsi="Cambria Math" w:cs="Arial"/>
                <w:i/>
                <w:lang w:val="en-AE"/>
              </w:rPr>
            </m:ctrlPr>
          </m:sSubPr>
          <m:e>
            <m:r>
              <w:rPr>
                <w:rFonts w:ascii="Cambria Math" w:hAnsi="Cambria Math" w:cs="Arial"/>
                <w:lang w:val="en-AE"/>
              </w:rPr>
              <m:t>AC</m:t>
            </m:r>
          </m:e>
          <m:sub>
            <m:r>
              <w:rPr>
                <w:rFonts w:ascii="Cambria Math" w:hAnsi="Cambria Math" w:cs="Arial"/>
                <w:lang w:val="en-AE"/>
              </w:rPr>
              <m:t>it</m:t>
            </m:r>
          </m:sub>
        </m:sSub>
      </m:oMath>
      <w:r w:rsidRPr="00D01B7A">
        <w:rPr>
          <w:rFonts w:ascii="Arial" w:hAnsi="Arial" w:cs="Arial"/>
          <w:lang w:val="en-AE"/>
        </w:rPr>
        <w:t xml:space="preserve"> is Risk-</w:t>
      </w:r>
      <w:r w:rsidR="00BF467C" w:rsidRPr="00D01B7A">
        <w:rPr>
          <w:rFonts w:ascii="Arial" w:hAnsi="Arial" w:cs="Arial"/>
          <w:lang w:val="en-AE"/>
        </w:rPr>
        <w:t>Weighted</w:t>
      </w:r>
      <w:r w:rsidRPr="00D01B7A">
        <w:rPr>
          <w:rFonts w:ascii="Arial" w:hAnsi="Arial" w:cs="Arial"/>
          <w:lang w:val="en-AE"/>
        </w:rPr>
        <w:t xml:space="preserve"> Capital</w:t>
      </w:r>
    </w:p>
    <w:p w14:paraId="51A81A09" w14:textId="77777777" w:rsidR="00AC0043" w:rsidRPr="00D01B7A" w:rsidRDefault="00D539EF" w:rsidP="001970FC">
      <w:pPr>
        <w:autoSpaceDE w:val="0"/>
        <w:autoSpaceDN w:val="0"/>
        <w:adjustRightInd w:val="0"/>
        <w:spacing w:after="0" w:line="360" w:lineRule="auto"/>
        <w:ind w:left="360"/>
        <w:jc w:val="both"/>
        <w:rPr>
          <w:rFonts w:ascii="Arial" w:hAnsi="Arial" w:cs="Arial"/>
          <w:lang w:val="en-AE"/>
        </w:rPr>
      </w:pPr>
      <m:oMath>
        <m:sSub>
          <m:sSubPr>
            <m:ctrlPr>
              <w:rPr>
                <w:rFonts w:ascii="Cambria Math" w:hAnsi="Cambria Math" w:cs="Arial"/>
                <w:i/>
                <w:lang w:val="en-AE"/>
              </w:rPr>
            </m:ctrlPr>
          </m:sSubPr>
          <m:e>
            <m:r>
              <w:rPr>
                <w:rFonts w:ascii="Cambria Math" w:hAnsi="Cambria Math" w:cs="Arial"/>
                <w:lang w:val="en-AE"/>
              </w:rPr>
              <m:t>LDR</m:t>
            </m:r>
          </m:e>
          <m:sub>
            <m:r>
              <w:rPr>
                <w:rFonts w:ascii="Cambria Math" w:hAnsi="Cambria Math" w:cs="Arial"/>
                <w:lang w:val="en-AE"/>
              </w:rPr>
              <m:t>it</m:t>
            </m:r>
          </m:sub>
        </m:sSub>
      </m:oMath>
      <w:r w:rsidR="00AC0043" w:rsidRPr="00D01B7A">
        <w:rPr>
          <w:rFonts w:ascii="Arial" w:hAnsi="Arial" w:cs="Arial"/>
          <w:lang w:val="en-AE"/>
        </w:rPr>
        <w:t xml:space="preserve"> Loan-to-Deposit Ratio </w:t>
      </w:r>
    </w:p>
    <w:p w14:paraId="38FBAABB" w14:textId="77777777" w:rsidR="00AC0043" w:rsidRPr="00D01B7A" w:rsidRDefault="00D539EF" w:rsidP="001970FC">
      <w:pPr>
        <w:autoSpaceDE w:val="0"/>
        <w:autoSpaceDN w:val="0"/>
        <w:adjustRightInd w:val="0"/>
        <w:spacing w:after="0" w:line="360" w:lineRule="auto"/>
        <w:ind w:left="360"/>
        <w:jc w:val="both"/>
        <w:rPr>
          <w:rFonts w:ascii="Arial" w:hAnsi="Arial" w:cs="Arial"/>
          <w:lang w:val="en-AE"/>
        </w:rPr>
      </w:pPr>
      <m:oMath>
        <m:sSub>
          <m:sSubPr>
            <m:ctrlPr>
              <w:rPr>
                <w:rFonts w:ascii="Cambria Math" w:hAnsi="Cambria Math" w:cs="Arial"/>
                <w:i/>
                <w:lang w:val="en-AE"/>
              </w:rPr>
            </m:ctrlPr>
          </m:sSubPr>
          <m:e>
            <m:r>
              <w:rPr>
                <w:rFonts w:ascii="Cambria Math" w:hAnsi="Cambria Math" w:cs="Arial"/>
                <w:lang w:val="en-AE"/>
              </w:rPr>
              <m:t>BSIZE</m:t>
            </m:r>
          </m:e>
          <m:sub>
            <m:r>
              <w:rPr>
                <w:rFonts w:ascii="Cambria Math" w:hAnsi="Cambria Math" w:cs="Arial"/>
                <w:lang w:val="en-AE"/>
              </w:rPr>
              <m:t>it</m:t>
            </m:r>
          </m:sub>
        </m:sSub>
      </m:oMath>
      <w:r w:rsidR="00AC0043" w:rsidRPr="00D01B7A">
        <w:rPr>
          <w:rFonts w:ascii="Arial" w:hAnsi="Arial" w:cs="Arial"/>
          <w:lang w:val="en-AE"/>
        </w:rPr>
        <w:t>: Bank Size (control variable)</w:t>
      </w:r>
    </w:p>
    <w:p w14:paraId="29D18B25" w14:textId="77777777" w:rsidR="00AC0043" w:rsidRPr="00D01B7A" w:rsidRDefault="00AC0043" w:rsidP="001970FC">
      <w:pPr>
        <w:autoSpaceDE w:val="0"/>
        <w:autoSpaceDN w:val="0"/>
        <w:adjustRightInd w:val="0"/>
        <w:spacing w:after="0" w:line="360" w:lineRule="auto"/>
        <w:ind w:left="360"/>
        <w:jc w:val="both"/>
        <w:rPr>
          <w:rFonts w:ascii="Arial" w:hAnsi="Arial" w:cs="Arial"/>
          <w:lang w:val="en-AE"/>
        </w:rPr>
      </w:pPr>
      <w:r w:rsidRPr="00D01B7A">
        <w:rPr>
          <w:rFonts w:ascii="Arial" w:hAnsi="Arial" w:cs="Arial"/>
          <w:lang w:val="en-AE"/>
        </w:rPr>
        <w:t xml:space="preserve"> </w:t>
      </w:r>
      <m:oMath>
        <m:sSub>
          <m:sSubPr>
            <m:ctrlPr>
              <w:rPr>
                <w:rFonts w:ascii="Cambria Math" w:hAnsi="Cambria Math" w:cs="Arial"/>
                <w:i/>
                <w:lang w:val="en-AE"/>
              </w:rPr>
            </m:ctrlPr>
          </m:sSubPr>
          <m:e>
            <m:r>
              <w:rPr>
                <w:rFonts w:ascii="Cambria Math" w:hAnsi="Cambria Math" w:cs="Arial"/>
                <w:lang w:val="en-AE"/>
              </w:rPr>
              <m:t>δ</m:t>
            </m:r>
          </m:e>
          <m:sub>
            <m:r>
              <w:rPr>
                <w:rFonts w:ascii="Cambria Math" w:hAnsi="Cambria Math" w:cs="Arial"/>
                <w:lang w:val="en-AE"/>
              </w:rPr>
              <m:t>i</m:t>
            </m:r>
          </m:sub>
        </m:sSub>
      </m:oMath>
      <w:r w:rsidRPr="00D01B7A">
        <w:rPr>
          <w:rFonts w:ascii="Arial" w:hAnsi="Arial" w:cs="Arial"/>
          <w:lang w:val="en-AE"/>
        </w:rPr>
        <w:t xml:space="preserve"> is the coefficient of years effect in the model</w:t>
      </w:r>
    </w:p>
    <w:p w14:paraId="66D3E1A8" w14:textId="77777777" w:rsidR="00AC0043" w:rsidRPr="00D01B7A" w:rsidRDefault="00D539EF" w:rsidP="001970FC">
      <w:pPr>
        <w:autoSpaceDE w:val="0"/>
        <w:autoSpaceDN w:val="0"/>
        <w:adjustRightInd w:val="0"/>
        <w:spacing w:after="0" w:line="360" w:lineRule="auto"/>
        <w:ind w:left="360"/>
        <w:jc w:val="both"/>
        <w:rPr>
          <w:rFonts w:ascii="Arial" w:hAnsi="Arial" w:cs="Arial"/>
          <w:lang w:val="en-AE"/>
        </w:rPr>
      </w:pPr>
      <m:oMath>
        <m:sSub>
          <m:sSubPr>
            <m:ctrlPr>
              <w:rPr>
                <w:rFonts w:ascii="Cambria Math" w:hAnsi="Cambria Math" w:cs="Arial"/>
                <w:i/>
                <w:lang w:val="en-AE"/>
              </w:rPr>
            </m:ctrlPr>
          </m:sSubPr>
          <m:e>
            <m:r>
              <w:rPr>
                <w:rFonts w:ascii="Cambria Math" w:hAnsi="Cambria Math" w:cs="Arial"/>
                <w:lang w:val="en-AE"/>
              </w:rPr>
              <m:t>ϵ</m:t>
            </m:r>
          </m:e>
          <m:sub>
            <m:r>
              <w:rPr>
                <w:rFonts w:ascii="Cambria Math" w:hAnsi="Cambria Math" w:cs="Arial"/>
                <w:lang w:val="en-AE"/>
              </w:rPr>
              <m:t>it</m:t>
            </m:r>
          </m:sub>
        </m:sSub>
      </m:oMath>
      <w:r w:rsidR="00AC0043" w:rsidRPr="00D01B7A">
        <w:rPr>
          <w:rFonts w:ascii="Arial" w:hAnsi="Arial" w:cs="Arial"/>
          <w:lang w:val="en-AE"/>
        </w:rPr>
        <w:t xml:space="preserve"> Idiosyncratic error term</w:t>
      </w:r>
    </w:p>
    <w:p w14:paraId="6984D45A" w14:textId="77777777" w:rsidR="00AC0043" w:rsidRPr="00D01B7A" w:rsidRDefault="00AC0043" w:rsidP="001970FC">
      <w:pPr>
        <w:autoSpaceDE w:val="0"/>
        <w:autoSpaceDN w:val="0"/>
        <w:adjustRightInd w:val="0"/>
        <w:spacing w:after="0" w:line="360" w:lineRule="auto"/>
        <w:jc w:val="both"/>
        <w:rPr>
          <w:rFonts w:ascii="Arial" w:hAnsi="Arial" w:cs="Arial"/>
          <w:b/>
          <w:bCs/>
          <w:lang w:val="en-AE"/>
        </w:rPr>
      </w:pPr>
      <w:r w:rsidRPr="00D01B7A">
        <w:rPr>
          <w:rFonts w:ascii="Arial" w:hAnsi="Arial" w:cs="Arial"/>
          <w:b/>
          <w:bCs/>
          <w:lang w:val="en-AE"/>
        </w:rPr>
        <w:lastRenderedPageBreak/>
        <w:t>3.3 Estimation approach</w:t>
      </w:r>
    </w:p>
    <w:p w14:paraId="6AB5593B" w14:textId="77777777" w:rsidR="00FF332B" w:rsidRPr="00FF332B" w:rsidRDefault="00FF332B" w:rsidP="001970FC">
      <w:pPr>
        <w:spacing w:after="120" w:line="360" w:lineRule="auto"/>
        <w:jc w:val="both"/>
        <w:rPr>
          <w:rFonts w:ascii="Arial" w:eastAsia="Times New Roman" w:hAnsi="Arial" w:cs="Arial"/>
        </w:rPr>
      </w:pPr>
      <w:r w:rsidRPr="00FF332B">
        <w:rPr>
          <w:rFonts w:ascii="Arial" w:eastAsia="Times New Roman" w:hAnsi="Arial" w:cs="Arial"/>
        </w:rPr>
        <w:t>This study adopts a robust panel econometric framework to examine the impact of risk-weighted capital, credit risk, and liquidity risk on the performance of Nigerian banks. Considering the nature of the data and the underlying econometric challenges, the empirical analysis started by examining the cross-sectional dependence (CD) among the banks to determine suitable estimation techniques. Since the banks are within the same country, there is a high risk of CD from the plausible shared common features, such as spillover effects of shocks, which could lead to biased estimates and inferences regarding the parameters (Pesaran, 2004). Thus, this study utilized Pesaran's (2007) CD test because it is applicable to both small and large panels. The CD tests for the null hypothesis of no CD in the data were rejected at the 1%, 5%, and 10% levels of significance.</w:t>
      </w:r>
    </w:p>
    <w:p w14:paraId="7691F9E8" w14:textId="77777777" w:rsidR="00AC0043" w:rsidRPr="00D01B7A" w:rsidRDefault="00AC0043" w:rsidP="00173A63">
      <w:pPr>
        <w:autoSpaceDE w:val="0"/>
        <w:autoSpaceDN w:val="0"/>
        <w:adjustRightInd w:val="0"/>
        <w:spacing w:line="480" w:lineRule="auto"/>
        <w:jc w:val="both"/>
        <w:rPr>
          <w:rFonts w:ascii="Arial" w:hAnsi="Arial" w:cs="Arial"/>
          <w:lang w:val="en-AE"/>
        </w:rPr>
      </w:pPr>
      <m:oMathPara>
        <m:oMath>
          <m:r>
            <w:rPr>
              <w:rFonts w:ascii="Cambria Math" w:hAnsi="Cambria Math" w:cs="Arial"/>
              <w:lang w:val="en-AE"/>
            </w:rPr>
            <m:t>CD=</m:t>
          </m:r>
          <m:rad>
            <m:radPr>
              <m:degHide m:val="1"/>
              <m:ctrlPr>
                <w:rPr>
                  <w:rFonts w:ascii="Cambria Math" w:hAnsi="Cambria Math" w:cs="Arial"/>
                  <w:i/>
                  <w:lang w:val="en-AE"/>
                </w:rPr>
              </m:ctrlPr>
            </m:radPr>
            <m:deg/>
            <m:e>
              <m:f>
                <m:fPr>
                  <m:ctrlPr>
                    <w:rPr>
                      <w:rFonts w:ascii="Cambria Math" w:hAnsi="Cambria Math" w:cs="Arial"/>
                      <w:i/>
                      <w:lang w:val="en-AE"/>
                    </w:rPr>
                  </m:ctrlPr>
                </m:fPr>
                <m:num>
                  <m:r>
                    <w:rPr>
                      <w:rFonts w:ascii="Cambria Math" w:hAnsi="Cambria Math" w:cs="Arial"/>
                      <w:lang w:val="en-AE"/>
                    </w:rPr>
                    <m:t>2T</m:t>
                  </m:r>
                </m:num>
                <m:den>
                  <m:r>
                    <w:rPr>
                      <w:rFonts w:ascii="Cambria Math" w:hAnsi="Cambria Math" w:cs="Arial"/>
                      <w:lang w:val="en-AE"/>
                    </w:rPr>
                    <m:t>N(N-1)</m:t>
                  </m:r>
                </m:den>
              </m:f>
              <m:nary>
                <m:naryPr>
                  <m:chr m:val="∑"/>
                  <m:limLoc m:val="undOvr"/>
                  <m:ctrlPr>
                    <w:rPr>
                      <w:rFonts w:ascii="Cambria Math" w:hAnsi="Cambria Math" w:cs="Arial"/>
                      <w:i/>
                      <w:lang w:val="en-AE"/>
                    </w:rPr>
                  </m:ctrlPr>
                </m:naryPr>
                <m:sub>
                  <m:r>
                    <w:rPr>
                      <w:rFonts w:ascii="Cambria Math" w:hAnsi="Cambria Math" w:cs="Arial"/>
                      <w:lang w:val="en-AE"/>
                    </w:rPr>
                    <m:t>i=1</m:t>
                  </m:r>
                </m:sub>
                <m:sup>
                  <m:r>
                    <w:rPr>
                      <w:rFonts w:ascii="Cambria Math" w:hAnsi="Cambria Math" w:cs="Arial"/>
                      <w:lang w:val="en-AE"/>
                    </w:rPr>
                    <m:t>N-1</m:t>
                  </m:r>
                </m:sup>
                <m:e>
                  <m:nary>
                    <m:naryPr>
                      <m:chr m:val="∑"/>
                      <m:limLoc m:val="undOvr"/>
                      <m:ctrlPr>
                        <w:rPr>
                          <w:rFonts w:ascii="Cambria Math" w:hAnsi="Cambria Math" w:cs="Arial"/>
                          <w:i/>
                          <w:lang w:val="en-AE"/>
                        </w:rPr>
                      </m:ctrlPr>
                    </m:naryPr>
                    <m:sub>
                      <m:r>
                        <w:rPr>
                          <w:rFonts w:ascii="Cambria Math" w:hAnsi="Cambria Math" w:cs="Arial"/>
                          <w:lang w:val="en-AE"/>
                        </w:rPr>
                        <m:t>k=i+1</m:t>
                      </m:r>
                    </m:sub>
                    <m:sup>
                      <m:r>
                        <w:rPr>
                          <w:rFonts w:ascii="Cambria Math" w:hAnsi="Cambria Math" w:cs="Arial"/>
                          <w:lang w:val="en-AE"/>
                        </w:rPr>
                        <m:t>N</m:t>
                      </m:r>
                    </m:sup>
                    <m:e>
                      <m:sSub>
                        <m:sSubPr>
                          <m:ctrlPr>
                            <w:rPr>
                              <w:rFonts w:ascii="Cambria Math" w:hAnsi="Cambria Math" w:cs="Arial"/>
                              <w:i/>
                              <w:lang w:val="en-AE"/>
                            </w:rPr>
                          </m:ctrlPr>
                        </m:sSubPr>
                        <m:e>
                          <m:acc>
                            <m:accPr>
                              <m:ctrlPr>
                                <w:rPr>
                                  <w:rFonts w:ascii="Cambria Math" w:hAnsi="Cambria Math" w:cs="Arial"/>
                                  <w:i/>
                                  <w:lang w:val="en-AE"/>
                                </w:rPr>
                              </m:ctrlPr>
                            </m:accPr>
                            <m:e>
                              <m:r>
                                <w:rPr>
                                  <w:rFonts w:ascii="Cambria Math" w:hAnsi="Cambria Math" w:cs="Arial"/>
                                  <w:lang w:val="en-AE"/>
                                </w:rPr>
                                <m:t>ρ</m:t>
                              </m:r>
                            </m:e>
                          </m:acc>
                        </m:e>
                        <m:sub>
                          <m:r>
                            <w:rPr>
                              <w:rFonts w:ascii="Cambria Math" w:hAnsi="Cambria Math" w:cs="Arial"/>
                              <w:lang w:val="en-AE"/>
                            </w:rPr>
                            <m:t>i,k</m:t>
                          </m:r>
                        </m:sub>
                      </m:sSub>
                    </m:e>
                  </m:nary>
                </m:e>
              </m:nary>
            </m:e>
          </m:rad>
          <m:r>
            <w:rPr>
              <w:rFonts w:ascii="Cambria Math" w:hAnsi="Cambria Math" w:cs="Arial"/>
              <w:lang w:val="en-AE"/>
            </w:rPr>
            <m:t xml:space="preserve">                                                       (6)</m:t>
          </m:r>
        </m:oMath>
      </m:oMathPara>
    </w:p>
    <w:p w14:paraId="592D3390" w14:textId="7E2FF400" w:rsidR="00AC0043" w:rsidRPr="00D01B7A" w:rsidRDefault="00E87AFC" w:rsidP="001970FC">
      <w:pPr>
        <w:autoSpaceDE w:val="0"/>
        <w:autoSpaceDN w:val="0"/>
        <w:adjustRightInd w:val="0"/>
        <w:spacing w:line="360" w:lineRule="auto"/>
        <w:jc w:val="both"/>
        <w:rPr>
          <w:rFonts w:ascii="Arial" w:hAnsi="Arial" w:cs="Arial"/>
          <w:lang w:val="en-AE"/>
        </w:rPr>
      </w:pPr>
      <w:r w:rsidRPr="00D01B7A">
        <w:rPr>
          <w:rFonts w:ascii="Arial" w:hAnsi="Arial" w:cs="Arial"/>
        </w:rPr>
        <w:t xml:space="preserve">After testing </w:t>
      </w:r>
      <w:r w:rsidR="002375D2" w:rsidRPr="00D01B7A">
        <w:rPr>
          <w:rFonts w:ascii="Arial" w:hAnsi="Arial" w:cs="Arial"/>
        </w:rPr>
        <w:t>for the existence of the CD</w:t>
      </w:r>
      <w:r w:rsidRPr="00D01B7A">
        <w:rPr>
          <w:rFonts w:ascii="Arial" w:hAnsi="Arial" w:cs="Arial"/>
        </w:rPr>
        <w:t xml:space="preserve">, the data </w:t>
      </w:r>
      <w:r w:rsidR="002375D2" w:rsidRPr="00D01B7A">
        <w:rPr>
          <w:rFonts w:ascii="Arial" w:hAnsi="Arial" w:cs="Arial"/>
        </w:rPr>
        <w:t>wa</w:t>
      </w:r>
      <w:r w:rsidRPr="00D01B7A">
        <w:rPr>
          <w:rFonts w:ascii="Arial" w:hAnsi="Arial" w:cs="Arial"/>
        </w:rPr>
        <w:t>s subjected to a unit root test. This test examines whether the variables are stationary. If they are not stationary, a difference is applied to the data to make them stationary before proceeding with further analysis. This study used Pesaran's (2007) Im, Pesaran, and Shin's (CIPS) second-generation unit root test that accounts for CD in the variables. The null hypothesis is that the variable has a unit root, which is rejected if the test is significant at the 1%, 5%, or 10% level</w:t>
      </w:r>
      <w:r w:rsidR="00AC0043" w:rsidRPr="00D01B7A">
        <w:rPr>
          <w:rFonts w:ascii="Arial" w:hAnsi="Arial" w:cs="Arial"/>
          <w:lang w:val="en-AE"/>
        </w:rPr>
        <w:t xml:space="preserve">. </w:t>
      </w:r>
    </w:p>
    <w:p w14:paraId="362005F0" w14:textId="77777777" w:rsidR="00AC0043" w:rsidRPr="00D01B7A" w:rsidRDefault="00AC0043" w:rsidP="001970FC">
      <w:pPr>
        <w:autoSpaceDE w:val="0"/>
        <w:autoSpaceDN w:val="0"/>
        <w:adjustRightInd w:val="0"/>
        <w:spacing w:line="360" w:lineRule="auto"/>
        <w:jc w:val="both"/>
        <w:rPr>
          <w:rFonts w:ascii="Arial" w:hAnsi="Arial" w:cs="Arial"/>
          <w:lang w:val="en-AE"/>
        </w:rPr>
      </w:pPr>
      <m:oMathPara>
        <m:oMath>
          <m:r>
            <w:rPr>
              <w:rFonts w:ascii="Cambria Math" w:hAnsi="Cambria Math" w:cs="Arial"/>
              <w:lang w:val="en-AE"/>
            </w:rPr>
            <m:t>CIPS</m:t>
          </m:r>
          <m:d>
            <m:dPr>
              <m:ctrlPr>
                <w:rPr>
                  <w:rFonts w:ascii="Cambria Math" w:hAnsi="Cambria Math" w:cs="Arial"/>
                  <w:i/>
                  <w:lang w:val="en-AE"/>
                </w:rPr>
              </m:ctrlPr>
            </m:dPr>
            <m:e>
              <m:r>
                <w:rPr>
                  <w:rFonts w:ascii="Cambria Math" w:hAnsi="Cambria Math" w:cs="Arial"/>
                  <w:lang w:val="en-AE"/>
                </w:rPr>
                <m:t>N,T</m:t>
              </m:r>
            </m:e>
          </m:d>
          <m:r>
            <w:rPr>
              <w:rFonts w:ascii="Cambria Math" w:hAnsi="Cambria Math" w:cs="Arial"/>
              <w:lang w:val="en-AE"/>
            </w:rPr>
            <m:t xml:space="preserve">= </m:t>
          </m:r>
          <m:acc>
            <m:accPr>
              <m:chr m:val="̅"/>
              <m:ctrlPr>
                <w:rPr>
                  <w:rFonts w:ascii="Cambria Math" w:hAnsi="Cambria Math" w:cs="Arial"/>
                  <w:i/>
                  <w:lang w:val="en-AE"/>
                </w:rPr>
              </m:ctrlPr>
            </m:accPr>
            <m:e>
              <m:r>
                <w:rPr>
                  <w:rFonts w:ascii="Cambria Math" w:hAnsi="Cambria Math" w:cs="Arial"/>
                  <w:lang w:val="en-AE"/>
                </w:rPr>
                <m:t>T</m:t>
              </m:r>
            </m:e>
          </m:acc>
          <m:r>
            <w:rPr>
              <w:rFonts w:ascii="Cambria Math" w:hAnsi="Cambria Math" w:cs="Arial"/>
              <w:lang w:val="en-AE"/>
            </w:rPr>
            <m:t xml:space="preserve">=  </m:t>
          </m:r>
          <m:sSup>
            <m:sSupPr>
              <m:ctrlPr>
                <w:rPr>
                  <w:rFonts w:ascii="Cambria Math" w:hAnsi="Cambria Math" w:cs="Arial"/>
                  <w:i/>
                  <w:lang w:val="en-AE"/>
                </w:rPr>
              </m:ctrlPr>
            </m:sSupPr>
            <m:e>
              <m:r>
                <w:rPr>
                  <w:rFonts w:ascii="Cambria Math" w:hAnsi="Cambria Math" w:cs="Arial"/>
                  <w:lang w:val="en-AE"/>
                </w:rPr>
                <m:t>N</m:t>
              </m:r>
            </m:e>
            <m:sup>
              <m:r>
                <w:rPr>
                  <w:rFonts w:ascii="Cambria Math" w:hAnsi="Cambria Math" w:cs="Arial"/>
                  <w:lang w:val="en-AE"/>
                </w:rPr>
                <m:t>-1</m:t>
              </m:r>
            </m:sup>
          </m:sSup>
          <m:nary>
            <m:naryPr>
              <m:chr m:val="∑"/>
              <m:limLoc m:val="undOvr"/>
              <m:ctrlPr>
                <w:rPr>
                  <w:rFonts w:ascii="Cambria Math" w:hAnsi="Cambria Math" w:cs="Arial"/>
                  <w:i/>
                  <w:lang w:val="en-AE"/>
                </w:rPr>
              </m:ctrlPr>
            </m:naryPr>
            <m:sub>
              <m:r>
                <w:rPr>
                  <w:rFonts w:ascii="Cambria Math" w:hAnsi="Cambria Math" w:cs="Arial"/>
                  <w:lang w:val="en-AE"/>
                </w:rPr>
                <m:t>i=1</m:t>
              </m:r>
            </m:sub>
            <m:sup>
              <m:r>
                <w:rPr>
                  <w:rFonts w:ascii="Cambria Math" w:hAnsi="Cambria Math" w:cs="Arial"/>
                  <w:lang w:val="en-AE"/>
                </w:rPr>
                <m:t>N</m:t>
              </m:r>
            </m:sup>
            <m:e>
              <m:sSub>
                <m:sSubPr>
                  <m:ctrlPr>
                    <w:rPr>
                      <w:rFonts w:ascii="Cambria Math" w:hAnsi="Cambria Math" w:cs="Arial"/>
                      <w:i/>
                      <w:lang w:val="en-AE"/>
                    </w:rPr>
                  </m:ctrlPr>
                </m:sSubPr>
                <m:e>
                  <m:r>
                    <w:rPr>
                      <w:rFonts w:ascii="Cambria Math" w:hAnsi="Cambria Math" w:cs="Arial"/>
                      <w:lang w:val="en-AE"/>
                    </w:rPr>
                    <m:t>t</m:t>
                  </m:r>
                </m:e>
                <m:sub>
                  <m:r>
                    <w:rPr>
                      <w:rFonts w:ascii="Cambria Math" w:hAnsi="Cambria Math" w:cs="Arial"/>
                      <w:lang w:val="en-AE"/>
                    </w:rPr>
                    <m:t>i</m:t>
                  </m:r>
                </m:sub>
              </m:sSub>
              <m:d>
                <m:dPr>
                  <m:ctrlPr>
                    <w:rPr>
                      <w:rFonts w:ascii="Cambria Math" w:hAnsi="Cambria Math" w:cs="Arial"/>
                      <w:i/>
                      <w:lang w:val="en-AE"/>
                    </w:rPr>
                  </m:ctrlPr>
                </m:dPr>
                <m:e>
                  <m:r>
                    <w:rPr>
                      <w:rFonts w:ascii="Cambria Math" w:hAnsi="Cambria Math" w:cs="Arial"/>
                      <w:lang w:val="en-AE"/>
                    </w:rPr>
                    <m:t>N,T</m:t>
                  </m:r>
                </m:e>
              </m:d>
              <m:r>
                <w:rPr>
                  <w:rFonts w:ascii="Cambria Math" w:hAnsi="Cambria Math" w:cs="Arial"/>
                  <w:lang w:val="en-AE"/>
                </w:rPr>
                <m:t xml:space="preserve">                                         (7)</m:t>
              </m:r>
            </m:e>
          </m:nary>
        </m:oMath>
      </m:oMathPara>
    </w:p>
    <w:p w14:paraId="05908DE0" w14:textId="77777777" w:rsidR="00AC0043" w:rsidRPr="00D01B7A" w:rsidRDefault="00AC0043" w:rsidP="001970FC">
      <w:pPr>
        <w:autoSpaceDE w:val="0"/>
        <w:autoSpaceDN w:val="0"/>
        <w:adjustRightInd w:val="0"/>
        <w:spacing w:after="0" w:line="360" w:lineRule="auto"/>
        <w:jc w:val="both"/>
        <w:rPr>
          <w:rFonts w:ascii="Arial" w:hAnsi="Arial" w:cs="Arial"/>
          <w:lang w:val="en-AE"/>
        </w:rPr>
      </w:pPr>
      <w:r w:rsidRPr="00D01B7A">
        <w:rPr>
          <w:rFonts w:ascii="Arial" w:hAnsi="Arial" w:cs="Arial"/>
          <w:lang w:val="en-AE"/>
        </w:rPr>
        <w:t xml:space="preserve">Where N is the number of cross-sections (banks), and T is years (2010-2023). </w:t>
      </w:r>
      <m:oMath>
        <m:sSub>
          <m:sSubPr>
            <m:ctrlPr>
              <w:rPr>
                <w:rFonts w:ascii="Cambria Math" w:hAnsi="Cambria Math" w:cs="Arial"/>
                <w:i/>
                <w:lang w:val="en-AE"/>
              </w:rPr>
            </m:ctrlPr>
          </m:sSubPr>
          <m:e>
            <m:r>
              <w:rPr>
                <w:rFonts w:ascii="Cambria Math" w:hAnsi="Cambria Math" w:cs="Arial"/>
                <w:lang w:val="en-AE"/>
              </w:rPr>
              <m:t>t</m:t>
            </m:r>
          </m:e>
          <m:sub>
            <m:r>
              <w:rPr>
                <w:rFonts w:ascii="Cambria Math" w:hAnsi="Cambria Math" w:cs="Arial"/>
                <w:lang w:val="en-AE"/>
              </w:rPr>
              <m:t>i</m:t>
            </m:r>
          </m:sub>
        </m:sSub>
      </m:oMath>
      <w:r w:rsidRPr="00D01B7A">
        <w:rPr>
          <w:rFonts w:ascii="Arial" w:hAnsi="Arial" w:cs="Arial"/>
          <w:lang w:val="en-AE"/>
        </w:rPr>
        <w:t xml:space="preserve"> cross-sectional averaged gotten from the OLS augmented Dickey-Fuller (ADF) regression.</w:t>
      </w:r>
    </w:p>
    <w:p w14:paraId="35D9E75C" w14:textId="77777777" w:rsidR="008719ED" w:rsidRPr="00D01B7A" w:rsidRDefault="00E87AFC" w:rsidP="001970FC">
      <w:pPr>
        <w:spacing w:after="0" w:line="360" w:lineRule="auto"/>
        <w:jc w:val="both"/>
        <w:rPr>
          <w:rFonts w:ascii="Arial" w:eastAsia="Times New Roman" w:hAnsi="Arial" w:cs="Arial"/>
        </w:rPr>
      </w:pPr>
      <w:r w:rsidRPr="00D01B7A">
        <w:rPr>
          <w:rFonts w:ascii="Arial" w:hAnsi="Arial" w:cs="Arial"/>
        </w:rPr>
        <w:t xml:space="preserve">Thereafter, this </w:t>
      </w:r>
      <w:r w:rsidR="008719ED" w:rsidRPr="00D01B7A">
        <w:rPr>
          <w:rFonts w:ascii="Arial" w:eastAsia="Times New Roman" w:hAnsi="Arial" w:cs="Arial"/>
        </w:rPr>
        <w:t xml:space="preserve">study employed Westerlund's (2007) cointegration techniques to confirm the existence of a long-run equilibrium among the variables. Of the three techniques for cointegration, Westerlund (2007) fits best when cross-dependence (CD) is present. Its null hypothesis states that there is no long-run equilibrium (i.e., no cointegration), which can be rejected at the 1%, 5%, or 10% level of significance. After confirming cointegration, we adopted the Panel-Corrected Standard Errors (PCSE) estimator. The Prais-Winsten model, used here, helps control for both heteroscedasticity and serial correlation when CD is present (Beck and Katz, 2010). To verify output consistency, the Feasible Generalized Least Squares (FGLS) technique was employed to </w:t>
      </w:r>
      <w:r w:rsidR="008719ED" w:rsidRPr="00D01B7A">
        <w:rPr>
          <w:rFonts w:ascii="Arial" w:eastAsia="Times New Roman" w:hAnsi="Arial" w:cs="Arial"/>
        </w:rPr>
        <w:lastRenderedPageBreak/>
        <w:t>validate the parameters. These steps offer a more comprehensive approach than relying solely on fixed-effect or random-effect panel techniques. They ensure credible, accurate results for policy inference and practical implications in the Nigerian banking sector.</w:t>
      </w:r>
    </w:p>
    <w:p w14:paraId="159F7B02" w14:textId="038D84E6" w:rsidR="00AC0043" w:rsidRPr="00D01B7A" w:rsidRDefault="00AC0043" w:rsidP="001970FC">
      <w:pPr>
        <w:autoSpaceDE w:val="0"/>
        <w:autoSpaceDN w:val="0"/>
        <w:adjustRightInd w:val="0"/>
        <w:spacing w:after="0" w:line="360" w:lineRule="auto"/>
        <w:ind w:firstLine="720"/>
        <w:jc w:val="both"/>
        <w:rPr>
          <w:rFonts w:ascii="Arial" w:hAnsi="Arial" w:cs="Arial"/>
          <w:lang w:val="en-AE"/>
        </w:rPr>
      </w:pPr>
    </w:p>
    <w:p w14:paraId="67527ECB" w14:textId="440B21F5" w:rsidR="0094412E" w:rsidRPr="00D01B7A" w:rsidRDefault="00AC0043" w:rsidP="001970FC">
      <w:pPr>
        <w:pStyle w:val="Heading1"/>
        <w:spacing w:before="0" w:after="0" w:line="360" w:lineRule="auto"/>
        <w:rPr>
          <w:rFonts w:ascii="Arial" w:hAnsi="Arial" w:cs="Arial"/>
          <w:b/>
          <w:color w:val="auto"/>
          <w:sz w:val="22"/>
          <w:szCs w:val="22"/>
        </w:rPr>
      </w:pPr>
      <w:r w:rsidRPr="00D01B7A">
        <w:rPr>
          <w:rFonts w:ascii="Arial" w:hAnsi="Arial" w:cs="Arial"/>
          <w:b/>
          <w:color w:val="auto"/>
          <w:sz w:val="22"/>
          <w:szCs w:val="22"/>
        </w:rPr>
        <w:t>4.0 Estimation and Analysis</w:t>
      </w:r>
    </w:p>
    <w:p w14:paraId="592A9731" w14:textId="77777777" w:rsidR="00AC0043" w:rsidRPr="00D01B7A" w:rsidRDefault="003243F1" w:rsidP="001970FC">
      <w:pPr>
        <w:spacing w:after="0" w:line="360" w:lineRule="auto"/>
        <w:rPr>
          <w:rFonts w:ascii="Arial" w:hAnsi="Arial" w:cs="Arial"/>
          <w:b/>
          <w:bCs/>
        </w:rPr>
      </w:pPr>
      <w:r w:rsidRPr="00D01B7A">
        <w:rPr>
          <w:rFonts w:ascii="Arial" w:hAnsi="Arial" w:cs="Arial"/>
          <w:b/>
          <w:bCs/>
        </w:rPr>
        <w:t xml:space="preserve">4.1.1 </w:t>
      </w:r>
      <w:r w:rsidR="00081357" w:rsidRPr="00D01B7A">
        <w:rPr>
          <w:rFonts w:ascii="Arial" w:hAnsi="Arial" w:cs="Arial"/>
          <w:b/>
          <w:bCs/>
        </w:rPr>
        <w:t xml:space="preserve">Exploratory Analysis: </w:t>
      </w:r>
      <w:r w:rsidR="00AC0043" w:rsidRPr="00D01B7A">
        <w:rPr>
          <w:rFonts w:ascii="Arial" w:hAnsi="Arial" w:cs="Arial"/>
          <w:b/>
          <w:bCs/>
        </w:rPr>
        <w:t>Summary statistics</w:t>
      </w:r>
    </w:p>
    <w:p w14:paraId="5BC3EEC3" w14:textId="6226CEAB" w:rsidR="008719ED" w:rsidRPr="00D01B7A" w:rsidRDefault="008719ED" w:rsidP="001970FC">
      <w:pPr>
        <w:spacing w:after="120" w:line="360" w:lineRule="auto"/>
        <w:jc w:val="both"/>
        <w:rPr>
          <w:rFonts w:ascii="Arial" w:eastAsia="Times New Roman" w:hAnsi="Arial" w:cs="Arial"/>
        </w:rPr>
      </w:pPr>
      <w:r w:rsidRPr="008719ED">
        <w:rPr>
          <w:rFonts w:ascii="Arial" w:eastAsia="Times New Roman" w:hAnsi="Arial" w:cs="Arial"/>
        </w:rPr>
        <w:t>Prior to estimating the main hypotheses of the study, the behaviour of the variables was explored using summary statistics and a correlation matrix. This was to determine, onsite, the nature of the variables, including their means and dispersions that may warrant attention, and also to check for potential multicollinearity that might distort the analysis and findings.  Table 2 presents the comprehensive descriptive statistics regarding the financial information and risk exposure of Nigerian banks from 2010 to 2013, utilizing the relevant variables of interest. Firstly, the return on assets (ROA) averaged 4.1%, indicating reasonable profitability across the banking sector, although there was significant volatility in earnings, as indicated by the standard deviation of 12.5%. Also, the negative minimum ROA of -14% suggests some banks incurred losses during this period, and the high maximum ROA of 135.5% may reflect reporting anomalies. Regarding Z-scores as a proxy for credit risk, the mean of 2.69, log-transformed, indicates moderate stability on average; however, the standard deviation of 1.04 and the minimum value of -2.65 suggest insolvency that endangers the operational performance of some banks, likely due to significant vulnerability to financial distress. Regarding the Risk-Weighted Capital (RWC), the average is 14.7%, with a large standard deviation of 29.8% and a wide range, from a minimum of -198.4% to a maximum of 52.4%. The Loan-to-Deposit Ratio (LDR) averaged 63.4%. However, the range from 17.8% to 108.8% signals divergent liquidity strategies, with some banks potentially over-lending relative to their deposit base. Lastly, bank size, measured by log assets, exhibits moderate variation, with a mean of 14.34 and a standard deviation of 1.07, indicating a mix of large, medium-sized, and smaller banks in the sample.</w:t>
      </w:r>
    </w:p>
    <w:p w14:paraId="05D359A1" w14:textId="73901189" w:rsidR="00DD7A36" w:rsidRDefault="00DD7A36" w:rsidP="001970FC">
      <w:pPr>
        <w:spacing w:after="120" w:line="360" w:lineRule="auto"/>
        <w:jc w:val="both"/>
        <w:rPr>
          <w:rFonts w:ascii="Arial" w:eastAsia="Times New Roman" w:hAnsi="Arial" w:cs="Arial"/>
        </w:rPr>
      </w:pPr>
    </w:p>
    <w:p w14:paraId="78FDA29C" w14:textId="355445F7" w:rsidR="001970FC" w:rsidRDefault="001970FC" w:rsidP="001970FC">
      <w:pPr>
        <w:spacing w:after="120" w:line="360" w:lineRule="auto"/>
        <w:jc w:val="both"/>
        <w:rPr>
          <w:rFonts w:ascii="Arial" w:eastAsia="Times New Roman" w:hAnsi="Arial" w:cs="Arial"/>
        </w:rPr>
      </w:pPr>
    </w:p>
    <w:p w14:paraId="7D0CE1FA" w14:textId="77777777" w:rsidR="001970FC" w:rsidRPr="008719ED" w:rsidRDefault="001970FC" w:rsidP="001970FC">
      <w:pPr>
        <w:spacing w:after="120" w:line="360" w:lineRule="auto"/>
        <w:jc w:val="both"/>
        <w:rPr>
          <w:rFonts w:ascii="Arial" w:eastAsia="Times New Roman" w:hAnsi="Arial" w:cs="Arial"/>
        </w:rPr>
      </w:pPr>
    </w:p>
    <w:p w14:paraId="0F8CCBA8" w14:textId="77777777" w:rsidR="00F44E88" w:rsidRPr="00D01B7A" w:rsidRDefault="00AC0043" w:rsidP="001970FC">
      <w:pPr>
        <w:spacing w:after="0" w:line="360" w:lineRule="auto"/>
        <w:jc w:val="both"/>
        <w:rPr>
          <w:rFonts w:ascii="Arial" w:hAnsi="Arial" w:cs="Arial"/>
          <w:b/>
          <w:bCs/>
        </w:rPr>
      </w:pPr>
      <w:r w:rsidRPr="00D01B7A">
        <w:rPr>
          <w:rFonts w:ascii="Arial" w:hAnsi="Arial" w:cs="Arial"/>
          <w:b/>
          <w:bCs/>
        </w:rPr>
        <w:t xml:space="preserve">Table 2 </w:t>
      </w:r>
    </w:p>
    <w:p w14:paraId="276DA162" w14:textId="77777777" w:rsidR="00AC0043" w:rsidRPr="00D01B7A" w:rsidRDefault="00AC0043" w:rsidP="001970FC">
      <w:pPr>
        <w:spacing w:after="0" w:line="360" w:lineRule="auto"/>
        <w:jc w:val="both"/>
        <w:rPr>
          <w:rFonts w:ascii="Arial" w:hAnsi="Arial" w:cs="Arial"/>
          <w:b/>
          <w:bCs/>
        </w:rPr>
      </w:pPr>
      <w:r w:rsidRPr="00D01B7A">
        <w:rPr>
          <w:rFonts w:ascii="Arial" w:hAnsi="Arial" w:cs="Arial"/>
          <w:b/>
          <w:bCs/>
        </w:rPr>
        <w:t>Summary statistics</w:t>
      </w:r>
    </w:p>
    <w:tbl>
      <w:tblPr>
        <w:tblW w:w="5848" w:type="dxa"/>
        <w:tblBorders>
          <w:top w:val="single" w:sz="4" w:space="0" w:color="auto"/>
          <w:bottom w:val="single" w:sz="4" w:space="0" w:color="auto"/>
        </w:tblBorders>
        <w:tblLook w:val="04A0" w:firstRow="1" w:lastRow="0" w:firstColumn="1" w:lastColumn="0" w:noHBand="0" w:noVBand="1"/>
      </w:tblPr>
      <w:tblGrid>
        <w:gridCol w:w="1024"/>
        <w:gridCol w:w="960"/>
        <w:gridCol w:w="966"/>
        <w:gridCol w:w="966"/>
        <w:gridCol w:w="966"/>
        <w:gridCol w:w="966"/>
      </w:tblGrid>
      <w:tr w:rsidR="00AC0043" w:rsidRPr="00D01B7A" w14:paraId="51B22404" w14:textId="77777777" w:rsidTr="000039BF">
        <w:trPr>
          <w:trHeight w:val="288"/>
        </w:trPr>
        <w:tc>
          <w:tcPr>
            <w:tcW w:w="1024" w:type="dxa"/>
            <w:tcBorders>
              <w:top w:val="single" w:sz="4" w:space="0" w:color="auto"/>
              <w:bottom w:val="single" w:sz="4" w:space="0" w:color="auto"/>
            </w:tcBorders>
            <w:noWrap/>
            <w:vAlign w:val="bottom"/>
            <w:hideMark/>
          </w:tcPr>
          <w:p w14:paraId="33D4ECAB" w14:textId="77777777" w:rsidR="00AC0043" w:rsidRPr="00D01B7A" w:rsidRDefault="00AC0043" w:rsidP="006323CB">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Variable</w:t>
            </w:r>
          </w:p>
        </w:tc>
        <w:tc>
          <w:tcPr>
            <w:tcW w:w="960" w:type="dxa"/>
            <w:tcBorders>
              <w:top w:val="single" w:sz="4" w:space="0" w:color="auto"/>
              <w:bottom w:val="single" w:sz="4" w:space="0" w:color="auto"/>
            </w:tcBorders>
            <w:noWrap/>
            <w:vAlign w:val="bottom"/>
            <w:hideMark/>
          </w:tcPr>
          <w:p w14:paraId="0A881B37"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Obs</w:t>
            </w:r>
          </w:p>
        </w:tc>
        <w:tc>
          <w:tcPr>
            <w:tcW w:w="966" w:type="dxa"/>
            <w:tcBorders>
              <w:top w:val="single" w:sz="4" w:space="0" w:color="auto"/>
              <w:bottom w:val="single" w:sz="4" w:space="0" w:color="auto"/>
            </w:tcBorders>
            <w:noWrap/>
            <w:vAlign w:val="bottom"/>
            <w:hideMark/>
          </w:tcPr>
          <w:p w14:paraId="2288BE36"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Mean</w:t>
            </w:r>
          </w:p>
        </w:tc>
        <w:tc>
          <w:tcPr>
            <w:tcW w:w="966" w:type="dxa"/>
            <w:tcBorders>
              <w:top w:val="single" w:sz="4" w:space="0" w:color="auto"/>
              <w:bottom w:val="single" w:sz="4" w:space="0" w:color="auto"/>
            </w:tcBorders>
            <w:noWrap/>
            <w:vAlign w:val="bottom"/>
            <w:hideMark/>
          </w:tcPr>
          <w:p w14:paraId="72F5DE0E"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Std. Dev.</w:t>
            </w:r>
          </w:p>
        </w:tc>
        <w:tc>
          <w:tcPr>
            <w:tcW w:w="966" w:type="dxa"/>
            <w:tcBorders>
              <w:top w:val="single" w:sz="4" w:space="0" w:color="auto"/>
              <w:bottom w:val="single" w:sz="4" w:space="0" w:color="auto"/>
            </w:tcBorders>
            <w:noWrap/>
            <w:vAlign w:val="bottom"/>
            <w:hideMark/>
          </w:tcPr>
          <w:p w14:paraId="5D54A104"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Min</w:t>
            </w:r>
          </w:p>
        </w:tc>
        <w:tc>
          <w:tcPr>
            <w:tcW w:w="966" w:type="dxa"/>
            <w:tcBorders>
              <w:top w:val="single" w:sz="4" w:space="0" w:color="auto"/>
              <w:bottom w:val="single" w:sz="4" w:space="0" w:color="auto"/>
            </w:tcBorders>
            <w:noWrap/>
            <w:vAlign w:val="bottom"/>
            <w:hideMark/>
          </w:tcPr>
          <w:p w14:paraId="12B1FFE1"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Max</w:t>
            </w:r>
          </w:p>
        </w:tc>
      </w:tr>
      <w:tr w:rsidR="00D01B7A" w:rsidRPr="00D01B7A" w14:paraId="408C31BE" w14:textId="77777777" w:rsidTr="000039BF">
        <w:trPr>
          <w:trHeight w:val="288"/>
        </w:trPr>
        <w:tc>
          <w:tcPr>
            <w:tcW w:w="1024" w:type="dxa"/>
            <w:tcBorders>
              <w:top w:val="single" w:sz="4" w:space="0" w:color="auto"/>
            </w:tcBorders>
            <w:noWrap/>
            <w:vAlign w:val="bottom"/>
            <w:hideMark/>
          </w:tcPr>
          <w:p w14:paraId="3A1CA005" w14:textId="77777777" w:rsidR="00AC0043" w:rsidRPr="00D01B7A" w:rsidRDefault="00AC0043" w:rsidP="006323CB">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lastRenderedPageBreak/>
              <w:t>ROA</w:t>
            </w:r>
          </w:p>
        </w:tc>
        <w:tc>
          <w:tcPr>
            <w:tcW w:w="960" w:type="dxa"/>
            <w:tcBorders>
              <w:top w:val="single" w:sz="4" w:space="0" w:color="auto"/>
            </w:tcBorders>
            <w:noWrap/>
            <w:vAlign w:val="bottom"/>
            <w:hideMark/>
          </w:tcPr>
          <w:p w14:paraId="7733AF3D"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168</w:t>
            </w:r>
          </w:p>
        </w:tc>
        <w:tc>
          <w:tcPr>
            <w:tcW w:w="966" w:type="dxa"/>
            <w:tcBorders>
              <w:top w:val="single" w:sz="4" w:space="0" w:color="auto"/>
            </w:tcBorders>
            <w:noWrap/>
            <w:vAlign w:val="bottom"/>
            <w:hideMark/>
          </w:tcPr>
          <w:p w14:paraId="14D6A5AF"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0.04</w:t>
            </w:r>
          </w:p>
        </w:tc>
        <w:tc>
          <w:tcPr>
            <w:tcW w:w="966" w:type="dxa"/>
            <w:tcBorders>
              <w:top w:val="single" w:sz="4" w:space="0" w:color="auto"/>
            </w:tcBorders>
            <w:noWrap/>
            <w:vAlign w:val="bottom"/>
            <w:hideMark/>
          </w:tcPr>
          <w:p w14:paraId="099EDB0E"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0.13</w:t>
            </w:r>
          </w:p>
        </w:tc>
        <w:tc>
          <w:tcPr>
            <w:tcW w:w="966" w:type="dxa"/>
            <w:tcBorders>
              <w:top w:val="single" w:sz="4" w:space="0" w:color="auto"/>
            </w:tcBorders>
            <w:noWrap/>
            <w:vAlign w:val="bottom"/>
            <w:hideMark/>
          </w:tcPr>
          <w:p w14:paraId="2E466F92"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-0.14</w:t>
            </w:r>
          </w:p>
        </w:tc>
        <w:tc>
          <w:tcPr>
            <w:tcW w:w="966" w:type="dxa"/>
            <w:tcBorders>
              <w:top w:val="single" w:sz="4" w:space="0" w:color="auto"/>
            </w:tcBorders>
            <w:noWrap/>
            <w:vAlign w:val="bottom"/>
            <w:hideMark/>
          </w:tcPr>
          <w:p w14:paraId="5F32F274"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1.36</w:t>
            </w:r>
          </w:p>
        </w:tc>
      </w:tr>
      <w:tr w:rsidR="00D01B7A" w:rsidRPr="00D01B7A" w14:paraId="1E44CD13" w14:textId="77777777" w:rsidTr="000039BF">
        <w:trPr>
          <w:trHeight w:val="288"/>
        </w:trPr>
        <w:tc>
          <w:tcPr>
            <w:tcW w:w="1024" w:type="dxa"/>
            <w:noWrap/>
            <w:vAlign w:val="bottom"/>
            <w:hideMark/>
          </w:tcPr>
          <w:p w14:paraId="5D5D2B8D" w14:textId="77777777" w:rsidR="00AC0043" w:rsidRPr="00D01B7A" w:rsidRDefault="00AC0043" w:rsidP="006323CB">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Z-score</w:t>
            </w:r>
          </w:p>
        </w:tc>
        <w:tc>
          <w:tcPr>
            <w:tcW w:w="960" w:type="dxa"/>
            <w:noWrap/>
            <w:vAlign w:val="bottom"/>
            <w:hideMark/>
          </w:tcPr>
          <w:p w14:paraId="5A5C9EC8"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159</w:t>
            </w:r>
          </w:p>
        </w:tc>
        <w:tc>
          <w:tcPr>
            <w:tcW w:w="966" w:type="dxa"/>
            <w:noWrap/>
            <w:vAlign w:val="bottom"/>
            <w:hideMark/>
          </w:tcPr>
          <w:p w14:paraId="2E444157"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2.69</w:t>
            </w:r>
          </w:p>
        </w:tc>
        <w:tc>
          <w:tcPr>
            <w:tcW w:w="966" w:type="dxa"/>
            <w:noWrap/>
            <w:vAlign w:val="bottom"/>
            <w:hideMark/>
          </w:tcPr>
          <w:p w14:paraId="0B8B628D"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1.04</w:t>
            </w:r>
          </w:p>
        </w:tc>
        <w:tc>
          <w:tcPr>
            <w:tcW w:w="966" w:type="dxa"/>
            <w:noWrap/>
            <w:vAlign w:val="bottom"/>
            <w:hideMark/>
          </w:tcPr>
          <w:p w14:paraId="7D507AAF"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-2.65</w:t>
            </w:r>
          </w:p>
        </w:tc>
        <w:tc>
          <w:tcPr>
            <w:tcW w:w="966" w:type="dxa"/>
            <w:noWrap/>
            <w:vAlign w:val="bottom"/>
            <w:hideMark/>
          </w:tcPr>
          <w:p w14:paraId="137F8603"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4.94</w:t>
            </w:r>
          </w:p>
        </w:tc>
      </w:tr>
      <w:tr w:rsidR="00D01B7A" w:rsidRPr="00D01B7A" w14:paraId="428ED011" w14:textId="77777777" w:rsidTr="000039BF">
        <w:trPr>
          <w:trHeight w:val="288"/>
        </w:trPr>
        <w:tc>
          <w:tcPr>
            <w:tcW w:w="1024" w:type="dxa"/>
            <w:noWrap/>
            <w:vAlign w:val="bottom"/>
            <w:hideMark/>
          </w:tcPr>
          <w:p w14:paraId="507C1D48" w14:textId="59C70A04" w:rsidR="00AC0043" w:rsidRPr="00D01B7A" w:rsidRDefault="00EA4C3E" w:rsidP="006323CB">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RW</w:t>
            </w:r>
            <w:r w:rsidR="00AC0043" w:rsidRPr="00D01B7A">
              <w:rPr>
                <w:rFonts w:ascii="Arial" w:eastAsia="Times New Roman" w:hAnsi="Arial" w:cs="Arial"/>
                <w:lang w:val="en-AE" w:eastAsia="en-AE"/>
              </w:rPr>
              <w:t>C</w:t>
            </w:r>
          </w:p>
        </w:tc>
        <w:tc>
          <w:tcPr>
            <w:tcW w:w="960" w:type="dxa"/>
            <w:noWrap/>
            <w:vAlign w:val="bottom"/>
            <w:hideMark/>
          </w:tcPr>
          <w:p w14:paraId="447C22A8"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168</w:t>
            </w:r>
          </w:p>
        </w:tc>
        <w:tc>
          <w:tcPr>
            <w:tcW w:w="966" w:type="dxa"/>
            <w:noWrap/>
            <w:vAlign w:val="bottom"/>
            <w:hideMark/>
          </w:tcPr>
          <w:p w14:paraId="694A5627"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14.68</w:t>
            </w:r>
          </w:p>
        </w:tc>
        <w:tc>
          <w:tcPr>
            <w:tcW w:w="966" w:type="dxa"/>
            <w:noWrap/>
            <w:vAlign w:val="bottom"/>
            <w:hideMark/>
          </w:tcPr>
          <w:p w14:paraId="63D80F2D"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29.85</w:t>
            </w:r>
          </w:p>
        </w:tc>
        <w:tc>
          <w:tcPr>
            <w:tcW w:w="966" w:type="dxa"/>
            <w:noWrap/>
            <w:vAlign w:val="bottom"/>
            <w:hideMark/>
          </w:tcPr>
          <w:p w14:paraId="72CB1899"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-198.40</w:t>
            </w:r>
          </w:p>
        </w:tc>
        <w:tc>
          <w:tcPr>
            <w:tcW w:w="966" w:type="dxa"/>
            <w:noWrap/>
            <w:vAlign w:val="bottom"/>
            <w:hideMark/>
          </w:tcPr>
          <w:p w14:paraId="747B8AF5"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52.44</w:t>
            </w:r>
          </w:p>
        </w:tc>
      </w:tr>
      <w:tr w:rsidR="00D01B7A" w:rsidRPr="00D01B7A" w14:paraId="31CBB14B" w14:textId="77777777" w:rsidTr="000039BF">
        <w:trPr>
          <w:trHeight w:val="288"/>
        </w:trPr>
        <w:tc>
          <w:tcPr>
            <w:tcW w:w="1024" w:type="dxa"/>
            <w:noWrap/>
            <w:vAlign w:val="bottom"/>
            <w:hideMark/>
          </w:tcPr>
          <w:p w14:paraId="7BD0E7C6" w14:textId="77777777" w:rsidR="00AC0043" w:rsidRPr="00D01B7A" w:rsidRDefault="00AC0043" w:rsidP="006323CB">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LDR</w:t>
            </w:r>
          </w:p>
        </w:tc>
        <w:tc>
          <w:tcPr>
            <w:tcW w:w="960" w:type="dxa"/>
            <w:noWrap/>
            <w:vAlign w:val="bottom"/>
            <w:hideMark/>
          </w:tcPr>
          <w:p w14:paraId="1858A1B3"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168</w:t>
            </w:r>
          </w:p>
        </w:tc>
        <w:tc>
          <w:tcPr>
            <w:tcW w:w="966" w:type="dxa"/>
            <w:noWrap/>
            <w:vAlign w:val="bottom"/>
            <w:hideMark/>
          </w:tcPr>
          <w:p w14:paraId="1B4012CB"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0.63</w:t>
            </w:r>
          </w:p>
        </w:tc>
        <w:tc>
          <w:tcPr>
            <w:tcW w:w="966" w:type="dxa"/>
            <w:noWrap/>
            <w:vAlign w:val="bottom"/>
            <w:hideMark/>
          </w:tcPr>
          <w:p w14:paraId="041DA328"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0.18</w:t>
            </w:r>
          </w:p>
        </w:tc>
        <w:tc>
          <w:tcPr>
            <w:tcW w:w="966" w:type="dxa"/>
            <w:noWrap/>
            <w:vAlign w:val="bottom"/>
            <w:hideMark/>
          </w:tcPr>
          <w:p w14:paraId="0008EBDC"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0.18</w:t>
            </w:r>
          </w:p>
        </w:tc>
        <w:tc>
          <w:tcPr>
            <w:tcW w:w="966" w:type="dxa"/>
            <w:noWrap/>
            <w:vAlign w:val="bottom"/>
            <w:hideMark/>
          </w:tcPr>
          <w:p w14:paraId="714CFE7B"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1.09</w:t>
            </w:r>
          </w:p>
        </w:tc>
      </w:tr>
      <w:tr w:rsidR="00AC0043" w:rsidRPr="00D01B7A" w14:paraId="01DD00FD" w14:textId="77777777" w:rsidTr="000039BF">
        <w:trPr>
          <w:trHeight w:val="288"/>
        </w:trPr>
        <w:tc>
          <w:tcPr>
            <w:tcW w:w="1024" w:type="dxa"/>
            <w:noWrap/>
            <w:vAlign w:val="bottom"/>
            <w:hideMark/>
          </w:tcPr>
          <w:p w14:paraId="6E5D4E0E" w14:textId="77777777" w:rsidR="00AC0043" w:rsidRPr="00D01B7A" w:rsidRDefault="00AC0043" w:rsidP="006323CB">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BSIZE</w:t>
            </w:r>
          </w:p>
        </w:tc>
        <w:tc>
          <w:tcPr>
            <w:tcW w:w="960" w:type="dxa"/>
            <w:noWrap/>
            <w:vAlign w:val="bottom"/>
            <w:hideMark/>
          </w:tcPr>
          <w:p w14:paraId="0C8857B0"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eastAsia="Times New Roman" w:hAnsi="Arial" w:cs="Arial"/>
                <w:lang w:val="en-AE" w:eastAsia="en-AE"/>
              </w:rPr>
              <w:t>168</w:t>
            </w:r>
          </w:p>
        </w:tc>
        <w:tc>
          <w:tcPr>
            <w:tcW w:w="966" w:type="dxa"/>
            <w:noWrap/>
            <w:vAlign w:val="bottom"/>
            <w:hideMark/>
          </w:tcPr>
          <w:p w14:paraId="6598C44A"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14.34</w:t>
            </w:r>
          </w:p>
        </w:tc>
        <w:tc>
          <w:tcPr>
            <w:tcW w:w="966" w:type="dxa"/>
            <w:noWrap/>
            <w:vAlign w:val="bottom"/>
            <w:hideMark/>
          </w:tcPr>
          <w:p w14:paraId="30AF446B"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1.07</w:t>
            </w:r>
          </w:p>
        </w:tc>
        <w:tc>
          <w:tcPr>
            <w:tcW w:w="966" w:type="dxa"/>
            <w:noWrap/>
            <w:vAlign w:val="bottom"/>
            <w:hideMark/>
          </w:tcPr>
          <w:p w14:paraId="4EE0882C"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11.81</w:t>
            </w:r>
          </w:p>
        </w:tc>
        <w:tc>
          <w:tcPr>
            <w:tcW w:w="966" w:type="dxa"/>
            <w:noWrap/>
            <w:vAlign w:val="bottom"/>
            <w:hideMark/>
          </w:tcPr>
          <w:p w14:paraId="16D4EEE2" w14:textId="77777777" w:rsidR="00AC0043" w:rsidRPr="00D01B7A" w:rsidRDefault="00AC0043" w:rsidP="006323CB">
            <w:pPr>
              <w:spacing w:after="0" w:line="276" w:lineRule="auto"/>
              <w:jc w:val="right"/>
              <w:rPr>
                <w:rFonts w:ascii="Arial" w:eastAsia="Times New Roman" w:hAnsi="Arial" w:cs="Arial"/>
                <w:lang w:val="en-AE" w:eastAsia="en-AE"/>
              </w:rPr>
            </w:pPr>
            <w:r w:rsidRPr="00D01B7A">
              <w:rPr>
                <w:rFonts w:ascii="Arial" w:hAnsi="Arial" w:cs="Arial"/>
              </w:rPr>
              <w:t>17.10</w:t>
            </w:r>
          </w:p>
        </w:tc>
      </w:tr>
    </w:tbl>
    <w:p w14:paraId="25DF0D7D" w14:textId="77777777" w:rsidR="000039BF" w:rsidRPr="00D01B7A" w:rsidRDefault="000039BF" w:rsidP="000039BF">
      <w:pPr>
        <w:spacing w:after="0" w:line="278" w:lineRule="auto"/>
        <w:rPr>
          <w:rFonts w:ascii="Arial" w:hAnsi="Arial" w:cs="Arial"/>
          <w:i/>
          <w:iCs/>
        </w:rPr>
      </w:pPr>
      <w:r w:rsidRPr="00D01B7A">
        <w:rPr>
          <w:rFonts w:ascii="Arial" w:hAnsi="Arial" w:cs="Arial"/>
          <w:i/>
          <w:iCs/>
        </w:rPr>
        <w:t>Source: Author’s computation</w:t>
      </w:r>
    </w:p>
    <w:p w14:paraId="167B95D2" w14:textId="77777777" w:rsidR="006323CB" w:rsidRPr="00D01B7A" w:rsidRDefault="006323CB" w:rsidP="001970FC">
      <w:pPr>
        <w:spacing w:after="0" w:line="360" w:lineRule="auto"/>
        <w:jc w:val="both"/>
        <w:rPr>
          <w:rFonts w:ascii="Arial" w:hAnsi="Arial" w:cs="Arial"/>
          <w:b/>
          <w:bCs/>
        </w:rPr>
      </w:pPr>
    </w:p>
    <w:p w14:paraId="1E2F5DB4" w14:textId="77777777" w:rsidR="00AC0043" w:rsidRPr="00D01B7A" w:rsidRDefault="003243F1" w:rsidP="001970FC">
      <w:pPr>
        <w:spacing w:after="0" w:line="360" w:lineRule="auto"/>
        <w:jc w:val="both"/>
        <w:rPr>
          <w:rFonts w:ascii="Arial" w:hAnsi="Arial" w:cs="Arial"/>
          <w:b/>
          <w:bCs/>
        </w:rPr>
      </w:pPr>
      <w:r w:rsidRPr="00D01B7A">
        <w:rPr>
          <w:rFonts w:ascii="Arial" w:hAnsi="Arial" w:cs="Arial"/>
          <w:b/>
          <w:bCs/>
        </w:rPr>
        <w:t xml:space="preserve">4.1.2 </w:t>
      </w:r>
      <w:r w:rsidR="00AC0043" w:rsidRPr="00D01B7A">
        <w:rPr>
          <w:rFonts w:ascii="Arial" w:hAnsi="Arial" w:cs="Arial"/>
          <w:b/>
          <w:bCs/>
        </w:rPr>
        <w:t>Correlation matrix</w:t>
      </w:r>
    </w:p>
    <w:p w14:paraId="187337E6" w14:textId="1822315C" w:rsidR="004668B5" w:rsidRPr="00D01B7A" w:rsidRDefault="004668B5" w:rsidP="001970FC">
      <w:pPr>
        <w:spacing w:after="0" w:line="360" w:lineRule="auto"/>
        <w:jc w:val="both"/>
        <w:rPr>
          <w:rFonts w:ascii="Arial" w:eastAsia="Times New Roman" w:hAnsi="Arial" w:cs="Arial"/>
        </w:rPr>
      </w:pPr>
      <w:r w:rsidRPr="004668B5">
        <w:rPr>
          <w:rFonts w:ascii="Arial" w:eastAsia="Times New Roman" w:hAnsi="Arial" w:cs="Arial"/>
        </w:rPr>
        <w:t>Table 3 shows that ROA has a negative correlation with all independent variables. The Z-score, a credit risk measure, is weakly but significantly correlated with ROA (r = -0.197, p &lt; .05), suggesting that banks with higher credit risk are less profitable. ROA and RWC exhibit a moderately strong, significant negative correlation (r = -0.490, p &lt; .001), indicating that banks with higher RWC tend to be less profitable. Although this may seem counterintuitive, it could reflect a lack of regulatory constraints, leading to overcapitalization and limiting revenue-generating activities. Model analysis will further investigate the relationship between ROA and RWC. For LDR and ROA, the correlation is not significant (r = -0.116, p &gt; 0.05). The relationship between ROA and bank size is significant (r = -0.251, p &lt; 0.05), suggesting that larger banks may face profitability issues due to scale inefficiencies or regulatory burdens. Finally, no pairwise correlation coefficient exceeds 0.5, indicating that there is no multicollinearity among the independent variables.</w:t>
      </w:r>
    </w:p>
    <w:p w14:paraId="72CC4EEA" w14:textId="77777777" w:rsidR="00DD7A36" w:rsidRPr="004668B5" w:rsidRDefault="00DD7A36" w:rsidP="001970FC">
      <w:pPr>
        <w:spacing w:after="0" w:line="360" w:lineRule="auto"/>
        <w:jc w:val="both"/>
        <w:rPr>
          <w:rFonts w:ascii="Arial" w:eastAsia="Times New Roman" w:hAnsi="Arial" w:cs="Arial"/>
        </w:rPr>
      </w:pPr>
    </w:p>
    <w:p w14:paraId="6C7C7A59" w14:textId="77777777" w:rsidR="00A94DA5" w:rsidRPr="00D01B7A" w:rsidRDefault="00AC0043" w:rsidP="00B625A8">
      <w:pPr>
        <w:spacing w:after="0" w:line="480" w:lineRule="auto"/>
        <w:rPr>
          <w:rFonts w:ascii="Arial" w:hAnsi="Arial" w:cs="Arial"/>
          <w:b/>
          <w:bCs/>
        </w:rPr>
      </w:pPr>
      <w:r w:rsidRPr="00D01B7A">
        <w:rPr>
          <w:rFonts w:ascii="Arial" w:hAnsi="Arial" w:cs="Arial"/>
          <w:b/>
          <w:bCs/>
        </w:rPr>
        <w:t>Table 3</w:t>
      </w:r>
    </w:p>
    <w:p w14:paraId="75D7266D" w14:textId="7B84C833" w:rsidR="006323CB" w:rsidRPr="00D01B7A" w:rsidRDefault="00AC0043" w:rsidP="00AF5AC8">
      <w:pPr>
        <w:spacing w:after="0" w:line="240" w:lineRule="auto"/>
        <w:rPr>
          <w:rFonts w:ascii="Arial" w:hAnsi="Arial" w:cs="Arial"/>
          <w:b/>
          <w:bCs/>
        </w:rPr>
      </w:pPr>
      <w:r w:rsidRPr="00D01B7A">
        <w:rPr>
          <w:rFonts w:ascii="Arial" w:hAnsi="Arial" w:cs="Arial"/>
          <w:b/>
          <w:bCs/>
        </w:rPr>
        <w:t>Correlation matrix</w:t>
      </w:r>
    </w:p>
    <w:tbl>
      <w:tblPr>
        <w:tblW w:w="0" w:type="auto"/>
        <w:tblLayout w:type="fixed"/>
        <w:tblLook w:val="0000" w:firstRow="0" w:lastRow="0" w:firstColumn="0" w:lastColumn="0" w:noHBand="0" w:noVBand="0"/>
      </w:tblPr>
      <w:tblGrid>
        <w:gridCol w:w="1450"/>
        <w:gridCol w:w="980"/>
        <w:gridCol w:w="990"/>
        <w:gridCol w:w="1080"/>
        <w:gridCol w:w="990"/>
        <w:gridCol w:w="990"/>
      </w:tblGrid>
      <w:tr w:rsidR="009D7B7D" w:rsidRPr="00D01B7A" w14:paraId="72AA668C" w14:textId="77777777" w:rsidTr="009D7B7D">
        <w:tc>
          <w:tcPr>
            <w:tcW w:w="1450" w:type="dxa"/>
            <w:tcBorders>
              <w:top w:val="single" w:sz="4" w:space="0" w:color="auto"/>
              <w:left w:val="nil"/>
              <w:bottom w:val="single" w:sz="6" w:space="0" w:color="auto"/>
              <w:right w:val="nil"/>
            </w:tcBorders>
          </w:tcPr>
          <w:p w14:paraId="59EA2D8A" w14:textId="77777777" w:rsidR="006323CB" w:rsidRPr="00D01B7A" w:rsidRDefault="006323CB" w:rsidP="00AF5AC8">
            <w:pPr>
              <w:widowControl w:val="0"/>
              <w:autoSpaceDE w:val="0"/>
              <w:autoSpaceDN w:val="0"/>
              <w:adjustRightInd w:val="0"/>
              <w:spacing w:after="0" w:line="240" w:lineRule="auto"/>
              <w:rPr>
                <w:rFonts w:ascii="Arial" w:hAnsi="Arial" w:cs="Arial"/>
              </w:rPr>
            </w:pPr>
            <w:r w:rsidRPr="00D01B7A">
              <w:rPr>
                <w:rFonts w:ascii="Arial" w:hAnsi="Arial" w:cs="Arial"/>
              </w:rPr>
              <w:t>Variables</w:t>
            </w:r>
          </w:p>
        </w:tc>
        <w:tc>
          <w:tcPr>
            <w:tcW w:w="980" w:type="dxa"/>
            <w:tcBorders>
              <w:top w:val="single" w:sz="4" w:space="0" w:color="auto"/>
              <w:left w:val="nil"/>
              <w:bottom w:val="single" w:sz="6" w:space="0" w:color="auto"/>
              <w:right w:val="nil"/>
            </w:tcBorders>
          </w:tcPr>
          <w:p w14:paraId="07E1F069" w14:textId="77777777" w:rsidR="006323CB" w:rsidRPr="00D01B7A" w:rsidRDefault="006323CB" w:rsidP="00AF5AC8">
            <w:pPr>
              <w:widowControl w:val="0"/>
              <w:autoSpaceDE w:val="0"/>
              <w:autoSpaceDN w:val="0"/>
              <w:adjustRightInd w:val="0"/>
              <w:spacing w:after="0" w:line="240" w:lineRule="auto"/>
              <w:jc w:val="center"/>
              <w:rPr>
                <w:rFonts w:ascii="Arial" w:hAnsi="Arial" w:cs="Arial"/>
              </w:rPr>
            </w:pPr>
            <w:r w:rsidRPr="00D01B7A">
              <w:rPr>
                <w:rFonts w:ascii="Arial" w:hAnsi="Arial" w:cs="Arial"/>
              </w:rPr>
              <w:t>ROA</w:t>
            </w:r>
          </w:p>
        </w:tc>
        <w:tc>
          <w:tcPr>
            <w:tcW w:w="990" w:type="dxa"/>
            <w:tcBorders>
              <w:top w:val="single" w:sz="4" w:space="0" w:color="auto"/>
              <w:left w:val="nil"/>
              <w:bottom w:val="single" w:sz="6" w:space="0" w:color="auto"/>
              <w:right w:val="nil"/>
            </w:tcBorders>
          </w:tcPr>
          <w:p w14:paraId="01D0A77E" w14:textId="77777777" w:rsidR="006323CB" w:rsidRPr="00D01B7A" w:rsidRDefault="006323CB" w:rsidP="00AF5AC8">
            <w:pPr>
              <w:widowControl w:val="0"/>
              <w:autoSpaceDE w:val="0"/>
              <w:autoSpaceDN w:val="0"/>
              <w:adjustRightInd w:val="0"/>
              <w:spacing w:after="0" w:line="240" w:lineRule="auto"/>
              <w:jc w:val="right"/>
              <w:rPr>
                <w:rFonts w:ascii="Arial" w:hAnsi="Arial" w:cs="Arial"/>
              </w:rPr>
            </w:pPr>
            <w:r w:rsidRPr="00D01B7A">
              <w:rPr>
                <w:rFonts w:ascii="Arial" w:hAnsi="Arial" w:cs="Arial"/>
              </w:rPr>
              <w:t>Z-score</w:t>
            </w:r>
          </w:p>
        </w:tc>
        <w:tc>
          <w:tcPr>
            <w:tcW w:w="1080" w:type="dxa"/>
            <w:tcBorders>
              <w:top w:val="single" w:sz="4" w:space="0" w:color="auto"/>
              <w:left w:val="nil"/>
              <w:bottom w:val="single" w:sz="6" w:space="0" w:color="auto"/>
              <w:right w:val="nil"/>
            </w:tcBorders>
          </w:tcPr>
          <w:p w14:paraId="3CB63ADB" w14:textId="791832E7" w:rsidR="006323CB" w:rsidRPr="00D01B7A" w:rsidRDefault="00EA4C3E" w:rsidP="00EA4C3E">
            <w:pPr>
              <w:widowControl w:val="0"/>
              <w:autoSpaceDE w:val="0"/>
              <w:autoSpaceDN w:val="0"/>
              <w:adjustRightInd w:val="0"/>
              <w:spacing w:after="0" w:line="240" w:lineRule="auto"/>
              <w:jc w:val="right"/>
              <w:rPr>
                <w:rFonts w:ascii="Arial" w:hAnsi="Arial" w:cs="Arial"/>
              </w:rPr>
            </w:pPr>
            <w:r w:rsidRPr="00D01B7A">
              <w:rPr>
                <w:rFonts w:ascii="Arial" w:hAnsi="Arial" w:cs="Arial"/>
              </w:rPr>
              <w:t>RWC</w:t>
            </w:r>
          </w:p>
        </w:tc>
        <w:tc>
          <w:tcPr>
            <w:tcW w:w="990" w:type="dxa"/>
            <w:tcBorders>
              <w:top w:val="single" w:sz="4" w:space="0" w:color="auto"/>
              <w:left w:val="nil"/>
              <w:bottom w:val="single" w:sz="6" w:space="0" w:color="auto"/>
              <w:right w:val="nil"/>
            </w:tcBorders>
          </w:tcPr>
          <w:p w14:paraId="35FCB23D" w14:textId="77777777" w:rsidR="006323CB" w:rsidRPr="00D01B7A" w:rsidRDefault="006323CB" w:rsidP="00AF5AC8">
            <w:pPr>
              <w:widowControl w:val="0"/>
              <w:autoSpaceDE w:val="0"/>
              <w:autoSpaceDN w:val="0"/>
              <w:adjustRightInd w:val="0"/>
              <w:spacing w:after="0" w:line="240" w:lineRule="auto"/>
              <w:jc w:val="right"/>
              <w:rPr>
                <w:rFonts w:ascii="Arial" w:hAnsi="Arial" w:cs="Arial"/>
              </w:rPr>
            </w:pPr>
            <w:r w:rsidRPr="00D01B7A">
              <w:rPr>
                <w:rFonts w:ascii="Arial" w:hAnsi="Arial" w:cs="Arial"/>
              </w:rPr>
              <w:t>LDR</w:t>
            </w:r>
          </w:p>
        </w:tc>
        <w:tc>
          <w:tcPr>
            <w:tcW w:w="990" w:type="dxa"/>
            <w:tcBorders>
              <w:top w:val="single" w:sz="4" w:space="0" w:color="auto"/>
              <w:left w:val="nil"/>
              <w:bottom w:val="single" w:sz="6" w:space="0" w:color="auto"/>
              <w:right w:val="nil"/>
            </w:tcBorders>
          </w:tcPr>
          <w:p w14:paraId="3A4E8E00" w14:textId="77777777" w:rsidR="006323CB" w:rsidRPr="00D01B7A" w:rsidRDefault="006323CB" w:rsidP="00AF5AC8">
            <w:pPr>
              <w:widowControl w:val="0"/>
              <w:autoSpaceDE w:val="0"/>
              <w:autoSpaceDN w:val="0"/>
              <w:adjustRightInd w:val="0"/>
              <w:spacing w:after="0" w:line="240" w:lineRule="auto"/>
              <w:jc w:val="right"/>
              <w:rPr>
                <w:rFonts w:ascii="Arial" w:hAnsi="Arial" w:cs="Arial"/>
              </w:rPr>
            </w:pPr>
            <w:r w:rsidRPr="00D01B7A">
              <w:rPr>
                <w:rFonts w:ascii="Arial" w:hAnsi="Arial" w:cs="Arial"/>
              </w:rPr>
              <w:t>BSIZE</w:t>
            </w:r>
          </w:p>
        </w:tc>
      </w:tr>
      <w:tr w:rsidR="009D7B7D" w:rsidRPr="00D01B7A" w14:paraId="70BC16CB" w14:textId="77777777" w:rsidTr="009D7B7D">
        <w:tc>
          <w:tcPr>
            <w:tcW w:w="1450" w:type="dxa"/>
            <w:tcBorders>
              <w:top w:val="nil"/>
              <w:left w:val="nil"/>
              <w:bottom w:val="nil"/>
              <w:right w:val="nil"/>
            </w:tcBorders>
          </w:tcPr>
          <w:p w14:paraId="0E2CECD1" w14:textId="77777777" w:rsidR="006323CB" w:rsidRPr="00D01B7A" w:rsidRDefault="006323CB" w:rsidP="00173A63">
            <w:pPr>
              <w:widowControl w:val="0"/>
              <w:autoSpaceDE w:val="0"/>
              <w:autoSpaceDN w:val="0"/>
              <w:adjustRightInd w:val="0"/>
              <w:spacing w:after="0" w:line="240" w:lineRule="auto"/>
              <w:rPr>
                <w:rFonts w:ascii="Arial" w:hAnsi="Arial" w:cs="Arial"/>
              </w:rPr>
            </w:pPr>
            <w:r w:rsidRPr="00D01B7A">
              <w:rPr>
                <w:rFonts w:ascii="Arial" w:hAnsi="Arial" w:cs="Arial"/>
              </w:rPr>
              <w:t>Z-score</w:t>
            </w:r>
          </w:p>
        </w:tc>
        <w:tc>
          <w:tcPr>
            <w:tcW w:w="980" w:type="dxa"/>
            <w:tcBorders>
              <w:top w:val="nil"/>
              <w:left w:val="nil"/>
              <w:bottom w:val="nil"/>
              <w:right w:val="nil"/>
            </w:tcBorders>
          </w:tcPr>
          <w:p w14:paraId="6C85CD63"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-0.197*</w:t>
            </w:r>
          </w:p>
        </w:tc>
        <w:tc>
          <w:tcPr>
            <w:tcW w:w="990" w:type="dxa"/>
            <w:tcBorders>
              <w:top w:val="nil"/>
              <w:left w:val="nil"/>
              <w:bottom w:val="nil"/>
              <w:right w:val="nil"/>
            </w:tcBorders>
          </w:tcPr>
          <w:p w14:paraId="64254965"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1.000</w:t>
            </w:r>
          </w:p>
        </w:tc>
        <w:tc>
          <w:tcPr>
            <w:tcW w:w="1080" w:type="dxa"/>
            <w:tcBorders>
              <w:top w:val="nil"/>
              <w:left w:val="nil"/>
              <w:bottom w:val="nil"/>
              <w:right w:val="nil"/>
            </w:tcBorders>
          </w:tcPr>
          <w:p w14:paraId="057DA068"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990" w:type="dxa"/>
            <w:tcBorders>
              <w:top w:val="nil"/>
              <w:left w:val="nil"/>
              <w:bottom w:val="nil"/>
              <w:right w:val="nil"/>
            </w:tcBorders>
          </w:tcPr>
          <w:p w14:paraId="3F7F5ACC"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990" w:type="dxa"/>
            <w:tcBorders>
              <w:top w:val="nil"/>
              <w:left w:val="nil"/>
              <w:bottom w:val="nil"/>
              <w:right w:val="nil"/>
            </w:tcBorders>
          </w:tcPr>
          <w:p w14:paraId="13CB139C"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r>
      <w:tr w:rsidR="009D7B7D" w:rsidRPr="00D01B7A" w14:paraId="2208B05B" w14:textId="77777777" w:rsidTr="009D7B7D">
        <w:tc>
          <w:tcPr>
            <w:tcW w:w="1450" w:type="dxa"/>
            <w:tcBorders>
              <w:top w:val="nil"/>
              <w:left w:val="nil"/>
              <w:bottom w:val="nil"/>
              <w:right w:val="nil"/>
            </w:tcBorders>
          </w:tcPr>
          <w:p w14:paraId="7AC362C1" w14:textId="77777777" w:rsidR="006323CB" w:rsidRPr="00D01B7A" w:rsidRDefault="006323CB" w:rsidP="00173A63">
            <w:pPr>
              <w:widowControl w:val="0"/>
              <w:autoSpaceDE w:val="0"/>
              <w:autoSpaceDN w:val="0"/>
              <w:adjustRightInd w:val="0"/>
              <w:spacing w:after="0" w:line="240" w:lineRule="auto"/>
              <w:rPr>
                <w:rFonts w:ascii="Arial" w:hAnsi="Arial" w:cs="Arial"/>
              </w:rPr>
            </w:pPr>
          </w:p>
        </w:tc>
        <w:tc>
          <w:tcPr>
            <w:tcW w:w="980" w:type="dxa"/>
            <w:tcBorders>
              <w:top w:val="nil"/>
              <w:left w:val="nil"/>
              <w:bottom w:val="nil"/>
              <w:right w:val="nil"/>
            </w:tcBorders>
          </w:tcPr>
          <w:p w14:paraId="34B06D71"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(0.013)</w:t>
            </w:r>
          </w:p>
        </w:tc>
        <w:tc>
          <w:tcPr>
            <w:tcW w:w="990" w:type="dxa"/>
            <w:tcBorders>
              <w:top w:val="nil"/>
              <w:left w:val="nil"/>
              <w:bottom w:val="nil"/>
              <w:right w:val="nil"/>
            </w:tcBorders>
          </w:tcPr>
          <w:p w14:paraId="6F634E1B"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1080" w:type="dxa"/>
            <w:tcBorders>
              <w:top w:val="nil"/>
              <w:left w:val="nil"/>
              <w:bottom w:val="nil"/>
              <w:right w:val="nil"/>
            </w:tcBorders>
          </w:tcPr>
          <w:p w14:paraId="4FB85BA4"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990" w:type="dxa"/>
            <w:tcBorders>
              <w:top w:val="nil"/>
              <w:left w:val="nil"/>
              <w:bottom w:val="nil"/>
              <w:right w:val="nil"/>
            </w:tcBorders>
          </w:tcPr>
          <w:p w14:paraId="6EA089E7"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990" w:type="dxa"/>
            <w:tcBorders>
              <w:top w:val="nil"/>
              <w:left w:val="nil"/>
              <w:bottom w:val="nil"/>
              <w:right w:val="nil"/>
            </w:tcBorders>
          </w:tcPr>
          <w:p w14:paraId="1FD74F44"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r>
      <w:tr w:rsidR="009D7B7D" w:rsidRPr="00D01B7A" w14:paraId="44DEBC58" w14:textId="77777777" w:rsidTr="009D7B7D">
        <w:tc>
          <w:tcPr>
            <w:tcW w:w="1450" w:type="dxa"/>
            <w:tcBorders>
              <w:top w:val="nil"/>
              <w:left w:val="nil"/>
              <w:bottom w:val="nil"/>
              <w:right w:val="nil"/>
            </w:tcBorders>
          </w:tcPr>
          <w:p w14:paraId="426265EE" w14:textId="06F21F88" w:rsidR="006323CB" w:rsidRPr="00D01B7A" w:rsidRDefault="00EA4C3E" w:rsidP="00173A63">
            <w:pPr>
              <w:widowControl w:val="0"/>
              <w:autoSpaceDE w:val="0"/>
              <w:autoSpaceDN w:val="0"/>
              <w:adjustRightInd w:val="0"/>
              <w:spacing w:after="0" w:line="240" w:lineRule="auto"/>
              <w:rPr>
                <w:rFonts w:ascii="Arial" w:hAnsi="Arial" w:cs="Arial"/>
              </w:rPr>
            </w:pPr>
            <w:r w:rsidRPr="00D01B7A">
              <w:rPr>
                <w:rFonts w:ascii="Arial" w:hAnsi="Arial" w:cs="Arial"/>
              </w:rPr>
              <w:t>RW</w:t>
            </w:r>
            <w:r w:rsidR="006323CB" w:rsidRPr="00D01B7A">
              <w:rPr>
                <w:rFonts w:ascii="Arial" w:hAnsi="Arial" w:cs="Arial"/>
              </w:rPr>
              <w:t>C</w:t>
            </w:r>
          </w:p>
        </w:tc>
        <w:tc>
          <w:tcPr>
            <w:tcW w:w="980" w:type="dxa"/>
            <w:tcBorders>
              <w:top w:val="nil"/>
              <w:left w:val="nil"/>
              <w:bottom w:val="nil"/>
              <w:right w:val="nil"/>
            </w:tcBorders>
          </w:tcPr>
          <w:p w14:paraId="53ED3141"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-0.490*</w:t>
            </w:r>
          </w:p>
        </w:tc>
        <w:tc>
          <w:tcPr>
            <w:tcW w:w="990" w:type="dxa"/>
            <w:tcBorders>
              <w:top w:val="nil"/>
              <w:left w:val="nil"/>
              <w:bottom w:val="nil"/>
              <w:right w:val="nil"/>
            </w:tcBorders>
          </w:tcPr>
          <w:p w14:paraId="4D8763A1" w14:textId="77777777" w:rsidR="006323CB" w:rsidRPr="00D01B7A" w:rsidRDefault="006323CB" w:rsidP="00173A63">
            <w:pPr>
              <w:widowControl w:val="0"/>
              <w:autoSpaceDE w:val="0"/>
              <w:autoSpaceDN w:val="0"/>
              <w:adjustRightInd w:val="0"/>
              <w:spacing w:after="0" w:line="240" w:lineRule="auto"/>
              <w:jc w:val="center"/>
              <w:rPr>
                <w:rFonts w:ascii="Arial" w:hAnsi="Arial" w:cs="Arial"/>
              </w:rPr>
            </w:pPr>
            <w:r w:rsidRPr="00D01B7A">
              <w:rPr>
                <w:rFonts w:ascii="Arial" w:hAnsi="Arial" w:cs="Arial"/>
              </w:rPr>
              <w:t>0.071</w:t>
            </w:r>
          </w:p>
        </w:tc>
        <w:tc>
          <w:tcPr>
            <w:tcW w:w="1080" w:type="dxa"/>
            <w:tcBorders>
              <w:top w:val="nil"/>
              <w:left w:val="nil"/>
              <w:bottom w:val="nil"/>
              <w:right w:val="nil"/>
            </w:tcBorders>
          </w:tcPr>
          <w:p w14:paraId="5E05E93C"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1.000</w:t>
            </w:r>
          </w:p>
        </w:tc>
        <w:tc>
          <w:tcPr>
            <w:tcW w:w="990" w:type="dxa"/>
            <w:tcBorders>
              <w:top w:val="nil"/>
              <w:left w:val="nil"/>
              <w:bottom w:val="nil"/>
              <w:right w:val="nil"/>
            </w:tcBorders>
          </w:tcPr>
          <w:p w14:paraId="23D18328"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990" w:type="dxa"/>
            <w:tcBorders>
              <w:top w:val="nil"/>
              <w:left w:val="nil"/>
              <w:bottom w:val="nil"/>
              <w:right w:val="nil"/>
            </w:tcBorders>
          </w:tcPr>
          <w:p w14:paraId="37A15FA3"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r>
      <w:tr w:rsidR="009D7B7D" w:rsidRPr="00D01B7A" w14:paraId="5D5C75A0" w14:textId="77777777" w:rsidTr="009D7B7D">
        <w:tc>
          <w:tcPr>
            <w:tcW w:w="1450" w:type="dxa"/>
            <w:tcBorders>
              <w:top w:val="nil"/>
              <w:left w:val="nil"/>
              <w:bottom w:val="nil"/>
              <w:right w:val="nil"/>
            </w:tcBorders>
          </w:tcPr>
          <w:p w14:paraId="2FEC446D" w14:textId="77777777" w:rsidR="006323CB" w:rsidRPr="00D01B7A" w:rsidRDefault="006323CB" w:rsidP="00173A63">
            <w:pPr>
              <w:widowControl w:val="0"/>
              <w:autoSpaceDE w:val="0"/>
              <w:autoSpaceDN w:val="0"/>
              <w:adjustRightInd w:val="0"/>
              <w:spacing w:after="0" w:line="240" w:lineRule="auto"/>
              <w:rPr>
                <w:rFonts w:ascii="Arial" w:hAnsi="Arial" w:cs="Arial"/>
              </w:rPr>
            </w:pPr>
          </w:p>
        </w:tc>
        <w:tc>
          <w:tcPr>
            <w:tcW w:w="980" w:type="dxa"/>
            <w:tcBorders>
              <w:top w:val="nil"/>
              <w:left w:val="nil"/>
              <w:bottom w:val="nil"/>
              <w:right w:val="nil"/>
            </w:tcBorders>
          </w:tcPr>
          <w:p w14:paraId="1609D5E1"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(0.000)</w:t>
            </w:r>
          </w:p>
        </w:tc>
        <w:tc>
          <w:tcPr>
            <w:tcW w:w="990" w:type="dxa"/>
            <w:tcBorders>
              <w:top w:val="nil"/>
              <w:left w:val="nil"/>
              <w:bottom w:val="nil"/>
              <w:right w:val="nil"/>
            </w:tcBorders>
          </w:tcPr>
          <w:p w14:paraId="125EC8C5"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(0.372)</w:t>
            </w:r>
          </w:p>
        </w:tc>
        <w:tc>
          <w:tcPr>
            <w:tcW w:w="1080" w:type="dxa"/>
            <w:tcBorders>
              <w:top w:val="nil"/>
              <w:left w:val="nil"/>
              <w:bottom w:val="nil"/>
              <w:right w:val="nil"/>
            </w:tcBorders>
          </w:tcPr>
          <w:p w14:paraId="5948F19A"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990" w:type="dxa"/>
            <w:tcBorders>
              <w:top w:val="nil"/>
              <w:left w:val="nil"/>
              <w:bottom w:val="nil"/>
              <w:right w:val="nil"/>
            </w:tcBorders>
          </w:tcPr>
          <w:p w14:paraId="5E697816"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990" w:type="dxa"/>
            <w:tcBorders>
              <w:top w:val="nil"/>
              <w:left w:val="nil"/>
              <w:bottom w:val="nil"/>
              <w:right w:val="nil"/>
            </w:tcBorders>
          </w:tcPr>
          <w:p w14:paraId="0F30C75A"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r>
      <w:tr w:rsidR="009D7B7D" w:rsidRPr="00D01B7A" w14:paraId="7C00DFB4" w14:textId="77777777" w:rsidTr="009D7B7D">
        <w:tc>
          <w:tcPr>
            <w:tcW w:w="1450" w:type="dxa"/>
            <w:tcBorders>
              <w:top w:val="nil"/>
              <w:left w:val="nil"/>
              <w:bottom w:val="nil"/>
              <w:right w:val="nil"/>
            </w:tcBorders>
          </w:tcPr>
          <w:p w14:paraId="3F19623A" w14:textId="77777777" w:rsidR="006323CB" w:rsidRPr="00D01B7A" w:rsidRDefault="006323CB" w:rsidP="00173A63">
            <w:pPr>
              <w:widowControl w:val="0"/>
              <w:autoSpaceDE w:val="0"/>
              <w:autoSpaceDN w:val="0"/>
              <w:adjustRightInd w:val="0"/>
              <w:spacing w:after="0" w:line="240" w:lineRule="auto"/>
              <w:rPr>
                <w:rFonts w:ascii="Arial" w:hAnsi="Arial" w:cs="Arial"/>
              </w:rPr>
            </w:pPr>
            <w:r w:rsidRPr="00D01B7A">
              <w:rPr>
                <w:rFonts w:ascii="Arial" w:hAnsi="Arial" w:cs="Arial"/>
              </w:rPr>
              <w:t>LDR</w:t>
            </w:r>
          </w:p>
        </w:tc>
        <w:tc>
          <w:tcPr>
            <w:tcW w:w="980" w:type="dxa"/>
            <w:tcBorders>
              <w:top w:val="nil"/>
              <w:left w:val="nil"/>
              <w:bottom w:val="nil"/>
              <w:right w:val="nil"/>
            </w:tcBorders>
          </w:tcPr>
          <w:p w14:paraId="4BDA2283"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-0.116</w:t>
            </w:r>
          </w:p>
        </w:tc>
        <w:tc>
          <w:tcPr>
            <w:tcW w:w="990" w:type="dxa"/>
            <w:tcBorders>
              <w:top w:val="nil"/>
              <w:left w:val="nil"/>
              <w:bottom w:val="nil"/>
              <w:right w:val="nil"/>
            </w:tcBorders>
          </w:tcPr>
          <w:p w14:paraId="0A6AD475"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0.236*</w:t>
            </w:r>
          </w:p>
        </w:tc>
        <w:tc>
          <w:tcPr>
            <w:tcW w:w="1080" w:type="dxa"/>
            <w:tcBorders>
              <w:top w:val="nil"/>
              <w:left w:val="nil"/>
              <w:bottom w:val="nil"/>
              <w:right w:val="nil"/>
            </w:tcBorders>
          </w:tcPr>
          <w:p w14:paraId="3F655050"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-0.087</w:t>
            </w:r>
          </w:p>
        </w:tc>
        <w:tc>
          <w:tcPr>
            <w:tcW w:w="990" w:type="dxa"/>
            <w:tcBorders>
              <w:top w:val="nil"/>
              <w:left w:val="nil"/>
              <w:bottom w:val="nil"/>
              <w:right w:val="nil"/>
            </w:tcBorders>
          </w:tcPr>
          <w:p w14:paraId="2CC6F5AA"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1.000</w:t>
            </w:r>
          </w:p>
        </w:tc>
        <w:tc>
          <w:tcPr>
            <w:tcW w:w="990" w:type="dxa"/>
            <w:tcBorders>
              <w:top w:val="nil"/>
              <w:left w:val="nil"/>
              <w:bottom w:val="nil"/>
              <w:right w:val="nil"/>
            </w:tcBorders>
          </w:tcPr>
          <w:p w14:paraId="67CB441C"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r>
      <w:tr w:rsidR="009D7B7D" w:rsidRPr="00D01B7A" w14:paraId="0D0DD809" w14:textId="77777777" w:rsidTr="009D7B7D">
        <w:tc>
          <w:tcPr>
            <w:tcW w:w="1450" w:type="dxa"/>
            <w:tcBorders>
              <w:top w:val="nil"/>
              <w:left w:val="nil"/>
              <w:right w:val="nil"/>
            </w:tcBorders>
          </w:tcPr>
          <w:p w14:paraId="4892EE0F" w14:textId="77777777" w:rsidR="006323CB" w:rsidRPr="00D01B7A" w:rsidRDefault="006323CB" w:rsidP="00173A63">
            <w:pPr>
              <w:widowControl w:val="0"/>
              <w:autoSpaceDE w:val="0"/>
              <w:autoSpaceDN w:val="0"/>
              <w:adjustRightInd w:val="0"/>
              <w:spacing w:after="0" w:line="240" w:lineRule="auto"/>
              <w:rPr>
                <w:rFonts w:ascii="Arial" w:hAnsi="Arial" w:cs="Arial"/>
              </w:rPr>
            </w:pPr>
          </w:p>
        </w:tc>
        <w:tc>
          <w:tcPr>
            <w:tcW w:w="980" w:type="dxa"/>
            <w:tcBorders>
              <w:top w:val="nil"/>
              <w:left w:val="nil"/>
              <w:right w:val="nil"/>
            </w:tcBorders>
          </w:tcPr>
          <w:p w14:paraId="47C37E0E"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(0.135)</w:t>
            </w:r>
          </w:p>
        </w:tc>
        <w:tc>
          <w:tcPr>
            <w:tcW w:w="990" w:type="dxa"/>
            <w:tcBorders>
              <w:top w:val="nil"/>
              <w:left w:val="nil"/>
              <w:right w:val="nil"/>
            </w:tcBorders>
          </w:tcPr>
          <w:p w14:paraId="31C7B94D"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(0.002)</w:t>
            </w:r>
          </w:p>
        </w:tc>
        <w:tc>
          <w:tcPr>
            <w:tcW w:w="1080" w:type="dxa"/>
            <w:tcBorders>
              <w:top w:val="nil"/>
              <w:left w:val="nil"/>
              <w:right w:val="nil"/>
            </w:tcBorders>
          </w:tcPr>
          <w:p w14:paraId="561C8D1F"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(0.262)</w:t>
            </w:r>
          </w:p>
        </w:tc>
        <w:tc>
          <w:tcPr>
            <w:tcW w:w="990" w:type="dxa"/>
            <w:tcBorders>
              <w:top w:val="nil"/>
              <w:left w:val="nil"/>
              <w:right w:val="nil"/>
            </w:tcBorders>
          </w:tcPr>
          <w:p w14:paraId="205EC969"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c>
          <w:tcPr>
            <w:tcW w:w="990" w:type="dxa"/>
            <w:tcBorders>
              <w:top w:val="nil"/>
              <w:left w:val="nil"/>
              <w:right w:val="nil"/>
            </w:tcBorders>
          </w:tcPr>
          <w:p w14:paraId="6F61913E"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r>
      <w:tr w:rsidR="009D7B7D" w:rsidRPr="00D01B7A" w14:paraId="5BA12B31" w14:textId="77777777" w:rsidTr="009D7B7D">
        <w:tc>
          <w:tcPr>
            <w:tcW w:w="1450" w:type="dxa"/>
            <w:tcBorders>
              <w:top w:val="nil"/>
              <w:left w:val="nil"/>
              <w:bottom w:val="nil"/>
              <w:right w:val="nil"/>
            </w:tcBorders>
          </w:tcPr>
          <w:p w14:paraId="672582F2" w14:textId="77777777" w:rsidR="006323CB" w:rsidRPr="00D01B7A" w:rsidRDefault="006323CB" w:rsidP="00173A63">
            <w:pPr>
              <w:widowControl w:val="0"/>
              <w:autoSpaceDE w:val="0"/>
              <w:autoSpaceDN w:val="0"/>
              <w:adjustRightInd w:val="0"/>
              <w:spacing w:after="0" w:line="240" w:lineRule="auto"/>
              <w:rPr>
                <w:rFonts w:ascii="Arial" w:hAnsi="Arial" w:cs="Arial"/>
              </w:rPr>
            </w:pPr>
            <w:r w:rsidRPr="00D01B7A">
              <w:rPr>
                <w:rFonts w:ascii="Arial" w:hAnsi="Arial" w:cs="Arial"/>
              </w:rPr>
              <w:t>BSIZE</w:t>
            </w:r>
          </w:p>
        </w:tc>
        <w:tc>
          <w:tcPr>
            <w:tcW w:w="980" w:type="dxa"/>
            <w:tcBorders>
              <w:top w:val="nil"/>
              <w:left w:val="nil"/>
              <w:bottom w:val="nil"/>
              <w:right w:val="nil"/>
            </w:tcBorders>
          </w:tcPr>
          <w:p w14:paraId="251D682A"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-0.251*</w:t>
            </w:r>
          </w:p>
        </w:tc>
        <w:tc>
          <w:tcPr>
            <w:tcW w:w="990" w:type="dxa"/>
            <w:tcBorders>
              <w:top w:val="nil"/>
              <w:left w:val="nil"/>
              <w:bottom w:val="nil"/>
              <w:right w:val="nil"/>
            </w:tcBorders>
          </w:tcPr>
          <w:p w14:paraId="7431DC76"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0.281*</w:t>
            </w:r>
          </w:p>
        </w:tc>
        <w:tc>
          <w:tcPr>
            <w:tcW w:w="1080" w:type="dxa"/>
            <w:tcBorders>
              <w:top w:val="nil"/>
              <w:left w:val="nil"/>
              <w:bottom w:val="nil"/>
              <w:right w:val="nil"/>
            </w:tcBorders>
          </w:tcPr>
          <w:p w14:paraId="37E38677"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-0.174*</w:t>
            </w:r>
          </w:p>
        </w:tc>
        <w:tc>
          <w:tcPr>
            <w:tcW w:w="990" w:type="dxa"/>
            <w:tcBorders>
              <w:top w:val="nil"/>
              <w:left w:val="nil"/>
              <w:bottom w:val="nil"/>
              <w:right w:val="nil"/>
            </w:tcBorders>
          </w:tcPr>
          <w:p w14:paraId="2EAA56C7"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-0.059</w:t>
            </w:r>
          </w:p>
        </w:tc>
        <w:tc>
          <w:tcPr>
            <w:tcW w:w="990" w:type="dxa"/>
            <w:tcBorders>
              <w:top w:val="nil"/>
              <w:left w:val="nil"/>
              <w:bottom w:val="nil"/>
              <w:right w:val="nil"/>
            </w:tcBorders>
          </w:tcPr>
          <w:p w14:paraId="57CFD813"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1.000</w:t>
            </w:r>
          </w:p>
        </w:tc>
      </w:tr>
      <w:tr w:rsidR="009D7B7D" w:rsidRPr="00D01B7A" w14:paraId="3055BEAE" w14:textId="77777777" w:rsidTr="009D7B7D">
        <w:tc>
          <w:tcPr>
            <w:tcW w:w="1450" w:type="dxa"/>
            <w:tcBorders>
              <w:top w:val="nil"/>
              <w:left w:val="nil"/>
              <w:bottom w:val="single" w:sz="4" w:space="0" w:color="auto"/>
              <w:right w:val="nil"/>
            </w:tcBorders>
          </w:tcPr>
          <w:p w14:paraId="5102CBEB" w14:textId="77777777" w:rsidR="006323CB" w:rsidRPr="00D01B7A" w:rsidRDefault="006323CB" w:rsidP="00173A63">
            <w:pPr>
              <w:widowControl w:val="0"/>
              <w:autoSpaceDE w:val="0"/>
              <w:autoSpaceDN w:val="0"/>
              <w:adjustRightInd w:val="0"/>
              <w:spacing w:after="0" w:line="240" w:lineRule="auto"/>
              <w:rPr>
                <w:rFonts w:ascii="Arial" w:hAnsi="Arial" w:cs="Arial"/>
              </w:rPr>
            </w:pPr>
          </w:p>
        </w:tc>
        <w:tc>
          <w:tcPr>
            <w:tcW w:w="980" w:type="dxa"/>
            <w:tcBorders>
              <w:top w:val="nil"/>
              <w:left w:val="nil"/>
              <w:bottom w:val="single" w:sz="4" w:space="0" w:color="auto"/>
              <w:right w:val="nil"/>
            </w:tcBorders>
          </w:tcPr>
          <w:p w14:paraId="7355DD65"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(0.001)</w:t>
            </w:r>
          </w:p>
        </w:tc>
        <w:tc>
          <w:tcPr>
            <w:tcW w:w="990" w:type="dxa"/>
            <w:tcBorders>
              <w:top w:val="nil"/>
              <w:left w:val="nil"/>
              <w:bottom w:val="single" w:sz="4" w:space="0" w:color="auto"/>
              <w:right w:val="nil"/>
            </w:tcBorders>
          </w:tcPr>
          <w:p w14:paraId="401B6287"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(0.000)</w:t>
            </w:r>
          </w:p>
        </w:tc>
        <w:tc>
          <w:tcPr>
            <w:tcW w:w="1080" w:type="dxa"/>
            <w:tcBorders>
              <w:top w:val="nil"/>
              <w:left w:val="nil"/>
              <w:bottom w:val="single" w:sz="4" w:space="0" w:color="auto"/>
              <w:right w:val="nil"/>
            </w:tcBorders>
          </w:tcPr>
          <w:p w14:paraId="759FB22D"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(0.024)</w:t>
            </w:r>
          </w:p>
        </w:tc>
        <w:tc>
          <w:tcPr>
            <w:tcW w:w="990" w:type="dxa"/>
            <w:tcBorders>
              <w:top w:val="nil"/>
              <w:left w:val="nil"/>
              <w:bottom w:val="single" w:sz="4" w:space="0" w:color="auto"/>
              <w:right w:val="nil"/>
            </w:tcBorders>
          </w:tcPr>
          <w:p w14:paraId="0A836016"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r w:rsidRPr="00D01B7A">
              <w:rPr>
                <w:rFonts w:ascii="Arial" w:hAnsi="Arial" w:cs="Arial"/>
              </w:rPr>
              <w:t>(0.450)</w:t>
            </w:r>
          </w:p>
        </w:tc>
        <w:tc>
          <w:tcPr>
            <w:tcW w:w="990" w:type="dxa"/>
            <w:tcBorders>
              <w:top w:val="nil"/>
              <w:left w:val="nil"/>
              <w:bottom w:val="single" w:sz="4" w:space="0" w:color="auto"/>
              <w:right w:val="nil"/>
            </w:tcBorders>
          </w:tcPr>
          <w:p w14:paraId="6D09E9A8" w14:textId="77777777" w:rsidR="006323CB" w:rsidRPr="00D01B7A" w:rsidRDefault="006323CB" w:rsidP="00173A63">
            <w:pPr>
              <w:widowControl w:val="0"/>
              <w:autoSpaceDE w:val="0"/>
              <w:autoSpaceDN w:val="0"/>
              <w:adjustRightInd w:val="0"/>
              <w:spacing w:after="0" w:line="240" w:lineRule="auto"/>
              <w:jc w:val="right"/>
              <w:rPr>
                <w:rFonts w:ascii="Arial" w:hAnsi="Arial" w:cs="Arial"/>
              </w:rPr>
            </w:pPr>
          </w:p>
        </w:tc>
      </w:tr>
    </w:tbl>
    <w:p w14:paraId="4B70235B" w14:textId="77777777" w:rsidR="000039BF" w:rsidRPr="00D01B7A" w:rsidRDefault="000039BF" w:rsidP="000039BF">
      <w:pPr>
        <w:spacing w:after="0" w:line="278" w:lineRule="auto"/>
        <w:rPr>
          <w:rFonts w:ascii="Arial" w:hAnsi="Arial" w:cs="Arial"/>
          <w:i/>
          <w:iCs/>
        </w:rPr>
      </w:pPr>
      <w:r w:rsidRPr="00D01B7A">
        <w:rPr>
          <w:rFonts w:ascii="Arial" w:hAnsi="Arial" w:cs="Arial"/>
          <w:i/>
          <w:iCs/>
        </w:rPr>
        <w:t>Source: Author’s computation</w:t>
      </w:r>
    </w:p>
    <w:p w14:paraId="681822C7" w14:textId="19ED4F86" w:rsidR="00D17AFA" w:rsidRPr="00D01B7A" w:rsidRDefault="006323CB" w:rsidP="00AF5AC8">
      <w:pPr>
        <w:spacing w:after="0" w:line="278" w:lineRule="auto"/>
        <w:jc w:val="center"/>
        <w:rPr>
          <w:rFonts w:ascii="Arial" w:hAnsi="Arial" w:cs="Arial"/>
          <w:i/>
          <w:iCs/>
        </w:rPr>
      </w:pPr>
      <w:r w:rsidRPr="00D01B7A">
        <w:rPr>
          <w:rFonts w:ascii="Arial" w:hAnsi="Arial" w:cs="Arial"/>
          <w:i/>
          <w:iCs/>
        </w:rPr>
        <w:t xml:space="preserve">* shows significance at p&lt;.05. ROA – Return on </w:t>
      </w:r>
      <w:r w:rsidR="00EA4C3E" w:rsidRPr="00D01B7A">
        <w:rPr>
          <w:rFonts w:ascii="Arial" w:hAnsi="Arial" w:cs="Arial"/>
          <w:i/>
          <w:iCs/>
        </w:rPr>
        <w:t>Asset, z-score – Credit Risk, RW</w:t>
      </w:r>
      <w:r w:rsidRPr="00D01B7A">
        <w:rPr>
          <w:rFonts w:ascii="Arial" w:hAnsi="Arial" w:cs="Arial"/>
          <w:i/>
          <w:iCs/>
        </w:rPr>
        <w:t>C - Risk-</w:t>
      </w:r>
      <w:r w:rsidR="00EA4C3E" w:rsidRPr="00D01B7A">
        <w:rPr>
          <w:rFonts w:ascii="Arial" w:hAnsi="Arial" w:cs="Arial"/>
          <w:lang w:val="en-AE"/>
        </w:rPr>
        <w:t xml:space="preserve"> Weighted </w:t>
      </w:r>
      <w:r w:rsidRPr="00D01B7A">
        <w:rPr>
          <w:rFonts w:ascii="Arial" w:hAnsi="Arial" w:cs="Arial"/>
          <w:i/>
          <w:iCs/>
        </w:rPr>
        <w:t>Capital, LDL – Liquidity Deposit Ratio, BSIZE – Bank Size.</w:t>
      </w:r>
    </w:p>
    <w:p w14:paraId="00FB1EB6" w14:textId="77777777" w:rsidR="006323CB" w:rsidRPr="00D01B7A" w:rsidRDefault="00AC0043" w:rsidP="001970FC">
      <w:pPr>
        <w:spacing w:after="0" w:line="360" w:lineRule="auto"/>
        <w:rPr>
          <w:rFonts w:ascii="Arial" w:hAnsi="Arial" w:cs="Arial"/>
          <w:b/>
          <w:bCs/>
        </w:rPr>
      </w:pPr>
      <w:r w:rsidRPr="00D01B7A">
        <w:rPr>
          <w:rFonts w:ascii="Arial" w:hAnsi="Arial" w:cs="Arial"/>
          <w:b/>
          <w:bCs/>
        </w:rPr>
        <w:t xml:space="preserve">4.2 Model estimation </w:t>
      </w:r>
    </w:p>
    <w:p w14:paraId="3CD5ED9B" w14:textId="77777777" w:rsidR="00AC0043" w:rsidRPr="00D01B7A" w:rsidRDefault="006323CB" w:rsidP="001970FC">
      <w:pPr>
        <w:spacing w:after="0" w:line="360" w:lineRule="auto"/>
        <w:rPr>
          <w:rFonts w:ascii="Arial" w:hAnsi="Arial" w:cs="Arial"/>
          <w:b/>
          <w:bCs/>
        </w:rPr>
      </w:pPr>
      <w:r w:rsidRPr="00D01B7A">
        <w:rPr>
          <w:rFonts w:ascii="Arial" w:hAnsi="Arial" w:cs="Arial"/>
          <w:b/>
          <w:bCs/>
        </w:rPr>
        <w:t xml:space="preserve">4.2.1 </w:t>
      </w:r>
      <w:r w:rsidR="00AC0043" w:rsidRPr="00D01B7A">
        <w:rPr>
          <w:rFonts w:ascii="Arial" w:hAnsi="Arial" w:cs="Arial"/>
          <w:b/>
          <w:bCs/>
        </w:rPr>
        <w:t>Pre-estimation tests</w:t>
      </w:r>
    </w:p>
    <w:p w14:paraId="57ABB83C" w14:textId="412519DE" w:rsidR="00D17AFA" w:rsidRPr="00D01B7A" w:rsidRDefault="004668B5" w:rsidP="001970FC">
      <w:pPr>
        <w:spacing w:after="120" w:line="360" w:lineRule="auto"/>
        <w:jc w:val="both"/>
        <w:rPr>
          <w:rFonts w:ascii="Arial" w:hAnsi="Arial" w:cs="Arial"/>
        </w:rPr>
      </w:pPr>
      <w:r w:rsidRPr="004668B5">
        <w:rPr>
          <w:rFonts w:ascii="Arial" w:eastAsia="Times New Roman" w:hAnsi="Arial" w:cs="Arial"/>
        </w:rPr>
        <w:t xml:space="preserve">As explained in the method of estimation, this section presents the pre-estimation analysis to determine whether the PCSE is the appropriate and valid approach. To begin with, this study </w:t>
      </w:r>
      <w:r w:rsidRPr="004668B5">
        <w:rPr>
          <w:rFonts w:ascii="Arial" w:eastAsia="Times New Roman" w:hAnsi="Arial" w:cs="Arial"/>
        </w:rPr>
        <w:lastRenderedPageBreak/>
        <w:t>employed the Pesaran CD test to examine the presence of cross-sectional dependence (CD) in the panel. The results in Table 4 show that all variables, including ROA, Z-score, bank size, and LDR, indicate a statistically significant correlation across the panel (p &lt; .001). The widespread presence of CD among core variables justifies the need for estimators that are robust to such dependence. Given this result, second-generation panel unit root tests were used to check the stationarity of the variables. The test results in Table 5 indicate that all variables are stationary at levels (p &lt; .05), suggesting that the data series are mean-reverting and do not require differencing, which retains long-run information in the panel. Finally, with stationarity established, a Westerlund</w:t>
      </w:r>
      <w:r w:rsidR="00DD7A36" w:rsidRPr="00D01B7A">
        <w:rPr>
          <w:rFonts w:ascii="Arial" w:eastAsia="Times New Roman" w:hAnsi="Arial" w:cs="Arial"/>
        </w:rPr>
        <w:t>’s</w:t>
      </w:r>
      <w:r w:rsidRPr="004668B5">
        <w:rPr>
          <w:rFonts w:ascii="Arial" w:eastAsia="Times New Roman" w:hAnsi="Arial" w:cs="Arial"/>
        </w:rPr>
        <w:t xml:space="preserve"> cointegration test was performed to determine whether a long-run equilibrium relationship exists among the variables in the model. As reported in Table 6, the test was significant (variance ratio statistic = 2.65, p&lt;0.05), thus providing strong evidence in favor of panel cointegration. This implies that although individual series may fluctuate over time, there is a stable long-run association between the explanatory variables and bank performance. Given these diagnostic outcomes, particularly the presence of CD, stationarity at the level, and evidence of cointegration, the Panel-Corrected Standard Error (PCSE) estimator emerges as a fitting modeling approach. With PCSE, the analysis automatically accounts for long-run relationships without requiring differencing and assumes no autocorrelation or heteroskedasticity in the error terms. Additionally, the PCSE estimator provides more efficient and consistent standard errors compared to traditional fixed effects or random effects models when CD is present, which justifies its use in estimating the parameters of interest</w:t>
      </w:r>
      <w:r w:rsidR="00AB1B79" w:rsidRPr="00D01B7A">
        <w:rPr>
          <w:rFonts w:ascii="Arial" w:hAnsi="Arial" w:cs="Arial"/>
        </w:rPr>
        <w:t>.</w:t>
      </w:r>
    </w:p>
    <w:p w14:paraId="475E4193" w14:textId="77777777" w:rsidR="00DD7A36" w:rsidRPr="00D01B7A" w:rsidRDefault="00DD7A36" w:rsidP="001970FC">
      <w:pPr>
        <w:spacing w:after="120" w:line="360" w:lineRule="auto"/>
        <w:rPr>
          <w:rFonts w:ascii="Arial" w:eastAsia="Times New Roman" w:hAnsi="Arial" w:cs="Arial"/>
        </w:rPr>
      </w:pPr>
    </w:p>
    <w:p w14:paraId="71C7BBC6" w14:textId="77777777" w:rsidR="00D8651A" w:rsidRPr="00D01B7A" w:rsidRDefault="00AC0043" w:rsidP="001970FC">
      <w:pPr>
        <w:spacing w:after="0" w:line="276" w:lineRule="auto"/>
        <w:rPr>
          <w:rFonts w:ascii="Arial" w:hAnsi="Arial" w:cs="Arial"/>
          <w:b/>
          <w:bCs/>
        </w:rPr>
      </w:pPr>
      <w:r w:rsidRPr="00D01B7A">
        <w:rPr>
          <w:rFonts w:ascii="Arial" w:hAnsi="Arial" w:cs="Arial"/>
          <w:b/>
          <w:bCs/>
        </w:rPr>
        <w:t xml:space="preserve">Table 4. </w:t>
      </w:r>
    </w:p>
    <w:p w14:paraId="167B7CF0" w14:textId="77777777" w:rsidR="00AC0043" w:rsidRPr="00D01B7A" w:rsidRDefault="00AC0043" w:rsidP="001970FC">
      <w:pPr>
        <w:spacing w:after="0" w:line="276" w:lineRule="auto"/>
        <w:rPr>
          <w:rFonts w:ascii="Arial" w:hAnsi="Arial" w:cs="Arial"/>
          <w:b/>
          <w:bCs/>
        </w:rPr>
      </w:pPr>
      <w:r w:rsidRPr="00D01B7A">
        <w:rPr>
          <w:rFonts w:ascii="Arial" w:hAnsi="Arial" w:cs="Arial"/>
          <w:b/>
          <w:bCs/>
        </w:rPr>
        <w:t>Result of Cross-sectional dependence</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56"/>
        <w:gridCol w:w="1670"/>
      </w:tblGrid>
      <w:tr w:rsidR="00AC0043" w:rsidRPr="00D01B7A" w14:paraId="6CB599BF" w14:textId="77777777" w:rsidTr="00DD5A7B">
        <w:trPr>
          <w:trHeight w:val="249"/>
        </w:trPr>
        <w:tc>
          <w:tcPr>
            <w:tcW w:w="1856" w:type="dxa"/>
            <w:noWrap/>
            <w:vAlign w:val="bottom"/>
            <w:hideMark/>
          </w:tcPr>
          <w:p w14:paraId="1A74CD25" w14:textId="77777777" w:rsidR="00AC0043" w:rsidRPr="00D01B7A" w:rsidRDefault="00AC0043" w:rsidP="001970FC">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Variable</w:t>
            </w:r>
          </w:p>
        </w:tc>
        <w:tc>
          <w:tcPr>
            <w:tcW w:w="1856" w:type="dxa"/>
            <w:noWrap/>
            <w:vAlign w:val="bottom"/>
            <w:hideMark/>
          </w:tcPr>
          <w:p w14:paraId="0DEEC2A3"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CD-test</w:t>
            </w:r>
          </w:p>
        </w:tc>
        <w:tc>
          <w:tcPr>
            <w:tcW w:w="1670" w:type="dxa"/>
            <w:noWrap/>
            <w:vAlign w:val="bottom"/>
            <w:hideMark/>
          </w:tcPr>
          <w:p w14:paraId="1BAD918D"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p-value</w:t>
            </w:r>
          </w:p>
        </w:tc>
      </w:tr>
      <w:tr w:rsidR="00D01B7A" w:rsidRPr="00D01B7A" w14:paraId="7D86AE2B" w14:textId="77777777" w:rsidTr="00DD5A7B">
        <w:trPr>
          <w:trHeight w:val="249"/>
        </w:trPr>
        <w:tc>
          <w:tcPr>
            <w:tcW w:w="1856" w:type="dxa"/>
            <w:noWrap/>
            <w:vAlign w:val="bottom"/>
            <w:hideMark/>
          </w:tcPr>
          <w:p w14:paraId="0DD83830" w14:textId="77777777" w:rsidR="00AC0043" w:rsidRPr="00D01B7A" w:rsidRDefault="00AC0043" w:rsidP="001970FC">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ROA</w:t>
            </w:r>
          </w:p>
        </w:tc>
        <w:tc>
          <w:tcPr>
            <w:tcW w:w="1856" w:type="dxa"/>
            <w:noWrap/>
            <w:vAlign w:val="bottom"/>
            <w:hideMark/>
          </w:tcPr>
          <w:p w14:paraId="3AF05065"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8.953</w:t>
            </w:r>
          </w:p>
        </w:tc>
        <w:tc>
          <w:tcPr>
            <w:tcW w:w="1670" w:type="dxa"/>
            <w:noWrap/>
            <w:vAlign w:val="bottom"/>
            <w:hideMark/>
          </w:tcPr>
          <w:p w14:paraId="30490D0E"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0.000</w:t>
            </w:r>
          </w:p>
        </w:tc>
      </w:tr>
      <w:tr w:rsidR="00D01B7A" w:rsidRPr="00D01B7A" w14:paraId="3D6C4342" w14:textId="77777777" w:rsidTr="00DD5A7B">
        <w:trPr>
          <w:trHeight w:val="249"/>
        </w:trPr>
        <w:tc>
          <w:tcPr>
            <w:tcW w:w="1856" w:type="dxa"/>
            <w:noWrap/>
            <w:vAlign w:val="bottom"/>
            <w:hideMark/>
          </w:tcPr>
          <w:p w14:paraId="32D4B0E4" w14:textId="77777777" w:rsidR="00AC0043" w:rsidRPr="00D01B7A" w:rsidRDefault="00AC0043" w:rsidP="001970FC">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Z-score</w:t>
            </w:r>
          </w:p>
        </w:tc>
        <w:tc>
          <w:tcPr>
            <w:tcW w:w="1856" w:type="dxa"/>
            <w:noWrap/>
            <w:vAlign w:val="bottom"/>
            <w:hideMark/>
          </w:tcPr>
          <w:p w14:paraId="2492EBAE"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7.261</w:t>
            </w:r>
          </w:p>
        </w:tc>
        <w:tc>
          <w:tcPr>
            <w:tcW w:w="1670" w:type="dxa"/>
            <w:noWrap/>
            <w:vAlign w:val="bottom"/>
            <w:hideMark/>
          </w:tcPr>
          <w:p w14:paraId="33682550"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0.000</w:t>
            </w:r>
          </w:p>
        </w:tc>
      </w:tr>
      <w:tr w:rsidR="00D01B7A" w:rsidRPr="00D01B7A" w14:paraId="5417AA5B" w14:textId="77777777" w:rsidTr="00DD5A7B">
        <w:trPr>
          <w:trHeight w:val="249"/>
        </w:trPr>
        <w:tc>
          <w:tcPr>
            <w:tcW w:w="1856" w:type="dxa"/>
            <w:noWrap/>
            <w:vAlign w:val="bottom"/>
            <w:hideMark/>
          </w:tcPr>
          <w:p w14:paraId="7D5D029B" w14:textId="67CFC3A6" w:rsidR="00AC0043" w:rsidRPr="00D01B7A" w:rsidRDefault="00EA4C3E" w:rsidP="001970FC">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RW</w:t>
            </w:r>
            <w:r w:rsidR="00AC0043" w:rsidRPr="00D01B7A">
              <w:rPr>
                <w:rFonts w:ascii="Arial" w:eastAsia="Times New Roman" w:hAnsi="Arial" w:cs="Arial"/>
                <w:lang w:val="en-AE" w:eastAsia="en-AE"/>
              </w:rPr>
              <w:t>C</w:t>
            </w:r>
          </w:p>
        </w:tc>
        <w:tc>
          <w:tcPr>
            <w:tcW w:w="1856" w:type="dxa"/>
            <w:noWrap/>
            <w:vAlign w:val="bottom"/>
            <w:hideMark/>
          </w:tcPr>
          <w:p w14:paraId="7439E705"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1.4</w:t>
            </w:r>
          </w:p>
        </w:tc>
        <w:tc>
          <w:tcPr>
            <w:tcW w:w="1670" w:type="dxa"/>
            <w:noWrap/>
            <w:vAlign w:val="bottom"/>
            <w:hideMark/>
          </w:tcPr>
          <w:p w14:paraId="6C60AE9D"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0.162</w:t>
            </w:r>
          </w:p>
        </w:tc>
      </w:tr>
      <w:tr w:rsidR="00D01B7A" w:rsidRPr="00D01B7A" w14:paraId="4FF1A7B7" w14:textId="77777777" w:rsidTr="00DD5A7B">
        <w:trPr>
          <w:trHeight w:val="249"/>
        </w:trPr>
        <w:tc>
          <w:tcPr>
            <w:tcW w:w="1856" w:type="dxa"/>
            <w:noWrap/>
            <w:vAlign w:val="bottom"/>
            <w:hideMark/>
          </w:tcPr>
          <w:p w14:paraId="2AEF3F80" w14:textId="77777777" w:rsidR="00AC0043" w:rsidRPr="00D01B7A" w:rsidRDefault="00AC0043" w:rsidP="001970FC">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LDR</w:t>
            </w:r>
          </w:p>
        </w:tc>
        <w:tc>
          <w:tcPr>
            <w:tcW w:w="1856" w:type="dxa"/>
            <w:noWrap/>
            <w:vAlign w:val="bottom"/>
            <w:hideMark/>
          </w:tcPr>
          <w:p w14:paraId="3763CE31"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28.144</w:t>
            </w:r>
          </w:p>
        </w:tc>
        <w:tc>
          <w:tcPr>
            <w:tcW w:w="1670" w:type="dxa"/>
            <w:noWrap/>
            <w:vAlign w:val="bottom"/>
            <w:hideMark/>
          </w:tcPr>
          <w:p w14:paraId="0AEA0C97"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0.000</w:t>
            </w:r>
          </w:p>
        </w:tc>
      </w:tr>
      <w:tr w:rsidR="00AC0043" w:rsidRPr="00D01B7A" w14:paraId="5576B7A8" w14:textId="77777777" w:rsidTr="00DD5A7B">
        <w:trPr>
          <w:trHeight w:val="249"/>
        </w:trPr>
        <w:tc>
          <w:tcPr>
            <w:tcW w:w="1856" w:type="dxa"/>
            <w:noWrap/>
            <w:vAlign w:val="bottom"/>
            <w:hideMark/>
          </w:tcPr>
          <w:p w14:paraId="04BBED6D" w14:textId="77777777" w:rsidR="00AC0043" w:rsidRPr="00D01B7A" w:rsidRDefault="00AC0043" w:rsidP="001970FC">
            <w:pPr>
              <w:spacing w:after="0" w:line="276" w:lineRule="auto"/>
              <w:rPr>
                <w:rFonts w:ascii="Arial" w:eastAsia="Times New Roman" w:hAnsi="Arial" w:cs="Arial"/>
                <w:lang w:val="en-AE" w:eastAsia="en-AE"/>
              </w:rPr>
            </w:pPr>
            <w:r w:rsidRPr="00D01B7A">
              <w:rPr>
                <w:rFonts w:ascii="Arial" w:eastAsia="Times New Roman" w:hAnsi="Arial" w:cs="Arial"/>
                <w:lang w:val="en-AE" w:eastAsia="en-AE"/>
              </w:rPr>
              <w:t>BSIZE</w:t>
            </w:r>
          </w:p>
        </w:tc>
        <w:tc>
          <w:tcPr>
            <w:tcW w:w="1856" w:type="dxa"/>
            <w:noWrap/>
            <w:vAlign w:val="bottom"/>
            <w:hideMark/>
          </w:tcPr>
          <w:p w14:paraId="38902F30"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8.342</w:t>
            </w:r>
          </w:p>
        </w:tc>
        <w:tc>
          <w:tcPr>
            <w:tcW w:w="1670" w:type="dxa"/>
            <w:noWrap/>
            <w:vAlign w:val="bottom"/>
            <w:hideMark/>
          </w:tcPr>
          <w:p w14:paraId="0E6F0DF2" w14:textId="77777777" w:rsidR="00AC0043" w:rsidRPr="00D01B7A" w:rsidRDefault="00AC0043" w:rsidP="001970FC">
            <w:pPr>
              <w:spacing w:after="0" w:line="276" w:lineRule="auto"/>
              <w:jc w:val="center"/>
              <w:rPr>
                <w:rFonts w:ascii="Arial" w:eastAsia="Times New Roman" w:hAnsi="Arial" w:cs="Arial"/>
                <w:lang w:val="en-AE" w:eastAsia="en-AE"/>
              </w:rPr>
            </w:pPr>
            <w:r w:rsidRPr="00D01B7A">
              <w:rPr>
                <w:rFonts w:ascii="Arial" w:eastAsia="Times New Roman" w:hAnsi="Arial" w:cs="Arial"/>
                <w:lang w:val="en-AE" w:eastAsia="en-AE"/>
              </w:rPr>
              <w:t>0.000</w:t>
            </w:r>
          </w:p>
        </w:tc>
      </w:tr>
    </w:tbl>
    <w:p w14:paraId="4342E6EF" w14:textId="77777777" w:rsidR="00440F94" w:rsidRPr="00D01B7A" w:rsidRDefault="00440F94" w:rsidP="001970FC">
      <w:pPr>
        <w:spacing w:after="0" w:line="276" w:lineRule="auto"/>
        <w:rPr>
          <w:rFonts w:ascii="Arial" w:hAnsi="Arial" w:cs="Arial"/>
          <w:i/>
          <w:iCs/>
        </w:rPr>
      </w:pPr>
      <w:r w:rsidRPr="00D01B7A">
        <w:rPr>
          <w:rFonts w:ascii="Arial" w:hAnsi="Arial" w:cs="Arial"/>
          <w:i/>
          <w:iCs/>
        </w:rPr>
        <w:t>Source: Author’s computation</w:t>
      </w:r>
    </w:p>
    <w:p w14:paraId="46709175" w14:textId="06067BC6" w:rsidR="00AC0043" w:rsidRPr="00D01B7A" w:rsidRDefault="00AC0043" w:rsidP="006323CB">
      <w:pPr>
        <w:spacing w:line="240" w:lineRule="auto"/>
        <w:jc w:val="center"/>
        <w:rPr>
          <w:rFonts w:ascii="Arial" w:hAnsi="Arial" w:cs="Arial"/>
          <w:i/>
          <w:iCs/>
        </w:rPr>
      </w:pPr>
      <w:r w:rsidRPr="00D01B7A">
        <w:rPr>
          <w:rFonts w:ascii="Arial" w:hAnsi="Arial" w:cs="Arial"/>
          <w:i/>
          <w:iCs/>
        </w:rPr>
        <w:t xml:space="preserve">ROA – Return on </w:t>
      </w:r>
      <w:r w:rsidR="00EA4C3E" w:rsidRPr="00D01B7A">
        <w:rPr>
          <w:rFonts w:ascii="Arial" w:hAnsi="Arial" w:cs="Arial"/>
          <w:i/>
          <w:iCs/>
        </w:rPr>
        <w:t>Asset, z-score – Credit Risk, RW</w:t>
      </w:r>
      <w:r w:rsidRPr="00D01B7A">
        <w:rPr>
          <w:rFonts w:ascii="Arial" w:hAnsi="Arial" w:cs="Arial"/>
          <w:i/>
          <w:iCs/>
        </w:rPr>
        <w:t>C - Risk-</w:t>
      </w:r>
      <w:r w:rsidR="00EA4C3E" w:rsidRPr="00D01B7A">
        <w:rPr>
          <w:rFonts w:ascii="Arial" w:hAnsi="Arial" w:cs="Arial"/>
          <w:lang w:val="en-AE"/>
        </w:rPr>
        <w:t xml:space="preserve"> Weighted </w:t>
      </w:r>
      <w:r w:rsidRPr="00D01B7A">
        <w:rPr>
          <w:rFonts w:ascii="Arial" w:hAnsi="Arial" w:cs="Arial"/>
          <w:i/>
          <w:iCs/>
        </w:rPr>
        <w:t>Capital, LDL – Liquidity Deposit Ratio, BSIZE – Bank Size.</w:t>
      </w:r>
    </w:p>
    <w:p w14:paraId="6788FEC8" w14:textId="77777777" w:rsidR="00D8651A" w:rsidRPr="00D01B7A" w:rsidRDefault="00AC0043" w:rsidP="00B625A8">
      <w:pPr>
        <w:spacing w:after="0" w:line="480" w:lineRule="auto"/>
        <w:rPr>
          <w:rFonts w:ascii="Arial" w:hAnsi="Arial" w:cs="Arial"/>
          <w:b/>
          <w:bCs/>
        </w:rPr>
      </w:pPr>
      <w:r w:rsidRPr="00D01B7A">
        <w:rPr>
          <w:rFonts w:ascii="Arial" w:hAnsi="Arial" w:cs="Arial"/>
          <w:b/>
          <w:bCs/>
        </w:rPr>
        <w:t xml:space="preserve">Table 5. </w:t>
      </w:r>
    </w:p>
    <w:p w14:paraId="0DA3313A" w14:textId="77777777" w:rsidR="00AC0043" w:rsidRPr="00D01B7A" w:rsidRDefault="00AC0043" w:rsidP="00B625A8">
      <w:pPr>
        <w:spacing w:after="0" w:line="480" w:lineRule="auto"/>
        <w:rPr>
          <w:rFonts w:ascii="Arial" w:hAnsi="Arial" w:cs="Arial"/>
          <w:b/>
          <w:bCs/>
        </w:rPr>
      </w:pPr>
      <w:r w:rsidRPr="00D01B7A">
        <w:rPr>
          <w:rFonts w:ascii="Arial" w:hAnsi="Arial" w:cs="Arial"/>
          <w:b/>
          <w:bCs/>
        </w:rPr>
        <w:t xml:space="preserve">Result of Unit </w:t>
      </w:r>
      <w:r w:rsidR="00D8651A" w:rsidRPr="00D01B7A">
        <w:rPr>
          <w:rFonts w:ascii="Arial" w:hAnsi="Arial" w:cs="Arial"/>
          <w:b/>
          <w:bCs/>
        </w:rPr>
        <w:t>Root</w:t>
      </w:r>
      <w:r w:rsidRPr="00D01B7A">
        <w:rPr>
          <w:rFonts w:ascii="Arial" w:hAnsi="Arial" w:cs="Arial"/>
          <w:b/>
          <w:bCs/>
        </w:rPr>
        <w:t xml:space="preserve"> Test</w:t>
      </w:r>
    </w:p>
    <w:tbl>
      <w:tblPr>
        <w:tblW w:w="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06"/>
        <w:gridCol w:w="1606"/>
      </w:tblGrid>
      <w:tr w:rsidR="00AC0043" w:rsidRPr="00D01B7A" w14:paraId="240C0727" w14:textId="77777777" w:rsidTr="00DD5A7B">
        <w:trPr>
          <w:trHeight w:val="229"/>
        </w:trPr>
        <w:tc>
          <w:tcPr>
            <w:tcW w:w="1606" w:type="dxa"/>
            <w:noWrap/>
            <w:vAlign w:val="bottom"/>
            <w:hideMark/>
          </w:tcPr>
          <w:p w14:paraId="48A42721" w14:textId="77777777" w:rsidR="00AC0043" w:rsidRPr="00D01B7A" w:rsidRDefault="00AC0043" w:rsidP="006323CB">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Variable</w:t>
            </w:r>
          </w:p>
        </w:tc>
        <w:tc>
          <w:tcPr>
            <w:tcW w:w="1606" w:type="dxa"/>
            <w:noWrap/>
            <w:vAlign w:val="bottom"/>
            <w:hideMark/>
          </w:tcPr>
          <w:p w14:paraId="5C7E0B82"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Statistic</w:t>
            </w:r>
          </w:p>
        </w:tc>
        <w:tc>
          <w:tcPr>
            <w:tcW w:w="1606" w:type="dxa"/>
            <w:noWrap/>
            <w:vAlign w:val="bottom"/>
            <w:hideMark/>
          </w:tcPr>
          <w:p w14:paraId="6A8C50FE"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p-value</w:t>
            </w:r>
          </w:p>
        </w:tc>
      </w:tr>
      <w:tr w:rsidR="00D01B7A" w:rsidRPr="00D01B7A" w14:paraId="6B326D72" w14:textId="77777777" w:rsidTr="00DD5A7B">
        <w:trPr>
          <w:trHeight w:val="229"/>
        </w:trPr>
        <w:tc>
          <w:tcPr>
            <w:tcW w:w="1606" w:type="dxa"/>
            <w:noWrap/>
            <w:vAlign w:val="bottom"/>
            <w:hideMark/>
          </w:tcPr>
          <w:p w14:paraId="7C7B25B3" w14:textId="77777777" w:rsidR="00AC0043" w:rsidRPr="00D01B7A" w:rsidRDefault="00AC0043" w:rsidP="006323CB">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lastRenderedPageBreak/>
              <w:t>ROA</w:t>
            </w:r>
          </w:p>
        </w:tc>
        <w:tc>
          <w:tcPr>
            <w:tcW w:w="1606" w:type="dxa"/>
            <w:noWrap/>
            <w:vAlign w:val="bottom"/>
            <w:hideMark/>
          </w:tcPr>
          <w:p w14:paraId="1B624F9F"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-3.9170</w:t>
            </w:r>
          </w:p>
        </w:tc>
        <w:tc>
          <w:tcPr>
            <w:tcW w:w="1606" w:type="dxa"/>
            <w:noWrap/>
            <w:vAlign w:val="bottom"/>
            <w:hideMark/>
          </w:tcPr>
          <w:p w14:paraId="25954986"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0.000</w:t>
            </w:r>
          </w:p>
        </w:tc>
      </w:tr>
      <w:tr w:rsidR="00D01B7A" w:rsidRPr="00D01B7A" w14:paraId="71816647" w14:textId="77777777" w:rsidTr="00DD5A7B">
        <w:trPr>
          <w:trHeight w:val="229"/>
        </w:trPr>
        <w:tc>
          <w:tcPr>
            <w:tcW w:w="1606" w:type="dxa"/>
            <w:noWrap/>
            <w:vAlign w:val="bottom"/>
            <w:hideMark/>
          </w:tcPr>
          <w:p w14:paraId="089DB178" w14:textId="77777777" w:rsidR="00AC0043" w:rsidRPr="00D01B7A" w:rsidRDefault="00AC0043" w:rsidP="006323CB">
            <w:pPr>
              <w:spacing w:after="0" w:line="240" w:lineRule="auto"/>
              <w:rPr>
                <w:rFonts w:ascii="Arial" w:eastAsia="Times New Roman" w:hAnsi="Arial" w:cs="Arial"/>
                <w:b/>
                <w:bCs/>
                <w:lang w:val="en-AE" w:eastAsia="en-AE"/>
              </w:rPr>
            </w:pPr>
            <w:r w:rsidRPr="00D01B7A">
              <w:rPr>
                <w:rFonts w:ascii="Arial" w:eastAsia="Times New Roman" w:hAnsi="Arial" w:cs="Arial"/>
                <w:lang w:val="en-AE" w:eastAsia="en-AE"/>
              </w:rPr>
              <w:t>Z-score</w:t>
            </w:r>
          </w:p>
        </w:tc>
        <w:tc>
          <w:tcPr>
            <w:tcW w:w="1606" w:type="dxa"/>
            <w:noWrap/>
            <w:vAlign w:val="bottom"/>
            <w:hideMark/>
          </w:tcPr>
          <w:p w14:paraId="24ADF03C"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7.261</w:t>
            </w:r>
          </w:p>
        </w:tc>
        <w:tc>
          <w:tcPr>
            <w:tcW w:w="1606" w:type="dxa"/>
            <w:noWrap/>
            <w:vAlign w:val="bottom"/>
            <w:hideMark/>
          </w:tcPr>
          <w:p w14:paraId="3FE5E4A5"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0.000</w:t>
            </w:r>
          </w:p>
        </w:tc>
      </w:tr>
      <w:tr w:rsidR="00D01B7A" w:rsidRPr="00D01B7A" w14:paraId="50B78161" w14:textId="77777777" w:rsidTr="00DD5A7B">
        <w:trPr>
          <w:trHeight w:val="229"/>
        </w:trPr>
        <w:tc>
          <w:tcPr>
            <w:tcW w:w="1606" w:type="dxa"/>
            <w:noWrap/>
            <w:vAlign w:val="bottom"/>
            <w:hideMark/>
          </w:tcPr>
          <w:p w14:paraId="0C3DB7EB" w14:textId="0E84805B" w:rsidR="00AC0043" w:rsidRPr="00D01B7A" w:rsidRDefault="00EA4C3E" w:rsidP="006323CB">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RW</w:t>
            </w:r>
            <w:r w:rsidR="00AC0043" w:rsidRPr="00D01B7A">
              <w:rPr>
                <w:rFonts w:ascii="Arial" w:eastAsia="Times New Roman" w:hAnsi="Arial" w:cs="Arial"/>
                <w:lang w:val="en-AE" w:eastAsia="en-AE"/>
              </w:rPr>
              <w:t>C</w:t>
            </w:r>
          </w:p>
        </w:tc>
        <w:tc>
          <w:tcPr>
            <w:tcW w:w="1606" w:type="dxa"/>
            <w:noWrap/>
            <w:vAlign w:val="bottom"/>
            <w:hideMark/>
          </w:tcPr>
          <w:p w14:paraId="36C56B3E"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-3.8305</w:t>
            </w:r>
          </w:p>
        </w:tc>
        <w:tc>
          <w:tcPr>
            <w:tcW w:w="1606" w:type="dxa"/>
            <w:noWrap/>
            <w:vAlign w:val="bottom"/>
            <w:hideMark/>
          </w:tcPr>
          <w:p w14:paraId="4EAFFE31"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0.001</w:t>
            </w:r>
          </w:p>
        </w:tc>
      </w:tr>
      <w:tr w:rsidR="00D01B7A" w:rsidRPr="00D01B7A" w14:paraId="5B6D558E" w14:textId="77777777" w:rsidTr="00DD5A7B">
        <w:trPr>
          <w:trHeight w:val="229"/>
        </w:trPr>
        <w:tc>
          <w:tcPr>
            <w:tcW w:w="1606" w:type="dxa"/>
            <w:noWrap/>
            <w:vAlign w:val="bottom"/>
            <w:hideMark/>
          </w:tcPr>
          <w:p w14:paraId="2AEB4F70" w14:textId="77777777" w:rsidR="00AC0043" w:rsidRPr="00D01B7A" w:rsidRDefault="00AC0043" w:rsidP="006323CB">
            <w:pPr>
              <w:spacing w:after="0" w:line="240" w:lineRule="auto"/>
              <w:rPr>
                <w:rFonts w:ascii="Arial" w:eastAsia="Times New Roman" w:hAnsi="Arial" w:cs="Arial"/>
                <w:b/>
                <w:bCs/>
                <w:lang w:val="en-AE" w:eastAsia="en-AE"/>
              </w:rPr>
            </w:pPr>
            <w:r w:rsidRPr="00D01B7A">
              <w:rPr>
                <w:rFonts w:ascii="Arial" w:eastAsia="Times New Roman" w:hAnsi="Arial" w:cs="Arial"/>
                <w:lang w:val="en-AE" w:eastAsia="en-AE"/>
              </w:rPr>
              <w:t>LDR</w:t>
            </w:r>
          </w:p>
        </w:tc>
        <w:tc>
          <w:tcPr>
            <w:tcW w:w="1606" w:type="dxa"/>
            <w:noWrap/>
            <w:vAlign w:val="bottom"/>
            <w:hideMark/>
          </w:tcPr>
          <w:p w14:paraId="2053566E"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-3.9065</w:t>
            </w:r>
          </w:p>
        </w:tc>
        <w:tc>
          <w:tcPr>
            <w:tcW w:w="1606" w:type="dxa"/>
            <w:noWrap/>
            <w:vAlign w:val="bottom"/>
            <w:hideMark/>
          </w:tcPr>
          <w:p w14:paraId="38276C2A"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0.000</w:t>
            </w:r>
          </w:p>
        </w:tc>
      </w:tr>
      <w:tr w:rsidR="00AC0043" w:rsidRPr="00D01B7A" w14:paraId="5190146F" w14:textId="77777777" w:rsidTr="00DD5A7B">
        <w:trPr>
          <w:trHeight w:val="229"/>
        </w:trPr>
        <w:tc>
          <w:tcPr>
            <w:tcW w:w="1606" w:type="dxa"/>
            <w:noWrap/>
            <w:vAlign w:val="bottom"/>
            <w:hideMark/>
          </w:tcPr>
          <w:p w14:paraId="0C7821AC" w14:textId="77777777" w:rsidR="00AC0043" w:rsidRPr="00D01B7A" w:rsidRDefault="00AC0043" w:rsidP="006323CB">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BSIZE</w:t>
            </w:r>
          </w:p>
        </w:tc>
        <w:tc>
          <w:tcPr>
            <w:tcW w:w="1606" w:type="dxa"/>
            <w:noWrap/>
            <w:vAlign w:val="bottom"/>
            <w:hideMark/>
          </w:tcPr>
          <w:p w14:paraId="77B08B56"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-2.3909</w:t>
            </w:r>
          </w:p>
        </w:tc>
        <w:tc>
          <w:tcPr>
            <w:tcW w:w="1606" w:type="dxa"/>
            <w:noWrap/>
            <w:vAlign w:val="bottom"/>
            <w:hideMark/>
          </w:tcPr>
          <w:p w14:paraId="4ADE69DD" w14:textId="77777777" w:rsidR="00AC0043" w:rsidRPr="00D01B7A" w:rsidRDefault="00AC0043" w:rsidP="006323CB">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0.0084</w:t>
            </w:r>
          </w:p>
        </w:tc>
      </w:tr>
    </w:tbl>
    <w:p w14:paraId="603CFAFF" w14:textId="77777777" w:rsidR="00440F94" w:rsidRPr="00D01B7A" w:rsidRDefault="00440F94" w:rsidP="00440F94">
      <w:pPr>
        <w:spacing w:after="0" w:line="278" w:lineRule="auto"/>
        <w:rPr>
          <w:rFonts w:ascii="Arial" w:hAnsi="Arial" w:cs="Arial"/>
          <w:i/>
          <w:iCs/>
        </w:rPr>
      </w:pPr>
      <w:r w:rsidRPr="00D01B7A">
        <w:rPr>
          <w:rFonts w:ascii="Arial" w:hAnsi="Arial" w:cs="Arial"/>
          <w:i/>
          <w:iCs/>
        </w:rPr>
        <w:t>Source: Author’s computation</w:t>
      </w:r>
    </w:p>
    <w:p w14:paraId="1F6CB54D" w14:textId="0B4FCB2A" w:rsidR="00AC0043" w:rsidRPr="00D01B7A" w:rsidRDefault="00AC0043" w:rsidP="006323CB">
      <w:pPr>
        <w:spacing w:line="240" w:lineRule="auto"/>
        <w:jc w:val="center"/>
        <w:rPr>
          <w:rFonts w:ascii="Arial" w:hAnsi="Arial" w:cs="Arial"/>
          <w:i/>
          <w:iCs/>
        </w:rPr>
      </w:pPr>
      <w:r w:rsidRPr="00D01B7A">
        <w:rPr>
          <w:rFonts w:ascii="Arial" w:hAnsi="Arial" w:cs="Arial"/>
          <w:i/>
          <w:iCs/>
        </w:rPr>
        <w:t xml:space="preserve">ROA – Return on </w:t>
      </w:r>
      <w:r w:rsidR="00EA4C3E" w:rsidRPr="00D01B7A">
        <w:rPr>
          <w:rFonts w:ascii="Arial" w:hAnsi="Arial" w:cs="Arial"/>
          <w:i/>
          <w:iCs/>
        </w:rPr>
        <w:t>Asset, z-score – Credit Risk, RW</w:t>
      </w:r>
      <w:r w:rsidRPr="00D01B7A">
        <w:rPr>
          <w:rFonts w:ascii="Arial" w:hAnsi="Arial" w:cs="Arial"/>
          <w:i/>
          <w:iCs/>
        </w:rPr>
        <w:t>C - Risk-</w:t>
      </w:r>
      <w:r w:rsidR="00EA4C3E" w:rsidRPr="00D01B7A">
        <w:rPr>
          <w:rFonts w:ascii="Arial" w:hAnsi="Arial" w:cs="Arial"/>
          <w:lang w:val="en-AE"/>
        </w:rPr>
        <w:t xml:space="preserve"> Weighted </w:t>
      </w:r>
      <w:r w:rsidRPr="00D01B7A">
        <w:rPr>
          <w:rFonts w:ascii="Arial" w:hAnsi="Arial" w:cs="Arial"/>
          <w:i/>
          <w:iCs/>
        </w:rPr>
        <w:t>Capital, LDL – Liquidity Deposit Ratio, BSIZE – Bank Size.</w:t>
      </w:r>
    </w:p>
    <w:p w14:paraId="3D5589C2" w14:textId="77777777" w:rsidR="001970FC" w:rsidRDefault="001970FC" w:rsidP="00B625A8">
      <w:pPr>
        <w:spacing w:after="0" w:line="480" w:lineRule="auto"/>
        <w:rPr>
          <w:rFonts w:ascii="Arial" w:hAnsi="Arial" w:cs="Arial"/>
          <w:b/>
          <w:bCs/>
        </w:rPr>
      </w:pPr>
    </w:p>
    <w:p w14:paraId="28740FAF" w14:textId="60AF3A1E" w:rsidR="00D8651A" w:rsidRPr="00D01B7A" w:rsidRDefault="00AC0043" w:rsidP="00B625A8">
      <w:pPr>
        <w:spacing w:after="0" w:line="480" w:lineRule="auto"/>
        <w:rPr>
          <w:rFonts w:ascii="Arial" w:hAnsi="Arial" w:cs="Arial"/>
          <w:b/>
          <w:bCs/>
        </w:rPr>
      </w:pPr>
      <w:r w:rsidRPr="00D01B7A">
        <w:rPr>
          <w:rFonts w:ascii="Arial" w:hAnsi="Arial" w:cs="Arial"/>
          <w:b/>
          <w:bCs/>
        </w:rPr>
        <w:t xml:space="preserve">Table 6. </w:t>
      </w:r>
    </w:p>
    <w:p w14:paraId="6EC76B9B" w14:textId="58C1CF61" w:rsidR="008D1F11" w:rsidRPr="00D01B7A" w:rsidRDefault="00AC0043" w:rsidP="00440F94">
      <w:pPr>
        <w:spacing w:line="240" w:lineRule="auto"/>
        <w:rPr>
          <w:rFonts w:ascii="Arial" w:hAnsi="Arial" w:cs="Arial"/>
          <w:b/>
          <w:bCs/>
        </w:rPr>
      </w:pPr>
      <w:r w:rsidRPr="00D01B7A">
        <w:rPr>
          <w:rFonts w:ascii="Arial" w:hAnsi="Arial" w:cs="Arial"/>
          <w:b/>
          <w:bCs/>
        </w:rPr>
        <w:t>Westerlund test for cointegration</w:t>
      </w:r>
    </w:p>
    <w:tbl>
      <w:tblPr>
        <w:tblpPr w:leftFromText="180" w:rightFromText="180" w:vertAnchor="text" w:horzAnchor="margin" w:tblpY="-38"/>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992"/>
      </w:tblGrid>
      <w:tr w:rsidR="00AC0043" w:rsidRPr="00D01B7A" w14:paraId="30A515F4" w14:textId="77777777" w:rsidTr="00DD5A7B">
        <w:trPr>
          <w:trHeight w:val="218"/>
        </w:trPr>
        <w:tc>
          <w:tcPr>
            <w:tcW w:w="1980" w:type="dxa"/>
            <w:noWrap/>
            <w:vAlign w:val="bottom"/>
            <w:hideMark/>
          </w:tcPr>
          <w:p w14:paraId="65D25F04" w14:textId="77777777" w:rsidR="00AC0043" w:rsidRPr="00D01B7A" w:rsidRDefault="00AC0043" w:rsidP="00440F94">
            <w:pPr>
              <w:spacing w:line="480" w:lineRule="auto"/>
              <w:rPr>
                <w:rFonts w:ascii="Arial" w:eastAsia="Times New Roman" w:hAnsi="Arial" w:cs="Arial"/>
                <w:lang w:val="en-AE" w:eastAsia="en-AE"/>
              </w:rPr>
            </w:pPr>
          </w:p>
        </w:tc>
        <w:tc>
          <w:tcPr>
            <w:tcW w:w="1276" w:type="dxa"/>
            <w:noWrap/>
            <w:vAlign w:val="bottom"/>
            <w:hideMark/>
          </w:tcPr>
          <w:p w14:paraId="52941A7B" w14:textId="77777777" w:rsidR="00AC0043" w:rsidRPr="00D01B7A" w:rsidRDefault="00AC0043" w:rsidP="00440F94">
            <w:pPr>
              <w:spacing w:line="480" w:lineRule="auto"/>
              <w:rPr>
                <w:rFonts w:ascii="Arial" w:eastAsia="Times New Roman" w:hAnsi="Arial" w:cs="Arial"/>
                <w:lang w:val="en-AE" w:eastAsia="en-AE"/>
              </w:rPr>
            </w:pPr>
            <w:r w:rsidRPr="00D01B7A">
              <w:rPr>
                <w:rFonts w:ascii="Arial" w:eastAsia="Times New Roman" w:hAnsi="Arial" w:cs="Arial"/>
                <w:lang w:val="en-AE" w:eastAsia="en-AE"/>
              </w:rPr>
              <w:t>Statistic</w:t>
            </w:r>
          </w:p>
        </w:tc>
        <w:tc>
          <w:tcPr>
            <w:tcW w:w="992" w:type="dxa"/>
            <w:noWrap/>
            <w:vAlign w:val="bottom"/>
            <w:hideMark/>
          </w:tcPr>
          <w:p w14:paraId="16C8CE75" w14:textId="77777777" w:rsidR="00AC0043" w:rsidRPr="00D01B7A" w:rsidRDefault="00AC0043" w:rsidP="00440F94">
            <w:pPr>
              <w:spacing w:line="480" w:lineRule="auto"/>
              <w:rPr>
                <w:rFonts w:ascii="Arial" w:eastAsia="Times New Roman" w:hAnsi="Arial" w:cs="Arial"/>
                <w:lang w:val="en-AE" w:eastAsia="en-AE"/>
              </w:rPr>
            </w:pPr>
            <w:r w:rsidRPr="00D01B7A">
              <w:rPr>
                <w:rFonts w:ascii="Arial" w:eastAsia="Times New Roman" w:hAnsi="Arial" w:cs="Arial"/>
                <w:lang w:val="en-AE" w:eastAsia="en-AE"/>
              </w:rPr>
              <w:t>p-value</w:t>
            </w:r>
          </w:p>
        </w:tc>
      </w:tr>
      <w:tr w:rsidR="00D01B7A" w:rsidRPr="00D01B7A" w14:paraId="6580902C" w14:textId="77777777" w:rsidTr="00DD5A7B">
        <w:trPr>
          <w:trHeight w:val="218"/>
        </w:trPr>
        <w:tc>
          <w:tcPr>
            <w:tcW w:w="1980" w:type="dxa"/>
            <w:noWrap/>
            <w:vAlign w:val="bottom"/>
            <w:hideMark/>
          </w:tcPr>
          <w:p w14:paraId="4847F500" w14:textId="77777777" w:rsidR="00AC0043" w:rsidRPr="00D01B7A" w:rsidRDefault="00AC0043" w:rsidP="00440F94">
            <w:pPr>
              <w:spacing w:line="480" w:lineRule="auto"/>
              <w:rPr>
                <w:rFonts w:ascii="Arial" w:eastAsia="Times New Roman" w:hAnsi="Arial" w:cs="Arial"/>
                <w:lang w:val="en-AE" w:eastAsia="en-AE"/>
              </w:rPr>
            </w:pPr>
            <w:r w:rsidRPr="00D01B7A">
              <w:rPr>
                <w:rFonts w:ascii="Arial" w:eastAsia="Times New Roman" w:hAnsi="Arial" w:cs="Arial"/>
                <w:lang w:val="en-AE" w:eastAsia="en-AE"/>
              </w:rPr>
              <w:t>Variance ratio</w:t>
            </w:r>
          </w:p>
        </w:tc>
        <w:tc>
          <w:tcPr>
            <w:tcW w:w="1276" w:type="dxa"/>
            <w:noWrap/>
            <w:vAlign w:val="bottom"/>
            <w:hideMark/>
          </w:tcPr>
          <w:p w14:paraId="0B8EE628" w14:textId="77777777" w:rsidR="00AC0043" w:rsidRPr="00D01B7A" w:rsidRDefault="00AC0043" w:rsidP="00440F94">
            <w:pPr>
              <w:spacing w:line="480" w:lineRule="auto"/>
              <w:jc w:val="right"/>
              <w:rPr>
                <w:rFonts w:ascii="Arial" w:eastAsia="Times New Roman" w:hAnsi="Arial" w:cs="Arial"/>
                <w:lang w:val="en-AE" w:eastAsia="en-AE"/>
              </w:rPr>
            </w:pPr>
            <w:r w:rsidRPr="00D01B7A">
              <w:rPr>
                <w:rFonts w:ascii="Arial" w:eastAsia="Times New Roman" w:hAnsi="Arial" w:cs="Arial"/>
                <w:lang w:val="en-AE" w:eastAsia="en-AE"/>
              </w:rPr>
              <w:t>2.6512</w:t>
            </w:r>
          </w:p>
        </w:tc>
        <w:tc>
          <w:tcPr>
            <w:tcW w:w="992" w:type="dxa"/>
            <w:noWrap/>
            <w:vAlign w:val="bottom"/>
            <w:hideMark/>
          </w:tcPr>
          <w:p w14:paraId="04204841" w14:textId="77777777" w:rsidR="00AC0043" w:rsidRPr="00D01B7A" w:rsidRDefault="00AC0043" w:rsidP="00440F94">
            <w:pPr>
              <w:spacing w:line="480" w:lineRule="auto"/>
              <w:jc w:val="right"/>
              <w:rPr>
                <w:rFonts w:ascii="Arial" w:eastAsia="Times New Roman" w:hAnsi="Arial" w:cs="Arial"/>
                <w:lang w:val="en-AE" w:eastAsia="en-AE"/>
              </w:rPr>
            </w:pPr>
            <w:r w:rsidRPr="00D01B7A">
              <w:rPr>
                <w:rFonts w:ascii="Arial" w:eastAsia="Times New Roman" w:hAnsi="Arial" w:cs="Arial"/>
                <w:lang w:val="en-AE" w:eastAsia="en-AE"/>
              </w:rPr>
              <w:t>0.004</w:t>
            </w:r>
          </w:p>
        </w:tc>
      </w:tr>
    </w:tbl>
    <w:p w14:paraId="1027C86C" w14:textId="77777777" w:rsidR="00AC0043" w:rsidRPr="00D01B7A" w:rsidRDefault="00AC0043" w:rsidP="00440F94">
      <w:pPr>
        <w:spacing w:line="480" w:lineRule="auto"/>
        <w:rPr>
          <w:rFonts w:ascii="Arial" w:hAnsi="Arial" w:cs="Arial"/>
          <w:b/>
          <w:bCs/>
        </w:rPr>
      </w:pPr>
    </w:p>
    <w:p w14:paraId="614081F1" w14:textId="77777777" w:rsidR="00AC0043" w:rsidRPr="00D01B7A" w:rsidRDefault="00AC0043" w:rsidP="00440F94">
      <w:pPr>
        <w:spacing w:line="480" w:lineRule="auto"/>
        <w:rPr>
          <w:rFonts w:ascii="Arial" w:hAnsi="Arial" w:cs="Arial"/>
        </w:rPr>
      </w:pPr>
    </w:p>
    <w:p w14:paraId="1E75FF7A" w14:textId="77777777" w:rsidR="00440F94" w:rsidRPr="00D01B7A" w:rsidRDefault="00440F94" w:rsidP="00440F94">
      <w:pPr>
        <w:spacing w:line="278" w:lineRule="auto"/>
        <w:rPr>
          <w:rFonts w:ascii="Arial" w:hAnsi="Arial" w:cs="Arial"/>
          <w:i/>
          <w:iCs/>
        </w:rPr>
      </w:pPr>
      <w:r w:rsidRPr="00D01B7A">
        <w:rPr>
          <w:rFonts w:ascii="Arial" w:hAnsi="Arial" w:cs="Arial"/>
          <w:i/>
          <w:iCs/>
        </w:rPr>
        <w:t>Source: Author’s computation</w:t>
      </w:r>
    </w:p>
    <w:p w14:paraId="02C5E8ED" w14:textId="77777777" w:rsidR="00D17AFA" w:rsidRPr="00D01B7A" w:rsidRDefault="00D17AFA" w:rsidP="001970FC">
      <w:pPr>
        <w:spacing w:after="0" w:line="360" w:lineRule="auto"/>
        <w:rPr>
          <w:rFonts w:ascii="Arial" w:hAnsi="Arial" w:cs="Arial"/>
          <w:b/>
          <w:bCs/>
        </w:rPr>
      </w:pPr>
    </w:p>
    <w:p w14:paraId="7D856E90" w14:textId="77777777" w:rsidR="00AC0043" w:rsidRPr="00D01B7A" w:rsidRDefault="006323CB" w:rsidP="001970FC">
      <w:pPr>
        <w:spacing w:after="0" w:line="360" w:lineRule="auto"/>
        <w:rPr>
          <w:rFonts w:ascii="Arial" w:hAnsi="Arial" w:cs="Arial"/>
          <w:b/>
          <w:bCs/>
        </w:rPr>
      </w:pPr>
      <w:r w:rsidRPr="00D01B7A">
        <w:rPr>
          <w:rFonts w:ascii="Arial" w:hAnsi="Arial" w:cs="Arial"/>
          <w:b/>
          <w:bCs/>
        </w:rPr>
        <w:t xml:space="preserve">4.2.2 </w:t>
      </w:r>
      <w:r w:rsidR="00AC0043" w:rsidRPr="00D01B7A">
        <w:rPr>
          <w:rFonts w:ascii="Arial" w:hAnsi="Arial" w:cs="Arial"/>
          <w:b/>
          <w:bCs/>
        </w:rPr>
        <w:t>Main Estimation</w:t>
      </w:r>
    </w:p>
    <w:p w14:paraId="680F70D7" w14:textId="5C1C1190" w:rsidR="004668B5" w:rsidRPr="00D01B7A" w:rsidRDefault="004668B5" w:rsidP="001970FC">
      <w:pPr>
        <w:spacing w:after="120" w:line="360" w:lineRule="auto"/>
        <w:jc w:val="both"/>
        <w:rPr>
          <w:rFonts w:ascii="Arial" w:eastAsia="Times New Roman" w:hAnsi="Arial" w:cs="Arial"/>
        </w:rPr>
      </w:pPr>
      <w:r w:rsidRPr="004668B5">
        <w:rPr>
          <w:rFonts w:ascii="Arial" w:eastAsia="Times New Roman" w:hAnsi="Arial" w:cs="Arial"/>
        </w:rPr>
        <w:t>The regression results based on the Panel-Corrected Standard Errors (PCSE) estimator for the baseline control model and subsequent hypothesis-specific specifications are presented in Table 7. Notably, in addition to bank size being the sole control variable, the models also incorporate year dummies to adjust for macroeconomic effects such as inflation and interest rate fluctuations over time. Furthermore, as a robustness check, we estimated the same models using the Feasible Generalized Least Squares (FGLS) approach. The results, shown in Table 8, largely corroborate the PCSE findings by preserving both the signs and statistical significance of the key parameters. This consistency affirms the reliability and robustness of our primary estimation strategy. In light of this, we focus our interpretation and discussion on the results obtained from the PCSE estimator. Specifically, the baseline model indicates that bank size has a statistically significant negative effect on ROA (β = -0.0458, p &lt; 0.01), suggesting that larger banks may experience diminishing marginal returns to scale, possibly due to inefficiencies associated with their size.</w:t>
      </w:r>
    </w:p>
    <w:p w14:paraId="3BDAAB09" w14:textId="77777777" w:rsidR="004668B5" w:rsidRPr="004668B5" w:rsidRDefault="004668B5" w:rsidP="001970FC">
      <w:pPr>
        <w:spacing w:after="120" w:line="360" w:lineRule="auto"/>
        <w:rPr>
          <w:rFonts w:ascii="Arial" w:eastAsia="Times New Roman" w:hAnsi="Arial" w:cs="Arial"/>
        </w:rPr>
      </w:pPr>
    </w:p>
    <w:p w14:paraId="1B41DCD6" w14:textId="77777777" w:rsidR="00D92483" w:rsidRPr="00D92483" w:rsidRDefault="00D92483" w:rsidP="001970FC">
      <w:pPr>
        <w:spacing w:after="0" w:line="360" w:lineRule="auto"/>
        <w:jc w:val="both"/>
        <w:rPr>
          <w:rFonts w:ascii="Arial" w:eastAsia="Times New Roman" w:hAnsi="Arial" w:cs="Arial"/>
        </w:rPr>
      </w:pPr>
      <w:r w:rsidRPr="00D92483">
        <w:rPr>
          <w:rFonts w:ascii="Arial" w:eastAsia="Times New Roman" w:hAnsi="Arial" w:cs="Arial"/>
        </w:rPr>
        <w:t xml:space="preserve">The first hypothesis is justified by the negative and significant impact of risk-weighted capital on ROA (β = -0.00124, p &lt; 0.01). This suggests that higher regulatory capital buffers might be associated with a trade-off in profitability, potentially due to the cost of holding excess capital or risk-averse lending practices. This result is consistent with the findings of Francis (2013), who </w:t>
      </w:r>
      <w:r w:rsidRPr="00D92483">
        <w:rPr>
          <w:rFonts w:ascii="Arial" w:eastAsia="Times New Roman" w:hAnsi="Arial" w:cs="Arial"/>
        </w:rPr>
        <w:lastRenderedPageBreak/>
        <w:t xml:space="preserve">found a negative relationship between capital and banks’ profitability, and contradicts the findings of Ejoh and Iwara (2014), who revealed that capital adequacy has a positive impact on ROA among Nigerian Banks from 1981 to 2011. Our study reveals that while regulatory capital is crucial for stability, excessive capitalization can hinder short-term performance if not balanced with revenue-generating activities. </w:t>
      </w:r>
    </w:p>
    <w:p w14:paraId="48C1B184" w14:textId="77777777" w:rsidR="00D92483" w:rsidRPr="00D92483" w:rsidRDefault="00D92483" w:rsidP="001970FC">
      <w:pPr>
        <w:spacing w:after="0" w:line="360" w:lineRule="auto"/>
        <w:rPr>
          <w:rFonts w:ascii="Arial" w:eastAsia="Times New Roman" w:hAnsi="Arial" w:cs="Arial"/>
        </w:rPr>
      </w:pPr>
      <w:r w:rsidRPr="00D92483">
        <w:rPr>
          <w:rFonts w:ascii="Arial" w:eastAsia="Times New Roman" w:hAnsi="Arial" w:cs="Arial"/>
        </w:rPr>
        <w:t> </w:t>
      </w:r>
    </w:p>
    <w:p w14:paraId="2CC29628" w14:textId="7CA3AEC5" w:rsidR="00D66AEE" w:rsidRPr="00D92483" w:rsidRDefault="00D66AEE" w:rsidP="001970FC">
      <w:pPr>
        <w:spacing w:after="120" w:line="360" w:lineRule="auto"/>
        <w:jc w:val="both"/>
        <w:rPr>
          <w:rFonts w:ascii="Arial" w:eastAsia="Times New Roman" w:hAnsi="Arial" w:cs="Arial"/>
        </w:rPr>
      </w:pPr>
      <w:r w:rsidRPr="00D01B7A">
        <w:rPr>
          <w:rFonts w:ascii="Arial" w:eastAsia="Times New Roman" w:hAnsi="Arial" w:cs="Arial"/>
        </w:rPr>
        <w:t>Examining the secon</w:t>
      </w:r>
      <w:r w:rsidRPr="00D92483">
        <w:rPr>
          <w:rFonts w:ascii="Arial" w:eastAsia="Times New Roman" w:hAnsi="Arial" w:cs="Arial"/>
        </w:rPr>
        <w:t>d hypothesis further builds on this analysis. The results indicate a statistically significant negative relationship between credit risk, as measured by the Z-score, and return on assets (ROA), with a coefficient of β = -0.00895 (p &lt; 0.05). This implies that higher credit risk is associated with lower bank profitability, consistent with theoretical expectations and prior empirical studies, including those by Chai et al. (2022), Abdelaziz et al. (2022), Abba and Ullah (2023), Mousa et al. (2018), and Kargi (2011). While Owusu-Boafo et al. (2020) reported a positive association between credit risk and ROA</w:t>
      </w:r>
      <w:r w:rsidRPr="00D01B7A">
        <w:rPr>
          <w:rFonts w:ascii="Arial" w:eastAsia="Times New Roman" w:hAnsi="Arial" w:cs="Arial"/>
        </w:rPr>
        <w:t>.</w:t>
      </w:r>
      <w:r w:rsidRPr="00D92483">
        <w:rPr>
          <w:rFonts w:ascii="Arial" w:eastAsia="Times New Roman" w:hAnsi="Arial" w:cs="Arial"/>
        </w:rPr>
        <w:t xml:space="preserve"> </w:t>
      </w:r>
      <w:r w:rsidRPr="00D01B7A">
        <w:rPr>
          <w:rFonts w:ascii="Arial" w:eastAsia="Times New Roman" w:hAnsi="Arial" w:cs="Arial"/>
        </w:rPr>
        <w:t>T</w:t>
      </w:r>
      <w:r w:rsidRPr="00D92483">
        <w:rPr>
          <w:rFonts w:ascii="Arial" w:eastAsia="Times New Roman" w:hAnsi="Arial" w:cs="Arial"/>
        </w:rPr>
        <w:t>he present findings reinforce the critical role of effective credit risk management in enhancing financial performance. Overall, this underscores that banks with sound credit portfolios and rigorous loan evaluation frameworks are better positioned to sustain profitability over time.</w:t>
      </w:r>
    </w:p>
    <w:p w14:paraId="49C4027F" w14:textId="34D46BD8" w:rsidR="00D92483" w:rsidRPr="00D01B7A" w:rsidRDefault="00D66AEE" w:rsidP="001970FC">
      <w:pPr>
        <w:spacing w:after="0" w:line="360" w:lineRule="auto"/>
        <w:jc w:val="both"/>
        <w:rPr>
          <w:rFonts w:ascii="Arial" w:eastAsia="Times New Roman" w:hAnsi="Arial" w:cs="Arial"/>
        </w:rPr>
      </w:pPr>
      <w:r w:rsidRPr="00D01B7A">
        <w:rPr>
          <w:rFonts w:ascii="Arial" w:eastAsia="Times New Roman" w:hAnsi="Arial" w:cs="Arial"/>
        </w:rPr>
        <w:t>Additionally, testing the thir</w:t>
      </w:r>
      <w:r w:rsidR="00D92483" w:rsidRPr="00D92483">
        <w:rPr>
          <w:rFonts w:ascii="Arial" w:eastAsia="Times New Roman" w:hAnsi="Arial" w:cs="Arial"/>
        </w:rPr>
        <w:t>d hypothesis, liquidity risk is found to be significantly negative (β = -0.0797, p &lt; 0.01), indicating that increased liquidity risk, such as excessive illiquid assets or unstable funding, has a detrimental effect on bank performance. This supports the hypothesis that managing liquidity effectively is crucial for sustaining profitability. The outcome aligns with the study by Ly (2015) and Saleh and Abu Afifa (2020), who also showed that liquidity risk is negatively associated with bank performance. We derived that liquidity risk may be detrimental to a bank’s profitability, which aligns with Chai et al. (2022), who suggested that granting secured loans</w:t>
      </w:r>
      <w:r w:rsidRPr="00D01B7A">
        <w:rPr>
          <w:rFonts w:ascii="Arial" w:eastAsia="Times New Roman" w:hAnsi="Arial" w:cs="Arial"/>
        </w:rPr>
        <w:t xml:space="preserve"> to customers</w:t>
      </w:r>
      <w:r w:rsidR="00D92483" w:rsidRPr="00D92483">
        <w:rPr>
          <w:rFonts w:ascii="Arial" w:eastAsia="Times New Roman" w:hAnsi="Arial" w:cs="Arial"/>
        </w:rPr>
        <w:t xml:space="preserve"> could involve implementing appropriate measures to ensure prompt repayment.</w:t>
      </w:r>
    </w:p>
    <w:p w14:paraId="543A0A7E" w14:textId="77777777" w:rsidR="00D66AEE" w:rsidRPr="00D92483" w:rsidRDefault="00D66AEE" w:rsidP="001970FC">
      <w:pPr>
        <w:spacing w:after="0" w:line="360" w:lineRule="auto"/>
        <w:rPr>
          <w:rFonts w:ascii="Arial" w:eastAsia="Times New Roman" w:hAnsi="Arial" w:cs="Arial"/>
        </w:rPr>
      </w:pPr>
    </w:p>
    <w:p w14:paraId="52C2B281" w14:textId="04605DCC" w:rsidR="00D92483" w:rsidRPr="00D92483" w:rsidRDefault="00D66AEE" w:rsidP="001970FC">
      <w:pPr>
        <w:spacing w:after="120" w:line="360" w:lineRule="auto"/>
        <w:jc w:val="both"/>
        <w:rPr>
          <w:rFonts w:ascii="Arial" w:eastAsia="Times New Roman" w:hAnsi="Arial" w:cs="Arial"/>
        </w:rPr>
      </w:pPr>
      <w:r w:rsidRPr="00D01B7A">
        <w:rPr>
          <w:rFonts w:ascii="Arial" w:eastAsia="Times New Roman" w:hAnsi="Arial" w:cs="Arial"/>
        </w:rPr>
        <w:t>Fi</w:t>
      </w:r>
      <w:r w:rsidR="00D92483" w:rsidRPr="00D92483">
        <w:rPr>
          <w:rFonts w:ascii="Arial" w:eastAsia="Times New Roman" w:hAnsi="Arial" w:cs="Arial"/>
        </w:rPr>
        <w:t>nally, an integrated perspective emerges in the fourth hypothesis regarding the interdependence relationship. The joint significance test for the three variables — Credit Risk, RWC, and LDR — yields a χ² of 34.47 (p &lt; 0.01), confirming that credit risk, capital adequacy, and liquidity risk are collectively important in explaining variations in bank performance. Moreover, R-squared values improve across models, with the highest explanatory power observed in Hypotheses 2 and 3 (H</w:t>
      </w:r>
      <w:r w:rsidR="00D92483" w:rsidRPr="00D92483">
        <w:rPr>
          <w:rFonts w:ascii="Cambria Math" w:eastAsia="Times New Roman" w:hAnsi="Cambria Math" w:cs="Cambria Math"/>
        </w:rPr>
        <w:t>₂</w:t>
      </w:r>
      <w:r w:rsidR="00D92483" w:rsidRPr="00D92483">
        <w:rPr>
          <w:rFonts w:ascii="Arial" w:eastAsia="Times New Roman" w:hAnsi="Arial" w:cs="Arial"/>
        </w:rPr>
        <w:t xml:space="preserve"> and H</w:t>
      </w:r>
      <w:r w:rsidR="00D92483" w:rsidRPr="00D92483">
        <w:rPr>
          <w:rFonts w:ascii="Cambria Math" w:eastAsia="Times New Roman" w:hAnsi="Cambria Math" w:cs="Cambria Math"/>
        </w:rPr>
        <w:t>₃</w:t>
      </w:r>
      <w:r w:rsidR="00D92483" w:rsidRPr="00D92483">
        <w:rPr>
          <w:rFonts w:ascii="Arial" w:eastAsia="Times New Roman" w:hAnsi="Arial" w:cs="Arial"/>
        </w:rPr>
        <w:t xml:space="preserve">). To be specific regarding individual effects, credit risk (β = -0.0135, p &lt; 0.01) and risk-weighted capital (β = -0.00201, p &lt; 0.01) remain significantly negative, while liquidity risk becomes significantly positive (β = 0.0630, p &lt; 0.05). This unexpected positive </w:t>
      </w:r>
      <w:r w:rsidR="00D92483" w:rsidRPr="00D92483">
        <w:rPr>
          <w:rFonts w:ascii="Arial" w:eastAsia="Times New Roman" w:hAnsi="Arial" w:cs="Arial"/>
        </w:rPr>
        <w:lastRenderedPageBreak/>
        <w:t>effect of liquidity risk may indicate the presence of simultaneous interactions, such as increased risk-taking behavior when liquidity positions are strong, as revealed by Haris et al. (2024), Abbas et al. (2019), and Aluko et al. (2019), who found that liquidity risk fosters banks' performance. Similarly, as Eyalsalman et al. (2024) observed, liquidity may enhance a bank’s ability to create more risk assets and earn higher income; however, it is essential to manage credit risk and capital adequacy, as this hypothesis suggests. Taken together, this suggests that the profitability of Nigerian banks may not be fully understood in isolation from individual risk factors; rather, it is the integrated risk management approach that shapes their outcomes.</w:t>
      </w:r>
    </w:p>
    <w:p w14:paraId="74A84981" w14:textId="77777777" w:rsidR="00B828A6" w:rsidRPr="00D01B7A" w:rsidRDefault="00B828A6" w:rsidP="001970FC">
      <w:pPr>
        <w:spacing w:after="0" w:line="360" w:lineRule="auto"/>
        <w:rPr>
          <w:rFonts w:ascii="Arial" w:hAnsi="Arial" w:cs="Arial"/>
          <w:b/>
          <w:bCs/>
        </w:rPr>
      </w:pPr>
    </w:p>
    <w:p w14:paraId="2665B6EC" w14:textId="20F1BB39" w:rsidR="007F054C" w:rsidRPr="00D01B7A" w:rsidRDefault="007F054C" w:rsidP="00B625A8">
      <w:pPr>
        <w:spacing w:after="0" w:line="480" w:lineRule="auto"/>
        <w:rPr>
          <w:rFonts w:ascii="Arial" w:hAnsi="Arial" w:cs="Arial"/>
          <w:b/>
          <w:bCs/>
        </w:rPr>
      </w:pPr>
      <w:r w:rsidRPr="00D01B7A">
        <w:rPr>
          <w:rFonts w:ascii="Arial" w:hAnsi="Arial" w:cs="Arial"/>
          <w:b/>
          <w:bCs/>
        </w:rPr>
        <w:t>Table 7</w:t>
      </w:r>
    </w:p>
    <w:p w14:paraId="272748FD" w14:textId="77777777" w:rsidR="00AC0043" w:rsidRPr="00D01B7A" w:rsidRDefault="00AC0043" w:rsidP="00B625A8">
      <w:pPr>
        <w:spacing w:after="0" w:line="480" w:lineRule="auto"/>
        <w:rPr>
          <w:rFonts w:ascii="Arial" w:hAnsi="Arial" w:cs="Arial"/>
          <w:b/>
          <w:bCs/>
        </w:rPr>
      </w:pPr>
      <w:r w:rsidRPr="00D01B7A">
        <w:rPr>
          <w:rFonts w:ascii="Arial" w:hAnsi="Arial" w:cs="Arial"/>
          <w:b/>
          <w:bCs/>
        </w:rPr>
        <w:t xml:space="preserve">Result of the Panel-Corrected Standard Error (PCSE) estimator (Dep. </w:t>
      </w:r>
      <w:r w:rsidR="007F054C" w:rsidRPr="00D01B7A">
        <w:rPr>
          <w:rFonts w:ascii="Arial" w:hAnsi="Arial" w:cs="Arial"/>
          <w:b/>
          <w:bCs/>
        </w:rPr>
        <w:t>var</w:t>
      </w:r>
      <w:r w:rsidRPr="00D01B7A">
        <w:rPr>
          <w:rFonts w:ascii="Arial" w:hAnsi="Arial" w:cs="Arial"/>
          <w:b/>
          <w:bCs/>
        </w:rPr>
        <w:t xml:space="preserve"> is ROA)</w:t>
      </w:r>
    </w:p>
    <w:tbl>
      <w:tblPr>
        <w:tblW w:w="9090" w:type="dxa"/>
        <w:tblLook w:val="04A0" w:firstRow="1" w:lastRow="0" w:firstColumn="1" w:lastColumn="0" w:noHBand="0" w:noVBand="1"/>
      </w:tblPr>
      <w:tblGrid>
        <w:gridCol w:w="2442"/>
        <w:gridCol w:w="1248"/>
        <w:gridCol w:w="1374"/>
        <w:gridCol w:w="1327"/>
        <w:gridCol w:w="1311"/>
        <w:gridCol w:w="1388"/>
      </w:tblGrid>
      <w:tr w:rsidR="00F67C07" w:rsidRPr="00D01B7A" w14:paraId="45C91475" w14:textId="77777777" w:rsidTr="00D01B7A">
        <w:trPr>
          <w:trHeight w:val="277"/>
        </w:trPr>
        <w:tc>
          <w:tcPr>
            <w:tcW w:w="2442" w:type="dxa"/>
            <w:tcBorders>
              <w:top w:val="single" w:sz="4" w:space="0" w:color="auto"/>
              <w:left w:val="nil"/>
              <w:bottom w:val="single" w:sz="4" w:space="0" w:color="auto"/>
              <w:right w:val="nil"/>
            </w:tcBorders>
            <w:noWrap/>
            <w:vAlign w:val="bottom"/>
            <w:hideMark/>
          </w:tcPr>
          <w:p w14:paraId="2927CFCD"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VARIABLES</w:t>
            </w:r>
          </w:p>
        </w:tc>
        <w:tc>
          <w:tcPr>
            <w:tcW w:w="1248" w:type="dxa"/>
            <w:tcBorders>
              <w:top w:val="single" w:sz="4" w:space="0" w:color="auto"/>
              <w:left w:val="nil"/>
              <w:bottom w:val="single" w:sz="4" w:space="0" w:color="auto"/>
              <w:right w:val="nil"/>
            </w:tcBorders>
            <w:noWrap/>
            <w:vAlign w:val="bottom"/>
            <w:hideMark/>
          </w:tcPr>
          <w:p w14:paraId="775BC6A8"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Control</w:t>
            </w:r>
          </w:p>
        </w:tc>
        <w:tc>
          <w:tcPr>
            <w:tcW w:w="1374" w:type="dxa"/>
            <w:tcBorders>
              <w:top w:val="single" w:sz="4" w:space="0" w:color="auto"/>
              <w:left w:val="nil"/>
              <w:bottom w:val="single" w:sz="4" w:space="0" w:color="auto"/>
              <w:right w:val="nil"/>
            </w:tcBorders>
            <w:noWrap/>
            <w:vAlign w:val="bottom"/>
            <w:hideMark/>
          </w:tcPr>
          <w:p w14:paraId="16E11D69"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H1</w:t>
            </w:r>
          </w:p>
        </w:tc>
        <w:tc>
          <w:tcPr>
            <w:tcW w:w="1327" w:type="dxa"/>
            <w:tcBorders>
              <w:top w:val="single" w:sz="4" w:space="0" w:color="auto"/>
              <w:left w:val="nil"/>
              <w:bottom w:val="single" w:sz="4" w:space="0" w:color="auto"/>
              <w:right w:val="nil"/>
            </w:tcBorders>
            <w:noWrap/>
            <w:vAlign w:val="bottom"/>
            <w:hideMark/>
          </w:tcPr>
          <w:p w14:paraId="5531FAB8"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H2</w:t>
            </w:r>
          </w:p>
        </w:tc>
        <w:tc>
          <w:tcPr>
            <w:tcW w:w="1311" w:type="dxa"/>
            <w:tcBorders>
              <w:top w:val="single" w:sz="4" w:space="0" w:color="auto"/>
              <w:left w:val="nil"/>
              <w:bottom w:val="single" w:sz="4" w:space="0" w:color="auto"/>
              <w:right w:val="nil"/>
            </w:tcBorders>
            <w:noWrap/>
            <w:vAlign w:val="bottom"/>
            <w:hideMark/>
          </w:tcPr>
          <w:p w14:paraId="796C39CF"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H3</w:t>
            </w:r>
          </w:p>
        </w:tc>
        <w:tc>
          <w:tcPr>
            <w:tcW w:w="1388" w:type="dxa"/>
            <w:tcBorders>
              <w:top w:val="single" w:sz="4" w:space="0" w:color="auto"/>
              <w:left w:val="nil"/>
              <w:bottom w:val="single" w:sz="4" w:space="0" w:color="auto"/>
              <w:right w:val="nil"/>
            </w:tcBorders>
            <w:noWrap/>
            <w:vAlign w:val="bottom"/>
            <w:hideMark/>
          </w:tcPr>
          <w:p w14:paraId="47F2B9A7"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H4</w:t>
            </w:r>
          </w:p>
        </w:tc>
      </w:tr>
      <w:tr w:rsidR="00F67C07" w:rsidRPr="00D01B7A" w14:paraId="077D040A" w14:textId="77777777" w:rsidTr="00D01B7A">
        <w:trPr>
          <w:trHeight w:val="277"/>
        </w:trPr>
        <w:tc>
          <w:tcPr>
            <w:tcW w:w="2442" w:type="dxa"/>
            <w:tcBorders>
              <w:top w:val="nil"/>
              <w:left w:val="nil"/>
              <w:bottom w:val="nil"/>
              <w:right w:val="nil"/>
            </w:tcBorders>
            <w:noWrap/>
            <w:vAlign w:val="center"/>
            <w:hideMark/>
          </w:tcPr>
          <w:p w14:paraId="4E22AFB5"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hAnsi="Arial" w:cs="Arial"/>
                <w:color w:val="000000"/>
              </w:rPr>
              <w:t>Bank size</w:t>
            </w:r>
          </w:p>
        </w:tc>
        <w:tc>
          <w:tcPr>
            <w:tcW w:w="1248" w:type="dxa"/>
            <w:tcBorders>
              <w:top w:val="nil"/>
              <w:left w:val="nil"/>
              <w:bottom w:val="nil"/>
              <w:right w:val="nil"/>
            </w:tcBorders>
            <w:noWrap/>
            <w:vAlign w:val="bottom"/>
            <w:hideMark/>
          </w:tcPr>
          <w:p w14:paraId="23BB9F7A" w14:textId="77777777" w:rsidR="00F67C07" w:rsidRPr="00D01B7A" w:rsidRDefault="00F67C07" w:rsidP="00173A63">
            <w:pPr>
              <w:spacing w:after="0" w:line="240" w:lineRule="auto"/>
              <w:jc w:val="center"/>
              <w:rPr>
                <w:rFonts w:ascii="Arial" w:eastAsia="Times New Roman" w:hAnsi="Arial" w:cs="Arial"/>
                <w:color w:val="0F9ED5"/>
                <w:lang w:val="en-AE" w:eastAsia="en-AE"/>
              </w:rPr>
            </w:pPr>
            <w:r w:rsidRPr="00D01B7A">
              <w:rPr>
                <w:rFonts w:ascii="Arial" w:hAnsi="Arial" w:cs="Arial"/>
                <w:color w:val="00B0F0"/>
              </w:rPr>
              <w:t>-0.0458***</w:t>
            </w:r>
          </w:p>
        </w:tc>
        <w:tc>
          <w:tcPr>
            <w:tcW w:w="1374" w:type="dxa"/>
            <w:tcBorders>
              <w:top w:val="nil"/>
              <w:left w:val="nil"/>
              <w:bottom w:val="nil"/>
              <w:right w:val="nil"/>
            </w:tcBorders>
            <w:noWrap/>
            <w:vAlign w:val="bottom"/>
            <w:hideMark/>
          </w:tcPr>
          <w:p w14:paraId="6FE1D44C" w14:textId="77777777" w:rsidR="00F67C07" w:rsidRPr="00D01B7A" w:rsidRDefault="00F67C07" w:rsidP="00173A63">
            <w:pPr>
              <w:spacing w:after="0" w:line="240" w:lineRule="auto"/>
              <w:jc w:val="center"/>
              <w:rPr>
                <w:rFonts w:ascii="Arial" w:eastAsia="Times New Roman" w:hAnsi="Arial" w:cs="Arial"/>
                <w:color w:val="0F9ED5"/>
                <w:lang w:val="en-AE" w:eastAsia="en-AE"/>
              </w:rPr>
            </w:pPr>
            <w:r w:rsidRPr="00D01B7A">
              <w:rPr>
                <w:rFonts w:ascii="Arial" w:hAnsi="Arial" w:cs="Arial"/>
                <w:color w:val="00B0F0"/>
              </w:rPr>
              <w:t>-0.0269***</w:t>
            </w:r>
          </w:p>
        </w:tc>
        <w:tc>
          <w:tcPr>
            <w:tcW w:w="1327" w:type="dxa"/>
            <w:tcBorders>
              <w:top w:val="nil"/>
              <w:left w:val="nil"/>
              <w:bottom w:val="nil"/>
              <w:right w:val="nil"/>
            </w:tcBorders>
            <w:noWrap/>
            <w:vAlign w:val="bottom"/>
            <w:hideMark/>
          </w:tcPr>
          <w:p w14:paraId="459A64AA" w14:textId="77777777" w:rsidR="00F67C07" w:rsidRPr="00D01B7A" w:rsidRDefault="00F67C07" w:rsidP="00173A63">
            <w:pPr>
              <w:spacing w:after="0" w:line="240" w:lineRule="auto"/>
              <w:jc w:val="center"/>
              <w:rPr>
                <w:rFonts w:ascii="Arial" w:eastAsia="Times New Roman" w:hAnsi="Arial" w:cs="Arial"/>
                <w:color w:val="0F9ED5"/>
                <w:lang w:val="en-AE" w:eastAsia="en-AE"/>
              </w:rPr>
            </w:pPr>
            <w:r w:rsidRPr="00D01B7A">
              <w:rPr>
                <w:rFonts w:ascii="Arial" w:hAnsi="Arial" w:cs="Arial"/>
                <w:color w:val="00B0F0"/>
              </w:rPr>
              <w:t>-0.0991***</w:t>
            </w:r>
          </w:p>
        </w:tc>
        <w:tc>
          <w:tcPr>
            <w:tcW w:w="1311" w:type="dxa"/>
            <w:tcBorders>
              <w:top w:val="nil"/>
              <w:left w:val="nil"/>
              <w:bottom w:val="nil"/>
              <w:right w:val="nil"/>
            </w:tcBorders>
            <w:noWrap/>
            <w:vAlign w:val="bottom"/>
            <w:hideMark/>
          </w:tcPr>
          <w:p w14:paraId="4F14ADBE" w14:textId="77777777" w:rsidR="00F67C07" w:rsidRPr="00D01B7A" w:rsidRDefault="00F67C07" w:rsidP="00173A63">
            <w:pPr>
              <w:spacing w:after="0" w:line="240" w:lineRule="auto"/>
              <w:jc w:val="center"/>
              <w:rPr>
                <w:rFonts w:ascii="Arial" w:eastAsia="Times New Roman" w:hAnsi="Arial" w:cs="Arial"/>
                <w:color w:val="0F9ED5"/>
                <w:lang w:val="en-AE" w:eastAsia="en-AE"/>
              </w:rPr>
            </w:pPr>
            <w:r w:rsidRPr="00D01B7A">
              <w:rPr>
                <w:rFonts w:ascii="Arial" w:hAnsi="Arial" w:cs="Arial"/>
                <w:color w:val="00B0F0"/>
              </w:rPr>
              <w:t>-0.0148***</w:t>
            </w:r>
          </w:p>
        </w:tc>
        <w:tc>
          <w:tcPr>
            <w:tcW w:w="1388" w:type="dxa"/>
            <w:tcBorders>
              <w:top w:val="nil"/>
              <w:left w:val="nil"/>
              <w:bottom w:val="nil"/>
              <w:right w:val="nil"/>
            </w:tcBorders>
            <w:noWrap/>
            <w:vAlign w:val="bottom"/>
            <w:hideMark/>
          </w:tcPr>
          <w:p w14:paraId="675A1FA6" w14:textId="77777777" w:rsidR="00F67C07" w:rsidRPr="00D01B7A" w:rsidRDefault="00F67C07" w:rsidP="00173A63">
            <w:pPr>
              <w:spacing w:after="0" w:line="240" w:lineRule="auto"/>
              <w:jc w:val="center"/>
              <w:rPr>
                <w:rFonts w:ascii="Arial" w:eastAsia="Times New Roman" w:hAnsi="Arial" w:cs="Arial"/>
                <w:color w:val="0F9ED5"/>
                <w:lang w:val="en-AE" w:eastAsia="en-AE"/>
              </w:rPr>
            </w:pPr>
            <w:r w:rsidRPr="00D01B7A">
              <w:rPr>
                <w:rFonts w:ascii="Arial" w:hAnsi="Arial" w:cs="Arial"/>
                <w:color w:val="00B0F0"/>
              </w:rPr>
              <w:t>-0.00329</w:t>
            </w:r>
          </w:p>
        </w:tc>
      </w:tr>
      <w:tr w:rsidR="00F67C07" w:rsidRPr="00D01B7A" w14:paraId="0271815F" w14:textId="77777777" w:rsidTr="00D01B7A">
        <w:trPr>
          <w:trHeight w:val="277"/>
        </w:trPr>
        <w:tc>
          <w:tcPr>
            <w:tcW w:w="2442" w:type="dxa"/>
            <w:tcBorders>
              <w:top w:val="nil"/>
              <w:left w:val="nil"/>
              <w:bottom w:val="nil"/>
              <w:right w:val="nil"/>
            </w:tcBorders>
            <w:noWrap/>
            <w:vAlign w:val="bottom"/>
            <w:hideMark/>
          </w:tcPr>
          <w:p w14:paraId="6210BA37" w14:textId="77777777" w:rsidR="00F67C07" w:rsidRPr="00D01B7A" w:rsidRDefault="00F67C07" w:rsidP="00173A63">
            <w:pPr>
              <w:spacing w:after="0" w:line="240" w:lineRule="auto"/>
              <w:jc w:val="center"/>
              <w:rPr>
                <w:rFonts w:ascii="Arial" w:eastAsia="Times New Roman" w:hAnsi="Arial" w:cs="Arial"/>
                <w:color w:val="0F9ED5"/>
                <w:lang w:val="en-AE" w:eastAsia="en-AE"/>
              </w:rPr>
            </w:pPr>
          </w:p>
        </w:tc>
        <w:tc>
          <w:tcPr>
            <w:tcW w:w="1248" w:type="dxa"/>
            <w:tcBorders>
              <w:top w:val="nil"/>
              <w:left w:val="nil"/>
              <w:bottom w:val="nil"/>
              <w:right w:val="nil"/>
            </w:tcBorders>
            <w:noWrap/>
            <w:vAlign w:val="bottom"/>
            <w:hideMark/>
          </w:tcPr>
          <w:p w14:paraId="36C4ADDE"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(-7.452)</w:t>
            </w:r>
          </w:p>
        </w:tc>
        <w:tc>
          <w:tcPr>
            <w:tcW w:w="1374" w:type="dxa"/>
            <w:tcBorders>
              <w:top w:val="nil"/>
              <w:left w:val="nil"/>
              <w:bottom w:val="nil"/>
              <w:right w:val="nil"/>
            </w:tcBorders>
            <w:noWrap/>
            <w:vAlign w:val="bottom"/>
            <w:hideMark/>
          </w:tcPr>
          <w:p w14:paraId="324EE7FA"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(-4.339)</w:t>
            </w:r>
          </w:p>
        </w:tc>
        <w:tc>
          <w:tcPr>
            <w:tcW w:w="1327" w:type="dxa"/>
            <w:tcBorders>
              <w:top w:val="nil"/>
              <w:left w:val="nil"/>
              <w:bottom w:val="nil"/>
              <w:right w:val="nil"/>
            </w:tcBorders>
            <w:noWrap/>
            <w:vAlign w:val="bottom"/>
            <w:hideMark/>
          </w:tcPr>
          <w:p w14:paraId="182642DB"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(-6.881)</w:t>
            </w:r>
          </w:p>
        </w:tc>
        <w:tc>
          <w:tcPr>
            <w:tcW w:w="1311" w:type="dxa"/>
            <w:tcBorders>
              <w:top w:val="nil"/>
              <w:left w:val="nil"/>
              <w:bottom w:val="nil"/>
              <w:right w:val="nil"/>
            </w:tcBorders>
            <w:noWrap/>
            <w:vAlign w:val="bottom"/>
            <w:hideMark/>
          </w:tcPr>
          <w:p w14:paraId="0EDF87A8"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(-2.669)</w:t>
            </w:r>
          </w:p>
        </w:tc>
        <w:tc>
          <w:tcPr>
            <w:tcW w:w="1388" w:type="dxa"/>
            <w:tcBorders>
              <w:top w:val="nil"/>
              <w:left w:val="nil"/>
              <w:bottom w:val="nil"/>
              <w:right w:val="nil"/>
            </w:tcBorders>
            <w:noWrap/>
            <w:vAlign w:val="bottom"/>
            <w:hideMark/>
          </w:tcPr>
          <w:p w14:paraId="3063DF12"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(-0.595)</w:t>
            </w:r>
          </w:p>
        </w:tc>
      </w:tr>
      <w:tr w:rsidR="00F67C07" w:rsidRPr="00D01B7A" w14:paraId="706ED519" w14:textId="77777777" w:rsidTr="00D01B7A">
        <w:trPr>
          <w:trHeight w:val="277"/>
        </w:trPr>
        <w:tc>
          <w:tcPr>
            <w:tcW w:w="2442" w:type="dxa"/>
            <w:tcBorders>
              <w:top w:val="nil"/>
              <w:left w:val="nil"/>
              <w:bottom w:val="nil"/>
              <w:right w:val="nil"/>
            </w:tcBorders>
            <w:noWrap/>
            <w:vAlign w:val="center"/>
            <w:hideMark/>
          </w:tcPr>
          <w:p w14:paraId="577CC618" w14:textId="74AC09E4" w:rsidR="00F67C07" w:rsidRPr="00D01B7A" w:rsidRDefault="00F67C07" w:rsidP="00173A63">
            <w:pPr>
              <w:spacing w:after="0" w:line="240" w:lineRule="auto"/>
              <w:rPr>
                <w:rFonts w:ascii="Arial" w:eastAsia="Times New Roman" w:hAnsi="Arial" w:cs="Arial"/>
                <w:lang w:val="en-AE" w:eastAsia="en-AE"/>
              </w:rPr>
            </w:pPr>
            <w:r w:rsidRPr="00D01B7A">
              <w:rPr>
                <w:rFonts w:ascii="Arial" w:hAnsi="Arial" w:cs="Arial"/>
                <w:color w:val="000000"/>
              </w:rPr>
              <w:t>Risk-</w:t>
            </w:r>
            <w:r w:rsidR="00EA4C3E" w:rsidRPr="00D01B7A">
              <w:rPr>
                <w:rFonts w:ascii="Arial" w:hAnsi="Arial" w:cs="Arial"/>
                <w:lang w:val="en-AE"/>
              </w:rPr>
              <w:t xml:space="preserve"> weighted </w:t>
            </w:r>
            <w:r w:rsidRPr="00D01B7A">
              <w:rPr>
                <w:rFonts w:ascii="Arial" w:hAnsi="Arial" w:cs="Arial"/>
                <w:color w:val="000000"/>
              </w:rPr>
              <w:t>Capital</w:t>
            </w:r>
          </w:p>
        </w:tc>
        <w:tc>
          <w:tcPr>
            <w:tcW w:w="1248" w:type="dxa"/>
            <w:tcBorders>
              <w:top w:val="nil"/>
              <w:left w:val="nil"/>
              <w:bottom w:val="nil"/>
              <w:right w:val="nil"/>
            </w:tcBorders>
            <w:noWrap/>
            <w:vAlign w:val="bottom"/>
            <w:hideMark/>
          </w:tcPr>
          <w:p w14:paraId="68C8637B"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74" w:type="dxa"/>
            <w:tcBorders>
              <w:top w:val="nil"/>
              <w:left w:val="nil"/>
              <w:bottom w:val="nil"/>
              <w:right w:val="nil"/>
            </w:tcBorders>
            <w:noWrap/>
            <w:vAlign w:val="bottom"/>
            <w:hideMark/>
          </w:tcPr>
          <w:p w14:paraId="6A9D5194" w14:textId="77777777" w:rsidR="00F67C07" w:rsidRPr="00D01B7A" w:rsidRDefault="00F67C07" w:rsidP="00173A63">
            <w:pPr>
              <w:spacing w:after="0" w:line="240" w:lineRule="auto"/>
              <w:jc w:val="center"/>
              <w:rPr>
                <w:rFonts w:ascii="Arial" w:eastAsia="Times New Roman" w:hAnsi="Arial" w:cs="Arial"/>
                <w:color w:val="0F9ED5"/>
                <w:lang w:val="en-AE" w:eastAsia="en-AE"/>
              </w:rPr>
            </w:pPr>
            <w:r w:rsidRPr="00D01B7A">
              <w:rPr>
                <w:rFonts w:ascii="Arial" w:hAnsi="Arial" w:cs="Arial"/>
                <w:color w:val="00B0F0"/>
              </w:rPr>
              <w:t>-0.00124***</w:t>
            </w:r>
          </w:p>
        </w:tc>
        <w:tc>
          <w:tcPr>
            <w:tcW w:w="1327" w:type="dxa"/>
            <w:tcBorders>
              <w:top w:val="nil"/>
              <w:left w:val="nil"/>
              <w:bottom w:val="nil"/>
              <w:right w:val="nil"/>
            </w:tcBorders>
            <w:noWrap/>
            <w:vAlign w:val="bottom"/>
            <w:hideMark/>
          </w:tcPr>
          <w:p w14:paraId="304F8A2F" w14:textId="77777777" w:rsidR="00F67C07" w:rsidRPr="00D01B7A" w:rsidRDefault="00F67C07" w:rsidP="00173A63">
            <w:pPr>
              <w:spacing w:after="0" w:line="240" w:lineRule="auto"/>
              <w:jc w:val="center"/>
              <w:rPr>
                <w:rFonts w:ascii="Arial" w:eastAsia="Times New Roman" w:hAnsi="Arial" w:cs="Arial"/>
                <w:color w:val="0F9ED5"/>
                <w:lang w:val="en-AE" w:eastAsia="en-AE"/>
              </w:rPr>
            </w:pPr>
          </w:p>
        </w:tc>
        <w:tc>
          <w:tcPr>
            <w:tcW w:w="1311" w:type="dxa"/>
            <w:tcBorders>
              <w:top w:val="nil"/>
              <w:left w:val="nil"/>
              <w:bottom w:val="nil"/>
              <w:right w:val="nil"/>
            </w:tcBorders>
            <w:noWrap/>
            <w:vAlign w:val="bottom"/>
            <w:hideMark/>
          </w:tcPr>
          <w:p w14:paraId="76750ABB" w14:textId="77777777" w:rsidR="00F67C07" w:rsidRPr="00D01B7A" w:rsidRDefault="00F67C07" w:rsidP="00173A63">
            <w:pPr>
              <w:spacing w:after="0" w:line="240" w:lineRule="auto"/>
              <w:jc w:val="center"/>
              <w:rPr>
                <w:rFonts w:ascii="Arial" w:eastAsia="Times New Roman" w:hAnsi="Arial" w:cs="Arial"/>
                <w:color w:val="0F9ED5"/>
                <w:lang w:val="en-AE" w:eastAsia="en-AE"/>
              </w:rPr>
            </w:pPr>
          </w:p>
        </w:tc>
        <w:tc>
          <w:tcPr>
            <w:tcW w:w="1388" w:type="dxa"/>
            <w:tcBorders>
              <w:top w:val="nil"/>
              <w:left w:val="nil"/>
              <w:bottom w:val="nil"/>
              <w:right w:val="nil"/>
            </w:tcBorders>
            <w:noWrap/>
            <w:vAlign w:val="bottom"/>
            <w:hideMark/>
          </w:tcPr>
          <w:p w14:paraId="0329AA17" w14:textId="77777777" w:rsidR="00F67C07" w:rsidRPr="00D01B7A" w:rsidRDefault="00F67C07" w:rsidP="00173A63">
            <w:pPr>
              <w:spacing w:after="0" w:line="240" w:lineRule="auto"/>
              <w:jc w:val="center"/>
              <w:rPr>
                <w:rFonts w:ascii="Arial" w:eastAsia="Times New Roman" w:hAnsi="Arial" w:cs="Arial"/>
                <w:color w:val="0F9ED5"/>
                <w:lang w:val="en-AE" w:eastAsia="en-AE"/>
              </w:rPr>
            </w:pPr>
            <w:r w:rsidRPr="00D01B7A">
              <w:rPr>
                <w:rFonts w:ascii="Arial" w:hAnsi="Arial" w:cs="Arial"/>
                <w:color w:val="00B0F0"/>
              </w:rPr>
              <w:t>-0.00201***</w:t>
            </w:r>
          </w:p>
        </w:tc>
      </w:tr>
      <w:tr w:rsidR="00F67C07" w:rsidRPr="00D01B7A" w14:paraId="28662DB2" w14:textId="77777777" w:rsidTr="00D01B7A">
        <w:trPr>
          <w:trHeight w:val="277"/>
        </w:trPr>
        <w:tc>
          <w:tcPr>
            <w:tcW w:w="2442" w:type="dxa"/>
            <w:tcBorders>
              <w:top w:val="nil"/>
              <w:left w:val="nil"/>
              <w:bottom w:val="nil"/>
              <w:right w:val="nil"/>
            </w:tcBorders>
            <w:noWrap/>
            <w:vAlign w:val="center"/>
            <w:hideMark/>
          </w:tcPr>
          <w:p w14:paraId="66F20862"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hAnsi="Arial" w:cs="Arial"/>
                <w:color w:val="000000"/>
              </w:rPr>
              <w:t> </w:t>
            </w:r>
          </w:p>
        </w:tc>
        <w:tc>
          <w:tcPr>
            <w:tcW w:w="1248" w:type="dxa"/>
            <w:tcBorders>
              <w:top w:val="nil"/>
              <w:left w:val="nil"/>
              <w:bottom w:val="nil"/>
              <w:right w:val="nil"/>
            </w:tcBorders>
            <w:noWrap/>
            <w:vAlign w:val="bottom"/>
            <w:hideMark/>
          </w:tcPr>
          <w:p w14:paraId="6E388286"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74" w:type="dxa"/>
            <w:tcBorders>
              <w:top w:val="nil"/>
              <w:left w:val="nil"/>
              <w:bottom w:val="nil"/>
              <w:right w:val="nil"/>
            </w:tcBorders>
            <w:noWrap/>
            <w:vAlign w:val="bottom"/>
            <w:hideMark/>
          </w:tcPr>
          <w:p w14:paraId="08F4303D"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(-6.547)</w:t>
            </w:r>
          </w:p>
        </w:tc>
        <w:tc>
          <w:tcPr>
            <w:tcW w:w="1327" w:type="dxa"/>
            <w:tcBorders>
              <w:top w:val="nil"/>
              <w:left w:val="nil"/>
              <w:bottom w:val="nil"/>
              <w:right w:val="nil"/>
            </w:tcBorders>
            <w:noWrap/>
            <w:vAlign w:val="bottom"/>
            <w:hideMark/>
          </w:tcPr>
          <w:p w14:paraId="1AEB5AD2"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11" w:type="dxa"/>
            <w:tcBorders>
              <w:top w:val="nil"/>
              <w:left w:val="nil"/>
              <w:bottom w:val="nil"/>
              <w:right w:val="nil"/>
            </w:tcBorders>
            <w:noWrap/>
            <w:vAlign w:val="bottom"/>
            <w:hideMark/>
          </w:tcPr>
          <w:p w14:paraId="5207E8C7"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88" w:type="dxa"/>
            <w:tcBorders>
              <w:top w:val="nil"/>
              <w:left w:val="nil"/>
              <w:bottom w:val="nil"/>
              <w:right w:val="nil"/>
            </w:tcBorders>
            <w:noWrap/>
            <w:vAlign w:val="bottom"/>
            <w:hideMark/>
          </w:tcPr>
          <w:p w14:paraId="147A06DE"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(-5.048)</w:t>
            </w:r>
          </w:p>
        </w:tc>
      </w:tr>
      <w:tr w:rsidR="00F67C07" w:rsidRPr="00D01B7A" w14:paraId="0A861601" w14:textId="77777777" w:rsidTr="00D01B7A">
        <w:trPr>
          <w:trHeight w:val="277"/>
        </w:trPr>
        <w:tc>
          <w:tcPr>
            <w:tcW w:w="2442" w:type="dxa"/>
            <w:tcBorders>
              <w:top w:val="nil"/>
              <w:left w:val="nil"/>
              <w:bottom w:val="nil"/>
              <w:right w:val="nil"/>
            </w:tcBorders>
            <w:noWrap/>
            <w:vAlign w:val="center"/>
            <w:hideMark/>
          </w:tcPr>
          <w:p w14:paraId="72F3BE3B"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hAnsi="Arial" w:cs="Arial"/>
                <w:color w:val="000000"/>
              </w:rPr>
              <w:t>Liquidity Risk</w:t>
            </w:r>
          </w:p>
        </w:tc>
        <w:tc>
          <w:tcPr>
            <w:tcW w:w="1248" w:type="dxa"/>
            <w:tcBorders>
              <w:top w:val="nil"/>
              <w:left w:val="nil"/>
              <w:bottom w:val="nil"/>
              <w:right w:val="nil"/>
            </w:tcBorders>
            <w:noWrap/>
            <w:vAlign w:val="bottom"/>
            <w:hideMark/>
          </w:tcPr>
          <w:p w14:paraId="0BD5E2F6" w14:textId="77777777" w:rsidR="00F67C07" w:rsidRPr="00D01B7A" w:rsidRDefault="00F67C07" w:rsidP="00173A63">
            <w:pPr>
              <w:spacing w:after="0" w:line="240" w:lineRule="auto"/>
              <w:rPr>
                <w:rFonts w:ascii="Arial" w:eastAsia="Times New Roman" w:hAnsi="Arial" w:cs="Arial"/>
                <w:lang w:val="en-AE" w:eastAsia="en-AE"/>
              </w:rPr>
            </w:pPr>
          </w:p>
        </w:tc>
        <w:tc>
          <w:tcPr>
            <w:tcW w:w="1374" w:type="dxa"/>
            <w:tcBorders>
              <w:top w:val="nil"/>
              <w:left w:val="nil"/>
              <w:bottom w:val="nil"/>
              <w:right w:val="nil"/>
            </w:tcBorders>
            <w:noWrap/>
            <w:vAlign w:val="bottom"/>
            <w:hideMark/>
          </w:tcPr>
          <w:p w14:paraId="27709EDB"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27" w:type="dxa"/>
            <w:tcBorders>
              <w:top w:val="nil"/>
              <w:left w:val="nil"/>
              <w:bottom w:val="nil"/>
              <w:right w:val="nil"/>
            </w:tcBorders>
            <w:noWrap/>
            <w:vAlign w:val="bottom"/>
            <w:hideMark/>
          </w:tcPr>
          <w:p w14:paraId="268B06D6" w14:textId="77777777" w:rsidR="00F67C07" w:rsidRPr="00D01B7A" w:rsidRDefault="00F67C07" w:rsidP="00173A63">
            <w:pPr>
              <w:spacing w:after="0" w:line="240" w:lineRule="auto"/>
              <w:jc w:val="center"/>
              <w:rPr>
                <w:rFonts w:ascii="Arial" w:eastAsia="Times New Roman" w:hAnsi="Arial" w:cs="Arial"/>
                <w:color w:val="00B0F0"/>
                <w:lang w:val="en-AE" w:eastAsia="en-AE"/>
              </w:rPr>
            </w:pPr>
            <w:r w:rsidRPr="00D01B7A">
              <w:rPr>
                <w:rFonts w:ascii="Arial" w:hAnsi="Arial" w:cs="Arial"/>
                <w:color w:val="00B0F0"/>
              </w:rPr>
              <w:t>-0.0797***</w:t>
            </w:r>
          </w:p>
        </w:tc>
        <w:tc>
          <w:tcPr>
            <w:tcW w:w="1311" w:type="dxa"/>
            <w:tcBorders>
              <w:top w:val="nil"/>
              <w:left w:val="nil"/>
              <w:bottom w:val="nil"/>
              <w:right w:val="nil"/>
            </w:tcBorders>
            <w:noWrap/>
            <w:vAlign w:val="bottom"/>
            <w:hideMark/>
          </w:tcPr>
          <w:p w14:paraId="3E91F9F6" w14:textId="77777777" w:rsidR="00F67C07" w:rsidRPr="00D01B7A" w:rsidRDefault="00F67C07" w:rsidP="00173A63">
            <w:pPr>
              <w:spacing w:after="0" w:line="240" w:lineRule="auto"/>
              <w:jc w:val="center"/>
              <w:rPr>
                <w:rFonts w:ascii="Arial" w:eastAsia="Times New Roman" w:hAnsi="Arial" w:cs="Arial"/>
                <w:color w:val="00B0F0"/>
                <w:lang w:val="en-AE" w:eastAsia="en-AE"/>
              </w:rPr>
            </w:pPr>
          </w:p>
        </w:tc>
        <w:tc>
          <w:tcPr>
            <w:tcW w:w="1388" w:type="dxa"/>
            <w:tcBorders>
              <w:top w:val="nil"/>
              <w:left w:val="nil"/>
              <w:bottom w:val="nil"/>
              <w:right w:val="nil"/>
            </w:tcBorders>
            <w:noWrap/>
            <w:vAlign w:val="bottom"/>
            <w:hideMark/>
          </w:tcPr>
          <w:p w14:paraId="012F3161" w14:textId="77777777" w:rsidR="00F67C07" w:rsidRPr="00D01B7A" w:rsidRDefault="00F67C07" w:rsidP="00173A63">
            <w:pPr>
              <w:spacing w:after="0" w:line="240" w:lineRule="auto"/>
              <w:jc w:val="center"/>
              <w:rPr>
                <w:rFonts w:ascii="Arial" w:eastAsia="Times New Roman" w:hAnsi="Arial" w:cs="Arial"/>
                <w:color w:val="00B0F0"/>
                <w:lang w:val="en-AE" w:eastAsia="en-AE"/>
              </w:rPr>
            </w:pPr>
            <w:r w:rsidRPr="00D01B7A">
              <w:rPr>
                <w:rFonts w:ascii="Arial" w:hAnsi="Arial" w:cs="Arial"/>
                <w:color w:val="FF0000"/>
              </w:rPr>
              <w:t>0.0630**</w:t>
            </w:r>
          </w:p>
        </w:tc>
      </w:tr>
      <w:tr w:rsidR="00F67C07" w:rsidRPr="00D01B7A" w14:paraId="2F612DAC" w14:textId="77777777" w:rsidTr="00D01B7A">
        <w:trPr>
          <w:trHeight w:val="277"/>
        </w:trPr>
        <w:tc>
          <w:tcPr>
            <w:tcW w:w="2442" w:type="dxa"/>
            <w:tcBorders>
              <w:top w:val="nil"/>
              <w:left w:val="nil"/>
              <w:bottom w:val="nil"/>
              <w:right w:val="nil"/>
            </w:tcBorders>
            <w:noWrap/>
            <w:vAlign w:val="bottom"/>
            <w:hideMark/>
          </w:tcPr>
          <w:p w14:paraId="5506EDF1" w14:textId="77777777" w:rsidR="00F67C07" w:rsidRPr="00D01B7A" w:rsidRDefault="00F67C07" w:rsidP="00173A63">
            <w:pPr>
              <w:spacing w:after="0" w:line="240" w:lineRule="auto"/>
              <w:jc w:val="center"/>
              <w:rPr>
                <w:rFonts w:ascii="Arial" w:eastAsia="Times New Roman" w:hAnsi="Arial" w:cs="Arial"/>
                <w:color w:val="00B0F0"/>
                <w:lang w:val="en-AE" w:eastAsia="en-AE"/>
              </w:rPr>
            </w:pPr>
          </w:p>
        </w:tc>
        <w:tc>
          <w:tcPr>
            <w:tcW w:w="1248" w:type="dxa"/>
            <w:tcBorders>
              <w:top w:val="nil"/>
              <w:left w:val="nil"/>
              <w:bottom w:val="nil"/>
              <w:right w:val="nil"/>
            </w:tcBorders>
            <w:noWrap/>
            <w:vAlign w:val="bottom"/>
            <w:hideMark/>
          </w:tcPr>
          <w:p w14:paraId="05E32A22" w14:textId="77777777" w:rsidR="00F67C07" w:rsidRPr="00D01B7A" w:rsidRDefault="00F67C07" w:rsidP="00173A63">
            <w:pPr>
              <w:spacing w:after="0" w:line="240" w:lineRule="auto"/>
              <w:rPr>
                <w:rFonts w:ascii="Arial" w:eastAsia="Times New Roman" w:hAnsi="Arial" w:cs="Arial"/>
                <w:lang w:val="en-AE" w:eastAsia="en-AE"/>
              </w:rPr>
            </w:pPr>
          </w:p>
        </w:tc>
        <w:tc>
          <w:tcPr>
            <w:tcW w:w="1374" w:type="dxa"/>
            <w:tcBorders>
              <w:top w:val="nil"/>
              <w:left w:val="nil"/>
              <w:bottom w:val="nil"/>
              <w:right w:val="nil"/>
            </w:tcBorders>
            <w:noWrap/>
            <w:vAlign w:val="bottom"/>
            <w:hideMark/>
          </w:tcPr>
          <w:p w14:paraId="76D4019C"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27" w:type="dxa"/>
            <w:tcBorders>
              <w:top w:val="nil"/>
              <w:left w:val="nil"/>
              <w:bottom w:val="nil"/>
              <w:right w:val="nil"/>
            </w:tcBorders>
            <w:noWrap/>
            <w:vAlign w:val="bottom"/>
            <w:hideMark/>
          </w:tcPr>
          <w:p w14:paraId="3E4EC4C5"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(-3.027)</w:t>
            </w:r>
          </w:p>
        </w:tc>
        <w:tc>
          <w:tcPr>
            <w:tcW w:w="1311" w:type="dxa"/>
            <w:tcBorders>
              <w:top w:val="nil"/>
              <w:left w:val="nil"/>
              <w:bottom w:val="nil"/>
              <w:right w:val="nil"/>
            </w:tcBorders>
            <w:noWrap/>
            <w:vAlign w:val="bottom"/>
            <w:hideMark/>
          </w:tcPr>
          <w:p w14:paraId="6EDF8039"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88" w:type="dxa"/>
            <w:tcBorders>
              <w:top w:val="nil"/>
              <w:left w:val="nil"/>
              <w:bottom w:val="nil"/>
              <w:right w:val="nil"/>
            </w:tcBorders>
            <w:noWrap/>
            <w:vAlign w:val="bottom"/>
            <w:hideMark/>
          </w:tcPr>
          <w:p w14:paraId="0F46EF90"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(2.462)</w:t>
            </w:r>
          </w:p>
        </w:tc>
      </w:tr>
      <w:tr w:rsidR="00F67C07" w:rsidRPr="00D01B7A" w14:paraId="44E0587D" w14:textId="77777777" w:rsidTr="00D01B7A">
        <w:trPr>
          <w:trHeight w:val="277"/>
        </w:trPr>
        <w:tc>
          <w:tcPr>
            <w:tcW w:w="2442" w:type="dxa"/>
            <w:tcBorders>
              <w:top w:val="nil"/>
              <w:left w:val="nil"/>
              <w:bottom w:val="nil"/>
              <w:right w:val="nil"/>
            </w:tcBorders>
            <w:noWrap/>
            <w:vAlign w:val="bottom"/>
            <w:hideMark/>
          </w:tcPr>
          <w:p w14:paraId="3E21E877"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hAnsi="Arial" w:cs="Arial"/>
                <w:color w:val="000000"/>
              </w:rPr>
              <w:t>Credit Risk</w:t>
            </w:r>
          </w:p>
        </w:tc>
        <w:tc>
          <w:tcPr>
            <w:tcW w:w="1248" w:type="dxa"/>
            <w:tcBorders>
              <w:top w:val="nil"/>
              <w:left w:val="nil"/>
              <w:bottom w:val="nil"/>
              <w:right w:val="nil"/>
            </w:tcBorders>
            <w:noWrap/>
            <w:vAlign w:val="bottom"/>
            <w:hideMark/>
          </w:tcPr>
          <w:p w14:paraId="35DFF3EC" w14:textId="77777777" w:rsidR="00F67C07" w:rsidRPr="00D01B7A" w:rsidRDefault="00F67C07" w:rsidP="00173A63">
            <w:pPr>
              <w:spacing w:after="0" w:line="240" w:lineRule="auto"/>
              <w:rPr>
                <w:rFonts w:ascii="Arial" w:eastAsia="Times New Roman" w:hAnsi="Arial" w:cs="Arial"/>
                <w:lang w:val="en-AE" w:eastAsia="en-AE"/>
              </w:rPr>
            </w:pPr>
          </w:p>
        </w:tc>
        <w:tc>
          <w:tcPr>
            <w:tcW w:w="1374" w:type="dxa"/>
            <w:tcBorders>
              <w:top w:val="nil"/>
              <w:left w:val="nil"/>
              <w:bottom w:val="nil"/>
              <w:right w:val="nil"/>
            </w:tcBorders>
            <w:noWrap/>
            <w:vAlign w:val="bottom"/>
            <w:hideMark/>
          </w:tcPr>
          <w:p w14:paraId="6B9D84A4"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27" w:type="dxa"/>
            <w:tcBorders>
              <w:top w:val="nil"/>
              <w:left w:val="nil"/>
              <w:bottom w:val="nil"/>
              <w:right w:val="nil"/>
            </w:tcBorders>
            <w:noWrap/>
            <w:vAlign w:val="bottom"/>
            <w:hideMark/>
          </w:tcPr>
          <w:p w14:paraId="14F6749A"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11" w:type="dxa"/>
            <w:tcBorders>
              <w:top w:val="nil"/>
              <w:left w:val="nil"/>
              <w:bottom w:val="nil"/>
              <w:right w:val="nil"/>
            </w:tcBorders>
            <w:noWrap/>
            <w:vAlign w:val="bottom"/>
            <w:hideMark/>
          </w:tcPr>
          <w:p w14:paraId="4DE3F683" w14:textId="77777777" w:rsidR="00F67C07" w:rsidRPr="00D01B7A" w:rsidRDefault="00F67C07" w:rsidP="00173A63">
            <w:pPr>
              <w:spacing w:after="0" w:line="240" w:lineRule="auto"/>
              <w:jc w:val="center"/>
              <w:rPr>
                <w:rFonts w:ascii="Arial" w:eastAsia="Times New Roman" w:hAnsi="Arial" w:cs="Arial"/>
                <w:color w:val="0F9ED5"/>
                <w:lang w:val="en-AE" w:eastAsia="en-AE"/>
              </w:rPr>
            </w:pPr>
            <w:r w:rsidRPr="00D01B7A">
              <w:rPr>
                <w:rFonts w:ascii="Arial" w:hAnsi="Arial" w:cs="Arial"/>
                <w:color w:val="00B0F0"/>
              </w:rPr>
              <w:t>-0.00895**</w:t>
            </w:r>
          </w:p>
        </w:tc>
        <w:tc>
          <w:tcPr>
            <w:tcW w:w="1388" w:type="dxa"/>
            <w:tcBorders>
              <w:top w:val="nil"/>
              <w:left w:val="nil"/>
              <w:bottom w:val="nil"/>
              <w:right w:val="nil"/>
            </w:tcBorders>
            <w:noWrap/>
            <w:vAlign w:val="bottom"/>
            <w:hideMark/>
          </w:tcPr>
          <w:p w14:paraId="3D74CCC4" w14:textId="77777777" w:rsidR="00F67C07" w:rsidRPr="00D01B7A" w:rsidRDefault="00F67C07" w:rsidP="00173A63">
            <w:pPr>
              <w:spacing w:after="0" w:line="240" w:lineRule="auto"/>
              <w:jc w:val="center"/>
              <w:rPr>
                <w:rFonts w:ascii="Arial" w:eastAsia="Times New Roman" w:hAnsi="Arial" w:cs="Arial"/>
                <w:color w:val="FF0000"/>
                <w:lang w:val="en-AE" w:eastAsia="en-AE"/>
              </w:rPr>
            </w:pPr>
            <w:r w:rsidRPr="00D01B7A">
              <w:rPr>
                <w:rFonts w:ascii="Arial" w:hAnsi="Arial" w:cs="Arial"/>
                <w:color w:val="00B0F0"/>
              </w:rPr>
              <w:t>-0.0135***</w:t>
            </w:r>
          </w:p>
        </w:tc>
      </w:tr>
      <w:tr w:rsidR="00F67C07" w:rsidRPr="00D01B7A" w14:paraId="068A5604" w14:textId="77777777" w:rsidTr="00D01B7A">
        <w:trPr>
          <w:trHeight w:val="277"/>
        </w:trPr>
        <w:tc>
          <w:tcPr>
            <w:tcW w:w="2442" w:type="dxa"/>
            <w:tcBorders>
              <w:top w:val="nil"/>
              <w:left w:val="nil"/>
              <w:bottom w:val="nil"/>
              <w:right w:val="nil"/>
            </w:tcBorders>
            <w:noWrap/>
            <w:vAlign w:val="bottom"/>
            <w:hideMark/>
          </w:tcPr>
          <w:p w14:paraId="6DAF92B7" w14:textId="77777777" w:rsidR="00F67C07" w:rsidRPr="00D01B7A" w:rsidRDefault="00F67C07" w:rsidP="00173A63">
            <w:pPr>
              <w:spacing w:after="0" w:line="240" w:lineRule="auto"/>
              <w:jc w:val="center"/>
              <w:rPr>
                <w:rFonts w:ascii="Arial" w:eastAsia="Times New Roman" w:hAnsi="Arial" w:cs="Arial"/>
                <w:color w:val="FF0000"/>
                <w:lang w:val="en-AE" w:eastAsia="en-AE"/>
              </w:rPr>
            </w:pPr>
          </w:p>
        </w:tc>
        <w:tc>
          <w:tcPr>
            <w:tcW w:w="1248" w:type="dxa"/>
            <w:tcBorders>
              <w:top w:val="nil"/>
              <w:left w:val="nil"/>
              <w:bottom w:val="nil"/>
              <w:right w:val="nil"/>
            </w:tcBorders>
            <w:noWrap/>
            <w:vAlign w:val="bottom"/>
            <w:hideMark/>
          </w:tcPr>
          <w:p w14:paraId="039C787C" w14:textId="77777777" w:rsidR="00F67C07" w:rsidRPr="00D01B7A" w:rsidRDefault="00F67C07" w:rsidP="00173A63">
            <w:pPr>
              <w:spacing w:after="0" w:line="240" w:lineRule="auto"/>
              <w:rPr>
                <w:rFonts w:ascii="Arial" w:eastAsia="Times New Roman" w:hAnsi="Arial" w:cs="Arial"/>
                <w:lang w:val="en-AE" w:eastAsia="en-AE"/>
              </w:rPr>
            </w:pPr>
          </w:p>
        </w:tc>
        <w:tc>
          <w:tcPr>
            <w:tcW w:w="1374" w:type="dxa"/>
            <w:tcBorders>
              <w:top w:val="nil"/>
              <w:left w:val="nil"/>
              <w:bottom w:val="nil"/>
              <w:right w:val="nil"/>
            </w:tcBorders>
            <w:noWrap/>
            <w:vAlign w:val="bottom"/>
            <w:hideMark/>
          </w:tcPr>
          <w:p w14:paraId="24C6E638"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27" w:type="dxa"/>
            <w:tcBorders>
              <w:top w:val="nil"/>
              <w:left w:val="nil"/>
              <w:bottom w:val="nil"/>
              <w:right w:val="nil"/>
            </w:tcBorders>
            <w:noWrap/>
            <w:vAlign w:val="bottom"/>
            <w:hideMark/>
          </w:tcPr>
          <w:p w14:paraId="7D7ABC85"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11" w:type="dxa"/>
            <w:tcBorders>
              <w:top w:val="nil"/>
              <w:left w:val="nil"/>
              <w:bottom w:val="nil"/>
              <w:right w:val="nil"/>
            </w:tcBorders>
            <w:noWrap/>
            <w:vAlign w:val="bottom"/>
            <w:hideMark/>
          </w:tcPr>
          <w:p w14:paraId="689F33C6"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(-2.094)</w:t>
            </w:r>
          </w:p>
        </w:tc>
        <w:tc>
          <w:tcPr>
            <w:tcW w:w="1388" w:type="dxa"/>
            <w:tcBorders>
              <w:top w:val="nil"/>
              <w:left w:val="nil"/>
              <w:bottom w:val="nil"/>
              <w:right w:val="nil"/>
            </w:tcBorders>
            <w:noWrap/>
            <w:vAlign w:val="bottom"/>
            <w:hideMark/>
          </w:tcPr>
          <w:p w14:paraId="3E921DB4"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(-3.332)</w:t>
            </w:r>
          </w:p>
        </w:tc>
      </w:tr>
      <w:tr w:rsidR="00F67C07" w:rsidRPr="00D01B7A" w14:paraId="502AE2A1" w14:textId="77777777" w:rsidTr="00D01B7A">
        <w:trPr>
          <w:trHeight w:val="277"/>
        </w:trPr>
        <w:tc>
          <w:tcPr>
            <w:tcW w:w="2442" w:type="dxa"/>
            <w:tcBorders>
              <w:top w:val="nil"/>
              <w:left w:val="nil"/>
              <w:bottom w:val="nil"/>
              <w:right w:val="nil"/>
            </w:tcBorders>
            <w:noWrap/>
            <w:vAlign w:val="center"/>
            <w:hideMark/>
          </w:tcPr>
          <w:p w14:paraId="04127FD8"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hAnsi="Arial" w:cs="Arial"/>
                <w:color w:val="000000"/>
              </w:rPr>
              <w:t>Constant</w:t>
            </w:r>
          </w:p>
        </w:tc>
        <w:tc>
          <w:tcPr>
            <w:tcW w:w="1248" w:type="dxa"/>
            <w:tcBorders>
              <w:top w:val="nil"/>
              <w:left w:val="nil"/>
              <w:bottom w:val="nil"/>
              <w:right w:val="nil"/>
            </w:tcBorders>
            <w:noWrap/>
            <w:vAlign w:val="bottom"/>
            <w:hideMark/>
          </w:tcPr>
          <w:p w14:paraId="54BF3146"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0.628***</w:t>
            </w:r>
          </w:p>
        </w:tc>
        <w:tc>
          <w:tcPr>
            <w:tcW w:w="1374" w:type="dxa"/>
            <w:tcBorders>
              <w:top w:val="nil"/>
              <w:left w:val="nil"/>
              <w:bottom w:val="nil"/>
              <w:right w:val="nil"/>
            </w:tcBorders>
            <w:noWrap/>
            <w:vAlign w:val="bottom"/>
            <w:hideMark/>
          </w:tcPr>
          <w:p w14:paraId="45D21FEC"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0.404***</w:t>
            </w:r>
          </w:p>
        </w:tc>
        <w:tc>
          <w:tcPr>
            <w:tcW w:w="1327" w:type="dxa"/>
            <w:tcBorders>
              <w:top w:val="nil"/>
              <w:left w:val="nil"/>
              <w:bottom w:val="nil"/>
              <w:right w:val="nil"/>
            </w:tcBorders>
            <w:noWrap/>
            <w:vAlign w:val="bottom"/>
            <w:hideMark/>
          </w:tcPr>
          <w:p w14:paraId="291F843E"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1.396***</w:t>
            </w:r>
          </w:p>
        </w:tc>
        <w:tc>
          <w:tcPr>
            <w:tcW w:w="1311" w:type="dxa"/>
            <w:tcBorders>
              <w:top w:val="nil"/>
              <w:left w:val="nil"/>
              <w:bottom w:val="nil"/>
              <w:right w:val="nil"/>
            </w:tcBorders>
            <w:noWrap/>
            <w:vAlign w:val="bottom"/>
            <w:hideMark/>
          </w:tcPr>
          <w:p w14:paraId="3920FA64"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0.243***</w:t>
            </w:r>
          </w:p>
        </w:tc>
        <w:tc>
          <w:tcPr>
            <w:tcW w:w="1388" w:type="dxa"/>
            <w:tcBorders>
              <w:top w:val="nil"/>
              <w:left w:val="nil"/>
              <w:bottom w:val="nil"/>
              <w:right w:val="nil"/>
            </w:tcBorders>
            <w:noWrap/>
            <w:vAlign w:val="bottom"/>
            <w:hideMark/>
          </w:tcPr>
          <w:p w14:paraId="4132AD30"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0.113</w:t>
            </w:r>
          </w:p>
        </w:tc>
      </w:tr>
      <w:tr w:rsidR="00F67C07" w:rsidRPr="00D01B7A" w14:paraId="390DF3EC" w14:textId="77777777" w:rsidTr="00D01B7A">
        <w:trPr>
          <w:trHeight w:val="277"/>
        </w:trPr>
        <w:tc>
          <w:tcPr>
            <w:tcW w:w="2442" w:type="dxa"/>
            <w:tcBorders>
              <w:top w:val="nil"/>
              <w:left w:val="nil"/>
              <w:bottom w:val="nil"/>
              <w:right w:val="nil"/>
            </w:tcBorders>
            <w:noWrap/>
            <w:vAlign w:val="bottom"/>
            <w:hideMark/>
          </w:tcPr>
          <w:p w14:paraId="18450C50"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248" w:type="dxa"/>
            <w:tcBorders>
              <w:top w:val="nil"/>
              <w:left w:val="nil"/>
              <w:bottom w:val="nil"/>
              <w:right w:val="nil"/>
            </w:tcBorders>
            <w:noWrap/>
            <w:vAlign w:val="bottom"/>
            <w:hideMark/>
          </w:tcPr>
          <w:p w14:paraId="2BF61A07"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(7.426)</w:t>
            </w:r>
          </w:p>
        </w:tc>
        <w:tc>
          <w:tcPr>
            <w:tcW w:w="1374" w:type="dxa"/>
            <w:tcBorders>
              <w:top w:val="nil"/>
              <w:left w:val="nil"/>
              <w:bottom w:val="nil"/>
              <w:right w:val="nil"/>
            </w:tcBorders>
            <w:noWrap/>
            <w:vAlign w:val="bottom"/>
            <w:hideMark/>
          </w:tcPr>
          <w:p w14:paraId="1B514487"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(4.875)</w:t>
            </w:r>
          </w:p>
        </w:tc>
        <w:tc>
          <w:tcPr>
            <w:tcW w:w="1327" w:type="dxa"/>
            <w:tcBorders>
              <w:top w:val="nil"/>
              <w:left w:val="nil"/>
              <w:bottom w:val="nil"/>
              <w:right w:val="nil"/>
            </w:tcBorders>
            <w:noWrap/>
            <w:vAlign w:val="bottom"/>
            <w:hideMark/>
          </w:tcPr>
          <w:p w14:paraId="17BEBB8C"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(7.242)</w:t>
            </w:r>
          </w:p>
        </w:tc>
        <w:tc>
          <w:tcPr>
            <w:tcW w:w="1311" w:type="dxa"/>
            <w:tcBorders>
              <w:top w:val="nil"/>
              <w:left w:val="nil"/>
              <w:bottom w:val="nil"/>
              <w:right w:val="nil"/>
            </w:tcBorders>
            <w:noWrap/>
            <w:vAlign w:val="bottom"/>
            <w:hideMark/>
          </w:tcPr>
          <w:p w14:paraId="0B2DAECC"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(3.418)</w:t>
            </w:r>
          </w:p>
        </w:tc>
        <w:tc>
          <w:tcPr>
            <w:tcW w:w="1388" w:type="dxa"/>
            <w:tcBorders>
              <w:top w:val="nil"/>
              <w:left w:val="nil"/>
              <w:bottom w:val="nil"/>
              <w:right w:val="nil"/>
            </w:tcBorders>
            <w:noWrap/>
            <w:vAlign w:val="bottom"/>
            <w:hideMark/>
          </w:tcPr>
          <w:p w14:paraId="72977FC7"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hAnsi="Arial" w:cs="Arial"/>
                <w:color w:val="000000"/>
              </w:rPr>
              <w:t>(1.595)</w:t>
            </w:r>
          </w:p>
        </w:tc>
      </w:tr>
      <w:tr w:rsidR="00F67C07" w:rsidRPr="00D01B7A" w14:paraId="3B37D2C0" w14:textId="77777777" w:rsidTr="00D01B7A">
        <w:trPr>
          <w:trHeight w:val="277"/>
        </w:trPr>
        <w:tc>
          <w:tcPr>
            <w:tcW w:w="2442" w:type="dxa"/>
            <w:tcBorders>
              <w:top w:val="nil"/>
              <w:left w:val="nil"/>
              <w:bottom w:val="nil"/>
              <w:right w:val="nil"/>
            </w:tcBorders>
            <w:noWrap/>
            <w:vAlign w:val="bottom"/>
            <w:hideMark/>
          </w:tcPr>
          <w:p w14:paraId="67537DAC"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Year dummy</w:t>
            </w:r>
          </w:p>
        </w:tc>
        <w:tc>
          <w:tcPr>
            <w:tcW w:w="1248" w:type="dxa"/>
            <w:tcBorders>
              <w:top w:val="nil"/>
              <w:left w:val="nil"/>
              <w:bottom w:val="nil"/>
              <w:right w:val="nil"/>
            </w:tcBorders>
            <w:noWrap/>
            <w:vAlign w:val="bottom"/>
            <w:hideMark/>
          </w:tcPr>
          <w:p w14:paraId="090920A1"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c>
          <w:tcPr>
            <w:tcW w:w="1374" w:type="dxa"/>
            <w:tcBorders>
              <w:top w:val="nil"/>
              <w:left w:val="nil"/>
              <w:bottom w:val="nil"/>
              <w:right w:val="nil"/>
            </w:tcBorders>
            <w:noWrap/>
            <w:vAlign w:val="bottom"/>
            <w:hideMark/>
          </w:tcPr>
          <w:p w14:paraId="3E357E9B"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c>
          <w:tcPr>
            <w:tcW w:w="1327" w:type="dxa"/>
            <w:tcBorders>
              <w:top w:val="nil"/>
              <w:left w:val="nil"/>
              <w:bottom w:val="nil"/>
              <w:right w:val="nil"/>
            </w:tcBorders>
            <w:noWrap/>
            <w:vAlign w:val="bottom"/>
            <w:hideMark/>
          </w:tcPr>
          <w:p w14:paraId="2546CA0A"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c>
          <w:tcPr>
            <w:tcW w:w="1311" w:type="dxa"/>
            <w:tcBorders>
              <w:top w:val="nil"/>
              <w:left w:val="nil"/>
              <w:bottom w:val="nil"/>
              <w:right w:val="nil"/>
            </w:tcBorders>
            <w:noWrap/>
            <w:vAlign w:val="bottom"/>
            <w:hideMark/>
          </w:tcPr>
          <w:p w14:paraId="27C1B149"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c>
          <w:tcPr>
            <w:tcW w:w="1388" w:type="dxa"/>
            <w:tcBorders>
              <w:top w:val="nil"/>
              <w:left w:val="nil"/>
              <w:bottom w:val="nil"/>
              <w:right w:val="nil"/>
            </w:tcBorders>
            <w:noWrap/>
            <w:vAlign w:val="bottom"/>
            <w:hideMark/>
          </w:tcPr>
          <w:p w14:paraId="4CBAF437"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r>
      <w:tr w:rsidR="00F67C07" w:rsidRPr="00D01B7A" w14:paraId="2C35161B" w14:textId="77777777" w:rsidTr="00D01B7A">
        <w:trPr>
          <w:trHeight w:val="277"/>
        </w:trPr>
        <w:tc>
          <w:tcPr>
            <w:tcW w:w="2442" w:type="dxa"/>
            <w:tcBorders>
              <w:top w:val="nil"/>
              <w:left w:val="nil"/>
              <w:bottom w:val="nil"/>
              <w:right w:val="nil"/>
            </w:tcBorders>
            <w:noWrap/>
            <w:vAlign w:val="bottom"/>
          </w:tcPr>
          <w:p w14:paraId="679CD163"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Joint test</w:t>
            </w:r>
          </w:p>
        </w:tc>
        <w:tc>
          <w:tcPr>
            <w:tcW w:w="1248" w:type="dxa"/>
            <w:tcBorders>
              <w:top w:val="nil"/>
              <w:left w:val="nil"/>
              <w:bottom w:val="nil"/>
              <w:right w:val="nil"/>
            </w:tcBorders>
            <w:noWrap/>
            <w:vAlign w:val="bottom"/>
          </w:tcPr>
          <w:p w14:paraId="0619A14E"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74" w:type="dxa"/>
            <w:tcBorders>
              <w:top w:val="nil"/>
              <w:left w:val="nil"/>
              <w:bottom w:val="nil"/>
              <w:right w:val="nil"/>
            </w:tcBorders>
            <w:noWrap/>
            <w:vAlign w:val="bottom"/>
          </w:tcPr>
          <w:p w14:paraId="204DD4C0"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27" w:type="dxa"/>
            <w:tcBorders>
              <w:top w:val="nil"/>
              <w:left w:val="nil"/>
              <w:bottom w:val="nil"/>
              <w:right w:val="nil"/>
            </w:tcBorders>
            <w:noWrap/>
            <w:vAlign w:val="bottom"/>
          </w:tcPr>
          <w:p w14:paraId="64E7920E"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11" w:type="dxa"/>
            <w:tcBorders>
              <w:top w:val="nil"/>
              <w:left w:val="nil"/>
              <w:bottom w:val="nil"/>
              <w:right w:val="nil"/>
            </w:tcBorders>
            <w:noWrap/>
            <w:vAlign w:val="bottom"/>
          </w:tcPr>
          <w:p w14:paraId="22DB07CB" w14:textId="77777777" w:rsidR="00F67C07" w:rsidRPr="00D01B7A" w:rsidRDefault="00F67C07" w:rsidP="00173A63">
            <w:pPr>
              <w:spacing w:after="0" w:line="240" w:lineRule="auto"/>
              <w:jc w:val="center"/>
              <w:rPr>
                <w:rFonts w:ascii="Arial" w:eastAsia="Times New Roman" w:hAnsi="Arial" w:cs="Arial"/>
                <w:lang w:val="en-AE" w:eastAsia="en-AE"/>
              </w:rPr>
            </w:pPr>
          </w:p>
        </w:tc>
        <w:tc>
          <w:tcPr>
            <w:tcW w:w="1388" w:type="dxa"/>
            <w:tcBorders>
              <w:top w:val="nil"/>
              <w:left w:val="nil"/>
              <w:bottom w:val="nil"/>
              <w:right w:val="nil"/>
            </w:tcBorders>
            <w:noWrap/>
            <w:vAlign w:val="bottom"/>
          </w:tcPr>
          <w:p w14:paraId="47C6AF04"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color w:val="00B0F0"/>
                <w:lang w:val="en-AE" w:eastAsia="en-AE"/>
              </w:rPr>
              <w:t>34.47***</w:t>
            </w:r>
          </w:p>
        </w:tc>
      </w:tr>
      <w:tr w:rsidR="00F67C07" w:rsidRPr="00D01B7A" w14:paraId="5DA93D34" w14:textId="77777777" w:rsidTr="00D01B7A">
        <w:trPr>
          <w:trHeight w:val="277"/>
        </w:trPr>
        <w:tc>
          <w:tcPr>
            <w:tcW w:w="2442" w:type="dxa"/>
            <w:tcBorders>
              <w:top w:val="nil"/>
              <w:left w:val="nil"/>
              <w:bottom w:val="nil"/>
              <w:right w:val="nil"/>
            </w:tcBorders>
            <w:noWrap/>
            <w:vAlign w:val="bottom"/>
            <w:hideMark/>
          </w:tcPr>
          <w:p w14:paraId="0B9DC1A2"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Observations</w:t>
            </w:r>
          </w:p>
        </w:tc>
        <w:tc>
          <w:tcPr>
            <w:tcW w:w="1248" w:type="dxa"/>
            <w:tcBorders>
              <w:top w:val="nil"/>
              <w:left w:val="nil"/>
              <w:bottom w:val="nil"/>
              <w:right w:val="nil"/>
            </w:tcBorders>
            <w:noWrap/>
            <w:vAlign w:val="bottom"/>
            <w:hideMark/>
          </w:tcPr>
          <w:p w14:paraId="3E1A23B1"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168</w:t>
            </w:r>
          </w:p>
        </w:tc>
        <w:tc>
          <w:tcPr>
            <w:tcW w:w="1374" w:type="dxa"/>
            <w:tcBorders>
              <w:top w:val="nil"/>
              <w:left w:val="nil"/>
              <w:bottom w:val="nil"/>
              <w:right w:val="nil"/>
            </w:tcBorders>
            <w:noWrap/>
            <w:vAlign w:val="bottom"/>
            <w:hideMark/>
          </w:tcPr>
          <w:p w14:paraId="0BD80DDA"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159</w:t>
            </w:r>
          </w:p>
        </w:tc>
        <w:tc>
          <w:tcPr>
            <w:tcW w:w="1327" w:type="dxa"/>
            <w:tcBorders>
              <w:top w:val="nil"/>
              <w:left w:val="nil"/>
              <w:bottom w:val="nil"/>
              <w:right w:val="nil"/>
            </w:tcBorders>
            <w:noWrap/>
            <w:vAlign w:val="bottom"/>
            <w:hideMark/>
          </w:tcPr>
          <w:p w14:paraId="7A9821C8"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168</w:t>
            </w:r>
          </w:p>
        </w:tc>
        <w:tc>
          <w:tcPr>
            <w:tcW w:w="1311" w:type="dxa"/>
            <w:tcBorders>
              <w:top w:val="nil"/>
              <w:left w:val="nil"/>
              <w:bottom w:val="nil"/>
              <w:right w:val="nil"/>
            </w:tcBorders>
            <w:noWrap/>
            <w:vAlign w:val="bottom"/>
            <w:hideMark/>
          </w:tcPr>
          <w:p w14:paraId="395501B3"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168</w:t>
            </w:r>
          </w:p>
        </w:tc>
        <w:tc>
          <w:tcPr>
            <w:tcW w:w="1388" w:type="dxa"/>
            <w:tcBorders>
              <w:top w:val="nil"/>
              <w:left w:val="nil"/>
              <w:bottom w:val="nil"/>
              <w:right w:val="nil"/>
            </w:tcBorders>
            <w:noWrap/>
            <w:vAlign w:val="bottom"/>
            <w:hideMark/>
          </w:tcPr>
          <w:p w14:paraId="0D2EF63D"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159</w:t>
            </w:r>
          </w:p>
        </w:tc>
      </w:tr>
      <w:tr w:rsidR="00F67C07" w:rsidRPr="00D01B7A" w14:paraId="019ADDCE" w14:textId="77777777" w:rsidTr="00D01B7A">
        <w:trPr>
          <w:trHeight w:val="277"/>
        </w:trPr>
        <w:tc>
          <w:tcPr>
            <w:tcW w:w="2442" w:type="dxa"/>
            <w:tcBorders>
              <w:top w:val="nil"/>
              <w:left w:val="nil"/>
              <w:right w:val="nil"/>
            </w:tcBorders>
            <w:noWrap/>
            <w:vAlign w:val="bottom"/>
            <w:hideMark/>
          </w:tcPr>
          <w:p w14:paraId="409DD2D3"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R-squared</w:t>
            </w:r>
          </w:p>
        </w:tc>
        <w:tc>
          <w:tcPr>
            <w:tcW w:w="1248" w:type="dxa"/>
            <w:tcBorders>
              <w:top w:val="nil"/>
              <w:left w:val="nil"/>
              <w:right w:val="nil"/>
            </w:tcBorders>
            <w:noWrap/>
            <w:vAlign w:val="bottom"/>
            <w:hideMark/>
          </w:tcPr>
          <w:p w14:paraId="01ADC7D1"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0.289</w:t>
            </w:r>
          </w:p>
        </w:tc>
        <w:tc>
          <w:tcPr>
            <w:tcW w:w="1374" w:type="dxa"/>
            <w:tcBorders>
              <w:top w:val="nil"/>
              <w:left w:val="nil"/>
              <w:right w:val="nil"/>
            </w:tcBorders>
            <w:noWrap/>
            <w:vAlign w:val="bottom"/>
            <w:hideMark/>
          </w:tcPr>
          <w:p w14:paraId="02D74444"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0.201</w:t>
            </w:r>
          </w:p>
        </w:tc>
        <w:tc>
          <w:tcPr>
            <w:tcW w:w="1327" w:type="dxa"/>
            <w:tcBorders>
              <w:top w:val="nil"/>
              <w:left w:val="nil"/>
              <w:right w:val="nil"/>
            </w:tcBorders>
            <w:noWrap/>
            <w:vAlign w:val="bottom"/>
            <w:hideMark/>
          </w:tcPr>
          <w:p w14:paraId="1762A60C"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0.434</w:t>
            </w:r>
          </w:p>
        </w:tc>
        <w:tc>
          <w:tcPr>
            <w:tcW w:w="1311" w:type="dxa"/>
            <w:tcBorders>
              <w:top w:val="nil"/>
              <w:left w:val="nil"/>
              <w:right w:val="nil"/>
            </w:tcBorders>
            <w:noWrap/>
            <w:vAlign w:val="bottom"/>
            <w:hideMark/>
          </w:tcPr>
          <w:p w14:paraId="3E88CD75"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0.372</w:t>
            </w:r>
          </w:p>
        </w:tc>
        <w:tc>
          <w:tcPr>
            <w:tcW w:w="1388" w:type="dxa"/>
            <w:tcBorders>
              <w:top w:val="nil"/>
              <w:left w:val="nil"/>
              <w:right w:val="nil"/>
            </w:tcBorders>
            <w:noWrap/>
            <w:vAlign w:val="bottom"/>
            <w:hideMark/>
          </w:tcPr>
          <w:p w14:paraId="213ECF13"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0.325</w:t>
            </w:r>
          </w:p>
        </w:tc>
      </w:tr>
      <w:tr w:rsidR="002A565E" w:rsidRPr="00D01B7A" w14:paraId="38DAE90E" w14:textId="77777777" w:rsidTr="00D01B7A">
        <w:trPr>
          <w:trHeight w:val="277"/>
        </w:trPr>
        <w:tc>
          <w:tcPr>
            <w:tcW w:w="2442" w:type="dxa"/>
            <w:tcBorders>
              <w:top w:val="nil"/>
              <w:left w:val="nil"/>
              <w:bottom w:val="single" w:sz="4" w:space="0" w:color="auto"/>
              <w:right w:val="nil"/>
            </w:tcBorders>
            <w:noWrap/>
            <w:vAlign w:val="bottom"/>
            <w:hideMark/>
          </w:tcPr>
          <w:p w14:paraId="2D3BC968" w14:textId="77777777" w:rsidR="00F67C07" w:rsidRPr="00D01B7A" w:rsidRDefault="00F67C07"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Number of id_banks</w:t>
            </w:r>
          </w:p>
        </w:tc>
        <w:tc>
          <w:tcPr>
            <w:tcW w:w="1248" w:type="dxa"/>
            <w:tcBorders>
              <w:top w:val="nil"/>
              <w:left w:val="nil"/>
              <w:bottom w:val="single" w:sz="4" w:space="0" w:color="auto"/>
              <w:right w:val="nil"/>
            </w:tcBorders>
            <w:noWrap/>
            <w:vAlign w:val="bottom"/>
            <w:hideMark/>
          </w:tcPr>
          <w:p w14:paraId="69AA5CA4"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c>
          <w:tcPr>
            <w:tcW w:w="1374" w:type="dxa"/>
            <w:tcBorders>
              <w:top w:val="nil"/>
              <w:left w:val="nil"/>
              <w:bottom w:val="single" w:sz="4" w:space="0" w:color="auto"/>
              <w:right w:val="nil"/>
            </w:tcBorders>
            <w:noWrap/>
            <w:vAlign w:val="bottom"/>
            <w:hideMark/>
          </w:tcPr>
          <w:p w14:paraId="47B0FE52"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c>
          <w:tcPr>
            <w:tcW w:w="1327" w:type="dxa"/>
            <w:tcBorders>
              <w:top w:val="nil"/>
              <w:left w:val="nil"/>
              <w:bottom w:val="single" w:sz="4" w:space="0" w:color="auto"/>
              <w:right w:val="nil"/>
            </w:tcBorders>
            <w:noWrap/>
            <w:vAlign w:val="bottom"/>
            <w:hideMark/>
          </w:tcPr>
          <w:p w14:paraId="6C195FCF"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c>
          <w:tcPr>
            <w:tcW w:w="1311" w:type="dxa"/>
            <w:tcBorders>
              <w:top w:val="nil"/>
              <w:left w:val="nil"/>
              <w:bottom w:val="single" w:sz="4" w:space="0" w:color="auto"/>
              <w:right w:val="nil"/>
            </w:tcBorders>
            <w:noWrap/>
            <w:vAlign w:val="bottom"/>
            <w:hideMark/>
          </w:tcPr>
          <w:p w14:paraId="247D881B"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c>
          <w:tcPr>
            <w:tcW w:w="1388" w:type="dxa"/>
            <w:tcBorders>
              <w:top w:val="nil"/>
              <w:left w:val="nil"/>
              <w:bottom w:val="single" w:sz="4" w:space="0" w:color="auto"/>
              <w:right w:val="nil"/>
            </w:tcBorders>
            <w:noWrap/>
            <w:vAlign w:val="bottom"/>
            <w:hideMark/>
          </w:tcPr>
          <w:p w14:paraId="7EDB29AE" w14:textId="77777777" w:rsidR="00F67C07" w:rsidRPr="00D01B7A" w:rsidRDefault="00F67C07"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r>
    </w:tbl>
    <w:p w14:paraId="61AFAB4F" w14:textId="77777777" w:rsidR="00D92483" w:rsidRPr="00D01B7A" w:rsidRDefault="00D92483" w:rsidP="00D92483">
      <w:pPr>
        <w:spacing w:after="0" w:line="480" w:lineRule="auto"/>
        <w:rPr>
          <w:rFonts w:ascii="Arial" w:hAnsi="Arial" w:cs="Arial"/>
          <w:i/>
          <w:iCs/>
        </w:rPr>
      </w:pPr>
      <w:r w:rsidRPr="00D01B7A">
        <w:rPr>
          <w:rFonts w:ascii="Arial" w:hAnsi="Arial" w:cs="Arial"/>
          <w:i/>
          <w:iCs/>
        </w:rPr>
        <w:t>Source: Author’s computation</w:t>
      </w:r>
      <w:r w:rsidRPr="00D01B7A">
        <w:rPr>
          <w:rFonts w:ascii="Arial" w:hAnsi="Arial" w:cs="Arial"/>
          <w:i/>
          <w:iCs/>
        </w:rPr>
        <w:t xml:space="preserve">. </w:t>
      </w:r>
    </w:p>
    <w:p w14:paraId="412B86D7" w14:textId="33410D80" w:rsidR="00AC0043" w:rsidRPr="00D01B7A" w:rsidRDefault="00AC0043" w:rsidP="00D92483">
      <w:pPr>
        <w:spacing w:after="0" w:line="480" w:lineRule="auto"/>
        <w:ind w:left="2160" w:firstLine="720"/>
        <w:rPr>
          <w:rFonts w:ascii="Arial" w:hAnsi="Arial" w:cs="Arial"/>
          <w:i/>
          <w:iCs/>
        </w:rPr>
      </w:pPr>
      <w:r w:rsidRPr="00D01B7A">
        <w:rPr>
          <w:rFonts w:ascii="Arial" w:hAnsi="Arial" w:cs="Arial"/>
          <w:i/>
          <w:iCs/>
        </w:rPr>
        <w:t>z-statistics in parentheses. *** p&lt;0.01, ** p&lt;0.05, * p&lt;0.1</w:t>
      </w:r>
    </w:p>
    <w:p w14:paraId="7B0F4DCA" w14:textId="77777777" w:rsidR="001970FC" w:rsidRDefault="001970FC" w:rsidP="00B625A8">
      <w:pPr>
        <w:spacing w:after="0" w:line="480" w:lineRule="auto"/>
        <w:rPr>
          <w:rFonts w:ascii="Arial" w:hAnsi="Arial" w:cs="Arial"/>
          <w:b/>
          <w:bCs/>
        </w:rPr>
      </w:pPr>
    </w:p>
    <w:p w14:paraId="3DE0CE42" w14:textId="330251F7" w:rsidR="007F054C" w:rsidRPr="00D01B7A" w:rsidRDefault="007F054C" w:rsidP="00B625A8">
      <w:pPr>
        <w:spacing w:after="0" w:line="480" w:lineRule="auto"/>
        <w:rPr>
          <w:rFonts w:ascii="Arial" w:hAnsi="Arial" w:cs="Arial"/>
          <w:b/>
          <w:bCs/>
        </w:rPr>
      </w:pPr>
      <w:r w:rsidRPr="00D01B7A">
        <w:rPr>
          <w:rFonts w:ascii="Arial" w:hAnsi="Arial" w:cs="Arial"/>
          <w:b/>
          <w:bCs/>
        </w:rPr>
        <w:t>Table 8</w:t>
      </w:r>
    </w:p>
    <w:p w14:paraId="74557FE2" w14:textId="77777777" w:rsidR="00AC0043" w:rsidRPr="00D01B7A" w:rsidRDefault="00AC0043" w:rsidP="00B625A8">
      <w:pPr>
        <w:spacing w:after="0" w:line="480" w:lineRule="auto"/>
        <w:rPr>
          <w:rFonts w:ascii="Arial" w:hAnsi="Arial" w:cs="Arial"/>
          <w:b/>
          <w:bCs/>
        </w:rPr>
      </w:pPr>
      <w:r w:rsidRPr="00D01B7A">
        <w:rPr>
          <w:rFonts w:ascii="Arial" w:hAnsi="Arial" w:cs="Arial"/>
          <w:b/>
          <w:bCs/>
        </w:rPr>
        <w:t>Robustness check, Feasible Generalized Least Square (FGLS) estimator (Dep. var is ROA)</w:t>
      </w:r>
    </w:p>
    <w:tbl>
      <w:tblPr>
        <w:tblW w:w="9450" w:type="dxa"/>
        <w:tblLook w:val="04A0" w:firstRow="1" w:lastRow="0" w:firstColumn="1" w:lastColumn="0" w:noHBand="0" w:noVBand="1"/>
      </w:tblPr>
      <w:tblGrid>
        <w:gridCol w:w="2407"/>
        <w:gridCol w:w="1193"/>
        <w:gridCol w:w="1408"/>
        <w:gridCol w:w="1293"/>
        <w:gridCol w:w="1529"/>
        <w:gridCol w:w="1620"/>
      </w:tblGrid>
      <w:tr w:rsidR="008F7A0E" w:rsidRPr="00D01B7A" w14:paraId="30C91F02" w14:textId="77777777" w:rsidTr="009D7B7D">
        <w:trPr>
          <w:trHeight w:val="277"/>
        </w:trPr>
        <w:tc>
          <w:tcPr>
            <w:tcW w:w="2407" w:type="dxa"/>
            <w:tcBorders>
              <w:top w:val="single" w:sz="4" w:space="0" w:color="auto"/>
              <w:left w:val="nil"/>
              <w:bottom w:val="single" w:sz="4" w:space="0" w:color="auto"/>
              <w:right w:val="nil"/>
            </w:tcBorders>
            <w:noWrap/>
            <w:vAlign w:val="bottom"/>
            <w:hideMark/>
          </w:tcPr>
          <w:p w14:paraId="0F17ED00" w14:textId="77777777" w:rsidR="008F7A0E" w:rsidRPr="00D01B7A" w:rsidRDefault="008F7A0E"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VARIABLES</w:t>
            </w:r>
          </w:p>
        </w:tc>
        <w:tc>
          <w:tcPr>
            <w:tcW w:w="1193" w:type="dxa"/>
            <w:tcBorders>
              <w:top w:val="single" w:sz="4" w:space="0" w:color="auto"/>
              <w:left w:val="nil"/>
              <w:bottom w:val="single" w:sz="4" w:space="0" w:color="auto"/>
              <w:right w:val="nil"/>
            </w:tcBorders>
            <w:noWrap/>
            <w:vAlign w:val="center"/>
            <w:hideMark/>
          </w:tcPr>
          <w:p w14:paraId="23EBE20F"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Control</w:t>
            </w:r>
          </w:p>
        </w:tc>
        <w:tc>
          <w:tcPr>
            <w:tcW w:w="1408" w:type="dxa"/>
            <w:tcBorders>
              <w:top w:val="single" w:sz="4" w:space="0" w:color="auto"/>
              <w:left w:val="nil"/>
              <w:bottom w:val="single" w:sz="4" w:space="0" w:color="auto"/>
              <w:right w:val="nil"/>
            </w:tcBorders>
            <w:noWrap/>
            <w:vAlign w:val="center"/>
            <w:hideMark/>
          </w:tcPr>
          <w:p w14:paraId="2B4C10BF"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H1</w:t>
            </w:r>
          </w:p>
        </w:tc>
        <w:tc>
          <w:tcPr>
            <w:tcW w:w="1293" w:type="dxa"/>
            <w:tcBorders>
              <w:top w:val="single" w:sz="4" w:space="0" w:color="auto"/>
              <w:left w:val="nil"/>
              <w:bottom w:val="single" w:sz="4" w:space="0" w:color="auto"/>
              <w:right w:val="nil"/>
            </w:tcBorders>
            <w:noWrap/>
            <w:vAlign w:val="center"/>
            <w:hideMark/>
          </w:tcPr>
          <w:p w14:paraId="202B4B2D"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H2</w:t>
            </w:r>
          </w:p>
        </w:tc>
        <w:tc>
          <w:tcPr>
            <w:tcW w:w="1529" w:type="dxa"/>
            <w:tcBorders>
              <w:top w:val="single" w:sz="4" w:space="0" w:color="auto"/>
              <w:left w:val="nil"/>
              <w:bottom w:val="single" w:sz="4" w:space="0" w:color="auto"/>
              <w:right w:val="nil"/>
            </w:tcBorders>
            <w:noWrap/>
            <w:vAlign w:val="center"/>
            <w:hideMark/>
          </w:tcPr>
          <w:p w14:paraId="37EFC461"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H3</w:t>
            </w:r>
          </w:p>
        </w:tc>
        <w:tc>
          <w:tcPr>
            <w:tcW w:w="1620" w:type="dxa"/>
            <w:tcBorders>
              <w:top w:val="single" w:sz="4" w:space="0" w:color="auto"/>
              <w:left w:val="nil"/>
              <w:bottom w:val="single" w:sz="4" w:space="0" w:color="auto"/>
              <w:right w:val="nil"/>
            </w:tcBorders>
            <w:noWrap/>
            <w:vAlign w:val="center"/>
            <w:hideMark/>
          </w:tcPr>
          <w:p w14:paraId="044D9E93"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H4</w:t>
            </w:r>
          </w:p>
        </w:tc>
      </w:tr>
      <w:tr w:rsidR="008F7A0E" w:rsidRPr="00D01B7A" w14:paraId="108D6BCA" w14:textId="77777777" w:rsidTr="009D7B7D">
        <w:trPr>
          <w:trHeight w:val="277"/>
        </w:trPr>
        <w:tc>
          <w:tcPr>
            <w:tcW w:w="2407" w:type="dxa"/>
            <w:tcBorders>
              <w:top w:val="nil"/>
              <w:left w:val="nil"/>
              <w:bottom w:val="nil"/>
              <w:right w:val="nil"/>
            </w:tcBorders>
            <w:noWrap/>
            <w:vAlign w:val="center"/>
            <w:hideMark/>
          </w:tcPr>
          <w:p w14:paraId="2EB74CA5" w14:textId="77777777" w:rsidR="008F7A0E" w:rsidRPr="00D01B7A" w:rsidRDefault="008F7A0E" w:rsidP="00173A63">
            <w:pPr>
              <w:spacing w:after="0" w:line="240" w:lineRule="auto"/>
              <w:rPr>
                <w:rFonts w:ascii="Arial" w:eastAsia="Times New Roman" w:hAnsi="Arial" w:cs="Arial"/>
                <w:color w:val="000000"/>
                <w:lang w:val="en-AE" w:eastAsia="en-AE"/>
              </w:rPr>
            </w:pPr>
            <w:r w:rsidRPr="00D01B7A">
              <w:rPr>
                <w:rFonts w:ascii="Arial" w:eastAsia="Times New Roman" w:hAnsi="Arial" w:cs="Arial"/>
                <w:color w:val="000000"/>
                <w:lang w:val="en-AE" w:eastAsia="en-AE"/>
              </w:rPr>
              <w:t>Bank size</w:t>
            </w:r>
          </w:p>
        </w:tc>
        <w:tc>
          <w:tcPr>
            <w:tcW w:w="1193" w:type="dxa"/>
            <w:tcBorders>
              <w:top w:val="nil"/>
              <w:left w:val="nil"/>
              <w:bottom w:val="nil"/>
              <w:right w:val="nil"/>
            </w:tcBorders>
            <w:noWrap/>
            <w:vAlign w:val="bottom"/>
            <w:hideMark/>
          </w:tcPr>
          <w:p w14:paraId="49042344"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-0.0546***</w:t>
            </w:r>
          </w:p>
        </w:tc>
        <w:tc>
          <w:tcPr>
            <w:tcW w:w="1408" w:type="dxa"/>
            <w:tcBorders>
              <w:top w:val="nil"/>
              <w:left w:val="nil"/>
              <w:bottom w:val="nil"/>
              <w:right w:val="nil"/>
            </w:tcBorders>
            <w:noWrap/>
            <w:vAlign w:val="bottom"/>
            <w:hideMark/>
          </w:tcPr>
          <w:p w14:paraId="3EC9D2ED"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-0.0338***</w:t>
            </w:r>
          </w:p>
        </w:tc>
        <w:tc>
          <w:tcPr>
            <w:tcW w:w="1293" w:type="dxa"/>
            <w:tcBorders>
              <w:top w:val="nil"/>
              <w:left w:val="nil"/>
              <w:bottom w:val="nil"/>
              <w:right w:val="nil"/>
            </w:tcBorders>
            <w:noWrap/>
            <w:vAlign w:val="bottom"/>
            <w:hideMark/>
          </w:tcPr>
          <w:p w14:paraId="5FADA52A"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-0.0472***</w:t>
            </w:r>
          </w:p>
        </w:tc>
        <w:tc>
          <w:tcPr>
            <w:tcW w:w="1529" w:type="dxa"/>
            <w:tcBorders>
              <w:top w:val="nil"/>
              <w:left w:val="nil"/>
              <w:bottom w:val="nil"/>
              <w:right w:val="nil"/>
            </w:tcBorders>
            <w:noWrap/>
            <w:vAlign w:val="bottom"/>
            <w:hideMark/>
          </w:tcPr>
          <w:p w14:paraId="23A618A5"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-0.0517***</w:t>
            </w:r>
          </w:p>
        </w:tc>
        <w:tc>
          <w:tcPr>
            <w:tcW w:w="1620" w:type="dxa"/>
            <w:tcBorders>
              <w:top w:val="nil"/>
              <w:left w:val="nil"/>
              <w:bottom w:val="nil"/>
              <w:right w:val="nil"/>
            </w:tcBorders>
            <w:noWrap/>
            <w:vAlign w:val="bottom"/>
            <w:hideMark/>
          </w:tcPr>
          <w:p w14:paraId="360C4A5C"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-0.0323***</w:t>
            </w:r>
          </w:p>
        </w:tc>
      </w:tr>
      <w:tr w:rsidR="008F7A0E" w:rsidRPr="00D01B7A" w14:paraId="0D5A1F0D" w14:textId="77777777" w:rsidTr="009D7B7D">
        <w:trPr>
          <w:trHeight w:val="314"/>
        </w:trPr>
        <w:tc>
          <w:tcPr>
            <w:tcW w:w="2407" w:type="dxa"/>
            <w:tcBorders>
              <w:top w:val="nil"/>
              <w:left w:val="nil"/>
              <w:bottom w:val="nil"/>
              <w:right w:val="nil"/>
            </w:tcBorders>
            <w:noWrap/>
            <w:vAlign w:val="bottom"/>
            <w:hideMark/>
          </w:tcPr>
          <w:p w14:paraId="1C6CD8FC" w14:textId="77777777" w:rsidR="008F7A0E" w:rsidRPr="00D01B7A" w:rsidRDefault="008F7A0E" w:rsidP="00173A63">
            <w:pPr>
              <w:spacing w:after="0" w:line="240" w:lineRule="auto"/>
              <w:jc w:val="center"/>
              <w:rPr>
                <w:rFonts w:ascii="Arial" w:eastAsia="Times New Roman" w:hAnsi="Arial" w:cs="Arial"/>
                <w:color w:val="0F9ED5"/>
                <w:lang w:val="en-AE" w:eastAsia="en-AE"/>
              </w:rPr>
            </w:pPr>
          </w:p>
        </w:tc>
        <w:tc>
          <w:tcPr>
            <w:tcW w:w="1193" w:type="dxa"/>
            <w:tcBorders>
              <w:top w:val="nil"/>
              <w:left w:val="nil"/>
              <w:bottom w:val="nil"/>
              <w:right w:val="nil"/>
            </w:tcBorders>
            <w:noWrap/>
            <w:vAlign w:val="bottom"/>
            <w:hideMark/>
          </w:tcPr>
          <w:p w14:paraId="16CD02A8"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(-24.23)</w:t>
            </w:r>
          </w:p>
        </w:tc>
        <w:tc>
          <w:tcPr>
            <w:tcW w:w="1408" w:type="dxa"/>
            <w:tcBorders>
              <w:top w:val="nil"/>
              <w:left w:val="nil"/>
              <w:bottom w:val="nil"/>
              <w:right w:val="nil"/>
            </w:tcBorders>
            <w:noWrap/>
            <w:vAlign w:val="bottom"/>
            <w:hideMark/>
          </w:tcPr>
          <w:p w14:paraId="51EBA8F8"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(-20.14)</w:t>
            </w:r>
          </w:p>
        </w:tc>
        <w:tc>
          <w:tcPr>
            <w:tcW w:w="1293" w:type="dxa"/>
            <w:tcBorders>
              <w:top w:val="nil"/>
              <w:left w:val="nil"/>
              <w:bottom w:val="nil"/>
              <w:right w:val="nil"/>
            </w:tcBorders>
            <w:noWrap/>
            <w:vAlign w:val="bottom"/>
            <w:hideMark/>
          </w:tcPr>
          <w:p w14:paraId="58BE05F0"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(-15.16)</w:t>
            </w:r>
          </w:p>
        </w:tc>
        <w:tc>
          <w:tcPr>
            <w:tcW w:w="1529" w:type="dxa"/>
            <w:tcBorders>
              <w:top w:val="nil"/>
              <w:left w:val="nil"/>
              <w:bottom w:val="nil"/>
              <w:right w:val="nil"/>
            </w:tcBorders>
            <w:noWrap/>
            <w:vAlign w:val="bottom"/>
            <w:hideMark/>
          </w:tcPr>
          <w:p w14:paraId="0CF6ABD8"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(-19.86)</w:t>
            </w:r>
          </w:p>
        </w:tc>
        <w:tc>
          <w:tcPr>
            <w:tcW w:w="1620" w:type="dxa"/>
            <w:tcBorders>
              <w:top w:val="nil"/>
              <w:left w:val="nil"/>
              <w:bottom w:val="nil"/>
              <w:right w:val="nil"/>
            </w:tcBorders>
            <w:noWrap/>
            <w:vAlign w:val="bottom"/>
            <w:hideMark/>
          </w:tcPr>
          <w:p w14:paraId="6E2B4745"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(-17.14)</w:t>
            </w:r>
          </w:p>
        </w:tc>
      </w:tr>
      <w:tr w:rsidR="008F7A0E" w:rsidRPr="00D01B7A" w14:paraId="56C63C5F" w14:textId="77777777" w:rsidTr="009D7B7D">
        <w:trPr>
          <w:trHeight w:val="277"/>
        </w:trPr>
        <w:tc>
          <w:tcPr>
            <w:tcW w:w="2407" w:type="dxa"/>
            <w:tcBorders>
              <w:top w:val="nil"/>
              <w:left w:val="nil"/>
              <w:bottom w:val="nil"/>
              <w:right w:val="nil"/>
            </w:tcBorders>
            <w:noWrap/>
            <w:vAlign w:val="center"/>
            <w:hideMark/>
          </w:tcPr>
          <w:p w14:paraId="5565E84C" w14:textId="061C35BF" w:rsidR="008F7A0E" w:rsidRPr="00D01B7A" w:rsidRDefault="008F7A0E" w:rsidP="00173A63">
            <w:pPr>
              <w:spacing w:after="0" w:line="240" w:lineRule="auto"/>
              <w:rPr>
                <w:rFonts w:ascii="Arial" w:eastAsia="Times New Roman" w:hAnsi="Arial" w:cs="Arial"/>
                <w:color w:val="000000"/>
                <w:lang w:val="en-AE" w:eastAsia="en-AE"/>
              </w:rPr>
            </w:pPr>
            <w:r w:rsidRPr="00D01B7A">
              <w:rPr>
                <w:rFonts w:ascii="Arial" w:eastAsia="Times New Roman" w:hAnsi="Arial" w:cs="Arial"/>
                <w:color w:val="000000"/>
                <w:lang w:val="en-AE" w:eastAsia="en-AE"/>
              </w:rPr>
              <w:t>Risk-</w:t>
            </w:r>
            <w:r w:rsidR="00EA4C3E" w:rsidRPr="00D01B7A">
              <w:rPr>
                <w:rFonts w:ascii="Arial" w:hAnsi="Arial" w:cs="Arial"/>
                <w:lang w:val="en-AE"/>
              </w:rPr>
              <w:t xml:space="preserve"> weighted </w:t>
            </w:r>
            <w:r w:rsidRPr="00D01B7A">
              <w:rPr>
                <w:rFonts w:ascii="Arial" w:eastAsia="Times New Roman" w:hAnsi="Arial" w:cs="Arial"/>
                <w:color w:val="000000"/>
                <w:lang w:val="en-AE" w:eastAsia="en-AE"/>
              </w:rPr>
              <w:t>Capital</w:t>
            </w:r>
          </w:p>
        </w:tc>
        <w:tc>
          <w:tcPr>
            <w:tcW w:w="1193" w:type="dxa"/>
            <w:tcBorders>
              <w:top w:val="nil"/>
              <w:left w:val="nil"/>
              <w:bottom w:val="nil"/>
              <w:right w:val="nil"/>
            </w:tcBorders>
            <w:noWrap/>
            <w:vAlign w:val="bottom"/>
            <w:hideMark/>
          </w:tcPr>
          <w:p w14:paraId="418D9CC0" w14:textId="77777777" w:rsidR="008F7A0E" w:rsidRPr="00D01B7A" w:rsidRDefault="008F7A0E" w:rsidP="00173A63">
            <w:pPr>
              <w:spacing w:after="0" w:line="240" w:lineRule="auto"/>
              <w:rPr>
                <w:rFonts w:ascii="Arial" w:eastAsia="Times New Roman" w:hAnsi="Arial" w:cs="Arial"/>
                <w:color w:val="000000"/>
                <w:lang w:val="en-AE" w:eastAsia="en-AE"/>
              </w:rPr>
            </w:pPr>
          </w:p>
        </w:tc>
        <w:tc>
          <w:tcPr>
            <w:tcW w:w="1408" w:type="dxa"/>
            <w:tcBorders>
              <w:top w:val="nil"/>
              <w:left w:val="nil"/>
              <w:bottom w:val="nil"/>
              <w:right w:val="nil"/>
            </w:tcBorders>
            <w:noWrap/>
            <w:vAlign w:val="bottom"/>
            <w:hideMark/>
          </w:tcPr>
          <w:p w14:paraId="70C3563A"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-0.00124***</w:t>
            </w:r>
          </w:p>
        </w:tc>
        <w:tc>
          <w:tcPr>
            <w:tcW w:w="1293" w:type="dxa"/>
            <w:tcBorders>
              <w:top w:val="nil"/>
              <w:left w:val="nil"/>
              <w:bottom w:val="nil"/>
              <w:right w:val="nil"/>
            </w:tcBorders>
            <w:noWrap/>
            <w:vAlign w:val="bottom"/>
            <w:hideMark/>
          </w:tcPr>
          <w:p w14:paraId="10CFDF2B" w14:textId="77777777" w:rsidR="008F7A0E" w:rsidRPr="00D01B7A" w:rsidRDefault="008F7A0E" w:rsidP="00173A63">
            <w:pPr>
              <w:spacing w:after="0" w:line="240" w:lineRule="auto"/>
              <w:jc w:val="center"/>
              <w:rPr>
                <w:rFonts w:ascii="Arial" w:eastAsia="Times New Roman" w:hAnsi="Arial" w:cs="Arial"/>
                <w:color w:val="0F9ED5"/>
                <w:lang w:val="en-AE" w:eastAsia="en-AE"/>
              </w:rPr>
            </w:pPr>
          </w:p>
        </w:tc>
        <w:tc>
          <w:tcPr>
            <w:tcW w:w="1529" w:type="dxa"/>
            <w:tcBorders>
              <w:top w:val="nil"/>
              <w:left w:val="nil"/>
              <w:bottom w:val="nil"/>
              <w:right w:val="nil"/>
            </w:tcBorders>
            <w:noWrap/>
            <w:vAlign w:val="bottom"/>
            <w:hideMark/>
          </w:tcPr>
          <w:p w14:paraId="11B11DE9"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620" w:type="dxa"/>
            <w:tcBorders>
              <w:top w:val="nil"/>
              <w:left w:val="nil"/>
              <w:bottom w:val="nil"/>
              <w:right w:val="nil"/>
            </w:tcBorders>
            <w:noWrap/>
            <w:vAlign w:val="bottom"/>
            <w:hideMark/>
          </w:tcPr>
          <w:p w14:paraId="52D52A57"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-0.00113***</w:t>
            </w:r>
          </w:p>
        </w:tc>
      </w:tr>
      <w:tr w:rsidR="008F7A0E" w:rsidRPr="00D01B7A" w14:paraId="3FC28A1E" w14:textId="77777777" w:rsidTr="009D7B7D">
        <w:trPr>
          <w:trHeight w:val="277"/>
        </w:trPr>
        <w:tc>
          <w:tcPr>
            <w:tcW w:w="2407" w:type="dxa"/>
            <w:tcBorders>
              <w:top w:val="nil"/>
              <w:left w:val="nil"/>
              <w:bottom w:val="nil"/>
              <w:right w:val="nil"/>
            </w:tcBorders>
            <w:noWrap/>
            <w:vAlign w:val="center"/>
            <w:hideMark/>
          </w:tcPr>
          <w:p w14:paraId="0E06F084" w14:textId="77777777" w:rsidR="008F7A0E" w:rsidRPr="00D01B7A" w:rsidRDefault="008F7A0E" w:rsidP="00173A63">
            <w:pPr>
              <w:spacing w:after="0" w:line="240" w:lineRule="auto"/>
              <w:jc w:val="center"/>
              <w:rPr>
                <w:rFonts w:ascii="Arial" w:eastAsia="Times New Roman" w:hAnsi="Arial" w:cs="Arial"/>
                <w:color w:val="0F9ED5"/>
                <w:lang w:val="en-AE" w:eastAsia="en-AE"/>
              </w:rPr>
            </w:pPr>
          </w:p>
        </w:tc>
        <w:tc>
          <w:tcPr>
            <w:tcW w:w="1193" w:type="dxa"/>
            <w:tcBorders>
              <w:top w:val="nil"/>
              <w:left w:val="nil"/>
              <w:bottom w:val="nil"/>
              <w:right w:val="nil"/>
            </w:tcBorders>
            <w:noWrap/>
            <w:vAlign w:val="bottom"/>
            <w:hideMark/>
          </w:tcPr>
          <w:p w14:paraId="3B45AFED" w14:textId="77777777" w:rsidR="008F7A0E" w:rsidRPr="00D01B7A" w:rsidRDefault="008F7A0E" w:rsidP="00173A63">
            <w:pPr>
              <w:spacing w:after="0" w:line="240" w:lineRule="auto"/>
              <w:rPr>
                <w:rFonts w:ascii="Arial" w:eastAsia="Times New Roman" w:hAnsi="Arial" w:cs="Arial"/>
                <w:lang w:val="en-AE" w:eastAsia="en-AE"/>
              </w:rPr>
            </w:pPr>
          </w:p>
        </w:tc>
        <w:tc>
          <w:tcPr>
            <w:tcW w:w="1408" w:type="dxa"/>
            <w:tcBorders>
              <w:top w:val="nil"/>
              <w:left w:val="nil"/>
              <w:bottom w:val="nil"/>
              <w:right w:val="nil"/>
            </w:tcBorders>
            <w:noWrap/>
            <w:vAlign w:val="bottom"/>
            <w:hideMark/>
          </w:tcPr>
          <w:p w14:paraId="7B7AE4DF"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(-12.24)</w:t>
            </w:r>
          </w:p>
        </w:tc>
        <w:tc>
          <w:tcPr>
            <w:tcW w:w="1293" w:type="dxa"/>
            <w:tcBorders>
              <w:top w:val="nil"/>
              <w:left w:val="nil"/>
              <w:bottom w:val="nil"/>
              <w:right w:val="nil"/>
            </w:tcBorders>
            <w:noWrap/>
            <w:vAlign w:val="bottom"/>
            <w:hideMark/>
          </w:tcPr>
          <w:p w14:paraId="34AB2DAF"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529" w:type="dxa"/>
            <w:tcBorders>
              <w:top w:val="nil"/>
              <w:left w:val="nil"/>
              <w:bottom w:val="nil"/>
              <w:right w:val="nil"/>
            </w:tcBorders>
            <w:noWrap/>
            <w:vAlign w:val="bottom"/>
            <w:hideMark/>
          </w:tcPr>
          <w:p w14:paraId="260450FE"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620" w:type="dxa"/>
            <w:tcBorders>
              <w:top w:val="nil"/>
              <w:left w:val="nil"/>
              <w:bottom w:val="nil"/>
              <w:right w:val="nil"/>
            </w:tcBorders>
            <w:noWrap/>
            <w:vAlign w:val="bottom"/>
            <w:hideMark/>
          </w:tcPr>
          <w:p w14:paraId="0EA3DF84"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(-10.01)</w:t>
            </w:r>
          </w:p>
        </w:tc>
      </w:tr>
      <w:tr w:rsidR="008F7A0E" w:rsidRPr="00D01B7A" w14:paraId="2C75DE6F" w14:textId="77777777" w:rsidTr="009D7B7D">
        <w:trPr>
          <w:trHeight w:val="277"/>
        </w:trPr>
        <w:tc>
          <w:tcPr>
            <w:tcW w:w="2407" w:type="dxa"/>
            <w:tcBorders>
              <w:top w:val="nil"/>
              <w:left w:val="nil"/>
              <w:bottom w:val="nil"/>
              <w:right w:val="nil"/>
            </w:tcBorders>
            <w:noWrap/>
            <w:vAlign w:val="center"/>
            <w:hideMark/>
          </w:tcPr>
          <w:p w14:paraId="25397F76" w14:textId="77777777" w:rsidR="008F7A0E" w:rsidRPr="00D01B7A" w:rsidRDefault="008F7A0E" w:rsidP="00173A63">
            <w:pPr>
              <w:spacing w:after="0" w:line="240" w:lineRule="auto"/>
              <w:rPr>
                <w:rFonts w:ascii="Arial" w:eastAsia="Times New Roman" w:hAnsi="Arial" w:cs="Arial"/>
                <w:color w:val="000000"/>
                <w:lang w:val="en-AE" w:eastAsia="en-AE"/>
              </w:rPr>
            </w:pPr>
            <w:r w:rsidRPr="00D01B7A">
              <w:rPr>
                <w:rFonts w:ascii="Arial" w:eastAsia="Times New Roman" w:hAnsi="Arial" w:cs="Arial"/>
                <w:color w:val="000000"/>
                <w:lang w:val="en-AE" w:eastAsia="en-AE"/>
              </w:rPr>
              <w:t>Liquidity Risk</w:t>
            </w:r>
          </w:p>
        </w:tc>
        <w:tc>
          <w:tcPr>
            <w:tcW w:w="1193" w:type="dxa"/>
            <w:tcBorders>
              <w:top w:val="nil"/>
              <w:left w:val="nil"/>
              <w:bottom w:val="nil"/>
              <w:right w:val="nil"/>
            </w:tcBorders>
            <w:noWrap/>
            <w:vAlign w:val="bottom"/>
            <w:hideMark/>
          </w:tcPr>
          <w:p w14:paraId="29DB8E30" w14:textId="77777777" w:rsidR="008F7A0E" w:rsidRPr="00D01B7A" w:rsidRDefault="008F7A0E" w:rsidP="00173A63">
            <w:pPr>
              <w:spacing w:after="0" w:line="240" w:lineRule="auto"/>
              <w:rPr>
                <w:rFonts w:ascii="Arial" w:eastAsia="Times New Roman" w:hAnsi="Arial" w:cs="Arial"/>
                <w:color w:val="000000"/>
                <w:lang w:val="en-AE" w:eastAsia="en-AE"/>
              </w:rPr>
            </w:pPr>
          </w:p>
        </w:tc>
        <w:tc>
          <w:tcPr>
            <w:tcW w:w="1408" w:type="dxa"/>
            <w:tcBorders>
              <w:top w:val="nil"/>
              <w:left w:val="nil"/>
              <w:bottom w:val="nil"/>
              <w:right w:val="nil"/>
            </w:tcBorders>
            <w:noWrap/>
            <w:vAlign w:val="bottom"/>
            <w:hideMark/>
          </w:tcPr>
          <w:p w14:paraId="66EA8361"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293" w:type="dxa"/>
            <w:tcBorders>
              <w:top w:val="nil"/>
              <w:left w:val="nil"/>
              <w:bottom w:val="nil"/>
              <w:right w:val="nil"/>
            </w:tcBorders>
            <w:noWrap/>
            <w:vAlign w:val="bottom"/>
            <w:hideMark/>
          </w:tcPr>
          <w:p w14:paraId="4DBF0611"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-0.0268***</w:t>
            </w:r>
          </w:p>
        </w:tc>
        <w:tc>
          <w:tcPr>
            <w:tcW w:w="1529" w:type="dxa"/>
            <w:tcBorders>
              <w:top w:val="nil"/>
              <w:left w:val="nil"/>
              <w:bottom w:val="nil"/>
              <w:right w:val="nil"/>
            </w:tcBorders>
            <w:noWrap/>
            <w:vAlign w:val="bottom"/>
            <w:hideMark/>
          </w:tcPr>
          <w:p w14:paraId="34588E3F" w14:textId="77777777" w:rsidR="008F7A0E" w:rsidRPr="00D01B7A" w:rsidRDefault="008F7A0E" w:rsidP="00173A63">
            <w:pPr>
              <w:spacing w:after="0" w:line="240" w:lineRule="auto"/>
              <w:jc w:val="center"/>
              <w:rPr>
                <w:rFonts w:ascii="Arial" w:eastAsia="Times New Roman" w:hAnsi="Arial" w:cs="Arial"/>
                <w:color w:val="0F9ED5"/>
                <w:lang w:val="en-AE" w:eastAsia="en-AE"/>
              </w:rPr>
            </w:pPr>
          </w:p>
        </w:tc>
        <w:tc>
          <w:tcPr>
            <w:tcW w:w="1620" w:type="dxa"/>
            <w:tcBorders>
              <w:top w:val="nil"/>
              <w:left w:val="nil"/>
              <w:bottom w:val="nil"/>
              <w:right w:val="nil"/>
            </w:tcBorders>
            <w:noWrap/>
            <w:vAlign w:val="bottom"/>
            <w:hideMark/>
          </w:tcPr>
          <w:p w14:paraId="4455D915" w14:textId="77777777" w:rsidR="008F7A0E" w:rsidRPr="00D01B7A" w:rsidRDefault="008F7A0E" w:rsidP="00173A63">
            <w:pPr>
              <w:spacing w:after="0" w:line="240" w:lineRule="auto"/>
              <w:jc w:val="center"/>
              <w:rPr>
                <w:rFonts w:ascii="Arial" w:eastAsia="Times New Roman" w:hAnsi="Arial" w:cs="Arial"/>
                <w:color w:val="FF0000"/>
                <w:lang w:val="en-AE" w:eastAsia="en-AE"/>
              </w:rPr>
            </w:pPr>
            <w:r w:rsidRPr="00D01B7A">
              <w:rPr>
                <w:rFonts w:ascii="Arial" w:eastAsia="Times New Roman" w:hAnsi="Arial" w:cs="Arial"/>
                <w:color w:val="FF0000"/>
                <w:lang w:val="en-AE" w:eastAsia="en-AE"/>
              </w:rPr>
              <w:t>0.0102***</w:t>
            </w:r>
          </w:p>
        </w:tc>
      </w:tr>
      <w:tr w:rsidR="008F7A0E" w:rsidRPr="00D01B7A" w14:paraId="4F507A06" w14:textId="77777777" w:rsidTr="009D7B7D">
        <w:trPr>
          <w:trHeight w:val="314"/>
        </w:trPr>
        <w:tc>
          <w:tcPr>
            <w:tcW w:w="2407" w:type="dxa"/>
            <w:tcBorders>
              <w:top w:val="nil"/>
              <w:left w:val="nil"/>
              <w:bottom w:val="nil"/>
              <w:right w:val="nil"/>
            </w:tcBorders>
            <w:noWrap/>
            <w:vAlign w:val="bottom"/>
            <w:hideMark/>
          </w:tcPr>
          <w:p w14:paraId="40E32011" w14:textId="77777777" w:rsidR="008F7A0E" w:rsidRPr="00D01B7A" w:rsidRDefault="008F7A0E" w:rsidP="00173A63">
            <w:pPr>
              <w:spacing w:after="0" w:line="240" w:lineRule="auto"/>
              <w:jc w:val="center"/>
              <w:rPr>
                <w:rFonts w:ascii="Arial" w:eastAsia="Times New Roman" w:hAnsi="Arial" w:cs="Arial"/>
                <w:color w:val="FF0000"/>
                <w:lang w:val="en-AE" w:eastAsia="en-AE"/>
              </w:rPr>
            </w:pPr>
          </w:p>
        </w:tc>
        <w:tc>
          <w:tcPr>
            <w:tcW w:w="1193" w:type="dxa"/>
            <w:tcBorders>
              <w:top w:val="nil"/>
              <w:left w:val="nil"/>
              <w:bottom w:val="nil"/>
              <w:right w:val="nil"/>
            </w:tcBorders>
            <w:noWrap/>
            <w:vAlign w:val="bottom"/>
            <w:hideMark/>
          </w:tcPr>
          <w:p w14:paraId="6451FA8D" w14:textId="77777777" w:rsidR="008F7A0E" w:rsidRPr="00D01B7A" w:rsidRDefault="008F7A0E" w:rsidP="00173A63">
            <w:pPr>
              <w:spacing w:after="0" w:line="240" w:lineRule="auto"/>
              <w:rPr>
                <w:rFonts w:ascii="Arial" w:eastAsia="Times New Roman" w:hAnsi="Arial" w:cs="Arial"/>
                <w:lang w:val="en-AE" w:eastAsia="en-AE"/>
              </w:rPr>
            </w:pPr>
          </w:p>
        </w:tc>
        <w:tc>
          <w:tcPr>
            <w:tcW w:w="1408" w:type="dxa"/>
            <w:tcBorders>
              <w:top w:val="nil"/>
              <w:left w:val="nil"/>
              <w:bottom w:val="nil"/>
              <w:right w:val="nil"/>
            </w:tcBorders>
            <w:noWrap/>
            <w:vAlign w:val="bottom"/>
            <w:hideMark/>
          </w:tcPr>
          <w:p w14:paraId="3805CCEA"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293" w:type="dxa"/>
            <w:tcBorders>
              <w:top w:val="nil"/>
              <w:left w:val="nil"/>
              <w:bottom w:val="nil"/>
              <w:right w:val="nil"/>
            </w:tcBorders>
            <w:noWrap/>
            <w:vAlign w:val="bottom"/>
            <w:hideMark/>
          </w:tcPr>
          <w:p w14:paraId="5192F0BE"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(-6.163)</w:t>
            </w:r>
          </w:p>
        </w:tc>
        <w:tc>
          <w:tcPr>
            <w:tcW w:w="1529" w:type="dxa"/>
            <w:tcBorders>
              <w:top w:val="nil"/>
              <w:left w:val="nil"/>
              <w:bottom w:val="nil"/>
              <w:right w:val="nil"/>
            </w:tcBorders>
            <w:noWrap/>
            <w:vAlign w:val="bottom"/>
            <w:hideMark/>
          </w:tcPr>
          <w:p w14:paraId="0D2A8AA9"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620" w:type="dxa"/>
            <w:tcBorders>
              <w:top w:val="nil"/>
              <w:left w:val="nil"/>
              <w:bottom w:val="nil"/>
              <w:right w:val="nil"/>
            </w:tcBorders>
            <w:noWrap/>
            <w:vAlign w:val="bottom"/>
            <w:hideMark/>
          </w:tcPr>
          <w:p w14:paraId="34161C82"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(3.381)</w:t>
            </w:r>
          </w:p>
        </w:tc>
      </w:tr>
      <w:tr w:rsidR="008F7A0E" w:rsidRPr="00D01B7A" w14:paraId="651D8407" w14:textId="77777777" w:rsidTr="009D7B7D">
        <w:trPr>
          <w:trHeight w:val="277"/>
        </w:trPr>
        <w:tc>
          <w:tcPr>
            <w:tcW w:w="2407" w:type="dxa"/>
            <w:tcBorders>
              <w:top w:val="nil"/>
              <w:left w:val="nil"/>
              <w:bottom w:val="nil"/>
              <w:right w:val="nil"/>
            </w:tcBorders>
            <w:noWrap/>
            <w:vAlign w:val="center"/>
            <w:hideMark/>
          </w:tcPr>
          <w:p w14:paraId="5D660701" w14:textId="77777777" w:rsidR="008F7A0E" w:rsidRPr="00D01B7A" w:rsidRDefault="008F7A0E" w:rsidP="00173A63">
            <w:pPr>
              <w:spacing w:after="0" w:line="240" w:lineRule="auto"/>
              <w:rPr>
                <w:rFonts w:ascii="Arial" w:eastAsia="Times New Roman" w:hAnsi="Arial" w:cs="Arial"/>
                <w:color w:val="000000"/>
                <w:lang w:val="en-AE" w:eastAsia="en-AE"/>
              </w:rPr>
            </w:pPr>
            <w:r w:rsidRPr="00D01B7A">
              <w:rPr>
                <w:rFonts w:ascii="Arial" w:eastAsia="Times New Roman" w:hAnsi="Arial" w:cs="Arial"/>
                <w:color w:val="000000"/>
                <w:lang w:val="en-AE" w:eastAsia="en-AE"/>
              </w:rPr>
              <w:t>Credit Risk</w:t>
            </w:r>
          </w:p>
        </w:tc>
        <w:tc>
          <w:tcPr>
            <w:tcW w:w="1193" w:type="dxa"/>
            <w:tcBorders>
              <w:top w:val="nil"/>
              <w:left w:val="nil"/>
              <w:bottom w:val="nil"/>
              <w:right w:val="nil"/>
            </w:tcBorders>
            <w:noWrap/>
            <w:vAlign w:val="bottom"/>
            <w:hideMark/>
          </w:tcPr>
          <w:p w14:paraId="2E278E80" w14:textId="77777777" w:rsidR="008F7A0E" w:rsidRPr="00D01B7A" w:rsidRDefault="008F7A0E" w:rsidP="00173A63">
            <w:pPr>
              <w:spacing w:after="0" w:line="240" w:lineRule="auto"/>
              <w:rPr>
                <w:rFonts w:ascii="Arial" w:eastAsia="Times New Roman" w:hAnsi="Arial" w:cs="Arial"/>
                <w:color w:val="000000"/>
                <w:lang w:val="en-AE" w:eastAsia="en-AE"/>
              </w:rPr>
            </w:pPr>
          </w:p>
        </w:tc>
        <w:tc>
          <w:tcPr>
            <w:tcW w:w="1408" w:type="dxa"/>
            <w:tcBorders>
              <w:top w:val="nil"/>
              <w:left w:val="nil"/>
              <w:bottom w:val="nil"/>
              <w:right w:val="nil"/>
            </w:tcBorders>
            <w:noWrap/>
            <w:vAlign w:val="bottom"/>
            <w:hideMark/>
          </w:tcPr>
          <w:p w14:paraId="3E9295DF"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293" w:type="dxa"/>
            <w:tcBorders>
              <w:top w:val="nil"/>
              <w:left w:val="nil"/>
              <w:bottom w:val="nil"/>
              <w:right w:val="nil"/>
            </w:tcBorders>
            <w:noWrap/>
            <w:vAlign w:val="bottom"/>
            <w:hideMark/>
          </w:tcPr>
          <w:p w14:paraId="188C6FE5"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529" w:type="dxa"/>
            <w:tcBorders>
              <w:top w:val="nil"/>
              <w:left w:val="nil"/>
              <w:bottom w:val="nil"/>
              <w:right w:val="nil"/>
            </w:tcBorders>
            <w:noWrap/>
            <w:vAlign w:val="bottom"/>
            <w:hideMark/>
          </w:tcPr>
          <w:p w14:paraId="5EAD5C89"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-0.000281***</w:t>
            </w:r>
          </w:p>
        </w:tc>
        <w:tc>
          <w:tcPr>
            <w:tcW w:w="1620" w:type="dxa"/>
            <w:tcBorders>
              <w:top w:val="nil"/>
              <w:left w:val="nil"/>
              <w:bottom w:val="nil"/>
              <w:right w:val="nil"/>
            </w:tcBorders>
            <w:noWrap/>
            <w:vAlign w:val="bottom"/>
            <w:hideMark/>
          </w:tcPr>
          <w:p w14:paraId="3BC3E463" w14:textId="77777777" w:rsidR="008F7A0E" w:rsidRPr="00D01B7A" w:rsidRDefault="008F7A0E" w:rsidP="00173A63">
            <w:pPr>
              <w:spacing w:after="0" w:line="240" w:lineRule="auto"/>
              <w:jc w:val="center"/>
              <w:rPr>
                <w:rFonts w:ascii="Arial" w:eastAsia="Times New Roman" w:hAnsi="Arial" w:cs="Arial"/>
                <w:color w:val="0F9ED5"/>
                <w:lang w:val="en-AE" w:eastAsia="en-AE"/>
              </w:rPr>
            </w:pPr>
            <w:r w:rsidRPr="00D01B7A">
              <w:rPr>
                <w:rFonts w:ascii="Arial" w:eastAsia="Times New Roman" w:hAnsi="Arial" w:cs="Arial"/>
                <w:color w:val="0F9ED5"/>
                <w:lang w:val="en-AE" w:eastAsia="en-AE"/>
              </w:rPr>
              <w:t>-0.000101***</w:t>
            </w:r>
          </w:p>
        </w:tc>
      </w:tr>
      <w:tr w:rsidR="008F7A0E" w:rsidRPr="00D01B7A" w14:paraId="07379614" w14:textId="77777777" w:rsidTr="009D7B7D">
        <w:trPr>
          <w:trHeight w:val="314"/>
        </w:trPr>
        <w:tc>
          <w:tcPr>
            <w:tcW w:w="2407" w:type="dxa"/>
            <w:tcBorders>
              <w:top w:val="nil"/>
              <w:left w:val="nil"/>
              <w:bottom w:val="nil"/>
              <w:right w:val="nil"/>
            </w:tcBorders>
            <w:noWrap/>
            <w:vAlign w:val="bottom"/>
            <w:hideMark/>
          </w:tcPr>
          <w:p w14:paraId="385EE71F" w14:textId="77777777" w:rsidR="008F7A0E" w:rsidRPr="00D01B7A" w:rsidRDefault="008F7A0E" w:rsidP="00173A63">
            <w:pPr>
              <w:spacing w:after="0" w:line="240" w:lineRule="auto"/>
              <w:jc w:val="center"/>
              <w:rPr>
                <w:rFonts w:ascii="Arial" w:eastAsia="Times New Roman" w:hAnsi="Arial" w:cs="Arial"/>
                <w:color w:val="0F9ED5"/>
                <w:lang w:val="en-AE" w:eastAsia="en-AE"/>
              </w:rPr>
            </w:pPr>
          </w:p>
        </w:tc>
        <w:tc>
          <w:tcPr>
            <w:tcW w:w="1193" w:type="dxa"/>
            <w:tcBorders>
              <w:top w:val="nil"/>
              <w:left w:val="nil"/>
              <w:bottom w:val="nil"/>
              <w:right w:val="nil"/>
            </w:tcBorders>
            <w:noWrap/>
            <w:vAlign w:val="bottom"/>
            <w:hideMark/>
          </w:tcPr>
          <w:p w14:paraId="2BD55D4A" w14:textId="77777777" w:rsidR="008F7A0E" w:rsidRPr="00D01B7A" w:rsidRDefault="008F7A0E" w:rsidP="00173A63">
            <w:pPr>
              <w:spacing w:after="0" w:line="240" w:lineRule="auto"/>
              <w:rPr>
                <w:rFonts w:ascii="Arial" w:eastAsia="Times New Roman" w:hAnsi="Arial" w:cs="Arial"/>
                <w:lang w:val="en-AE" w:eastAsia="en-AE"/>
              </w:rPr>
            </w:pPr>
          </w:p>
        </w:tc>
        <w:tc>
          <w:tcPr>
            <w:tcW w:w="1408" w:type="dxa"/>
            <w:tcBorders>
              <w:top w:val="nil"/>
              <w:left w:val="nil"/>
              <w:bottom w:val="nil"/>
              <w:right w:val="nil"/>
            </w:tcBorders>
            <w:noWrap/>
            <w:vAlign w:val="bottom"/>
            <w:hideMark/>
          </w:tcPr>
          <w:p w14:paraId="3368AF3C"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293" w:type="dxa"/>
            <w:tcBorders>
              <w:top w:val="nil"/>
              <w:left w:val="nil"/>
              <w:bottom w:val="nil"/>
              <w:right w:val="nil"/>
            </w:tcBorders>
            <w:noWrap/>
            <w:vAlign w:val="bottom"/>
            <w:hideMark/>
          </w:tcPr>
          <w:p w14:paraId="521751FC"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529" w:type="dxa"/>
            <w:tcBorders>
              <w:top w:val="nil"/>
              <w:left w:val="nil"/>
              <w:bottom w:val="nil"/>
              <w:right w:val="nil"/>
            </w:tcBorders>
            <w:noWrap/>
            <w:vAlign w:val="bottom"/>
            <w:hideMark/>
          </w:tcPr>
          <w:p w14:paraId="63B10B6F"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(-8.148)</w:t>
            </w:r>
          </w:p>
        </w:tc>
        <w:tc>
          <w:tcPr>
            <w:tcW w:w="1620" w:type="dxa"/>
            <w:tcBorders>
              <w:top w:val="nil"/>
              <w:left w:val="nil"/>
              <w:bottom w:val="nil"/>
              <w:right w:val="nil"/>
            </w:tcBorders>
            <w:noWrap/>
            <w:vAlign w:val="bottom"/>
            <w:hideMark/>
          </w:tcPr>
          <w:p w14:paraId="1A1087D4"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(-2.582)</w:t>
            </w:r>
          </w:p>
        </w:tc>
      </w:tr>
      <w:tr w:rsidR="008F7A0E" w:rsidRPr="00D01B7A" w14:paraId="3DE2350A" w14:textId="77777777" w:rsidTr="009D7B7D">
        <w:trPr>
          <w:trHeight w:val="277"/>
        </w:trPr>
        <w:tc>
          <w:tcPr>
            <w:tcW w:w="2407" w:type="dxa"/>
            <w:tcBorders>
              <w:top w:val="nil"/>
              <w:left w:val="nil"/>
              <w:bottom w:val="nil"/>
              <w:right w:val="nil"/>
            </w:tcBorders>
            <w:noWrap/>
            <w:vAlign w:val="center"/>
            <w:hideMark/>
          </w:tcPr>
          <w:p w14:paraId="7A852A5F" w14:textId="77777777" w:rsidR="008F7A0E" w:rsidRPr="00D01B7A" w:rsidRDefault="008F7A0E" w:rsidP="00173A63">
            <w:pPr>
              <w:spacing w:after="0" w:line="240" w:lineRule="auto"/>
              <w:rPr>
                <w:rFonts w:ascii="Arial" w:eastAsia="Times New Roman" w:hAnsi="Arial" w:cs="Arial"/>
                <w:color w:val="000000"/>
                <w:lang w:val="en-AE" w:eastAsia="en-AE"/>
              </w:rPr>
            </w:pPr>
            <w:r w:rsidRPr="00D01B7A">
              <w:rPr>
                <w:rFonts w:ascii="Arial" w:eastAsia="Times New Roman" w:hAnsi="Arial" w:cs="Arial"/>
                <w:color w:val="000000"/>
                <w:lang w:val="en-AE" w:eastAsia="en-AE"/>
              </w:rPr>
              <w:t>Constant</w:t>
            </w:r>
          </w:p>
        </w:tc>
        <w:tc>
          <w:tcPr>
            <w:tcW w:w="1193" w:type="dxa"/>
            <w:tcBorders>
              <w:top w:val="nil"/>
              <w:left w:val="nil"/>
              <w:bottom w:val="nil"/>
              <w:right w:val="nil"/>
            </w:tcBorders>
            <w:noWrap/>
            <w:vAlign w:val="bottom"/>
            <w:hideMark/>
          </w:tcPr>
          <w:p w14:paraId="61B765B0"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0.745***</w:t>
            </w:r>
          </w:p>
        </w:tc>
        <w:tc>
          <w:tcPr>
            <w:tcW w:w="1408" w:type="dxa"/>
            <w:tcBorders>
              <w:top w:val="nil"/>
              <w:left w:val="nil"/>
              <w:bottom w:val="nil"/>
              <w:right w:val="nil"/>
            </w:tcBorders>
            <w:noWrap/>
            <w:vAlign w:val="bottom"/>
            <w:hideMark/>
          </w:tcPr>
          <w:p w14:paraId="53C4EF6C"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0.496***</w:t>
            </w:r>
          </w:p>
        </w:tc>
        <w:tc>
          <w:tcPr>
            <w:tcW w:w="1293" w:type="dxa"/>
            <w:tcBorders>
              <w:top w:val="nil"/>
              <w:left w:val="nil"/>
              <w:bottom w:val="nil"/>
              <w:right w:val="nil"/>
            </w:tcBorders>
            <w:noWrap/>
            <w:vAlign w:val="bottom"/>
            <w:hideMark/>
          </w:tcPr>
          <w:p w14:paraId="4521DDF2"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0.666***</w:t>
            </w:r>
          </w:p>
        </w:tc>
        <w:tc>
          <w:tcPr>
            <w:tcW w:w="1529" w:type="dxa"/>
            <w:tcBorders>
              <w:top w:val="nil"/>
              <w:left w:val="nil"/>
              <w:bottom w:val="nil"/>
              <w:right w:val="nil"/>
            </w:tcBorders>
            <w:noWrap/>
            <w:vAlign w:val="bottom"/>
            <w:hideMark/>
          </w:tcPr>
          <w:p w14:paraId="3F4C7357"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0.715***</w:t>
            </w:r>
          </w:p>
        </w:tc>
        <w:tc>
          <w:tcPr>
            <w:tcW w:w="1620" w:type="dxa"/>
            <w:tcBorders>
              <w:top w:val="nil"/>
              <w:left w:val="nil"/>
              <w:bottom w:val="nil"/>
              <w:right w:val="nil"/>
            </w:tcBorders>
            <w:noWrap/>
            <w:vAlign w:val="bottom"/>
            <w:hideMark/>
          </w:tcPr>
          <w:p w14:paraId="72F1B60E"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0.469***</w:t>
            </w:r>
          </w:p>
        </w:tc>
      </w:tr>
      <w:tr w:rsidR="008F7A0E" w:rsidRPr="00D01B7A" w14:paraId="6ACD08EF" w14:textId="77777777" w:rsidTr="009D7B7D">
        <w:trPr>
          <w:trHeight w:val="277"/>
        </w:trPr>
        <w:tc>
          <w:tcPr>
            <w:tcW w:w="2407" w:type="dxa"/>
            <w:tcBorders>
              <w:top w:val="nil"/>
              <w:left w:val="nil"/>
              <w:bottom w:val="nil"/>
              <w:right w:val="nil"/>
            </w:tcBorders>
            <w:noWrap/>
            <w:vAlign w:val="bottom"/>
            <w:hideMark/>
          </w:tcPr>
          <w:p w14:paraId="2A19A783"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193" w:type="dxa"/>
            <w:tcBorders>
              <w:top w:val="nil"/>
              <w:left w:val="nil"/>
              <w:bottom w:val="nil"/>
              <w:right w:val="nil"/>
            </w:tcBorders>
            <w:noWrap/>
            <w:vAlign w:val="bottom"/>
            <w:hideMark/>
          </w:tcPr>
          <w:p w14:paraId="353C0F21"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(24.75)</w:t>
            </w:r>
          </w:p>
        </w:tc>
        <w:tc>
          <w:tcPr>
            <w:tcW w:w="1408" w:type="dxa"/>
            <w:tcBorders>
              <w:top w:val="nil"/>
              <w:left w:val="nil"/>
              <w:bottom w:val="nil"/>
              <w:right w:val="nil"/>
            </w:tcBorders>
            <w:noWrap/>
            <w:vAlign w:val="bottom"/>
            <w:hideMark/>
          </w:tcPr>
          <w:p w14:paraId="5C1D23DA"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(22.06)</w:t>
            </w:r>
          </w:p>
        </w:tc>
        <w:tc>
          <w:tcPr>
            <w:tcW w:w="1293" w:type="dxa"/>
            <w:tcBorders>
              <w:top w:val="nil"/>
              <w:left w:val="nil"/>
              <w:bottom w:val="nil"/>
              <w:right w:val="nil"/>
            </w:tcBorders>
            <w:noWrap/>
            <w:vAlign w:val="bottom"/>
            <w:hideMark/>
          </w:tcPr>
          <w:p w14:paraId="64F54B3E"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(15.15)</w:t>
            </w:r>
          </w:p>
        </w:tc>
        <w:tc>
          <w:tcPr>
            <w:tcW w:w="1529" w:type="dxa"/>
            <w:tcBorders>
              <w:top w:val="nil"/>
              <w:left w:val="nil"/>
              <w:bottom w:val="nil"/>
              <w:right w:val="nil"/>
            </w:tcBorders>
            <w:noWrap/>
            <w:vAlign w:val="bottom"/>
            <w:hideMark/>
          </w:tcPr>
          <w:p w14:paraId="31547CB0"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(20.58)</w:t>
            </w:r>
          </w:p>
        </w:tc>
        <w:tc>
          <w:tcPr>
            <w:tcW w:w="1620" w:type="dxa"/>
            <w:tcBorders>
              <w:top w:val="nil"/>
              <w:left w:val="nil"/>
              <w:bottom w:val="nil"/>
              <w:right w:val="nil"/>
            </w:tcBorders>
            <w:noWrap/>
            <w:vAlign w:val="bottom"/>
            <w:hideMark/>
          </w:tcPr>
          <w:p w14:paraId="11404CBF"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(18.21)</w:t>
            </w:r>
          </w:p>
        </w:tc>
      </w:tr>
      <w:tr w:rsidR="008F7A0E" w:rsidRPr="00D01B7A" w14:paraId="4EAA2FFE" w14:textId="77777777" w:rsidTr="009D7B7D">
        <w:trPr>
          <w:trHeight w:val="277"/>
        </w:trPr>
        <w:tc>
          <w:tcPr>
            <w:tcW w:w="2407" w:type="dxa"/>
            <w:tcBorders>
              <w:top w:val="nil"/>
              <w:left w:val="nil"/>
              <w:bottom w:val="nil"/>
              <w:right w:val="nil"/>
            </w:tcBorders>
            <w:noWrap/>
            <w:vAlign w:val="bottom"/>
            <w:hideMark/>
          </w:tcPr>
          <w:p w14:paraId="56DCB8F3" w14:textId="77777777" w:rsidR="008F7A0E" w:rsidRPr="00D01B7A" w:rsidRDefault="008F7A0E"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Year Dummy</w:t>
            </w:r>
          </w:p>
        </w:tc>
        <w:tc>
          <w:tcPr>
            <w:tcW w:w="1193" w:type="dxa"/>
            <w:tcBorders>
              <w:top w:val="nil"/>
              <w:left w:val="nil"/>
              <w:bottom w:val="nil"/>
              <w:right w:val="nil"/>
            </w:tcBorders>
            <w:noWrap/>
            <w:vAlign w:val="bottom"/>
            <w:hideMark/>
          </w:tcPr>
          <w:p w14:paraId="6CB0337E"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c>
          <w:tcPr>
            <w:tcW w:w="1408" w:type="dxa"/>
            <w:tcBorders>
              <w:top w:val="nil"/>
              <w:left w:val="nil"/>
              <w:bottom w:val="nil"/>
              <w:right w:val="nil"/>
            </w:tcBorders>
            <w:noWrap/>
            <w:vAlign w:val="bottom"/>
            <w:hideMark/>
          </w:tcPr>
          <w:p w14:paraId="3EB45439"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c>
          <w:tcPr>
            <w:tcW w:w="1293" w:type="dxa"/>
            <w:tcBorders>
              <w:top w:val="nil"/>
              <w:left w:val="nil"/>
              <w:bottom w:val="nil"/>
              <w:right w:val="nil"/>
            </w:tcBorders>
            <w:noWrap/>
            <w:vAlign w:val="bottom"/>
            <w:hideMark/>
          </w:tcPr>
          <w:p w14:paraId="270FD478"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c>
          <w:tcPr>
            <w:tcW w:w="1529" w:type="dxa"/>
            <w:tcBorders>
              <w:top w:val="nil"/>
              <w:left w:val="nil"/>
              <w:bottom w:val="nil"/>
              <w:right w:val="nil"/>
            </w:tcBorders>
            <w:noWrap/>
            <w:vAlign w:val="bottom"/>
            <w:hideMark/>
          </w:tcPr>
          <w:p w14:paraId="2556B731"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c>
          <w:tcPr>
            <w:tcW w:w="1620" w:type="dxa"/>
            <w:tcBorders>
              <w:top w:val="nil"/>
              <w:left w:val="nil"/>
              <w:bottom w:val="nil"/>
              <w:right w:val="nil"/>
            </w:tcBorders>
            <w:noWrap/>
            <w:vAlign w:val="bottom"/>
            <w:hideMark/>
          </w:tcPr>
          <w:p w14:paraId="0ABEA41A"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Yes</w:t>
            </w:r>
          </w:p>
        </w:tc>
      </w:tr>
      <w:tr w:rsidR="008F7A0E" w:rsidRPr="00D01B7A" w14:paraId="0313E523" w14:textId="77777777" w:rsidTr="009D7B7D">
        <w:trPr>
          <w:trHeight w:val="277"/>
        </w:trPr>
        <w:tc>
          <w:tcPr>
            <w:tcW w:w="2407" w:type="dxa"/>
            <w:tcBorders>
              <w:top w:val="nil"/>
              <w:left w:val="nil"/>
              <w:bottom w:val="nil"/>
              <w:right w:val="nil"/>
            </w:tcBorders>
            <w:noWrap/>
            <w:vAlign w:val="bottom"/>
            <w:hideMark/>
          </w:tcPr>
          <w:p w14:paraId="7200061A" w14:textId="77777777" w:rsidR="008F7A0E" w:rsidRPr="00D01B7A" w:rsidRDefault="008F7A0E"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Joint effect</w:t>
            </w:r>
          </w:p>
        </w:tc>
        <w:tc>
          <w:tcPr>
            <w:tcW w:w="1193" w:type="dxa"/>
            <w:tcBorders>
              <w:top w:val="nil"/>
              <w:left w:val="nil"/>
              <w:bottom w:val="nil"/>
              <w:right w:val="nil"/>
            </w:tcBorders>
            <w:noWrap/>
            <w:vAlign w:val="bottom"/>
            <w:hideMark/>
          </w:tcPr>
          <w:p w14:paraId="05F703B1" w14:textId="77777777" w:rsidR="008F7A0E" w:rsidRPr="00D01B7A" w:rsidRDefault="008F7A0E" w:rsidP="00173A63">
            <w:pPr>
              <w:spacing w:after="0" w:line="240" w:lineRule="auto"/>
              <w:rPr>
                <w:rFonts w:ascii="Arial" w:eastAsia="Times New Roman" w:hAnsi="Arial" w:cs="Arial"/>
                <w:lang w:val="en-AE" w:eastAsia="en-AE"/>
              </w:rPr>
            </w:pPr>
          </w:p>
        </w:tc>
        <w:tc>
          <w:tcPr>
            <w:tcW w:w="1408" w:type="dxa"/>
            <w:tcBorders>
              <w:top w:val="nil"/>
              <w:left w:val="nil"/>
              <w:bottom w:val="nil"/>
              <w:right w:val="nil"/>
            </w:tcBorders>
            <w:noWrap/>
            <w:vAlign w:val="bottom"/>
            <w:hideMark/>
          </w:tcPr>
          <w:p w14:paraId="705554AC"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293" w:type="dxa"/>
            <w:tcBorders>
              <w:top w:val="nil"/>
              <w:left w:val="nil"/>
              <w:bottom w:val="nil"/>
              <w:right w:val="nil"/>
            </w:tcBorders>
            <w:noWrap/>
            <w:vAlign w:val="bottom"/>
            <w:hideMark/>
          </w:tcPr>
          <w:p w14:paraId="149E2D3E"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529" w:type="dxa"/>
            <w:tcBorders>
              <w:top w:val="nil"/>
              <w:left w:val="nil"/>
              <w:bottom w:val="nil"/>
              <w:right w:val="nil"/>
            </w:tcBorders>
            <w:noWrap/>
            <w:vAlign w:val="bottom"/>
            <w:hideMark/>
          </w:tcPr>
          <w:p w14:paraId="133A6696" w14:textId="77777777" w:rsidR="008F7A0E" w:rsidRPr="00D01B7A" w:rsidRDefault="008F7A0E" w:rsidP="00173A63">
            <w:pPr>
              <w:spacing w:after="0" w:line="240" w:lineRule="auto"/>
              <w:jc w:val="center"/>
              <w:rPr>
                <w:rFonts w:ascii="Arial" w:eastAsia="Times New Roman" w:hAnsi="Arial" w:cs="Arial"/>
                <w:lang w:val="en-AE" w:eastAsia="en-AE"/>
              </w:rPr>
            </w:pPr>
          </w:p>
        </w:tc>
        <w:tc>
          <w:tcPr>
            <w:tcW w:w="1620" w:type="dxa"/>
            <w:tcBorders>
              <w:top w:val="nil"/>
              <w:left w:val="nil"/>
              <w:bottom w:val="nil"/>
              <w:right w:val="nil"/>
            </w:tcBorders>
            <w:noWrap/>
            <w:vAlign w:val="bottom"/>
            <w:hideMark/>
          </w:tcPr>
          <w:p w14:paraId="427E51C6" w14:textId="77777777" w:rsidR="008F7A0E" w:rsidRPr="00D01B7A" w:rsidRDefault="008F7A0E" w:rsidP="00173A63">
            <w:pPr>
              <w:spacing w:after="0" w:line="240" w:lineRule="auto"/>
              <w:jc w:val="center"/>
              <w:rPr>
                <w:rFonts w:ascii="Arial" w:eastAsia="Times New Roman" w:hAnsi="Arial" w:cs="Arial"/>
                <w:color w:val="00B0F0"/>
                <w:lang w:val="en-AE" w:eastAsia="en-AE"/>
              </w:rPr>
            </w:pPr>
            <w:r w:rsidRPr="00D01B7A">
              <w:rPr>
                <w:rFonts w:ascii="Arial" w:eastAsia="Times New Roman" w:hAnsi="Arial" w:cs="Arial"/>
                <w:color w:val="00B0F0"/>
                <w:lang w:val="en-AE" w:eastAsia="en-AE"/>
              </w:rPr>
              <w:t>140.18***</w:t>
            </w:r>
          </w:p>
        </w:tc>
      </w:tr>
      <w:tr w:rsidR="008F7A0E" w:rsidRPr="00D01B7A" w14:paraId="47BB38D8" w14:textId="77777777" w:rsidTr="009D7B7D">
        <w:trPr>
          <w:trHeight w:val="277"/>
        </w:trPr>
        <w:tc>
          <w:tcPr>
            <w:tcW w:w="2407" w:type="dxa"/>
            <w:tcBorders>
              <w:top w:val="nil"/>
              <w:left w:val="nil"/>
              <w:bottom w:val="nil"/>
              <w:right w:val="nil"/>
            </w:tcBorders>
            <w:noWrap/>
            <w:vAlign w:val="bottom"/>
            <w:hideMark/>
          </w:tcPr>
          <w:p w14:paraId="2D4A18C7" w14:textId="77777777" w:rsidR="008F7A0E" w:rsidRPr="00D01B7A" w:rsidRDefault="008F7A0E" w:rsidP="00173A6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Observations</w:t>
            </w:r>
          </w:p>
        </w:tc>
        <w:tc>
          <w:tcPr>
            <w:tcW w:w="1193" w:type="dxa"/>
            <w:tcBorders>
              <w:top w:val="nil"/>
              <w:left w:val="nil"/>
              <w:bottom w:val="nil"/>
              <w:right w:val="nil"/>
            </w:tcBorders>
            <w:noWrap/>
            <w:vAlign w:val="bottom"/>
            <w:hideMark/>
          </w:tcPr>
          <w:p w14:paraId="0EA55274"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168</w:t>
            </w:r>
          </w:p>
        </w:tc>
        <w:tc>
          <w:tcPr>
            <w:tcW w:w="1408" w:type="dxa"/>
            <w:tcBorders>
              <w:top w:val="nil"/>
              <w:left w:val="nil"/>
              <w:bottom w:val="nil"/>
              <w:right w:val="nil"/>
            </w:tcBorders>
            <w:noWrap/>
            <w:vAlign w:val="bottom"/>
            <w:hideMark/>
          </w:tcPr>
          <w:p w14:paraId="7758F38B"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168</w:t>
            </w:r>
          </w:p>
        </w:tc>
        <w:tc>
          <w:tcPr>
            <w:tcW w:w="1293" w:type="dxa"/>
            <w:tcBorders>
              <w:top w:val="nil"/>
              <w:left w:val="nil"/>
              <w:bottom w:val="nil"/>
              <w:right w:val="nil"/>
            </w:tcBorders>
            <w:noWrap/>
            <w:vAlign w:val="bottom"/>
            <w:hideMark/>
          </w:tcPr>
          <w:p w14:paraId="2A841FAC"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168</w:t>
            </w:r>
          </w:p>
        </w:tc>
        <w:tc>
          <w:tcPr>
            <w:tcW w:w="1529" w:type="dxa"/>
            <w:tcBorders>
              <w:top w:val="nil"/>
              <w:left w:val="nil"/>
              <w:bottom w:val="nil"/>
              <w:right w:val="nil"/>
            </w:tcBorders>
            <w:noWrap/>
            <w:vAlign w:val="bottom"/>
            <w:hideMark/>
          </w:tcPr>
          <w:p w14:paraId="29BFCCD9"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168</w:t>
            </w:r>
          </w:p>
        </w:tc>
        <w:tc>
          <w:tcPr>
            <w:tcW w:w="1620" w:type="dxa"/>
            <w:tcBorders>
              <w:top w:val="nil"/>
              <w:left w:val="nil"/>
              <w:bottom w:val="nil"/>
              <w:right w:val="nil"/>
            </w:tcBorders>
            <w:noWrap/>
            <w:vAlign w:val="bottom"/>
            <w:hideMark/>
          </w:tcPr>
          <w:p w14:paraId="3E225F9F" w14:textId="77777777" w:rsidR="008F7A0E" w:rsidRPr="00D01B7A" w:rsidRDefault="008F7A0E" w:rsidP="00173A6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168</w:t>
            </w:r>
          </w:p>
        </w:tc>
      </w:tr>
      <w:tr w:rsidR="008F7A0E" w:rsidRPr="00D01B7A" w14:paraId="7D18D161" w14:textId="77777777" w:rsidTr="009D7B7D">
        <w:trPr>
          <w:trHeight w:val="277"/>
        </w:trPr>
        <w:tc>
          <w:tcPr>
            <w:tcW w:w="2407" w:type="dxa"/>
            <w:tcBorders>
              <w:top w:val="nil"/>
              <w:left w:val="nil"/>
              <w:bottom w:val="single" w:sz="4" w:space="0" w:color="auto"/>
              <w:right w:val="nil"/>
            </w:tcBorders>
            <w:noWrap/>
            <w:vAlign w:val="bottom"/>
            <w:hideMark/>
          </w:tcPr>
          <w:p w14:paraId="74808763" w14:textId="77777777" w:rsidR="008F7A0E" w:rsidRPr="00D01B7A" w:rsidRDefault="008F7A0E" w:rsidP="00D92483">
            <w:pPr>
              <w:spacing w:after="0" w:line="240" w:lineRule="auto"/>
              <w:rPr>
                <w:rFonts w:ascii="Arial" w:eastAsia="Times New Roman" w:hAnsi="Arial" w:cs="Arial"/>
                <w:lang w:val="en-AE" w:eastAsia="en-AE"/>
              </w:rPr>
            </w:pPr>
            <w:r w:rsidRPr="00D01B7A">
              <w:rPr>
                <w:rFonts w:ascii="Arial" w:eastAsia="Times New Roman" w:hAnsi="Arial" w:cs="Arial"/>
                <w:lang w:val="en-AE" w:eastAsia="en-AE"/>
              </w:rPr>
              <w:t>Number of id_banks</w:t>
            </w:r>
          </w:p>
        </w:tc>
        <w:tc>
          <w:tcPr>
            <w:tcW w:w="1193" w:type="dxa"/>
            <w:tcBorders>
              <w:top w:val="nil"/>
              <w:left w:val="nil"/>
              <w:bottom w:val="single" w:sz="4" w:space="0" w:color="auto"/>
              <w:right w:val="nil"/>
            </w:tcBorders>
            <w:noWrap/>
            <w:vAlign w:val="bottom"/>
            <w:hideMark/>
          </w:tcPr>
          <w:p w14:paraId="01D6E7C4" w14:textId="77777777" w:rsidR="008F7A0E" w:rsidRPr="00D01B7A" w:rsidRDefault="008F7A0E" w:rsidP="00D9248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c>
          <w:tcPr>
            <w:tcW w:w="1408" w:type="dxa"/>
            <w:tcBorders>
              <w:top w:val="nil"/>
              <w:left w:val="nil"/>
              <w:bottom w:val="single" w:sz="4" w:space="0" w:color="auto"/>
              <w:right w:val="nil"/>
            </w:tcBorders>
            <w:noWrap/>
            <w:vAlign w:val="bottom"/>
            <w:hideMark/>
          </w:tcPr>
          <w:p w14:paraId="2C85F4FD" w14:textId="77777777" w:rsidR="008F7A0E" w:rsidRPr="00D01B7A" w:rsidRDefault="008F7A0E" w:rsidP="00D9248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c>
          <w:tcPr>
            <w:tcW w:w="1293" w:type="dxa"/>
            <w:tcBorders>
              <w:top w:val="nil"/>
              <w:left w:val="nil"/>
              <w:bottom w:val="single" w:sz="4" w:space="0" w:color="auto"/>
              <w:right w:val="nil"/>
            </w:tcBorders>
            <w:noWrap/>
            <w:vAlign w:val="bottom"/>
            <w:hideMark/>
          </w:tcPr>
          <w:p w14:paraId="2A145CE3" w14:textId="77777777" w:rsidR="008F7A0E" w:rsidRPr="00D01B7A" w:rsidRDefault="008F7A0E" w:rsidP="00D9248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c>
          <w:tcPr>
            <w:tcW w:w="1529" w:type="dxa"/>
            <w:tcBorders>
              <w:top w:val="nil"/>
              <w:left w:val="nil"/>
              <w:bottom w:val="single" w:sz="4" w:space="0" w:color="auto"/>
              <w:right w:val="nil"/>
            </w:tcBorders>
            <w:noWrap/>
            <w:vAlign w:val="bottom"/>
            <w:hideMark/>
          </w:tcPr>
          <w:p w14:paraId="6A3C4C2D" w14:textId="77777777" w:rsidR="008F7A0E" w:rsidRPr="00D01B7A" w:rsidRDefault="008F7A0E" w:rsidP="00D9248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c>
          <w:tcPr>
            <w:tcW w:w="1620" w:type="dxa"/>
            <w:tcBorders>
              <w:top w:val="nil"/>
              <w:left w:val="nil"/>
              <w:bottom w:val="single" w:sz="4" w:space="0" w:color="auto"/>
              <w:right w:val="nil"/>
            </w:tcBorders>
            <w:noWrap/>
            <w:vAlign w:val="bottom"/>
            <w:hideMark/>
          </w:tcPr>
          <w:p w14:paraId="264340C7" w14:textId="77777777" w:rsidR="008F7A0E" w:rsidRPr="00D01B7A" w:rsidRDefault="008F7A0E" w:rsidP="00D92483">
            <w:pPr>
              <w:spacing w:after="0" w:line="240" w:lineRule="auto"/>
              <w:jc w:val="center"/>
              <w:rPr>
                <w:rFonts w:ascii="Arial" w:eastAsia="Times New Roman" w:hAnsi="Arial" w:cs="Arial"/>
                <w:lang w:val="en-AE" w:eastAsia="en-AE"/>
              </w:rPr>
            </w:pPr>
            <w:r w:rsidRPr="00D01B7A">
              <w:rPr>
                <w:rFonts w:ascii="Arial" w:eastAsia="Times New Roman" w:hAnsi="Arial" w:cs="Arial"/>
                <w:lang w:val="en-AE" w:eastAsia="en-AE"/>
              </w:rPr>
              <w:t>12</w:t>
            </w:r>
          </w:p>
        </w:tc>
      </w:tr>
    </w:tbl>
    <w:p w14:paraId="531191A7" w14:textId="77777777" w:rsidR="00D92483" w:rsidRPr="00D01B7A" w:rsidRDefault="00D92483" w:rsidP="00D92483">
      <w:pPr>
        <w:spacing w:after="0" w:line="480" w:lineRule="auto"/>
        <w:rPr>
          <w:rFonts w:ascii="Arial" w:hAnsi="Arial" w:cs="Arial"/>
          <w:i/>
          <w:iCs/>
        </w:rPr>
      </w:pPr>
      <w:r w:rsidRPr="00D01B7A">
        <w:rPr>
          <w:rFonts w:ascii="Arial" w:hAnsi="Arial" w:cs="Arial"/>
          <w:i/>
          <w:iCs/>
        </w:rPr>
        <w:t xml:space="preserve">Source: Author’s computation. </w:t>
      </w:r>
    </w:p>
    <w:p w14:paraId="3C257431" w14:textId="27823324" w:rsidR="00AC0043" w:rsidRPr="00D01B7A" w:rsidRDefault="00AC0043" w:rsidP="00D92483">
      <w:pPr>
        <w:spacing w:after="0" w:line="480" w:lineRule="auto"/>
        <w:jc w:val="center"/>
        <w:rPr>
          <w:rFonts w:ascii="Arial" w:hAnsi="Arial" w:cs="Arial"/>
          <w:i/>
          <w:iCs/>
        </w:rPr>
      </w:pPr>
      <w:r w:rsidRPr="00D01B7A">
        <w:rPr>
          <w:rFonts w:ascii="Arial" w:hAnsi="Arial" w:cs="Arial"/>
          <w:i/>
          <w:iCs/>
        </w:rPr>
        <w:t>z-statistics in parentheses. *** p&lt;0.01, ** p&lt;0.05, * p&lt;0.1</w:t>
      </w:r>
    </w:p>
    <w:p w14:paraId="03E762AE" w14:textId="77777777" w:rsidR="00AC0043" w:rsidRPr="00D01B7A" w:rsidRDefault="0003443A" w:rsidP="001970FC">
      <w:pPr>
        <w:pStyle w:val="Heading1"/>
        <w:spacing w:after="0" w:line="360" w:lineRule="auto"/>
        <w:rPr>
          <w:rFonts w:ascii="Arial" w:hAnsi="Arial" w:cs="Arial"/>
          <w:b/>
          <w:bCs/>
          <w:color w:val="auto"/>
          <w:sz w:val="22"/>
          <w:szCs w:val="22"/>
        </w:rPr>
      </w:pPr>
      <w:r w:rsidRPr="00D01B7A">
        <w:rPr>
          <w:rFonts w:ascii="Arial" w:hAnsi="Arial" w:cs="Arial"/>
          <w:b/>
          <w:bCs/>
          <w:color w:val="auto"/>
          <w:sz w:val="22"/>
          <w:szCs w:val="22"/>
        </w:rPr>
        <w:t xml:space="preserve">5.0 </w:t>
      </w:r>
      <w:r w:rsidR="00AC0043" w:rsidRPr="00D01B7A">
        <w:rPr>
          <w:rFonts w:ascii="Arial" w:hAnsi="Arial" w:cs="Arial"/>
          <w:b/>
          <w:bCs/>
          <w:color w:val="auto"/>
          <w:sz w:val="22"/>
          <w:szCs w:val="22"/>
        </w:rPr>
        <w:t>Conclusion</w:t>
      </w:r>
      <w:r w:rsidR="00E10D70" w:rsidRPr="00D01B7A">
        <w:rPr>
          <w:rFonts w:ascii="Arial" w:hAnsi="Arial" w:cs="Arial"/>
          <w:b/>
          <w:bCs/>
          <w:color w:val="auto"/>
          <w:sz w:val="22"/>
          <w:szCs w:val="22"/>
        </w:rPr>
        <w:t xml:space="preserve"> and Recommendations</w:t>
      </w:r>
    </w:p>
    <w:p w14:paraId="5EC16FBF" w14:textId="77777777" w:rsidR="00E10D70" w:rsidRPr="00D01B7A" w:rsidRDefault="00E10D70" w:rsidP="001970FC">
      <w:pPr>
        <w:spacing w:line="360" w:lineRule="auto"/>
        <w:rPr>
          <w:rFonts w:ascii="Arial" w:hAnsi="Arial" w:cs="Arial"/>
        </w:rPr>
      </w:pPr>
      <w:r w:rsidRPr="00D01B7A">
        <w:rPr>
          <w:rFonts w:ascii="Arial" w:hAnsi="Arial" w:cs="Arial"/>
          <w:b/>
        </w:rPr>
        <w:t>5.1</w:t>
      </w:r>
      <w:r w:rsidRPr="00D01B7A">
        <w:rPr>
          <w:rFonts w:ascii="Arial" w:hAnsi="Arial" w:cs="Arial"/>
        </w:rPr>
        <w:t xml:space="preserve"> </w:t>
      </w:r>
      <w:r w:rsidRPr="00D01B7A">
        <w:rPr>
          <w:rFonts w:ascii="Arial" w:hAnsi="Arial" w:cs="Arial"/>
          <w:b/>
        </w:rPr>
        <w:t>Conclusion</w:t>
      </w:r>
    </w:p>
    <w:p w14:paraId="4D1AC1FB" w14:textId="4877F26C" w:rsidR="00E52C7A" w:rsidRPr="00D01B7A" w:rsidRDefault="00E52C7A" w:rsidP="001970FC">
      <w:pPr>
        <w:spacing w:after="0" w:line="360" w:lineRule="auto"/>
        <w:jc w:val="both"/>
        <w:rPr>
          <w:rFonts w:ascii="Arial" w:eastAsia="Times New Roman" w:hAnsi="Arial" w:cs="Arial"/>
        </w:rPr>
      </w:pPr>
      <w:r w:rsidRPr="00E52C7A">
        <w:rPr>
          <w:rFonts w:ascii="Arial" w:eastAsia="Times New Roman" w:hAnsi="Arial" w:cs="Arial"/>
        </w:rPr>
        <w:t>Financial institutions, particularly banks, play a central role in driving economic growth. They stabilize the financial sector and allocate resources efficiently. Many studies have examined the relationships between capital adequacy, liquidity risk, credit risk, and bank performance across various regions, yielding mixed results. This study contributes to the literature by analyzing a balanced panel dataset of 12 Nigerian banks from 2010 to 2023. Using static panel methods—Panel-Corrected Standard Errors (PCSE) and Feasible Generalized Least Squares (FGLS)—our analysis offers strong statistical support for the study's hypotheses.</w:t>
      </w:r>
    </w:p>
    <w:p w14:paraId="3C9C0402" w14:textId="77777777" w:rsidR="006B2E5A" w:rsidRPr="00E52C7A" w:rsidRDefault="006B2E5A" w:rsidP="001970FC">
      <w:pPr>
        <w:spacing w:after="0" w:line="360" w:lineRule="auto"/>
        <w:jc w:val="both"/>
        <w:rPr>
          <w:rFonts w:ascii="Arial" w:eastAsia="Times New Roman" w:hAnsi="Arial" w:cs="Arial"/>
        </w:rPr>
      </w:pPr>
    </w:p>
    <w:p w14:paraId="16908E68" w14:textId="77777777" w:rsidR="00E52C7A" w:rsidRPr="00E52C7A" w:rsidRDefault="00E52C7A" w:rsidP="001970FC">
      <w:pPr>
        <w:spacing w:after="0" w:line="360" w:lineRule="auto"/>
        <w:jc w:val="both"/>
        <w:rPr>
          <w:rFonts w:ascii="Arial" w:eastAsia="Times New Roman" w:hAnsi="Arial" w:cs="Arial"/>
        </w:rPr>
      </w:pPr>
      <w:r w:rsidRPr="00E52C7A">
        <w:rPr>
          <w:rFonts w:ascii="Arial" w:eastAsia="Times New Roman" w:hAnsi="Arial" w:cs="Arial"/>
        </w:rPr>
        <w:t xml:space="preserve">First, our findings reveal a statistically significant and negative relationship between risk-weighted capital and the performance of Nigerian banks. High regulatory capital buffers may reduce profitability, possibly due to the costs associated with holding excess capital or adopting a conservative lending approach. Second, credit risk, measured by the Z-score, also has a negative effect on bank performance. This supports previous studies, which highlight that banks with poor credit portfolios or loan assessments tend to sustain lower profits over time. Third, our results indicate that liquidity risk has a negative impact on bank performance, underscoring the importance of effective liquidity management. Finally, we address the interdependence hypothesis. Our results indicate that credit risk, capital adequacy, and liquidity risk together help explain variations in bank performance. Notably, we find that liquidity risk may actually promote </w:t>
      </w:r>
      <w:r w:rsidRPr="00E52C7A">
        <w:rPr>
          <w:rFonts w:ascii="Arial" w:eastAsia="Times New Roman" w:hAnsi="Arial" w:cs="Arial"/>
        </w:rPr>
        <w:lastRenderedPageBreak/>
        <w:t>performance, rather than hinder it. This suggests Nigerian banks may take more risks when liquidity is strong. Multiple, interrelated risks may shape profitability. We control for inflation and interest rate fluctuations, and include bank size as a control variable. Our analysis suggests that larger banks might face diminishing returns due to possible size-related inefficiencies.</w:t>
      </w:r>
    </w:p>
    <w:p w14:paraId="28A48B16" w14:textId="798D094F" w:rsidR="00E10D70" w:rsidRPr="00D01B7A" w:rsidRDefault="006E36F3" w:rsidP="001970FC">
      <w:pPr>
        <w:spacing w:after="0" w:line="360" w:lineRule="auto"/>
        <w:ind w:firstLine="720"/>
        <w:jc w:val="both"/>
        <w:rPr>
          <w:rFonts w:ascii="Arial" w:eastAsia="Times New Roman" w:hAnsi="Arial" w:cs="Arial"/>
        </w:rPr>
      </w:pPr>
      <w:r w:rsidRPr="00D01B7A">
        <w:rPr>
          <w:rFonts w:ascii="Arial" w:eastAsia="Times New Roman" w:hAnsi="Arial" w:cs="Arial"/>
        </w:rPr>
        <w:t xml:space="preserve"> </w:t>
      </w:r>
    </w:p>
    <w:p w14:paraId="4B7897CB" w14:textId="77777777" w:rsidR="008F7A0E" w:rsidRPr="00D01B7A" w:rsidRDefault="008F7A0E" w:rsidP="001970FC">
      <w:pPr>
        <w:spacing w:after="0" w:line="360" w:lineRule="auto"/>
        <w:jc w:val="both"/>
        <w:rPr>
          <w:rFonts w:ascii="Arial" w:eastAsia="Times New Roman" w:hAnsi="Arial" w:cs="Arial"/>
          <w:b/>
        </w:rPr>
      </w:pPr>
      <w:r w:rsidRPr="00D01B7A">
        <w:rPr>
          <w:rFonts w:ascii="Arial" w:eastAsia="Times New Roman" w:hAnsi="Arial" w:cs="Arial"/>
          <w:b/>
        </w:rPr>
        <w:t>5.2 Recommendations</w:t>
      </w:r>
    </w:p>
    <w:p w14:paraId="34219ADC" w14:textId="77777777" w:rsidR="00ED78EE" w:rsidRPr="00ED78EE" w:rsidRDefault="00ED78EE" w:rsidP="001970FC">
      <w:pPr>
        <w:spacing w:after="0" w:line="360" w:lineRule="auto"/>
        <w:jc w:val="both"/>
        <w:rPr>
          <w:rFonts w:ascii="Arial" w:eastAsia="Times New Roman" w:hAnsi="Arial" w:cs="Arial"/>
        </w:rPr>
      </w:pPr>
      <w:r w:rsidRPr="00ED78EE">
        <w:rPr>
          <w:rFonts w:ascii="Arial" w:eastAsia="Times New Roman" w:hAnsi="Arial" w:cs="Arial"/>
        </w:rPr>
        <w:t>In light of the preceding findings, we propose several policy recommendations for governments, financial institutions, and other stakeholders. Regulatory bodies, such as the Central Bank of Nigeria (CBN), should mandate banks to adopt comprehensive risk management strategies. These must include real-time monitoring of credit and liquidity risks. Banks should enhance internal controls and regularly conduct stress tests to evaluate resilience under adverse conditions. They also should maintain capital above minimum thresholds, focusing on strengthening Tier 1 capital to absorb shocks. The CBN should enforce stricter prudential guidelines to limit excessive risk exposure. To address liquidity risk, banks must hold adequate, high-quality liquid assets, as recommended by the Basel III framework, and establish contingency funding strategies to meet their short-term needs. Capacity-building initiatives should intensify to enable staff to acquire the skills necessary for utilizing advanced risk detection tools, including data analytics and artificial intelligence. Enhancing transparency by improving the disclosure of exposures and capital positions will foster discipline and boost investor confidence. Collectively, these measures will strengthen Nigerian banks and ensure their contribution to economic development.</w:t>
      </w:r>
    </w:p>
    <w:p w14:paraId="26292B79" w14:textId="77777777" w:rsidR="00231113" w:rsidRPr="00D01B7A" w:rsidRDefault="00231113" w:rsidP="001970FC">
      <w:pPr>
        <w:spacing w:after="0" w:line="360" w:lineRule="auto"/>
        <w:rPr>
          <w:rFonts w:ascii="Arial" w:eastAsia="Times New Roman" w:hAnsi="Arial" w:cs="Arial"/>
          <w:b/>
          <w:bCs/>
          <w:iCs/>
        </w:rPr>
      </w:pPr>
    </w:p>
    <w:p w14:paraId="28CC43AE" w14:textId="1FEDDC37" w:rsidR="00231113" w:rsidRPr="00231113" w:rsidRDefault="00E52C7A" w:rsidP="001970FC">
      <w:pPr>
        <w:spacing w:after="120" w:line="360" w:lineRule="auto"/>
        <w:rPr>
          <w:rFonts w:ascii="Arial" w:eastAsia="Times New Roman" w:hAnsi="Arial" w:cs="Arial"/>
        </w:rPr>
      </w:pPr>
      <w:r w:rsidRPr="00D01B7A">
        <w:rPr>
          <w:rFonts w:ascii="Arial" w:eastAsia="Times New Roman" w:hAnsi="Arial" w:cs="Arial"/>
          <w:b/>
          <w:bCs/>
          <w:iCs/>
        </w:rPr>
        <w:t xml:space="preserve">5.3 </w:t>
      </w:r>
      <w:r w:rsidR="00231113" w:rsidRPr="00231113">
        <w:rPr>
          <w:rFonts w:ascii="Arial" w:eastAsia="Times New Roman" w:hAnsi="Arial" w:cs="Arial"/>
          <w:b/>
          <w:bCs/>
          <w:iCs/>
        </w:rPr>
        <w:t>Limitations of the Research</w:t>
      </w:r>
    </w:p>
    <w:p w14:paraId="41399824" w14:textId="77777777" w:rsidR="006B2E5A" w:rsidRPr="006B2E5A" w:rsidRDefault="006B2E5A" w:rsidP="001970FC">
      <w:pPr>
        <w:spacing w:after="0" w:line="360" w:lineRule="auto"/>
        <w:jc w:val="both"/>
        <w:rPr>
          <w:rFonts w:ascii="Arial" w:eastAsia="Times New Roman" w:hAnsi="Arial" w:cs="Arial"/>
        </w:rPr>
      </w:pPr>
      <w:r w:rsidRPr="006B2E5A">
        <w:rPr>
          <w:rFonts w:ascii="Arial" w:eastAsia="Times New Roman" w:hAnsi="Arial" w:cs="Arial"/>
        </w:rPr>
        <w:t xml:space="preserve">The study examines a selection of 12 Nigerian banks over a 14-year timeline. Although this approach offers substantial depth, it may limit the generalizability of the findings to the broader financial sector or other developing economies. The analysis is geographically confined to Nigeria and may not capture the complexities present in regions with different regulatory environments, economic conditions, or banking frameworks. Future research should aim to include a broader range of banks from diverse countries and conduct cross-country comparisons. Such studies would enhance generalizability and reveal regional differences in risk-performance dynamics. While the current study focuses on capital adequacy, liquidity risk, and credit risk, it overlooks other important risks, such as market risk, operational risk, and cyber risk, which are increasingly relevant in modern banking. Future research should clearly seek to examine market risk, </w:t>
      </w:r>
      <w:r w:rsidRPr="006B2E5A">
        <w:rPr>
          <w:rFonts w:ascii="Arial" w:eastAsia="Times New Roman" w:hAnsi="Arial" w:cs="Arial"/>
        </w:rPr>
        <w:lastRenderedPageBreak/>
        <w:t>operational risk, reputational risk, and cybersecurity threats, given the ongoing digital transformation in the banking sector.</w:t>
      </w:r>
    </w:p>
    <w:p w14:paraId="3F4D20D6" w14:textId="598E7052" w:rsidR="00231113" w:rsidRPr="00231113" w:rsidRDefault="00231113" w:rsidP="001970FC">
      <w:pPr>
        <w:spacing w:after="0" w:line="360" w:lineRule="auto"/>
        <w:rPr>
          <w:rFonts w:ascii="Arial" w:eastAsia="Times New Roman" w:hAnsi="Arial" w:cs="Arial"/>
        </w:rPr>
      </w:pPr>
    </w:p>
    <w:p w14:paraId="2BA3EA5E" w14:textId="13CF269C" w:rsidR="00AC0043" w:rsidRPr="00D01B7A" w:rsidRDefault="00864057" w:rsidP="001970FC">
      <w:pPr>
        <w:spacing w:line="360" w:lineRule="auto"/>
        <w:rPr>
          <w:rFonts w:ascii="Arial" w:hAnsi="Arial" w:cs="Arial"/>
          <w:b/>
          <w:bCs/>
        </w:rPr>
      </w:pPr>
      <w:r w:rsidRPr="00D01B7A">
        <w:rPr>
          <w:rFonts w:ascii="Arial" w:hAnsi="Arial" w:cs="Arial"/>
          <w:b/>
          <w:bCs/>
        </w:rPr>
        <w:t>References</w:t>
      </w:r>
    </w:p>
    <w:p w14:paraId="4A62E660"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 xml:space="preserve">Abbas, F., Iqbal, S., &amp; Aziz, B. (2019). The impact of bank capital, bank liquidity, and credit risk on profitability in post-crisis </w:t>
      </w:r>
      <w:r w:rsidR="00D17AFA" w:rsidRPr="00D01B7A">
        <w:rPr>
          <w:rFonts w:ascii="Arial" w:hAnsi="Arial" w:cs="Arial"/>
          <w:shd w:val="clear" w:color="auto" w:fill="FFFFFF"/>
        </w:rPr>
        <w:t>period: ‎</w:t>
      </w:r>
      <w:r w:rsidRPr="00D01B7A">
        <w:rPr>
          <w:rFonts w:ascii="Arial" w:hAnsi="Arial" w:cs="Arial"/>
          <w:shd w:val="clear" w:color="auto" w:fill="FFFFFF"/>
        </w:rPr>
        <w:t xml:space="preserve"> A comparative study of US and Asia. </w:t>
      </w:r>
      <w:r w:rsidRPr="00D01B7A">
        <w:rPr>
          <w:rFonts w:ascii="Arial" w:hAnsi="Arial" w:cs="Arial"/>
          <w:i/>
          <w:iCs/>
          <w:shd w:val="clear" w:color="auto" w:fill="FFFFFF"/>
        </w:rPr>
        <w:t>Cogent Economics &amp; Finance</w:t>
      </w:r>
      <w:r w:rsidRPr="00D01B7A">
        <w:rPr>
          <w:rFonts w:ascii="Arial" w:hAnsi="Arial" w:cs="Arial"/>
          <w:shd w:val="clear" w:color="auto" w:fill="FFFFFF"/>
        </w:rPr>
        <w:t>, </w:t>
      </w:r>
      <w:r w:rsidRPr="00D01B7A">
        <w:rPr>
          <w:rFonts w:ascii="Arial" w:hAnsi="Arial" w:cs="Arial"/>
          <w:i/>
          <w:iCs/>
          <w:shd w:val="clear" w:color="auto" w:fill="FFFFFF"/>
        </w:rPr>
        <w:t>7</w:t>
      </w:r>
      <w:r w:rsidRPr="00D01B7A">
        <w:rPr>
          <w:rFonts w:ascii="Arial" w:hAnsi="Arial" w:cs="Arial"/>
          <w:shd w:val="clear" w:color="auto" w:fill="FFFFFF"/>
        </w:rPr>
        <w:t>(1), 1605683.</w:t>
      </w:r>
    </w:p>
    <w:p w14:paraId="4F2CBCA0"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Abbas, M. R., &amp; Ullah, B. (2023). The Impact of Credit and Liquidity Risk on Bank Performance. </w:t>
      </w:r>
      <w:r w:rsidRPr="00D01B7A">
        <w:rPr>
          <w:rFonts w:ascii="Arial" w:hAnsi="Arial" w:cs="Arial"/>
          <w:i/>
          <w:iCs/>
          <w:shd w:val="clear" w:color="auto" w:fill="FFFFFF"/>
        </w:rPr>
        <w:t>Bulletin of Business and Economics (BBE)</w:t>
      </w:r>
      <w:r w:rsidRPr="00D01B7A">
        <w:rPr>
          <w:rFonts w:ascii="Arial" w:hAnsi="Arial" w:cs="Arial"/>
          <w:shd w:val="clear" w:color="auto" w:fill="FFFFFF"/>
        </w:rPr>
        <w:t>, </w:t>
      </w:r>
      <w:r w:rsidRPr="00D01B7A">
        <w:rPr>
          <w:rFonts w:ascii="Arial" w:hAnsi="Arial" w:cs="Arial"/>
          <w:i/>
          <w:iCs/>
          <w:shd w:val="clear" w:color="auto" w:fill="FFFFFF"/>
        </w:rPr>
        <w:t>12</w:t>
      </w:r>
      <w:r w:rsidRPr="00D01B7A">
        <w:rPr>
          <w:rFonts w:ascii="Arial" w:hAnsi="Arial" w:cs="Arial"/>
          <w:shd w:val="clear" w:color="auto" w:fill="FFFFFF"/>
        </w:rPr>
        <w:t>(4), 205-218.</w:t>
      </w:r>
    </w:p>
    <w:p w14:paraId="4F9D9140" w14:textId="77777777" w:rsidR="0018560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Abdelaziz, H., Rim, B., &amp; Helmi, H. (2022). The interactional relationships between credit risk, liquidity risk and bank profitability in MENA region. </w:t>
      </w:r>
      <w:r w:rsidRPr="00D01B7A">
        <w:rPr>
          <w:rFonts w:ascii="Arial" w:hAnsi="Arial" w:cs="Arial"/>
          <w:i/>
          <w:iCs/>
          <w:shd w:val="clear" w:color="auto" w:fill="FFFFFF"/>
        </w:rPr>
        <w:t>Global business review</w:t>
      </w:r>
      <w:r w:rsidRPr="00D01B7A">
        <w:rPr>
          <w:rFonts w:ascii="Arial" w:hAnsi="Arial" w:cs="Arial"/>
          <w:shd w:val="clear" w:color="auto" w:fill="FFFFFF"/>
        </w:rPr>
        <w:t>, </w:t>
      </w:r>
      <w:r w:rsidRPr="00D01B7A">
        <w:rPr>
          <w:rFonts w:ascii="Arial" w:hAnsi="Arial" w:cs="Arial"/>
          <w:i/>
          <w:iCs/>
          <w:shd w:val="clear" w:color="auto" w:fill="FFFFFF"/>
        </w:rPr>
        <w:t>23</w:t>
      </w:r>
      <w:r w:rsidRPr="00D01B7A">
        <w:rPr>
          <w:rFonts w:ascii="Arial" w:hAnsi="Arial" w:cs="Arial"/>
          <w:shd w:val="clear" w:color="auto" w:fill="FFFFFF"/>
        </w:rPr>
        <w:t>(3), 561-583.</w:t>
      </w:r>
    </w:p>
    <w:p w14:paraId="5A568A2C" w14:textId="77777777" w:rsidR="00185607" w:rsidRPr="00D01B7A" w:rsidRDefault="0018560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Adegbie, F. F., &amp; Dada, O. T. (2018). Risk assets management, liquidity management and sustainable performance in Nigeria deposit money banks. </w:t>
      </w:r>
      <w:r w:rsidRPr="00D01B7A">
        <w:rPr>
          <w:rFonts w:ascii="Arial" w:hAnsi="Arial" w:cs="Arial"/>
          <w:i/>
          <w:iCs/>
          <w:shd w:val="clear" w:color="auto" w:fill="FFFFFF"/>
        </w:rPr>
        <w:t>International Journal of Accounting Research</w:t>
      </w:r>
      <w:r w:rsidRPr="00D01B7A">
        <w:rPr>
          <w:rFonts w:ascii="Arial" w:hAnsi="Arial" w:cs="Arial"/>
          <w:shd w:val="clear" w:color="auto" w:fill="FFFFFF"/>
        </w:rPr>
        <w:t>, </w:t>
      </w:r>
      <w:r w:rsidRPr="00D01B7A">
        <w:rPr>
          <w:rFonts w:ascii="Arial" w:hAnsi="Arial" w:cs="Arial"/>
          <w:i/>
          <w:iCs/>
          <w:shd w:val="clear" w:color="auto" w:fill="FFFFFF"/>
        </w:rPr>
        <w:t>6</w:t>
      </w:r>
      <w:r w:rsidRPr="00D01B7A">
        <w:rPr>
          <w:rFonts w:ascii="Arial" w:hAnsi="Arial" w:cs="Arial"/>
          <w:shd w:val="clear" w:color="auto" w:fill="FFFFFF"/>
        </w:rPr>
        <w:t>(2), 1-10.</w:t>
      </w:r>
    </w:p>
    <w:p w14:paraId="7186F4BC" w14:textId="4286FCD0" w:rsidR="00185607" w:rsidRPr="00D01B7A" w:rsidRDefault="0018560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Adelopo, I., Vichou, N., &amp; Cheung, K. Y. (2022). Capital, liquidity, and profitability in European banks. </w:t>
      </w:r>
      <w:r w:rsidRPr="00D01B7A">
        <w:rPr>
          <w:rFonts w:ascii="Arial" w:hAnsi="Arial" w:cs="Arial"/>
          <w:i/>
          <w:iCs/>
          <w:shd w:val="clear" w:color="auto" w:fill="FFFFFF"/>
        </w:rPr>
        <w:t>Journal of Corporate Accounting &amp; Finance</w:t>
      </w:r>
      <w:r w:rsidRPr="00D01B7A">
        <w:rPr>
          <w:rFonts w:ascii="Arial" w:hAnsi="Arial" w:cs="Arial"/>
          <w:shd w:val="clear" w:color="auto" w:fill="FFFFFF"/>
        </w:rPr>
        <w:t>, </w:t>
      </w:r>
      <w:r w:rsidRPr="00D01B7A">
        <w:rPr>
          <w:rFonts w:ascii="Arial" w:hAnsi="Arial" w:cs="Arial"/>
          <w:i/>
          <w:iCs/>
          <w:shd w:val="clear" w:color="auto" w:fill="FFFFFF"/>
        </w:rPr>
        <w:t>33</w:t>
      </w:r>
      <w:r w:rsidRPr="00D01B7A">
        <w:rPr>
          <w:rFonts w:ascii="Arial" w:hAnsi="Arial" w:cs="Arial"/>
          <w:shd w:val="clear" w:color="auto" w:fill="FFFFFF"/>
        </w:rPr>
        <w:t>(1), 23-35.</w:t>
      </w:r>
    </w:p>
    <w:p w14:paraId="677C0E1C" w14:textId="77777777" w:rsidR="00864057" w:rsidRPr="00D01B7A" w:rsidRDefault="0086405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Ahmad, I., Salam, S., Ahmad, A., &amp; Abbas, S. (2019). The nexus between credit risk and liquidity risk and their impact on banks financial performance: Evidence from Pakistan. </w:t>
      </w:r>
      <w:r w:rsidRPr="00D01B7A">
        <w:rPr>
          <w:rFonts w:ascii="Arial" w:hAnsi="Arial" w:cs="Arial"/>
          <w:i/>
          <w:iCs/>
          <w:shd w:val="clear" w:color="auto" w:fill="FFFFFF"/>
        </w:rPr>
        <w:t>Sarhad Journal of Management Sciences</w:t>
      </w:r>
      <w:r w:rsidRPr="00D01B7A">
        <w:rPr>
          <w:rFonts w:ascii="Arial" w:hAnsi="Arial" w:cs="Arial"/>
          <w:shd w:val="clear" w:color="auto" w:fill="FFFFFF"/>
        </w:rPr>
        <w:t>, </w:t>
      </w:r>
      <w:r w:rsidRPr="00D01B7A">
        <w:rPr>
          <w:rFonts w:ascii="Arial" w:hAnsi="Arial" w:cs="Arial"/>
          <w:i/>
          <w:iCs/>
          <w:shd w:val="clear" w:color="auto" w:fill="FFFFFF"/>
        </w:rPr>
        <w:t>5</w:t>
      </w:r>
      <w:r w:rsidRPr="00D01B7A">
        <w:rPr>
          <w:rFonts w:ascii="Arial" w:hAnsi="Arial" w:cs="Arial"/>
          <w:shd w:val="clear" w:color="auto" w:fill="FFFFFF"/>
        </w:rPr>
        <w:t>(1), 67-86.</w:t>
      </w:r>
    </w:p>
    <w:p w14:paraId="45B75CBB" w14:textId="77777777" w:rsidR="00864057" w:rsidRPr="00D01B7A" w:rsidRDefault="0086405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Ajibike, J. O., &amp; Aremu, O. S. (2015). The Impact of Liquidity on Nigerian Bank Performance: A Dynamic Panel Approach. </w:t>
      </w:r>
      <w:r w:rsidRPr="00D01B7A">
        <w:rPr>
          <w:rFonts w:ascii="Arial" w:hAnsi="Arial" w:cs="Arial"/>
          <w:i/>
          <w:iCs/>
          <w:shd w:val="clear" w:color="auto" w:fill="FFFFFF"/>
        </w:rPr>
        <w:t>Journal of African Macroeconomic Review</w:t>
      </w:r>
      <w:r w:rsidRPr="00D01B7A">
        <w:rPr>
          <w:rFonts w:ascii="Arial" w:hAnsi="Arial" w:cs="Arial"/>
          <w:shd w:val="clear" w:color="auto" w:fill="FFFFFF"/>
        </w:rPr>
        <w:t>, </w:t>
      </w:r>
      <w:r w:rsidRPr="00D01B7A">
        <w:rPr>
          <w:rFonts w:ascii="Arial" w:hAnsi="Arial" w:cs="Arial"/>
          <w:i/>
          <w:iCs/>
          <w:shd w:val="clear" w:color="auto" w:fill="FFFFFF"/>
        </w:rPr>
        <w:t>5</w:t>
      </w:r>
      <w:r w:rsidRPr="00D01B7A">
        <w:rPr>
          <w:rFonts w:ascii="Arial" w:hAnsi="Arial" w:cs="Arial"/>
          <w:shd w:val="clear" w:color="auto" w:fill="FFFFFF"/>
        </w:rPr>
        <w:t>(2), 6-9.</w:t>
      </w:r>
    </w:p>
    <w:p w14:paraId="266D5A50" w14:textId="44FFA55B" w:rsidR="00864057" w:rsidRPr="00D01B7A" w:rsidRDefault="0086405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Ali, R., &amp; Ahmed, J. (2024). Venturing into risk management: Examining credit risk and performance in Pakistani commercial banks through panel VAR analysis from a business perspective. </w:t>
      </w:r>
      <w:r w:rsidRPr="00D01B7A">
        <w:rPr>
          <w:rFonts w:ascii="Arial" w:hAnsi="Arial" w:cs="Arial"/>
          <w:i/>
          <w:iCs/>
          <w:shd w:val="clear" w:color="auto" w:fill="FFFFFF"/>
        </w:rPr>
        <w:t>Journal of Entrepreneurship and Business Venturing</w:t>
      </w:r>
      <w:r w:rsidRPr="00D01B7A">
        <w:rPr>
          <w:rFonts w:ascii="Arial" w:hAnsi="Arial" w:cs="Arial"/>
          <w:shd w:val="clear" w:color="auto" w:fill="FFFFFF"/>
        </w:rPr>
        <w:t>, </w:t>
      </w:r>
      <w:r w:rsidRPr="00D01B7A">
        <w:rPr>
          <w:rFonts w:ascii="Arial" w:hAnsi="Arial" w:cs="Arial"/>
          <w:i/>
          <w:iCs/>
          <w:shd w:val="clear" w:color="auto" w:fill="FFFFFF"/>
        </w:rPr>
        <w:t>4</w:t>
      </w:r>
      <w:r w:rsidRPr="00D01B7A">
        <w:rPr>
          <w:rFonts w:ascii="Arial" w:hAnsi="Arial" w:cs="Arial"/>
          <w:shd w:val="clear" w:color="auto" w:fill="FFFFFF"/>
        </w:rPr>
        <w:t>(1).</w:t>
      </w:r>
    </w:p>
    <w:p w14:paraId="1E777910" w14:textId="1952462C" w:rsidR="00185607" w:rsidRPr="00D01B7A" w:rsidRDefault="0018560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Al-Husainy, N. H. M., &amp; Jadah, H. M. (2021). The effect of liquidity risk and credit risk on the bank performance: Empirical Evidence from Iraq. </w:t>
      </w:r>
      <w:r w:rsidRPr="00D01B7A">
        <w:rPr>
          <w:rFonts w:ascii="Arial" w:hAnsi="Arial" w:cs="Arial"/>
          <w:i/>
          <w:iCs/>
          <w:shd w:val="clear" w:color="auto" w:fill="FFFFFF"/>
        </w:rPr>
        <w:t>IRASD Journal of economics</w:t>
      </w:r>
      <w:r w:rsidRPr="00D01B7A">
        <w:rPr>
          <w:rFonts w:ascii="Arial" w:hAnsi="Arial" w:cs="Arial"/>
          <w:shd w:val="clear" w:color="auto" w:fill="FFFFFF"/>
        </w:rPr>
        <w:t>, </w:t>
      </w:r>
      <w:r w:rsidRPr="00D01B7A">
        <w:rPr>
          <w:rFonts w:ascii="Arial" w:hAnsi="Arial" w:cs="Arial"/>
          <w:i/>
          <w:iCs/>
          <w:shd w:val="clear" w:color="auto" w:fill="FFFFFF"/>
        </w:rPr>
        <w:t>3</w:t>
      </w:r>
      <w:r w:rsidRPr="00D01B7A">
        <w:rPr>
          <w:rFonts w:ascii="Arial" w:hAnsi="Arial" w:cs="Arial"/>
          <w:shd w:val="clear" w:color="auto" w:fill="FFFFFF"/>
        </w:rPr>
        <w:t>(1), 58-67.</w:t>
      </w:r>
    </w:p>
    <w:p w14:paraId="6BCC747C" w14:textId="77777777" w:rsidR="006B2E5A" w:rsidRPr="00D01B7A" w:rsidRDefault="006B2E5A"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AlZoubi, M. (2021). Bank capital adequacy: The impact of fundamental and regulatory factors in a developing country. </w:t>
      </w:r>
      <w:r w:rsidRPr="00D01B7A">
        <w:rPr>
          <w:rFonts w:ascii="Arial" w:hAnsi="Arial" w:cs="Arial"/>
          <w:i/>
          <w:iCs/>
          <w:shd w:val="clear" w:color="auto" w:fill="FFFFFF"/>
        </w:rPr>
        <w:t>Journal of Applied Business Research</w:t>
      </w:r>
      <w:r w:rsidRPr="00D01B7A">
        <w:rPr>
          <w:rFonts w:ascii="Arial" w:hAnsi="Arial" w:cs="Arial"/>
          <w:shd w:val="clear" w:color="auto" w:fill="FFFFFF"/>
        </w:rPr>
        <w:t>, </w:t>
      </w:r>
      <w:r w:rsidRPr="00D01B7A">
        <w:rPr>
          <w:rFonts w:ascii="Arial" w:hAnsi="Arial" w:cs="Arial"/>
          <w:i/>
          <w:iCs/>
          <w:shd w:val="clear" w:color="auto" w:fill="FFFFFF"/>
        </w:rPr>
        <w:t>37</w:t>
      </w:r>
      <w:r w:rsidRPr="00D01B7A">
        <w:rPr>
          <w:rFonts w:ascii="Arial" w:hAnsi="Arial" w:cs="Arial"/>
          <w:shd w:val="clear" w:color="auto" w:fill="FFFFFF"/>
        </w:rPr>
        <w:t>(6).</w:t>
      </w:r>
    </w:p>
    <w:p w14:paraId="4C2E6383" w14:textId="77777777" w:rsidR="00864057" w:rsidRPr="00D01B7A" w:rsidRDefault="0086405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Aluko, O. A., Kolapo, F. T., Adeyeye, P. O., &amp; Oladele, P. O. (2019). Impact of financial risks on the profitability of systematically important banks in Nigeria. </w:t>
      </w:r>
      <w:r w:rsidRPr="00D01B7A">
        <w:rPr>
          <w:rFonts w:ascii="Arial" w:hAnsi="Arial" w:cs="Arial"/>
          <w:i/>
          <w:iCs/>
          <w:shd w:val="clear" w:color="auto" w:fill="FFFFFF"/>
        </w:rPr>
        <w:t>Paradigm</w:t>
      </w:r>
      <w:r w:rsidRPr="00D01B7A">
        <w:rPr>
          <w:rFonts w:ascii="Arial" w:hAnsi="Arial" w:cs="Arial"/>
          <w:shd w:val="clear" w:color="auto" w:fill="FFFFFF"/>
        </w:rPr>
        <w:t>, </w:t>
      </w:r>
      <w:r w:rsidRPr="00D01B7A">
        <w:rPr>
          <w:rFonts w:ascii="Arial" w:hAnsi="Arial" w:cs="Arial"/>
          <w:i/>
          <w:iCs/>
          <w:shd w:val="clear" w:color="auto" w:fill="FFFFFF"/>
        </w:rPr>
        <w:t>23</w:t>
      </w:r>
      <w:r w:rsidRPr="00D01B7A">
        <w:rPr>
          <w:rFonts w:ascii="Arial" w:hAnsi="Arial" w:cs="Arial"/>
          <w:shd w:val="clear" w:color="auto" w:fill="FFFFFF"/>
        </w:rPr>
        <w:t>(2), 117-129.</w:t>
      </w:r>
    </w:p>
    <w:p w14:paraId="27DAE4E5" w14:textId="62CE12CB" w:rsidR="00231113"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Aruwa, S., &amp; Mohammed, N. (2011). Impact of capital adequacy on the financial performance of quoted deposit money banks in Nigeria.”</w:t>
      </w:r>
    </w:p>
    <w:p w14:paraId="16B3DE0D" w14:textId="279F0BB5" w:rsidR="006C2004" w:rsidRPr="00D01B7A" w:rsidRDefault="006C2004"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color w:val="222222"/>
          <w:shd w:val="clear" w:color="auto" w:fill="FFFFFF"/>
        </w:rPr>
        <w:t>Ayinuola, T. F., &amp; Gumel, B. I. (2023). The nexus between liquidity and credit risks and their impact on bank stability. </w:t>
      </w:r>
      <w:r w:rsidRPr="00D01B7A">
        <w:rPr>
          <w:rFonts w:ascii="Arial" w:hAnsi="Arial" w:cs="Arial"/>
          <w:i/>
          <w:iCs/>
          <w:color w:val="222222"/>
          <w:shd w:val="clear" w:color="auto" w:fill="FFFFFF"/>
        </w:rPr>
        <w:t>Asian Journal of Economics, Business and Accounting</w:t>
      </w:r>
      <w:r w:rsidRPr="00D01B7A">
        <w:rPr>
          <w:rFonts w:ascii="Arial" w:hAnsi="Arial" w:cs="Arial"/>
          <w:color w:val="222222"/>
          <w:shd w:val="clear" w:color="auto" w:fill="FFFFFF"/>
        </w:rPr>
        <w:t>, </w:t>
      </w:r>
      <w:r w:rsidRPr="00D01B7A">
        <w:rPr>
          <w:rFonts w:ascii="Arial" w:hAnsi="Arial" w:cs="Arial"/>
          <w:i/>
          <w:iCs/>
          <w:color w:val="222222"/>
          <w:shd w:val="clear" w:color="auto" w:fill="FFFFFF"/>
        </w:rPr>
        <w:t>23</w:t>
      </w:r>
      <w:r w:rsidRPr="00D01B7A">
        <w:rPr>
          <w:rFonts w:ascii="Arial" w:hAnsi="Arial" w:cs="Arial"/>
          <w:color w:val="222222"/>
          <w:shd w:val="clear" w:color="auto" w:fill="FFFFFF"/>
        </w:rPr>
        <w:t>(11), 15-27.</w:t>
      </w:r>
    </w:p>
    <w:p w14:paraId="20AAD6B5" w14:textId="77777777" w:rsidR="00231113" w:rsidRPr="00D01B7A" w:rsidRDefault="00231113"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rPr>
        <w:lastRenderedPageBreak/>
        <w:t xml:space="preserve">Basel Committee on Banking Supervision. (2017a). Basel III: Finalising post-crisis reforms. Retrieved February 8, 2020. from </w:t>
      </w:r>
      <w:hyperlink r:id="rId7" w:history="1">
        <w:r w:rsidRPr="00D01B7A">
          <w:rPr>
            <w:rStyle w:val="Hyperlink"/>
            <w:rFonts w:ascii="Arial" w:hAnsi="Arial" w:cs="Arial"/>
            <w:color w:val="auto"/>
          </w:rPr>
          <w:t>https://www.bis.org/bcbs/publ/d424.pdf</w:t>
        </w:r>
      </w:hyperlink>
      <w:r w:rsidRPr="00D01B7A">
        <w:rPr>
          <w:rFonts w:ascii="Arial" w:hAnsi="Arial" w:cs="Arial"/>
        </w:rPr>
        <w:t>.</w:t>
      </w:r>
    </w:p>
    <w:p w14:paraId="7AE67D0B" w14:textId="41F2F4EC" w:rsidR="00231113" w:rsidRPr="00D01B7A" w:rsidRDefault="00231113"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rPr>
        <w:t xml:space="preserve">Basel Committee on Banking Supervision. (2017b). Finalising Basel III - in brief. Retrieved February 8, 2020, from </w:t>
      </w:r>
      <w:hyperlink r:id="rId8" w:history="1">
        <w:r w:rsidRPr="00D01B7A">
          <w:rPr>
            <w:rStyle w:val="Hyperlink"/>
            <w:rFonts w:ascii="Arial" w:hAnsi="Arial" w:cs="Arial"/>
            <w:color w:val="auto"/>
          </w:rPr>
          <w:t>https://www.bis.org/bcbs/publ/d424_inbrief.pdf</w:t>
        </w:r>
      </w:hyperlink>
      <w:r w:rsidRPr="00D01B7A">
        <w:rPr>
          <w:rFonts w:ascii="Arial" w:hAnsi="Arial" w:cs="Arial"/>
        </w:rPr>
        <w:t>.</w:t>
      </w:r>
    </w:p>
    <w:p w14:paraId="6AAF0AEE" w14:textId="77777777" w:rsidR="00D17AFA" w:rsidRPr="00D01B7A" w:rsidRDefault="00D17AFA"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Bastos e Santos, E., Esho, N., Farag, M., &amp; Zuin, C. (2020). </w:t>
      </w:r>
      <w:r w:rsidRPr="00D01B7A">
        <w:rPr>
          <w:rFonts w:ascii="Arial" w:hAnsi="Arial" w:cs="Arial"/>
          <w:i/>
          <w:iCs/>
          <w:shd w:val="clear" w:color="auto" w:fill="FFFFFF"/>
        </w:rPr>
        <w:t>Variability in risk-weighted assets: what does the market think?</w:t>
      </w:r>
      <w:r w:rsidRPr="00D01B7A">
        <w:rPr>
          <w:rFonts w:ascii="Arial" w:hAnsi="Arial" w:cs="Arial"/>
          <w:shd w:val="clear" w:color="auto" w:fill="FFFFFF"/>
        </w:rPr>
        <w:t> (No. 844). Bank for International Settlements.</w:t>
      </w:r>
    </w:p>
    <w:p w14:paraId="58433728"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lang w:val="en-AE"/>
        </w:rPr>
        <w:t>Beck, N., &amp; Katz, J. N. (2010). What to do (and not do) with time-series Criss-section data. </w:t>
      </w:r>
      <w:r w:rsidRPr="00D01B7A">
        <w:rPr>
          <w:rFonts w:ascii="Arial" w:hAnsi="Arial" w:cs="Arial"/>
          <w:i/>
          <w:iCs/>
          <w:lang w:val="en-AE"/>
        </w:rPr>
        <w:t>SSRN Electronic Journal</w:t>
      </w:r>
      <w:r w:rsidRPr="00D01B7A">
        <w:rPr>
          <w:rFonts w:ascii="Arial" w:hAnsi="Arial" w:cs="Arial"/>
          <w:lang w:val="en-AE"/>
        </w:rPr>
        <w:t>. https://doi.org/10.2139/ssrn.1658640</w:t>
      </w:r>
    </w:p>
    <w:p w14:paraId="25A7EC8C"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 xml:space="preserve">Berger, A. N., &amp; Bouwman, C. H. (2013). How does capital affect bank performance during financial </w:t>
      </w:r>
      <w:proofErr w:type="gramStart"/>
      <w:r w:rsidRPr="00D01B7A">
        <w:rPr>
          <w:rFonts w:ascii="Arial" w:hAnsi="Arial" w:cs="Arial"/>
          <w:shd w:val="clear" w:color="auto" w:fill="FFFFFF"/>
        </w:rPr>
        <w:t>crises?.</w:t>
      </w:r>
      <w:proofErr w:type="gramEnd"/>
      <w:r w:rsidRPr="00D01B7A">
        <w:rPr>
          <w:rFonts w:ascii="Arial" w:hAnsi="Arial" w:cs="Arial"/>
          <w:shd w:val="clear" w:color="auto" w:fill="FFFFFF"/>
        </w:rPr>
        <w:t> </w:t>
      </w:r>
      <w:r w:rsidRPr="00D01B7A">
        <w:rPr>
          <w:rFonts w:ascii="Arial" w:hAnsi="Arial" w:cs="Arial"/>
          <w:i/>
          <w:iCs/>
          <w:shd w:val="clear" w:color="auto" w:fill="FFFFFF"/>
        </w:rPr>
        <w:t>Journal of financial economics</w:t>
      </w:r>
      <w:r w:rsidRPr="00D01B7A">
        <w:rPr>
          <w:rFonts w:ascii="Arial" w:hAnsi="Arial" w:cs="Arial"/>
          <w:shd w:val="clear" w:color="auto" w:fill="FFFFFF"/>
        </w:rPr>
        <w:t>, </w:t>
      </w:r>
      <w:r w:rsidRPr="00D01B7A">
        <w:rPr>
          <w:rFonts w:ascii="Arial" w:hAnsi="Arial" w:cs="Arial"/>
          <w:i/>
          <w:iCs/>
          <w:shd w:val="clear" w:color="auto" w:fill="FFFFFF"/>
        </w:rPr>
        <w:t>109</w:t>
      </w:r>
      <w:r w:rsidRPr="00D01B7A">
        <w:rPr>
          <w:rFonts w:ascii="Arial" w:hAnsi="Arial" w:cs="Arial"/>
          <w:shd w:val="clear" w:color="auto" w:fill="FFFFFF"/>
        </w:rPr>
        <w:t>(1), 146-176.</w:t>
      </w:r>
    </w:p>
    <w:p w14:paraId="362A89BB" w14:textId="77777777" w:rsidR="00864057" w:rsidRPr="00D01B7A" w:rsidRDefault="00864057" w:rsidP="001970FC">
      <w:pPr>
        <w:autoSpaceDE w:val="0"/>
        <w:autoSpaceDN w:val="0"/>
        <w:adjustRightInd w:val="0"/>
        <w:spacing w:after="0" w:line="360" w:lineRule="auto"/>
        <w:ind w:hanging="720"/>
        <w:jc w:val="both"/>
        <w:rPr>
          <w:rFonts w:ascii="Arial" w:hAnsi="Arial" w:cs="Arial"/>
          <w:bCs/>
        </w:rPr>
      </w:pPr>
      <w:r w:rsidRPr="00D01B7A">
        <w:rPr>
          <w:rFonts w:ascii="Arial" w:hAnsi="Arial" w:cs="Arial"/>
        </w:rPr>
        <w:t>Central Bank of Nigeria (2008). Guidance Notes on Regulatory Capital.</w:t>
      </w:r>
    </w:p>
    <w:p w14:paraId="18F2A0BB" w14:textId="77777777" w:rsidR="00864057" w:rsidRPr="00D01B7A" w:rsidRDefault="00864057" w:rsidP="001970FC">
      <w:pPr>
        <w:autoSpaceDE w:val="0"/>
        <w:autoSpaceDN w:val="0"/>
        <w:adjustRightInd w:val="0"/>
        <w:spacing w:after="0" w:line="360" w:lineRule="auto"/>
        <w:ind w:hanging="720"/>
        <w:jc w:val="both"/>
        <w:rPr>
          <w:rFonts w:ascii="Arial" w:hAnsi="Arial" w:cs="Arial"/>
          <w:bCs/>
        </w:rPr>
      </w:pPr>
      <w:r w:rsidRPr="00D01B7A">
        <w:rPr>
          <w:rFonts w:ascii="Arial" w:hAnsi="Arial" w:cs="Arial"/>
        </w:rPr>
        <w:t xml:space="preserve">Central Bank of Nigeria (2008). </w:t>
      </w:r>
      <w:r w:rsidRPr="00D01B7A">
        <w:rPr>
          <w:rFonts w:ascii="Arial" w:hAnsi="Arial" w:cs="Arial"/>
          <w:bCs/>
        </w:rPr>
        <w:t>Supervisory Framework for Banks and Other Financial Institutions in Nigeria.</w:t>
      </w:r>
    </w:p>
    <w:p w14:paraId="2F0CD896" w14:textId="77777777" w:rsidR="00864057" w:rsidRPr="00D01B7A" w:rsidRDefault="00864057" w:rsidP="001970FC">
      <w:pPr>
        <w:autoSpaceDE w:val="0"/>
        <w:autoSpaceDN w:val="0"/>
        <w:adjustRightInd w:val="0"/>
        <w:spacing w:after="0" w:line="360" w:lineRule="auto"/>
        <w:ind w:hanging="720"/>
        <w:jc w:val="both"/>
        <w:rPr>
          <w:rFonts w:ascii="Arial" w:hAnsi="Arial" w:cs="Arial"/>
        </w:rPr>
      </w:pPr>
      <w:r w:rsidRPr="00D01B7A">
        <w:rPr>
          <w:rFonts w:ascii="Arial" w:hAnsi="Arial" w:cs="Arial"/>
        </w:rPr>
        <w:t xml:space="preserve">Central Bank of Nigeria (2013). Understanding Monetary Policy </w:t>
      </w:r>
      <w:proofErr w:type="gramStart"/>
      <w:r w:rsidRPr="00D01B7A">
        <w:rPr>
          <w:rFonts w:ascii="Arial" w:hAnsi="Arial" w:cs="Arial"/>
        </w:rPr>
        <w:t>Series</w:t>
      </w:r>
      <w:proofErr w:type="gramEnd"/>
      <w:r w:rsidRPr="00D01B7A">
        <w:rPr>
          <w:rFonts w:ascii="Arial" w:hAnsi="Arial" w:cs="Arial"/>
        </w:rPr>
        <w:t xml:space="preserve"> No 34: Banking System Liquidity, </w:t>
      </w:r>
      <w:r w:rsidRPr="00D01B7A">
        <w:rPr>
          <w:rFonts w:ascii="Arial" w:hAnsi="Arial" w:cs="Arial"/>
          <w:i/>
        </w:rPr>
        <w:t>Monetary Policy Department 10</w:t>
      </w:r>
      <w:r w:rsidRPr="00D01B7A">
        <w:rPr>
          <w:rFonts w:ascii="Arial" w:hAnsi="Arial" w:cs="Arial"/>
          <w:i/>
          <w:vertAlign w:val="superscript"/>
        </w:rPr>
        <w:t>th</w:t>
      </w:r>
      <w:r w:rsidRPr="00D01B7A">
        <w:rPr>
          <w:rFonts w:ascii="Arial" w:hAnsi="Arial" w:cs="Arial"/>
          <w:i/>
        </w:rPr>
        <w:t xml:space="preserve"> anniversary commemorative edition</w:t>
      </w:r>
      <w:r w:rsidRPr="00D01B7A">
        <w:rPr>
          <w:rFonts w:ascii="Arial" w:hAnsi="Arial" w:cs="Arial"/>
        </w:rPr>
        <w:t>.</w:t>
      </w:r>
    </w:p>
    <w:p w14:paraId="17BFF2F4" w14:textId="77777777" w:rsidR="00185607" w:rsidRPr="00D01B7A" w:rsidRDefault="00864057" w:rsidP="001970FC">
      <w:pPr>
        <w:pStyle w:val="Heading1"/>
        <w:shd w:val="clear" w:color="auto" w:fill="FFFFFF"/>
        <w:spacing w:before="0" w:after="0" w:line="360" w:lineRule="auto"/>
        <w:ind w:hanging="720"/>
        <w:jc w:val="both"/>
        <w:rPr>
          <w:rFonts w:ascii="Arial" w:hAnsi="Arial" w:cs="Arial"/>
          <w:color w:val="auto"/>
          <w:sz w:val="22"/>
          <w:szCs w:val="22"/>
          <w:shd w:val="clear" w:color="auto" w:fill="FFFFFF"/>
        </w:rPr>
      </w:pPr>
      <w:r w:rsidRPr="00D01B7A">
        <w:rPr>
          <w:rFonts w:ascii="Arial" w:hAnsi="Arial" w:cs="Arial"/>
          <w:color w:val="auto"/>
          <w:sz w:val="22"/>
          <w:szCs w:val="22"/>
          <w:shd w:val="clear" w:color="auto" w:fill="FFFFFF"/>
        </w:rPr>
        <w:t>Chai, Z., Sadiq, M. N., Ali, N., Malik, M., &amp; Hamid, S. A. R. (2022). Bank specific risks and financial stability nexus: Evidence from Pakistan. </w:t>
      </w:r>
      <w:r w:rsidRPr="00D01B7A">
        <w:rPr>
          <w:rFonts w:ascii="Arial" w:hAnsi="Arial" w:cs="Arial"/>
          <w:i/>
          <w:iCs/>
          <w:color w:val="auto"/>
          <w:sz w:val="22"/>
          <w:szCs w:val="22"/>
          <w:shd w:val="clear" w:color="auto" w:fill="FFFFFF"/>
        </w:rPr>
        <w:t>Frontiers in Psychology</w:t>
      </w:r>
      <w:r w:rsidRPr="00D01B7A">
        <w:rPr>
          <w:rFonts w:ascii="Arial" w:hAnsi="Arial" w:cs="Arial"/>
          <w:color w:val="auto"/>
          <w:sz w:val="22"/>
          <w:szCs w:val="22"/>
          <w:shd w:val="clear" w:color="auto" w:fill="FFFFFF"/>
        </w:rPr>
        <w:t>, </w:t>
      </w:r>
      <w:r w:rsidRPr="00D01B7A">
        <w:rPr>
          <w:rFonts w:ascii="Arial" w:hAnsi="Arial" w:cs="Arial"/>
          <w:i/>
          <w:iCs/>
          <w:color w:val="auto"/>
          <w:sz w:val="22"/>
          <w:szCs w:val="22"/>
          <w:shd w:val="clear" w:color="auto" w:fill="FFFFFF"/>
        </w:rPr>
        <w:t>13</w:t>
      </w:r>
      <w:r w:rsidRPr="00D01B7A">
        <w:rPr>
          <w:rFonts w:ascii="Arial" w:hAnsi="Arial" w:cs="Arial"/>
          <w:color w:val="auto"/>
          <w:sz w:val="22"/>
          <w:szCs w:val="22"/>
          <w:shd w:val="clear" w:color="auto" w:fill="FFFFFF"/>
        </w:rPr>
        <w:t>, 909141.</w:t>
      </w:r>
    </w:p>
    <w:p w14:paraId="72D47A85" w14:textId="0E34B993" w:rsidR="00185607" w:rsidRPr="00D01B7A" w:rsidRDefault="00185607" w:rsidP="001970FC">
      <w:pPr>
        <w:pStyle w:val="Heading1"/>
        <w:shd w:val="clear" w:color="auto" w:fill="FFFFFF"/>
        <w:spacing w:before="0" w:after="0" w:line="360" w:lineRule="auto"/>
        <w:ind w:hanging="720"/>
        <w:jc w:val="both"/>
        <w:rPr>
          <w:rFonts w:ascii="Arial" w:hAnsi="Arial" w:cs="Arial"/>
          <w:color w:val="auto"/>
          <w:sz w:val="22"/>
          <w:szCs w:val="22"/>
          <w:shd w:val="clear" w:color="auto" w:fill="FFFFFF"/>
        </w:rPr>
      </w:pPr>
      <w:r w:rsidRPr="00D01B7A">
        <w:rPr>
          <w:rFonts w:ascii="Arial" w:hAnsi="Arial" w:cs="Arial"/>
          <w:color w:val="auto"/>
          <w:sz w:val="22"/>
          <w:szCs w:val="22"/>
          <w:shd w:val="clear" w:color="auto" w:fill="FFFFFF"/>
        </w:rPr>
        <w:t>Chioma, A. V., Okoye, N. E., Chidume, A. J., &amp; Nnenna, O. G. (2021). Assessing the effect of capital adequacy risk and liquidity risk management on firm value of deposit money banks in Nigeria. </w:t>
      </w:r>
      <w:r w:rsidRPr="00D01B7A">
        <w:rPr>
          <w:rFonts w:ascii="Arial" w:hAnsi="Arial" w:cs="Arial"/>
          <w:i/>
          <w:iCs/>
          <w:color w:val="auto"/>
          <w:sz w:val="22"/>
          <w:szCs w:val="22"/>
          <w:shd w:val="clear" w:color="auto" w:fill="FFFFFF"/>
        </w:rPr>
        <w:t>African Journal of Accounting and Financial Research</w:t>
      </w:r>
      <w:r w:rsidRPr="00D01B7A">
        <w:rPr>
          <w:rFonts w:ascii="Arial" w:hAnsi="Arial" w:cs="Arial"/>
          <w:color w:val="auto"/>
          <w:sz w:val="22"/>
          <w:szCs w:val="22"/>
          <w:shd w:val="clear" w:color="auto" w:fill="FFFFFF"/>
        </w:rPr>
        <w:t>, </w:t>
      </w:r>
      <w:r w:rsidRPr="00D01B7A">
        <w:rPr>
          <w:rFonts w:ascii="Arial" w:hAnsi="Arial" w:cs="Arial"/>
          <w:i/>
          <w:iCs/>
          <w:color w:val="auto"/>
          <w:sz w:val="22"/>
          <w:szCs w:val="22"/>
          <w:shd w:val="clear" w:color="auto" w:fill="FFFFFF"/>
        </w:rPr>
        <w:t>4</w:t>
      </w:r>
      <w:r w:rsidRPr="00D01B7A">
        <w:rPr>
          <w:rFonts w:ascii="Arial" w:hAnsi="Arial" w:cs="Arial"/>
          <w:color w:val="auto"/>
          <w:sz w:val="22"/>
          <w:szCs w:val="22"/>
          <w:shd w:val="clear" w:color="auto" w:fill="FFFFFF"/>
        </w:rPr>
        <w:t>(1), 33-49</w:t>
      </w:r>
    </w:p>
    <w:p w14:paraId="48BE3885"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Ejoh, N. O., &amp; Iwara, U. U. (2014). The impact of capital adequacy on deposit money banks’ profitability in Nigeria. </w:t>
      </w:r>
      <w:r w:rsidRPr="00D01B7A">
        <w:rPr>
          <w:rFonts w:ascii="Arial" w:hAnsi="Arial" w:cs="Arial"/>
          <w:i/>
          <w:iCs/>
          <w:shd w:val="clear" w:color="auto" w:fill="FFFFFF"/>
        </w:rPr>
        <w:t>Research Journal of Finance and Accounting</w:t>
      </w:r>
      <w:r w:rsidRPr="00D01B7A">
        <w:rPr>
          <w:rFonts w:ascii="Arial" w:hAnsi="Arial" w:cs="Arial"/>
          <w:shd w:val="clear" w:color="auto" w:fill="FFFFFF"/>
        </w:rPr>
        <w:t>, </w:t>
      </w:r>
      <w:r w:rsidRPr="00D01B7A">
        <w:rPr>
          <w:rFonts w:ascii="Arial" w:hAnsi="Arial" w:cs="Arial"/>
          <w:i/>
          <w:iCs/>
          <w:shd w:val="clear" w:color="auto" w:fill="FFFFFF"/>
        </w:rPr>
        <w:t>5</w:t>
      </w:r>
      <w:r w:rsidRPr="00D01B7A">
        <w:rPr>
          <w:rFonts w:ascii="Arial" w:hAnsi="Arial" w:cs="Arial"/>
          <w:shd w:val="clear" w:color="auto" w:fill="FFFFFF"/>
        </w:rPr>
        <w:t>(12), 7-15.</w:t>
      </w:r>
    </w:p>
    <w:p w14:paraId="448B106C"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Eyalsalman, S., Alzubi, K., &amp; Marashdeh, Z. (2024). The impact of IFRS 9, liquidity risk, credit risk and capital on banks’ performance. </w:t>
      </w:r>
      <w:r w:rsidRPr="00D01B7A">
        <w:rPr>
          <w:rFonts w:ascii="Arial" w:hAnsi="Arial" w:cs="Arial"/>
          <w:i/>
          <w:iCs/>
          <w:shd w:val="clear" w:color="auto" w:fill="FFFFFF"/>
        </w:rPr>
        <w:t>Journal of Governance and Regulation/Volume</w:t>
      </w:r>
      <w:r w:rsidRPr="00D01B7A">
        <w:rPr>
          <w:rFonts w:ascii="Arial" w:hAnsi="Arial" w:cs="Arial"/>
          <w:shd w:val="clear" w:color="auto" w:fill="FFFFFF"/>
        </w:rPr>
        <w:t>, </w:t>
      </w:r>
      <w:r w:rsidRPr="00D01B7A">
        <w:rPr>
          <w:rFonts w:ascii="Arial" w:hAnsi="Arial" w:cs="Arial"/>
          <w:i/>
          <w:iCs/>
          <w:shd w:val="clear" w:color="auto" w:fill="FFFFFF"/>
        </w:rPr>
        <w:t>13</w:t>
      </w:r>
      <w:r w:rsidRPr="00D01B7A">
        <w:rPr>
          <w:rFonts w:ascii="Arial" w:hAnsi="Arial" w:cs="Arial"/>
          <w:shd w:val="clear" w:color="auto" w:fill="FFFFFF"/>
        </w:rPr>
        <w:t>(1), 396-404.</w:t>
      </w:r>
    </w:p>
    <w:p w14:paraId="2601CB5D"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Francis, M. E. (2013). Determinants of commercial bank profitability in Sub-Saharan Africa. </w:t>
      </w:r>
      <w:r w:rsidRPr="00D01B7A">
        <w:rPr>
          <w:rFonts w:ascii="Arial" w:hAnsi="Arial" w:cs="Arial"/>
          <w:i/>
          <w:iCs/>
          <w:shd w:val="clear" w:color="auto" w:fill="FFFFFF"/>
        </w:rPr>
        <w:t>International journal of economics and finance</w:t>
      </w:r>
      <w:r w:rsidRPr="00D01B7A">
        <w:rPr>
          <w:rFonts w:ascii="Arial" w:hAnsi="Arial" w:cs="Arial"/>
          <w:shd w:val="clear" w:color="auto" w:fill="FFFFFF"/>
        </w:rPr>
        <w:t>, </w:t>
      </w:r>
      <w:r w:rsidRPr="00D01B7A">
        <w:rPr>
          <w:rFonts w:ascii="Arial" w:hAnsi="Arial" w:cs="Arial"/>
          <w:i/>
          <w:iCs/>
          <w:shd w:val="clear" w:color="auto" w:fill="FFFFFF"/>
        </w:rPr>
        <w:t>5</w:t>
      </w:r>
      <w:r w:rsidRPr="00D01B7A">
        <w:rPr>
          <w:rFonts w:ascii="Arial" w:hAnsi="Arial" w:cs="Arial"/>
          <w:shd w:val="clear" w:color="auto" w:fill="FFFFFF"/>
        </w:rPr>
        <w:t>(9), 134-147.</w:t>
      </w:r>
    </w:p>
    <w:p w14:paraId="2DE3773E" w14:textId="233E5BDD"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Haris, M., Yao, H., &amp; Fatima, H. (2024). The impact of liquidity risk and credit risk on bank profitability during COVID-19. </w:t>
      </w:r>
      <w:r w:rsidRPr="00D01B7A">
        <w:rPr>
          <w:rFonts w:ascii="Arial" w:hAnsi="Arial" w:cs="Arial"/>
          <w:i/>
          <w:iCs/>
          <w:shd w:val="clear" w:color="auto" w:fill="FFFFFF"/>
        </w:rPr>
        <w:t>Plos one</w:t>
      </w:r>
      <w:r w:rsidRPr="00D01B7A">
        <w:rPr>
          <w:rFonts w:ascii="Arial" w:hAnsi="Arial" w:cs="Arial"/>
          <w:shd w:val="clear" w:color="auto" w:fill="FFFFFF"/>
        </w:rPr>
        <w:t>, </w:t>
      </w:r>
      <w:r w:rsidRPr="00D01B7A">
        <w:rPr>
          <w:rFonts w:ascii="Arial" w:hAnsi="Arial" w:cs="Arial"/>
          <w:i/>
          <w:iCs/>
          <w:shd w:val="clear" w:color="auto" w:fill="FFFFFF"/>
        </w:rPr>
        <w:t>19</w:t>
      </w:r>
      <w:r w:rsidRPr="00D01B7A">
        <w:rPr>
          <w:rFonts w:ascii="Arial" w:hAnsi="Arial" w:cs="Arial"/>
          <w:shd w:val="clear" w:color="auto" w:fill="FFFFFF"/>
        </w:rPr>
        <w:t>(9), e0308356.</w:t>
      </w:r>
    </w:p>
    <w:p w14:paraId="2A56F55E" w14:textId="073EF15E" w:rsidR="00185607" w:rsidRPr="00D01B7A" w:rsidRDefault="0018560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Hussain, S., &amp; Rasheed, A. (2022). Impact of capital adequacy, liquidity management and credit risk management on economic performance: Evidence from Pakistan. </w:t>
      </w:r>
      <w:r w:rsidRPr="00D01B7A">
        <w:rPr>
          <w:rFonts w:ascii="Arial" w:hAnsi="Arial" w:cs="Arial"/>
          <w:i/>
          <w:iCs/>
          <w:shd w:val="clear" w:color="auto" w:fill="FFFFFF"/>
        </w:rPr>
        <w:t>Journal of Social Sciences and Management Studies</w:t>
      </w:r>
      <w:r w:rsidRPr="00D01B7A">
        <w:rPr>
          <w:rFonts w:ascii="Arial" w:hAnsi="Arial" w:cs="Arial"/>
          <w:shd w:val="clear" w:color="auto" w:fill="FFFFFF"/>
        </w:rPr>
        <w:t>, </w:t>
      </w:r>
      <w:r w:rsidRPr="00D01B7A">
        <w:rPr>
          <w:rFonts w:ascii="Arial" w:hAnsi="Arial" w:cs="Arial"/>
          <w:i/>
          <w:iCs/>
          <w:shd w:val="clear" w:color="auto" w:fill="FFFFFF"/>
        </w:rPr>
        <w:t>1</w:t>
      </w:r>
      <w:r w:rsidRPr="00D01B7A">
        <w:rPr>
          <w:rFonts w:ascii="Arial" w:hAnsi="Arial" w:cs="Arial"/>
          <w:shd w:val="clear" w:color="auto" w:fill="FFFFFF"/>
        </w:rPr>
        <w:t>(4), 44-56.</w:t>
      </w:r>
    </w:p>
    <w:p w14:paraId="63E3173F" w14:textId="77777777" w:rsidR="00D01B7A" w:rsidRPr="00D01B7A" w:rsidRDefault="00D01B7A" w:rsidP="001970FC">
      <w:pPr>
        <w:pStyle w:val="Default"/>
        <w:spacing w:line="360" w:lineRule="auto"/>
        <w:ind w:hanging="720"/>
        <w:jc w:val="both"/>
        <w:rPr>
          <w:rFonts w:ascii="Arial" w:hAnsi="Arial" w:cs="Arial"/>
          <w:color w:val="auto"/>
          <w:sz w:val="22"/>
          <w:szCs w:val="22"/>
          <w:shd w:val="clear" w:color="auto" w:fill="FFFFFF"/>
        </w:rPr>
      </w:pPr>
      <w:r w:rsidRPr="00D01B7A">
        <w:rPr>
          <w:rFonts w:ascii="Arial" w:hAnsi="Arial" w:cs="Arial"/>
          <w:color w:val="auto"/>
          <w:sz w:val="22"/>
          <w:szCs w:val="22"/>
          <w:shd w:val="clear" w:color="auto" w:fill="FFFFFF"/>
        </w:rPr>
        <w:t>Imani, A., &amp; Pracoyo, A. (2018). Analysis of the effect of capital, credit risk, and liquidity risk on profitability in banks. </w:t>
      </w:r>
      <w:r w:rsidRPr="00D01B7A">
        <w:rPr>
          <w:rFonts w:ascii="Arial" w:hAnsi="Arial" w:cs="Arial"/>
          <w:i/>
          <w:iCs/>
          <w:color w:val="auto"/>
          <w:sz w:val="22"/>
          <w:szCs w:val="22"/>
          <w:shd w:val="clear" w:color="auto" w:fill="FFFFFF"/>
        </w:rPr>
        <w:t>Jurnal Ilmu Manajemen &amp; Ekonomika</w:t>
      </w:r>
      <w:r w:rsidRPr="00D01B7A">
        <w:rPr>
          <w:rFonts w:ascii="Arial" w:hAnsi="Arial" w:cs="Arial"/>
          <w:color w:val="auto"/>
          <w:sz w:val="22"/>
          <w:szCs w:val="22"/>
          <w:shd w:val="clear" w:color="auto" w:fill="FFFFFF"/>
        </w:rPr>
        <w:t>, </w:t>
      </w:r>
      <w:r w:rsidRPr="00D01B7A">
        <w:rPr>
          <w:rFonts w:ascii="Arial" w:hAnsi="Arial" w:cs="Arial"/>
          <w:i/>
          <w:iCs/>
          <w:color w:val="auto"/>
          <w:sz w:val="22"/>
          <w:szCs w:val="22"/>
          <w:shd w:val="clear" w:color="auto" w:fill="FFFFFF"/>
        </w:rPr>
        <w:t>10</w:t>
      </w:r>
      <w:r w:rsidRPr="00D01B7A">
        <w:rPr>
          <w:rFonts w:ascii="Arial" w:hAnsi="Arial" w:cs="Arial"/>
          <w:color w:val="auto"/>
          <w:sz w:val="22"/>
          <w:szCs w:val="22"/>
          <w:shd w:val="clear" w:color="auto" w:fill="FFFFFF"/>
        </w:rPr>
        <w:t>(2), 44-50.</w:t>
      </w:r>
    </w:p>
    <w:p w14:paraId="0A6251CE"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lastRenderedPageBreak/>
        <w:t>Islam, M. S., &amp; Nishiyama, S. I. (2016). The determinants of bank profitability: dynamic panel evidence from South Asian countries. </w:t>
      </w:r>
      <w:r w:rsidRPr="00D01B7A">
        <w:rPr>
          <w:rFonts w:ascii="Arial" w:hAnsi="Arial" w:cs="Arial"/>
          <w:i/>
          <w:iCs/>
          <w:shd w:val="clear" w:color="auto" w:fill="FFFFFF"/>
        </w:rPr>
        <w:t>Journal of Applied Finance and Banking</w:t>
      </w:r>
      <w:r w:rsidRPr="00D01B7A">
        <w:rPr>
          <w:rFonts w:ascii="Arial" w:hAnsi="Arial" w:cs="Arial"/>
          <w:shd w:val="clear" w:color="auto" w:fill="FFFFFF"/>
        </w:rPr>
        <w:t>, </w:t>
      </w:r>
      <w:r w:rsidRPr="00D01B7A">
        <w:rPr>
          <w:rFonts w:ascii="Arial" w:hAnsi="Arial" w:cs="Arial"/>
          <w:i/>
          <w:iCs/>
          <w:shd w:val="clear" w:color="auto" w:fill="FFFFFF"/>
        </w:rPr>
        <w:t>6</w:t>
      </w:r>
      <w:r w:rsidRPr="00D01B7A">
        <w:rPr>
          <w:rFonts w:ascii="Arial" w:hAnsi="Arial" w:cs="Arial"/>
          <w:shd w:val="clear" w:color="auto" w:fill="FFFFFF"/>
        </w:rPr>
        <w:t>(3), 77.</w:t>
      </w:r>
    </w:p>
    <w:p w14:paraId="78E8FBDD"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Kabir, M. N., Worthington, A., &amp; Gupta, R. (2015). Comparative credit risk in Islamic and conventional bank. </w:t>
      </w:r>
      <w:r w:rsidRPr="00D01B7A">
        <w:rPr>
          <w:rFonts w:ascii="Arial" w:hAnsi="Arial" w:cs="Arial"/>
          <w:i/>
          <w:iCs/>
          <w:shd w:val="clear" w:color="auto" w:fill="FFFFFF"/>
        </w:rPr>
        <w:t>Pacific-Basin Finance Journal</w:t>
      </w:r>
      <w:r w:rsidRPr="00D01B7A">
        <w:rPr>
          <w:rFonts w:ascii="Arial" w:hAnsi="Arial" w:cs="Arial"/>
          <w:shd w:val="clear" w:color="auto" w:fill="FFFFFF"/>
        </w:rPr>
        <w:t>, </w:t>
      </w:r>
      <w:r w:rsidRPr="00D01B7A">
        <w:rPr>
          <w:rFonts w:ascii="Arial" w:hAnsi="Arial" w:cs="Arial"/>
          <w:i/>
          <w:iCs/>
          <w:shd w:val="clear" w:color="auto" w:fill="FFFFFF"/>
        </w:rPr>
        <w:t>34</w:t>
      </w:r>
      <w:r w:rsidRPr="00D01B7A">
        <w:rPr>
          <w:rFonts w:ascii="Arial" w:hAnsi="Arial" w:cs="Arial"/>
          <w:shd w:val="clear" w:color="auto" w:fill="FFFFFF"/>
        </w:rPr>
        <w:t>, 327-353.</w:t>
      </w:r>
    </w:p>
    <w:p w14:paraId="1D1337B0" w14:textId="77777777" w:rsidR="00864057" w:rsidRPr="00D01B7A" w:rsidRDefault="0086405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Kargi, H. S. (2011). Credit risk and the performance of Nigerian banks. </w:t>
      </w:r>
      <w:r w:rsidRPr="00D01B7A">
        <w:rPr>
          <w:rFonts w:ascii="Arial" w:hAnsi="Arial" w:cs="Arial"/>
          <w:i/>
          <w:iCs/>
          <w:shd w:val="clear" w:color="auto" w:fill="FFFFFF"/>
        </w:rPr>
        <w:t>Ahmadu Bello University, Zaria</w:t>
      </w:r>
      <w:r w:rsidRPr="00D01B7A">
        <w:rPr>
          <w:rFonts w:ascii="Arial" w:hAnsi="Arial" w:cs="Arial"/>
          <w:shd w:val="clear" w:color="auto" w:fill="FFFFFF"/>
        </w:rPr>
        <w:t>.</w:t>
      </w:r>
    </w:p>
    <w:p w14:paraId="5E3A9C9B" w14:textId="77777777" w:rsidR="00D01B7A" w:rsidRPr="00D01B7A" w:rsidRDefault="00D01B7A"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Katata, K. S., &amp; Nwaigwe, K. O. (2016). Nigerian Deposit Insurance Corporation (NDIC) Quarterly vol. 30 no. 4 2016 articles.</w:t>
      </w:r>
    </w:p>
    <w:p w14:paraId="054C0BB8" w14:textId="77777777" w:rsidR="00864057" w:rsidRPr="00D01B7A" w:rsidRDefault="0086405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Khalid, M. S., Rashed, M., &amp; Hossain, A. (2019). The Impact of Liquidity Risk on Banking Performance: Evidence from the Emerging Market. </w:t>
      </w:r>
      <w:r w:rsidRPr="00D01B7A">
        <w:rPr>
          <w:rFonts w:ascii="Arial" w:hAnsi="Arial" w:cs="Arial"/>
          <w:i/>
          <w:iCs/>
          <w:shd w:val="clear" w:color="auto" w:fill="FFFFFF"/>
        </w:rPr>
        <w:t>Global Journal of Management and Business Research</w:t>
      </w:r>
      <w:r w:rsidRPr="00D01B7A">
        <w:rPr>
          <w:rFonts w:ascii="Arial" w:hAnsi="Arial" w:cs="Arial"/>
          <w:shd w:val="clear" w:color="auto" w:fill="FFFFFF"/>
        </w:rPr>
        <w:t>.</w:t>
      </w:r>
    </w:p>
    <w:p w14:paraId="63845AFC" w14:textId="0221719C" w:rsidR="00231113" w:rsidRPr="00D01B7A" w:rsidRDefault="00231113" w:rsidP="001970FC">
      <w:pPr>
        <w:autoSpaceDE w:val="0"/>
        <w:autoSpaceDN w:val="0"/>
        <w:adjustRightInd w:val="0"/>
        <w:spacing w:after="0" w:line="360" w:lineRule="auto"/>
        <w:ind w:hanging="720"/>
        <w:jc w:val="both"/>
        <w:rPr>
          <w:rStyle w:val="styles-900"/>
          <w:rFonts w:ascii="Arial" w:hAnsi="Arial" w:cs="Arial"/>
          <w:shd w:val="clear" w:color="auto" w:fill="FFFFFF"/>
        </w:rPr>
      </w:pPr>
      <w:r w:rsidRPr="00D01B7A">
        <w:rPr>
          <w:rFonts w:ascii="Arial" w:hAnsi="Arial" w:cs="Arial"/>
          <w:shd w:val="clear" w:color="auto" w:fill="FFFFFF"/>
        </w:rPr>
        <w:t>Le, T. D., &amp; Pham, X. T. (2021). The inter-relationships among liquidity creation, bank capital and credit risk: evidence from emerging Asia–Pacific economies. </w:t>
      </w:r>
      <w:r w:rsidRPr="00D01B7A">
        <w:rPr>
          <w:rFonts w:ascii="Arial" w:hAnsi="Arial" w:cs="Arial"/>
          <w:i/>
          <w:iCs/>
          <w:shd w:val="clear" w:color="auto" w:fill="FFFFFF"/>
        </w:rPr>
        <w:t>Managerial Finance</w:t>
      </w:r>
      <w:r w:rsidRPr="00D01B7A">
        <w:rPr>
          <w:rFonts w:ascii="Arial" w:hAnsi="Arial" w:cs="Arial"/>
          <w:shd w:val="clear" w:color="auto" w:fill="FFFFFF"/>
        </w:rPr>
        <w:t>, </w:t>
      </w:r>
      <w:r w:rsidRPr="00D01B7A">
        <w:rPr>
          <w:rFonts w:ascii="Arial" w:hAnsi="Arial" w:cs="Arial"/>
          <w:i/>
          <w:iCs/>
          <w:shd w:val="clear" w:color="auto" w:fill="FFFFFF"/>
        </w:rPr>
        <w:t>47</w:t>
      </w:r>
      <w:r w:rsidRPr="00D01B7A">
        <w:rPr>
          <w:rFonts w:ascii="Arial" w:hAnsi="Arial" w:cs="Arial"/>
          <w:shd w:val="clear" w:color="auto" w:fill="FFFFFF"/>
        </w:rPr>
        <w:t>(8), 1149-1167.</w:t>
      </w:r>
    </w:p>
    <w:p w14:paraId="765F3C09"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Lee, C. C., &amp; Hsieh, M. F. (2013). The impact of bank capital on profitability and risk in Asian banking. </w:t>
      </w:r>
      <w:r w:rsidRPr="00D01B7A">
        <w:rPr>
          <w:rFonts w:ascii="Arial" w:hAnsi="Arial" w:cs="Arial"/>
          <w:i/>
          <w:iCs/>
          <w:shd w:val="clear" w:color="auto" w:fill="FFFFFF"/>
        </w:rPr>
        <w:t>Journal of international money and finance</w:t>
      </w:r>
      <w:r w:rsidRPr="00D01B7A">
        <w:rPr>
          <w:rFonts w:ascii="Arial" w:hAnsi="Arial" w:cs="Arial"/>
          <w:shd w:val="clear" w:color="auto" w:fill="FFFFFF"/>
        </w:rPr>
        <w:t>, </w:t>
      </w:r>
      <w:r w:rsidRPr="00D01B7A">
        <w:rPr>
          <w:rFonts w:ascii="Arial" w:hAnsi="Arial" w:cs="Arial"/>
          <w:i/>
          <w:iCs/>
          <w:shd w:val="clear" w:color="auto" w:fill="FFFFFF"/>
        </w:rPr>
        <w:t>32</w:t>
      </w:r>
      <w:r w:rsidRPr="00D01B7A">
        <w:rPr>
          <w:rFonts w:ascii="Arial" w:hAnsi="Arial" w:cs="Arial"/>
          <w:shd w:val="clear" w:color="auto" w:fill="FFFFFF"/>
        </w:rPr>
        <w:t>, 251-281.</w:t>
      </w:r>
    </w:p>
    <w:p w14:paraId="546E3317" w14:textId="77777777" w:rsidR="00185607" w:rsidRPr="00D01B7A" w:rsidRDefault="00864057" w:rsidP="001970FC">
      <w:pPr>
        <w:pStyle w:val="Heading1"/>
        <w:spacing w:before="0" w:after="0" w:line="360" w:lineRule="auto"/>
        <w:ind w:hanging="720"/>
        <w:jc w:val="both"/>
        <w:rPr>
          <w:rFonts w:ascii="Arial" w:hAnsi="Arial" w:cs="Arial"/>
          <w:color w:val="auto"/>
          <w:sz w:val="22"/>
          <w:szCs w:val="22"/>
          <w:shd w:val="clear" w:color="auto" w:fill="FFFFFF"/>
        </w:rPr>
      </w:pPr>
      <w:r w:rsidRPr="00D01B7A">
        <w:rPr>
          <w:rFonts w:ascii="Arial" w:hAnsi="Arial" w:cs="Arial"/>
          <w:color w:val="auto"/>
          <w:sz w:val="22"/>
          <w:szCs w:val="22"/>
          <w:shd w:val="clear" w:color="auto" w:fill="FFFFFF"/>
        </w:rPr>
        <w:t>Ly, K. C. (2015). Liquidity risk, regulation, and bank performance: Evidence from European banks. </w:t>
      </w:r>
      <w:r w:rsidRPr="00D01B7A">
        <w:rPr>
          <w:rFonts w:ascii="Arial" w:hAnsi="Arial" w:cs="Arial"/>
          <w:i/>
          <w:iCs/>
          <w:color w:val="auto"/>
          <w:sz w:val="22"/>
          <w:szCs w:val="22"/>
          <w:shd w:val="clear" w:color="auto" w:fill="FFFFFF"/>
        </w:rPr>
        <w:t>Global Economy and Finance Journal</w:t>
      </w:r>
      <w:r w:rsidRPr="00D01B7A">
        <w:rPr>
          <w:rFonts w:ascii="Arial" w:hAnsi="Arial" w:cs="Arial"/>
          <w:color w:val="auto"/>
          <w:sz w:val="22"/>
          <w:szCs w:val="22"/>
          <w:shd w:val="clear" w:color="auto" w:fill="FFFFFF"/>
        </w:rPr>
        <w:t>, </w:t>
      </w:r>
      <w:r w:rsidRPr="00D01B7A">
        <w:rPr>
          <w:rFonts w:ascii="Arial" w:hAnsi="Arial" w:cs="Arial"/>
          <w:i/>
          <w:iCs/>
          <w:color w:val="auto"/>
          <w:sz w:val="22"/>
          <w:szCs w:val="22"/>
          <w:shd w:val="clear" w:color="auto" w:fill="FFFFFF"/>
        </w:rPr>
        <w:t>8</w:t>
      </w:r>
      <w:r w:rsidRPr="00D01B7A">
        <w:rPr>
          <w:rFonts w:ascii="Arial" w:hAnsi="Arial" w:cs="Arial"/>
          <w:color w:val="auto"/>
          <w:sz w:val="22"/>
          <w:szCs w:val="22"/>
          <w:shd w:val="clear" w:color="auto" w:fill="FFFFFF"/>
        </w:rPr>
        <w:t>(1), 11-33.</w:t>
      </w:r>
    </w:p>
    <w:p w14:paraId="458C9581" w14:textId="375BB652" w:rsidR="00185607" w:rsidRPr="00D01B7A" w:rsidRDefault="00185607" w:rsidP="001970FC">
      <w:pPr>
        <w:pStyle w:val="Heading1"/>
        <w:spacing w:before="0" w:after="0" w:line="360" w:lineRule="auto"/>
        <w:ind w:hanging="720"/>
        <w:jc w:val="both"/>
        <w:rPr>
          <w:rFonts w:ascii="Arial" w:hAnsi="Arial" w:cs="Arial"/>
          <w:color w:val="auto"/>
          <w:sz w:val="22"/>
          <w:szCs w:val="22"/>
          <w:shd w:val="clear" w:color="auto" w:fill="FFFFFF"/>
        </w:rPr>
      </w:pPr>
      <w:r w:rsidRPr="00D01B7A">
        <w:rPr>
          <w:rFonts w:ascii="Arial" w:hAnsi="Arial" w:cs="Arial"/>
          <w:color w:val="auto"/>
          <w:sz w:val="22"/>
          <w:szCs w:val="22"/>
          <w:shd w:val="clear" w:color="auto" w:fill="FFFFFF"/>
        </w:rPr>
        <w:t>Ma’aji, M. M., Barnett, C., Bin-Nashwan, S. A., Roslan, N. H., &amp; Ali, R. A. (2025). Risk-driven profitability: the role of bank capital, liquidity and credit in frontier banking markets. </w:t>
      </w:r>
      <w:r w:rsidRPr="00D01B7A">
        <w:rPr>
          <w:rFonts w:ascii="Arial" w:hAnsi="Arial" w:cs="Arial"/>
          <w:i/>
          <w:iCs/>
          <w:color w:val="auto"/>
          <w:sz w:val="22"/>
          <w:szCs w:val="22"/>
          <w:shd w:val="clear" w:color="auto" w:fill="FFFFFF"/>
        </w:rPr>
        <w:t>Journal of Financial Regulation and Compliance</w:t>
      </w:r>
    </w:p>
    <w:p w14:paraId="022ECF8C" w14:textId="77777777" w:rsidR="00231113"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Mendoza, R., &amp; Rivera, J. P. R. (2017). The effect of credit risk and capital adequacy on the profitability of rural banks in the Philippines. </w:t>
      </w:r>
      <w:r w:rsidRPr="00D01B7A">
        <w:rPr>
          <w:rFonts w:ascii="Arial" w:hAnsi="Arial" w:cs="Arial"/>
          <w:i/>
          <w:iCs/>
          <w:shd w:val="clear" w:color="auto" w:fill="FFFFFF"/>
        </w:rPr>
        <w:t>Annals of the Alexandru Ioan Cuza University-Economics</w:t>
      </w:r>
      <w:r w:rsidRPr="00D01B7A">
        <w:rPr>
          <w:rFonts w:ascii="Arial" w:hAnsi="Arial" w:cs="Arial"/>
          <w:shd w:val="clear" w:color="auto" w:fill="FFFFFF"/>
        </w:rPr>
        <w:t>, </w:t>
      </w:r>
      <w:r w:rsidRPr="00D01B7A">
        <w:rPr>
          <w:rFonts w:ascii="Arial" w:hAnsi="Arial" w:cs="Arial"/>
          <w:i/>
          <w:iCs/>
          <w:shd w:val="clear" w:color="auto" w:fill="FFFFFF"/>
        </w:rPr>
        <w:t>64</w:t>
      </w:r>
      <w:r w:rsidRPr="00D01B7A">
        <w:rPr>
          <w:rFonts w:ascii="Arial" w:hAnsi="Arial" w:cs="Arial"/>
          <w:shd w:val="clear" w:color="auto" w:fill="FFFFFF"/>
        </w:rPr>
        <w:t>(1), 83-96.</w:t>
      </w:r>
    </w:p>
    <w:p w14:paraId="2609DF4E" w14:textId="5EEE974A" w:rsidR="00231113" w:rsidRPr="00D01B7A" w:rsidRDefault="00231113"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Milojević, N., &amp; Redžepagić, S. (2021). Expected effects of the revised exposure to banks Basel credit risk weighted assets standard. </w:t>
      </w:r>
      <w:r w:rsidRPr="00D01B7A">
        <w:rPr>
          <w:rFonts w:ascii="Arial" w:hAnsi="Arial" w:cs="Arial"/>
          <w:i/>
          <w:iCs/>
          <w:shd w:val="clear" w:color="auto" w:fill="FFFFFF"/>
        </w:rPr>
        <w:t>Strategic Management</w:t>
      </w:r>
      <w:r w:rsidRPr="00D01B7A">
        <w:rPr>
          <w:rFonts w:ascii="Arial" w:hAnsi="Arial" w:cs="Arial"/>
          <w:shd w:val="clear" w:color="auto" w:fill="FFFFFF"/>
        </w:rPr>
        <w:t>, </w:t>
      </w:r>
      <w:r w:rsidRPr="00D01B7A">
        <w:rPr>
          <w:rFonts w:ascii="Arial" w:hAnsi="Arial" w:cs="Arial"/>
          <w:i/>
          <w:iCs/>
          <w:shd w:val="clear" w:color="auto" w:fill="FFFFFF"/>
        </w:rPr>
        <w:t>26</w:t>
      </w:r>
      <w:r w:rsidRPr="00D01B7A">
        <w:rPr>
          <w:rFonts w:ascii="Arial" w:hAnsi="Arial" w:cs="Arial"/>
          <w:shd w:val="clear" w:color="auto" w:fill="FFFFFF"/>
        </w:rPr>
        <w:t>(3), 49-60.</w:t>
      </w:r>
    </w:p>
    <w:p w14:paraId="2705BC82" w14:textId="0C610E32"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 xml:space="preserve">Mousa, M., Judit, S., &amp; Zeman, Z. (2018). </w:t>
      </w:r>
      <w:r w:rsidR="00D01B7A" w:rsidRPr="00D01B7A">
        <w:rPr>
          <w:rFonts w:ascii="Arial" w:hAnsi="Arial" w:cs="Arial"/>
          <w:shd w:val="clear" w:color="auto" w:fill="FFFFFF"/>
        </w:rPr>
        <w:t>The Impact of</w:t>
      </w:r>
      <w:r w:rsidR="00D01B7A">
        <w:rPr>
          <w:rFonts w:ascii="Arial" w:hAnsi="Arial" w:cs="Arial"/>
          <w:shd w:val="clear" w:color="auto" w:fill="FFFFFF"/>
        </w:rPr>
        <w:t xml:space="preserve"> Credit and Capital Risk on</w:t>
      </w:r>
      <w:r w:rsidR="00D01B7A" w:rsidRPr="00D01B7A">
        <w:rPr>
          <w:rFonts w:ascii="Arial" w:hAnsi="Arial" w:cs="Arial"/>
          <w:shd w:val="clear" w:color="auto" w:fill="FFFFFF"/>
        </w:rPr>
        <w:t xml:space="preserve"> </w:t>
      </w:r>
      <w:r w:rsidR="00D01B7A">
        <w:rPr>
          <w:rFonts w:ascii="Arial" w:hAnsi="Arial" w:cs="Arial"/>
          <w:shd w:val="clear" w:color="auto" w:fill="FFFFFF"/>
        </w:rPr>
        <w:t>t</w:t>
      </w:r>
      <w:r w:rsidR="00D01B7A" w:rsidRPr="00D01B7A">
        <w:rPr>
          <w:rFonts w:ascii="Arial" w:hAnsi="Arial" w:cs="Arial"/>
          <w:shd w:val="clear" w:color="auto" w:fill="FFFFFF"/>
        </w:rPr>
        <w:t xml:space="preserve">he Banking Performance: Evidence </w:t>
      </w:r>
      <w:r w:rsidR="00D01B7A">
        <w:rPr>
          <w:rFonts w:ascii="Arial" w:hAnsi="Arial" w:cs="Arial"/>
          <w:shd w:val="clear" w:color="auto" w:fill="FFFFFF"/>
        </w:rPr>
        <w:t>f</w:t>
      </w:r>
      <w:r w:rsidR="00D01B7A" w:rsidRPr="00D01B7A">
        <w:rPr>
          <w:rFonts w:ascii="Arial" w:hAnsi="Arial" w:cs="Arial"/>
          <w:shd w:val="clear" w:color="auto" w:fill="FFFFFF"/>
        </w:rPr>
        <w:t>rom Syria</w:t>
      </w:r>
      <w:r w:rsidRPr="00D01B7A">
        <w:rPr>
          <w:rFonts w:ascii="Arial" w:hAnsi="Arial" w:cs="Arial"/>
          <w:shd w:val="clear" w:color="auto" w:fill="FFFFFF"/>
        </w:rPr>
        <w:t>. </w:t>
      </w:r>
      <w:r w:rsidRPr="00D01B7A">
        <w:rPr>
          <w:rFonts w:ascii="Arial" w:hAnsi="Arial" w:cs="Arial"/>
          <w:i/>
          <w:iCs/>
          <w:shd w:val="clear" w:color="auto" w:fill="FFFFFF"/>
        </w:rPr>
        <w:t>Management (16487974)</w:t>
      </w:r>
      <w:r w:rsidRPr="00D01B7A">
        <w:rPr>
          <w:rFonts w:ascii="Arial" w:hAnsi="Arial" w:cs="Arial"/>
          <w:shd w:val="clear" w:color="auto" w:fill="FFFFFF"/>
        </w:rPr>
        <w:t>, </w:t>
      </w:r>
      <w:r w:rsidRPr="00D01B7A">
        <w:rPr>
          <w:rFonts w:ascii="Arial" w:hAnsi="Arial" w:cs="Arial"/>
          <w:i/>
          <w:iCs/>
          <w:shd w:val="clear" w:color="auto" w:fill="FFFFFF"/>
        </w:rPr>
        <w:t>32</w:t>
      </w:r>
      <w:r w:rsidRPr="00D01B7A">
        <w:rPr>
          <w:rFonts w:ascii="Arial" w:hAnsi="Arial" w:cs="Arial"/>
          <w:shd w:val="clear" w:color="auto" w:fill="FFFFFF"/>
        </w:rPr>
        <w:t>(1).</w:t>
      </w:r>
    </w:p>
    <w:p w14:paraId="017C748F" w14:textId="1ED5A302" w:rsidR="00185607" w:rsidRPr="00D01B7A" w:rsidRDefault="0018560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Ngo, H. K., &amp; Trinh, H. T. T. (2025). The impact of financial risks on bank performance: evidence from Bayesian analysis in Vietnam's commercial banks. </w:t>
      </w:r>
      <w:r w:rsidRPr="00D01B7A">
        <w:rPr>
          <w:rFonts w:ascii="Arial" w:hAnsi="Arial" w:cs="Arial"/>
          <w:i/>
          <w:iCs/>
          <w:shd w:val="clear" w:color="auto" w:fill="FFFFFF"/>
        </w:rPr>
        <w:t>Discover Sustainability</w:t>
      </w:r>
      <w:r w:rsidRPr="00D01B7A">
        <w:rPr>
          <w:rFonts w:ascii="Arial" w:hAnsi="Arial" w:cs="Arial"/>
          <w:shd w:val="clear" w:color="auto" w:fill="FFFFFF"/>
        </w:rPr>
        <w:t>, </w:t>
      </w:r>
      <w:r w:rsidRPr="00D01B7A">
        <w:rPr>
          <w:rFonts w:ascii="Arial" w:hAnsi="Arial" w:cs="Arial"/>
          <w:i/>
          <w:iCs/>
          <w:shd w:val="clear" w:color="auto" w:fill="FFFFFF"/>
        </w:rPr>
        <w:t>6</w:t>
      </w:r>
      <w:r w:rsidRPr="00D01B7A">
        <w:rPr>
          <w:rFonts w:ascii="Arial" w:hAnsi="Arial" w:cs="Arial"/>
          <w:shd w:val="clear" w:color="auto" w:fill="FFFFFF"/>
        </w:rPr>
        <w:t>(1), 515.</w:t>
      </w:r>
    </w:p>
    <w:p w14:paraId="221D8B0A"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Olalekan, A., &amp; Adeyinka, S. (2013). Capital adequacy and banks’ profitability: an empirical evidence from Nigeria. </w:t>
      </w:r>
      <w:r w:rsidRPr="00D01B7A">
        <w:rPr>
          <w:rFonts w:ascii="Arial" w:hAnsi="Arial" w:cs="Arial"/>
          <w:i/>
          <w:iCs/>
          <w:shd w:val="clear" w:color="auto" w:fill="FFFFFF"/>
        </w:rPr>
        <w:t>American International Journal of Contemporary Research</w:t>
      </w:r>
      <w:r w:rsidRPr="00D01B7A">
        <w:rPr>
          <w:rFonts w:ascii="Arial" w:hAnsi="Arial" w:cs="Arial"/>
          <w:shd w:val="clear" w:color="auto" w:fill="FFFFFF"/>
        </w:rPr>
        <w:t>, </w:t>
      </w:r>
      <w:r w:rsidRPr="00D01B7A">
        <w:rPr>
          <w:rFonts w:ascii="Arial" w:hAnsi="Arial" w:cs="Arial"/>
          <w:i/>
          <w:iCs/>
          <w:shd w:val="clear" w:color="auto" w:fill="FFFFFF"/>
        </w:rPr>
        <w:t>3</w:t>
      </w:r>
      <w:r w:rsidRPr="00D01B7A">
        <w:rPr>
          <w:rFonts w:ascii="Arial" w:hAnsi="Arial" w:cs="Arial"/>
          <w:shd w:val="clear" w:color="auto" w:fill="FFFFFF"/>
        </w:rPr>
        <w:t>(10), 87-93.</w:t>
      </w:r>
    </w:p>
    <w:p w14:paraId="626BC0DE"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Onaolapo, A. A., &amp; Olufemi, A. E. (2012). Effect of capital adequacy on the profitability of the Nigerian banking sector. </w:t>
      </w:r>
      <w:r w:rsidRPr="00D01B7A">
        <w:rPr>
          <w:rFonts w:ascii="Arial" w:hAnsi="Arial" w:cs="Arial"/>
          <w:i/>
          <w:iCs/>
          <w:shd w:val="clear" w:color="auto" w:fill="FFFFFF"/>
        </w:rPr>
        <w:t>Journal of money, investment and banking</w:t>
      </w:r>
      <w:r w:rsidRPr="00D01B7A">
        <w:rPr>
          <w:rFonts w:ascii="Arial" w:hAnsi="Arial" w:cs="Arial"/>
          <w:shd w:val="clear" w:color="auto" w:fill="FFFFFF"/>
        </w:rPr>
        <w:t>, </w:t>
      </w:r>
      <w:r w:rsidRPr="00D01B7A">
        <w:rPr>
          <w:rFonts w:ascii="Arial" w:hAnsi="Arial" w:cs="Arial"/>
          <w:i/>
          <w:iCs/>
          <w:shd w:val="clear" w:color="auto" w:fill="FFFFFF"/>
        </w:rPr>
        <w:t>24</w:t>
      </w:r>
      <w:r w:rsidRPr="00D01B7A">
        <w:rPr>
          <w:rFonts w:ascii="Arial" w:hAnsi="Arial" w:cs="Arial"/>
          <w:shd w:val="clear" w:color="auto" w:fill="FFFFFF"/>
        </w:rPr>
        <w:t>, 62-72.</w:t>
      </w:r>
    </w:p>
    <w:p w14:paraId="5AD2F45D" w14:textId="77777777" w:rsidR="00D17AFA" w:rsidRPr="00D01B7A" w:rsidRDefault="00D17AFA"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Owusu-Boafo, R., Obeng, E., &amp; ADDO, J. Y. (2020). The Relationship Between Credit Risk Management and the Profitability of Banks in Ghana. </w:t>
      </w:r>
      <w:r w:rsidRPr="00D01B7A">
        <w:rPr>
          <w:rFonts w:ascii="Arial" w:hAnsi="Arial" w:cs="Arial"/>
          <w:i/>
          <w:iCs/>
          <w:shd w:val="clear" w:color="auto" w:fill="FFFFFF"/>
        </w:rPr>
        <w:t>Economic Studies &amp; Analyses/Acta VSFS</w:t>
      </w:r>
      <w:r w:rsidRPr="00D01B7A">
        <w:rPr>
          <w:rFonts w:ascii="Arial" w:hAnsi="Arial" w:cs="Arial"/>
          <w:shd w:val="clear" w:color="auto" w:fill="FFFFFF"/>
        </w:rPr>
        <w:t>, </w:t>
      </w:r>
      <w:r w:rsidRPr="00D01B7A">
        <w:rPr>
          <w:rFonts w:ascii="Arial" w:hAnsi="Arial" w:cs="Arial"/>
          <w:i/>
          <w:iCs/>
          <w:shd w:val="clear" w:color="auto" w:fill="FFFFFF"/>
        </w:rPr>
        <w:t>14</w:t>
      </w:r>
      <w:r w:rsidRPr="00D01B7A">
        <w:rPr>
          <w:rFonts w:ascii="Arial" w:hAnsi="Arial" w:cs="Arial"/>
          <w:shd w:val="clear" w:color="auto" w:fill="FFFFFF"/>
        </w:rPr>
        <w:t>(2)</w:t>
      </w:r>
    </w:p>
    <w:p w14:paraId="69F58D51"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lang w:val="en-AE"/>
        </w:rPr>
        <w:lastRenderedPageBreak/>
        <w:t>Pesaran, M. Hashem. (2004). General diagnostic tests for cross section dependence in panels. </w:t>
      </w:r>
      <w:r w:rsidRPr="00D01B7A">
        <w:rPr>
          <w:rFonts w:ascii="Arial" w:hAnsi="Arial" w:cs="Arial"/>
          <w:i/>
          <w:iCs/>
          <w:lang w:val="en-AE"/>
        </w:rPr>
        <w:t>SSRN Electronic Journal</w:t>
      </w:r>
      <w:r w:rsidRPr="00D01B7A">
        <w:rPr>
          <w:rFonts w:ascii="Arial" w:hAnsi="Arial" w:cs="Arial"/>
          <w:lang w:val="en-AE"/>
        </w:rPr>
        <w:t>. https://doi.org/10.2139/ssrn.572504</w:t>
      </w:r>
    </w:p>
    <w:p w14:paraId="0C3B4E18"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lang w:val="en-AE"/>
        </w:rPr>
        <w:t>Pesaran, M. H. (2007). </w:t>
      </w:r>
      <w:r w:rsidRPr="00D01B7A">
        <w:rPr>
          <w:rFonts w:ascii="Arial" w:hAnsi="Arial" w:cs="Arial"/>
          <w:i/>
          <w:iCs/>
          <w:lang w:val="en-AE"/>
        </w:rPr>
        <w:t>A Simple unit root test in the presence of crosssection dependence</w:t>
      </w:r>
      <w:r w:rsidRPr="00D01B7A">
        <w:rPr>
          <w:rFonts w:ascii="Arial" w:hAnsi="Arial" w:cs="Arial"/>
          <w:lang w:val="en-AE"/>
        </w:rPr>
        <w:t>.</w:t>
      </w:r>
    </w:p>
    <w:p w14:paraId="7395E57E" w14:textId="77777777" w:rsidR="00864057" w:rsidRPr="00D01B7A" w:rsidRDefault="00864057" w:rsidP="001970FC">
      <w:pPr>
        <w:pStyle w:val="Default"/>
        <w:spacing w:line="360" w:lineRule="auto"/>
        <w:ind w:hanging="720"/>
        <w:jc w:val="both"/>
        <w:rPr>
          <w:rFonts w:ascii="Arial" w:hAnsi="Arial" w:cs="Arial"/>
          <w:color w:val="auto"/>
          <w:sz w:val="22"/>
          <w:szCs w:val="22"/>
          <w:shd w:val="clear" w:color="auto" w:fill="FFFFFF"/>
        </w:rPr>
      </w:pPr>
      <w:r w:rsidRPr="00D01B7A">
        <w:rPr>
          <w:rFonts w:ascii="Arial" w:hAnsi="Arial" w:cs="Arial"/>
          <w:color w:val="auto"/>
          <w:sz w:val="22"/>
          <w:szCs w:val="22"/>
          <w:shd w:val="clear" w:color="auto" w:fill="FFFFFF"/>
        </w:rPr>
        <w:t>Razermera, T., Brijlal, P., &amp; Jwara, N. (2024). The Impact of Risk Management on Banks’ Profitability: A South African Perspective. </w:t>
      </w:r>
      <w:r w:rsidRPr="00D01B7A">
        <w:rPr>
          <w:rFonts w:ascii="Arial" w:hAnsi="Arial" w:cs="Arial"/>
          <w:i/>
          <w:iCs/>
          <w:color w:val="auto"/>
          <w:sz w:val="22"/>
          <w:szCs w:val="22"/>
          <w:shd w:val="clear" w:color="auto" w:fill="FFFFFF"/>
        </w:rPr>
        <w:t>International Journal of Economics and Financial Issues</w:t>
      </w:r>
      <w:r w:rsidRPr="00D01B7A">
        <w:rPr>
          <w:rFonts w:ascii="Arial" w:hAnsi="Arial" w:cs="Arial"/>
          <w:color w:val="auto"/>
          <w:sz w:val="22"/>
          <w:szCs w:val="22"/>
          <w:shd w:val="clear" w:color="auto" w:fill="FFFFFF"/>
        </w:rPr>
        <w:t>, </w:t>
      </w:r>
      <w:r w:rsidRPr="00D01B7A">
        <w:rPr>
          <w:rFonts w:ascii="Arial" w:hAnsi="Arial" w:cs="Arial"/>
          <w:i/>
          <w:iCs/>
          <w:color w:val="auto"/>
          <w:sz w:val="22"/>
          <w:szCs w:val="22"/>
          <w:shd w:val="clear" w:color="auto" w:fill="FFFFFF"/>
        </w:rPr>
        <w:t>14</w:t>
      </w:r>
      <w:r w:rsidRPr="00D01B7A">
        <w:rPr>
          <w:rFonts w:ascii="Arial" w:hAnsi="Arial" w:cs="Arial"/>
          <w:color w:val="auto"/>
          <w:sz w:val="22"/>
          <w:szCs w:val="22"/>
          <w:shd w:val="clear" w:color="auto" w:fill="FFFFFF"/>
        </w:rPr>
        <w:t>(4), 56-65.</w:t>
      </w:r>
    </w:p>
    <w:p w14:paraId="58920B68" w14:textId="77777777" w:rsidR="00864057" w:rsidRPr="00D01B7A" w:rsidRDefault="00864057" w:rsidP="001970FC">
      <w:pPr>
        <w:pStyle w:val="Heading2"/>
        <w:pBdr>
          <w:bottom w:val="single" w:sz="6" w:space="7" w:color="EEEEEE"/>
        </w:pBdr>
        <w:shd w:val="clear" w:color="auto" w:fill="FFFFFF"/>
        <w:spacing w:line="360" w:lineRule="auto"/>
        <w:ind w:hanging="720"/>
        <w:jc w:val="both"/>
        <w:rPr>
          <w:rFonts w:ascii="Arial" w:hAnsi="Arial" w:cs="Arial"/>
          <w:color w:val="auto"/>
          <w:sz w:val="22"/>
          <w:szCs w:val="22"/>
          <w:shd w:val="clear" w:color="auto" w:fill="FFFFFF"/>
        </w:rPr>
      </w:pPr>
      <w:r w:rsidRPr="00D01B7A">
        <w:rPr>
          <w:rFonts w:ascii="Arial" w:hAnsi="Arial" w:cs="Arial"/>
          <w:color w:val="auto"/>
          <w:sz w:val="22"/>
          <w:szCs w:val="22"/>
          <w:shd w:val="clear" w:color="auto" w:fill="FFFFFF"/>
        </w:rPr>
        <w:t>Rifqah, A. S., &amp; Hassan, H. H. (2019). The relationship between bank’s credit risk, liquidity, and capital adequacy towards its profitability in Indonesia. </w:t>
      </w:r>
      <w:r w:rsidRPr="00D01B7A">
        <w:rPr>
          <w:rFonts w:ascii="Arial" w:hAnsi="Arial" w:cs="Arial"/>
          <w:i/>
          <w:iCs/>
          <w:color w:val="auto"/>
          <w:sz w:val="22"/>
          <w:szCs w:val="22"/>
          <w:shd w:val="clear" w:color="auto" w:fill="FFFFFF"/>
        </w:rPr>
        <w:t>International Journal of Recent Technology and Engineering</w:t>
      </w:r>
      <w:r w:rsidRPr="00D01B7A">
        <w:rPr>
          <w:rFonts w:ascii="Arial" w:hAnsi="Arial" w:cs="Arial"/>
          <w:color w:val="auto"/>
          <w:sz w:val="22"/>
          <w:szCs w:val="22"/>
          <w:shd w:val="clear" w:color="auto" w:fill="FFFFFF"/>
        </w:rPr>
        <w:t>, </w:t>
      </w:r>
      <w:r w:rsidRPr="00D01B7A">
        <w:rPr>
          <w:rFonts w:ascii="Arial" w:hAnsi="Arial" w:cs="Arial"/>
          <w:i/>
          <w:iCs/>
          <w:color w:val="auto"/>
          <w:sz w:val="22"/>
          <w:szCs w:val="22"/>
          <w:shd w:val="clear" w:color="auto" w:fill="FFFFFF"/>
        </w:rPr>
        <w:t>7</w:t>
      </w:r>
      <w:r w:rsidRPr="00D01B7A">
        <w:rPr>
          <w:rFonts w:ascii="Arial" w:hAnsi="Arial" w:cs="Arial"/>
          <w:color w:val="auto"/>
          <w:sz w:val="22"/>
          <w:szCs w:val="22"/>
          <w:shd w:val="clear" w:color="auto" w:fill="FFFFFF"/>
        </w:rPr>
        <w:t>(5), 225-237.</w:t>
      </w:r>
    </w:p>
    <w:p w14:paraId="75CC7FB3"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Riyanto, D., &amp; Surjandari, D. A. (2018). The Effect Analysis Risk of Credit, Liquidity, and Capital on Banking Profitability. </w:t>
      </w:r>
      <w:r w:rsidRPr="00D01B7A">
        <w:rPr>
          <w:rFonts w:ascii="Arial" w:hAnsi="Arial" w:cs="Arial"/>
          <w:i/>
          <w:iCs/>
          <w:shd w:val="clear" w:color="auto" w:fill="FFFFFF"/>
        </w:rPr>
        <w:t>Global Journal of Management and Business Research</w:t>
      </w:r>
      <w:r w:rsidRPr="00D01B7A">
        <w:rPr>
          <w:rFonts w:ascii="Arial" w:hAnsi="Arial" w:cs="Arial"/>
          <w:shd w:val="clear" w:color="auto" w:fill="FFFFFF"/>
        </w:rPr>
        <w:t>.</w:t>
      </w:r>
    </w:p>
    <w:p w14:paraId="114D804D" w14:textId="77777777" w:rsidR="0018560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Saleh, I., &amp; Abu Afifa, M. (2020). The effect of credit risk, liquidity risk and bank capital on bank profitability: Evidence from an emerging market. </w:t>
      </w:r>
      <w:r w:rsidRPr="00D01B7A">
        <w:rPr>
          <w:rFonts w:ascii="Arial" w:hAnsi="Arial" w:cs="Arial"/>
          <w:i/>
          <w:iCs/>
          <w:shd w:val="clear" w:color="auto" w:fill="FFFFFF"/>
        </w:rPr>
        <w:t>Cogent Economics &amp; Finance</w:t>
      </w:r>
      <w:r w:rsidRPr="00D01B7A">
        <w:rPr>
          <w:rFonts w:ascii="Arial" w:hAnsi="Arial" w:cs="Arial"/>
          <w:shd w:val="clear" w:color="auto" w:fill="FFFFFF"/>
        </w:rPr>
        <w:t>, </w:t>
      </w:r>
      <w:r w:rsidRPr="00D01B7A">
        <w:rPr>
          <w:rFonts w:ascii="Arial" w:hAnsi="Arial" w:cs="Arial"/>
          <w:i/>
          <w:iCs/>
          <w:shd w:val="clear" w:color="auto" w:fill="FFFFFF"/>
        </w:rPr>
        <w:t>8</w:t>
      </w:r>
      <w:r w:rsidRPr="00D01B7A">
        <w:rPr>
          <w:rFonts w:ascii="Arial" w:hAnsi="Arial" w:cs="Arial"/>
          <w:shd w:val="clear" w:color="auto" w:fill="FFFFFF"/>
        </w:rPr>
        <w:t>(1), 1814509.</w:t>
      </w:r>
    </w:p>
    <w:p w14:paraId="1554B0F5" w14:textId="4F2D20BB" w:rsidR="00185607" w:rsidRPr="00D01B7A" w:rsidRDefault="0018560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Sari, L. F., Alfarisi, F., &amp; Adrianto, F. (2022). The Influence of Credit Risk, Liquidity Risk, and Capital Adequacy on Financial Performance in the Banking Sector Listed on the Indonesia Stock Exchange 2016-2020 Period: Before and During Covid-19. </w:t>
      </w:r>
      <w:r w:rsidRPr="00D01B7A">
        <w:rPr>
          <w:rFonts w:ascii="Arial" w:hAnsi="Arial" w:cs="Arial"/>
          <w:i/>
          <w:iCs/>
          <w:shd w:val="clear" w:color="auto" w:fill="FFFFFF"/>
        </w:rPr>
        <w:t>Enrichment: Journal of Management</w:t>
      </w:r>
      <w:r w:rsidRPr="00D01B7A">
        <w:rPr>
          <w:rFonts w:ascii="Arial" w:hAnsi="Arial" w:cs="Arial"/>
          <w:shd w:val="clear" w:color="auto" w:fill="FFFFFF"/>
        </w:rPr>
        <w:t>, </w:t>
      </w:r>
      <w:r w:rsidRPr="00D01B7A">
        <w:rPr>
          <w:rFonts w:ascii="Arial" w:hAnsi="Arial" w:cs="Arial"/>
          <w:i/>
          <w:iCs/>
          <w:shd w:val="clear" w:color="auto" w:fill="FFFFFF"/>
        </w:rPr>
        <w:t>12</w:t>
      </w:r>
      <w:r w:rsidRPr="00D01B7A">
        <w:rPr>
          <w:rFonts w:ascii="Arial" w:hAnsi="Arial" w:cs="Arial"/>
          <w:shd w:val="clear" w:color="auto" w:fill="FFFFFF"/>
        </w:rPr>
        <w:t>(4), 2913-2917.</w:t>
      </w:r>
    </w:p>
    <w:p w14:paraId="06EE8FF6" w14:textId="77777777" w:rsidR="00231113"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Septiarini, D. F., Hisan, U. C., Matsahri, D. F., &amp; Filianti, D. (2021). Capital Buffer, Risk, Profitability, Size, and Macroeconomics: Empirical Study on Islamic Banks. </w:t>
      </w:r>
      <w:r w:rsidRPr="00D01B7A">
        <w:rPr>
          <w:rFonts w:ascii="Arial" w:hAnsi="Arial" w:cs="Arial"/>
          <w:i/>
          <w:iCs/>
          <w:shd w:val="clear" w:color="auto" w:fill="FFFFFF"/>
        </w:rPr>
        <w:t>Al-Iqtishad: Jurnal Ilmu Ekonomi Syariah (Journal of Islamic Economics)</w:t>
      </w:r>
      <w:r w:rsidRPr="00D01B7A">
        <w:rPr>
          <w:rFonts w:ascii="Arial" w:hAnsi="Arial" w:cs="Arial"/>
          <w:shd w:val="clear" w:color="auto" w:fill="FFFFFF"/>
        </w:rPr>
        <w:t>, </w:t>
      </w:r>
      <w:r w:rsidRPr="00D01B7A">
        <w:rPr>
          <w:rFonts w:ascii="Arial" w:hAnsi="Arial" w:cs="Arial"/>
          <w:i/>
          <w:iCs/>
          <w:shd w:val="clear" w:color="auto" w:fill="FFFFFF"/>
        </w:rPr>
        <w:t>13</w:t>
      </w:r>
      <w:r w:rsidRPr="00D01B7A">
        <w:rPr>
          <w:rFonts w:ascii="Arial" w:hAnsi="Arial" w:cs="Arial"/>
          <w:shd w:val="clear" w:color="auto" w:fill="FFFFFF"/>
        </w:rPr>
        <w:t>(1), 171-190.</w:t>
      </w:r>
    </w:p>
    <w:p w14:paraId="4EEE75FC" w14:textId="1A493E7A" w:rsidR="00231113" w:rsidRPr="00D01B7A" w:rsidRDefault="00231113"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Sowmya, T. K. (2020). Risk data aggregation and risk reporting roles and principles. </w:t>
      </w:r>
      <w:r w:rsidRPr="00D01B7A">
        <w:rPr>
          <w:rFonts w:ascii="Arial" w:hAnsi="Arial" w:cs="Arial"/>
          <w:i/>
          <w:iCs/>
          <w:shd w:val="clear" w:color="auto" w:fill="FFFFFF"/>
        </w:rPr>
        <w:t>International Journal of Engineering, Science and Mathematics</w:t>
      </w:r>
      <w:r w:rsidRPr="00D01B7A">
        <w:rPr>
          <w:rFonts w:ascii="Arial" w:hAnsi="Arial" w:cs="Arial"/>
          <w:shd w:val="clear" w:color="auto" w:fill="FFFFFF"/>
        </w:rPr>
        <w:t>, </w:t>
      </w:r>
      <w:r w:rsidRPr="00D01B7A">
        <w:rPr>
          <w:rFonts w:ascii="Arial" w:hAnsi="Arial" w:cs="Arial"/>
          <w:i/>
          <w:iCs/>
          <w:shd w:val="clear" w:color="auto" w:fill="FFFFFF"/>
        </w:rPr>
        <w:t>9</w:t>
      </w:r>
      <w:r w:rsidRPr="00D01B7A">
        <w:rPr>
          <w:rFonts w:ascii="Arial" w:hAnsi="Arial" w:cs="Arial"/>
          <w:shd w:val="clear" w:color="auto" w:fill="FFFFFF"/>
        </w:rPr>
        <w:t>(5), 57-65.</w:t>
      </w:r>
    </w:p>
    <w:p w14:paraId="6AA1CAAD" w14:textId="77777777" w:rsidR="00864057" w:rsidRPr="00D01B7A" w:rsidRDefault="0086405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Susan, J. K., &amp; Nasieku, T. (2016). Effect of Capital on the Financial Performance of Commercial Banks in Kenya. </w:t>
      </w:r>
      <w:r w:rsidRPr="00D01B7A">
        <w:rPr>
          <w:rFonts w:ascii="Arial" w:hAnsi="Arial" w:cs="Arial"/>
          <w:i/>
          <w:iCs/>
          <w:shd w:val="clear" w:color="auto" w:fill="FFFFFF"/>
        </w:rPr>
        <w:t>Asian Journal of Business and Management</w:t>
      </w:r>
      <w:r w:rsidRPr="00D01B7A">
        <w:rPr>
          <w:rFonts w:ascii="Arial" w:hAnsi="Arial" w:cs="Arial"/>
          <w:shd w:val="clear" w:color="auto" w:fill="FFFFFF"/>
        </w:rPr>
        <w:t>, </w:t>
      </w:r>
      <w:r w:rsidRPr="00D01B7A">
        <w:rPr>
          <w:rFonts w:ascii="Arial" w:hAnsi="Arial" w:cs="Arial"/>
          <w:i/>
          <w:iCs/>
          <w:shd w:val="clear" w:color="auto" w:fill="FFFFFF"/>
        </w:rPr>
        <w:t>4</w:t>
      </w:r>
      <w:r w:rsidRPr="00D01B7A">
        <w:rPr>
          <w:rFonts w:ascii="Arial" w:hAnsi="Arial" w:cs="Arial"/>
          <w:shd w:val="clear" w:color="auto" w:fill="FFFFFF"/>
        </w:rPr>
        <w:t>(5).</w:t>
      </w:r>
    </w:p>
    <w:p w14:paraId="5BE93B6B" w14:textId="77777777" w:rsidR="00864057" w:rsidRPr="00D01B7A" w:rsidRDefault="00864057" w:rsidP="001970FC">
      <w:pPr>
        <w:spacing w:after="0" w:line="360" w:lineRule="auto"/>
        <w:ind w:hanging="720"/>
        <w:jc w:val="both"/>
        <w:rPr>
          <w:rFonts w:ascii="Arial" w:hAnsi="Arial" w:cs="Arial"/>
          <w:shd w:val="clear" w:color="auto" w:fill="FFFFFF"/>
        </w:rPr>
      </w:pPr>
      <w:r w:rsidRPr="00D01B7A">
        <w:rPr>
          <w:rFonts w:ascii="Arial" w:hAnsi="Arial" w:cs="Arial"/>
          <w:shd w:val="clear" w:color="auto" w:fill="FFFFFF"/>
        </w:rPr>
        <w:t>Udenwa, T. A., Abdul, Z. H., &amp; Oyinaka, A. D. (2023). Effect of Prudency Guidelines on Nigeria Deposit Money Banks Performance. </w:t>
      </w:r>
      <w:r w:rsidRPr="00D01B7A">
        <w:rPr>
          <w:rFonts w:ascii="Arial" w:hAnsi="Arial" w:cs="Arial"/>
          <w:i/>
          <w:iCs/>
          <w:shd w:val="clear" w:color="auto" w:fill="FFFFFF"/>
        </w:rPr>
        <w:t>Journal of Business Development and Management Research</w:t>
      </w:r>
      <w:r w:rsidRPr="00D01B7A">
        <w:rPr>
          <w:rFonts w:ascii="Arial" w:hAnsi="Arial" w:cs="Arial"/>
          <w:shd w:val="clear" w:color="auto" w:fill="FFFFFF"/>
        </w:rPr>
        <w:t>.</w:t>
      </w:r>
    </w:p>
    <w:p w14:paraId="1D995948" w14:textId="77777777" w:rsidR="00864057" w:rsidRPr="00D01B7A" w:rsidRDefault="00864057" w:rsidP="001970FC">
      <w:pPr>
        <w:autoSpaceDE w:val="0"/>
        <w:autoSpaceDN w:val="0"/>
        <w:adjustRightInd w:val="0"/>
        <w:spacing w:after="0" w:line="360" w:lineRule="auto"/>
        <w:ind w:hanging="720"/>
        <w:jc w:val="both"/>
        <w:rPr>
          <w:rFonts w:ascii="Arial" w:hAnsi="Arial" w:cs="Arial"/>
          <w:shd w:val="clear" w:color="auto" w:fill="FFFFFF"/>
        </w:rPr>
      </w:pPr>
      <w:r w:rsidRPr="00D01B7A">
        <w:rPr>
          <w:rFonts w:ascii="Arial" w:hAnsi="Arial" w:cs="Arial"/>
          <w:shd w:val="clear" w:color="auto" w:fill="FFFFFF"/>
        </w:rPr>
        <w:t>Westerlund, J. (2007). Testing for error correction in panel data. </w:t>
      </w:r>
      <w:r w:rsidRPr="00D01B7A">
        <w:rPr>
          <w:rFonts w:ascii="Arial" w:hAnsi="Arial" w:cs="Arial"/>
          <w:i/>
          <w:iCs/>
          <w:shd w:val="clear" w:color="auto" w:fill="FFFFFF"/>
        </w:rPr>
        <w:t>Oxford Bulletin of Economics and statistics</w:t>
      </w:r>
      <w:r w:rsidRPr="00D01B7A">
        <w:rPr>
          <w:rFonts w:ascii="Arial" w:hAnsi="Arial" w:cs="Arial"/>
          <w:shd w:val="clear" w:color="auto" w:fill="FFFFFF"/>
        </w:rPr>
        <w:t>, </w:t>
      </w:r>
      <w:r w:rsidRPr="00D01B7A">
        <w:rPr>
          <w:rFonts w:ascii="Arial" w:hAnsi="Arial" w:cs="Arial"/>
          <w:i/>
          <w:iCs/>
          <w:shd w:val="clear" w:color="auto" w:fill="FFFFFF"/>
        </w:rPr>
        <w:t>69</w:t>
      </w:r>
      <w:r w:rsidRPr="00D01B7A">
        <w:rPr>
          <w:rFonts w:ascii="Arial" w:hAnsi="Arial" w:cs="Arial"/>
          <w:shd w:val="clear" w:color="auto" w:fill="FFFFFF"/>
        </w:rPr>
        <w:t>(6), 709-748.</w:t>
      </w:r>
    </w:p>
    <w:p w14:paraId="1F02D7BB" w14:textId="77777777" w:rsidR="00864057" w:rsidRPr="00D01B7A" w:rsidRDefault="00864057" w:rsidP="001970FC">
      <w:pPr>
        <w:spacing w:line="360" w:lineRule="auto"/>
        <w:rPr>
          <w:rFonts w:ascii="Arial" w:hAnsi="Arial" w:cs="Arial"/>
          <w:b/>
          <w:bCs/>
        </w:rPr>
      </w:pPr>
    </w:p>
    <w:sectPr w:rsidR="00864057" w:rsidRPr="00D01B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D637" w14:textId="77777777" w:rsidR="00755C1E" w:rsidRDefault="00755C1E" w:rsidP="00E77C09">
      <w:pPr>
        <w:spacing w:after="0" w:line="240" w:lineRule="auto"/>
      </w:pPr>
      <w:r>
        <w:separator/>
      </w:r>
    </w:p>
  </w:endnote>
  <w:endnote w:type="continuationSeparator" w:id="0">
    <w:p w14:paraId="171F2554" w14:textId="77777777" w:rsidR="00755C1E" w:rsidRDefault="00755C1E" w:rsidP="00E7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WQMXQ+TimesNewRomanPSMT">
    <w:altName w:val="Times New Roman"/>
    <w:charset w:val="A2"/>
    <w:family w:val="roman"/>
    <w:pitch w:val="default"/>
    <w:sig w:usb0="00000005" w:usb1="00000000" w:usb2="00000000" w:usb3="00000000" w:csb0="0000001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3617" w14:textId="77777777" w:rsidR="00D539EF" w:rsidRDefault="00D539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37FB" w14:textId="77777777" w:rsidR="00D539EF" w:rsidRDefault="00D539E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753F3" w14:textId="77777777" w:rsidR="00D539EF" w:rsidRDefault="00D539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0C9C0" w14:textId="77777777" w:rsidR="00755C1E" w:rsidRDefault="00755C1E" w:rsidP="00E77C09">
      <w:pPr>
        <w:spacing w:after="0" w:line="240" w:lineRule="auto"/>
      </w:pPr>
      <w:r>
        <w:separator/>
      </w:r>
    </w:p>
  </w:footnote>
  <w:footnote w:type="continuationSeparator" w:id="0">
    <w:p w14:paraId="0EB6521D" w14:textId="77777777" w:rsidR="00755C1E" w:rsidRDefault="00755C1E" w:rsidP="00E77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DA9ED" w14:textId="1C90F720" w:rsidR="00D539EF" w:rsidRDefault="00D539EF">
    <w:pPr>
      <w:pStyle w:val="Header"/>
    </w:pPr>
    <w:r>
      <w:rPr>
        <w:noProof/>
      </w:rPr>
      <w:pict w14:anchorId="2E08A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15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C26ED" w14:textId="3D55AD2A" w:rsidR="00D539EF" w:rsidRDefault="00D539EF">
    <w:pPr>
      <w:pStyle w:val="Header"/>
    </w:pPr>
    <w:r>
      <w:rPr>
        <w:noProof/>
      </w:rPr>
      <w:pict w14:anchorId="079A1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15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3DBB" w14:textId="6BED3666" w:rsidR="00D539EF" w:rsidRDefault="00D539EF">
    <w:pPr>
      <w:pStyle w:val="Header"/>
    </w:pPr>
    <w:r>
      <w:rPr>
        <w:noProof/>
      </w:rPr>
      <w:pict w14:anchorId="028CB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515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1B08"/>
    <w:multiLevelType w:val="multilevel"/>
    <w:tmpl w:val="8A3C80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28375F"/>
    <w:multiLevelType w:val="multilevel"/>
    <w:tmpl w:val="DD5CB9B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2BCB33DE"/>
    <w:multiLevelType w:val="multilevel"/>
    <w:tmpl w:val="1092F5D6"/>
    <w:lvl w:ilvl="0">
      <w:start w:val="1"/>
      <w:numFmt w:val="decimal"/>
      <w:lvlText w:val="%1.0"/>
      <w:lvlJc w:val="left"/>
      <w:pPr>
        <w:ind w:left="360" w:hanging="360"/>
      </w:pPr>
      <w:rPr>
        <w:rFonts w:eastAsia="Times New Roman" w:hint="default"/>
        <w:b/>
        <w:color w:val="auto"/>
      </w:rPr>
    </w:lvl>
    <w:lvl w:ilvl="1">
      <w:start w:val="1"/>
      <w:numFmt w:val="decimal"/>
      <w:lvlText w:val="%1.%2"/>
      <w:lvlJc w:val="left"/>
      <w:pPr>
        <w:ind w:left="1080" w:hanging="360"/>
      </w:pPr>
      <w:rPr>
        <w:rFonts w:eastAsia="Times New Roman" w:hint="default"/>
        <w:b/>
        <w:color w:val="auto"/>
      </w:rPr>
    </w:lvl>
    <w:lvl w:ilvl="2">
      <w:start w:val="1"/>
      <w:numFmt w:val="decimal"/>
      <w:lvlText w:val="%1.%2.%3"/>
      <w:lvlJc w:val="left"/>
      <w:pPr>
        <w:ind w:left="2160" w:hanging="720"/>
      </w:pPr>
      <w:rPr>
        <w:rFonts w:eastAsia="Times New Roman" w:hint="default"/>
        <w:b/>
        <w:color w:val="auto"/>
      </w:rPr>
    </w:lvl>
    <w:lvl w:ilvl="3">
      <w:start w:val="1"/>
      <w:numFmt w:val="decimal"/>
      <w:lvlText w:val="%1.%2.%3.%4"/>
      <w:lvlJc w:val="left"/>
      <w:pPr>
        <w:ind w:left="2880" w:hanging="720"/>
      </w:pPr>
      <w:rPr>
        <w:rFonts w:eastAsia="Times New Roman" w:hint="default"/>
        <w:b/>
        <w:color w:val="auto"/>
      </w:rPr>
    </w:lvl>
    <w:lvl w:ilvl="4">
      <w:start w:val="1"/>
      <w:numFmt w:val="decimal"/>
      <w:lvlText w:val="%1.%2.%3.%4.%5"/>
      <w:lvlJc w:val="left"/>
      <w:pPr>
        <w:ind w:left="3960" w:hanging="1080"/>
      </w:pPr>
      <w:rPr>
        <w:rFonts w:eastAsia="Times New Roman" w:hint="default"/>
        <w:b/>
        <w:color w:val="auto"/>
      </w:rPr>
    </w:lvl>
    <w:lvl w:ilvl="5">
      <w:start w:val="1"/>
      <w:numFmt w:val="decimal"/>
      <w:lvlText w:val="%1.%2.%3.%4.%5.%6"/>
      <w:lvlJc w:val="left"/>
      <w:pPr>
        <w:ind w:left="4680" w:hanging="1080"/>
      </w:pPr>
      <w:rPr>
        <w:rFonts w:eastAsia="Times New Roman" w:hint="default"/>
        <w:b/>
        <w:color w:val="auto"/>
      </w:rPr>
    </w:lvl>
    <w:lvl w:ilvl="6">
      <w:start w:val="1"/>
      <w:numFmt w:val="decimal"/>
      <w:lvlText w:val="%1.%2.%3.%4.%5.%6.%7"/>
      <w:lvlJc w:val="left"/>
      <w:pPr>
        <w:ind w:left="5760" w:hanging="1440"/>
      </w:pPr>
      <w:rPr>
        <w:rFonts w:eastAsia="Times New Roman" w:hint="default"/>
        <w:b/>
        <w:color w:val="auto"/>
      </w:rPr>
    </w:lvl>
    <w:lvl w:ilvl="7">
      <w:start w:val="1"/>
      <w:numFmt w:val="decimal"/>
      <w:lvlText w:val="%1.%2.%3.%4.%5.%6.%7.%8"/>
      <w:lvlJc w:val="left"/>
      <w:pPr>
        <w:ind w:left="6480" w:hanging="1440"/>
      </w:pPr>
      <w:rPr>
        <w:rFonts w:eastAsia="Times New Roman" w:hint="default"/>
        <w:b/>
        <w:color w:val="auto"/>
      </w:rPr>
    </w:lvl>
    <w:lvl w:ilvl="8">
      <w:start w:val="1"/>
      <w:numFmt w:val="decimal"/>
      <w:lvlText w:val="%1.%2.%3.%4.%5.%6.%7.%8.%9"/>
      <w:lvlJc w:val="left"/>
      <w:pPr>
        <w:ind w:left="7560" w:hanging="1800"/>
      </w:pPr>
      <w:rPr>
        <w:rFonts w:eastAsia="Times New Roman" w:hint="default"/>
        <w:b/>
        <w:color w:val="auto"/>
      </w:rPr>
    </w:lvl>
  </w:abstractNum>
  <w:abstractNum w:abstractNumId="3" w15:restartNumberingAfterBreak="0">
    <w:nsid w:val="45D53612"/>
    <w:multiLevelType w:val="multilevel"/>
    <w:tmpl w:val="FD2E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61D81"/>
    <w:multiLevelType w:val="multilevel"/>
    <w:tmpl w:val="3A5EBC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9317727"/>
    <w:multiLevelType w:val="multilevel"/>
    <w:tmpl w:val="C798A83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798E0382"/>
    <w:multiLevelType w:val="hybridMultilevel"/>
    <w:tmpl w:val="16A03B20"/>
    <w:lvl w:ilvl="0" w:tplc="2A3C9F92">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41"/>
    <w:rsid w:val="000039BF"/>
    <w:rsid w:val="00003F1A"/>
    <w:rsid w:val="0001666E"/>
    <w:rsid w:val="00023D69"/>
    <w:rsid w:val="0003443A"/>
    <w:rsid w:val="0004666F"/>
    <w:rsid w:val="0004791D"/>
    <w:rsid w:val="00054144"/>
    <w:rsid w:val="00055572"/>
    <w:rsid w:val="000578A7"/>
    <w:rsid w:val="00063CA8"/>
    <w:rsid w:val="000644BE"/>
    <w:rsid w:val="0006717C"/>
    <w:rsid w:val="00072DF2"/>
    <w:rsid w:val="000739C9"/>
    <w:rsid w:val="00081357"/>
    <w:rsid w:val="00087240"/>
    <w:rsid w:val="000976FC"/>
    <w:rsid w:val="000B18BE"/>
    <w:rsid w:val="000B5E47"/>
    <w:rsid w:val="000C1B78"/>
    <w:rsid w:val="00173A63"/>
    <w:rsid w:val="00185607"/>
    <w:rsid w:val="001951B1"/>
    <w:rsid w:val="001970FC"/>
    <w:rsid w:val="001B38E0"/>
    <w:rsid w:val="001B6BAD"/>
    <w:rsid w:val="001D2C4E"/>
    <w:rsid w:val="00204DFC"/>
    <w:rsid w:val="00224BD8"/>
    <w:rsid w:val="00231113"/>
    <w:rsid w:val="0023385A"/>
    <w:rsid w:val="00234A07"/>
    <w:rsid w:val="0023570F"/>
    <w:rsid w:val="00236A6A"/>
    <w:rsid w:val="002375D2"/>
    <w:rsid w:val="002546EB"/>
    <w:rsid w:val="0028284B"/>
    <w:rsid w:val="002925CF"/>
    <w:rsid w:val="0029651B"/>
    <w:rsid w:val="002A1911"/>
    <w:rsid w:val="002A565E"/>
    <w:rsid w:val="002C577F"/>
    <w:rsid w:val="002C6A40"/>
    <w:rsid w:val="002D2655"/>
    <w:rsid w:val="002D4D89"/>
    <w:rsid w:val="002E3EFE"/>
    <w:rsid w:val="002E436C"/>
    <w:rsid w:val="003024B5"/>
    <w:rsid w:val="00322031"/>
    <w:rsid w:val="003243F1"/>
    <w:rsid w:val="00326EF6"/>
    <w:rsid w:val="00355763"/>
    <w:rsid w:val="00371788"/>
    <w:rsid w:val="003723D7"/>
    <w:rsid w:val="003735F2"/>
    <w:rsid w:val="0037406E"/>
    <w:rsid w:val="00377C7E"/>
    <w:rsid w:val="00393521"/>
    <w:rsid w:val="003941A8"/>
    <w:rsid w:val="003B06C5"/>
    <w:rsid w:val="003C13FF"/>
    <w:rsid w:val="003C1488"/>
    <w:rsid w:val="003C5D41"/>
    <w:rsid w:val="003D708B"/>
    <w:rsid w:val="003E4DE7"/>
    <w:rsid w:val="003F5241"/>
    <w:rsid w:val="003F7885"/>
    <w:rsid w:val="00421800"/>
    <w:rsid w:val="00427D87"/>
    <w:rsid w:val="00440F94"/>
    <w:rsid w:val="00464384"/>
    <w:rsid w:val="004668B5"/>
    <w:rsid w:val="00475386"/>
    <w:rsid w:val="004863C2"/>
    <w:rsid w:val="00493503"/>
    <w:rsid w:val="004961D3"/>
    <w:rsid w:val="004A2F46"/>
    <w:rsid w:val="004C6CEC"/>
    <w:rsid w:val="004D1CAF"/>
    <w:rsid w:val="004D4F25"/>
    <w:rsid w:val="004F0ABE"/>
    <w:rsid w:val="004F2741"/>
    <w:rsid w:val="00503C87"/>
    <w:rsid w:val="00540795"/>
    <w:rsid w:val="00555185"/>
    <w:rsid w:val="00557B09"/>
    <w:rsid w:val="0056712B"/>
    <w:rsid w:val="00570B35"/>
    <w:rsid w:val="0057784D"/>
    <w:rsid w:val="0058253B"/>
    <w:rsid w:val="005836FD"/>
    <w:rsid w:val="005B1731"/>
    <w:rsid w:val="005C718A"/>
    <w:rsid w:val="005E588C"/>
    <w:rsid w:val="005F20CE"/>
    <w:rsid w:val="005F2B29"/>
    <w:rsid w:val="005F335D"/>
    <w:rsid w:val="0060435F"/>
    <w:rsid w:val="00614138"/>
    <w:rsid w:val="00615475"/>
    <w:rsid w:val="006204EB"/>
    <w:rsid w:val="00622463"/>
    <w:rsid w:val="006323CB"/>
    <w:rsid w:val="00633302"/>
    <w:rsid w:val="006432F9"/>
    <w:rsid w:val="006457BE"/>
    <w:rsid w:val="00674284"/>
    <w:rsid w:val="00697AB2"/>
    <w:rsid w:val="006B2E5A"/>
    <w:rsid w:val="006C0BAD"/>
    <w:rsid w:val="006C0D53"/>
    <w:rsid w:val="006C2004"/>
    <w:rsid w:val="006C2C5B"/>
    <w:rsid w:val="006C5A5F"/>
    <w:rsid w:val="006D7E06"/>
    <w:rsid w:val="006E3274"/>
    <w:rsid w:val="006E36F3"/>
    <w:rsid w:val="006E6FF0"/>
    <w:rsid w:val="007075A6"/>
    <w:rsid w:val="00710B04"/>
    <w:rsid w:val="007158DB"/>
    <w:rsid w:val="00730C6A"/>
    <w:rsid w:val="00755C1E"/>
    <w:rsid w:val="0076310A"/>
    <w:rsid w:val="007639CA"/>
    <w:rsid w:val="00783E11"/>
    <w:rsid w:val="00795D9F"/>
    <w:rsid w:val="00797108"/>
    <w:rsid w:val="007D711B"/>
    <w:rsid w:val="007F054C"/>
    <w:rsid w:val="00810EFA"/>
    <w:rsid w:val="00826035"/>
    <w:rsid w:val="00834720"/>
    <w:rsid w:val="00835DB2"/>
    <w:rsid w:val="0083772E"/>
    <w:rsid w:val="00841235"/>
    <w:rsid w:val="008446E4"/>
    <w:rsid w:val="00860ACB"/>
    <w:rsid w:val="00864057"/>
    <w:rsid w:val="0087121B"/>
    <w:rsid w:val="008719ED"/>
    <w:rsid w:val="00877BF1"/>
    <w:rsid w:val="0089014A"/>
    <w:rsid w:val="008A4551"/>
    <w:rsid w:val="008D1F11"/>
    <w:rsid w:val="008D39B7"/>
    <w:rsid w:val="008F1A98"/>
    <w:rsid w:val="008F7A0E"/>
    <w:rsid w:val="009127A9"/>
    <w:rsid w:val="009226D5"/>
    <w:rsid w:val="00924E4E"/>
    <w:rsid w:val="00940E31"/>
    <w:rsid w:val="00943461"/>
    <w:rsid w:val="0094412E"/>
    <w:rsid w:val="009530AC"/>
    <w:rsid w:val="0096134E"/>
    <w:rsid w:val="009800AD"/>
    <w:rsid w:val="00981A2A"/>
    <w:rsid w:val="00982295"/>
    <w:rsid w:val="00982D00"/>
    <w:rsid w:val="00993186"/>
    <w:rsid w:val="009A6F50"/>
    <w:rsid w:val="009C1FC0"/>
    <w:rsid w:val="009D7B7D"/>
    <w:rsid w:val="009E43FE"/>
    <w:rsid w:val="009F27EF"/>
    <w:rsid w:val="009F3C8E"/>
    <w:rsid w:val="009F3FE3"/>
    <w:rsid w:val="009F5E53"/>
    <w:rsid w:val="00A07B21"/>
    <w:rsid w:val="00A220B7"/>
    <w:rsid w:val="00A24A55"/>
    <w:rsid w:val="00A65FF9"/>
    <w:rsid w:val="00A67A4E"/>
    <w:rsid w:val="00A7192B"/>
    <w:rsid w:val="00A71CA8"/>
    <w:rsid w:val="00A74438"/>
    <w:rsid w:val="00A94DA5"/>
    <w:rsid w:val="00A960C2"/>
    <w:rsid w:val="00A96376"/>
    <w:rsid w:val="00AB1B79"/>
    <w:rsid w:val="00AB2CF1"/>
    <w:rsid w:val="00AC0043"/>
    <w:rsid w:val="00AC5509"/>
    <w:rsid w:val="00AD30E7"/>
    <w:rsid w:val="00AF5AC8"/>
    <w:rsid w:val="00B330CE"/>
    <w:rsid w:val="00B41205"/>
    <w:rsid w:val="00B52455"/>
    <w:rsid w:val="00B625A8"/>
    <w:rsid w:val="00B67A89"/>
    <w:rsid w:val="00B733D8"/>
    <w:rsid w:val="00B754F4"/>
    <w:rsid w:val="00B82041"/>
    <w:rsid w:val="00B828A6"/>
    <w:rsid w:val="00B871F7"/>
    <w:rsid w:val="00B9713A"/>
    <w:rsid w:val="00BA22B4"/>
    <w:rsid w:val="00BB33BA"/>
    <w:rsid w:val="00BF467C"/>
    <w:rsid w:val="00BF4F20"/>
    <w:rsid w:val="00C1587F"/>
    <w:rsid w:val="00C20D08"/>
    <w:rsid w:val="00C2246D"/>
    <w:rsid w:val="00C375A3"/>
    <w:rsid w:val="00C40282"/>
    <w:rsid w:val="00C50D54"/>
    <w:rsid w:val="00C62BC0"/>
    <w:rsid w:val="00C649B6"/>
    <w:rsid w:val="00C9034D"/>
    <w:rsid w:val="00CA24DF"/>
    <w:rsid w:val="00D01B7A"/>
    <w:rsid w:val="00D14747"/>
    <w:rsid w:val="00D17AFA"/>
    <w:rsid w:val="00D273D5"/>
    <w:rsid w:val="00D539EF"/>
    <w:rsid w:val="00D55783"/>
    <w:rsid w:val="00D564D6"/>
    <w:rsid w:val="00D66AEE"/>
    <w:rsid w:val="00D762C6"/>
    <w:rsid w:val="00D8651A"/>
    <w:rsid w:val="00D92483"/>
    <w:rsid w:val="00D93E60"/>
    <w:rsid w:val="00DA4A8B"/>
    <w:rsid w:val="00DB565D"/>
    <w:rsid w:val="00DC4400"/>
    <w:rsid w:val="00DC53D9"/>
    <w:rsid w:val="00DC6910"/>
    <w:rsid w:val="00DD5A7B"/>
    <w:rsid w:val="00DD7A36"/>
    <w:rsid w:val="00DF1BAB"/>
    <w:rsid w:val="00DF71E8"/>
    <w:rsid w:val="00E05F0D"/>
    <w:rsid w:val="00E10D70"/>
    <w:rsid w:val="00E20FCE"/>
    <w:rsid w:val="00E35E0C"/>
    <w:rsid w:val="00E35E71"/>
    <w:rsid w:val="00E52C7A"/>
    <w:rsid w:val="00E60239"/>
    <w:rsid w:val="00E62C00"/>
    <w:rsid w:val="00E73ED6"/>
    <w:rsid w:val="00E77C09"/>
    <w:rsid w:val="00E811EE"/>
    <w:rsid w:val="00E87AFC"/>
    <w:rsid w:val="00E944D3"/>
    <w:rsid w:val="00EA4C3E"/>
    <w:rsid w:val="00EB0343"/>
    <w:rsid w:val="00EB48A5"/>
    <w:rsid w:val="00EB7732"/>
    <w:rsid w:val="00ED1254"/>
    <w:rsid w:val="00ED76B9"/>
    <w:rsid w:val="00ED78EE"/>
    <w:rsid w:val="00EE3FE7"/>
    <w:rsid w:val="00EE5788"/>
    <w:rsid w:val="00EE7A96"/>
    <w:rsid w:val="00EF3DB7"/>
    <w:rsid w:val="00EF72AE"/>
    <w:rsid w:val="00F03889"/>
    <w:rsid w:val="00F36C86"/>
    <w:rsid w:val="00F41F4A"/>
    <w:rsid w:val="00F44E88"/>
    <w:rsid w:val="00F46FE9"/>
    <w:rsid w:val="00F61BD3"/>
    <w:rsid w:val="00F67C07"/>
    <w:rsid w:val="00F8475B"/>
    <w:rsid w:val="00F862C7"/>
    <w:rsid w:val="00FA7DE1"/>
    <w:rsid w:val="00FB01D0"/>
    <w:rsid w:val="00FD2E12"/>
    <w:rsid w:val="00FE1C64"/>
    <w:rsid w:val="00FF332B"/>
    <w:rsid w:val="00FF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AA80D"/>
  <w15:chartTrackingRefBased/>
  <w15:docId w15:val="{95A3E07C-0024-4BF5-94C8-BC15836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41"/>
  </w:style>
  <w:style w:type="paragraph" w:styleId="Heading1">
    <w:name w:val="heading 1"/>
    <w:basedOn w:val="Normal"/>
    <w:next w:val="Normal"/>
    <w:link w:val="Heading1Char"/>
    <w:uiPriority w:val="9"/>
    <w:qFormat/>
    <w:rsid w:val="00AC00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C0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17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bgcolor">
    <w:name w:val="res_bg_color"/>
    <w:basedOn w:val="DefaultParagraphFont"/>
    <w:rsid w:val="000578A7"/>
  </w:style>
  <w:style w:type="character" w:customStyle="1" w:styleId="Heading1Char">
    <w:name w:val="Heading 1 Char"/>
    <w:basedOn w:val="DefaultParagraphFont"/>
    <w:link w:val="Heading1"/>
    <w:uiPriority w:val="9"/>
    <w:rsid w:val="00AC0043"/>
    <w:rPr>
      <w:rFonts w:asciiTheme="majorHAnsi" w:eastAsiaTheme="majorEastAsia" w:hAnsiTheme="majorHAnsi" w:cstheme="majorBidi"/>
      <w:color w:val="2E74B5" w:themeColor="accent1" w:themeShade="BF"/>
      <w:sz w:val="40"/>
      <w:szCs w:val="40"/>
    </w:rPr>
  </w:style>
  <w:style w:type="table" w:styleId="TableGrid">
    <w:name w:val="Table Grid"/>
    <w:basedOn w:val="TableNormal"/>
    <w:uiPriority w:val="39"/>
    <w:rsid w:val="00AC0043"/>
    <w:pPr>
      <w:spacing w:after="0" w:line="240" w:lineRule="auto"/>
    </w:pPr>
    <w:rPr>
      <w:kern w:val="2"/>
      <w:sz w:val="24"/>
      <w:szCs w:val="24"/>
      <w:lang w:val="en-A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C0043"/>
    <w:rPr>
      <w:rFonts w:asciiTheme="majorHAnsi" w:eastAsiaTheme="majorEastAsia" w:hAnsiTheme="majorHAnsi" w:cstheme="majorBidi"/>
      <w:color w:val="2E74B5" w:themeColor="accent1" w:themeShade="BF"/>
      <w:sz w:val="26"/>
      <w:szCs w:val="26"/>
    </w:rPr>
  </w:style>
  <w:style w:type="paragraph" w:customStyle="1" w:styleId="Default">
    <w:name w:val="Default"/>
    <w:rsid w:val="00AC0043"/>
    <w:pPr>
      <w:autoSpaceDE w:val="0"/>
      <w:autoSpaceDN w:val="0"/>
      <w:adjustRightInd w:val="0"/>
      <w:spacing w:after="0" w:line="240" w:lineRule="auto"/>
    </w:pPr>
    <w:rPr>
      <w:rFonts w:ascii="RWQMXQ+TimesNewRomanPSMT" w:eastAsia="Calibri" w:hAnsi="RWQMXQ+TimesNewRomanPSMT" w:cs="RWQMXQ+TimesNewRomanPSMT"/>
      <w:color w:val="000000"/>
      <w:sz w:val="24"/>
      <w:szCs w:val="24"/>
    </w:rPr>
  </w:style>
  <w:style w:type="character" w:styleId="Hyperlink">
    <w:name w:val="Hyperlink"/>
    <w:basedOn w:val="DefaultParagraphFont"/>
    <w:uiPriority w:val="99"/>
    <w:unhideWhenUsed/>
    <w:rsid w:val="00AC0043"/>
    <w:rPr>
      <w:color w:val="0563C1" w:themeColor="hyperlink"/>
      <w:u w:val="single"/>
    </w:rPr>
  </w:style>
  <w:style w:type="paragraph" w:styleId="NoSpacing">
    <w:name w:val="No Spacing"/>
    <w:uiPriority w:val="1"/>
    <w:qFormat/>
    <w:rsid w:val="00AC0043"/>
    <w:pPr>
      <w:spacing w:after="0" w:line="240" w:lineRule="auto"/>
    </w:pPr>
    <w:rPr>
      <w:rFonts w:ascii="Calibri" w:eastAsia="Calibri" w:hAnsi="Calibri" w:cs="Times New Roman"/>
    </w:rPr>
  </w:style>
  <w:style w:type="character" w:customStyle="1" w:styleId="grammar-highlight">
    <w:name w:val="grammar-highlight"/>
    <w:basedOn w:val="DefaultParagraphFont"/>
    <w:rsid w:val="006C5A5F"/>
  </w:style>
  <w:style w:type="paragraph" w:styleId="NormalWeb">
    <w:name w:val="Normal (Web)"/>
    <w:basedOn w:val="Normal"/>
    <w:uiPriority w:val="99"/>
    <w:semiHidden/>
    <w:unhideWhenUsed/>
    <w:rsid w:val="00E35E0C"/>
    <w:rPr>
      <w:rFonts w:ascii="Times New Roman" w:hAnsi="Times New Roman" w:cs="Times New Roman"/>
      <w:sz w:val="24"/>
      <w:szCs w:val="24"/>
    </w:rPr>
  </w:style>
  <w:style w:type="paragraph" w:styleId="ListParagraph">
    <w:name w:val="List Paragraph"/>
    <w:basedOn w:val="Normal"/>
    <w:uiPriority w:val="34"/>
    <w:qFormat/>
    <w:rsid w:val="00B625A8"/>
    <w:pPr>
      <w:ind w:left="720"/>
      <w:contextualSpacing/>
    </w:pPr>
  </w:style>
  <w:style w:type="character" w:customStyle="1" w:styleId="Heading3Char">
    <w:name w:val="Heading 3 Char"/>
    <w:basedOn w:val="DefaultParagraphFont"/>
    <w:link w:val="Heading3"/>
    <w:uiPriority w:val="9"/>
    <w:semiHidden/>
    <w:rsid w:val="00D17AFA"/>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961D3"/>
    <w:rPr>
      <w:color w:val="605E5C"/>
      <w:shd w:val="clear" w:color="auto" w:fill="E1DFDD"/>
    </w:rPr>
  </w:style>
  <w:style w:type="paragraph" w:styleId="Header">
    <w:name w:val="header"/>
    <w:basedOn w:val="Normal"/>
    <w:link w:val="HeaderChar"/>
    <w:uiPriority w:val="99"/>
    <w:unhideWhenUsed/>
    <w:rsid w:val="00E77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09"/>
  </w:style>
  <w:style w:type="paragraph" w:styleId="Footer">
    <w:name w:val="footer"/>
    <w:basedOn w:val="Normal"/>
    <w:link w:val="FooterChar"/>
    <w:uiPriority w:val="99"/>
    <w:unhideWhenUsed/>
    <w:rsid w:val="00E77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09"/>
  </w:style>
  <w:style w:type="character" w:customStyle="1" w:styleId="styles-900">
    <w:name w:val="styles-900"/>
    <w:basedOn w:val="DefaultParagraphFont"/>
    <w:rsid w:val="0023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437">
      <w:bodyDiv w:val="1"/>
      <w:marLeft w:val="0"/>
      <w:marRight w:val="0"/>
      <w:marTop w:val="0"/>
      <w:marBottom w:val="0"/>
      <w:divBdr>
        <w:top w:val="none" w:sz="0" w:space="0" w:color="auto"/>
        <w:left w:val="none" w:sz="0" w:space="0" w:color="auto"/>
        <w:bottom w:val="none" w:sz="0" w:space="0" w:color="auto"/>
        <w:right w:val="none" w:sz="0" w:space="0" w:color="auto"/>
      </w:divBdr>
      <w:divsChild>
        <w:div w:id="444496096">
          <w:marLeft w:val="0"/>
          <w:marRight w:val="0"/>
          <w:marTop w:val="120"/>
          <w:marBottom w:val="120"/>
          <w:divBdr>
            <w:top w:val="none" w:sz="0" w:space="0" w:color="auto"/>
            <w:left w:val="none" w:sz="0" w:space="0" w:color="auto"/>
            <w:bottom w:val="none" w:sz="0" w:space="0" w:color="auto"/>
            <w:right w:val="none" w:sz="0" w:space="0" w:color="auto"/>
          </w:divBdr>
        </w:div>
        <w:div w:id="1649430559">
          <w:marLeft w:val="0"/>
          <w:marRight w:val="0"/>
          <w:marTop w:val="120"/>
          <w:marBottom w:val="120"/>
          <w:divBdr>
            <w:top w:val="none" w:sz="0" w:space="0" w:color="auto"/>
            <w:left w:val="none" w:sz="0" w:space="0" w:color="auto"/>
            <w:bottom w:val="none" w:sz="0" w:space="0" w:color="auto"/>
            <w:right w:val="none" w:sz="0" w:space="0" w:color="auto"/>
          </w:divBdr>
        </w:div>
        <w:div w:id="1217545543">
          <w:marLeft w:val="0"/>
          <w:marRight w:val="0"/>
          <w:marTop w:val="120"/>
          <w:marBottom w:val="120"/>
          <w:divBdr>
            <w:top w:val="none" w:sz="0" w:space="0" w:color="auto"/>
            <w:left w:val="none" w:sz="0" w:space="0" w:color="auto"/>
            <w:bottom w:val="none" w:sz="0" w:space="0" w:color="auto"/>
            <w:right w:val="none" w:sz="0" w:space="0" w:color="auto"/>
          </w:divBdr>
        </w:div>
        <w:div w:id="1125539794">
          <w:marLeft w:val="0"/>
          <w:marRight w:val="0"/>
          <w:marTop w:val="120"/>
          <w:marBottom w:val="120"/>
          <w:divBdr>
            <w:top w:val="none" w:sz="0" w:space="0" w:color="auto"/>
            <w:left w:val="none" w:sz="0" w:space="0" w:color="auto"/>
            <w:bottom w:val="none" w:sz="0" w:space="0" w:color="auto"/>
            <w:right w:val="none" w:sz="0" w:space="0" w:color="auto"/>
          </w:divBdr>
        </w:div>
        <w:div w:id="740904241">
          <w:marLeft w:val="0"/>
          <w:marRight w:val="0"/>
          <w:marTop w:val="120"/>
          <w:marBottom w:val="120"/>
          <w:divBdr>
            <w:top w:val="none" w:sz="0" w:space="0" w:color="auto"/>
            <w:left w:val="none" w:sz="0" w:space="0" w:color="auto"/>
            <w:bottom w:val="none" w:sz="0" w:space="0" w:color="auto"/>
            <w:right w:val="none" w:sz="0" w:space="0" w:color="auto"/>
          </w:divBdr>
        </w:div>
      </w:divsChild>
    </w:div>
    <w:div w:id="36904282">
      <w:bodyDiv w:val="1"/>
      <w:marLeft w:val="0"/>
      <w:marRight w:val="0"/>
      <w:marTop w:val="0"/>
      <w:marBottom w:val="0"/>
      <w:divBdr>
        <w:top w:val="none" w:sz="0" w:space="0" w:color="auto"/>
        <w:left w:val="none" w:sz="0" w:space="0" w:color="auto"/>
        <w:bottom w:val="none" w:sz="0" w:space="0" w:color="auto"/>
        <w:right w:val="none" w:sz="0" w:space="0" w:color="auto"/>
      </w:divBdr>
      <w:divsChild>
        <w:div w:id="683212967">
          <w:marLeft w:val="0"/>
          <w:marRight w:val="0"/>
          <w:marTop w:val="120"/>
          <w:marBottom w:val="120"/>
          <w:divBdr>
            <w:top w:val="none" w:sz="0" w:space="0" w:color="auto"/>
            <w:left w:val="none" w:sz="0" w:space="0" w:color="auto"/>
            <w:bottom w:val="none" w:sz="0" w:space="0" w:color="auto"/>
            <w:right w:val="none" w:sz="0" w:space="0" w:color="auto"/>
          </w:divBdr>
        </w:div>
      </w:divsChild>
    </w:div>
    <w:div w:id="43021853">
      <w:bodyDiv w:val="1"/>
      <w:marLeft w:val="0"/>
      <w:marRight w:val="0"/>
      <w:marTop w:val="0"/>
      <w:marBottom w:val="0"/>
      <w:divBdr>
        <w:top w:val="none" w:sz="0" w:space="0" w:color="auto"/>
        <w:left w:val="none" w:sz="0" w:space="0" w:color="auto"/>
        <w:bottom w:val="none" w:sz="0" w:space="0" w:color="auto"/>
        <w:right w:val="none" w:sz="0" w:space="0" w:color="auto"/>
      </w:divBdr>
      <w:divsChild>
        <w:div w:id="1108549575">
          <w:marLeft w:val="0"/>
          <w:marRight w:val="0"/>
          <w:marTop w:val="120"/>
          <w:marBottom w:val="120"/>
          <w:divBdr>
            <w:top w:val="none" w:sz="0" w:space="0" w:color="auto"/>
            <w:left w:val="none" w:sz="0" w:space="0" w:color="auto"/>
            <w:bottom w:val="none" w:sz="0" w:space="0" w:color="auto"/>
            <w:right w:val="none" w:sz="0" w:space="0" w:color="auto"/>
          </w:divBdr>
        </w:div>
        <w:div w:id="610823743">
          <w:marLeft w:val="0"/>
          <w:marRight w:val="0"/>
          <w:marTop w:val="120"/>
          <w:marBottom w:val="120"/>
          <w:divBdr>
            <w:top w:val="none" w:sz="0" w:space="0" w:color="auto"/>
            <w:left w:val="none" w:sz="0" w:space="0" w:color="auto"/>
            <w:bottom w:val="none" w:sz="0" w:space="0" w:color="auto"/>
            <w:right w:val="none" w:sz="0" w:space="0" w:color="auto"/>
          </w:divBdr>
        </w:div>
      </w:divsChild>
    </w:div>
    <w:div w:id="77140020">
      <w:bodyDiv w:val="1"/>
      <w:marLeft w:val="0"/>
      <w:marRight w:val="0"/>
      <w:marTop w:val="0"/>
      <w:marBottom w:val="0"/>
      <w:divBdr>
        <w:top w:val="none" w:sz="0" w:space="0" w:color="auto"/>
        <w:left w:val="none" w:sz="0" w:space="0" w:color="auto"/>
        <w:bottom w:val="none" w:sz="0" w:space="0" w:color="auto"/>
        <w:right w:val="none" w:sz="0" w:space="0" w:color="auto"/>
      </w:divBdr>
      <w:divsChild>
        <w:div w:id="988679469">
          <w:marLeft w:val="0"/>
          <w:marRight w:val="0"/>
          <w:marTop w:val="120"/>
          <w:marBottom w:val="120"/>
          <w:divBdr>
            <w:top w:val="none" w:sz="0" w:space="0" w:color="auto"/>
            <w:left w:val="none" w:sz="0" w:space="0" w:color="auto"/>
            <w:bottom w:val="none" w:sz="0" w:space="0" w:color="auto"/>
            <w:right w:val="none" w:sz="0" w:space="0" w:color="auto"/>
          </w:divBdr>
        </w:div>
      </w:divsChild>
    </w:div>
    <w:div w:id="170072094">
      <w:bodyDiv w:val="1"/>
      <w:marLeft w:val="0"/>
      <w:marRight w:val="0"/>
      <w:marTop w:val="0"/>
      <w:marBottom w:val="0"/>
      <w:divBdr>
        <w:top w:val="none" w:sz="0" w:space="0" w:color="auto"/>
        <w:left w:val="none" w:sz="0" w:space="0" w:color="auto"/>
        <w:bottom w:val="none" w:sz="0" w:space="0" w:color="auto"/>
        <w:right w:val="none" w:sz="0" w:space="0" w:color="auto"/>
      </w:divBdr>
      <w:divsChild>
        <w:div w:id="2121222813">
          <w:marLeft w:val="0"/>
          <w:marRight w:val="0"/>
          <w:marTop w:val="120"/>
          <w:marBottom w:val="120"/>
          <w:divBdr>
            <w:top w:val="none" w:sz="0" w:space="0" w:color="auto"/>
            <w:left w:val="none" w:sz="0" w:space="0" w:color="auto"/>
            <w:bottom w:val="none" w:sz="0" w:space="0" w:color="auto"/>
            <w:right w:val="none" w:sz="0" w:space="0" w:color="auto"/>
          </w:divBdr>
        </w:div>
      </w:divsChild>
    </w:div>
    <w:div w:id="267783451">
      <w:bodyDiv w:val="1"/>
      <w:marLeft w:val="0"/>
      <w:marRight w:val="0"/>
      <w:marTop w:val="0"/>
      <w:marBottom w:val="0"/>
      <w:divBdr>
        <w:top w:val="none" w:sz="0" w:space="0" w:color="auto"/>
        <w:left w:val="none" w:sz="0" w:space="0" w:color="auto"/>
        <w:bottom w:val="none" w:sz="0" w:space="0" w:color="auto"/>
        <w:right w:val="none" w:sz="0" w:space="0" w:color="auto"/>
      </w:divBdr>
      <w:divsChild>
        <w:div w:id="230698298">
          <w:marLeft w:val="0"/>
          <w:marRight w:val="0"/>
          <w:marTop w:val="0"/>
          <w:marBottom w:val="0"/>
          <w:divBdr>
            <w:top w:val="none" w:sz="0" w:space="0" w:color="auto"/>
            <w:left w:val="none" w:sz="0" w:space="0" w:color="auto"/>
            <w:bottom w:val="none" w:sz="0" w:space="0" w:color="auto"/>
            <w:right w:val="none" w:sz="0" w:space="0" w:color="auto"/>
          </w:divBdr>
          <w:divsChild>
            <w:div w:id="1466047170">
              <w:marLeft w:val="0"/>
              <w:marRight w:val="0"/>
              <w:marTop w:val="0"/>
              <w:marBottom w:val="0"/>
              <w:divBdr>
                <w:top w:val="none" w:sz="0" w:space="0" w:color="auto"/>
                <w:left w:val="none" w:sz="0" w:space="0" w:color="auto"/>
                <w:bottom w:val="none" w:sz="0" w:space="0" w:color="auto"/>
                <w:right w:val="none" w:sz="0" w:space="0" w:color="auto"/>
              </w:divBdr>
              <w:divsChild>
                <w:div w:id="1502505181">
                  <w:marLeft w:val="285"/>
                  <w:marRight w:val="285"/>
                  <w:marTop w:val="0"/>
                  <w:marBottom w:val="0"/>
                  <w:divBdr>
                    <w:top w:val="single" w:sz="6" w:space="0" w:color="DBE3E9"/>
                    <w:left w:val="single" w:sz="6" w:space="0" w:color="DBE3E9"/>
                    <w:bottom w:val="single" w:sz="6" w:space="0" w:color="DBE3E9"/>
                    <w:right w:val="single" w:sz="6" w:space="0" w:color="DBE3E9"/>
                  </w:divBdr>
                  <w:divsChild>
                    <w:div w:id="1107971577">
                      <w:marLeft w:val="0"/>
                      <w:marRight w:val="0"/>
                      <w:marTop w:val="0"/>
                      <w:marBottom w:val="0"/>
                      <w:divBdr>
                        <w:top w:val="none" w:sz="0" w:space="0" w:color="auto"/>
                        <w:left w:val="none" w:sz="0" w:space="0" w:color="auto"/>
                        <w:bottom w:val="none" w:sz="0" w:space="0" w:color="auto"/>
                        <w:right w:val="none" w:sz="0" w:space="0" w:color="auto"/>
                      </w:divBdr>
                      <w:divsChild>
                        <w:div w:id="1855461518">
                          <w:marLeft w:val="0"/>
                          <w:marRight w:val="0"/>
                          <w:marTop w:val="0"/>
                          <w:marBottom w:val="0"/>
                          <w:divBdr>
                            <w:top w:val="none" w:sz="0" w:space="0" w:color="auto"/>
                            <w:left w:val="none" w:sz="0" w:space="0" w:color="auto"/>
                            <w:bottom w:val="none" w:sz="0" w:space="0" w:color="auto"/>
                            <w:right w:val="none" w:sz="0" w:space="0" w:color="auto"/>
                          </w:divBdr>
                          <w:divsChild>
                            <w:div w:id="1157067610">
                              <w:marLeft w:val="0"/>
                              <w:marRight w:val="0"/>
                              <w:marTop w:val="0"/>
                              <w:marBottom w:val="0"/>
                              <w:divBdr>
                                <w:top w:val="none" w:sz="0" w:space="0" w:color="auto"/>
                                <w:left w:val="none" w:sz="0" w:space="0" w:color="auto"/>
                                <w:bottom w:val="none" w:sz="0" w:space="0" w:color="auto"/>
                                <w:right w:val="none" w:sz="0" w:space="0" w:color="auto"/>
                              </w:divBdr>
                              <w:divsChild>
                                <w:div w:id="20273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3447">
                          <w:marLeft w:val="0"/>
                          <w:marRight w:val="0"/>
                          <w:marTop w:val="0"/>
                          <w:marBottom w:val="0"/>
                          <w:divBdr>
                            <w:top w:val="none" w:sz="0" w:space="0" w:color="auto"/>
                            <w:left w:val="none" w:sz="0" w:space="0" w:color="auto"/>
                            <w:bottom w:val="none" w:sz="0" w:space="0" w:color="auto"/>
                            <w:right w:val="none" w:sz="0" w:space="0" w:color="auto"/>
                          </w:divBdr>
                          <w:divsChild>
                            <w:div w:id="1345134886">
                              <w:marLeft w:val="0"/>
                              <w:marRight w:val="0"/>
                              <w:marTop w:val="0"/>
                              <w:marBottom w:val="0"/>
                              <w:divBdr>
                                <w:top w:val="none" w:sz="0" w:space="0" w:color="auto"/>
                                <w:left w:val="none" w:sz="0" w:space="0" w:color="auto"/>
                                <w:bottom w:val="none" w:sz="0" w:space="0" w:color="auto"/>
                                <w:right w:val="none" w:sz="0" w:space="0" w:color="auto"/>
                              </w:divBdr>
                              <w:divsChild>
                                <w:div w:id="194581627">
                                  <w:marLeft w:val="0"/>
                                  <w:marRight w:val="0"/>
                                  <w:marTop w:val="0"/>
                                  <w:marBottom w:val="0"/>
                                  <w:divBdr>
                                    <w:top w:val="none" w:sz="0" w:space="0" w:color="auto"/>
                                    <w:left w:val="none" w:sz="0" w:space="0" w:color="auto"/>
                                    <w:bottom w:val="none" w:sz="0" w:space="0" w:color="auto"/>
                                    <w:right w:val="none" w:sz="0" w:space="0" w:color="auto"/>
                                  </w:divBdr>
                                </w:div>
                                <w:div w:id="896667511">
                                  <w:marLeft w:val="0"/>
                                  <w:marRight w:val="0"/>
                                  <w:marTop w:val="0"/>
                                  <w:marBottom w:val="0"/>
                                  <w:divBdr>
                                    <w:top w:val="none" w:sz="0" w:space="0" w:color="auto"/>
                                    <w:left w:val="none" w:sz="0" w:space="0" w:color="auto"/>
                                    <w:bottom w:val="none" w:sz="0" w:space="0" w:color="auto"/>
                                    <w:right w:val="none" w:sz="0" w:space="0" w:color="auto"/>
                                  </w:divBdr>
                                </w:div>
                              </w:divsChild>
                            </w:div>
                            <w:div w:id="10445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4198">
                  <w:marLeft w:val="0"/>
                  <w:marRight w:val="0"/>
                  <w:marTop w:val="0"/>
                  <w:marBottom w:val="0"/>
                  <w:divBdr>
                    <w:top w:val="single" w:sz="6" w:space="9" w:color="DBE3E9"/>
                    <w:left w:val="single" w:sz="6" w:space="9" w:color="DBE3E9"/>
                    <w:bottom w:val="single" w:sz="6" w:space="9" w:color="DBE3E9"/>
                    <w:right w:val="single" w:sz="6" w:space="9" w:color="DBE3E9"/>
                  </w:divBdr>
                  <w:divsChild>
                    <w:div w:id="1299530576">
                      <w:marLeft w:val="0"/>
                      <w:marRight w:val="0"/>
                      <w:marTop w:val="0"/>
                      <w:marBottom w:val="0"/>
                      <w:divBdr>
                        <w:top w:val="none" w:sz="0" w:space="0" w:color="auto"/>
                        <w:left w:val="none" w:sz="0" w:space="0" w:color="auto"/>
                        <w:bottom w:val="none" w:sz="0" w:space="0" w:color="auto"/>
                        <w:right w:val="none" w:sz="0" w:space="0" w:color="auto"/>
                      </w:divBdr>
                      <w:divsChild>
                        <w:div w:id="674455879">
                          <w:marLeft w:val="0"/>
                          <w:marRight w:val="0"/>
                          <w:marTop w:val="0"/>
                          <w:marBottom w:val="0"/>
                          <w:divBdr>
                            <w:top w:val="none" w:sz="0" w:space="0" w:color="auto"/>
                            <w:left w:val="none" w:sz="0" w:space="0" w:color="auto"/>
                            <w:bottom w:val="none" w:sz="0" w:space="0" w:color="auto"/>
                            <w:right w:val="none" w:sz="0" w:space="0" w:color="auto"/>
                          </w:divBdr>
                          <w:divsChild>
                            <w:div w:id="167864752">
                              <w:marLeft w:val="0"/>
                              <w:marRight w:val="0"/>
                              <w:marTop w:val="0"/>
                              <w:marBottom w:val="0"/>
                              <w:divBdr>
                                <w:top w:val="none" w:sz="0" w:space="0" w:color="auto"/>
                                <w:left w:val="none" w:sz="0" w:space="0" w:color="auto"/>
                                <w:bottom w:val="none" w:sz="0" w:space="0" w:color="auto"/>
                                <w:right w:val="none" w:sz="0" w:space="0" w:color="auto"/>
                              </w:divBdr>
                              <w:divsChild>
                                <w:div w:id="1167860471">
                                  <w:marLeft w:val="0"/>
                                  <w:marRight w:val="0"/>
                                  <w:marTop w:val="0"/>
                                  <w:marBottom w:val="0"/>
                                  <w:divBdr>
                                    <w:top w:val="single" w:sz="6" w:space="0" w:color="E4E4E4"/>
                                    <w:left w:val="single" w:sz="6" w:space="0" w:color="E4E4E4"/>
                                    <w:bottom w:val="single" w:sz="6" w:space="0" w:color="E4E4E4"/>
                                    <w:right w:val="single" w:sz="6" w:space="0" w:color="E4E4E4"/>
                                  </w:divBdr>
                                  <w:divsChild>
                                    <w:div w:id="2128623351">
                                      <w:marLeft w:val="0"/>
                                      <w:marRight w:val="0"/>
                                      <w:marTop w:val="0"/>
                                      <w:marBottom w:val="0"/>
                                      <w:divBdr>
                                        <w:top w:val="none" w:sz="0" w:space="0" w:color="auto"/>
                                        <w:left w:val="none" w:sz="0" w:space="0" w:color="auto"/>
                                        <w:bottom w:val="none" w:sz="0" w:space="0" w:color="auto"/>
                                        <w:right w:val="none" w:sz="0" w:space="0" w:color="auto"/>
                                      </w:divBdr>
                                      <w:divsChild>
                                        <w:div w:id="2066250088">
                                          <w:marLeft w:val="0"/>
                                          <w:marRight w:val="0"/>
                                          <w:marTop w:val="0"/>
                                          <w:marBottom w:val="0"/>
                                          <w:divBdr>
                                            <w:top w:val="none" w:sz="0" w:space="0" w:color="auto"/>
                                            <w:left w:val="none" w:sz="0" w:space="0" w:color="auto"/>
                                            <w:bottom w:val="none" w:sz="0" w:space="0" w:color="auto"/>
                                            <w:right w:val="none" w:sz="0" w:space="0" w:color="auto"/>
                                          </w:divBdr>
                                        </w:div>
                                        <w:div w:id="989363432">
                                          <w:marLeft w:val="0"/>
                                          <w:marRight w:val="0"/>
                                          <w:marTop w:val="0"/>
                                          <w:marBottom w:val="0"/>
                                          <w:divBdr>
                                            <w:top w:val="none" w:sz="0" w:space="0" w:color="auto"/>
                                            <w:left w:val="none" w:sz="0" w:space="0" w:color="auto"/>
                                            <w:bottom w:val="none" w:sz="0" w:space="0" w:color="auto"/>
                                            <w:right w:val="none" w:sz="0" w:space="0" w:color="auto"/>
                                          </w:divBdr>
                                          <w:divsChild>
                                            <w:div w:id="918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0213">
                                      <w:marLeft w:val="0"/>
                                      <w:marRight w:val="0"/>
                                      <w:marTop w:val="0"/>
                                      <w:marBottom w:val="0"/>
                                      <w:divBdr>
                                        <w:top w:val="none" w:sz="0" w:space="0" w:color="auto"/>
                                        <w:left w:val="none" w:sz="0" w:space="0" w:color="auto"/>
                                        <w:bottom w:val="none" w:sz="0" w:space="0" w:color="auto"/>
                                        <w:right w:val="none" w:sz="0" w:space="0" w:color="auto"/>
                                      </w:divBdr>
                                      <w:divsChild>
                                        <w:div w:id="1180388717">
                                          <w:marLeft w:val="0"/>
                                          <w:marRight w:val="0"/>
                                          <w:marTop w:val="0"/>
                                          <w:marBottom w:val="0"/>
                                          <w:divBdr>
                                            <w:top w:val="none" w:sz="0" w:space="0" w:color="auto"/>
                                            <w:left w:val="none" w:sz="0" w:space="0" w:color="auto"/>
                                            <w:bottom w:val="none" w:sz="0" w:space="0" w:color="auto"/>
                                            <w:right w:val="none" w:sz="0" w:space="0" w:color="auto"/>
                                          </w:divBdr>
                                        </w:div>
                                        <w:div w:id="1900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89123">
                                  <w:marLeft w:val="0"/>
                                  <w:marRight w:val="0"/>
                                  <w:marTop w:val="0"/>
                                  <w:marBottom w:val="0"/>
                                  <w:divBdr>
                                    <w:top w:val="single" w:sz="6" w:space="0" w:color="E4E4E4"/>
                                    <w:left w:val="single" w:sz="6" w:space="0" w:color="E4E4E4"/>
                                    <w:bottom w:val="single" w:sz="6" w:space="0" w:color="E4E4E4"/>
                                    <w:right w:val="single" w:sz="6" w:space="0" w:color="E4E4E4"/>
                                  </w:divBdr>
                                  <w:divsChild>
                                    <w:div w:id="1790666785">
                                      <w:marLeft w:val="0"/>
                                      <w:marRight w:val="0"/>
                                      <w:marTop w:val="0"/>
                                      <w:marBottom w:val="0"/>
                                      <w:divBdr>
                                        <w:top w:val="none" w:sz="0" w:space="0" w:color="auto"/>
                                        <w:left w:val="none" w:sz="0" w:space="0" w:color="auto"/>
                                        <w:bottom w:val="none" w:sz="0" w:space="0" w:color="auto"/>
                                        <w:right w:val="none" w:sz="0" w:space="0" w:color="auto"/>
                                      </w:divBdr>
                                    </w:div>
                                    <w:div w:id="16886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01792">
          <w:marLeft w:val="0"/>
          <w:marRight w:val="0"/>
          <w:marTop w:val="0"/>
          <w:marBottom w:val="0"/>
          <w:divBdr>
            <w:top w:val="none" w:sz="0" w:space="0" w:color="auto"/>
            <w:left w:val="none" w:sz="0" w:space="0" w:color="auto"/>
            <w:bottom w:val="none" w:sz="0" w:space="0" w:color="auto"/>
            <w:right w:val="none" w:sz="0" w:space="0" w:color="auto"/>
          </w:divBdr>
          <w:divsChild>
            <w:div w:id="128089250">
              <w:marLeft w:val="0"/>
              <w:marRight w:val="0"/>
              <w:marTop w:val="0"/>
              <w:marBottom w:val="0"/>
              <w:divBdr>
                <w:top w:val="single" w:sz="6" w:space="0" w:color="0F804A"/>
                <w:left w:val="single" w:sz="6" w:space="0" w:color="0F804A"/>
                <w:bottom w:val="single" w:sz="6" w:space="0" w:color="0F804A"/>
                <w:right w:val="single" w:sz="6" w:space="0" w:color="0F804A"/>
              </w:divBdr>
              <w:divsChild>
                <w:div w:id="216406004">
                  <w:marLeft w:val="0"/>
                  <w:marRight w:val="0"/>
                  <w:marTop w:val="0"/>
                  <w:marBottom w:val="0"/>
                  <w:divBdr>
                    <w:top w:val="none" w:sz="0" w:space="0" w:color="auto"/>
                    <w:left w:val="none" w:sz="0" w:space="0" w:color="auto"/>
                    <w:bottom w:val="none" w:sz="0" w:space="0" w:color="auto"/>
                    <w:right w:val="none" w:sz="0" w:space="0" w:color="auto"/>
                  </w:divBdr>
                </w:div>
              </w:divsChild>
            </w:div>
            <w:div w:id="1885824830">
              <w:marLeft w:val="0"/>
              <w:marRight w:val="0"/>
              <w:marTop w:val="0"/>
              <w:marBottom w:val="0"/>
              <w:divBdr>
                <w:top w:val="none" w:sz="0" w:space="0" w:color="auto"/>
                <w:left w:val="none" w:sz="0" w:space="0" w:color="auto"/>
                <w:bottom w:val="none" w:sz="0" w:space="0" w:color="auto"/>
                <w:right w:val="none" w:sz="0" w:space="0" w:color="auto"/>
              </w:divBdr>
            </w:div>
          </w:divsChild>
        </w:div>
        <w:div w:id="1621643140">
          <w:marLeft w:val="0"/>
          <w:marRight w:val="0"/>
          <w:marTop w:val="0"/>
          <w:marBottom w:val="0"/>
          <w:divBdr>
            <w:top w:val="none" w:sz="0" w:space="0" w:color="auto"/>
            <w:left w:val="none" w:sz="0" w:space="0" w:color="auto"/>
            <w:bottom w:val="none" w:sz="0" w:space="0" w:color="auto"/>
            <w:right w:val="none" w:sz="0" w:space="0" w:color="auto"/>
          </w:divBdr>
          <w:divsChild>
            <w:div w:id="460877339">
              <w:marLeft w:val="0"/>
              <w:marRight w:val="0"/>
              <w:marTop w:val="0"/>
              <w:marBottom w:val="0"/>
              <w:divBdr>
                <w:top w:val="single" w:sz="6" w:space="0" w:color="DBE3E9"/>
                <w:left w:val="single" w:sz="6" w:space="0" w:color="DBE3E9"/>
                <w:bottom w:val="single" w:sz="6" w:space="0" w:color="DBE3E9"/>
                <w:right w:val="single" w:sz="6" w:space="0" w:color="DBE3E9"/>
              </w:divBdr>
            </w:div>
            <w:div w:id="226914885">
              <w:marLeft w:val="0"/>
              <w:marRight w:val="0"/>
              <w:marTop w:val="0"/>
              <w:marBottom w:val="0"/>
              <w:divBdr>
                <w:top w:val="none" w:sz="0" w:space="0" w:color="auto"/>
                <w:left w:val="none" w:sz="0" w:space="0" w:color="auto"/>
                <w:bottom w:val="none" w:sz="0" w:space="0" w:color="auto"/>
                <w:right w:val="none" w:sz="0" w:space="0" w:color="auto"/>
              </w:divBdr>
              <w:divsChild>
                <w:div w:id="131363835">
                  <w:marLeft w:val="0"/>
                  <w:marRight w:val="0"/>
                  <w:marTop w:val="0"/>
                  <w:marBottom w:val="0"/>
                  <w:divBdr>
                    <w:top w:val="none" w:sz="0" w:space="0" w:color="auto"/>
                    <w:left w:val="none" w:sz="0" w:space="0" w:color="auto"/>
                    <w:bottom w:val="none" w:sz="0" w:space="0" w:color="auto"/>
                    <w:right w:val="none" w:sz="0" w:space="0" w:color="auto"/>
                  </w:divBdr>
                  <w:divsChild>
                    <w:div w:id="1589147576">
                      <w:marLeft w:val="0"/>
                      <w:marRight w:val="0"/>
                      <w:marTop w:val="0"/>
                      <w:marBottom w:val="0"/>
                      <w:divBdr>
                        <w:top w:val="none" w:sz="0" w:space="0" w:color="auto"/>
                        <w:left w:val="none" w:sz="0" w:space="0" w:color="auto"/>
                        <w:bottom w:val="none" w:sz="0" w:space="0" w:color="auto"/>
                        <w:right w:val="none" w:sz="0" w:space="0" w:color="auto"/>
                      </w:divBdr>
                      <w:divsChild>
                        <w:div w:id="1022365613">
                          <w:marLeft w:val="0"/>
                          <w:marRight w:val="0"/>
                          <w:marTop w:val="0"/>
                          <w:marBottom w:val="0"/>
                          <w:divBdr>
                            <w:top w:val="none" w:sz="0" w:space="0" w:color="auto"/>
                            <w:left w:val="none" w:sz="0" w:space="0" w:color="auto"/>
                            <w:bottom w:val="none" w:sz="0" w:space="0" w:color="auto"/>
                            <w:right w:val="none" w:sz="0" w:space="0" w:color="auto"/>
                          </w:divBdr>
                        </w:div>
                      </w:divsChild>
                    </w:div>
                    <w:div w:id="139157648">
                      <w:marLeft w:val="0"/>
                      <w:marRight w:val="0"/>
                      <w:marTop w:val="0"/>
                      <w:marBottom w:val="0"/>
                      <w:divBdr>
                        <w:top w:val="single" w:sz="6" w:space="0" w:color="D8E3EE"/>
                        <w:left w:val="single" w:sz="6" w:space="0" w:color="D8E3EE"/>
                        <w:bottom w:val="single" w:sz="6" w:space="0" w:color="D8E3EE"/>
                        <w:right w:val="single" w:sz="6" w:space="0" w:color="D8E3EE"/>
                      </w:divBdr>
                      <w:divsChild>
                        <w:div w:id="1892570662">
                          <w:marLeft w:val="0"/>
                          <w:marRight w:val="0"/>
                          <w:marTop w:val="0"/>
                          <w:marBottom w:val="0"/>
                          <w:divBdr>
                            <w:top w:val="none" w:sz="0" w:space="0" w:color="auto"/>
                            <w:left w:val="none" w:sz="0" w:space="0" w:color="auto"/>
                            <w:bottom w:val="single" w:sz="6" w:space="0" w:color="D8E3EE"/>
                            <w:right w:val="none" w:sz="0" w:space="0" w:color="auto"/>
                          </w:divBdr>
                        </w:div>
                        <w:div w:id="250701964">
                          <w:marLeft w:val="0"/>
                          <w:marRight w:val="0"/>
                          <w:marTop w:val="0"/>
                          <w:marBottom w:val="0"/>
                          <w:divBdr>
                            <w:top w:val="none" w:sz="0" w:space="0" w:color="auto"/>
                            <w:left w:val="none" w:sz="0" w:space="0" w:color="auto"/>
                            <w:bottom w:val="none" w:sz="0" w:space="0" w:color="auto"/>
                            <w:right w:val="none" w:sz="0" w:space="0" w:color="auto"/>
                          </w:divBdr>
                        </w:div>
                        <w:div w:id="1610579515">
                          <w:marLeft w:val="0"/>
                          <w:marRight w:val="0"/>
                          <w:marTop w:val="0"/>
                          <w:marBottom w:val="0"/>
                          <w:divBdr>
                            <w:top w:val="none" w:sz="0" w:space="0" w:color="auto"/>
                            <w:left w:val="none" w:sz="0" w:space="0" w:color="auto"/>
                            <w:bottom w:val="none" w:sz="0" w:space="0" w:color="auto"/>
                            <w:right w:val="none" w:sz="0" w:space="0" w:color="auto"/>
                          </w:divBdr>
                        </w:div>
                        <w:div w:id="1470325155">
                          <w:marLeft w:val="0"/>
                          <w:marRight w:val="0"/>
                          <w:marTop w:val="0"/>
                          <w:marBottom w:val="0"/>
                          <w:divBdr>
                            <w:top w:val="none" w:sz="0" w:space="0" w:color="auto"/>
                            <w:left w:val="none" w:sz="0" w:space="0" w:color="auto"/>
                            <w:bottom w:val="none" w:sz="0" w:space="0" w:color="auto"/>
                            <w:right w:val="none" w:sz="0" w:space="0" w:color="auto"/>
                          </w:divBdr>
                        </w:div>
                        <w:div w:id="1480221318">
                          <w:marLeft w:val="0"/>
                          <w:marRight w:val="0"/>
                          <w:marTop w:val="0"/>
                          <w:marBottom w:val="0"/>
                          <w:divBdr>
                            <w:top w:val="none" w:sz="0" w:space="0" w:color="auto"/>
                            <w:left w:val="none" w:sz="0" w:space="0" w:color="auto"/>
                            <w:bottom w:val="none" w:sz="0" w:space="0" w:color="auto"/>
                            <w:right w:val="none" w:sz="0" w:space="0" w:color="auto"/>
                          </w:divBdr>
                        </w:div>
                        <w:div w:id="1165362789">
                          <w:marLeft w:val="0"/>
                          <w:marRight w:val="0"/>
                          <w:marTop w:val="0"/>
                          <w:marBottom w:val="0"/>
                          <w:divBdr>
                            <w:top w:val="none" w:sz="0" w:space="0" w:color="auto"/>
                            <w:left w:val="none" w:sz="0" w:space="0" w:color="auto"/>
                            <w:bottom w:val="none" w:sz="0" w:space="0" w:color="auto"/>
                            <w:right w:val="none" w:sz="0" w:space="0" w:color="auto"/>
                          </w:divBdr>
                        </w:div>
                        <w:div w:id="1514538685">
                          <w:marLeft w:val="0"/>
                          <w:marRight w:val="0"/>
                          <w:marTop w:val="0"/>
                          <w:marBottom w:val="0"/>
                          <w:divBdr>
                            <w:top w:val="none" w:sz="0" w:space="0" w:color="auto"/>
                            <w:left w:val="none" w:sz="0" w:space="0" w:color="auto"/>
                            <w:bottom w:val="none" w:sz="0" w:space="0" w:color="auto"/>
                            <w:right w:val="none" w:sz="0" w:space="0" w:color="auto"/>
                          </w:divBdr>
                        </w:div>
                        <w:div w:id="257636699">
                          <w:marLeft w:val="0"/>
                          <w:marRight w:val="0"/>
                          <w:marTop w:val="0"/>
                          <w:marBottom w:val="0"/>
                          <w:divBdr>
                            <w:top w:val="none" w:sz="0" w:space="0" w:color="auto"/>
                            <w:left w:val="none" w:sz="0" w:space="0" w:color="auto"/>
                            <w:bottom w:val="none" w:sz="0" w:space="0" w:color="auto"/>
                            <w:right w:val="none" w:sz="0" w:space="0" w:color="auto"/>
                          </w:divBdr>
                        </w:div>
                        <w:div w:id="66922138">
                          <w:marLeft w:val="0"/>
                          <w:marRight w:val="0"/>
                          <w:marTop w:val="0"/>
                          <w:marBottom w:val="0"/>
                          <w:divBdr>
                            <w:top w:val="none" w:sz="0" w:space="0" w:color="auto"/>
                            <w:left w:val="none" w:sz="0" w:space="0" w:color="auto"/>
                            <w:bottom w:val="none" w:sz="0" w:space="0" w:color="auto"/>
                            <w:right w:val="none" w:sz="0" w:space="0" w:color="auto"/>
                          </w:divBdr>
                        </w:div>
                        <w:div w:id="1925452478">
                          <w:marLeft w:val="0"/>
                          <w:marRight w:val="0"/>
                          <w:marTop w:val="0"/>
                          <w:marBottom w:val="0"/>
                          <w:divBdr>
                            <w:top w:val="none" w:sz="0" w:space="0" w:color="auto"/>
                            <w:left w:val="none" w:sz="0" w:space="0" w:color="auto"/>
                            <w:bottom w:val="none" w:sz="0" w:space="0" w:color="auto"/>
                            <w:right w:val="none" w:sz="0" w:space="0" w:color="auto"/>
                          </w:divBdr>
                        </w:div>
                        <w:div w:id="39980987">
                          <w:marLeft w:val="0"/>
                          <w:marRight w:val="0"/>
                          <w:marTop w:val="0"/>
                          <w:marBottom w:val="0"/>
                          <w:divBdr>
                            <w:top w:val="none" w:sz="0" w:space="0" w:color="auto"/>
                            <w:left w:val="none" w:sz="0" w:space="0" w:color="auto"/>
                            <w:bottom w:val="none" w:sz="0" w:space="0" w:color="auto"/>
                            <w:right w:val="none" w:sz="0" w:space="0" w:color="auto"/>
                          </w:divBdr>
                        </w:div>
                      </w:divsChild>
                    </w:div>
                    <w:div w:id="988438295">
                      <w:marLeft w:val="0"/>
                      <w:marRight w:val="0"/>
                      <w:marTop w:val="0"/>
                      <w:marBottom w:val="0"/>
                      <w:divBdr>
                        <w:top w:val="single" w:sz="6" w:space="0" w:color="D8E3EE"/>
                        <w:left w:val="single" w:sz="6" w:space="0" w:color="D8E3EE"/>
                        <w:bottom w:val="single" w:sz="6" w:space="0" w:color="D8E3EE"/>
                        <w:right w:val="single" w:sz="6" w:space="0" w:color="D8E3EE"/>
                      </w:divBdr>
                      <w:divsChild>
                        <w:div w:id="196629858">
                          <w:marLeft w:val="0"/>
                          <w:marRight w:val="0"/>
                          <w:marTop w:val="0"/>
                          <w:marBottom w:val="0"/>
                          <w:divBdr>
                            <w:top w:val="none" w:sz="0" w:space="0" w:color="auto"/>
                            <w:left w:val="none" w:sz="0" w:space="0" w:color="auto"/>
                            <w:bottom w:val="single" w:sz="6" w:space="0" w:color="D8E3EE"/>
                            <w:right w:val="none" w:sz="0" w:space="0" w:color="auto"/>
                          </w:divBdr>
                        </w:div>
                        <w:div w:id="584266522">
                          <w:marLeft w:val="0"/>
                          <w:marRight w:val="0"/>
                          <w:marTop w:val="0"/>
                          <w:marBottom w:val="0"/>
                          <w:divBdr>
                            <w:top w:val="none" w:sz="0" w:space="0" w:color="auto"/>
                            <w:left w:val="none" w:sz="0" w:space="0" w:color="auto"/>
                            <w:bottom w:val="none" w:sz="0" w:space="0" w:color="auto"/>
                            <w:right w:val="none" w:sz="0" w:space="0" w:color="auto"/>
                          </w:divBdr>
                        </w:div>
                        <w:div w:id="334654570">
                          <w:marLeft w:val="0"/>
                          <w:marRight w:val="0"/>
                          <w:marTop w:val="0"/>
                          <w:marBottom w:val="0"/>
                          <w:divBdr>
                            <w:top w:val="none" w:sz="0" w:space="0" w:color="auto"/>
                            <w:left w:val="none" w:sz="0" w:space="0" w:color="auto"/>
                            <w:bottom w:val="none" w:sz="0" w:space="0" w:color="auto"/>
                            <w:right w:val="none" w:sz="0" w:space="0" w:color="auto"/>
                          </w:divBdr>
                        </w:div>
                        <w:div w:id="1133526434">
                          <w:marLeft w:val="0"/>
                          <w:marRight w:val="0"/>
                          <w:marTop w:val="0"/>
                          <w:marBottom w:val="0"/>
                          <w:divBdr>
                            <w:top w:val="none" w:sz="0" w:space="0" w:color="auto"/>
                            <w:left w:val="none" w:sz="0" w:space="0" w:color="auto"/>
                            <w:bottom w:val="none" w:sz="0" w:space="0" w:color="auto"/>
                            <w:right w:val="none" w:sz="0" w:space="0" w:color="auto"/>
                          </w:divBdr>
                        </w:div>
                        <w:div w:id="7342381">
                          <w:marLeft w:val="0"/>
                          <w:marRight w:val="0"/>
                          <w:marTop w:val="0"/>
                          <w:marBottom w:val="0"/>
                          <w:divBdr>
                            <w:top w:val="none" w:sz="0" w:space="0" w:color="auto"/>
                            <w:left w:val="none" w:sz="0" w:space="0" w:color="auto"/>
                            <w:bottom w:val="none" w:sz="0" w:space="0" w:color="auto"/>
                            <w:right w:val="none" w:sz="0" w:space="0" w:color="auto"/>
                          </w:divBdr>
                        </w:div>
                        <w:div w:id="185020908">
                          <w:marLeft w:val="0"/>
                          <w:marRight w:val="0"/>
                          <w:marTop w:val="0"/>
                          <w:marBottom w:val="0"/>
                          <w:divBdr>
                            <w:top w:val="none" w:sz="0" w:space="0" w:color="auto"/>
                            <w:left w:val="none" w:sz="0" w:space="0" w:color="auto"/>
                            <w:bottom w:val="none" w:sz="0" w:space="0" w:color="auto"/>
                            <w:right w:val="none" w:sz="0" w:space="0" w:color="auto"/>
                          </w:divBdr>
                        </w:div>
                        <w:div w:id="999574253">
                          <w:marLeft w:val="0"/>
                          <w:marRight w:val="0"/>
                          <w:marTop w:val="0"/>
                          <w:marBottom w:val="0"/>
                          <w:divBdr>
                            <w:top w:val="none" w:sz="0" w:space="0" w:color="auto"/>
                            <w:left w:val="none" w:sz="0" w:space="0" w:color="auto"/>
                            <w:bottom w:val="none" w:sz="0" w:space="0" w:color="auto"/>
                            <w:right w:val="none" w:sz="0" w:space="0" w:color="auto"/>
                          </w:divBdr>
                        </w:div>
                        <w:div w:id="2145074248">
                          <w:marLeft w:val="0"/>
                          <w:marRight w:val="0"/>
                          <w:marTop w:val="0"/>
                          <w:marBottom w:val="0"/>
                          <w:divBdr>
                            <w:top w:val="none" w:sz="0" w:space="0" w:color="auto"/>
                            <w:left w:val="none" w:sz="0" w:space="0" w:color="auto"/>
                            <w:bottom w:val="none" w:sz="0" w:space="0" w:color="auto"/>
                            <w:right w:val="none" w:sz="0" w:space="0" w:color="auto"/>
                          </w:divBdr>
                        </w:div>
                        <w:div w:id="685593792">
                          <w:marLeft w:val="0"/>
                          <w:marRight w:val="0"/>
                          <w:marTop w:val="0"/>
                          <w:marBottom w:val="0"/>
                          <w:divBdr>
                            <w:top w:val="none" w:sz="0" w:space="0" w:color="auto"/>
                            <w:left w:val="none" w:sz="0" w:space="0" w:color="auto"/>
                            <w:bottom w:val="none" w:sz="0" w:space="0" w:color="auto"/>
                            <w:right w:val="none" w:sz="0" w:space="0" w:color="auto"/>
                          </w:divBdr>
                        </w:div>
                        <w:div w:id="1668827919">
                          <w:marLeft w:val="0"/>
                          <w:marRight w:val="0"/>
                          <w:marTop w:val="0"/>
                          <w:marBottom w:val="0"/>
                          <w:divBdr>
                            <w:top w:val="none" w:sz="0" w:space="0" w:color="auto"/>
                            <w:left w:val="none" w:sz="0" w:space="0" w:color="auto"/>
                            <w:bottom w:val="none" w:sz="0" w:space="0" w:color="auto"/>
                            <w:right w:val="none" w:sz="0" w:space="0" w:color="auto"/>
                          </w:divBdr>
                        </w:div>
                        <w:div w:id="211700127">
                          <w:marLeft w:val="0"/>
                          <w:marRight w:val="0"/>
                          <w:marTop w:val="0"/>
                          <w:marBottom w:val="0"/>
                          <w:divBdr>
                            <w:top w:val="none" w:sz="0" w:space="0" w:color="auto"/>
                            <w:left w:val="none" w:sz="0" w:space="0" w:color="auto"/>
                            <w:bottom w:val="none" w:sz="0" w:space="0" w:color="auto"/>
                            <w:right w:val="none" w:sz="0" w:space="0" w:color="auto"/>
                          </w:divBdr>
                        </w:div>
                        <w:div w:id="2118670607">
                          <w:marLeft w:val="0"/>
                          <w:marRight w:val="0"/>
                          <w:marTop w:val="0"/>
                          <w:marBottom w:val="0"/>
                          <w:divBdr>
                            <w:top w:val="none" w:sz="0" w:space="0" w:color="auto"/>
                            <w:left w:val="none" w:sz="0" w:space="0" w:color="auto"/>
                            <w:bottom w:val="none" w:sz="0" w:space="0" w:color="auto"/>
                            <w:right w:val="none" w:sz="0" w:space="0" w:color="auto"/>
                          </w:divBdr>
                        </w:div>
                        <w:div w:id="1203905832">
                          <w:marLeft w:val="0"/>
                          <w:marRight w:val="0"/>
                          <w:marTop w:val="0"/>
                          <w:marBottom w:val="0"/>
                          <w:divBdr>
                            <w:top w:val="none" w:sz="0" w:space="0" w:color="auto"/>
                            <w:left w:val="none" w:sz="0" w:space="0" w:color="auto"/>
                            <w:bottom w:val="none" w:sz="0" w:space="0" w:color="auto"/>
                            <w:right w:val="none" w:sz="0" w:space="0" w:color="auto"/>
                          </w:divBdr>
                        </w:div>
                        <w:div w:id="2115206951">
                          <w:marLeft w:val="0"/>
                          <w:marRight w:val="0"/>
                          <w:marTop w:val="0"/>
                          <w:marBottom w:val="0"/>
                          <w:divBdr>
                            <w:top w:val="none" w:sz="0" w:space="0" w:color="auto"/>
                            <w:left w:val="none" w:sz="0" w:space="0" w:color="auto"/>
                            <w:bottom w:val="none" w:sz="0" w:space="0" w:color="auto"/>
                            <w:right w:val="none" w:sz="0" w:space="0" w:color="auto"/>
                          </w:divBdr>
                        </w:div>
                        <w:div w:id="6214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71789">
          <w:marLeft w:val="0"/>
          <w:marRight w:val="0"/>
          <w:marTop w:val="0"/>
          <w:marBottom w:val="0"/>
          <w:divBdr>
            <w:top w:val="none" w:sz="0" w:space="0" w:color="auto"/>
            <w:left w:val="none" w:sz="0" w:space="0" w:color="auto"/>
            <w:bottom w:val="none" w:sz="0" w:space="0" w:color="auto"/>
            <w:right w:val="none" w:sz="0" w:space="0" w:color="auto"/>
          </w:divBdr>
          <w:divsChild>
            <w:div w:id="599340138">
              <w:marLeft w:val="0"/>
              <w:marRight w:val="0"/>
              <w:marTop w:val="0"/>
              <w:marBottom w:val="0"/>
              <w:divBdr>
                <w:top w:val="none" w:sz="0" w:space="0" w:color="auto"/>
                <w:left w:val="none" w:sz="0" w:space="0" w:color="auto"/>
                <w:bottom w:val="none" w:sz="0" w:space="0" w:color="auto"/>
                <w:right w:val="none" w:sz="0" w:space="0" w:color="auto"/>
              </w:divBdr>
            </w:div>
          </w:divsChild>
        </w:div>
        <w:div w:id="10885366">
          <w:marLeft w:val="0"/>
          <w:marRight w:val="0"/>
          <w:marTop w:val="0"/>
          <w:marBottom w:val="0"/>
          <w:divBdr>
            <w:top w:val="none" w:sz="0" w:space="0" w:color="auto"/>
            <w:left w:val="none" w:sz="0" w:space="0" w:color="auto"/>
            <w:bottom w:val="none" w:sz="0" w:space="0" w:color="auto"/>
            <w:right w:val="none" w:sz="0" w:space="0" w:color="auto"/>
          </w:divBdr>
          <w:divsChild>
            <w:div w:id="1944802411">
              <w:marLeft w:val="0"/>
              <w:marRight w:val="0"/>
              <w:marTop w:val="0"/>
              <w:marBottom w:val="0"/>
              <w:divBdr>
                <w:top w:val="none" w:sz="0" w:space="0" w:color="auto"/>
                <w:left w:val="none" w:sz="0" w:space="0" w:color="auto"/>
                <w:bottom w:val="none" w:sz="0" w:space="0" w:color="auto"/>
                <w:right w:val="none" w:sz="0" w:space="0" w:color="auto"/>
              </w:divBdr>
            </w:div>
            <w:div w:id="580406130">
              <w:marLeft w:val="0"/>
              <w:marRight w:val="0"/>
              <w:marTop w:val="0"/>
              <w:marBottom w:val="0"/>
              <w:divBdr>
                <w:top w:val="none" w:sz="0" w:space="0" w:color="auto"/>
                <w:left w:val="none" w:sz="0" w:space="0" w:color="auto"/>
                <w:bottom w:val="none" w:sz="0" w:space="0" w:color="auto"/>
                <w:right w:val="none" w:sz="0" w:space="0" w:color="auto"/>
              </w:divBdr>
            </w:div>
            <w:div w:id="49771721">
              <w:marLeft w:val="0"/>
              <w:marRight w:val="0"/>
              <w:marTop w:val="0"/>
              <w:marBottom w:val="0"/>
              <w:divBdr>
                <w:top w:val="none" w:sz="0" w:space="0" w:color="auto"/>
                <w:left w:val="none" w:sz="0" w:space="0" w:color="auto"/>
                <w:bottom w:val="none" w:sz="0" w:space="0" w:color="auto"/>
                <w:right w:val="none" w:sz="0" w:space="0" w:color="auto"/>
              </w:divBdr>
              <w:divsChild>
                <w:div w:id="678431358">
                  <w:marLeft w:val="0"/>
                  <w:marRight w:val="0"/>
                  <w:marTop w:val="0"/>
                  <w:marBottom w:val="0"/>
                  <w:divBdr>
                    <w:top w:val="none" w:sz="0" w:space="0" w:color="auto"/>
                    <w:left w:val="none" w:sz="0" w:space="0" w:color="auto"/>
                    <w:bottom w:val="none" w:sz="0" w:space="0" w:color="auto"/>
                    <w:right w:val="none" w:sz="0" w:space="0" w:color="auto"/>
                  </w:divBdr>
                  <w:divsChild>
                    <w:div w:id="160507814">
                      <w:marLeft w:val="0"/>
                      <w:marRight w:val="-18000"/>
                      <w:marTop w:val="0"/>
                      <w:marBottom w:val="0"/>
                      <w:divBdr>
                        <w:top w:val="none" w:sz="0" w:space="0" w:color="auto"/>
                        <w:left w:val="none" w:sz="0" w:space="0" w:color="auto"/>
                        <w:bottom w:val="none" w:sz="0" w:space="0" w:color="auto"/>
                        <w:right w:val="none" w:sz="0" w:space="0" w:color="auto"/>
                      </w:divBdr>
                      <w:divsChild>
                        <w:div w:id="1768622831">
                          <w:marLeft w:val="0"/>
                          <w:marRight w:val="0"/>
                          <w:marTop w:val="0"/>
                          <w:marBottom w:val="0"/>
                          <w:divBdr>
                            <w:top w:val="none" w:sz="0" w:space="0" w:color="auto"/>
                            <w:left w:val="none" w:sz="0" w:space="0" w:color="auto"/>
                            <w:bottom w:val="none" w:sz="0" w:space="0" w:color="auto"/>
                            <w:right w:val="none" w:sz="0" w:space="0" w:color="auto"/>
                          </w:divBdr>
                          <w:divsChild>
                            <w:div w:id="1531143109">
                              <w:marLeft w:val="0"/>
                              <w:marRight w:val="0"/>
                              <w:marTop w:val="0"/>
                              <w:marBottom w:val="0"/>
                              <w:divBdr>
                                <w:top w:val="none" w:sz="0" w:space="0" w:color="auto"/>
                                <w:left w:val="none" w:sz="0" w:space="0" w:color="auto"/>
                                <w:bottom w:val="none" w:sz="0" w:space="0" w:color="auto"/>
                                <w:right w:val="none" w:sz="0" w:space="0" w:color="auto"/>
                              </w:divBdr>
                              <w:divsChild>
                                <w:div w:id="3436671">
                                  <w:marLeft w:val="0"/>
                                  <w:marRight w:val="0"/>
                                  <w:marTop w:val="0"/>
                                  <w:marBottom w:val="0"/>
                                  <w:divBdr>
                                    <w:top w:val="single" w:sz="6" w:space="0" w:color="EEEEEE"/>
                                    <w:left w:val="single" w:sz="6" w:space="0" w:color="EEEEEE"/>
                                    <w:bottom w:val="single" w:sz="6" w:space="0" w:color="EEEEEE"/>
                                    <w:right w:val="single" w:sz="6" w:space="0" w:color="EEEEEE"/>
                                  </w:divBdr>
                                  <w:divsChild>
                                    <w:div w:id="1829905436">
                                      <w:marLeft w:val="0"/>
                                      <w:marRight w:val="0"/>
                                      <w:marTop w:val="0"/>
                                      <w:marBottom w:val="0"/>
                                      <w:divBdr>
                                        <w:top w:val="none" w:sz="0" w:space="0" w:color="auto"/>
                                        <w:left w:val="none" w:sz="0" w:space="0" w:color="auto"/>
                                        <w:bottom w:val="none" w:sz="0" w:space="0" w:color="auto"/>
                                        <w:right w:val="none" w:sz="0" w:space="0" w:color="auto"/>
                                      </w:divBdr>
                                    </w:div>
                                    <w:div w:id="460076017">
                                      <w:marLeft w:val="0"/>
                                      <w:marRight w:val="0"/>
                                      <w:marTop w:val="0"/>
                                      <w:marBottom w:val="0"/>
                                      <w:divBdr>
                                        <w:top w:val="none" w:sz="0" w:space="0" w:color="auto"/>
                                        <w:left w:val="none" w:sz="0" w:space="0" w:color="auto"/>
                                        <w:bottom w:val="none" w:sz="0" w:space="0" w:color="auto"/>
                                        <w:right w:val="none" w:sz="0" w:space="0" w:color="auto"/>
                                      </w:divBdr>
                                      <w:divsChild>
                                        <w:div w:id="1232232439">
                                          <w:marLeft w:val="0"/>
                                          <w:marRight w:val="0"/>
                                          <w:marTop w:val="0"/>
                                          <w:marBottom w:val="0"/>
                                          <w:divBdr>
                                            <w:top w:val="none" w:sz="0" w:space="0" w:color="auto"/>
                                            <w:left w:val="none" w:sz="0" w:space="0" w:color="auto"/>
                                            <w:bottom w:val="none" w:sz="0" w:space="0" w:color="auto"/>
                                            <w:right w:val="none" w:sz="0" w:space="0" w:color="auto"/>
                                          </w:divBdr>
                                        </w:div>
                                      </w:divsChild>
                                    </w:div>
                                    <w:div w:id="1564633232">
                                      <w:marLeft w:val="0"/>
                                      <w:marRight w:val="0"/>
                                      <w:marTop w:val="0"/>
                                      <w:marBottom w:val="0"/>
                                      <w:divBdr>
                                        <w:top w:val="none" w:sz="0" w:space="0" w:color="auto"/>
                                        <w:left w:val="none" w:sz="0" w:space="0" w:color="auto"/>
                                        <w:bottom w:val="none" w:sz="0" w:space="0" w:color="auto"/>
                                        <w:right w:val="none" w:sz="0" w:space="0" w:color="auto"/>
                                      </w:divBdr>
                                      <w:divsChild>
                                        <w:div w:id="11210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98338">
                              <w:marLeft w:val="0"/>
                              <w:marRight w:val="0"/>
                              <w:marTop w:val="0"/>
                              <w:marBottom w:val="0"/>
                              <w:divBdr>
                                <w:top w:val="none" w:sz="0" w:space="0" w:color="auto"/>
                                <w:left w:val="none" w:sz="0" w:space="0" w:color="auto"/>
                                <w:bottom w:val="none" w:sz="0" w:space="0" w:color="auto"/>
                                <w:right w:val="none" w:sz="0" w:space="0" w:color="auto"/>
                              </w:divBdr>
                              <w:divsChild>
                                <w:div w:id="2092316141">
                                  <w:marLeft w:val="0"/>
                                  <w:marRight w:val="0"/>
                                  <w:marTop w:val="0"/>
                                  <w:marBottom w:val="0"/>
                                  <w:divBdr>
                                    <w:top w:val="single" w:sz="6" w:space="0" w:color="EEEEEE"/>
                                    <w:left w:val="single" w:sz="6" w:space="0" w:color="EEEEEE"/>
                                    <w:bottom w:val="single" w:sz="6" w:space="0" w:color="EEEEEE"/>
                                    <w:right w:val="single" w:sz="6" w:space="0" w:color="EEEEEE"/>
                                  </w:divBdr>
                                  <w:divsChild>
                                    <w:div w:id="817963697">
                                      <w:marLeft w:val="0"/>
                                      <w:marRight w:val="0"/>
                                      <w:marTop w:val="0"/>
                                      <w:marBottom w:val="0"/>
                                      <w:divBdr>
                                        <w:top w:val="none" w:sz="0" w:space="0" w:color="auto"/>
                                        <w:left w:val="none" w:sz="0" w:space="0" w:color="auto"/>
                                        <w:bottom w:val="none" w:sz="0" w:space="0" w:color="auto"/>
                                        <w:right w:val="none" w:sz="0" w:space="0" w:color="auto"/>
                                      </w:divBdr>
                                    </w:div>
                                    <w:div w:id="295453585">
                                      <w:marLeft w:val="0"/>
                                      <w:marRight w:val="0"/>
                                      <w:marTop w:val="0"/>
                                      <w:marBottom w:val="0"/>
                                      <w:divBdr>
                                        <w:top w:val="none" w:sz="0" w:space="0" w:color="auto"/>
                                        <w:left w:val="none" w:sz="0" w:space="0" w:color="auto"/>
                                        <w:bottom w:val="none" w:sz="0" w:space="0" w:color="auto"/>
                                        <w:right w:val="none" w:sz="0" w:space="0" w:color="auto"/>
                                      </w:divBdr>
                                      <w:divsChild>
                                        <w:div w:id="1908373633">
                                          <w:marLeft w:val="0"/>
                                          <w:marRight w:val="0"/>
                                          <w:marTop w:val="0"/>
                                          <w:marBottom w:val="0"/>
                                          <w:divBdr>
                                            <w:top w:val="none" w:sz="0" w:space="0" w:color="auto"/>
                                            <w:left w:val="none" w:sz="0" w:space="0" w:color="auto"/>
                                            <w:bottom w:val="none" w:sz="0" w:space="0" w:color="auto"/>
                                            <w:right w:val="none" w:sz="0" w:space="0" w:color="auto"/>
                                          </w:divBdr>
                                        </w:div>
                                      </w:divsChild>
                                    </w:div>
                                    <w:div w:id="493642021">
                                      <w:marLeft w:val="0"/>
                                      <w:marRight w:val="0"/>
                                      <w:marTop w:val="0"/>
                                      <w:marBottom w:val="0"/>
                                      <w:divBdr>
                                        <w:top w:val="none" w:sz="0" w:space="0" w:color="auto"/>
                                        <w:left w:val="none" w:sz="0" w:space="0" w:color="auto"/>
                                        <w:bottom w:val="none" w:sz="0" w:space="0" w:color="auto"/>
                                        <w:right w:val="none" w:sz="0" w:space="0" w:color="auto"/>
                                      </w:divBdr>
                                      <w:divsChild>
                                        <w:div w:id="5798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5601">
                              <w:marLeft w:val="0"/>
                              <w:marRight w:val="0"/>
                              <w:marTop w:val="0"/>
                              <w:marBottom w:val="0"/>
                              <w:divBdr>
                                <w:top w:val="none" w:sz="0" w:space="0" w:color="auto"/>
                                <w:left w:val="none" w:sz="0" w:space="0" w:color="auto"/>
                                <w:bottom w:val="none" w:sz="0" w:space="0" w:color="auto"/>
                                <w:right w:val="none" w:sz="0" w:space="0" w:color="auto"/>
                              </w:divBdr>
                              <w:divsChild>
                                <w:div w:id="838733317">
                                  <w:marLeft w:val="0"/>
                                  <w:marRight w:val="0"/>
                                  <w:marTop w:val="0"/>
                                  <w:marBottom w:val="0"/>
                                  <w:divBdr>
                                    <w:top w:val="single" w:sz="6" w:space="0" w:color="EEEEEE"/>
                                    <w:left w:val="single" w:sz="6" w:space="0" w:color="EEEEEE"/>
                                    <w:bottom w:val="single" w:sz="6" w:space="0" w:color="EEEEEE"/>
                                    <w:right w:val="single" w:sz="6" w:space="0" w:color="EEEEEE"/>
                                  </w:divBdr>
                                  <w:divsChild>
                                    <w:div w:id="739903939">
                                      <w:marLeft w:val="0"/>
                                      <w:marRight w:val="0"/>
                                      <w:marTop w:val="0"/>
                                      <w:marBottom w:val="0"/>
                                      <w:divBdr>
                                        <w:top w:val="none" w:sz="0" w:space="0" w:color="auto"/>
                                        <w:left w:val="none" w:sz="0" w:space="0" w:color="auto"/>
                                        <w:bottom w:val="none" w:sz="0" w:space="0" w:color="auto"/>
                                        <w:right w:val="none" w:sz="0" w:space="0" w:color="auto"/>
                                      </w:divBdr>
                                    </w:div>
                                    <w:div w:id="728307552">
                                      <w:marLeft w:val="0"/>
                                      <w:marRight w:val="0"/>
                                      <w:marTop w:val="0"/>
                                      <w:marBottom w:val="0"/>
                                      <w:divBdr>
                                        <w:top w:val="none" w:sz="0" w:space="0" w:color="auto"/>
                                        <w:left w:val="none" w:sz="0" w:space="0" w:color="auto"/>
                                        <w:bottom w:val="none" w:sz="0" w:space="0" w:color="auto"/>
                                        <w:right w:val="none" w:sz="0" w:space="0" w:color="auto"/>
                                      </w:divBdr>
                                      <w:divsChild>
                                        <w:div w:id="2122870846">
                                          <w:marLeft w:val="0"/>
                                          <w:marRight w:val="0"/>
                                          <w:marTop w:val="0"/>
                                          <w:marBottom w:val="0"/>
                                          <w:divBdr>
                                            <w:top w:val="none" w:sz="0" w:space="0" w:color="auto"/>
                                            <w:left w:val="none" w:sz="0" w:space="0" w:color="auto"/>
                                            <w:bottom w:val="none" w:sz="0" w:space="0" w:color="auto"/>
                                            <w:right w:val="none" w:sz="0" w:space="0" w:color="auto"/>
                                          </w:divBdr>
                                        </w:div>
                                      </w:divsChild>
                                    </w:div>
                                    <w:div w:id="1949850235">
                                      <w:marLeft w:val="0"/>
                                      <w:marRight w:val="0"/>
                                      <w:marTop w:val="0"/>
                                      <w:marBottom w:val="0"/>
                                      <w:divBdr>
                                        <w:top w:val="none" w:sz="0" w:space="0" w:color="auto"/>
                                        <w:left w:val="none" w:sz="0" w:space="0" w:color="auto"/>
                                        <w:bottom w:val="none" w:sz="0" w:space="0" w:color="auto"/>
                                        <w:right w:val="none" w:sz="0" w:space="0" w:color="auto"/>
                                      </w:divBdr>
                                      <w:divsChild>
                                        <w:div w:id="10456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569212">
          <w:marLeft w:val="0"/>
          <w:marRight w:val="0"/>
          <w:marTop w:val="0"/>
          <w:marBottom w:val="0"/>
          <w:divBdr>
            <w:top w:val="single" w:sz="6" w:space="0" w:color="E3E7ED"/>
            <w:left w:val="single" w:sz="6" w:space="0" w:color="E3E7ED"/>
            <w:bottom w:val="single" w:sz="6" w:space="0" w:color="E3E7ED"/>
            <w:right w:val="single" w:sz="6" w:space="0" w:color="E3E7ED"/>
          </w:divBdr>
        </w:div>
        <w:div w:id="1201360315">
          <w:marLeft w:val="0"/>
          <w:marRight w:val="0"/>
          <w:marTop w:val="0"/>
          <w:marBottom w:val="0"/>
          <w:divBdr>
            <w:top w:val="none" w:sz="0" w:space="0" w:color="auto"/>
            <w:left w:val="none" w:sz="0" w:space="0" w:color="auto"/>
            <w:bottom w:val="none" w:sz="0" w:space="0" w:color="auto"/>
            <w:right w:val="none" w:sz="0" w:space="0" w:color="auto"/>
          </w:divBdr>
          <w:divsChild>
            <w:div w:id="1297950308">
              <w:marLeft w:val="0"/>
              <w:marRight w:val="0"/>
              <w:marTop w:val="0"/>
              <w:marBottom w:val="0"/>
              <w:divBdr>
                <w:top w:val="none" w:sz="0" w:space="0" w:color="auto"/>
                <w:left w:val="none" w:sz="0" w:space="0" w:color="auto"/>
                <w:bottom w:val="none" w:sz="0" w:space="0" w:color="auto"/>
                <w:right w:val="none" w:sz="0" w:space="0" w:color="auto"/>
              </w:divBdr>
              <w:divsChild>
                <w:div w:id="1160122771">
                  <w:marLeft w:val="0"/>
                  <w:marRight w:val="0"/>
                  <w:marTop w:val="0"/>
                  <w:marBottom w:val="0"/>
                  <w:divBdr>
                    <w:top w:val="none" w:sz="0" w:space="0" w:color="auto"/>
                    <w:left w:val="none" w:sz="0" w:space="0" w:color="auto"/>
                    <w:bottom w:val="none" w:sz="0" w:space="0" w:color="auto"/>
                    <w:right w:val="none" w:sz="0" w:space="0" w:color="auto"/>
                  </w:divBdr>
                  <w:divsChild>
                    <w:div w:id="856239753">
                      <w:marLeft w:val="0"/>
                      <w:marRight w:val="0"/>
                      <w:marTop w:val="0"/>
                      <w:marBottom w:val="0"/>
                      <w:divBdr>
                        <w:top w:val="none" w:sz="0" w:space="0" w:color="auto"/>
                        <w:left w:val="none" w:sz="0" w:space="0" w:color="auto"/>
                        <w:bottom w:val="none" w:sz="0" w:space="0" w:color="auto"/>
                        <w:right w:val="none" w:sz="0" w:space="0" w:color="auto"/>
                      </w:divBdr>
                      <w:divsChild>
                        <w:div w:id="589197445">
                          <w:marLeft w:val="0"/>
                          <w:marRight w:val="0"/>
                          <w:marTop w:val="0"/>
                          <w:marBottom w:val="0"/>
                          <w:divBdr>
                            <w:top w:val="none" w:sz="0" w:space="0" w:color="auto"/>
                            <w:left w:val="none" w:sz="0" w:space="0" w:color="auto"/>
                            <w:bottom w:val="none" w:sz="0" w:space="0" w:color="auto"/>
                            <w:right w:val="none" w:sz="0" w:space="0" w:color="auto"/>
                          </w:divBdr>
                        </w:div>
                        <w:div w:id="1506893221">
                          <w:marLeft w:val="0"/>
                          <w:marRight w:val="0"/>
                          <w:marTop w:val="0"/>
                          <w:marBottom w:val="0"/>
                          <w:divBdr>
                            <w:top w:val="none" w:sz="0" w:space="0" w:color="auto"/>
                            <w:left w:val="none" w:sz="0" w:space="0" w:color="auto"/>
                            <w:bottom w:val="none" w:sz="0" w:space="0" w:color="auto"/>
                            <w:right w:val="none" w:sz="0" w:space="0" w:color="auto"/>
                          </w:divBdr>
                        </w:div>
                        <w:div w:id="479083717">
                          <w:marLeft w:val="0"/>
                          <w:marRight w:val="0"/>
                          <w:marTop w:val="0"/>
                          <w:marBottom w:val="0"/>
                          <w:divBdr>
                            <w:top w:val="none" w:sz="0" w:space="0" w:color="auto"/>
                            <w:left w:val="none" w:sz="0" w:space="0" w:color="auto"/>
                            <w:bottom w:val="none" w:sz="0" w:space="0" w:color="auto"/>
                            <w:right w:val="none" w:sz="0" w:space="0" w:color="auto"/>
                          </w:divBdr>
                        </w:div>
                        <w:div w:id="18728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707">
                  <w:marLeft w:val="0"/>
                  <w:marRight w:val="0"/>
                  <w:marTop w:val="0"/>
                  <w:marBottom w:val="0"/>
                  <w:divBdr>
                    <w:top w:val="none" w:sz="0" w:space="0" w:color="auto"/>
                    <w:left w:val="none" w:sz="0" w:space="0" w:color="auto"/>
                    <w:bottom w:val="none" w:sz="0" w:space="0" w:color="auto"/>
                    <w:right w:val="none" w:sz="0" w:space="0" w:color="auto"/>
                  </w:divBdr>
                  <w:divsChild>
                    <w:div w:id="1267613143">
                      <w:marLeft w:val="0"/>
                      <w:marRight w:val="0"/>
                      <w:marTop w:val="0"/>
                      <w:marBottom w:val="0"/>
                      <w:divBdr>
                        <w:top w:val="none" w:sz="0" w:space="0" w:color="auto"/>
                        <w:left w:val="none" w:sz="0" w:space="0" w:color="auto"/>
                        <w:bottom w:val="none" w:sz="0" w:space="0" w:color="auto"/>
                        <w:right w:val="none" w:sz="0" w:space="0" w:color="auto"/>
                      </w:divBdr>
                    </w:div>
                  </w:divsChild>
                </w:div>
                <w:div w:id="1724475442">
                  <w:marLeft w:val="0"/>
                  <w:marRight w:val="0"/>
                  <w:marTop w:val="0"/>
                  <w:marBottom w:val="0"/>
                  <w:divBdr>
                    <w:top w:val="none" w:sz="0" w:space="0" w:color="auto"/>
                    <w:left w:val="none" w:sz="0" w:space="0" w:color="auto"/>
                    <w:bottom w:val="none" w:sz="0" w:space="0" w:color="auto"/>
                    <w:right w:val="none" w:sz="0" w:space="0" w:color="auto"/>
                  </w:divBdr>
                  <w:divsChild>
                    <w:div w:id="1362166113">
                      <w:marLeft w:val="0"/>
                      <w:marRight w:val="0"/>
                      <w:marTop w:val="0"/>
                      <w:marBottom w:val="0"/>
                      <w:divBdr>
                        <w:top w:val="none" w:sz="0" w:space="0" w:color="auto"/>
                        <w:left w:val="none" w:sz="0" w:space="0" w:color="auto"/>
                        <w:bottom w:val="none" w:sz="0" w:space="0" w:color="auto"/>
                        <w:right w:val="none" w:sz="0" w:space="0" w:color="auto"/>
                      </w:divBdr>
                    </w:div>
                  </w:divsChild>
                </w:div>
                <w:div w:id="2018538069">
                  <w:marLeft w:val="0"/>
                  <w:marRight w:val="0"/>
                  <w:marTop w:val="0"/>
                  <w:marBottom w:val="0"/>
                  <w:divBdr>
                    <w:top w:val="none" w:sz="0" w:space="0" w:color="auto"/>
                    <w:left w:val="none" w:sz="0" w:space="0" w:color="auto"/>
                    <w:bottom w:val="none" w:sz="0" w:space="0" w:color="auto"/>
                    <w:right w:val="none" w:sz="0" w:space="0" w:color="auto"/>
                  </w:divBdr>
                  <w:divsChild>
                    <w:div w:id="15799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3064">
              <w:marLeft w:val="0"/>
              <w:marRight w:val="0"/>
              <w:marTop w:val="0"/>
              <w:marBottom w:val="0"/>
              <w:divBdr>
                <w:top w:val="none" w:sz="0" w:space="0" w:color="auto"/>
                <w:left w:val="none" w:sz="0" w:space="0" w:color="auto"/>
                <w:bottom w:val="none" w:sz="0" w:space="0" w:color="auto"/>
                <w:right w:val="none" w:sz="0" w:space="0" w:color="auto"/>
              </w:divBdr>
              <w:divsChild>
                <w:div w:id="182398256">
                  <w:marLeft w:val="0"/>
                  <w:marRight w:val="0"/>
                  <w:marTop w:val="0"/>
                  <w:marBottom w:val="0"/>
                  <w:divBdr>
                    <w:top w:val="none" w:sz="0" w:space="0" w:color="auto"/>
                    <w:left w:val="none" w:sz="0" w:space="0" w:color="auto"/>
                    <w:bottom w:val="none" w:sz="0" w:space="0" w:color="auto"/>
                    <w:right w:val="none" w:sz="0" w:space="0" w:color="auto"/>
                  </w:divBdr>
                  <w:divsChild>
                    <w:div w:id="1486359720">
                      <w:marLeft w:val="0"/>
                      <w:marRight w:val="0"/>
                      <w:marTop w:val="0"/>
                      <w:marBottom w:val="0"/>
                      <w:divBdr>
                        <w:top w:val="single" w:sz="6" w:space="0" w:color="E3E7ED"/>
                        <w:left w:val="single" w:sz="6" w:space="0" w:color="E3E7ED"/>
                        <w:bottom w:val="single" w:sz="6" w:space="0" w:color="E3E7ED"/>
                        <w:right w:val="single" w:sz="6" w:space="0" w:color="E3E7ED"/>
                      </w:divBdr>
                      <w:divsChild>
                        <w:div w:id="174602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4925">
                  <w:marLeft w:val="0"/>
                  <w:marRight w:val="0"/>
                  <w:marTop w:val="0"/>
                  <w:marBottom w:val="0"/>
                  <w:divBdr>
                    <w:top w:val="none" w:sz="0" w:space="0" w:color="auto"/>
                    <w:left w:val="none" w:sz="0" w:space="0" w:color="auto"/>
                    <w:bottom w:val="none" w:sz="0" w:space="0" w:color="auto"/>
                    <w:right w:val="none" w:sz="0" w:space="0" w:color="auto"/>
                  </w:divBdr>
                  <w:divsChild>
                    <w:div w:id="723524357">
                      <w:marLeft w:val="0"/>
                      <w:marRight w:val="0"/>
                      <w:marTop w:val="0"/>
                      <w:marBottom w:val="0"/>
                      <w:divBdr>
                        <w:top w:val="single" w:sz="6" w:space="0" w:color="E3E7ED"/>
                        <w:left w:val="single" w:sz="6" w:space="0" w:color="E3E7ED"/>
                        <w:bottom w:val="single" w:sz="6" w:space="0" w:color="E3E7ED"/>
                        <w:right w:val="single" w:sz="6" w:space="0" w:color="E3E7ED"/>
                      </w:divBdr>
                      <w:divsChild>
                        <w:div w:id="359357228">
                          <w:marLeft w:val="0"/>
                          <w:marRight w:val="0"/>
                          <w:marTop w:val="0"/>
                          <w:marBottom w:val="0"/>
                          <w:divBdr>
                            <w:top w:val="none" w:sz="0" w:space="0" w:color="auto"/>
                            <w:left w:val="none" w:sz="0" w:space="0" w:color="auto"/>
                            <w:bottom w:val="none" w:sz="0" w:space="0" w:color="auto"/>
                            <w:right w:val="none" w:sz="0" w:space="0" w:color="auto"/>
                          </w:divBdr>
                        </w:div>
                        <w:div w:id="9350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040330">
      <w:bodyDiv w:val="1"/>
      <w:marLeft w:val="0"/>
      <w:marRight w:val="0"/>
      <w:marTop w:val="0"/>
      <w:marBottom w:val="0"/>
      <w:divBdr>
        <w:top w:val="none" w:sz="0" w:space="0" w:color="auto"/>
        <w:left w:val="none" w:sz="0" w:space="0" w:color="auto"/>
        <w:bottom w:val="none" w:sz="0" w:space="0" w:color="auto"/>
        <w:right w:val="none" w:sz="0" w:space="0" w:color="auto"/>
      </w:divBdr>
    </w:div>
    <w:div w:id="384256155">
      <w:bodyDiv w:val="1"/>
      <w:marLeft w:val="0"/>
      <w:marRight w:val="0"/>
      <w:marTop w:val="0"/>
      <w:marBottom w:val="0"/>
      <w:divBdr>
        <w:top w:val="none" w:sz="0" w:space="0" w:color="auto"/>
        <w:left w:val="none" w:sz="0" w:space="0" w:color="auto"/>
        <w:bottom w:val="none" w:sz="0" w:space="0" w:color="auto"/>
        <w:right w:val="none" w:sz="0" w:space="0" w:color="auto"/>
      </w:divBdr>
      <w:divsChild>
        <w:div w:id="1873499326">
          <w:marLeft w:val="0"/>
          <w:marRight w:val="0"/>
          <w:marTop w:val="120"/>
          <w:marBottom w:val="120"/>
          <w:divBdr>
            <w:top w:val="none" w:sz="0" w:space="0" w:color="auto"/>
            <w:left w:val="none" w:sz="0" w:space="0" w:color="auto"/>
            <w:bottom w:val="none" w:sz="0" w:space="0" w:color="auto"/>
            <w:right w:val="none" w:sz="0" w:space="0" w:color="auto"/>
          </w:divBdr>
        </w:div>
      </w:divsChild>
    </w:div>
    <w:div w:id="395518283">
      <w:bodyDiv w:val="1"/>
      <w:marLeft w:val="0"/>
      <w:marRight w:val="0"/>
      <w:marTop w:val="0"/>
      <w:marBottom w:val="0"/>
      <w:divBdr>
        <w:top w:val="none" w:sz="0" w:space="0" w:color="auto"/>
        <w:left w:val="none" w:sz="0" w:space="0" w:color="auto"/>
        <w:bottom w:val="none" w:sz="0" w:space="0" w:color="auto"/>
        <w:right w:val="none" w:sz="0" w:space="0" w:color="auto"/>
      </w:divBdr>
      <w:divsChild>
        <w:div w:id="977228843">
          <w:marLeft w:val="0"/>
          <w:marRight w:val="0"/>
          <w:marTop w:val="120"/>
          <w:marBottom w:val="120"/>
          <w:divBdr>
            <w:top w:val="none" w:sz="0" w:space="0" w:color="auto"/>
            <w:left w:val="none" w:sz="0" w:space="0" w:color="auto"/>
            <w:bottom w:val="none" w:sz="0" w:space="0" w:color="auto"/>
            <w:right w:val="none" w:sz="0" w:space="0" w:color="auto"/>
          </w:divBdr>
        </w:div>
      </w:divsChild>
    </w:div>
    <w:div w:id="432366361">
      <w:bodyDiv w:val="1"/>
      <w:marLeft w:val="0"/>
      <w:marRight w:val="0"/>
      <w:marTop w:val="0"/>
      <w:marBottom w:val="0"/>
      <w:divBdr>
        <w:top w:val="none" w:sz="0" w:space="0" w:color="auto"/>
        <w:left w:val="none" w:sz="0" w:space="0" w:color="auto"/>
        <w:bottom w:val="none" w:sz="0" w:space="0" w:color="auto"/>
        <w:right w:val="none" w:sz="0" w:space="0" w:color="auto"/>
      </w:divBdr>
      <w:divsChild>
        <w:div w:id="473179319">
          <w:marLeft w:val="0"/>
          <w:marRight w:val="0"/>
          <w:marTop w:val="0"/>
          <w:marBottom w:val="0"/>
          <w:divBdr>
            <w:top w:val="single" w:sz="2" w:space="0" w:color="E5E7EB"/>
            <w:left w:val="single" w:sz="2" w:space="0" w:color="E5E7EB"/>
            <w:bottom w:val="single" w:sz="2" w:space="0" w:color="E5E7EB"/>
            <w:right w:val="single" w:sz="2" w:space="0" w:color="E5E7EB"/>
          </w:divBdr>
          <w:divsChild>
            <w:div w:id="566763563">
              <w:marLeft w:val="0"/>
              <w:marRight w:val="0"/>
              <w:marTop w:val="0"/>
              <w:marBottom w:val="0"/>
              <w:divBdr>
                <w:top w:val="single" w:sz="2" w:space="0" w:color="E5E7EB"/>
                <w:left w:val="single" w:sz="2" w:space="0" w:color="E5E7EB"/>
                <w:bottom w:val="single" w:sz="2" w:space="0" w:color="E5E7EB"/>
                <w:right w:val="single" w:sz="2" w:space="0" w:color="E5E7EB"/>
              </w:divBdr>
              <w:divsChild>
                <w:div w:id="1970546618">
                  <w:marLeft w:val="0"/>
                  <w:marRight w:val="0"/>
                  <w:marTop w:val="0"/>
                  <w:marBottom w:val="0"/>
                  <w:divBdr>
                    <w:top w:val="single" w:sz="6" w:space="0" w:color="EBEBED"/>
                    <w:left w:val="single" w:sz="6" w:space="0" w:color="EBEBED"/>
                    <w:bottom w:val="single" w:sz="6" w:space="0" w:color="EBEBED"/>
                    <w:right w:val="single" w:sz="6" w:space="0" w:color="EBEBED"/>
                  </w:divBdr>
                  <w:divsChild>
                    <w:div w:id="568998499">
                      <w:marLeft w:val="0"/>
                      <w:marRight w:val="0"/>
                      <w:marTop w:val="0"/>
                      <w:marBottom w:val="0"/>
                      <w:divBdr>
                        <w:top w:val="single" w:sz="2" w:space="0" w:color="E5E7EB"/>
                        <w:left w:val="single" w:sz="2" w:space="0" w:color="E5E7EB"/>
                        <w:bottom w:val="single" w:sz="2" w:space="0" w:color="E5E7EB"/>
                        <w:right w:val="single" w:sz="2" w:space="0" w:color="E5E7EB"/>
                      </w:divBdr>
                      <w:divsChild>
                        <w:div w:id="16240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44738622">
      <w:bodyDiv w:val="1"/>
      <w:marLeft w:val="0"/>
      <w:marRight w:val="0"/>
      <w:marTop w:val="0"/>
      <w:marBottom w:val="0"/>
      <w:divBdr>
        <w:top w:val="none" w:sz="0" w:space="0" w:color="auto"/>
        <w:left w:val="none" w:sz="0" w:space="0" w:color="auto"/>
        <w:bottom w:val="none" w:sz="0" w:space="0" w:color="auto"/>
        <w:right w:val="none" w:sz="0" w:space="0" w:color="auto"/>
      </w:divBdr>
      <w:divsChild>
        <w:div w:id="217084653">
          <w:marLeft w:val="0"/>
          <w:marRight w:val="0"/>
          <w:marTop w:val="120"/>
          <w:marBottom w:val="120"/>
          <w:divBdr>
            <w:top w:val="none" w:sz="0" w:space="0" w:color="auto"/>
            <w:left w:val="none" w:sz="0" w:space="0" w:color="auto"/>
            <w:bottom w:val="none" w:sz="0" w:space="0" w:color="auto"/>
            <w:right w:val="none" w:sz="0" w:space="0" w:color="auto"/>
          </w:divBdr>
        </w:div>
        <w:div w:id="515001683">
          <w:marLeft w:val="0"/>
          <w:marRight w:val="0"/>
          <w:marTop w:val="120"/>
          <w:marBottom w:val="120"/>
          <w:divBdr>
            <w:top w:val="none" w:sz="0" w:space="0" w:color="auto"/>
            <w:left w:val="none" w:sz="0" w:space="0" w:color="auto"/>
            <w:bottom w:val="none" w:sz="0" w:space="0" w:color="auto"/>
            <w:right w:val="none" w:sz="0" w:space="0" w:color="auto"/>
          </w:divBdr>
        </w:div>
        <w:div w:id="135417819">
          <w:marLeft w:val="0"/>
          <w:marRight w:val="0"/>
          <w:marTop w:val="120"/>
          <w:marBottom w:val="120"/>
          <w:divBdr>
            <w:top w:val="none" w:sz="0" w:space="0" w:color="auto"/>
            <w:left w:val="none" w:sz="0" w:space="0" w:color="auto"/>
            <w:bottom w:val="none" w:sz="0" w:space="0" w:color="auto"/>
            <w:right w:val="none" w:sz="0" w:space="0" w:color="auto"/>
          </w:divBdr>
        </w:div>
        <w:div w:id="736711520">
          <w:marLeft w:val="0"/>
          <w:marRight w:val="0"/>
          <w:marTop w:val="120"/>
          <w:marBottom w:val="120"/>
          <w:divBdr>
            <w:top w:val="none" w:sz="0" w:space="0" w:color="auto"/>
            <w:left w:val="none" w:sz="0" w:space="0" w:color="auto"/>
            <w:bottom w:val="none" w:sz="0" w:space="0" w:color="auto"/>
            <w:right w:val="none" w:sz="0" w:space="0" w:color="auto"/>
          </w:divBdr>
        </w:div>
      </w:divsChild>
    </w:div>
    <w:div w:id="497580826">
      <w:bodyDiv w:val="1"/>
      <w:marLeft w:val="0"/>
      <w:marRight w:val="0"/>
      <w:marTop w:val="0"/>
      <w:marBottom w:val="0"/>
      <w:divBdr>
        <w:top w:val="none" w:sz="0" w:space="0" w:color="auto"/>
        <w:left w:val="none" w:sz="0" w:space="0" w:color="auto"/>
        <w:bottom w:val="none" w:sz="0" w:space="0" w:color="auto"/>
        <w:right w:val="none" w:sz="0" w:space="0" w:color="auto"/>
      </w:divBdr>
      <w:divsChild>
        <w:div w:id="1220246694">
          <w:marLeft w:val="0"/>
          <w:marRight w:val="0"/>
          <w:marTop w:val="120"/>
          <w:marBottom w:val="120"/>
          <w:divBdr>
            <w:top w:val="none" w:sz="0" w:space="0" w:color="auto"/>
            <w:left w:val="none" w:sz="0" w:space="0" w:color="auto"/>
            <w:bottom w:val="none" w:sz="0" w:space="0" w:color="auto"/>
            <w:right w:val="none" w:sz="0" w:space="0" w:color="auto"/>
          </w:divBdr>
        </w:div>
      </w:divsChild>
    </w:div>
    <w:div w:id="557932892">
      <w:bodyDiv w:val="1"/>
      <w:marLeft w:val="0"/>
      <w:marRight w:val="0"/>
      <w:marTop w:val="0"/>
      <w:marBottom w:val="0"/>
      <w:divBdr>
        <w:top w:val="none" w:sz="0" w:space="0" w:color="auto"/>
        <w:left w:val="none" w:sz="0" w:space="0" w:color="auto"/>
        <w:bottom w:val="none" w:sz="0" w:space="0" w:color="auto"/>
        <w:right w:val="none" w:sz="0" w:space="0" w:color="auto"/>
      </w:divBdr>
    </w:div>
    <w:div w:id="576286796">
      <w:bodyDiv w:val="1"/>
      <w:marLeft w:val="0"/>
      <w:marRight w:val="0"/>
      <w:marTop w:val="0"/>
      <w:marBottom w:val="0"/>
      <w:divBdr>
        <w:top w:val="none" w:sz="0" w:space="0" w:color="auto"/>
        <w:left w:val="none" w:sz="0" w:space="0" w:color="auto"/>
        <w:bottom w:val="none" w:sz="0" w:space="0" w:color="auto"/>
        <w:right w:val="none" w:sz="0" w:space="0" w:color="auto"/>
      </w:divBdr>
      <w:divsChild>
        <w:div w:id="1039285184">
          <w:marLeft w:val="0"/>
          <w:marRight w:val="0"/>
          <w:marTop w:val="120"/>
          <w:marBottom w:val="120"/>
          <w:divBdr>
            <w:top w:val="none" w:sz="0" w:space="0" w:color="auto"/>
            <w:left w:val="none" w:sz="0" w:space="0" w:color="auto"/>
            <w:bottom w:val="none" w:sz="0" w:space="0" w:color="auto"/>
            <w:right w:val="none" w:sz="0" w:space="0" w:color="auto"/>
          </w:divBdr>
        </w:div>
        <w:div w:id="1143934594">
          <w:marLeft w:val="0"/>
          <w:marRight w:val="0"/>
          <w:marTop w:val="120"/>
          <w:marBottom w:val="120"/>
          <w:divBdr>
            <w:top w:val="none" w:sz="0" w:space="0" w:color="auto"/>
            <w:left w:val="none" w:sz="0" w:space="0" w:color="auto"/>
            <w:bottom w:val="none" w:sz="0" w:space="0" w:color="auto"/>
            <w:right w:val="none" w:sz="0" w:space="0" w:color="auto"/>
          </w:divBdr>
        </w:div>
      </w:divsChild>
    </w:div>
    <w:div w:id="633098086">
      <w:bodyDiv w:val="1"/>
      <w:marLeft w:val="0"/>
      <w:marRight w:val="0"/>
      <w:marTop w:val="0"/>
      <w:marBottom w:val="0"/>
      <w:divBdr>
        <w:top w:val="none" w:sz="0" w:space="0" w:color="auto"/>
        <w:left w:val="none" w:sz="0" w:space="0" w:color="auto"/>
        <w:bottom w:val="none" w:sz="0" w:space="0" w:color="auto"/>
        <w:right w:val="none" w:sz="0" w:space="0" w:color="auto"/>
      </w:divBdr>
      <w:divsChild>
        <w:div w:id="1057439025">
          <w:marLeft w:val="0"/>
          <w:marRight w:val="0"/>
          <w:marTop w:val="120"/>
          <w:marBottom w:val="120"/>
          <w:divBdr>
            <w:top w:val="none" w:sz="0" w:space="0" w:color="auto"/>
            <w:left w:val="none" w:sz="0" w:space="0" w:color="auto"/>
            <w:bottom w:val="none" w:sz="0" w:space="0" w:color="auto"/>
            <w:right w:val="none" w:sz="0" w:space="0" w:color="auto"/>
          </w:divBdr>
        </w:div>
      </w:divsChild>
    </w:div>
    <w:div w:id="641664820">
      <w:bodyDiv w:val="1"/>
      <w:marLeft w:val="0"/>
      <w:marRight w:val="0"/>
      <w:marTop w:val="0"/>
      <w:marBottom w:val="0"/>
      <w:divBdr>
        <w:top w:val="none" w:sz="0" w:space="0" w:color="auto"/>
        <w:left w:val="none" w:sz="0" w:space="0" w:color="auto"/>
        <w:bottom w:val="none" w:sz="0" w:space="0" w:color="auto"/>
        <w:right w:val="none" w:sz="0" w:space="0" w:color="auto"/>
      </w:divBdr>
      <w:divsChild>
        <w:div w:id="1616404066">
          <w:marLeft w:val="0"/>
          <w:marRight w:val="0"/>
          <w:marTop w:val="120"/>
          <w:marBottom w:val="120"/>
          <w:divBdr>
            <w:top w:val="none" w:sz="0" w:space="0" w:color="auto"/>
            <w:left w:val="none" w:sz="0" w:space="0" w:color="auto"/>
            <w:bottom w:val="none" w:sz="0" w:space="0" w:color="auto"/>
            <w:right w:val="none" w:sz="0" w:space="0" w:color="auto"/>
          </w:divBdr>
        </w:div>
        <w:div w:id="3872243">
          <w:marLeft w:val="0"/>
          <w:marRight w:val="0"/>
          <w:marTop w:val="120"/>
          <w:marBottom w:val="120"/>
          <w:divBdr>
            <w:top w:val="none" w:sz="0" w:space="0" w:color="auto"/>
            <w:left w:val="none" w:sz="0" w:space="0" w:color="auto"/>
            <w:bottom w:val="none" w:sz="0" w:space="0" w:color="auto"/>
            <w:right w:val="none" w:sz="0" w:space="0" w:color="auto"/>
          </w:divBdr>
        </w:div>
      </w:divsChild>
    </w:div>
    <w:div w:id="692417675">
      <w:bodyDiv w:val="1"/>
      <w:marLeft w:val="0"/>
      <w:marRight w:val="0"/>
      <w:marTop w:val="0"/>
      <w:marBottom w:val="0"/>
      <w:divBdr>
        <w:top w:val="none" w:sz="0" w:space="0" w:color="auto"/>
        <w:left w:val="none" w:sz="0" w:space="0" w:color="auto"/>
        <w:bottom w:val="none" w:sz="0" w:space="0" w:color="auto"/>
        <w:right w:val="none" w:sz="0" w:space="0" w:color="auto"/>
      </w:divBdr>
      <w:divsChild>
        <w:div w:id="1130051752">
          <w:marLeft w:val="0"/>
          <w:marRight w:val="0"/>
          <w:marTop w:val="120"/>
          <w:marBottom w:val="120"/>
          <w:divBdr>
            <w:top w:val="none" w:sz="0" w:space="0" w:color="auto"/>
            <w:left w:val="none" w:sz="0" w:space="0" w:color="auto"/>
            <w:bottom w:val="none" w:sz="0" w:space="0" w:color="auto"/>
            <w:right w:val="none" w:sz="0" w:space="0" w:color="auto"/>
          </w:divBdr>
        </w:div>
      </w:divsChild>
    </w:div>
    <w:div w:id="692727263">
      <w:bodyDiv w:val="1"/>
      <w:marLeft w:val="0"/>
      <w:marRight w:val="0"/>
      <w:marTop w:val="0"/>
      <w:marBottom w:val="0"/>
      <w:divBdr>
        <w:top w:val="none" w:sz="0" w:space="0" w:color="auto"/>
        <w:left w:val="none" w:sz="0" w:space="0" w:color="auto"/>
        <w:bottom w:val="none" w:sz="0" w:space="0" w:color="auto"/>
        <w:right w:val="none" w:sz="0" w:space="0" w:color="auto"/>
      </w:divBdr>
    </w:div>
    <w:div w:id="708647685">
      <w:bodyDiv w:val="1"/>
      <w:marLeft w:val="0"/>
      <w:marRight w:val="0"/>
      <w:marTop w:val="0"/>
      <w:marBottom w:val="0"/>
      <w:divBdr>
        <w:top w:val="none" w:sz="0" w:space="0" w:color="auto"/>
        <w:left w:val="none" w:sz="0" w:space="0" w:color="auto"/>
        <w:bottom w:val="none" w:sz="0" w:space="0" w:color="auto"/>
        <w:right w:val="none" w:sz="0" w:space="0" w:color="auto"/>
      </w:divBdr>
      <w:divsChild>
        <w:div w:id="1780220946">
          <w:marLeft w:val="0"/>
          <w:marRight w:val="0"/>
          <w:marTop w:val="120"/>
          <w:marBottom w:val="120"/>
          <w:divBdr>
            <w:top w:val="none" w:sz="0" w:space="0" w:color="auto"/>
            <w:left w:val="none" w:sz="0" w:space="0" w:color="auto"/>
            <w:bottom w:val="none" w:sz="0" w:space="0" w:color="auto"/>
            <w:right w:val="none" w:sz="0" w:space="0" w:color="auto"/>
          </w:divBdr>
        </w:div>
      </w:divsChild>
    </w:div>
    <w:div w:id="763770081">
      <w:bodyDiv w:val="1"/>
      <w:marLeft w:val="0"/>
      <w:marRight w:val="0"/>
      <w:marTop w:val="0"/>
      <w:marBottom w:val="0"/>
      <w:divBdr>
        <w:top w:val="none" w:sz="0" w:space="0" w:color="auto"/>
        <w:left w:val="none" w:sz="0" w:space="0" w:color="auto"/>
        <w:bottom w:val="none" w:sz="0" w:space="0" w:color="auto"/>
        <w:right w:val="none" w:sz="0" w:space="0" w:color="auto"/>
      </w:divBdr>
      <w:divsChild>
        <w:div w:id="1512722842">
          <w:marLeft w:val="0"/>
          <w:marRight w:val="0"/>
          <w:marTop w:val="120"/>
          <w:marBottom w:val="120"/>
          <w:divBdr>
            <w:top w:val="none" w:sz="0" w:space="0" w:color="auto"/>
            <w:left w:val="none" w:sz="0" w:space="0" w:color="auto"/>
            <w:bottom w:val="none" w:sz="0" w:space="0" w:color="auto"/>
            <w:right w:val="none" w:sz="0" w:space="0" w:color="auto"/>
          </w:divBdr>
        </w:div>
      </w:divsChild>
    </w:div>
    <w:div w:id="801967585">
      <w:bodyDiv w:val="1"/>
      <w:marLeft w:val="0"/>
      <w:marRight w:val="0"/>
      <w:marTop w:val="0"/>
      <w:marBottom w:val="0"/>
      <w:divBdr>
        <w:top w:val="none" w:sz="0" w:space="0" w:color="auto"/>
        <w:left w:val="none" w:sz="0" w:space="0" w:color="auto"/>
        <w:bottom w:val="none" w:sz="0" w:space="0" w:color="auto"/>
        <w:right w:val="none" w:sz="0" w:space="0" w:color="auto"/>
      </w:divBdr>
      <w:divsChild>
        <w:div w:id="1107579481">
          <w:marLeft w:val="0"/>
          <w:marRight w:val="0"/>
          <w:marTop w:val="120"/>
          <w:marBottom w:val="120"/>
          <w:divBdr>
            <w:top w:val="none" w:sz="0" w:space="0" w:color="auto"/>
            <w:left w:val="none" w:sz="0" w:space="0" w:color="auto"/>
            <w:bottom w:val="none" w:sz="0" w:space="0" w:color="auto"/>
            <w:right w:val="none" w:sz="0" w:space="0" w:color="auto"/>
          </w:divBdr>
        </w:div>
      </w:divsChild>
    </w:div>
    <w:div w:id="815029682">
      <w:bodyDiv w:val="1"/>
      <w:marLeft w:val="0"/>
      <w:marRight w:val="0"/>
      <w:marTop w:val="0"/>
      <w:marBottom w:val="0"/>
      <w:divBdr>
        <w:top w:val="none" w:sz="0" w:space="0" w:color="auto"/>
        <w:left w:val="none" w:sz="0" w:space="0" w:color="auto"/>
        <w:bottom w:val="none" w:sz="0" w:space="0" w:color="auto"/>
        <w:right w:val="none" w:sz="0" w:space="0" w:color="auto"/>
      </w:divBdr>
      <w:divsChild>
        <w:div w:id="951285513">
          <w:marLeft w:val="0"/>
          <w:marRight w:val="0"/>
          <w:marTop w:val="120"/>
          <w:marBottom w:val="120"/>
          <w:divBdr>
            <w:top w:val="none" w:sz="0" w:space="0" w:color="auto"/>
            <w:left w:val="none" w:sz="0" w:space="0" w:color="auto"/>
            <w:bottom w:val="none" w:sz="0" w:space="0" w:color="auto"/>
            <w:right w:val="none" w:sz="0" w:space="0" w:color="auto"/>
          </w:divBdr>
        </w:div>
        <w:div w:id="954479187">
          <w:marLeft w:val="0"/>
          <w:marRight w:val="0"/>
          <w:marTop w:val="120"/>
          <w:marBottom w:val="120"/>
          <w:divBdr>
            <w:top w:val="none" w:sz="0" w:space="0" w:color="auto"/>
            <w:left w:val="none" w:sz="0" w:space="0" w:color="auto"/>
            <w:bottom w:val="none" w:sz="0" w:space="0" w:color="auto"/>
            <w:right w:val="none" w:sz="0" w:space="0" w:color="auto"/>
          </w:divBdr>
        </w:div>
      </w:divsChild>
    </w:div>
    <w:div w:id="843207797">
      <w:bodyDiv w:val="1"/>
      <w:marLeft w:val="0"/>
      <w:marRight w:val="0"/>
      <w:marTop w:val="0"/>
      <w:marBottom w:val="0"/>
      <w:divBdr>
        <w:top w:val="none" w:sz="0" w:space="0" w:color="auto"/>
        <w:left w:val="none" w:sz="0" w:space="0" w:color="auto"/>
        <w:bottom w:val="none" w:sz="0" w:space="0" w:color="auto"/>
        <w:right w:val="none" w:sz="0" w:space="0" w:color="auto"/>
      </w:divBdr>
    </w:div>
    <w:div w:id="1029650413">
      <w:bodyDiv w:val="1"/>
      <w:marLeft w:val="0"/>
      <w:marRight w:val="0"/>
      <w:marTop w:val="0"/>
      <w:marBottom w:val="0"/>
      <w:divBdr>
        <w:top w:val="none" w:sz="0" w:space="0" w:color="auto"/>
        <w:left w:val="none" w:sz="0" w:space="0" w:color="auto"/>
        <w:bottom w:val="none" w:sz="0" w:space="0" w:color="auto"/>
        <w:right w:val="none" w:sz="0" w:space="0" w:color="auto"/>
      </w:divBdr>
      <w:divsChild>
        <w:div w:id="1815679265">
          <w:marLeft w:val="0"/>
          <w:marRight w:val="0"/>
          <w:marTop w:val="120"/>
          <w:marBottom w:val="120"/>
          <w:divBdr>
            <w:top w:val="none" w:sz="0" w:space="0" w:color="auto"/>
            <w:left w:val="none" w:sz="0" w:space="0" w:color="auto"/>
            <w:bottom w:val="none" w:sz="0" w:space="0" w:color="auto"/>
            <w:right w:val="none" w:sz="0" w:space="0" w:color="auto"/>
          </w:divBdr>
        </w:div>
      </w:divsChild>
    </w:div>
    <w:div w:id="1062751455">
      <w:bodyDiv w:val="1"/>
      <w:marLeft w:val="0"/>
      <w:marRight w:val="0"/>
      <w:marTop w:val="0"/>
      <w:marBottom w:val="0"/>
      <w:divBdr>
        <w:top w:val="none" w:sz="0" w:space="0" w:color="auto"/>
        <w:left w:val="none" w:sz="0" w:space="0" w:color="auto"/>
        <w:bottom w:val="none" w:sz="0" w:space="0" w:color="auto"/>
        <w:right w:val="none" w:sz="0" w:space="0" w:color="auto"/>
      </w:divBdr>
      <w:divsChild>
        <w:div w:id="92481780">
          <w:marLeft w:val="0"/>
          <w:marRight w:val="0"/>
          <w:marTop w:val="120"/>
          <w:marBottom w:val="120"/>
          <w:divBdr>
            <w:top w:val="none" w:sz="0" w:space="0" w:color="auto"/>
            <w:left w:val="none" w:sz="0" w:space="0" w:color="auto"/>
            <w:bottom w:val="none" w:sz="0" w:space="0" w:color="auto"/>
            <w:right w:val="none" w:sz="0" w:space="0" w:color="auto"/>
          </w:divBdr>
        </w:div>
      </w:divsChild>
    </w:div>
    <w:div w:id="1063599810">
      <w:bodyDiv w:val="1"/>
      <w:marLeft w:val="0"/>
      <w:marRight w:val="0"/>
      <w:marTop w:val="0"/>
      <w:marBottom w:val="0"/>
      <w:divBdr>
        <w:top w:val="none" w:sz="0" w:space="0" w:color="auto"/>
        <w:left w:val="none" w:sz="0" w:space="0" w:color="auto"/>
        <w:bottom w:val="none" w:sz="0" w:space="0" w:color="auto"/>
        <w:right w:val="none" w:sz="0" w:space="0" w:color="auto"/>
      </w:divBdr>
      <w:divsChild>
        <w:div w:id="752699093">
          <w:marLeft w:val="0"/>
          <w:marRight w:val="0"/>
          <w:marTop w:val="120"/>
          <w:marBottom w:val="120"/>
          <w:divBdr>
            <w:top w:val="none" w:sz="0" w:space="0" w:color="auto"/>
            <w:left w:val="none" w:sz="0" w:space="0" w:color="auto"/>
            <w:bottom w:val="none" w:sz="0" w:space="0" w:color="auto"/>
            <w:right w:val="none" w:sz="0" w:space="0" w:color="auto"/>
          </w:divBdr>
        </w:div>
        <w:div w:id="1734348295">
          <w:marLeft w:val="0"/>
          <w:marRight w:val="0"/>
          <w:marTop w:val="120"/>
          <w:marBottom w:val="120"/>
          <w:divBdr>
            <w:top w:val="none" w:sz="0" w:space="0" w:color="auto"/>
            <w:left w:val="none" w:sz="0" w:space="0" w:color="auto"/>
            <w:bottom w:val="none" w:sz="0" w:space="0" w:color="auto"/>
            <w:right w:val="none" w:sz="0" w:space="0" w:color="auto"/>
          </w:divBdr>
        </w:div>
        <w:div w:id="611859822">
          <w:marLeft w:val="0"/>
          <w:marRight w:val="0"/>
          <w:marTop w:val="120"/>
          <w:marBottom w:val="120"/>
          <w:divBdr>
            <w:top w:val="none" w:sz="0" w:space="0" w:color="auto"/>
            <w:left w:val="none" w:sz="0" w:space="0" w:color="auto"/>
            <w:bottom w:val="none" w:sz="0" w:space="0" w:color="auto"/>
            <w:right w:val="none" w:sz="0" w:space="0" w:color="auto"/>
          </w:divBdr>
        </w:div>
        <w:div w:id="1231306269">
          <w:marLeft w:val="0"/>
          <w:marRight w:val="0"/>
          <w:marTop w:val="120"/>
          <w:marBottom w:val="120"/>
          <w:divBdr>
            <w:top w:val="none" w:sz="0" w:space="0" w:color="auto"/>
            <w:left w:val="none" w:sz="0" w:space="0" w:color="auto"/>
            <w:bottom w:val="none" w:sz="0" w:space="0" w:color="auto"/>
            <w:right w:val="none" w:sz="0" w:space="0" w:color="auto"/>
          </w:divBdr>
        </w:div>
        <w:div w:id="1785882160">
          <w:marLeft w:val="0"/>
          <w:marRight w:val="0"/>
          <w:marTop w:val="120"/>
          <w:marBottom w:val="120"/>
          <w:divBdr>
            <w:top w:val="none" w:sz="0" w:space="0" w:color="auto"/>
            <w:left w:val="none" w:sz="0" w:space="0" w:color="auto"/>
            <w:bottom w:val="none" w:sz="0" w:space="0" w:color="auto"/>
            <w:right w:val="none" w:sz="0" w:space="0" w:color="auto"/>
          </w:divBdr>
        </w:div>
        <w:div w:id="1916235472">
          <w:marLeft w:val="0"/>
          <w:marRight w:val="0"/>
          <w:marTop w:val="120"/>
          <w:marBottom w:val="120"/>
          <w:divBdr>
            <w:top w:val="none" w:sz="0" w:space="0" w:color="auto"/>
            <w:left w:val="none" w:sz="0" w:space="0" w:color="auto"/>
            <w:bottom w:val="none" w:sz="0" w:space="0" w:color="auto"/>
            <w:right w:val="none" w:sz="0" w:space="0" w:color="auto"/>
          </w:divBdr>
        </w:div>
      </w:divsChild>
    </w:div>
    <w:div w:id="1150705976">
      <w:bodyDiv w:val="1"/>
      <w:marLeft w:val="0"/>
      <w:marRight w:val="0"/>
      <w:marTop w:val="0"/>
      <w:marBottom w:val="0"/>
      <w:divBdr>
        <w:top w:val="none" w:sz="0" w:space="0" w:color="auto"/>
        <w:left w:val="none" w:sz="0" w:space="0" w:color="auto"/>
        <w:bottom w:val="none" w:sz="0" w:space="0" w:color="auto"/>
        <w:right w:val="none" w:sz="0" w:space="0" w:color="auto"/>
      </w:divBdr>
      <w:divsChild>
        <w:div w:id="2066759736">
          <w:marLeft w:val="0"/>
          <w:marRight w:val="0"/>
          <w:marTop w:val="120"/>
          <w:marBottom w:val="120"/>
          <w:divBdr>
            <w:top w:val="none" w:sz="0" w:space="0" w:color="auto"/>
            <w:left w:val="none" w:sz="0" w:space="0" w:color="auto"/>
            <w:bottom w:val="none" w:sz="0" w:space="0" w:color="auto"/>
            <w:right w:val="none" w:sz="0" w:space="0" w:color="auto"/>
          </w:divBdr>
        </w:div>
      </w:divsChild>
    </w:div>
    <w:div w:id="1373726836">
      <w:bodyDiv w:val="1"/>
      <w:marLeft w:val="0"/>
      <w:marRight w:val="0"/>
      <w:marTop w:val="0"/>
      <w:marBottom w:val="0"/>
      <w:divBdr>
        <w:top w:val="none" w:sz="0" w:space="0" w:color="auto"/>
        <w:left w:val="none" w:sz="0" w:space="0" w:color="auto"/>
        <w:bottom w:val="none" w:sz="0" w:space="0" w:color="auto"/>
        <w:right w:val="none" w:sz="0" w:space="0" w:color="auto"/>
      </w:divBdr>
      <w:divsChild>
        <w:div w:id="2027367194">
          <w:marLeft w:val="0"/>
          <w:marRight w:val="0"/>
          <w:marTop w:val="120"/>
          <w:marBottom w:val="120"/>
          <w:divBdr>
            <w:top w:val="none" w:sz="0" w:space="0" w:color="auto"/>
            <w:left w:val="none" w:sz="0" w:space="0" w:color="auto"/>
            <w:bottom w:val="none" w:sz="0" w:space="0" w:color="auto"/>
            <w:right w:val="none" w:sz="0" w:space="0" w:color="auto"/>
          </w:divBdr>
        </w:div>
        <w:div w:id="281614276">
          <w:marLeft w:val="0"/>
          <w:marRight w:val="0"/>
          <w:marTop w:val="120"/>
          <w:marBottom w:val="120"/>
          <w:divBdr>
            <w:top w:val="none" w:sz="0" w:space="0" w:color="auto"/>
            <w:left w:val="none" w:sz="0" w:space="0" w:color="auto"/>
            <w:bottom w:val="none" w:sz="0" w:space="0" w:color="auto"/>
            <w:right w:val="none" w:sz="0" w:space="0" w:color="auto"/>
          </w:divBdr>
        </w:div>
        <w:div w:id="1169713403">
          <w:marLeft w:val="0"/>
          <w:marRight w:val="0"/>
          <w:marTop w:val="120"/>
          <w:marBottom w:val="120"/>
          <w:divBdr>
            <w:top w:val="none" w:sz="0" w:space="0" w:color="auto"/>
            <w:left w:val="none" w:sz="0" w:space="0" w:color="auto"/>
            <w:bottom w:val="none" w:sz="0" w:space="0" w:color="auto"/>
            <w:right w:val="none" w:sz="0" w:space="0" w:color="auto"/>
          </w:divBdr>
        </w:div>
        <w:div w:id="166596953">
          <w:marLeft w:val="0"/>
          <w:marRight w:val="0"/>
          <w:marTop w:val="120"/>
          <w:marBottom w:val="120"/>
          <w:divBdr>
            <w:top w:val="none" w:sz="0" w:space="0" w:color="auto"/>
            <w:left w:val="none" w:sz="0" w:space="0" w:color="auto"/>
            <w:bottom w:val="none" w:sz="0" w:space="0" w:color="auto"/>
            <w:right w:val="none" w:sz="0" w:space="0" w:color="auto"/>
          </w:divBdr>
        </w:div>
        <w:div w:id="113913193">
          <w:marLeft w:val="0"/>
          <w:marRight w:val="0"/>
          <w:marTop w:val="120"/>
          <w:marBottom w:val="120"/>
          <w:divBdr>
            <w:top w:val="none" w:sz="0" w:space="0" w:color="auto"/>
            <w:left w:val="none" w:sz="0" w:space="0" w:color="auto"/>
            <w:bottom w:val="none" w:sz="0" w:space="0" w:color="auto"/>
            <w:right w:val="none" w:sz="0" w:space="0" w:color="auto"/>
          </w:divBdr>
        </w:div>
        <w:div w:id="796294809">
          <w:marLeft w:val="0"/>
          <w:marRight w:val="0"/>
          <w:marTop w:val="120"/>
          <w:marBottom w:val="120"/>
          <w:divBdr>
            <w:top w:val="none" w:sz="0" w:space="0" w:color="auto"/>
            <w:left w:val="none" w:sz="0" w:space="0" w:color="auto"/>
            <w:bottom w:val="none" w:sz="0" w:space="0" w:color="auto"/>
            <w:right w:val="none" w:sz="0" w:space="0" w:color="auto"/>
          </w:divBdr>
        </w:div>
      </w:divsChild>
    </w:div>
    <w:div w:id="1419323677">
      <w:bodyDiv w:val="1"/>
      <w:marLeft w:val="0"/>
      <w:marRight w:val="0"/>
      <w:marTop w:val="0"/>
      <w:marBottom w:val="0"/>
      <w:divBdr>
        <w:top w:val="none" w:sz="0" w:space="0" w:color="auto"/>
        <w:left w:val="none" w:sz="0" w:space="0" w:color="auto"/>
        <w:bottom w:val="none" w:sz="0" w:space="0" w:color="auto"/>
        <w:right w:val="none" w:sz="0" w:space="0" w:color="auto"/>
      </w:divBdr>
      <w:divsChild>
        <w:div w:id="1946495014">
          <w:marLeft w:val="0"/>
          <w:marRight w:val="0"/>
          <w:marTop w:val="0"/>
          <w:marBottom w:val="0"/>
          <w:divBdr>
            <w:top w:val="none" w:sz="0" w:space="0" w:color="auto"/>
            <w:left w:val="none" w:sz="0" w:space="0" w:color="auto"/>
            <w:bottom w:val="none" w:sz="0" w:space="0" w:color="auto"/>
            <w:right w:val="none" w:sz="0" w:space="0" w:color="auto"/>
          </w:divBdr>
          <w:divsChild>
            <w:div w:id="9736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939">
      <w:bodyDiv w:val="1"/>
      <w:marLeft w:val="0"/>
      <w:marRight w:val="0"/>
      <w:marTop w:val="0"/>
      <w:marBottom w:val="0"/>
      <w:divBdr>
        <w:top w:val="none" w:sz="0" w:space="0" w:color="auto"/>
        <w:left w:val="none" w:sz="0" w:space="0" w:color="auto"/>
        <w:bottom w:val="none" w:sz="0" w:space="0" w:color="auto"/>
        <w:right w:val="none" w:sz="0" w:space="0" w:color="auto"/>
      </w:divBdr>
      <w:divsChild>
        <w:div w:id="1634023518">
          <w:marLeft w:val="0"/>
          <w:marRight w:val="0"/>
          <w:marTop w:val="0"/>
          <w:marBottom w:val="0"/>
          <w:divBdr>
            <w:top w:val="single" w:sz="2" w:space="0" w:color="E5E7EB"/>
            <w:left w:val="single" w:sz="2" w:space="0" w:color="E5E7EB"/>
            <w:bottom w:val="single" w:sz="2" w:space="0" w:color="E5E7EB"/>
            <w:right w:val="single" w:sz="2" w:space="0" w:color="E5E7EB"/>
          </w:divBdr>
          <w:divsChild>
            <w:div w:id="551234255">
              <w:marLeft w:val="0"/>
              <w:marRight w:val="0"/>
              <w:marTop w:val="0"/>
              <w:marBottom w:val="0"/>
              <w:divBdr>
                <w:top w:val="single" w:sz="2" w:space="0" w:color="E5E7EB"/>
                <w:left w:val="single" w:sz="2" w:space="0" w:color="E5E7EB"/>
                <w:bottom w:val="single" w:sz="2" w:space="0" w:color="E5E7EB"/>
                <w:right w:val="single" w:sz="2" w:space="0" w:color="E5E7EB"/>
              </w:divBdr>
              <w:divsChild>
                <w:div w:id="1155142281">
                  <w:marLeft w:val="0"/>
                  <w:marRight w:val="0"/>
                  <w:marTop w:val="0"/>
                  <w:marBottom w:val="0"/>
                  <w:divBdr>
                    <w:top w:val="single" w:sz="6" w:space="0" w:color="EBEBED"/>
                    <w:left w:val="single" w:sz="6" w:space="0" w:color="EBEBED"/>
                    <w:bottom w:val="single" w:sz="6" w:space="0" w:color="EBEBED"/>
                    <w:right w:val="single" w:sz="6" w:space="0" w:color="EBEBED"/>
                  </w:divBdr>
                  <w:divsChild>
                    <w:div w:id="902760931">
                      <w:marLeft w:val="0"/>
                      <w:marRight w:val="0"/>
                      <w:marTop w:val="0"/>
                      <w:marBottom w:val="0"/>
                      <w:divBdr>
                        <w:top w:val="single" w:sz="2" w:space="0" w:color="E5E7EB"/>
                        <w:left w:val="single" w:sz="2" w:space="0" w:color="E5E7EB"/>
                        <w:bottom w:val="single" w:sz="2" w:space="0" w:color="E5E7EB"/>
                        <w:right w:val="single" w:sz="2" w:space="0" w:color="E5E7EB"/>
                      </w:divBdr>
                      <w:divsChild>
                        <w:div w:id="1949240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34500897">
      <w:bodyDiv w:val="1"/>
      <w:marLeft w:val="0"/>
      <w:marRight w:val="0"/>
      <w:marTop w:val="0"/>
      <w:marBottom w:val="0"/>
      <w:divBdr>
        <w:top w:val="none" w:sz="0" w:space="0" w:color="auto"/>
        <w:left w:val="none" w:sz="0" w:space="0" w:color="auto"/>
        <w:bottom w:val="none" w:sz="0" w:space="0" w:color="auto"/>
        <w:right w:val="none" w:sz="0" w:space="0" w:color="auto"/>
      </w:divBdr>
      <w:divsChild>
        <w:div w:id="356850816">
          <w:marLeft w:val="0"/>
          <w:marRight w:val="0"/>
          <w:marTop w:val="120"/>
          <w:marBottom w:val="120"/>
          <w:divBdr>
            <w:top w:val="none" w:sz="0" w:space="0" w:color="auto"/>
            <w:left w:val="none" w:sz="0" w:space="0" w:color="auto"/>
            <w:bottom w:val="none" w:sz="0" w:space="0" w:color="auto"/>
            <w:right w:val="none" w:sz="0" w:space="0" w:color="auto"/>
          </w:divBdr>
        </w:div>
      </w:divsChild>
    </w:div>
    <w:div w:id="1763867634">
      <w:bodyDiv w:val="1"/>
      <w:marLeft w:val="0"/>
      <w:marRight w:val="0"/>
      <w:marTop w:val="0"/>
      <w:marBottom w:val="0"/>
      <w:divBdr>
        <w:top w:val="none" w:sz="0" w:space="0" w:color="auto"/>
        <w:left w:val="none" w:sz="0" w:space="0" w:color="auto"/>
        <w:bottom w:val="none" w:sz="0" w:space="0" w:color="auto"/>
        <w:right w:val="none" w:sz="0" w:space="0" w:color="auto"/>
      </w:divBdr>
      <w:divsChild>
        <w:div w:id="1197700457">
          <w:marLeft w:val="0"/>
          <w:marRight w:val="0"/>
          <w:marTop w:val="120"/>
          <w:marBottom w:val="120"/>
          <w:divBdr>
            <w:top w:val="none" w:sz="0" w:space="0" w:color="auto"/>
            <w:left w:val="none" w:sz="0" w:space="0" w:color="auto"/>
            <w:bottom w:val="none" w:sz="0" w:space="0" w:color="auto"/>
            <w:right w:val="none" w:sz="0" w:space="0" w:color="auto"/>
          </w:divBdr>
        </w:div>
      </w:divsChild>
    </w:div>
    <w:div w:id="1797596690">
      <w:bodyDiv w:val="1"/>
      <w:marLeft w:val="0"/>
      <w:marRight w:val="0"/>
      <w:marTop w:val="0"/>
      <w:marBottom w:val="0"/>
      <w:divBdr>
        <w:top w:val="none" w:sz="0" w:space="0" w:color="auto"/>
        <w:left w:val="none" w:sz="0" w:space="0" w:color="auto"/>
        <w:bottom w:val="none" w:sz="0" w:space="0" w:color="auto"/>
        <w:right w:val="none" w:sz="0" w:space="0" w:color="auto"/>
      </w:divBdr>
    </w:div>
    <w:div w:id="1800370918">
      <w:bodyDiv w:val="1"/>
      <w:marLeft w:val="0"/>
      <w:marRight w:val="0"/>
      <w:marTop w:val="0"/>
      <w:marBottom w:val="0"/>
      <w:divBdr>
        <w:top w:val="none" w:sz="0" w:space="0" w:color="auto"/>
        <w:left w:val="none" w:sz="0" w:space="0" w:color="auto"/>
        <w:bottom w:val="none" w:sz="0" w:space="0" w:color="auto"/>
        <w:right w:val="none" w:sz="0" w:space="0" w:color="auto"/>
      </w:divBdr>
      <w:divsChild>
        <w:div w:id="302004908">
          <w:marLeft w:val="0"/>
          <w:marRight w:val="0"/>
          <w:marTop w:val="120"/>
          <w:marBottom w:val="120"/>
          <w:divBdr>
            <w:top w:val="none" w:sz="0" w:space="0" w:color="auto"/>
            <w:left w:val="none" w:sz="0" w:space="0" w:color="auto"/>
            <w:bottom w:val="none" w:sz="0" w:space="0" w:color="auto"/>
            <w:right w:val="none" w:sz="0" w:space="0" w:color="auto"/>
          </w:divBdr>
        </w:div>
      </w:divsChild>
    </w:div>
    <w:div w:id="1821770765">
      <w:bodyDiv w:val="1"/>
      <w:marLeft w:val="0"/>
      <w:marRight w:val="0"/>
      <w:marTop w:val="0"/>
      <w:marBottom w:val="0"/>
      <w:divBdr>
        <w:top w:val="none" w:sz="0" w:space="0" w:color="auto"/>
        <w:left w:val="none" w:sz="0" w:space="0" w:color="auto"/>
        <w:bottom w:val="none" w:sz="0" w:space="0" w:color="auto"/>
        <w:right w:val="none" w:sz="0" w:space="0" w:color="auto"/>
      </w:divBdr>
      <w:divsChild>
        <w:div w:id="816190448">
          <w:marLeft w:val="0"/>
          <w:marRight w:val="0"/>
          <w:marTop w:val="120"/>
          <w:marBottom w:val="120"/>
          <w:divBdr>
            <w:top w:val="none" w:sz="0" w:space="0" w:color="auto"/>
            <w:left w:val="none" w:sz="0" w:space="0" w:color="auto"/>
            <w:bottom w:val="none" w:sz="0" w:space="0" w:color="auto"/>
            <w:right w:val="none" w:sz="0" w:space="0" w:color="auto"/>
          </w:divBdr>
        </w:div>
      </w:divsChild>
    </w:div>
    <w:div w:id="1826508951">
      <w:bodyDiv w:val="1"/>
      <w:marLeft w:val="0"/>
      <w:marRight w:val="0"/>
      <w:marTop w:val="0"/>
      <w:marBottom w:val="0"/>
      <w:divBdr>
        <w:top w:val="none" w:sz="0" w:space="0" w:color="auto"/>
        <w:left w:val="none" w:sz="0" w:space="0" w:color="auto"/>
        <w:bottom w:val="none" w:sz="0" w:space="0" w:color="auto"/>
        <w:right w:val="none" w:sz="0" w:space="0" w:color="auto"/>
      </w:divBdr>
      <w:divsChild>
        <w:div w:id="1707290340">
          <w:marLeft w:val="0"/>
          <w:marRight w:val="0"/>
          <w:marTop w:val="0"/>
          <w:marBottom w:val="0"/>
          <w:divBdr>
            <w:top w:val="none" w:sz="0" w:space="0" w:color="auto"/>
            <w:left w:val="none" w:sz="0" w:space="0" w:color="auto"/>
            <w:bottom w:val="none" w:sz="0" w:space="0" w:color="auto"/>
            <w:right w:val="none" w:sz="0" w:space="0" w:color="auto"/>
          </w:divBdr>
          <w:divsChild>
            <w:div w:id="5955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88809">
      <w:bodyDiv w:val="1"/>
      <w:marLeft w:val="0"/>
      <w:marRight w:val="0"/>
      <w:marTop w:val="0"/>
      <w:marBottom w:val="0"/>
      <w:divBdr>
        <w:top w:val="none" w:sz="0" w:space="0" w:color="auto"/>
        <w:left w:val="none" w:sz="0" w:space="0" w:color="auto"/>
        <w:bottom w:val="none" w:sz="0" w:space="0" w:color="auto"/>
        <w:right w:val="none" w:sz="0" w:space="0" w:color="auto"/>
      </w:divBdr>
      <w:divsChild>
        <w:div w:id="397291682">
          <w:marLeft w:val="0"/>
          <w:marRight w:val="0"/>
          <w:marTop w:val="120"/>
          <w:marBottom w:val="120"/>
          <w:divBdr>
            <w:top w:val="none" w:sz="0" w:space="0" w:color="auto"/>
            <w:left w:val="none" w:sz="0" w:space="0" w:color="auto"/>
            <w:bottom w:val="none" w:sz="0" w:space="0" w:color="auto"/>
            <w:right w:val="none" w:sz="0" w:space="0" w:color="auto"/>
          </w:divBdr>
        </w:div>
        <w:div w:id="991982987">
          <w:marLeft w:val="0"/>
          <w:marRight w:val="0"/>
          <w:marTop w:val="120"/>
          <w:marBottom w:val="120"/>
          <w:divBdr>
            <w:top w:val="none" w:sz="0" w:space="0" w:color="auto"/>
            <w:left w:val="none" w:sz="0" w:space="0" w:color="auto"/>
            <w:bottom w:val="none" w:sz="0" w:space="0" w:color="auto"/>
            <w:right w:val="none" w:sz="0" w:space="0" w:color="auto"/>
          </w:divBdr>
        </w:div>
        <w:div w:id="115830311">
          <w:marLeft w:val="0"/>
          <w:marRight w:val="0"/>
          <w:marTop w:val="120"/>
          <w:marBottom w:val="120"/>
          <w:divBdr>
            <w:top w:val="none" w:sz="0" w:space="0" w:color="auto"/>
            <w:left w:val="none" w:sz="0" w:space="0" w:color="auto"/>
            <w:bottom w:val="none" w:sz="0" w:space="0" w:color="auto"/>
            <w:right w:val="none" w:sz="0" w:space="0" w:color="auto"/>
          </w:divBdr>
        </w:div>
      </w:divsChild>
    </w:div>
    <w:div w:id="2026863835">
      <w:bodyDiv w:val="1"/>
      <w:marLeft w:val="0"/>
      <w:marRight w:val="0"/>
      <w:marTop w:val="0"/>
      <w:marBottom w:val="0"/>
      <w:divBdr>
        <w:top w:val="none" w:sz="0" w:space="0" w:color="auto"/>
        <w:left w:val="none" w:sz="0" w:space="0" w:color="auto"/>
        <w:bottom w:val="none" w:sz="0" w:space="0" w:color="auto"/>
        <w:right w:val="none" w:sz="0" w:space="0" w:color="auto"/>
      </w:divBdr>
    </w:div>
    <w:div w:id="2041197049">
      <w:bodyDiv w:val="1"/>
      <w:marLeft w:val="0"/>
      <w:marRight w:val="0"/>
      <w:marTop w:val="0"/>
      <w:marBottom w:val="0"/>
      <w:divBdr>
        <w:top w:val="none" w:sz="0" w:space="0" w:color="auto"/>
        <w:left w:val="none" w:sz="0" w:space="0" w:color="auto"/>
        <w:bottom w:val="none" w:sz="0" w:space="0" w:color="auto"/>
        <w:right w:val="none" w:sz="0" w:space="0" w:color="auto"/>
      </w:divBdr>
      <w:divsChild>
        <w:div w:id="1217819545">
          <w:marLeft w:val="0"/>
          <w:marRight w:val="0"/>
          <w:marTop w:val="120"/>
          <w:marBottom w:val="120"/>
          <w:divBdr>
            <w:top w:val="none" w:sz="0" w:space="0" w:color="auto"/>
            <w:left w:val="none" w:sz="0" w:space="0" w:color="auto"/>
            <w:bottom w:val="none" w:sz="0" w:space="0" w:color="auto"/>
            <w:right w:val="none" w:sz="0" w:space="0" w:color="auto"/>
          </w:divBdr>
        </w:div>
        <w:div w:id="1488937616">
          <w:marLeft w:val="0"/>
          <w:marRight w:val="0"/>
          <w:marTop w:val="120"/>
          <w:marBottom w:val="120"/>
          <w:divBdr>
            <w:top w:val="none" w:sz="0" w:space="0" w:color="auto"/>
            <w:left w:val="none" w:sz="0" w:space="0" w:color="auto"/>
            <w:bottom w:val="none" w:sz="0" w:space="0" w:color="auto"/>
            <w:right w:val="none" w:sz="0" w:space="0" w:color="auto"/>
          </w:divBdr>
        </w:div>
        <w:div w:id="1360083645">
          <w:marLeft w:val="0"/>
          <w:marRight w:val="0"/>
          <w:marTop w:val="120"/>
          <w:marBottom w:val="120"/>
          <w:divBdr>
            <w:top w:val="none" w:sz="0" w:space="0" w:color="auto"/>
            <w:left w:val="none" w:sz="0" w:space="0" w:color="auto"/>
            <w:bottom w:val="none" w:sz="0" w:space="0" w:color="auto"/>
            <w:right w:val="none" w:sz="0" w:space="0" w:color="auto"/>
          </w:divBdr>
        </w:div>
      </w:divsChild>
    </w:div>
    <w:div w:id="2111118533">
      <w:bodyDiv w:val="1"/>
      <w:marLeft w:val="0"/>
      <w:marRight w:val="0"/>
      <w:marTop w:val="0"/>
      <w:marBottom w:val="0"/>
      <w:divBdr>
        <w:top w:val="none" w:sz="0" w:space="0" w:color="auto"/>
        <w:left w:val="none" w:sz="0" w:space="0" w:color="auto"/>
        <w:bottom w:val="none" w:sz="0" w:space="0" w:color="auto"/>
        <w:right w:val="none" w:sz="0" w:space="0" w:color="auto"/>
      </w:divBdr>
      <w:divsChild>
        <w:div w:id="451483705">
          <w:marLeft w:val="0"/>
          <w:marRight w:val="0"/>
          <w:marTop w:val="120"/>
          <w:marBottom w:val="120"/>
          <w:divBdr>
            <w:top w:val="none" w:sz="0" w:space="0" w:color="auto"/>
            <w:left w:val="none" w:sz="0" w:space="0" w:color="auto"/>
            <w:bottom w:val="none" w:sz="0" w:space="0" w:color="auto"/>
            <w:right w:val="none" w:sz="0" w:space="0" w:color="auto"/>
          </w:divBdr>
        </w:div>
        <w:div w:id="118235504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bcbs/publ/d424_inbrief.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is.org/bcbs/publ/d424.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21</Pages>
  <Words>7748</Words>
  <Characters>44167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Tunde Folorunso Ayinuola (Ag. Divisional Head, Operations)</dc:creator>
  <cp:keywords/>
  <dc:description/>
  <cp:lastModifiedBy>Tunde Folorunso Ayinuola (Ag. Divisional Head, Operations)</cp:lastModifiedBy>
  <cp:revision>17</cp:revision>
  <dcterms:created xsi:type="dcterms:W3CDTF">2025-09-04T16:38:00Z</dcterms:created>
  <dcterms:modified xsi:type="dcterms:W3CDTF">2025-09-06T19:14:00Z</dcterms:modified>
</cp:coreProperties>
</file>