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59E879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41786E3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C652C59" w14:textId="77777777" w:rsidTr="002643B3">
        <w:trPr>
          <w:trHeight w:val="290"/>
        </w:trPr>
        <w:tc>
          <w:tcPr>
            <w:tcW w:w="1234" w:type="pct"/>
          </w:tcPr>
          <w:p w14:paraId="4DC4462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3D00" w14:textId="77777777" w:rsidR="0000007A" w:rsidRPr="00E65EB7" w:rsidRDefault="00E51FF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AE07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D567D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B021BE5" w14:textId="77777777" w:rsidTr="002643B3">
        <w:trPr>
          <w:trHeight w:val="290"/>
        </w:trPr>
        <w:tc>
          <w:tcPr>
            <w:tcW w:w="1234" w:type="pct"/>
          </w:tcPr>
          <w:p w14:paraId="00633C3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8A0D" w14:textId="77777777" w:rsidR="0000007A" w:rsidRPr="00F245A7" w:rsidRDefault="00B15A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15AC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Ms_MRJI_144713</w:t>
            </w:r>
          </w:p>
        </w:tc>
      </w:tr>
      <w:tr w:rsidR="0000007A" w:rsidRPr="00F245A7" w14:paraId="00705A3F" w14:textId="77777777" w:rsidTr="002643B3">
        <w:trPr>
          <w:trHeight w:val="650"/>
        </w:trPr>
        <w:tc>
          <w:tcPr>
            <w:tcW w:w="1234" w:type="pct"/>
          </w:tcPr>
          <w:p w14:paraId="7AF4FC2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52F6" w14:textId="77777777" w:rsidR="0000007A" w:rsidRPr="00F245A7" w:rsidRDefault="00B15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15AC3">
              <w:rPr>
                <w:rFonts w:ascii="Arial" w:hAnsi="Arial" w:cs="Arial"/>
                <w:b/>
                <w:sz w:val="20"/>
                <w:szCs w:val="28"/>
                <w:lang w:val="en-GB"/>
              </w:rPr>
              <w:t>Phytochemical Screening of Moringa oleifera and Senna occidentalis Grown Under Biological Conditions and evaluation of their effectiveness on Methicillin-Resistant Staphylococcus aureus (MRSA) strains</w:t>
            </w:r>
          </w:p>
        </w:tc>
      </w:tr>
      <w:tr w:rsidR="00CF0BBB" w:rsidRPr="00F245A7" w14:paraId="04FD4BD1" w14:textId="77777777" w:rsidTr="002643B3">
        <w:trPr>
          <w:trHeight w:val="332"/>
        </w:trPr>
        <w:tc>
          <w:tcPr>
            <w:tcW w:w="1234" w:type="pct"/>
          </w:tcPr>
          <w:p w14:paraId="7142E32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0958" w14:textId="77777777" w:rsidR="00CF0BBB" w:rsidRPr="00F245A7" w:rsidRDefault="00B15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15AC3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3DA23F4" w14:textId="2FABA002" w:rsidR="006514EA" w:rsidRPr="00900E9B" w:rsidRDefault="006514EA" w:rsidP="006514EA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6514EA" w:rsidRPr="00900E9B" w14:paraId="478F0C27" w14:textId="77777777" w:rsidTr="001E47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2A24E24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79C7059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</w:tr>
      <w:tr w:rsidR="006514EA" w:rsidRPr="00900E9B" w14:paraId="083D7764" w14:textId="77777777" w:rsidTr="001E47EF">
        <w:tc>
          <w:tcPr>
            <w:tcW w:w="1246" w:type="pct"/>
            <w:noWrap/>
          </w:tcPr>
          <w:p w14:paraId="55D21DE4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14:paraId="78D198FA" w14:textId="77777777" w:rsidR="006514EA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1BE6B744" w14:textId="77777777" w:rsidR="00966A65" w:rsidRDefault="00966A65" w:rsidP="00966A65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D117CB2" w14:textId="77777777" w:rsidR="00966A65" w:rsidRPr="00966A65" w:rsidRDefault="00966A65" w:rsidP="00966A65">
            <w:pPr>
              <w:rPr>
                <w:lang w:val="en-GB"/>
              </w:rPr>
            </w:pPr>
          </w:p>
        </w:tc>
        <w:tc>
          <w:tcPr>
            <w:tcW w:w="1531" w:type="pct"/>
          </w:tcPr>
          <w:p w14:paraId="22E9C66E" w14:textId="77777777" w:rsidR="005354D3" w:rsidRDefault="005354D3" w:rsidP="005354D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6E36E9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737FCB6F" w14:textId="77777777" w:rsidTr="001E47EF">
        <w:trPr>
          <w:trHeight w:val="1264"/>
        </w:trPr>
        <w:tc>
          <w:tcPr>
            <w:tcW w:w="1246" w:type="pct"/>
            <w:noWrap/>
          </w:tcPr>
          <w:p w14:paraId="3919FCCA" w14:textId="77777777" w:rsidR="006514EA" w:rsidRPr="00900E9B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5039378" w14:textId="77777777" w:rsidR="006514EA" w:rsidRPr="00900E9B" w:rsidRDefault="006514EA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653D4460" w14:textId="00A83900" w:rsidR="006514EA" w:rsidRPr="000E486B" w:rsidRDefault="00361BB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E486B">
              <w:rPr>
                <w:sz w:val="20"/>
                <w:szCs w:val="20"/>
              </w:rPr>
              <w:t xml:space="preserve">This study addresses a high-priority global challenge “antimicrobial resistance” by profiling accessible, locally cultivable plants as potential anti-MRSA sources. Its side-by-side comparison across species, organs, and solvent systems, coupled with MIC/MBC endpoints, generates a useful dataset that can guide bioassay-guided fractionation and mechanistic follow-ups. By identifying the most promising matrices (notably ethanolic </w:t>
            </w:r>
            <w:r w:rsidRPr="000E486B">
              <w:rPr>
                <w:i/>
                <w:iCs/>
                <w:sz w:val="20"/>
                <w:szCs w:val="20"/>
              </w:rPr>
              <w:t>Moringa oleifera</w:t>
            </w:r>
            <w:r w:rsidRPr="000E486B">
              <w:rPr>
                <w:sz w:val="20"/>
                <w:szCs w:val="20"/>
              </w:rPr>
              <w:t xml:space="preserve"> flower extract), the work helps focus limited resources on leads with actionable activity. The results are especially valuable for researchers and public-health programs in resource-limited settings, where low-cost plant-derived adjuncts to conventional antibiotics could have outsized impact</w:t>
            </w:r>
          </w:p>
        </w:tc>
        <w:tc>
          <w:tcPr>
            <w:tcW w:w="1531" w:type="pct"/>
          </w:tcPr>
          <w:p w14:paraId="7A74F249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1DA0AF15" w14:textId="77777777" w:rsidTr="001E47EF">
        <w:trPr>
          <w:trHeight w:val="1262"/>
        </w:trPr>
        <w:tc>
          <w:tcPr>
            <w:tcW w:w="1246" w:type="pct"/>
            <w:noWrap/>
          </w:tcPr>
          <w:p w14:paraId="08AC5757" w14:textId="77777777" w:rsidR="006514EA" w:rsidRPr="00900E9B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9F5B61" w14:textId="77777777" w:rsidR="006514EA" w:rsidRPr="00900E9B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A81699C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11BD698E" w14:textId="25ED3D50" w:rsidR="006514EA" w:rsidRPr="000E486B" w:rsidRDefault="00361BB0">
            <w:pPr>
              <w:ind w:left="360"/>
              <w:rPr>
                <w:sz w:val="20"/>
                <w:szCs w:val="20"/>
                <w:lang w:val="en-GB"/>
              </w:rPr>
            </w:pPr>
            <w:r w:rsidRPr="000E486B">
              <w:rPr>
                <w:sz w:val="20"/>
                <w:szCs w:val="20"/>
              </w:rPr>
              <w:t xml:space="preserve">The current title is too long, uses inconsistent capitalization, and “grown under biological conditions” is unclear (better: “cultivated under organic conditions”). “Evaluation of their effectiveness” is </w:t>
            </w:r>
            <w:r w:rsidR="00AE665A">
              <w:rPr>
                <w:sz w:val="20"/>
                <w:szCs w:val="20"/>
              </w:rPr>
              <w:t>unclear</w:t>
            </w:r>
            <w:r w:rsidRPr="000E486B">
              <w:rPr>
                <w:sz w:val="20"/>
                <w:szCs w:val="20"/>
              </w:rPr>
              <w:t xml:space="preserve"> specify antibacterial/anti-MRSA activity. I recommend a shorter, informative title highlighting phytochemical profiling, extract type, and anti-MRSA testing.</w:t>
            </w:r>
            <w:r w:rsidRPr="000E486B">
              <w:rPr>
                <w:sz w:val="20"/>
                <w:szCs w:val="20"/>
              </w:rPr>
              <w:br/>
            </w:r>
            <w:r w:rsidRPr="000E486B">
              <w:rPr>
                <w:sz w:val="20"/>
                <w:szCs w:val="20"/>
                <w:lang w:val="en-GB"/>
              </w:rPr>
              <w:t>Recommendation:</w:t>
            </w:r>
            <w:r w:rsidRPr="000E486B">
              <w:rPr>
                <w:sz w:val="20"/>
                <w:szCs w:val="20"/>
                <w:lang w:val="en-GB"/>
              </w:rPr>
              <w:br/>
            </w:r>
            <w:r w:rsidRPr="000E486B">
              <w:rPr>
                <w:i/>
                <w:iCs/>
                <w:sz w:val="20"/>
                <w:szCs w:val="20"/>
              </w:rPr>
              <w:t>Phytochemical profiling and anti-MRSA activity of</w:t>
            </w:r>
            <w:r w:rsidRPr="000E486B">
              <w:rPr>
                <w:sz w:val="20"/>
                <w:szCs w:val="20"/>
              </w:rPr>
              <w:t xml:space="preserve"> Moringa oleifera </w:t>
            </w:r>
            <w:r w:rsidRPr="000E486B">
              <w:rPr>
                <w:i/>
                <w:iCs/>
                <w:sz w:val="20"/>
                <w:szCs w:val="20"/>
              </w:rPr>
              <w:t>and</w:t>
            </w:r>
            <w:r w:rsidRPr="000E486B">
              <w:rPr>
                <w:sz w:val="20"/>
                <w:szCs w:val="20"/>
              </w:rPr>
              <w:t xml:space="preserve"> Senna occidentalis </w:t>
            </w:r>
            <w:r w:rsidRPr="000E486B">
              <w:rPr>
                <w:i/>
                <w:iCs/>
                <w:sz w:val="20"/>
                <w:szCs w:val="20"/>
              </w:rPr>
              <w:t>extracts</w:t>
            </w:r>
          </w:p>
        </w:tc>
        <w:tc>
          <w:tcPr>
            <w:tcW w:w="1531" w:type="pct"/>
          </w:tcPr>
          <w:p w14:paraId="2A8724EF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45A6F3EC" w14:textId="77777777" w:rsidTr="001E47EF">
        <w:trPr>
          <w:trHeight w:val="1262"/>
        </w:trPr>
        <w:tc>
          <w:tcPr>
            <w:tcW w:w="1246" w:type="pct"/>
            <w:noWrap/>
          </w:tcPr>
          <w:p w14:paraId="38696C55" w14:textId="77777777" w:rsidR="006514EA" w:rsidRPr="00900E9B" w:rsidRDefault="006514E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F6DB918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13746638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E486B">
              <w:rPr>
                <w:sz w:val="20"/>
                <w:szCs w:val="20"/>
                <w:lang w:val="en-GB"/>
              </w:rPr>
              <w:t>The abstract is comprehensive but could benefit from the following recommendations</w:t>
            </w:r>
          </w:p>
          <w:p w14:paraId="4936275A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E486B">
              <w:rPr>
                <w:sz w:val="20"/>
                <w:szCs w:val="20"/>
              </w:rPr>
              <w:t xml:space="preserve">You might briefly note the number and types of strains (e.g., 15 </w:t>
            </w:r>
            <w:proofErr w:type="gramStart"/>
            <w:r w:rsidRPr="000E486B">
              <w:rPr>
                <w:sz w:val="20"/>
                <w:szCs w:val="20"/>
              </w:rPr>
              <w:t>total</w:t>
            </w:r>
            <w:proofErr w:type="gramEnd"/>
            <w:r w:rsidRPr="000E486B">
              <w:rPr>
                <w:sz w:val="20"/>
                <w:szCs w:val="20"/>
              </w:rPr>
              <w:t>; 10 MRSA, 4 MSSA, plus ATCC 25923 for QC) to frame the study’s scope.</w:t>
            </w:r>
          </w:p>
          <w:p w14:paraId="0E37DE6B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61BB0">
              <w:rPr>
                <w:sz w:val="20"/>
                <w:szCs w:val="20"/>
              </w:rPr>
              <w:t xml:space="preserve">Consider naming the plant parts and solvents up front (for </w:t>
            </w:r>
            <w:r w:rsidRPr="00361BB0">
              <w:rPr>
                <w:i/>
                <w:iCs/>
                <w:sz w:val="20"/>
                <w:szCs w:val="20"/>
              </w:rPr>
              <w:t>Moringa</w:t>
            </w:r>
            <w:r w:rsidRPr="00361BB0">
              <w:rPr>
                <w:sz w:val="20"/>
                <w:szCs w:val="20"/>
              </w:rPr>
              <w:t xml:space="preserve">: leaves, bark, flowers; for </w:t>
            </w:r>
            <w:r w:rsidRPr="00361BB0">
              <w:rPr>
                <w:i/>
                <w:iCs/>
                <w:sz w:val="20"/>
                <w:szCs w:val="20"/>
              </w:rPr>
              <w:t>Senna</w:t>
            </w:r>
            <w:r w:rsidRPr="00361BB0">
              <w:rPr>
                <w:sz w:val="20"/>
                <w:szCs w:val="20"/>
              </w:rPr>
              <w:t>: leaves, bark, seeds, pods; solvents: water, ethanol, dichloromethane) so readers see the design at a glance.</w:t>
            </w:r>
          </w:p>
          <w:p w14:paraId="2FE76376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61BB0">
              <w:rPr>
                <w:sz w:val="20"/>
                <w:szCs w:val="20"/>
              </w:rPr>
              <w:t>A few key numbers (typical halo range for the most active extract, MIC/MBC ranges in mg/mL) would make the results feel more concrete without adding length.</w:t>
            </w:r>
          </w:p>
          <w:p w14:paraId="2133F1D0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61BB0">
              <w:rPr>
                <w:sz w:val="20"/>
                <w:szCs w:val="20"/>
              </w:rPr>
              <w:t>Choosing one testing standard (EUCAST or CLSI) and saying “standardized disc diffusion and broth dilution” can subtly strengthen reproducibility.</w:t>
            </w:r>
          </w:p>
          <w:p w14:paraId="3E880206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61BB0">
              <w:rPr>
                <w:sz w:val="20"/>
                <w:szCs w:val="20"/>
              </w:rPr>
              <w:t>If you describe activity as bactericidal, a brief note of the criterion (MBC/MIC ≤ 4) keeps it transparent.</w:t>
            </w:r>
          </w:p>
          <w:p w14:paraId="0D8D25D8" w14:textId="77777777" w:rsidR="00361BB0" w:rsidRPr="000E486B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61BB0">
              <w:rPr>
                <w:sz w:val="20"/>
                <w:szCs w:val="20"/>
              </w:rPr>
              <w:t>Method reagents (e.g., Dragendorff, Mayer) are already solid—perhaps keep them in Methods to keep the abstract streamlined.</w:t>
            </w:r>
          </w:p>
          <w:p w14:paraId="7126E062" w14:textId="1EFAB936" w:rsidR="00361BB0" w:rsidRPr="00361BB0" w:rsidRDefault="00361BB0" w:rsidP="00361BB0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E486B">
              <w:rPr>
                <w:sz w:val="20"/>
                <w:szCs w:val="20"/>
              </w:rPr>
              <w:t>F</w:t>
            </w:r>
            <w:r w:rsidRPr="00361BB0">
              <w:rPr>
                <w:sz w:val="20"/>
                <w:szCs w:val="20"/>
              </w:rPr>
              <w:t>ormatting (whole-</w:t>
            </w:r>
            <w:proofErr w:type="spellStart"/>
            <w:r w:rsidRPr="00361BB0">
              <w:rPr>
                <w:sz w:val="20"/>
                <w:szCs w:val="20"/>
              </w:rPr>
              <w:t>millimetre</w:t>
            </w:r>
            <w:proofErr w:type="spellEnd"/>
            <w:r w:rsidRPr="00361BB0">
              <w:rPr>
                <w:sz w:val="20"/>
                <w:szCs w:val="20"/>
              </w:rPr>
              <w:t xml:space="preserve"> zones, MBC spelling, italics for species, consistent units) will help the abstract read cleanly.</w:t>
            </w:r>
          </w:p>
          <w:p w14:paraId="6F629ABE" w14:textId="7B7AF188" w:rsidR="006514EA" w:rsidRPr="00900E9B" w:rsidRDefault="00361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531" w:type="pct"/>
          </w:tcPr>
          <w:p w14:paraId="34D760BD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05A9122C" w14:textId="77777777" w:rsidTr="001E47EF">
        <w:trPr>
          <w:trHeight w:val="704"/>
        </w:trPr>
        <w:tc>
          <w:tcPr>
            <w:tcW w:w="1246" w:type="pct"/>
            <w:noWrap/>
          </w:tcPr>
          <w:p w14:paraId="30E88698" w14:textId="77777777" w:rsidR="006514EA" w:rsidRPr="00900E9B" w:rsidRDefault="006514E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23" w:type="pct"/>
          </w:tcPr>
          <w:p w14:paraId="4DEFAEFE" w14:textId="77777777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  <w:lang w:val="en-GB"/>
              </w:rPr>
              <w:t>The manuscript is promising but will be scientifically sound with revisions if possible</w:t>
            </w:r>
          </w:p>
          <w:p w14:paraId="40B01BD4" w14:textId="77777777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</w:rPr>
              <w:t>Use one standard (EUCAST or CLSI) consistently; report QC ranges/breakpoints.</w:t>
            </w:r>
          </w:p>
          <w:p w14:paraId="67198CD0" w14:textId="77777777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</w:rPr>
              <w:t xml:space="preserve"> Disc diffusion QC appears off (very small cefoxitin zones for ATCC 25923); re-run with 0.5 McFarland, 4 mm agar, 16–20 h, verified discs.</w:t>
            </w:r>
          </w:p>
          <w:p w14:paraId="061CC9B7" w14:textId="77777777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</w:rPr>
              <w:t xml:space="preserve">Align </w:t>
            </w:r>
            <w:proofErr w:type="spellStart"/>
            <w:r w:rsidRPr="000E486B">
              <w:rPr>
                <w:bCs/>
                <w:sz w:val="20"/>
                <w:szCs w:val="20"/>
              </w:rPr>
              <w:t>inocula</w:t>
            </w:r>
            <w:proofErr w:type="spellEnd"/>
            <w:r w:rsidRPr="000E486B">
              <w:rPr>
                <w:bCs/>
                <w:sz w:val="20"/>
                <w:szCs w:val="20"/>
              </w:rPr>
              <w:t xml:space="preserve"> (discs vs MIC), state replicates (n), and report integer zone diameters.</w:t>
            </w:r>
          </w:p>
          <w:p w14:paraId="6F4EBFB4" w14:textId="77777777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</w:rPr>
              <w:t xml:space="preserve"> Upgrade statistics to handle solvent × organ × phenotype (two/three-way ANOVA + post-hoc; effect sizes).</w:t>
            </w:r>
          </w:p>
          <w:p w14:paraId="5A9D2D0D" w14:textId="77777777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</w:rPr>
              <w:t>Add solvent-only controls, extraction yields/temps, correct terminology (MBC, leaves/pods; emodin), and provide botanical voucher IDs.</w:t>
            </w:r>
          </w:p>
          <w:p w14:paraId="5655CBBC" w14:textId="64BAD716" w:rsidR="000E486B" w:rsidRPr="000E486B" w:rsidRDefault="000E486B" w:rsidP="000E486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0E486B">
              <w:rPr>
                <w:bCs/>
                <w:sz w:val="20"/>
                <w:szCs w:val="20"/>
              </w:rPr>
              <w:t>Consider conclusions to moderate activity of crude extracts; suggest bioassay-guided fractionation and synergy testing.</w:t>
            </w:r>
          </w:p>
          <w:p w14:paraId="6380313C" w14:textId="3475DB64" w:rsidR="006514EA" w:rsidRPr="00C115E9" w:rsidRDefault="006514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7EDB798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501F333C" w14:textId="77777777" w:rsidTr="001E47EF">
        <w:trPr>
          <w:trHeight w:val="703"/>
        </w:trPr>
        <w:tc>
          <w:tcPr>
            <w:tcW w:w="1246" w:type="pct"/>
            <w:noWrap/>
          </w:tcPr>
          <w:p w14:paraId="422ACE31" w14:textId="77777777" w:rsidR="006514EA" w:rsidRPr="00E10705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14:paraId="7F350E15" w14:textId="26994536" w:rsidR="006514EA" w:rsidRPr="006F5EBE" w:rsidRDefault="000E48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 needs updating as its p</w:t>
            </w:r>
            <w:r w:rsidRPr="000E486B">
              <w:rPr>
                <w:bCs/>
                <w:sz w:val="20"/>
                <w:szCs w:val="20"/>
              </w:rPr>
              <w:t xml:space="preserve">partially sufficient; several are older. Strengthen with more 2019–2025 primary studies/reviews directly on </w:t>
            </w:r>
            <w:r w:rsidRPr="000E486B">
              <w:rPr>
                <w:bCs/>
                <w:i/>
                <w:iCs/>
                <w:sz w:val="20"/>
                <w:szCs w:val="20"/>
              </w:rPr>
              <w:t>Moringa oleifera</w:t>
            </w:r>
            <w:r w:rsidRPr="000E486B">
              <w:rPr>
                <w:bCs/>
                <w:sz w:val="20"/>
                <w:szCs w:val="20"/>
              </w:rPr>
              <w:t>/</w:t>
            </w:r>
            <w:r w:rsidRPr="000E486B">
              <w:rPr>
                <w:bCs/>
                <w:i/>
                <w:iCs/>
                <w:sz w:val="20"/>
                <w:szCs w:val="20"/>
              </w:rPr>
              <w:t>Senna</w:t>
            </w:r>
            <w:r w:rsidRPr="000E486B">
              <w:rPr>
                <w:bCs/>
                <w:sz w:val="20"/>
                <w:szCs w:val="20"/>
              </w:rPr>
              <w:t xml:space="preserve"> spp. anti-MRSA activity and update methods standards.</w:t>
            </w:r>
          </w:p>
        </w:tc>
        <w:tc>
          <w:tcPr>
            <w:tcW w:w="1531" w:type="pct"/>
          </w:tcPr>
          <w:p w14:paraId="316A2521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73E9813E" w14:textId="77777777" w:rsidTr="001E47EF">
        <w:trPr>
          <w:trHeight w:val="386"/>
        </w:trPr>
        <w:tc>
          <w:tcPr>
            <w:tcW w:w="1246" w:type="pct"/>
            <w:noWrap/>
          </w:tcPr>
          <w:p w14:paraId="57FD733D" w14:textId="77777777" w:rsidR="006514EA" w:rsidRPr="00900E9B" w:rsidRDefault="006514E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13AE153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3AE2F1CA" w14:textId="5CC67C98" w:rsidR="006514EA" w:rsidRPr="00900E9B" w:rsidRDefault="000E486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language is understandable, </w:t>
            </w:r>
            <w:r w:rsidRPr="000E486B">
              <w:rPr>
                <w:sz w:val="20"/>
                <w:szCs w:val="20"/>
              </w:rPr>
              <w:t xml:space="preserve">but it needs </w:t>
            </w:r>
            <w:r w:rsidRPr="000E486B">
              <w:rPr>
                <w:b/>
                <w:bCs/>
                <w:sz w:val="20"/>
                <w:szCs w:val="20"/>
              </w:rPr>
              <w:t>minor–moderate language editing</w:t>
            </w:r>
            <w:r w:rsidRPr="000E486B">
              <w:rPr>
                <w:sz w:val="20"/>
                <w:szCs w:val="20"/>
              </w:rPr>
              <w:t xml:space="preserve"> before publication</w:t>
            </w:r>
          </w:p>
        </w:tc>
        <w:tc>
          <w:tcPr>
            <w:tcW w:w="1531" w:type="pct"/>
          </w:tcPr>
          <w:p w14:paraId="2F62948C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</w:tr>
      <w:tr w:rsidR="006514EA" w:rsidRPr="00900E9B" w14:paraId="73B04934" w14:textId="77777777" w:rsidTr="001E47EF">
        <w:trPr>
          <w:trHeight w:val="1178"/>
        </w:trPr>
        <w:tc>
          <w:tcPr>
            <w:tcW w:w="1246" w:type="pct"/>
            <w:noWrap/>
          </w:tcPr>
          <w:p w14:paraId="6010252D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66F20B6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5046DF80" w14:textId="77777777" w:rsidR="006514EA" w:rsidRPr="000D0955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9F9153B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CF548C0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F4C723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87E4D" w14:textId="2515246E" w:rsidR="006514EA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23460F" w14:textId="5F438CD5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7EA9FC" w14:textId="3F4C03E3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3DDF0C" w14:textId="7AA2C96A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15E397" w14:textId="2CC8E9E7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C218C9" w14:textId="5B3DB700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A26EFD" w14:textId="1788C0A5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534085" w14:textId="38DF3291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A3AF14" w14:textId="53807A44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DF610B" w14:textId="4E9A8A68" w:rsidR="001E47EF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BCA675" w14:textId="77777777" w:rsidR="001E47EF" w:rsidRPr="00900E9B" w:rsidRDefault="001E47EF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624217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8E3855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13F5C4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C80E6F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DE94F1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9217C" w:rsidRPr="00A9217C" w14:paraId="2325F99B" w14:textId="77777777" w:rsidTr="00A9217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0F10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52CA42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217C" w:rsidRPr="00A9217C" w14:paraId="5FCC1381" w14:textId="77777777" w:rsidTr="00A9217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688F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E0BC" w14:textId="77777777" w:rsidR="00A9217C" w:rsidRDefault="00A9217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5B46" w14:textId="77777777" w:rsidR="00A9217C" w:rsidRDefault="00A921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746824" w14:textId="77777777" w:rsidR="00A9217C" w:rsidRDefault="00A9217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217C" w:rsidRPr="00A9217C" w14:paraId="08CD5318" w14:textId="77777777" w:rsidTr="00A9217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2164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AED7E3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0225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46827C0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C9B037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020D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AD7EEC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EAE12C" w14:textId="77777777" w:rsidR="00A9217C" w:rsidRDefault="00A921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7F97EBC" w14:textId="77777777" w:rsidR="00A9217C" w:rsidRDefault="00A9217C" w:rsidP="00A9217C"/>
    <w:p w14:paraId="497FC2EB" w14:textId="77777777" w:rsidR="00A9217C" w:rsidRDefault="00A9217C" w:rsidP="00A9217C"/>
    <w:p w14:paraId="46519C77" w14:textId="77777777" w:rsidR="001E47EF" w:rsidRPr="005F4EDD" w:rsidRDefault="001E47EF" w:rsidP="001E47E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3EC5BAB" w14:textId="77777777" w:rsidR="001E47EF" w:rsidRDefault="001E47EF" w:rsidP="001E47E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D85922D" w14:textId="77777777" w:rsidR="001E47EF" w:rsidRPr="001E47EF" w:rsidRDefault="001E47EF" w:rsidP="001E47EF">
      <w:pPr>
        <w:rPr>
          <w:rFonts w:ascii="Aptos" w:hAnsi="Aptos"/>
        </w:rPr>
      </w:pPr>
      <w:proofErr w:type="spellStart"/>
      <w:r>
        <w:rPr>
          <w:rFonts w:ascii="Calibri" w:hAnsi="Calibri" w:cs="Calibri"/>
          <w:color w:val="000000"/>
        </w:rPr>
        <w:t>Nnachor</w:t>
      </w:r>
      <w:proofErr w:type="spellEnd"/>
      <w:r>
        <w:rPr>
          <w:rFonts w:ascii="Calibri" w:hAnsi="Calibri" w:cs="Calibri"/>
          <w:color w:val="000000"/>
        </w:rPr>
        <w:t>, Amarachi Clare, Missouri University of Science and Technology, United State of America</w:t>
      </w:r>
      <w:r>
        <w:rPr>
          <w:rFonts w:ascii="Calibri" w:hAnsi="Calibri" w:cs="Calibri"/>
          <w:color w:val="000000"/>
        </w:rPr>
        <w:br/>
      </w:r>
    </w:p>
    <w:p w14:paraId="45659C4B" w14:textId="77777777" w:rsidR="00A9217C" w:rsidRDefault="00A9217C" w:rsidP="00A9217C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6629CACD" w14:textId="77777777" w:rsidR="00A9217C" w:rsidRDefault="00A9217C" w:rsidP="00A9217C"/>
    <w:p w14:paraId="152AB402" w14:textId="77777777" w:rsidR="008913D5" w:rsidRDefault="008913D5" w:rsidP="00A9217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D33C" w14:textId="77777777" w:rsidR="00E51FF1" w:rsidRPr="0000007A" w:rsidRDefault="00E51FF1" w:rsidP="0099583E">
      <w:r>
        <w:separator/>
      </w:r>
    </w:p>
  </w:endnote>
  <w:endnote w:type="continuationSeparator" w:id="0">
    <w:p w14:paraId="4C99A28B" w14:textId="77777777" w:rsidR="00E51FF1" w:rsidRPr="0000007A" w:rsidRDefault="00E51F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452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D3CEA" w14:textId="77777777" w:rsidR="00E51FF1" w:rsidRPr="0000007A" w:rsidRDefault="00E51FF1" w:rsidP="0099583E">
      <w:r>
        <w:separator/>
      </w:r>
    </w:p>
  </w:footnote>
  <w:footnote w:type="continuationSeparator" w:id="0">
    <w:p w14:paraId="4A933202" w14:textId="77777777" w:rsidR="00E51FF1" w:rsidRPr="0000007A" w:rsidRDefault="00E51F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CC4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58225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84F"/>
    <w:multiLevelType w:val="hybridMultilevel"/>
    <w:tmpl w:val="6A8CF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C6B69"/>
    <w:multiLevelType w:val="hybridMultilevel"/>
    <w:tmpl w:val="F4260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70860AF"/>
    <w:multiLevelType w:val="hybridMultilevel"/>
    <w:tmpl w:val="BB5E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123A3A"/>
    <w:multiLevelType w:val="hybridMultilevel"/>
    <w:tmpl w:val="B7D03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1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486B"/>
    <w:rsid w:val="000F7330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7E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A6CBB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1BB0"/>
    <w:rsid w:val="003A04E7"/>
    <w:rsid w:val="003A4991"/>
    <w:rsid w:val="003A6E1A"/>
    <w:rsid w:val="003B2172"/>
    <w:rsid w:val="003C7FC9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51D0"/>
    <w:rsid w:val="008D6E21"/>
    <w:rsid w:val="008F36E4"/>
    <w:rsid w:val="00933C8B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9217C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E665A"/>
    <w:rsid w:val="00AF3016"/>
    <w:rsid w:val="00B03A45"/>
    <w:rsid w:val="00B15AC3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120"/>
    <w:rsid w:val="00B858F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34DE"/>
    <w:rsid w:val="00CE199A"/>
    <w:rsid w:val="00CE5AC7"/>
    <w:rsid w:val="00CF0BBB"/>
    <w:rsid w:val="00CF43EE"/>
    <w:rsid w:val="00D1283A"/>
    <w:rsid w:val="00D17979"/>
    <w:rsid w:val="00D2075F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09B3"/>
    <w:rsid w:val="00DA41F5"/>
    <w:rsid w:val="00DB5B54"/>
    <w:rsid w:val="00DB7E1B"/>
    <w:rsid w:val="00DC1D81"/>
    <w:rsid w:val="00DD6161"/>
    <w:rsid w:val="00E3004F"/>
    <w:rsid w:val="00E451EA"/>
    <w:rsid w:val="00E51FF1"/>
    <w:rsid w:val="00E53E52"/>
    <w:rsid w:val="00E57F4B"/>
    <w:rsid w:val="00E63889"/>
    <w:rsid w:val="00E65EB7"/>
    <w:rsid w:val="00E71C8D"/>
    <w:rsid w:val="00E72360"/>
    <w:rsid w:val="00E93C9F"/>
    <w:rsid w:val="00E972A7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A0BA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CB32B"/>
  <w15:chartTrackingRefBased/>
  <w15:docId w15:val="{E3E40686-5ABC-4042-97C3-8B4352AA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47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5591-6CAC-4776-914D-88E07D15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2025-09-16T13:56:00Z</dcterms:created>
  <dcterms:modified xsi:type="dcterms:W3CDTF">2025-09-19T12:00:00Z</dcterms:modified>
</cp:coreProperties>
</file>