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FE" w:rsidRPr="003574FE" w:rsidRDefault="003574FE" w:rsidP="003574FE">
      <w:pPr>
        <w:pStyle w:val="Title"/>
        <w:jc w:val="both"/>
        <w:rPr>
          <w:rFonts w:ascii="Arial" w:hAnsi="Arial" w:cs="Arial"/>
          <w:bCs/>
          <w:i/>
          <w:iCs/>
          <w:u w:val="single"/>
        </w:rPr>
      </w:pPr>
      <w:r w:rsidRPr="003574FE">
        <w:rPr>
          <w:rFonts w:ascii="Arial" w:hAnsi="Arial" w:cs="Arial"/>
          <w:bCs/>
          <w:i/>
          <w:iCs/>
          <w:u w:val="single"/>
        </w:rPr>
        <w:t>Review Article</w:t>
      </w:r>
    </w:p>
    <w:p w:rsidR="00754C9A" w:rsidRPr="00397409" w:rsidRDefault="00754C9A" w:rsidP="00441B6F">
      <w:pPr>
        <w:pStyle w:val="Title"/>
        <w:spacing w:after="0"/>
        <w:jc w:val="both"/>
        <w:rPr>
          <w:rFonts w:ascii="Arial" w:hAnsi="Arial" w:cs="Arial"/>
        </w:rPr>
      </w:pPr>
    </w:p>
    <w:p w:rsidR="00397409" w:rsidRDefault="00397409" w:rsidP="00397409">
      <w:pPr>
        <w:ind w:left="720"/>
        <w:jc w:val="right"/>
        <w:rPr>
          <w:rFonts w:ascii="Arial" w:hAnsi="Arial" w:cs="Arial"/>
          <w:b/>
          <w:bCs/>
          <w:sz w:val="36"/>
          <w:szCs w:val="36"/>
        </w:rPr>
      </w:pPr>
      <w:r w:rsidRPr="00397409">
        <w:rPr>
          <w:rFonts w:ascii="Arial" w:hAnsi="Arial" w:cs="Arial"/>
          <w:b/>
          <w:bCs/>
          <w:sz w:val="36"/>
          <w:szCs w:val="36"/>
        </w:rPr>
        <w:t>Agrochemical Burdens in Mulberry-Silkworm Ecosystems: Soil Health, Silk Safety, and Sustainable Alternatives</w:t>
      </w:r>
    </w:p>
    <w:p w:rsidR="003C55A0" w:rsidRDefault="003C55A0" w:rsidP="00397409">
      <w:pPr>
        <w:ind w:left="720"/>
        <w:jc w:val="right"/>
        <w:rPr>
          <w:rFonts w:ascii="Arial" w:hAnsi="Arial" w:cs="Arial"/>
          <w:b/>
          <w:bCs/>
          <w:sz w:val="36"/>
          <w:szCs w:val="36"/>
        </w:rPr>
      </w:pPr>
    </w:p>
    <w:p w:rsidR="003C55A0" w:rsidRPr="003C55A0" w:rsidRDefault="003C55A0" w:rsidP="003C55A0">
      <w:pPr>
        <w:jc w:val="both"/>
        <w:rPr>
          <w:rFonts w:ascii="Arial" w:hAnsi="Arial" w:cs="Arial"/>
          <w:b/>
          <w:bCs/>
          <w:color w:val="FF0000"/>
          <w:sz w:val="36"/>
          <w:szCs w:val="36"/>
        </w:rPr>
      </w:pPr>
      <w:r w:rsidRPr="003C55A0">
        <w:rPr>
          <w:rFonts w:ascii="Arial" w:hAnsi="Arial" w:cs="Arial"/>
          <w:b/>
          <w:bCs/>
          <w:color w:val="FF0000"/>
          <w:sz w:val="24"/>
          <w:szCs w:val="36"/>
        </w:rPr>
        <w:t>Alternate Title: Sustainable Alternatives for Reducing Agrochemical Burdens in Mulberry-Silkworm Ecosystems</w:t>
      </w:r>
    </w:p>
    <w:p w:rsidR="003C55A0" w:rsidRDefault="003C55A0" w:rsidP="00397409">
      <w:pPr>
        <w:ind w:left="720"/>
        <w:jc w:val="right"/>
        <w:rPr>
          <w:rFonts w:ascii="Arial" w:hAnsi="Arial" w:cs="Arial"/>
          <w:b/>
          <w:bCs/>
          <w:sz w:val="36"/>
          <w:szCs w:val="36"/>
        </w:rPr>
      </w:pPr>
    </w:p>
    <w:p w:rsidR="002C57D2" w:rsidRPr="00397409" w:rsidRDefault="002C57D2" w:rsidP="00441B6F">
      <w:pPr>
        <w:pStyle w:val="Affiliation"/>
        <w:spacing w:after="0" w:line="240" w:lineRule="auto"/>
        <w:jc w:val="both"/>
        <w:rPr>
          <w:rFonts w:ascii="Arial" w:hAnsi="Arial" w:cs="Arial"/>
        </w:rPr>
      </w:pPr>
    </w:p>
    <w:p w:rsidR="00B01FCD" w:rsidRPr="00397409" w:rsidRDefault="00FF0C05" w:rsidP="00441B6F">
      <w:pPr>
        <w:pStyle w:val="Copyright"/>
        <w:spacing w:after="0" w:line="240" w:lineRule="auto"/>
        <w:jc w:val="both"/>
        <w:rPr>
          <w:rFonts w:ascii="Arial" w:hAnsi="Arial" w:cs="Arial"/>
        </w:rPr>
        <w:sectPr w:rsidR="00B01FCD" w:rsidRPr="00397409" w:rsidSect="00B136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sidRPr="00397409">
        <w:rPr>
          <w:rFonts w:ascii="Arial" w:hAnsi="Arial" w:cs="Arial"/>
        </w:rPr>
        <w:t>.</w:t>
      </w:r>
    </w:p>
    <w:p w:rsidR="00B01FCD" w:rsidRPr="00397409" w:rsidRDefault="00B01FCD" w:rsidP="00441B6F">
      <w:pPr>
        <w:pStyle w:val="AbstHead"/>
        <w:spacing w:after="0"/>
        <w:jc w:val="both"/>
        <w:rPr>
          <w:rFonts w:ascii="Arial" w:hAnsi="Arial" w:cs="Arial"/>
        </w:rPr>
      </w:pPr>
      <w:r w:rsidRPr="00397409">
        <w:rPr>
          <w:rFonts w:ascii="Arial" w:hAnsi="Arial" w:cs="Arial"/>
        </w:rPr>
        <w:lastRenderedPageBreak/>
        <w:t>ABSTRACT</w:t>
      </w:r>
    </w:p>
    <w:p w:rsidR="00790ADA" w:rsidRPr="0039740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397409" w:rsidTr="001E44FE">
        <w:tc>
          <w:tcPr>
            <w:tcW w:w="9576" w:type="dxa"/>
            <w:shd w:val="clear" w:color="auto" w:fill="F2F2F2"/>
          </w:tcPr>
          <w:p w:rsidR="00505F06" w:rsidRPr="00397409" w:rsidRDefault="00397409" w:rsidP="00397409">
            <w:pPr>
              <w:pStyle w:val="NormalWeb"/>
              <w:jc w:val="both"/>
              <w:rPr>
                <w:rFonts w:ascii="Arial" w:hAnsi="Arial" w:cs="Arial"/>
                <w:sz w:val="20"/>
                <w:szCs w:val="20"/>
              </w:rPr>
            </w:pPr>
            <w:r w:rsidRPr="00397409">
              <w:rPr>
                <w:rFonts w:ascii="Arial" w:hAnsi="Arial" w:cs="Arial"/>
                <w:sz w:val="20"/>
                <w:szCs w:val="20"/>
              </w:rPr>
              <w:t>Mulberry-based sericulture, a key contributor to global silk production, sometimes uses fertilizers, fungicides, and insecticides to maintain leaf yield and quality, with practices varying across regions and management systems. These agrochemicals can persist in soil, disrupt microbial communities, and create ecotoxicological stress that affects mulberry health. Residues move from soil and foliage to silkworms, causing sublethal and lethal effects on larval growth, silk gland activity, cocoon quality, and silk fibre properties. This review synthesizes current evidence on agrochemical entry and persistence in soils, impacts on soil biological functions, residue transfer to silkworms, and consequences for silk production and quality. It also discusses sustainable alternatives, including integrated pest management, microbial inoculants, organic amendments, and bioremediation approaches, which can reduce chemical loads while maintaining productivity. By mapping the soil–leaf–silkworm pathway, the paper provides an evidence-based framework for balancing productivity with environmental health and silk safety, offering actionable insights for researchers, practitioners, and policymakers.</w:t>
            </w:r>
          </w:p>
        </w:tc>
      </w:tr>
    </w:tbl>
    <w:p w:rsidR="00636EB2" w:rsidRPr="00397409" w:rsidRDefault="00636EB2" w:rsidP="00441B6F">
      <w:pPr>
        <w:pStyle w:val="Body"/>
        <w:spacing w:after="0"/>
        <w:rPr>
          <w:rFonts w:ascii="Arial" w:hAnsi="Arial" w:cs="Arial"/>
          <w:i/>
        </w:rPr>
      </w:pPr>
    </w:p>
    <w:p w:rsidR="0024282C" w:rsidRPr="00397409" w:rsidRDefault="00A24E7E" w:rsidP="00441B6F">
      <w:pPr>
        <w:pStyle w:val="Body"/>
        <w:spacing w:after="0"/>
        <w:rPr>
          <w:rFonts w:ascii="Arial" w:hAnsi="Arial" w:cs="Arial"/>
          <w:i/>
        </w:rPr>
      </w:pPr>
      <w:r w:rsidRPr="00397409">
        <w:rPr>
          <w:rFonts w:ascii="Arial" w:hAnsi="Arial" w:cs="Arial"/>
          <w:i/>
        </w:rPr>
        <w:t xml:space="preserve">Keywords: </w:t>
      </w:r>
      <w:r w:rsidR="00397409" w:rsidRPr="00397409">
        <w:rPr>
          <w:rFonts w:ascii="Arial" w:hAnsi="Arial" w:cs="Arial"/>
          <w:i/>
        </w:rPr>
        <w:t>Agrochemicals, Soil ecotoxicology, Silk quality, Integrated pest management, Biofertilizers, Sustainable agriculture</w:t>
      </w:r>
    </w:p>
    <w:p w:rsidR="00505F06" w:rsidRPr="00397409" w:rsidRDefault="00505F06" w:rsidP="00441B6F">
      <w:pPr>
        <w:pStyle w:val="Body"/>
        <w:spacing w:after="0"/>
        <w:rPr>
          <w:rFonts w:ascii="Arial" w:hAnsi="Arial" w:cs="Arial"/>
          <w:i/>
        </w:rPr>
      </w:pPr>
    </w:p>
    <w:p w:rsidR="00397409" w:rsidRDefault="00B01FCD" w:rsidP="00E77CC7">
      <w:pPr>
        <w:pStyle w:val="AbstHead"/>
        <w:numPr>
          <w:ilvl w:val="0"/>
          <w:numId w:val="33"/>
        </w:numPr>
        <w:spacing w:after="0"/>
        <w:jc w:val="both"/>
        <w:rPr>
          <w:rFonts w:ascii="Arial" w:hAnsi="Arial" w:cs="Arial"/>
        </w:rPr>
      </w:pPr>
      <w:r w:rsidRPr="00397409">
        <w:rPr>
          <w:rFonts w:ascii="Arial" w:hAnsi="Arial" w:cs="Arial"/>
        </w:rPr>
        <w:t>INTRODUCTION</w:t>
      </w:r>
    </w:p>
    <w:p w:rsidR="00E77CC7" w:rsidRPr="00397409" w:rsidRDefault="00E77CC7" w:rsidP="00E77CC7">
      <w:pPr>
        <w:pStyle w:val="AbstHead"/>
        <w:spacing w:after="0"/>
        <w:jc w:val="both"/>
        <w:rPr>
          <w:rFonts w:ascii="Arial" w:hAnsi="Arial" w:cs="Arial"/>
        </w:rPr>
      </w:pPr>
    </w:p>
    <w:p w:rsidR="00397409" w:rsidRPr="00397409" w:rsidRDefault="00397409" w:rsidP="00E77CC7">
      <w:pPr>
        <w:ind w:firstLine="720"/>
        <w:jc w:val="both"/>
        <w:rPr>
          <w:rFonts w:ascii="Arial" w:hAnsi="Arial" w:cs="Arial"/>
        </w:rPr>
      </w:pPr>
      <w:r w:rsidRPr="00397409">
        <w:rPr>
          <w:rFonts w:ascii="Arial" w:hAnsi="Arial" w:cs="Arial"/>
        </w:rPr>
        <w:t xml:space="preserve">Sericulture encompasses the rearing of different silkworm species on their respective host plants, producing a diverse range of natural silks such as mulberry, eri, tasar, and muga. Each system has its ecological and cultural significance, but mulberry-based sericulture with the domesticated silkworm </w:t>
      </w:r>
      <w:r w:rsidRPr="00397409">
        <w:rPr>
          <w:rFonts w:ascii="Arial" w:hAnsi="Arial" w:cs="Arial"/>
          <w:i/>
          <w:iCs/>
        </w:rPr>
        <w:t>Bombyx mori</w:t>
      </w:r>
      <w:r w:rsidRPr="00397409">
        <w:rPr>
          <w:rFonts w:ascii="Arial" w:hAnsi="Arial" w:cs="Arial"/>
        </w:rPr>
        <w:t xml:space="preserve"> remains the most widespread and commercially important, contributing the bulk of global silk production (Hăbeanu</w:t>
      </w:r>
      <w:r w:rsidRPr="00CE27C2">
        <w:rPr>
          <w:rFonts w:ascii="Arial" w:hAnsi="Arial" w:cs="Arial"/>
          <w:i/>
          <w:iCs/>
        </w:rPr>
        <w:t>et al.,</w:t>
      </w:r>
      <w:r w:rsidRPr="00397409">
        <w:rPr>
          <w:rFonts w:ascii="Arial" w:hAnsi="Arial" w:cs="Arial"/>
        </w:rPr>
        <w:t xml:space="preserve"> 2023). The productivity and quality of this system are strongly determined by mulberry leaf health and availability, making the mulberry–silkworm link central to both farm-level outcomes and market value.</w:t>
      </w:r>
    </w:p>
    <w:p w:rsidR="00397409" w:rsidRPr="00397409" w:rsidRDefault="00397409" w:rsidP="00E77CC7">
      <w:pPr>
        <w:ind w:firstLine="720"/>
        <w:jc w:val="both"/>
        <w:rPr>
          <w:rFonts w:ascii="Arial" w:hAnsi="Arial" w:cs="Arial"/>
        </w:rPr>
      </w:pPr>
      <w:r w:rsidRPr="00397409">
        <w:rPr>
          <w:rFonts w:ascii="Arial" w:hAnsi="Arial" w:cs="Arial"/>
        </w:rPr>
        <w:t xml:space="preserve">In many mulberry-growing regions farmers rely on chemical fertilizers, fungicides and insecticides to </w:t>
      </w:r>
      <w:r w:rsidR="00EB6C63" w:rsidRPr="00EB6C63">
        <w:rPr>
          <w:rFonts w:ascii="Arial" w:hAnsi="Arial" w:cs="Arial"/>
          <w:color w:val="FF0000"/>
        </w:rPr>
        <w:t xml:space="preserve">control pests and </w:t>
      </w:r>
      <w:r w:rsidRPr="00EB6C63">
        <w:rPr>
          <w:rFonts w:ascii="Arial" w:hAnsi="Arial" w:cs="Arial"/>
          <w:color w:val="FF0000"/>
        </w:rPr>
        <w:t>secure leaf yield</w:t>
      </w:r>
      <w:r w:rsidRPr="00397409">
        <w:rPr>
          <w:rFonts w:ascii="Arial" w:hAnsi="Arial" w:cs="Arial"/>
        </w:rPr>
        <w:t xml:space="preserve">. These agrochemicals enter and persist in soil, alter chemical and biological soil properties, and can create ecotoxicological pressure on soil communities that support mulberry health (Fernández-Marcos, 2024; </w:t>
      </w:r>
      <w:r w:rsidRPr="00397409">
        <w:rPr>
          <w:rFonts w:ascii="Arial" w:hAnsi="Arial" w:cs="Arial"/>
        </w:rPr>
        <w:lastRenderedPageBreak/>
        <w:t xml:space="preserve">Shahid &amp; Khan, 2022). </w:t>
      </w:r>
      <w:commentRangeStart w:id="1"/>
      <w:r w:rsidRPr="00397409">
        <w:rPr>
          <w:rFonts w:ascii="Arial" w:hAnsi="Arial" w:cs="Arial"/>
        </w:rPr>
        <w:t>Soil ecotoxicology has matured as a field in the last decade because it links contaminant fate with ecosystem functions such as nutrient cycling, organic matter turnover and microbial-mediated plant health, all of which are essential for sustained mulberry productivity (Fernández-Marcos, 2024).</w:t>
      </w:r>
      <w:commentRangeEnd w:id="1"/>
      <w:r w:rsidR="00EB6C63">
        <w:rPr>
          <w:rStyle w:val="CommentReference"/>
          <w:rFonts w:ascii="Times New Roman" w:hAnsi="Times New Roman"/>
          <w:lang w:val="nb-NO" w:eastAsia="nb-NO"/>
        </w:rPr>
        <w:commentReference w:id="1"/>
      </w:r>
    </w:p>
    <w:p w:rsidR="00397409" w:rsidRPr="00397409" w:rsidRDefault="00397409" w:rsidP="00E77CC7">
      <w:pPr>
        <w:ind w:firstLine="720"/>
        <w:jc w:val="both"/>
        <w:rPr>
          <w:rFonts w:ascii="Arial" w:hAnsi="Arial" w:cs="Arial"/>
        </w:rPr>
      </w:pPr>
      <w:r w:rsidRPr="00397409">
        <w:rPr>
          <w:rFonts w:ascii="Arial" w:hAnsi="Arial" w:cs="Arial"/>
        </w:rPr>
        <w:t xml:space="preserve">Importantly, agrochemical residues do not remain confined to soil. They can accumulate in mulberry leaves and reach silkworms through feeding, or reach larvae via spray drift and contaminated irrigation. Experimental and field studies report measurable sublethal and lethal effects on </w:t>
      </w:r>
      <w:r w:rsidRPr="00397409">
        <w:rPr>
          <w:rFonts w:ascii="Arial" w:hAnsi="Arial" w:cs="Arial"/>
          <w:i/>
          <w:iCs/>
        </w:rPr>
        <w:t>B. mori</w:t>
      </w:r>
      <w:r w:rsidRPr="00397409">
        <w:rPr>
          <w:rFonts w:ascii="Arial" w:hAnsi="Arial" w:cs="Arial"/>
        </w:rPr>
        <w:t xml:space="preserve">: reduced larval growth, oxidative stress, histopathological damage to silk glands, altered gene expression for silk proteins, decreased cocooning rates, and lower cocoon/shell weights (He </w:t>
      </w:r>
      <w:r w:rsidRPr="00CE27C2">
        <w:rPr>
          <w:rFonts w:ascii="Arial" w:hAnsi="Arial" w:cs="Arial"/>
          <w:i/>
          <w:iCs/>
        </w:rPr>
        <w:t>et al.,</w:t>
      </w:r>
      <w:r w:rsidRPr="00397409">
        <w:rPr>
          <w:rFonts w:ascii="Arial" w:hAnsi="Arial" w:cs="Arial"/>
        </w:rPr>
        <w:t xml:space="preserve"> 2024; Hazarika </w:t>
      </w:r>
      <w:r w:rsidRPr="00CE27C2">
        <w:rPr>
          <w:rFonts w:ascii="Arial" w:hAnsi="Arial" w:cs="Arial"/>
          <w:i/>
          <w:iCs/>
        </w:rPr>
        <w:t>et al.,</w:t>
      </w:r>
      <w:r w:rsidRPr="00397409">
        <w:rPr>
          <w:rFonts w:ascii="Arial" w:hAnsi="Arial" w:cs="Arial"/>
        </w:rPr>
        <w:t xml:space="preserve"> 2024). These findings demonstrate a clear soil–leaf–silkworm pathway by which agrochemical burdens undermine both ecological integrity and silk production.</w:t>
      </w:r>
    </w:p>
    <w:p w:rsidR="00397409" w:rsidRPr="00397409" w:rsidRDefault="00397409" w:rsidP="00E77CC7">
      <w:pPr>
        <w:ind w:firstLine="720"/>
        <w:jc w:val="both"/>
        <w:rPr>
          <w:rFonts w:ascii="Arial" w:hAnsi="Arial" w:cs="Arial"/>
        </w:rPr>
      </w:pPr>
      <w:r w:rsidRPr="00397409">
        <w:rPr>
          <w:rFonts w:ascii="Arial" w:hAnsi="Arial" w:cs="Arial"/>
        </w:rPr>
        <w:t>Given these risks, the present review focusses on the eco-toxicological dimension of agrochemical use in mulberry–silkworm ecosystems. We synthesize evidence on (1) agrochemical entry and persistence in mulberry soils, (2) effects on soil biological functions that support mulberry health, (3) residue transfer to leaves and silkworms and consequent impacts on silkworm physiology and silk quality, and (4) practical, sustainable alternatives that reduce chemical loads while maintaining productivity. The aim is to provide a concise, evidence-based assessment that helps researchers and practitioners balance productivity with environmental and product safety.</w:t>
      </w:r>
    </w:p>
    <w:p w:rsidR="00E77CC7" w:rsidRDefault="00E77CC7" w:rsidP="00E77CC7">
      <w:pPr>
        <w:pStyle w:val="ListParagraph"/>
        <w:numPr>
          <w:ilvl w:val="0"/>
          <w:numId w:val="32"/>
        </w:numPr>
        <w:spacing w:before="100" w:beforeAutospacing="1" w:after="100" w:afterAutospacing="1"/>
        <w:jc w:val="both"/>
        <w:outlineLvl w:val="1"/>
        <w:rPr>
          <w:rFonts w:ascii="Arial" w:hAnsi="Arial" w:cs="Arial"/>
          <w:b/>
          <w:bCs/>
          <w:sz w:val="22"/>
          <w:szCs w:val="22"/>
          <w:lang w:eastAsia="en-IN"/>
        </w:rPr>
      </w:pPr>
      <w:r w:rsidRPr="00E77CC7">
        <w:rPr>
          <w:rFonts w:ascii="Arial" w:hAnsi="Arial" w:cs="Arial"/>
          <w:b/>
          <w:bCs/>
          <w:sz w:val="22"/>
          <w:szCs w:val="22"/>
          <w:lang w:eastAsia="en-IN"/>
        </w:rPr>
        <w:t>AGROCHEMICAL PATHWAYS IN MULBERRY–SOIL SYSTEMS</w:t>
      </w:r>
    </w:p>
    <w:p w:rsidR="00397409" w:rsidRPr="00E77CC7" w:rsidRDefault="00397409" w:rsidP="00E77CC7">
      <w:pPr>
        <w:pStyle w:val="ListParagraph"/>
        <w:numPr>
          <w:ilvl w:val="1"/>
          <w:numId w:val="32"/>
        </w:numPr>
        <w:spacing w:before="100" w:beforeAutospacing="1" w:after="100" w:afterAutospacing="1"/>
        <w:jc w:val="both"/>
        <w:outlineLvl w:val="1"/>
        <w:rPr>
          <w:rFonts w:ascii="Arial" w:hAnsi="Arial" w:cs="Arial"/>
          <w:b/>
          <w:bCs/>
          <w:sz w:val="20"/>
          <w:szCs w:val="20"/>
          <w:lang w:eastAsia="en-IN"/>
        </w:rPr>
      </w:pPr>
      <w:r w:rsidRPr="00E77CC7">
        <w:rPr>
          <w:rFonts w:ascii="Arial" w:hAnsi="Arial" w:cs="Arial"/>
          <w:b/>
          <w:bCs/>
          <w:sz w:val="22"/>
          <w:szCs w:val="22"/>
          <w:lang w:eastAsia="en-IN"/>
        </w:rPr>
        <w:t>Types and uses of agrochemicals in mulberry cultivation</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Mulberry farming relies heavily on agrochemical inputs to maintain leaf productivity and quality, given that leaves are the exclusive feed resource for silkworms. Fertilizers are applied to boost nitrogen for protein synthesis, phosphorus for root and shoot growth, potassium for leaf expansion and stress tolerance, and micronutrients like zinc, magnesium, and iron to fine-tune chlorophyll formation and enzymatic activity, all of which directly shape cocoon yield and silk quality (Doliș</w:t>
      </w:r>
      <w:r w:rsidRPr="00CE27C2">
        <w:rPr>
          <w:rFonts w:ascii="Arial" w:hAnsi="Arial" w:cs="Arial"/>
          <w:i/>
          <w:iCs/>
          <w:sz w:val="20"/>
          <w:szCs w:val="20"/>
        </w:rPr>
        <w:t>et al.,</w:t>
      </w:r>
      <w:r w:rsidRPr="00E77CC7">
        <w:rPr>
          <w:rFonts w:ascii="Arial" w:hAnsi="Arial" w:cs="Arial"/>
          <w:sz w:val="20"/>
          <w:szCs w:val="20"/>
        </w:rPr>
        <w:t xml:space="preserve"> 2024). To control the biotic pressures on mulberry foliage, fungicides such as triazoles and strobilurins are used against powdery mildew and leaf spot diseases, while insecticides, including neonicotinoids, organophosphates, and pyrethroids, target defoliators and sap-sucking pests that impair photosynthesis and reduce usable leaf biomass (Hazarika </w:t>
      </w:r>
      <w:r w:rsidRPr="00CE27C2">
        <w:rPr>
          <w:rFonts w:ascii="Arial" w:hAnsi="Arial" w:cs="Arial"/>
          <w:i/>
          <w:iCs/>
          <w:sz w:val="20"/>
          <w:szCs w:val="20"/>
        </w:rPr>
        <w:t>et al.,</w:t>
      </w:r>
      <w:r w:rsidRPr="00E77CC7">
        <w:rPr>
          <w:rFonts w:ascii="Arial" w:hAnsi="Arial" w:cs="Arial"/>
          <w:sz w:val="20"/>
          <w:szCs w:val="20"/>
        </w:rPr>
        <w:t xml:space="preserve"> 2024). In practice, especially among smallholder producers, these applications are often done preventively following fixed calendars rather than threshold-based monitoring, leading to over-application and repeated layering of residues. Such practices not only increase production costs but also intensify the risk of chemical buildup in soils and potential transfer into the silkworm food chain (Shahid &amp; Khan, 2022). </w:t>
      </w:r>
      <w:r w:rsidRPr="00E77CC7">
        <w:rPr>
          <w:rFonts w:ascii="Arial" w:hAnsi="Arial" w:cs="Arial"/>
          <w:b/>
          <w:bCs/>
          <w:sz w:val="20"/>
          <w:szCs w:val="20"/>
        </w:rPr>
        <w:t>Table 1</w:t>
      </w:r>
      <w:r w:rsidRPr="00E77CC7">
        <w:rPr>
          <w:rFonts w:ascii="Arial" w:hAnsi="Arial" w:cs="Arial"/>
          <w:sz w:val="20"/>
          <w:szCs w:val="20"/>
        </w:rPr>
        <w:t xml:space="preserve"> summarizes the main agrochemicals used in mulberry cultivation, their target pests or nutrient roles, modes of application, and potential persistence in soil and leaves.</w:t>
      </w:r>
    </w:p>
    <w:p w:rsidR="00397409" w:rsidRDefault="00397409" w:rsidP="00397409">
      <w:pPr>
        <w:jc w:val="center"/>
        <w:rPr>
          <w:rFonts w:ascii="Arial" w:hAnsi="Arial" w:cs="Arial"/>
          <w:b/>
          <w:bCs/>
        </w:rPr>
      </w:pPr>
      <w:r w:rsidRPr="00E77CC7">
        <w:rPr>
          <w:rFonts w:ascii="Arial" w:hAnsi="Arial" w:cs="Arial"/>
          <w:b/>
          <w:bCs/>
        </w:rPr>
        <w:t>Table 1. Agrochemical Use in Mulberry Cultivation and Environmental Fate</w:t>
      </w:r>
    </w:p>
    <w:p w:rsidR="00E77CC7" w:rsidRPr="00E77CC7" w:rsidRDefault="00E77CC7" w:rsidP="00397409">
      <w:pPr>
        <w:jc w:val="center"/>
        <w:rPr>
          <w:rFonts w:ascii="Arial" w:hAnsi="Arial" w:cs="Arial"/>
          <w:b/>
          <w:bCs/>
        </w:rPr>
      </w:pPr>
    </w:p>
    <w:tbl>
      <w:tblPr>
        <w:tblStyle w:val="TableGrid"/>
        <w:tblW w:w="0" w:type="auto"/>
        <w:jc w:val="center"/>
        <w:tblLook w:val="04A0"/>
      </w:tblPr>
      <w:tblGrid>
        <w:gridCol w:w="1228"/>
        <w:gridCol w:w="1561"/>
        <w:gridCol w:w="1340"/>
        <w:gridCol w:w="1050"/>
        <w:gridCol w:w="1076"/>
        <w:gridCol w:w="1170"/>
        <w:gridCol w:w="999"/>
      </w:tblGrid>
      <w:tr w:rsidR="00397409" w:rsidRPr="00E77CC7" w:rsidTr="00F9024D">
        <w:trPr>
          <w:trHeight w:val="1328"/>
          <w:jc w:val="center"/>
        </w:trPr>
        <w:tc>
          <w:tcPr>
            <w:tcW w:w="1316"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Agrochemical Type</w:t>
            </w:r>
          </w:p>
        </w:tc>
        <w:tc>
          <w:tcPr>
            <w:tcW w:w="1684"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Active Ingredient(s)</w:t>
            </w:r>
          </w:p>
        </w:tc>
        <w:tc>
          <w:tcPr>
            <w:tcW w:w="1442"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Target Pest/Disease</w:t>
            </w:r>
          </w:p>
        </w:tc>
        <w:tc>
          <w:tcPr>
            <w:tcW w:w="1144"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Mode of Application</w:t>
            </w:r>
          </w:p>
        </w:tc>
        <w:tc>
          <w:tcPr>
            <w:tcW w:w="1102"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Soil Persistence / Half-life</w:t>
            </w:r>
          </w:p>
        </w:tc>
        <w:tc>
          <w:tcPr>
            <w:tcW w:w="1277"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Leaf Residue Potential</w:t>
            </w:r>
          </w:p>
        </w:tc>
        <w:tc>
          <w:tcPr>
            <w:tcW w:w="1051"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Reference</w:t>
            </w:r>
          </w:p>
        </w:tc>
      </w:tr>
      <w:tr w:rsidR="00397409" w:rsidRPr="00E77CC7" w:rsidTr="00F9024D">
        <w:trPr>
          <w:trHeight w:val="1403"/>
          <w:jc w:val="center"/>
        </w:trPr>
        <w:tc>
          <w:tcPr>
            <w:tcW w:w="131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lastRenderedPageBreak/>
              <w:t>Fertilizers</w:t>
            </w:r>
          </w:p>
        </w:tc>
        <w:tc>
          <w:tcPr>
            <w:tcW w:w="168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N, P, K, Zn, Mg, Fe</w:t>
            </w:r>
          </w:p>
        </w:tc>
        <w:tc>
          <w:tcPr>
            <w:tcW w:w="144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Nutrient supplementation</w:t>
            </w:r>
          </w:p>
        </w:tc>
        <w:tc>
          <w:tcPr>
            <w:tcW w:w="114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Soil application</w:t>
            </w:r>
          </w:p>
        </w:tc>
        <w:tc>
          <w:tcPr>
            <w:tcW w:w="110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Low–medium; varies by soil type</w:t>
            </w:r>
          </w:p>
        </w:tc>
        <w:tc>
          <w:tcPr>
            <w:tcW w:w="1277"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Indirect via root uptake</w:t>
            </w:r>
          </w:p>
        </w:tc>
        <w:tc>
          <w:tcPr>
            <w:tcW w:w="1051"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Doliș</w:t>
            </w:r>
            <w:r w:rsidRPr="00CE27C2">
              <w:rPr>
                <w:rFonts w:ascii="Arial" w:hAnsi="Arial" w:cs="Arial"/>
                <w:i/>
                <w:iCs/>
                <w:sz w:val="20"/>
                <w:szCs w:val="20"/>
              </w:rPr>
              <w:t>et al.,</w:t>
            </w:r>
            <w:r w:rsidRPr="00E77CC7">
              <w:rPr>
                <w:rFonts w:ascii="Arial" w:hAnsi="Arial" w:cs="Arial"/>
                <w:sz w:val="20"/>
                <w:szCs w:val="20"/>
              </w:rPr>
              <w:t xml:space="preserve"> 2024</w:t>
            </w:r>
          </w:p>
          <w:p w:rsidR="00397409" w:rsidRPr="00E77CC7" w:rsidRDefault="00397409" w:rsidP="00F9024D">
            <w:pPr>
              <w:rPr>
                <w:rFonts w:ascii="Arial" w:hAnsi="Arial" w:cs="Arial"/>
                <w:sz w:val="20"/>
                <w:szCs w:val="20"/>
              </w:rPr>
            </w:pPr>
          </w:p>
          <w:p w:rsidR="00397409" w:rsidRPr="00E77CC7" w:rsidRDefault="00397409" w:rsidP="00F9024D">
            <w:pPr>
              <w:rPr>
                <w:rFonts w:ascii="Arial" w:hAnsi="Arial" w:cs="Arial"/>
                <w:sz w:val="20"/>
                <w:szCs w:val="20"/>
              </w:rPr>
            </w:pPr>
          </w:p>
        </w:tc>
      </w:tr>
      <w:tr w:rsidR="00397409" w:rsidRPr="00E77CC7" w:rsidTr="00F9024D">
        <w:trPr>
          <w:trHeight w:val="1409"/>
          <w:jc w:val="center"/>
        </w:trPr>
        <w:tc>
          <w:tcPr>
            <w:tcW w:w="131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Fungicides</w:t>
            </w:r>
          </w:p>
        </w:tc>
        <w:tc>
          <w:tcPr>
            <w:tcW w:w="168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Triazoles, Strobilurins</w:t>
            </w:r>
          </w:p>
        </w:tc>
        <w:tc>
          <w:tcPr>
            <w:tcW w:w="144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Powdery mildew, leaf spot</w:t>
            </w:r>
          </w:p>
        </w:tc>
        <w:tc>
          <w:tcPr>
            <w:tcW w:w="114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Foliar spray</w:t>
            </w:r>
          </w:p>
        </w:tc>
        <w:tc>
          <w:tcPr>
            <w:tcW w:w="110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Moderate; may accumulate</w:t>
            </w:r>
          </w:p>
        </w:tc>
        <w:tc>
          <w:tcPr>
            <w:tcW w:w="1277"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High</w:t>
            </w:r>
          </w:p>
        </w:tc>
        <w:tc>
          <w:tcPr>
            <w:tcW w:w="1051"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 xml:space="preserve">Hazarika </w:t>
            </w:r>
            <w:r w:rsidRPr="00CE27C2">
              <w:rPr>
                <w:rFonts w:ascii="Arial" w:hAnsi="Arial" w:cs="Arial"/>
                <w:i/>
                <w:iCs/>
                <w:sz w:val="20"/>
                <w:szCs w:val="20"/>
              </w:rPr>
              <w:t>et al.,</w:t>
            </w:r>
            <w:r w:rsidRPr="00E77CC7">
              <w:rPr>
                <w:rFonts w:ascii="Arial" w:hAnsi="Arial" w:cs="Arial"/>
                <w:sz w:val="20"/>
                <w:szCs w:val="20"/>
              </w:rPr>
              <w:t xml:space="preserve"> 2024</w:t>
            </w:r>
          </w:p>
        </w:tc>
      </w:tr>
      <w:tr w:rsidR="00397409" w:rsidRPr="00E77CC7" w:rsidTr="00F9024D">
        <w:trPr>
          <w:trHeight w:val="699"/>
          <w:jc w:val="center"/>
        </w:trPr>
        <w:tc>
          <w:tcPr>
            <w:tcW w:w="131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Insecticides</w:t>
            </w:r>
          </w:p>
        </w:tc>
        <w:tc>
          <w:tcPr>
            <w:tcW w:w="168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Neonicotinoids, Organophosphates, Pyrethroids</w:t>
            </w:r>
          </w:p>
        </w:tc>
        <w:tc>
          <w:tcPr>
            <w:tcW w:w="144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Defoliators, sap-suckers</w:t>
            </w:r>
          </w:p>
          <w:p w:rsidR="00397409" w:rsidRPr="00E77CC7" w:rsidRDefault="00397409" w:rsidP="00F9024D">
            <w:pPr>
              <w:rPr>
                <w:rFonts w:ascii="Arial" w:hAnsi="Arial" w:cs="Arial"/>
                <w:sz w:val="20"/>
                <w:szCs w:val="20"/>
              </w:rPr>
            </w:pPr>
          </w:p>
        </w:tc>
        <w:tc>
          <w:tcPr>
            <w:tcW w:w="114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Soil/foliar</w:t>
            </w:r>
          </w:p>
        </w:tc>
        <w:tc>
          <w:tcPr>
            <w:tcW w:w="110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Variable; some persist</w:t>
            </w:r>
          </w:p>
        </w:tc>
        <w:tc>
          <w:tcPr>
            <w:tcW w:w="1277"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Direct leaf contamination</w:t>
            </w:r>
          </w:p>
        </w:tc>
        <w:tc>
          <w:tcPr>
            <w:tcW w:w="1051"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 xml:space="preserve">Hazarika </w:t>
            </w:r>
            <w:r w:rsidRPr="00CE27C2">
              <w:rPr>
                <w:rFonts w:ascii="Arial" w:hAnsi="Arial" w:cs="Arial"/>
                <w:i/>
                <w:iCs/>
                <w:sz w:val="20"/>
                <w:szCs w:val="20"/>
              </w:rPr>
              <w:t>et al.,</w:t>
            </w:r>
            <w:r w:rsidRPr="00E77CC7">
              <w:rPr>
                <w:rFonts w:ascii="Arial" w:hAnsi="Arial" w:cs="Arial"/>
                <w:sz w:val="20"/>
                <w:szCs w:val="20"/>
              </w:rPr>
              <w:t xml:space="preserve"> 2024; Shahid &amp; Khan, 2022</w:t>
            </w:r>
          </w:p>
        </w:tc>
      </w:tr>
      <w:tr w:rsidR="00397409" w:rsidRPr="00E77CC7" w:rsidTr="00F9024D">
        <w:trPr>
          <w:trHeight w:val="1404"/>
          <w:jc w:val="center"/>
        </w:trPr>
        <w:tc>
          <w:tcPr>
            <w:tcW w:w="131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Herbicides</w:t>
            </w:r>
          </w:p>
        </w:tc>
        <w:tc>
          <w:tcPr>
            <w:tcW w:w="168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Glyphosate, Atrazine</w:t>
            </w:r>
          </w:p>
        </w:tc>
        <w:tc>
          <w:tcPr>
            <w:tcW w:w="144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Weeds</w:t>
            </w:r>
          </w:p>
        </w:tc>
        <w:tc>
          <w:tcPr>
            <w:tcW w:w="114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Soil/foliar</w:t>
            </w:r>
          </w:p>
        </w:tc>
        <w:tc>
          <w:tcPr>
            <w:tcW w:w="110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Moderate–high; leaching possible</w:t>
            </w:r>
          </w:p>
        </w:tc>
        <w:tc>
          <w:tcPr>
            <w:tcW w:w="1277"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Low</w:t>
            </w:r>
          </w:p>
        </w:tc>
        <w:tc>
          <w:tcPr>
            <w:tcW w:w="1051"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Fernández-Marcos, 2024</w:t>
            </w:r>
          </w:p>
        </w:tc>
      </w:tr>
      <w:tr w:rsidR="00397409" w:rsidRPr="00E77CC7" w:rsidTr="00F9024D">
        <w:trPr>
          <w:trHeight w:val="1693"/>
          <w:jc w:val="center"/>
        </w:trPr>
        <w:tc>
          <w:tcPr>
            <w:tcW w:w="131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Others</w:t>
            </w:r>
          </w:p>
        </w:tc>
        <w:tc>
          <w:tcPr>
            <w:tcW w:w="168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Chlorantraniliprole, Phoxim</w:t>
            </w:r>
          </w:p>
        </w:tc>
        <w:tc>
          <w:tcPr>
            <w:tcW w:w="144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Specific pests</w:t>
            </w:r>
          </w:p>
        </w:tc>
        <w:tc>
          <w:tcPr>
            <w:tcW w:w="1144"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Foliar</w:t>
            </w:r>
          </w:p>
        </w:tc>
        <w:tc>
          <w:tcPr>
            <w:tcW w:w="1102"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Moderate</w:t>
            </w:r>
          </w:p>
        </w:tc>
        <w:tc>
          <w:tcPr>
            <w:tcW w:w="1277"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Moderate</w:t>
            </w:r>
          </w:p>
        </w:tc>
        <w:tc>
          <w:tcPr>
            <w:tcW w:w="1051"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 xml:space="preserve">He </w:t>
            </w:r>
            <w:r w:rsidRPr="00CE27C2">
              <w:rPr>
                <w:rFonts w:ascii="Arial" w:hAnsi="Arial" w:cs="Arial"/>
                <w:i/>
                <w:iCs/>
                <w:sz w:val="20"/>
                <w:szCs w:val="20"/>
              </w:rPr>
              <w:t>et al.,</w:t>
            </w:r>
            <w:r w:rsidRPr="00E77CC7">
              <w:rPr>
                <w:rFonts w:ascii="Arial" w:hAnsi="Arial" w:cs="Arial"/>
                <w:sz w:val="20"/>
                <w:szCs w:val="20"/>
              </w:rPr>
              <w:t xml:space="preserve"> 2024; Xie </w:t>
            </w:r>
            <w:r w:rsidRPr="00CE27C2">
              <w:rPr>
                <w:rFonts w:ascii="Arial" w:hAnsi="Arial" w:cs="Arial"/>
                <w:i/>
                <w:iCs/>
                <w:sz w:val="20"/>
                <w:szCs w:val="20"/>
              </w:rPr>
              <w:t>et al.,</w:t>
            </w:r>
            <w:r w:rsidRPr="00E77CC7">
              <w:rPr>
                <w:rFonts w:ascii="Arial" w:hAnsi="Arial" w:cs="Arial"/>
                <w:sz w:val="20"/>
                <w:szCs w:val="20"/>
              </w:rPr>
              <w:t xml:space="preserve"> 2025</w:t>
            </w:r>
          </w:p>
        </w:tc>
      </w:tr>
    </w:tbl>
    <w:p w:rsidR="00397409" w:rsidRPr="00E77CC7" w:rsidRDefault="00397409" w:rsidP="00E77CC7">
      <w:pPr>
        <w:pStyle w:val="ListParagraph"/>
        <w:numPr>
          <w:ilvl w:val="1"/>
          <w:numId w:val="32"/>
        </w:numPr>
        <w:spacing w:before="100" w:beforeAutospacing="1" w:after="100" w:afterAutospacing="1"/>
        <w:jc w:val="both"/>
        <w:outlineLvl w:val="2"/>
        <w:rPr>
          <w:rFonts w:ascii="Arial" w:hAnsi="Arial" w:cs="Arial"/>
          <w:b/>
          <w:bCs/>
          <w:sz w:val="22"/>
          <w:szCs w:val="22"/>
          <w:lang w:eastAsia="en-IN"/>
        </w:rPr>
      </w:pPr>
      <w:r w:rsidRPr="00E77CC7">
        <w:rPr>
          <w:rFonts w:ascii="Arial" w:hAnsi="Arial" w:cs="Arial"/>
          <w:b/>
          <w:bCs/>
          <w:sz w:val="22"/>
          <w:szCs w:val="22"/>
          <w:lang w:eastAsia="en-IN"/>
        </w:rPr>
        <w:t>Entry points and environmental fate in soil</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Once applied, agrochemicals from mulberry plots follow multiple entry routes into the soil system: direct incorporation during basal fertilization, leaching of soluble nutrients, spray drift during foliar applications, percolation with irrigation water, and surface runoff during rainfall events. Even atmospheric deposition from volatilized compounds can contribute to soil loading over time (Shahid &amp; Khan, 2022). Their persistence and mobility within the soil are shaped by a combination of chemical properties, such as water solubility, partitioning coefficient (Kₒc), and degradation half-life, and site conditions including texture, organic matter content, pH, and local climate patterns (Fernández-Marcos, 2024). For instance, sandy soils with low organic carbon and high rainfall promote leaching, while clay-rich soils with higher sorption capacity trap residues in the root zone where mulberry roots and rhizosphere microbes are most active. This accumulation transforms soil exposure from short-lived, high-intensity pulses after spraying into chronic low-level contamination across the growing cycle, creating sustained ecological pressure on microbial communities, earthworms, and other soil biota, with cascading effects on soil fertility and long-term mulberry health (Ewere</w:t>
      </w:r>
      <w:r w:rsidRPr="00CE27C2">
        <w:rPr>
          <w:rFonts w:ascii="Arial" w:hAnsi="Arial" w:cs="Arial"/>
          <w:i/>
          <w:iCs/>
          <w:sz w:val="20"/>
          <w:szCs w:val="20"/>
        </w:rPr>
        <w:t>et al.,</w:t>
      </w:r>
      <w:r w:rsidRPr="00E77CC7">
        <w:rPr>
          <w:rFonts w:ascii="Arial" w:hAnsi="Arial" w:cs="Arial"/>
          <w:sz w:val="20"/>
          <w:szCs w:val="20"/>
        </w:rPr>
        <w:t xml:space="preserve"> 2024).</w:t>
      </w:r>
    </w:p>
    <w:p w:rsidR="00397409" w:rsidRPr="00E77CC7" w:rsidRDefault="00397409" w:rsidP="00E77CC7">
      <w:pPr>
        <w:pStyle w:val="ListParagraph"/>
        <w:numPr>
          <w:ilvl w:val="1"/>
          <w:numId w:val="32"/>
        </w:numPr>
        <w:spacing w:before="100" w:beforeAutospacing="1" w:after="100" w:afterAutospacing="1"/>
        <w:jc w:val="both"/>
        <w:outlineLvl w:val="2"/>
        <w:rPr>
          <w:rFonts w:ascii="Arial" w:hAnsi="Arial" w:cs="Arial"/>
          <w:b/>
          <w:bCs/>
          <w:lang w:eastAsia="en-IN"/>
        </w:rPr>
      </w:pPr>
      <w:r w:rsidRPr="00E77CC7">
        <w:rPr>
          <w:rFonts w:ascii="Arial" w:hAnsi="Arial" w:cs="Arial"/>
          <w:b/>
          <w:bCs/>
          <w:lang w:eastAsia="en-IN"/>
        </w:rPr>
        <w:t xml:space="preserve">Residue </w:t>
      </w:r>
      <w:r w:rsidRPr="00E77CC7">
        <w:rPr>
          <w:rFonts w:ascii="Arial" w:hAnsi="Arial" w:cs="Arial"/>
          <w:b/>
          <w:bCs/>
          <w:sz w:val="22"/>
          <w:szCs w:val="22"/>
          <w:lang w:eastAsia="en-IN"/>
        </w:rPr>
        <w:t xml:space="preserve">persistence </w:t>
      </w:r>
      <w:r w:rsidRPr="00E77CC7">
        <w:rPr>
          <w:rFonts w:ascii="Arial" w:hAnsi="Arial" w:cs="Arial"/>
          <w:b/>
          <w:bCs/>
          <w:lang w:eastAsia="en-IN"/>
        </w:rPr>
        <w:t>and transformation</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lastRenderedPageBreak/>
        <w:t>Even though most modern agrochemicals are engineered for reduced persistence compared to legacy compounds like organochlorines, their breakdown dynamics in soil are complex and often context-dependent. Degradation can proceed through abiotic pathways such as hydrolysis, photolysis, and oxidation, but biological degradation by soil microbes typically represents the dominant sink in mulberry soils. The efficiency of microbial breakdown depends on the abundance of specialist taxa and the functional capacity of the broader community, which itself may be impaired by repeated chemical inputs (Ewere</w:t>
      </w:r>
      <w:r w:rsidRPr="00CE27C2">
        <w:rPr>
          <w:rFonts w:ascii="Arial" w:hAnsi="Arial" w:cs="Arial"/>
          <w:i/>
          <w:iCs/>
          <w:sz w:val="20"/>
          <w:szCs w:val="20"/>
        </w:rPr>
        <w:t>et al.,</w:t>
      </w:r>
      <w:r w:rsidRPr="00E77CC7">
        <w:rPr>
          <w:rFonts w:ascii="Arial" w:hAnsi="Arial" w:cs="Arial"/>
          <w:sz w:val="20"/>
          <w:szCs w:val="20"/>
        </w:rPr>
        <w:t xml:space="preserve"> 2024). Importantly, degradation does not necessarily equate to detoxification: intermediate metabolites can persist longer than their parent compounds, maintain comparable bioactivity, or in some cases become more toxic. Such transformations create an underappreciated ecological risk, as residues may exert pressure on soil organisms and mulberry plants long after the initial application (Fernández-Marcos, 2024). This highlights the need for evaluating not just persistence half-lives but also the toxicological profiles of breakdown products when assessing agrochemical footprints in sericulture landscapes.</w:t>
      </w:r>
    </w:p>
    <w:p w:rsidR="00397409" w:rsidRPr="00E77CC7" w:rsidRDefault="00397409" w:rsidP="00E77CC7">
      <w:pPr>
        <w:pStyle w:val="ListParagraph"/>
        <w:numPr>
          <w:ilvl w:val="1"/>
          <w:numId w:val="32"/>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E77CC7">
        <w:rPr>
          <w:rFonts w:ascii="Arial" w:eastAsia="Times New Roman" w:hAnsi="Arial" w:cs="Arial"/>
          <w:b/>
          <w:bCs/>
          <w:kern w:val="0"/>
          <w:sz w:val="22"/>
          <w:szCs w:val="22"/>
          <w:lang w:eastAsia="en-IN"/>
        </w:rPr>
        <w:t xml:space="preserve"> </w:t>
      </w:r>
      <w:commentRangeStart w:id="2"/>
      <w:r w:rsidRPr="00E77CC7">
        <w:rPr>
          <w:rFonts w:ascii="Arial" w:eastAsia="Times New Roman" w:hAnsi="Arial" w:cs="Arial"/>
          <w:b/>
          <w:bCs/>
          <w:kern w:val="0"/>
          <w:sz w:val="22"/>
          <w:szCs w:val="22"/>
          <w:lang w:eastAsia="en-IN"/>
        </w:rPr>
        <w:t>Movement into plant tissue and the leaf–silkworm pathway</w:t>
      </w:r>
      <w:commentRangeEnd w:id="2"/>
      <w:r w:rsidR="003C55A0">
        <w:rPr>
          <w:rStyle w:val="CommentReference"/>
          <w:rFonts w:ascii="Times New Roman" w:eastAsia="Times New Roman" w:hAnsi="Times New Roman" w:cs="Times New Roman"/>
          <w:kern w:val="0"/>
          <w:lang w:val="nb-NO" w:eastAsia="nb-NO"/>
        </w:rPr>
        <w:commentReference w:id="2"/>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The contamination pathway from soil to silkworms is mediated primarily through mulberry leaves, which serve as the sole feed resource in </w:t>
      </w:r>
      <w:r w:rsidRPr="00E77CC7">
        <w:rPr>
          <w:rFonts w:ascii="Arial" w:hAnsi="Arial" w:cs="Arial"/>
          <w:i/>
          <w:iCs/>
          <w:sz w:val="20"/>
          <w:szCs w:val="20"/>
        </w:rPr>
        <w:t>Bombyx mori</w:t>
      </w:r>
      <w:r w:rsidRPr="00E77CC7">
        <w:rPr>
          <w:rFonts w:ascii="Arial" w:hAnsi="Arial" w:cs="Arial"/>
          <w:sz w:val="20"/>
          <w:szCs w:val="20"/>
        </w:rPr>
        <w:t xml:space="preserve">-based sericulture. Pesticide residues present in soil can be absorbed by mulberry roots and transported through the vascular system, a process especially efficient for systemic and moderately polar compounds (Hua </w:t>
      </w:r>
      <w:r w:rsidRPr="00CE27C2">
        <w:rPr>
          <w:rFonts w:ascii="Arial" w:hAnsi="Arial" w:cs="Arial"/>
          <w:i/>
          <w:iCs/>
          <w:sz w:val="20"/>
          <w:szCs w:val="20"/>
        </w:rPr>
        <w:t>et al.,</w:t>
      </w:r>
      <w:r w:rsidRPr="00E77CC7">
        <w:rPr>
          <w:rFonts w:ascii="Arial" w:hAnsi="Arial" w:cs="Arial"/>
          <w:sz w:val="20"/>
          <w:szCs w:val="20"/>
        </w:rPr>
        <w:t xml:space="preserve"> 2022). Foliar sprays add another route, depositing residues directly on the leaf surface, with spray drift capable of contaminating adjacent plots and even entering outdoor rearing spaces in smallholder farms (Lokanath</w:t>
      </w:r>
      <w:r w:rsidR="00CE27C2" w:rsidRPr="00CE27C2">
        <w:rPr>
          <w:rFonts w:ascii="Arial" w:hAnsi="Arial" w:cs="Arial"/>
          <w:i/>
          <w:iCs/>
          <w:sz w:val="20"/>
          <w:szCs w:val="20"/>
        </w:rPr>
        <w:t>et al.</w:t>
      </w:r>
      <w:r w:rsidRPr="00CE27C2">
        <w:rPr>
          <w:rFonts w:ascii="Arial" w:hAnsi="Arial" w:cs="Arial"/>
          <w:i/>
          <w:iCs/>
          <w:sz w:val="20"/>
          <w:szCs w:val="20"/>
        </w:rPr>
        <w:t>,</w:t>
      </w:r>
      <w:r w:rsidRPr="00E77CC7">
        <w:rPr>
          <w:rFonts w:ascii="Arial" w:hAnsi="Arial" w:cs="Arial"/>
          <w:sz w:val="20"/>
          <w:szCs w:val="20"/>
        </w:rPr>
        <w:t xml:space="preserve"> 2025). Once residues reach the leaves, they are inevitably ingested by silkworms, creating a direct soil–leaf–larval exposure pathway. Surveillance studies have confirmed detectable pesticide residues in mulberry foliage, while feeding trials and transcriptomic analyses demonstrate measurable impacts on larval physiology, growth rate, silk gland activity, and gene expression profiles (He </w:t>
      </w:r>
      <w:r w:rsidRPr="00CE27C2">
        <w:rPr>
          <w:rFonts w:ascii="Arial" w:hAnsi="Arial" w:cs="Arial"/>
          <w:i/>
          <w:iCs/>
          <w:sz w:val="20"/>
          <w:szCs w:val="20"/>
        </w:rPr>
        <w:t>et al.,</w:t>
      </w:r>
      <w:r w:rsidRPr="00E77CC7">
        <w:rPr>
          <w:rFonts w:ascii="Arial" w:hAnsi="Arial" w:cs="Arial"/>
          <w:sz w:val="20"/>
          <w:szCs w:val="20"/>
        </w:rPr>
        <w:t xml:space="preserve"> 2024; Hazarika </w:t>
      </w:r>
      <w:r w:rsidRPr="00CE27C2">
        <w:rPr>
          <w:rFonts w:ascii="Arial" w:hAnsi="Arial" w:cs="Arial"/>
          <w:i/>
          <w:iCs/>
          <w:sz w:val="20"/>
          <w:szCs w:val="20"/>
        </w:rPr>
        <w:t>et al.,</w:t>
      </w:r>
      <w:r w:rsidRPr="00E77CC7">
        <w:rPr>
          <w:rFonts w:ascii="Arial" w:hAnsi="Arial" w:cs="Arial"/>
          <w:sz w:val="20"/>
          <w:szCs w:val="20"/>
        </w:rPr>
        <w:t xml:space="preserve"> 2024). This chain of transfer underscores the ecological vulnerability of the mulberry–silkworm system and the importance of residue management not only for soil and plant health but also for cocoon safety and silk quality.</w:t>
      </w:r>
    </w:p>
    <w:p w:rsidR="00397409" w:rsidRPr="00E77CC7" w:rsidRDefault="00397409" w:rsidP="00E77CC7">
      <w:pPr>
        <w:pStyle w:val="ListParagraph"/>
        <w:numPr>
          <w:ilvl w:val="1"/>
          <w:numId w:val="32"/>
        </w:numPr>
        <w:spacing w:before="100" w:beforeAutospacing="1" w:after="100" w:afterAutospacing="1" w:line="240" w:lineRule="auto"/>
        <w:jc w:val="both"/>
        <w:outlineLvl w:val="2"/>
        <w:rPr>
          <w:rFonts w:ascii="Arial" w:eastAsia="Times New Roman" w:hAnsi="Arial" w:cs="Arial"/>
          <w:b/>
          <w:bCs/>
          <w:kern w:val="0"/>
          <w:sz w:val="22"/>
          <w:szCs w:val="22"/>
          <w:lang w:eastAsia="en-IN"/>
        </w:rPr>
      </w:pPr>
      <w:r w:rsidRPr="00E77CC7">
        <w:rPr>
          <w:rFonts w:ascii="Arial" w:eastAsia="Times New Roman" w:hAnsi="Arial" w:cs="Arial"/>
          <w:b/>
          <w:bCs/>
          <w:kern w:val="0"/>
          <w:sz w:val="22"/>
          <w:szCs w:val="22"/>
          <w:lang w:eastAsia="en-IN"/>
        </w:rPr>
        <w:t xml:space="preserve"> </w:t>
      </w:r>
      <w:commentRangeStart w:id="3"/>
      <w:r w:rsidRPr="00E77CC7">
        <w:rPr>
          <w:rFonts w:ascii="Arial" w:eastAsia="Times New Roman" w:hAnsi="Arial" w:cs="Arial"/>
          <w:b/>
          <w:bCs/>
          <w:kern w:val="0"/>
          <w:sz w:val="22"/>
          <w:szCs w:val="22"/>
          <w:lang w:eastAsia="en-IN"/>
        </w:rPr>
        <w:t>Effects on soil biota, enzymes and fertility</w:t>
      </w:r>
      <w:commentRangeEnd w:id="3"/>
      <w:r w:rsidR="003C55A0">
        <w:rPr>
          <w:rStyle w:val="CommentReference"/>
          <w:rFonts w:ascii="Times New Roman" w:eastAsia="Times New Roman" w:hAnsi="Times New Roman" w:cs="Times New Roman"/>
          <w:kern w:val="0"/>
          <w:lang w:val="nb-NO" w:eastAsia="nb-NO"/>
        </w:rPr>
        <w:commentReference w:id="3"/>
      </w:r>
    </w:p>
    <w:p w:rsidR="00397409" w:rsidRPr="00E77CC7" w:rsidRDefault="00397409" w:rsidP="00E77CC7">
      <w:pPr>
        <w:spacing w:before="100" w:beforeAutospacing="1" w:after="100" w:afterAutospacing="1"/>
        <w:ind w:firstLine="720"/>
        <w:jc w:val="both"/>
        <w:rPr>
          <w:rFonts w:ascii="Arial" w:hAnsi="Arial" w:cs="Arial"/>
          <w:lang w:eastAsia="en-IN"/>
        </w:rPr>
      </w:pPr>
      <w:r w:rsidRPr="00E77CC7">
        <w:rPr>
          <w:rFonts w:ascii="Arial" w:hAnsi="Arial" w:cs="Arial"/>
          <w:lang w:eastAsia="en-IN"/>
        </w:rPr>
        <w:t xml:space="preserve">Agrochemicals influence non-target soil organisms in both dose- and chemistry-dependent ways. Recent studies show that residual pesticides can reduce microbial biomass, suppress beneficial taxa, and alter community composition in agricultural soils (Shahid &amp; Khan, 2022). Broader ecotoxicological assessments highlight that these disruptions extend to functional processes, with documented inhibition of key enzymes such as dehydrogenase, urease, and phosphatase, all of which play central roles in nutrient cycling and organic matter turnover (Fernández-Marcos, 2024; Daunoras </w:t>
      </w:r>
      <w:r w:rsidRPr="00CE27C2">
        <w:rPr>
          <w:rFonts w:ascii="Arial" w:hAnsi="Arial" w:cs="Arial"/>
          <w:i/>
          <w:iCs/>
          <w:lang w:eastAsia="en-IN"/>
        </w:rPr>
        <w:t>et al.,</w:t>
      </w:r>
      <w:r w:rsidRPr="00E77CC7">
        <w:rPr>
          <w:rFonts w:ascii="Arial" w:hAnsi="Arial" w:cs="Arial"/>
          <w:lang w:eastAsia="en-IN"/>
        </w:rPr>
        <w:t xml:space="preserve"> 2024). Such biochemical stress can translate into slower decomposition, disrupted nitrogen transformations, and ultimately reduced nutrient availability for host plants like mulberry, undermining leaf quality and silkworm nutrition. At the same time, management practices can mitigate these impacts. Long-term trials demonstrate that organic amendments, such as compost, biochar, and manure supports microbial recovery and enhance enzyme activities, buffering soils against pesticide stress (Wojewódzki </w:t>
      </w:r>
      <w:r w:rsidRPr="00CE27C2">
        <w:rPr>
          <w:rFonts w:ascii="Arial" w:hAnsi="Arial" w:cs="Arial"/>
          <w:i/>
          <w:iCs/>
          <w:lang w:eastAsia="en-IN"/>
        </w:rPr>
        <w:t>et al.,</w:t>
      </w:r>
      <w:r w:rsidRPr="00E77CC7">
        <w:rPr>
          <w:rFonts w:ascii="Arial" w:hAnsi="Arial" w:cs="Arial"/>
          <w:lang w:eastAsia="en-IN"/>
        </w:rPr>
        <w:t xml:space="preserve"> 2022; Liu </w:t>
      </w:r>
      <w:r w:rsidRPr="00CE27C2">
        <w:rPr>
          <w:rFonts w:ascii="Arial" w:hAnsi="Arial" w:cs="Arial"/>
          <w:i/>
          <w:iCs/>
          <w:lang w:eastAsia="en-IN"/>
        </w:rPr>
        <w:t>et al.,</w:t>
      </w:r>
      <w:r w:rsidRPr="00E77CC7">
        <w:rPr>
          <w:rFonts w:ascii="Arial" w:hAnsi="Arial" w:cs="Arial"/>
          <w:lang w:eastAsia="en-IN"/>
        </w:rPr>
        <w:t xml:space="preserve"> 2023). Similarly, bioremediation-oriented systems using microbial communities have been shown to actively degrade pesticide residues, reducing their persistence and toxicity in the soil environment (Ewere</w:t>
      </w:r>
      <w:r w:rsidRPr="00CE27C2">
        <w:rPr>
          <w:rFonts w:ascii="Arial" w:hAnsi="Arial" w:cs="Arial"/>
          <w:i/>
          <w:iCs/>
          <w:lang w:eastAsia="en-IN"/>
        </w:rPr>
        <w:t>et al.,</w:t>
      </w:r>
      <w:r w:rsidRPr="00E77CC7">
        <w:rPr>
          <w:rFonts w:ascii="Arial" w:hAnsi="Arial" w:cs="Arial"/>
          <w:lang w:eastAsia="en-IN"/>
        </w:rPr>
        <w:t xml:space="preserve"> 2024). Together, this evidence underscores that soil biological health is highly sensitive to agrochemical load, but that sustainable inputs and microbial remediation strategies can sustain fertility and ecological balance.</w:t>
      </w:r>
    </w:p>
    <w:p w:rsidR="00397409" w:rsidRPr="00E77CC7" w:rsidRDefault="00397409" w:rsidP="00E77CC7">
      <w:pPr>
        <w:pStyle w:val="NormalWeb"/>
        <w:ind w:firstLine="360"/>
        <w:jc w:val="both"/>
        <w:rPr>
          <w:rFonts w:ascii="Arial" w:hAnsi="Arial" w:cs="Arial"/>
          <w:sz w:val="20"/>
          <w:szCs w:val="20"/>
        </w:rPr>
      </w:pPr>
      <w:r w:rsidRPr="00E77CC7">
        <w:rPr>
          <w:rFonts w:ascii="Arial" w:hAnsi="Arial" w:cs="Arial"/>
          <w:sz w:val="20"/>
          <w:szCs w:val="20"/>
        </w:rPr>
        <w:lastRenderedPageBreak/>
        <w:t>Repeated agrochemical inputs create chronic exposure scenarios in mulberry soils. That exposure affects residue persistence, soil functions, and the leaf</w:t>
      </w:r>
      <w:r w:rsidR="00CE27C2">
        <w:rPr>
          <w:rFonts w:ascii="Arial" w:hAnsi="Arial" w:cs="Arial"/>
          <w:sz w:val="20"/>
          <w:szCs w:val="20"/>
        </w:rPr>
        <w:t>-</w:t>
      </w:r>
      <w:r w:rsidRPr="00E77CC7">
        <w:rPr>
          <w:rFonts w:ascii="Arial" w:hAnsi="Arial" w:cs="Arial"/>
          <w:sz w:val="20"/>
          <w:szCs w:val="20"/>
        </w:rPr>
        <w:t>silkworm exposure pathway. For a production system so tightly linked by a single food chain, even modest shifts in soil biological function can reduce leaf quality and raise the risk of silkworm toxicity. Therefore, understanding chemical fate in soil and its biological consequences is critical to protecting both productivity and product safety.</w:t>
      </w:r>
    </w:p>
    <w:p w:rsidR="00397409" w:rsidRPr="00E77CC7" w:rsidRDefault="00E77CC7" w:rsidP="00E77CC7">
      <w:pPr>
        <w:pStyle w:val="ListParagraph"/>
        <w:numPr>
          <w:ilvl w:val="0"/>
          <w:numId w:val="32"/>
        </w:numPr>
        <w:jc w:val="both"/>
        <w:rPr>
          <w:rFonts w:ascii="Arial" w:hAnsi="Arial" w:cs="Arial"/>
          <w:b/>
          <w:bCs/>
          <w:sz w:val="20"/>
          <w:szCs w:val="20"/>
        </w:rPr>
      </w:pPr>
      <w:r w:rsidRPr="00E77CC7">
        <w:rPr>
          <w:rFonts w:ascii="Arial" w:hAnsi="Arial" w:cs="Arial"/>
          <w:b/>
          <w:bCs/>
          <w:sz w:val="20"/>
          <w:szCs w:val="20"/>
        </w:rPr>
        <w:t>IMPACTS ON SILKWORM HEALTH AND SILK QUALITY</w:t>
      </w:r>
    </w:p>
    <w:p w:rsidR="00397409" w:rsidRPr="00E77CC7" w:rsidRDefault="00397409" w:rsidP="00E77CC7">
      <w:pPr>
        <w:pStyle w:val="ListParagraph"/>
        <w:numPr>
          <w:ilvl w:val="1"/>
          <w:numId w:val="32"/>
        </w:numPr>
        <w:jc w:val="both"/>
        <w:rPr>
          <w:rFonts w:ascii="Arial" w:hAnsi="Arial" w:cs="Arial"/>
          <w:b/>
          <w:bCs/>
          <w:sz w:val="22"/>
          <w:szCs w:val="22"/>
        </w:rPr>
      </w:pPr>
      <w:r w:rsidRPr="00E77CC7">
        <w:rPr>
          <w:rStyle w:val="Strong"/>
          <w:rFonts w:ascii="Arial" w:eastAsiaTheme="majorEastAsia" w:hAnsi="Arial" w:cs="Arial"/>
          <w:sz w:val="22"/>
          <w:szCs w:val="22"/>
        </w:rPr>
        <w:t xml:space="preserve"> Transfer along the soil–leaf–silkworm pathway</w:t>
      </w:r>
    </w:p>
    <w:p w:rsidR="00397409" w:rsidRDefault="00397409" w:rsidP="00E77CC7">
      <w:pPr>
        <w:ind w:firstLine="720"/>
        <w:jc w:val="both"/>
        <w:rPr>
          <w:rFonts w:ascii="Arial" w:hAnsi="Arial" w:cs="Arial"/>
        </w:rPr>
      </w:pPr>
      <w:r w:rsidRPr="00E77CC7">
        <w:rPr>
          <w:rFonts w:ascii="Arial" w:hAnsi="Arial" w:cs="Arial"/>
        </w:rPr>
        <w:t xml:space="preserve">Agrochemicals applied in mulberry cultivation enter the silkworm food chain mainly through soil and foliage. Residues from soil-applied insecticides or fungicides can be absorbed by roots and translocated to the leaves, while foliar sprays deposit chemicals directly on the leaf surface. Since mulberry leaves are the exclusive diet of </w:t>
      </w:r>
      <w:r w:rsidRPr="00E77CC7">
        <w:rPr>
          <w:rFonts w:ascii="Arial" w:hAnsi="Arial" w:cs="Arial"/>
          <w:i/>
          <w:iCs/>
        </w:rPr>
        <w:t>Bombyx mori</w:t>
      </w:r>
      <w:r w:rsidRPr="00E77CC7">
        <w:rPr>
          <w:rFonts w:ascii="Arial" w:hAnsi="Arial" w:cs="Arial"/>
        </w:rPr>
        <w:t>, the silkworm has no way of avoiding these residues, which makes dietary exposure the most critical risk pathway. Residue detection studies using gas chromatography–tandem mass spectrometry (GC–MS/MS) and liquid chromatography</w:t>
      </w:r>
      <w:r w:rsidR="00CE27C2">
        <w:rPr>
          <w:rFonts w:ascii="Arial" w:hAnsi="Arial" w:cs="Arial"/>
        </w:rPr>
        <w:t>-</w:t>
      </w:r>
      <w:r w:rsidRPr="00E77CC7">
        <w:rPr>
          <w:rFonts w:ascii="Arial" w:hAnsi="Arial" w:cs="Arial"/>
        </w:rPr>
        <w:t xml:space="preserve">tandem mass spectrometry (LC–MS/MS) have confirmed the presence of a wide spectrum of pesticides, including organophosphates, pyrethroids, and neonicotinoids in mulberry leaves even days after application (Jiang </w:t>
      </w:r>
      <w:r w:rsidRPr="00CE27C2">
        <w:rPr>
          <w:rFonts w:ascii="Arial" w:hAnsi="Arial" w:cs="Arial"/>
          <w:i/>
          <w:iCs/>
        </w:rPr>
        <w:t>et al.,</w:t>
      </w:r>
      <w:r w:rsidRPr="00E77CC7">
        <w:rPr>
          <w:rFonts w:ascii="Arial" w:hAnsi="Arial" w:cs="Arial"/>
        </w:rPr>
        <w:t xml:space="preserve"> 2017; Hua </w:t>
      </w:r>
      <w:r w:rsidRPr="00CE27C2">
        <w:rPr>
          <w:rFonts w:ascii="Arial" w:hAnsi="Arial" w:cs="Arial"/>
          <w:i/>
          <w:iCs/>
        </w:rPr>
        <w:t>et al.,</w:t>
      </w:r>
      <w:r w:rsidRPr="00E77CC7">
        <w:rPr>
          <w:rFonts w:ascii="Arial" w:hAnsi="Arial" w:cs="Arial"/>
        </w:rPr>
        <w:t xml:space="preserve"> 2022). Controlled feeding experiments further show that these residues remain bioavailable to larvae and their impacts vary with pesticide chemistry, instar stage, and exposure level (He</w:t>
      </w:r>
      <w:r w:rsidR="00CE27C2" w:rsidRPr="00CE27C2">
        <w:rPr>
          <w:rFonts w:ascii="Arial" w:hAnsi="Arial" w:cs="Arial"/>
          <w:i/>
          <w:iCs/>
        </w:rPr>
        <w:t>et al.</w:t>
      </w:r>
      <w:r w:rsidRPr="00CE27C2">
        <w:rPr>
          <w:rFonts w:ascii="Arial" w:hAnsi="Arial" w:cs="Arial"/>
          <w:i/>
          <w:iCs/>
        </w:rPr>
        <w:t>,</w:t>
      </w:r>
      <w:r w:rsidRPr="00E77CC7">
        <w:rPr>
          <w:rFonts w:ascii="Arial" w:hAnsi="Arial" w:cs="Arial"/>
        </w:rPr>
        <w:t xml:space="preserve"> 2024; Hazarika </w:t>
      </w:r>
      <w:r w:rsidRPr="00CE27C2">
        <w:rPr>
          <w:rFonts w:ascii="Arial" w:hAnsi="Arial" w:cs="Arial"/>
          <w:i/>
          <w:iCs/>
        </w:rPr>
        <w:t>et al.,</w:t>
      </w:r>
      <w:r w:rsidRPr="00E77CC7">
        <w:rPr>
          <w:rFonts w:ascii="Arial" w:hAnsi="Arial" w:cs="Arial"/>
        </w:rPr>
        <w:t xml:space="preserve"> 2024). Recent reports emphasize that even when residues are below recommended maximum residue limits, repeated feeding across the larval cycle can result in cumulative stress on silkworm physiology (Lokanath</w:t>
      </w:r>
      <w:r w:rsidR="00CE27C2" w:rsidRPr="00CE27C2">
        <w:rPr>
          <w:rFonts w:ascii="Arial" w:hAnsi="Arial" w:cs="Arial"/>
          <w:i/>
          <w:iCs/>
        </w:rPr>
        <w:t>et al.</w:t>
      </w:r>
      <w:r w:rsidRPr="00CE27C2">
        <w:rPr>
          <w:rFonts w:ascii="Arial" w:hAnsi="Arial" w:cs="Arial"/>
          <w:i/>
          <w:iCs/>
        </w:rPr>
        <w:t>,</w:t>
      </w:r>
      <w:r w:rsidRPr="00E77CC7">
        <w:rPr>
          <w:rFonts w:ascii="Arial" w:hAnsi="Arial" w:cs="Arial"/>
        </w:rPr>
        <w:t xml:space="preserve"> 2025).</w:t>
      </w:r>
    </w:p>
    <w:p w:rsidR="00E77CC7" w:rsidRPr="00E77CC7" w:rsidRDefault="00E77CC7" w:rsidP="00E77CC7">
      <w:pPr>
        <w:jc w:val="both"/>
        <w:rPr>
          <w:rFonts w:ascii="Arial" w:hAnsi="Arial" w:cs="Arial"/>
        </w:rPr>
      </w:pPr>
    </w:p>
    <w:p w:rsidR="00397409" w:rsidRPr="00E77CC7" w:rsidRDefault="00397409" w:rsidP="00E77CC7">
      <w:pPr>
        <w:pStyle w:val="ListParagraph"/>
        <w:numPr>
          <w:ilvl w:val="1"/>
          <w:numId w:val="32"/>
        </w:numPr>
        <w:jc w:val="both"/>
        <w:rPr>
          <w:rStyle w:val="Strong"/>
          <w:rFonts w:ascii="Arial" w:hAnsi="Arial" w:cs="Arial"/>
          <w:sz w:val="22"/>
          <w:szCs w:val="22"/>
        </w:rPr>
      </w:pPr>
      <w:r w:rsidRPr="00E77CC7">
        <w:rPr>
          <w:rStyle w:val="Strong"/>
          <w:rFonts w:ascii="Arial" w:hAnsi="Arial" w:cs="Arial"/>
          <w:sz w:val="22"/>
          <w:szCs w:val="22"/>
        </w:rPr>
        <w:t xml:space="preserve"> Acute toxicity and mortality</w:t>
      </w:r>
    </w:p>
    <w:p w:rsidR="00397409" w:rsidRPr="00E77CC7" w:rsidRDefault="00397409" w:rsidP="00E77CC7">
      <w:pPr>
        <w:ind w:firstLine="720"/>
        <w:jc w:val="both"/>
        <w:rPr>
          <w:rFonts w:ascii="Arial" w:hAnsi="Arial" w:cs="Arial"/>
          <w:b/>
          <w:bCs/>
        </w:rPr>
      </w:pPr>
      <w:r w:rsidRPr="00E77CC7">
        <w:rPr>
          <w:rFonts w:ascii="Arial" w:hAnsi="Arial" w:cs="Arial"/>
        </w:rPr>
        <w:t>High-dose or improperly timed exposures can result in acute toxicity, which is visible within hours of feeding. Common symptoms include vomiting, gut paralysis, sluggish movements, reduced feeding, and sudden death. These effects are especially pronounced during early instars when larvae are physiologically more vulnerable and have limited detoxification capacity (Lokanath</w:t>
      </w:r>
      <w:r w:rsidR="00CE27C2" w:rsidRPr="00CE27C2">
        <w:rPr>
          <w:rFonts w:ascii="Arial" w:hAnsi="Arial" w:cs="Arial"/>
          <w:i/>
          <w:iCs/>
        </w:rPr>
        <w:t>et al.</w:t>
      </w:r>
      <w:r w:rsidRPr="00CE27C2">
        <w:rPr>
          <w:rFonts w:ascii="Arial" w:hAnsi="Arial" w:cs="Arial"/>
          <w:i/>
          <w:iCs/>
        </w:rPr>
        <w:t>,</w:t>
      </w:r>
      <w:r w:rsidRPr="00E77CC7">
        <w:rPr>
          <w:rFonts w:ascii="Arial" w:hAnsi="Arial" w:cs="Arial"/>
        </w:rPr>
        <w:t xml:space="preserve"> 2025; Sun </w:t>
      </w:r>
      <w:r w:rsidRPr="00CE27C2">
        <w:rPr>
          <w:rFonts w:ascii="Arial" w:hAnsi="Arial" w:cs="Arial"/>
          <w:i/>
          <w:iCs/>
        </w:rPr>
        <w:t>et al.,</w:t>
      </w:r>
      <w:r w:rsidRPr="00E77CC7">
        <w:rPr>
          <w:rFonts w:ascii="Arial" w:hAnsi="Arial" w:cs="Arial"/>
        </w:rPr>
        <w:t xml:space="preserve"> 2023). Organophosphates and carbamates are often implicated in such acute reactions, though newer insecticides like chlorantraniliprole can also trigger significant mortality if misused. Toxicological assays conducted under laboratory and semi-field conditions provide dose</w:t>
      </w:r>
      <w:r w:rsidR="00B968A0">
        <w:rPr>
          <w:rFonts w:ascii="Arial" w:hAnsi="Arial" w:cs="Arial"/>
        </w:rPr>
        <w:t>-</w:t>
      </w:r>
      <w:r w:rsidRPr="00E77CC7">
        <w:rPr>
          <w:rFonts w:ascii="Arial" w:hAnsi="Arial" w:cs="Arial"/>
        </w:rPr>
        <w:t xml:space="preserve">response curves that help establish threshold levels for safe use in sericulture fields (Sun </w:t>
      </w:r>
      <w:r w:rsidRPr="001E0196">
        <w:rPr>
          <w:rFonts w:ascii="Arial" w:hAnsi="Arial" w:cs="Arial"/>
          <w:i/>
          <w:iCs/>
        </w:rPr>
        <w:t>et al.,</w:t>
      </w:r>
      <w:r w:rsidRPr="00E77CC7">
        <w:rPr>
          <w:rFonts w:ascii="Arial" w:hAnsi="Arial" w:cs="Arial"/>
        </w:rPr>
        <w:t xml:space="preserve"> 2023). This has direct management implications, as exceeding those thresholds not only kills larvae but also disrupts rearing schedules, leading to economic losses for farmers.</w:t>
      </w:r>
    </w:p>
    <w:p w:rsidR="00397409" w:rsidRPr="00E77CC7" w:rsidRDefault="00397409" w:rsidP="00E77CC7">
      <w:pPr>
        <w:pStyle w:val="NormalWeb"/>
        <w:numPr>
          <w:ilvl w:val="1"/>
          <w:numId w:val="32"/>
        </w:numPr>
        <w:jc w:val="both"/>
        <w:rPr>
          <w:rFonts w:ascii="Arial" w:hAnsi="Arial" w:cs="Arial"/>
          <w:sz w:val="22"/>
          <w:szCs w:val="22"/>
        </w:rPr>
      </w:pPr>
      <w:r w:rsidRPr="00E77CC7">
        <w:rPr>
          <w:rStyle w:val="Strong"/>
          <w:rFonts w:ascii="Arial" w:eastAsiaTheme="majorEastAsia" w:hAnsi="Arial" w:cs="Arial"/>
          <w:sz w:val="22"/>
          <w:szCs w:val="22"/>
        </w:rPr>
        <w:t>Sublethal effects: growth, development, and cocoon traits</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Even when exposure does not kill larvae, sublethal impacts can be just as damaging to silk yield and quality. Continuous feeding on residue-contaminated leaves has been shown to reduce larval weight gain, delay molting, and extend the duration of the larval and pupal stages (Chen </w:t>
      </w:r>
      <w:r w:rsidRPr="001E0196">
        <w:rPr>
          <w:rFonts w:ascii="Arial" w:hAnsi="Arial" w:cs="Arial"/>
          <w:i/>
          <w:iCs/>
          <w:sz w:val="20"/>
          <w:szCs w:val="20"/>
        </w:rPr>
        <w:t>et al</w:t>
      </w:r>
      <w:r w:rsidR="001E0196" w:rsidRPr="001E0196">
        <w:rPr>
          <w:rFonts w:ascii="Arial" w:hAnsi="Arial" w:cs="Arial"/>
          <w:i/>
          <w:iCs/>
          <w:sz w:val="20"/>
          <w:szCs w:val="20"/>
        </w:rPr>
        <w:t>.</w:t>
      </w:r>
      <w:r w:rsidRPr="001E0196">
        <w:rPr>
          <w:rFonts w:ascii="Arial" w:hAnsi="Arial" w:cs="Arial"/>
          <w:i/>
          <w:iCs/>
          <w:sz w:val="20"/>
          <w:szCs w:val="20"/>
        </w:rPr>
        <w:t>,</w:t>
      </w:r>
      <w:r w:rsidRPr="00E77CC7">
        <w:rPr>
          <w:rFonts w:ascii="Arial" w:hAnsi="Arial" w:cs="Arial"/>
          <w:sz w:val="20"/>
          <w:szCs w:val="20"/>
        </w:rPr>
        <w:t xml:space="preserve"> 2023; He </w:t>
      </w:r>
      <w:r w:rsidRPr="001E0196">
        <w:rPr>
          <w:rFonts w:ascii="Arial" w:hAnsi="Arial" w:cs="Arial"/>
          <w:i/>
          <w:iCs/>
          <w:sz w:val="20"/>
          <w:szCs w:val="20"/>
        </w:rPr>
        <w:t>et al</w:t>
      </w:r>
      <w:r w:rsidR="001E0196" w:rsidRPr="001E0196">
        <w:rPr>
          <w:rFonts w:ascii="Arial" w:hAnsi="Arial" w:cs="Arial"/>
          <w:i/>
          <w:iCs/>
          <w:sz w:val="20"/>
          <w:szCs w:val="20"/>
        </w:rPr>
        <w:t>.</w:t>
      </w:r>
      <w:r w:rsidRPr="001E0196">
        <w:rPr>
          <w:rFonts w:ascii="Arial" w:hAnsi="Arial" w:cs="Arial"/>
          <w:i/>
          <w:iCs/>
          <w:sz w:val="20"/>
          <w:szCs w:val="20"/>
        </w:rPr>
        <w:t>,</w:t>
      </w:r>
      <w:r w:rsidRPr="00E77CC7">
        <w:rPr>
          <w:rFonts w:ascii="Arial" w:hAnsi="Arial" w:cs="Arial"/>
          <w:sz w:val="20"/>
          <w:szCs w:val="20"/>
        </w:rPr>
        <w:t xml:space="preserve"> 2024). Cocooning rates are often lower, and those cocoons that do form are smaller, lighter, and produce reduced shell weights. This directly decreases the shell ratio, which is a critical indicator of silk yield. Physiological analyses reveal disruptions in haemolymph protein and carbohydrate levels, oxidative damage in tissues, and reduced digestive enzyme activities, all of which lower silk gland activity and fibroin synthesis (Hazarika </w:t>
      </w:r>
      <w:r w:rsidRPr="001E0196">
        <w:rPr>
          <w:rFonts w:ascii="Arial" w:hAnsi="Arial" w:cs="Arial"/>
          <w:i/>
          <w:iCs/>
          <w:sz w:val="20"/>
          <w:szCs w:val="20"/>
        </w:rPr>
        <w:t>et al.,</w:t>
      </w:r>
      <w:r w:rsidRPr="00E77CC7">
        <w:rPr>
          <w:rFonts w:ascii="Arial" w:hAnsi="Arial" w:cs="Arial"/>
          <w:sz w:val="20"/>
          <w:szCs w:val="20"/>
        </w:rPr>
        <w:t xml:space="preserve"> 2024). Farmers may not immediately link these subtle </w:t>
      </w:r>
      <w:r w:rsidRPr="00E77CC7">
        <w:rPr>
          <w:rFonts w:ascii="Arial" w:hAnsi="Arial" w:cs="Arial"/>
          <w:sz w:val="20"/>
          <w:szCs w:val="20"/>
        </w:rPr>
        <w:lastRenderedPageBreak/>
        <w:t>changes to pesticide use, but over multiple crop cycles, sublethal impacts accumulate into significant productivity declines.</w:t>
      </w:r>
    </w:p>
    <w:p w:rsidR="00397409" w:rsidRPr="00E77CC7" w:rsidRDefault="00397409" w:rsidP="00E77CC7">
      <w:pPr>
        <w:pStyle w:val="NormalWeb"/>
        <w:numPr>
          <w:ilvl w:val="1"/>
          <w:numId w:val="32"/>
        </w:numPr>
        <w:jc w:val="both"/>
        <w:rPr>
          <w:rFonts w:ascii="Arial" w:hAnsi="Arial" w:cs="Arial"/>
          <w:sz w:val="22"/>
          <w:szCs w:val="22"/>
        </w:rPr>
      </w:pPr>
      <w:r w:rsidRPr="00E77CC7">
        <w:rPr>
          <w:rStyle w:val="Strong"/>
          <w:rFonts w:ascii="Arial" w:eastAsiaTheme="majorEastAsia" w:hAnsi="Arial" w:cs="Arial"/>
          <w:sz w:val="22"/>
          <w:szCs w:val="22"/>
        </w:rPr>
        <w:t>Molecular and cellular responses</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At the cellular level, pesticide exposure interferes with detoxification, immune, and silk-protein production pathways. Transcriptomic studies highlight the induction of stress-response genes, including those coding for cytochrome P450s, glutathione-S-transferases, and superoxide dismutases, which are part of the larval detox machinery (Huang </w:t>
      </w:r>
      <w:r w:rsidRPr="001E0196">
        <w:rPr>
          <w:rFonts w:ascii="Arial" w:hAnsi="Arial" w:cs="Arial"/>
          <w:i/>
          <w:iCs/>
          <w:sz w:val="20"/>
          <w:szCs w:val="20"/>
        </w:rPr>
        <w:t>et al.,</w:t>
      </w:r>
      <w:r w:rsidRPr="00E77CC7">
        <w:rPr>
          <w:rFonts w:ascii="Arial" w:hAnsi="Arial" w:cs="Arial"/>
          <w:sz w:val="20"/>
          <w:szCs w:val="20"/>
        </w:rPr>
        <w:t xml:space="preserve"> 2023; He </w:t>
      </w:r>
      <w:r w:rsidRPr="001E0196">
        <w:rPr>
          <w:rFonts w:ascii="Arial" w:hAnsi="Arial" w:cs="Arial"/>
          <w:i/>
          <w:iCs/>
          <w:sz w:val="20"/>
          <w:szCs w:val="20"/>
        </w:rPr>
        <w:t>et al.,</w:t>
      </w:r>
      <w:r w:rsidRPr="00E77CC7">
        <w:rPr>
          <w:rFonts w:ascii="Arial" w:hAnsi="Arial" w:cs="Arial"/>
          <w:sz w:val="20"/>
          <w:szCs w:val="20"/>
        </w:rPr>
        <w:t xml:space="preserve"> 2024). Oxidative stress leads to higher lipid peroxidation and compromised cell membrane integrity, while excessive autophagy and apoptosis in silk gland cells have been observed under certain pesticide exposures (Huang </w:t>
      </w:r>
      <w:r w:rsidRPr="001E0196">
        <w:rPr>
          <w:rFonts w:ascii="Arial" w:hAnsi="Arial" w:cs="Arial"/>
          <w:i/>
          <w:iCs/>
          <w:sz w:val="20"/>
          <w:szCs w:val="20"/>
        </w:rPr>
        <w:t>et al.,</w:t>
      </w:r>
      <w:r w:rsidRPr="00E77CC7">
        <w:rPr>
          <w:rFonts w:ascii="Arial" w:hAnsi="Arial" w:cs="Arial"/>
          <w:sz w:val="20"/>
          <w:szCs w:val="20"/>
        </w:rPr>
        <w:t xml:space="preserve"> 2023). These molecular disturbances reduce fibroin synthesis and silk secretion efficiency. Such findings are important because they explain why even “field-recommended” doses, though not immediately lethal, can still erode silk quality at the biochemical level.</w:t>
      </w:r>
    </w:p>
    <w:p w:rsidR="00397409" w:rsidRPr="00E77CC7" w:rsidRDefault="00397409" w:rsidP="00E77CC7">
      <w:pPr>
        <w:pStyle w:val="NormalWeb"/>
        <w:numPr>
          <w:ilvl w:val="1"/>
          <w:numId w:val="32"/>
        </w:numPr>
        <w:jc w:val="both"/>
        <w:rPr>
          <w:rFonts w:ascii="Arial" w:hAnsi="Arial" w:cs="Arial"/>
          <w:sz w:val="22"/>
          <w:szCs w:val="22"/>
        </w:rPr>
      </w:pPr>
      <w:r w:rsidRPr="00E77CC7">
        <w:rPr>
          <w:rStyle w:val="Strong"/>
          <w:rFonts w:ascii="Arial" w:eastAsiaTheme="majorEastAsia" w:hAnsi="Arial" w:cs="Arial"/>
          <w:sz w:val="22"/>
          <w:szCs w:val="22"/>
        </w:rPr>
        <w:t>Silk quality and emerging product-safety concerns</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Residues that disrupt larval physiology ultimately affect the silk fibre. Studies have reported reduced filament length, weaker tensile strength, and altered sericin/fibroin ratios after larvae fed on pesticide-treated mulberry (Hazarika </w:t>
      </w:r>
      <w:r w:rsidRPr="001E0196">
        <w:rPr>
          <w:rFonts w:ascii="Arial" w:hAnsi="Arial" w:cs="Arial"/>
          <w:i/>
          <w:iCs/>
          <w:sz w:val="20"/>
          <w:szCs w:val="20"/>
        </w:rPr>
        <w:t>et al.,</w:t>
      </w:r>
      <w:r w:rsidRPr="00E77CC7">
        <w:rPr>
          <w:rFonts w:ascii="Arial" w:hAnsi="Arial" w:cs="Arial"/>
          <w:sz w:val="20"/>
          <w:szCs w:val="20"/>
        </w:rPr>
        <w:t xml:space="preserve"> 2024). This not only reduces reelability but also compromises the gloss and durability of finished silk. While most pesticide residues are expected to degrade during cocoon processing, there is emerging evidence that trace residues can persist and enter raw silk, raising concerns for human safety and export compliance (Lokanath</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2025). </w:t>
      </w:r>
      <w:r w:rsidRPr="00E77CC7">
        <w:rPr>
          <w:rFonts w:ascii="Arial" w:hAnsi="Arial" w:cs="Arial"/>
          <w:b/>
          <w:bCs/>
          <w:sz w:val="20"/>
          <w:szCs w:val="20"/>
        </w:rPr>
        <w:t>Table 2</w:t>
      </w:r>
      <w:r w:rsidRPr="00E77CC7">
        <w:rPr>
          <w:rFonts w:ascii="Arial" w:hAnsi="Arial" w:cs="Arial"/>
          <w:sz w:val="20"/>
          <w:szCs w:val="20"/>
        </w:rPr>
        <w:t xml:space="preserve"> summarizes the documented impacts of major agrochemical residues on soil biological health, silkworm physiology, and silk quality, illustrating the full soil–leaf–silkworm exposure pathway.</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A recent study further showed that chronic low-dose exposure to an organophosphate (phoxim) impairs silk production by disrupting juvenile hormone-mediated fibroin synthesis, suggesting that even subclinical exposure levels can compromise silk quality and biosafety (Xie </w:t>
      </w:r>
      <w:r w:rsidRPr="001E0196">
        <w:rPr>
          <w:rFonts w:ascii="Arial" w:hAnsi="Arial" w:cs="Arial"/>
          <w:i/>
          <w:iCs/>
          <w:sz w:val="20"/>
          <w:szCs w:val="20"/>
        </w:rPr>
        <w:t>et al.,</w:t>
      </w:r>
      <w:r w:rsidRPr="00E77CC7">
        <w:rPr>
          <w:rFonts w:ascii="Arial" w:hAnsi="Arial" w:cs="Arial"/>
          <w:sz w:val="20"/>
          <w:szCs w:val="20"/>
        </w:rPr>
        <w:t xml:space="preserve"> 2025). With consumer markets increasingly attentive to chemical residues in natural fibres, this represents both a product-quality and regulatory challenge for sericulture. The long-term risk is that unchecked pesticide use could undermine silk’s reputation as a “natural and eco-friendly” product, making monitoring and mitigation more urgent than ever (El-Sheikh </w:t>
      </w:r>
      <w:r w:rsidRPr="001E0196">
        <w:rPr>
          <w:rFonts w:ascii="Arial" w:hAnsi="Arial" w:cs="Arial"/>
          <w:i/>
          <w:iCs/>
          <w:sz w:val="20"/>
          <w:szCs w:val="20"/>
        </w:rPr>
        <w:t>et al.,</w:t>
      </w:r>
      <w:r w:rsidRPr="00E77CC7">
        <w:rPr>
          <w:rFonts w:ascii="Arial" w:hAnsi="Arial" w:cs="Arial"/>
          <w:sz w:val="20"/>
          <w:szCs w:val="20"/>
        </w:rPr>
        <w:t xml:space="preserve"> 2023).</w:t>
      </w:r>
    </w:p>
    <w:p w:rsidR="00397409" w:rsidRDefault="00397409" w:rsidP="00397409">
      <w:pPr>
        <w:jc w:val="center"/>
        <w:rPr>
          <w:rFonts w:ascii="Arial" w:hAnsi="Arial" w:cs="Arial"/>
          <w:b/>
          <w:bCs/>
        </w:rPr>
      </w:pPr>
      <w:r w:rsidRPr="00E77CC7">
        <w:rPr>
          <w:rFonts w:ascii="Arial" w:hAnsi="Arial" w:cs="Arial"/>
          <w:b/>
          <w:bCs/>
        </w:rPr>
        <w:t>Table 2. Impacts of Agrochemical Residues on Soil, Silkworm Health, and Silk Quality</w:t>
      </w:r>
    </w:p>
    <w:p w:rsidR="00E77CC7" w:rsidRPr="00E77CC7" w:rsidRDefault="00E77CC7" w:rsidP="00397409">
      <w:pPr>
        <w:jc w:val="center"/>
        <w:rPr>
          <w:rFonts w:ascii="Arial" w:hAnsi="Arial" w:cs="Arial"/>
          <w:b/>
          <w:bCs/>
        </w:rPr>
      </w:pPr>
    </w:p>
    <w:tbl>
      <w:tblPr>
        <w:tblStyle w:val="TableGrid"/>
        <w:tblW w:w="0" w:type="auto"/>
        <w:tblLook w:val="04A0"/>
      </w:tblPr>
      <w:tblGrid>
        <w:gridCol w:w="1918"/>
        <w:gridCol w:w="1803"/>
        <w:gridCol w:w="1971"/>
        <w:gridCol w:w="1479"/>
        <w:gridCol w:w="1253"/>
      </w:tblGrid>
      <w:tr w:rsidR="00E77CC7" w:rsidRPr="00E77CC7" w:rsidTr="00E77CC7">
        <w:trPr>
          <w:trHeight w:val="943"/>
        </w:trPr>
        <w:tc>
          <w:tcPr>
            <w:tcW w:w="1809"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Agrochemical / Residue</w:t>
            </w:r>
          </w:p>
        </w:tc>
        <w:tc>
          <w:tcPr>
            <w:tcW w:w="1826"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Soil Impact (Biota &amp; Enzymes)</w:t>
            </w:r>
          </w:p>
        </w:tc>
        <w:tc>
          <w:tcPr>
            <w:tcW w:w="2010"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Larval Physiological Response</w:t>
            </w:r>
          </w:p>
        </w:tc>
        <w:tc>
          <w:tcPr>
            <w:tcW w:w="1519"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Cocoon / Silk Outcome</w:t>
            </w:r>
          </w:p>
        </w:tc>
        <w:tc>
          <w:tcPr>
            <w:tcW w:w="1260" w:type="dxa"/>
            <w:vAlign w:val="center"/>
          </w:tcPr>
          <w:p w:rsidR="00397409" w:rsidRPr="00E77CC7" w:rsidRDefault="00397409" w:rsidP="00F9024D">
            <w:pPr>
              <w:rPr>
                <w:rFonts w:ascii="Arial" w:hAnsi="Arial" w:cs="Arial"/>
                <w:b/>
                <w:bCs/>
                <w:sz w:val="20"/>
                <w:szCs w:val="20"/>
              </w:rPr>
            </w:pPr>
            <w:r w:rsidRPr="00E77CC7">
              <w:rPr>
                <w:rFonts w:ascii="Arial" w:hAnsi="Arial" w:cs="Arial"/>
                <w:b/>
                <w:bCs/>
                <w:sz w:val="20"/>
                <w:szCs w:val="20"/>
              </w:rPr>
              <w:t>Reference</w:t>
            </w:r>
          </w:p>
          <w:p w:rsidR="00397409" w:rsidRPr="00E77CC7" w:rsidRDefault="00397409" w:rsidP="00F9024D">
            <w:pPr>
              <w:rPr>
                <w:rFonts w:ascii="Arial" w:hAnsi="Arial" w:cs="Arial"/>
                <w:b/>
                <w:bCs/>
                <w:sz w:val="20"/>
                <w:szCs w:val="20"/>
              </w:rPr>
            </w:pPr>
          </w:p>
        </w:tc>
      </w:tr>
      <w:tr w:rsidR="00E77CC7" w:rsidRPr="00E77CC7" w:rsidTr="00E77CC7">
        <w:trPr>
          <w:trHeight w:val="1836"/>
        </w:trPr>
        <w:tc>
          <w:tcPr>
            <w:tcW w:w="180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Organophosphates</w:t>
            </w:r>
          </w:p>
        </w:tc>
        <w:tc>
          <w:tcPr>
            <w:tcW w:w="182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Reduced microbial biomass; inhibited dehydrogenase, urease</w:t>
            </w:r>
          </w:p>
        </w:tc>
        <w:tc>
          <w:tcPr>
            <w:tcW w:w="201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Early instar: gut paralysis, mortality</w:t>
            </w:r>
          </w:p>
        </w:tc>
        <w:tc>
          <w:tcPr>
            <w:tcW w:w="151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Lower cocoon weight, reduced shell ratio</w:t>
            </w:r>
          </w:p>
        </w:tc>
        <w:tc>
          <w:tcPr>
            <w:tcW w:w="126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 xml:space="preserve">Shahid &amp; Khan, 2022; Sun </w:t>
            </w:r>
            <w:r w:rsidRPr="001E0196">
              <w:rPr>
                <w:rFonts w:ascii="Arial" w:hAnsi="Arial" w:cs="Arial"/>
                <w:i/>
                <w:iCs/>
                <w:sz w:val="20"/>
                <w:szCs w:val="20"/>
              </w:rPr>
              <w:t>et al.,</w:t>
            </w:r>
            <w:r w:rsidRPr="00E77CC7">
              <w:rPr>
                <w:rFonts w:ascii="Arial" w:hAnsi="Arial" w:cs="Arial"/>
                <w:sz w:val="20"/>
                <w:szCs w:val="20"/>
              </w:rPr>
              <w:t xml:space="preserve"> 2023</w:t>
            </w:r>
          </w:p>
        </w:tc>
      </w:tr>
      <w:tr w:rsidR="00E77CC7" w:rsidRPr="00E77CC7" w:rsidTr="00E77CC7">
        <w:trPr>
          <w:trHeight w:val="1125"/>
        </w:trPr>
        <w:tc>
          <w:tcPr>
            <w:tcW w:w="180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lastRenderedPageBreak/>
              <w:t>Neonicotinoids</w:t>
            </w:r>
          </w:p>
        </w:tc>
        <w:tc>
          <w:tcPr>
            <w:tcW w:w="182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Altered microbial community composition</w:t>
            </w:r>
          </w:p>
        </w:tc>
        <w:tc>
          <w:tcPr>
            <w:tcW w:w="201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Growth retardation, delayed molting</w:t>
            </w:r>
          </w:p>
          <w:p w:rsidR="00397409" w:rsidRPr="00E77CC7" w:rsidRDefault="00397409" w:rsidP="00F9024D">
            <w:pPr>
              <w:rPr>
                <w:rFonts w:ascii="Arial" w:hAnsi="Arial" w:cs="Arial"/>
                <w:sz w:val="20"/>
                <w:szCs w:val="20"/>
              </w:rPr>
            </w:pPr>
          </w:p>
        </w:tc>
        <w:tc>
          <w:tcPr>
            <w:tcW w:w="151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Smaller, lighter cocoons; reduced silk quality</w:t>
            </w:r>
          </w:p>
        </w:tc>
        <w:tc>
          <w:tcPr>
            <w:tcW w:w="126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 xml:space="preserve">Chen </w:t>
            </w:r>
            <w:r w:rsidRPr="001E0196">
              <w:rPr>
                <w:rFonts w:ascii="Arial" w:hAnsi="Arial" w:cs="Arial"/>
                <w:i/>
                <w:iCs/>
                <w:sz w:val="20"/>
                <w:szCs w:val="20"/>
              </w:rPr>
              <w:t>et al.,</w:t>
            </w:r>
            <w:r w:rsidRPr="00E77CC7">
              <w:rPr>
                <w:rFonts w:ascii="Arial" w:hAnsi="Arial" w:cs="Arial"/>
                <w:sz w:val="20"/>
                <w:szCs w:val="20"/>
              </w:rPr>
              <w:t xml:space="preserve"> 2023; He </w:t>
            </w:r>
            <w:r w:rsidRPr="001E0196">
              <w:rPr>
                <w:rFonts w:ascii="Arial" w:hAnsi="Arial" w:cs="Arial"/>
                <w:i/>
                <w:iCs/>
                <w:sz w:val="20"/>
                <w:szCs w:val="20"/>
              </w:rPr>
              <w:t>et al.,</w:t>
            </w:r>
            <w:r w:rsidRPr="00E77CC7">
              <w:rPr>
                <w:rFonts w:ascii="Arial" w:hAnsi="Arial" w:cs="Arial"/>
                <w:sz w:val="20"/>
                <w:szCs w:val="20"/>
              </w:rPr>
              <w:t xml:space="preserve"> 2024</w:t>
            </w:r>
          </w:p>
        </w:tc>
      </w:tr>
      <w:tr w:rsidR="00E77CC7" w:rsidRPr="00E77CC7" w:rsidTr="00E77CC7">
        <w:trPr>
          <w:trHeight w:val="1112"/>
        </w:trPr>
        <w:tc>
          <w:tcPr>
            <w:tcW w:w="180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Methyl-thiophanate</w:t>
            </w:r>
          </w:p>
        </w:tc>
        <w:tc>
          <w:tcPr>
            <w:tcW w:w="182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Microbial enzyme inhibition</w:t>
            </w:r>
          </w:p>
        </w:tc>
        <w:tc>
          <w:tcPr>
            <w:tcW w:w="201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Oxidative stress in larvae, histopathological damage</w:t>
            </w:r>
          </w:p>
        </w:tc>
        <w:tc>
          <w:tcPr>
            <w:tcW w:w="151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Reduced fibroin synthesis, weaker silk</w:t>
            </w:r>
          </w:p>
        </w:tc>
        <w:tc>
          <w:tcPr>
            <w:tcW w:w="126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 xml:space="preserve">He </w:t>
            </w:r>
            <w:r w:rsidRPr="001E0196">
              <w:rPr>
                <w:rFonts w:ascii="Arial" w:hAnsi="Arial" w:cs="Arial"/>
                <w:i/>
                <w:iCs/>
                <w:sz w:val="20"/>
                <w:szCs w:val="20"/>
              </w:rPr>
              <w:t>et al.,</w:t>
            </w:r>
            <w:r w:rsidRPr="00E77CC7">
              <w:rPr>
                <w:rFonts w:ascii="Arial" w:hAnsi="Arial" w:cs="Arial"/>
                <w:sz w:val="20"/>
                <w:szCs w:val="20"/>
              </w:rPr>
              <w:t xml:space="preserve"> 2024</w:t>
            </w:r>
          </w:p>
          <w:p w:rsidR="00397409" w:rsidRPr="00E77CC7" w:rsidRDefault="00397409" w:rsidP="00F9024D">
            <w:pPr>
              <w:rPr>
                <w:rFonts w:ascii="Arial" w:hAnsi="Arial" w:cs="Arial"/>
                <w:sz w:val="20"/>
                <w:szCs w:val="20"/>
              </w:rPr>
            </w:pPr>
          </w:p>
        </w:tc>
      </w:tr>
      <w:tr w:rsidR="00E77CC7" w:rsidRPr="00E77CC7" w:rsidTr="00E77CC7">
        <w:trPr>
          <w:trHeight w:val="1142"/>
        </w:trPr>
        <w:tc>
          <w:tcPr>
            <w:tcW w:w="180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Phoxim (chronic low-dose)</w:t>
            </w:r>
          </w:p>
        </w:tc>
        <w:tc>
          <w:tcPr>
            <w:tcW w:w="182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Minimal direct soil effect</w:t>
            </w:r>
          </w:p>
        </w:tc>
        <w:tc>
          <w:tcPr>
            <w:tcW w:w="201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Disruption of juvenile hormone signaling</w:t>
            </w:r>
          </w:p>
        </w:tc>
        <w:tc>
          <w:tcPr>
            <w:tcW w:w="151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Lower fibroin production, impaired silk quality</w:t>
            </w:r>
          </w:p>
        </w:tc>
        <w:tc>
          <w:tcPr>
            <w:tcW w:w="126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 xml:space="preserve">Xie </w:t>
            </w:r>
            <w:r w:rsidRPr="001E0196">
              <w:rPr>
                <w:rFonts w:ascii="Arial" w:hAnsi="Arial" w:cs="Arial"/>
                <w:i/>
                <w:iCs/>
                <w:sz w:val="20"/>
                <w:szCs w:val="20"/>
              </w:rPr>
              <w:t>et al.,</w:t>
            </w:r>
            <w:r w:rsidRPr="00E77CC7">
              <w:rPr>
                <w:rFonts w:ascii="Arial" w:hAnsi="Arial" w:cs="Arial"/>
                <w:sz w:val="20"/>
                <w:szCs w:val="20"/>
              </w:rPr>
              <w:t xml:space="preserve"> 2025</w:t>
            </w:r>
          </w:p>
        </w:tc>
      </w:tr>
      <w:tr w:rsidR="00E77CC7" w:rsidRPr="00E77CC7" w:rsidTr="00E77CC7">
        <w:trPr>
          <w:trHeight w:val="832"/>
        </w:trPr>
        <w:tc>
          <w:tcPr>
            <w:tcW w:w="180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Chlorantraniliprole</w:t>
            </w:r>
          </w:p>
        </w:tc>
        <w:tc>
          <w:tcPr>
            <w:tcW w:w="1826"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Microbial inhibition possible</w:t>
            </w:r>
          </w:p>
        </w:tc>
        <w:tc>
          <w:tcPr>
            <w:tcW w:w="201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Acute larval mortality if misused</w:t>
            </w:r>
          </w:p>
        </w:tc>
        <w:tc>
          <w:tcPr>
            <w:tcW w:w="1519"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Reduced cocoon yield</w:t>
            </w:r>
          </w:p>
        </w:tc>
        <w:tc>
          <w:tcPr>
            <w:tcW w:w="1260" w:type="dxa"/>
            <w:vAlign w:val="center"/>
          </w:tcPr>
          <w:p w:rsidR="00397409" w:rsidRPr="00E77CC7" w:rsidRDefault="00397409" w:rsidP="00F9024D">
            <w:pPr>
              <w:rPr>
                <w:rFonts w:ascii="Arial" w:hAnsi="Arial" w:cs="Arial"/>
                <w:sz w:val="20"/>
                <w:szCs w:val="20"/>
              </w:rPr>
            </w:pPr>
            <w:r w:rsidRPr="00E77CC7">
              <w:rPr>
                <w:rFonts w:ascii="Arial" w:hAnsi="Arial" w:cs="Arial"/>
                <w:sz w:val="20"/>
                <w:szCs w:val="20"/>
              </w:rPr>
              <w:t>Lokanath</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2025</w:t>
            </w:r>
          </w:p>
          <w:p w:rsidR="00397409" w:rsidRPr="00E77CC7" w:rsidRDefault="00397409" w:rsidP="00F9024D">
            <w:pPr>
              <w:rPr>
                <w:rFonts w:ascii="Arial" w:hAnsi="Arial" w:cs="Arial"/>
                <w:sz w:val="20"/>
                <w:szCs w:val="20"/>
              </w:rPr>
            </w:pPr>
          </w:p>
        </w:tc>
      </w:tr>
    </w:tbl>
    <w:p w:rsidR="00397409" w:rsidRPr="00E77CC7" w:rsidRDefault="00397409" w:rsidP="00397409">
      <w:pPr>
        <w:pStyle w:val="NormalWeb"/>
        <w:spacing w:before="0" w:beforeAutospacing="0" w:after="0" w:afterAutospacing="0"/>
        <w:jc w:val="both"/>
        <w:rPr>
          <w:rFonts w:ascii="Arial" w:hAnsi="Arial" w:cs="Arial"/>
          <w:sz w:val="20"/>
          <w:szCs w:val="20"/>
        </w:rPr>
      </w:pPr>
    </w:p>
    <w:p w:rsidR="00397409" w:rsidRPr="00E77CC7" w:rsidRDefault="00E77CC7" w:rsidP="00E77CC7">
      <w:pPr>
        <w:pStyle w:val="ListParagraph"/>
        <w:numPr>
          <w:ilvl w:val="0"/>
          <w:numId w:val="32"/>
        </w:numPr>
        <w:jc w:val="both"/>
        <w:rPr>
          <w:rFonts w:ascii="Arial" w:hAnsi="Arial" w:cs="Arial"/>
          <w:b/>
          <w:bCs/>
          <w:sz w:val="22"/>
          <w:szCs w:val="22"/>
        </w:rPr>
      </w:pPr>
      <w:r w:rsidRPr="00E77CC7">
        <w:rPr>
          <w:rFonts w:ascii="Arial" w:hAnsi="Arial" w:cs="Arial"/>
          <w:b/>
          <w:bCs/>
          <w:sz w:val="22"/>
          <w:szCs w:val="22"/>
        </w:rPr>
        <w:t>SUSTAINABLE ALTERNATIVES AND MITIGATION STRATEGIES</w:t>
      </w:r>
    </w:p>
    <w:p w:rsidR="00397409" w:rsidRPr="00E77CC7" w:rsidRDefault="00397409" w:rsidP="00E77CC7">
      <w:pPr>
        <w:pStyle w:val="NormalWeb"/>
        <w:ind w:firstLine="720"/>
        <w:jc w:val="both"/>
        <w:rPr>
          <w:rFonts w:ascii="Arial" w:hAnsi="Arial" w:cs="Arial"/>
          <w:sz w:val="20"/>
          <w:szCs w:val="20"/>
        </w:rPr>
      </w:pPr>
      <w:r w:rsidRPr="00E77CC7">
        <w:rPr>
          <w:rFonts w:ascii="Arial" w:hAnsi="Arial" w:cs="Arial"/>
          <w:sz w:val="20"/>
          <w:szCs w:val="20"/>
        </w:rPr>
        <w:t xml:space="preserve">Sustainable management of mulberry–silkworm system requires a mix of prevention, substitution, and restoration strategies that reduce agrochemical loads while maintaining leaf productivity. Below are the main approaches with supporting evidence. </w:t>
      </w:r>
      <w:r w:rsidRPr="00E77CC7">
        <w:rPr>
          <w:rFonts w:ascii="Arial" w:hAnsi="Arial" w:cs="Arial"/>
          <w:b/>
          <w:bCs/>
          <w:sz w:val="20"/>
          <w:szCs w:val="20"/>
        </w:rPr>
        <w:t>Figure 1</w:t>
      </w:r>
      <w:r w:rsidRPr="00E77CC7">
        <w:rPr>
          <w:rFonts w:ascii="Arial" w:hAnsi="Arial" w:cs="Arial"/>
          <w:sz w:val="20"/>
          <w:szCs w:val="20"/>
        </w:rPr>
        <w:t xml:space="preserve"> provides a visual summary of these sustainable approaches, illustrating how they collectively reduce agrochemical burden while maintaining mulberry productivity and silk safety.</w:t>
      </w:r>
    </w:p>
    <w:p w:rsidR="00397409" w:rsidRPr="00E77CC7" w:rsidRDefault="00397409" w:rsidP="00397409">
      <w:pPr>
        <w:pStyle w:val="NormalWeb"/>
        <w:jc w:val="center"/>
        <w:rPr>
          <w:rFonts w:ascii="Arial" w:hAnsi="Arial" w:cs="Arial"/>
          <w:sz w:val="20"/>
          <w:szCs w:val="20"/>
        </w:rPr>
      </w:pPr>
      <w:r w:rsidRPr="00E77CC7">
        <w:rPr>
          <w:rFonts w:ascii="Arial" w:hAnsi="Arial" w:cs="Arial"/>
          <w:noProof/>
          <w:sz w:val="20"/>
          <w:szCs w:val="20"/>
          <w:lang w:val="en-US" w:eastAsia="en-US"/>
        </w:rPr>
        <w:drawing>
          <wp:inline distT="0" distB="0" distL="0" distR="0">
            <wp:extent cx="3817620" cy="2019300"/>
            <wp:effectExtent l="0" t="0" r="0" b="0"/>
            <wp:docPr id="240787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87515" name="Picture 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458" t="11769" r="4458" b="3208"/>
                    <a:stretch>
                      <a:fillRect/>
                    </a:stretch>
                  </pic:blipFill>
                  <pic:spPr bwMode="auto">
                    <a:xfrm>
                      <a:off x="0" y="0"/>
                      <a:ext cx="3819841" cy="20204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97409" w:rsidRPr="00E77CC7" w:rsidRDefault="00397409" w:rsidP="00397409">
      <w:pPr>
        <w:pStyle w:val="NormalWeb"/>
        <w:jc w:val="center"/>
        <w:rPr>
          <w:rFonts w:ascii="Arial" w:hAnsi="Arial" w:cs="Arial"/>
          <w:b/>
          <w:bCs/>
          <w:sz w:val="20"/>
          <w:szCs w:val="20"/>
        </w:rPr>
      </w:pPr>
      <w:r w:rsidRPr="00E77CC7">
        <w:rPr>
          <w:rFonts w:ascii="Arial" w:hAnsi="Arial" w:cs="Arial"/>
          <w:b/>
          <w:bCs/>
          <w:sz w:val="20"/>
          <w:szCs w:val="20"/>
        </w:rPr>
        <w:t>Figure 1. Sustainable alternatives in the mulberry–silkworm system, showing strategies that reduce soil residues and improve leaf, silkworm, and silk health.</w:t>
      </w:r>
    </w:p>
    <w:p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Integrated pest management (IPM):</w:t>
      </w:r>
      <w:r w:rsidRPr="00E77CC7">
        <w:rPr>
          <w:rFonts w:ascii="Arial" w:hAnsi="Arial" w:cs="Arial"/>
          <w:sz w:val="20"/>
          <w:szCs w:val="20"/>
        </w:rPr>
        <w:t xml:space="preserve"> IPM combines pest monitoring, cultural methods, biological control, habitat manipulation and very targeted pesticide use only as a last resort. IPM reduces overall pesticide volume and frequency, conserves natural enemies, and lowers ecological risk in sericulture landscapes (Zhou </w:t>
      </w:r>
      <w:r w:rsidRPr="001E0196">
        <w:rPr>
          <w:rFonts w:ascii="Arial" w:hAnsi="Arial" w:cs="Arial"/>
          <w:i/>
          <w:iCs/>
          <w:sz w:val="20"/>
          <w:szCs w:val="20"/>
        </w:rPr>
        <w:t>et al.,</w:t>
      </w:r>
      <w:r w:rsidRPr="00E77CC7">
        <w:rPr>
          <w:rFonts w:ascii="Arial" w:hAnsi="Arial" w:cs="Arial"/>
          <w:sz w:val="20"/>
          <w:szCs w:val="20"/>
        </w:rPr>
        <w:t xml:space="preserve"> 2024). Recent sericulture reviews and field guides show how IPM packages, like timely pruning, sanitation, pheromone or light traps, conservation of predators, and selective biopesticide sprays have reduced </w:t>
      </w:r>
      <w:r w:rsidRPr="00E77CC7">
        <w:rPr>
          <w:rFonts w:ascii="Arial" w:hAnsi="Arial" w:cs="Arial"/>
          <w:sz w:val="20"/>
          <w:szCs w:val="20"/>
        </w:rPr>
        <w:lastRenderedPageBreak/>
        <w:t xml:space="preserve">chemical use in mulberry gardens without falling yield (Kishore </w:t>
      </w:r>
      <w:r w:rsidRPr="001E0196">
        <w:rPr>
          <w:rFonts w:ascii="Arial" w:hAnsi="Arial" w:cs="Arial"/>
          <w:i/>
          <w:iCs/>
          <w:sz w:val="20"/>
          <w:szCs w:val="20"/>
        </w:rPr>
        <w:t>et al.,</w:t>
      </w:r>
      <w:r w:rsidRPr="00E77CC7">
        <w:rPr>
          <w:rFonts w:ascii="Arial" w:hAnsi="Arial" w:cs="Arial"/>
          <w:sz w:val="20"/>
          <w:szCs w:val="20"/>
        </w:rPr>
        <w:t xml:space="preserve"> 2024; Altman </w:t>
      </w:r>
      <w:r w:rsidR="001E0196">
        <w:rPr>
          <w:rFonts w:ascii="Arial" w:hAnsi="Arial" w:cs="Arial"/>
          <w:sz w:val="20"/>
          <w:szCs w:val="20"/>
        </w:rPr>
        <w:t xml:space="preserve">&amp; Farrell, </w:t>
      </w:r>
      <w:r w:rsidRPr="00E77CC7">
        <w:rPr>
          <w:rFonts w:ascii="Arial" w:hAnsi="Arial" w:cs="Arial"/>
          <w:sz w:val="20"/>
          <w:szCs w:val="20"/>
        </w:rPr>
        <w:t>2022). IPM also creates the ecological space for bio-based solutions to work effectively.</w:t>
      </w:r>
    </w:p>
    <w:p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Biofertilizers, PGPR and mycorrhizae:</w:t>
      </w:r>
      <w:r w:rsidRPr="00E77CC7">
        <w:rPr>
          <w:rFonts w:ascii="Arial" w:hAnsi="Arial" w:cs="Arial"/>
          <w:sz w:val="20"/>
          <w:szCs w:val="20"/>
        </w:rPr>
        <w:t xml:space="preserve"> Microbial inoculants (PGPR, phosphate-solubilizing bacteria, nitrogen fixers, and arbuscular mycorrhizal fungi) improve nutrient uptake, root growth and leaf nutritional quality while lowering the need for synthetic NPK inputs. Experimental trials and greenhouse studies report increased mulberry biomass, improved drought tolerance and higher leaf nutrient content after inoculation with beneficial fungi or rhizobacteria (Ou </w:t>
      </w:r>
      <w:r w:rsidRPr="001E0196">
        <w:rPr>
          <w:rFonts w:ascii="Arial" w:hAnsi="Arial" w:cs="Arial"/>
          <w:i/>
          <w:iCs/>
          <w:sz w:val="20"/>
          <w:szCs w:val="20"/>
        </w:rPr>
        <w:t>et al.,</w:t>
      </w:r>
      <w:r w:rsidRPr="00E77CC7">
        <w:rPr>
          <w:rFonts w:ascii="Arial" w:hAnsi="Arial" w:cs="Arial"/>
          <w:sz w:val="20"/>
          <w:szCs w:val="20"/>
        </w:rPr>
        <w:t xml:space="preserve"> 2023; Ou </w:t>
      </w:r>
      <w:r w:rsidRPr="001E0196">
        <w:rPr>
          <w:rFonts w:ascii="Arial" w:hAnsi="Arial" w:cs="Arial"/>
          <w:i/>
          <w:iCs/>
          <w:sz w:val="20"/>
          <w:szCs w:val="20"/>
        </w:rPr>
        <w:t>et al.,</w:t>
      </w:r>
      <w:r w:rsidRPr="00E77CC7">
        <w:rPr>
          <w:rFonts w:ascii="Arial" w:hAnsi="Arial" w:cs="Arial"/>
          <w:sz w:val="20"/>
          <w:szCs w:val="20"/>
        </w:rPr>
        <w:t xml:space="preserve"> 2022). Such inoculants can be integrated into nutrient management to sustain leaf yield with reduced chemical fertilizer loads.</w:t>
      </w:r>
    </w:p>
    <w:p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Biocontrol agents and biopesticides:</w:t>
      </w:r>
      <w:r w:rsidRPr="00E77CC7">
        <w:rPr>
          <w:rFonts w:ascii="Arial" w:hAnsi="Arial" w:cs="Arial"/>
          <w:sz w:val="20"/>
          <w:szCs w:val="20"/>
        </w:rPr>
        <w:t xml:space="preserve"> Use of entomopathogenic fungi (e.g., </w:t>
      </w:r>
      <w:r w:rsidRPr="00E77CC7">
        <w:rPr>
          <w:rStyle w:val="Emphasis"/>
          <w:rFonts w:ascii="Arial" w:eastAsiaTheme="majorEastAsia" w:hAnsi="Arial" w:cs="Arial"/>
          <w:sz w:val="20"/>
          <w:szCs w:val="20"/>
        </w:rPr>
        <w:t>Beauveria</w:t>
      </w:r>
      <w:r w:rsidRPr="00E77CC7">
        <w:rPr>
          <w:rFonts w:ascii="Arial" w:hAnsi="Arial" w:cs="Arial"/>
          <w:sz w:val="20"/>
          <w:szCs w:val="20"/>
        </w:rPr>
        <w:t xml:space="preserve">, </w:t>
      </w:r>
      <w:r w:rsidRPr="00E77CC7">
        <w:rPr>
          <w:rStyle w:val="Emphasis"/>
          <w:rFonts w:ascii="Arial" w:eastAsiaTheme="majorEastAsia" w:hAnsi="Arial" w:cs="Arial"/>
          <w:sz w:val="20"/>
          <w:szCs w:val="20"/>
        </w:rPr>
        <w:t>Metarhizium</w:t>
      </w:r>
      <w:r w:rsidRPr="00E77CC7">
        <w:rPr>
          <w:rFonts w:ascii="Arial" w:hAnsi="Arial" w:cs="Arial"/>
          <w:sz w:val="20"/>
          <w:szCs w:val="20"/>
        </w:rPr>
        <w:t>), bacterial agents (</w:t>
      </w:r>
      <w:r w:rsidRPr="00E77CC7">
        <w:rPr>
          <w:rStyle w:val="Emphasis"/>
          <w:rFonts w:ascii="Arial" w:eastAsiaTheme="majorEastAsia" w:hAnsi="Arial" w:cs="Arial"/>
          <w:sz w:val="20"/>
          <w:szCs w:val="20"/>
        </w:rPr>
        <w:t>Bacillus</w:t>
      </w:r>
      <w:r w:rsidRPr="00E77CC7">
        <w:rPr>
          <w:rFonts w:ascii="Arial" w:hAnsi="Arial" w:cs="Arial"/>
          <w:sz w:val="20"/>
          <w:szCs w:val="20"/>
        </w:rPr>
        <w:t xml:space="preserve"> spp.), parasitoids and botanical extracts provide pest suppression with low non-target toxicity. Reviews focused on mulberry pest management report successful lab and field results using biocontrol agents for leaf-feeding pests and soil pathogens, and call for scaling up through quality formulations and farmer training (Kishore </w:t>
      </w:r>
      <w:r w:rsidRPr="001E0196">
        <w:rPr>
          <w:rFonts w:ascii="Arial" w:hAnsi="Arial" w:cs="Arial"/>
          <w:i/>
          <w:iCs/>
          <w:sz w:val="20"/>
          <w:szCs w:val="20"/>
        </w:rPr>
        <w:t>et al.,</w:t>
      </w:r>
      <w:r w:rsidRPr="00E77CC7">
        <w:rPr>
          <w:rFonts w:ascii="Arial" w:hAnsi="Arial" w:cs="Arial"/>
          <w:sz w:val="20"/>
          <w:szCs w:val="20"/>
        </w:rPr>
        <w:t xml:space="preserve"> 2024; Reddy </w:t>
      </w:r>
      <w:r w:rsidRPr="001E0196">
        <w:rPr>
          <w:rFonts w:ascii="Arial" w:hAnsi="Arial" w:cs="Arial"/>
          <w:i/>
          <w:iCs/>
          <w:sz w:val="20"/>
          <w:szCs w:val="20"/>
        </w:rPr>
        <w:t>et al.,</w:t>
      </w:r>
      <w:r w:rsidRPr="00E77CC7">
        <w:rPr>
          <w:rFonts w:ascii="Arial" w:hAnsi="Arial" w:cs="Arial"/>
          <w:sz w:val="20"/>
          <w:szCs w:val="20"/>
        </w:rPr>
        <w:t xml:space="preserve"> 2024). Biopesticides fit naturally into IPM and reduce residue transfer to leaves and larvae.</w:t>
      </w:r>
    </w:p>
    <w:p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Organic amendments and vermicompost:</w:t>
      </w:r>
      <w:r w:rsidRPr="00E77CC7">
        <w:rPr>
          <w:rFonts w:ascii="Arial" w:hAnsi="Arial" w:cs="Arial"/>
          <w:sz w:val="20"/>
          <w:szCs w:val="20"/>
        </w:rPr>
        <w:t xml:space="preserve"> Applying composts, farmyard manure and vermicompost improves soil structure, increases organic carbon, enhances microbial biomass and stimulates soil enzyme activities that buffer agrochemical stress. Field studies on mulberry and meta-analyses in cropping systems show that vermicompost and organic manures increase leaf yield, nutrient content and soil biological indicators, enabling partial substitution of mineral fertilizers (Chanotra</w:t>
      </w:r>
      <w:r w:rsidRPr="001E0196">
        <w:rPr>
          <w:rFonts w:ascii="Arial" w:hAnsi="Arial" w:cs="Arial"/>
          <w:i/>
          <w:iCs/>
          <w:sz w:val="20"/>
          <w:szCs w:val="20"/>
        </w:rPr>
        <w:t>et al.,</w:t>
      </w:r>
      <w:r w:rsidRPr="00E77CC7">
        <w:rPr>
          <w:rFonts w:ascii="Arial" w:hAnsi="Arial" w:cs="Arial"/>
          <w:sz w:val="20"/>
          <w:szCs w:val="20"/>
        </w:rPr>
        <w:t xml:space="preserve"> 2022; Vyas</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2022). Organic amendments also support faster recovery of pesticide-impacted microbial communities and can accelerate biodegradation of some residues.</w:t>
      </w:r>
    </w:p>
    <w:p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Waste recycling and microbial remediation:</w:t>
      </w:r>
      <w:r w:rsidRPr="00E77CC7">
        <w:rPr>
          <w:rFonts w:ascii="Arial" w:hAnsi="Arial" w:cs="Arial"/>
          <w:sz w:val="20"/>
          <w:szCs w:val="20"/>
        </w:rPr>
        <w:t xml:space="preserve"> Sericulture generates waste streams (pupal shells, rearing wastes) that can be converted to compost or vermicompost, returning nutrients to mulberry gardens while reducing external input demand. Microbial pre-treatments and consortia-based composting improve waste stabilization and add beneficial microbes to soil (Vyas</w:t>
      </w:r>
      <w:r w:rsidR="001E0196" w:rsidRPr="001E0196">
        <w:rPr>
          <w:rFonts w:ascii="Arial" w:hAnsi="Arial" w:cs="Arial"/>
          <w:i/>
          <w:iCs/>
          <w:sz w:val="20"/>
          <w:szCs w:val="20"/>
        </w:rPr>
        <w:t>et al.</w:t>
      </w:r>
      <w:r w:rsidRPr="001E0196">
        <w:rPr>
          <w:rFonts w:ascii="Arial" w:hAnsi="Arial" w:cs="Arial"/>
          <w:i/>
          <w:iCs/>
          <w:sz w:val="20"/>
          <w:szCs w:val="20"/>
        </w:rPr>
        <w:t>,</w:t>
      </w:r>
      <w:r w:rsidRPr="00E77CC7">
        <w:rPr>
          <w:rFonts w:ascii="Arial" w:hAnsi="Arial" w:cs="Arial"/>
          <w:sz w:val="20"/>
          <w:szCs w:val="20"/>
        </w:rPr>
        <w:t xml:space="preserve"> 2022). Separately, bioremediation approaches using pesticide-degrading microbial consortia or constructed bioreactors have shown promise in lowering soil residue loads and preventing long-term accumulation (Ewere</w:t>
      </w:r>
      <w:r w:rsidRPr="001E0196">
        <w:rPr>
          <w:rFonts w:ascii="Arial" w:hAnsi="Arial" w:cs="Arial"/>
          <w:i/>
          <w:iCs/>
          <w:sz w:val="20"/>
          <w:szCs w:val="20"/>
        </w:rPr>
        <w:t>et al.,</w:t>
      </w:r>
      <w:r w:rsidRPr="00E77CC7">
        <w:rPr>
          <w:rFonts w:ascii="Arial" w:hAnsi="Arial" w:cs="Arial"/>
          <w:sz w:val="20"/>
          <w:szCs w:val="20"/>
        </w:rPr>
        <w:t xml:space="preserve"> 2024).</w:t>
      </w:r>
    </w:p>
    <w:p w:rsidR="00397409" w:rsidRPr="00E77CC7" w:rsidRDefault="00397409" w:rsidP="00397409">
      <w:pPr>
        <w:pStyle w:val="NormalWeb"/>
        <w:jc w:val="both"/>
        <w:rPr>
          <w:rFonts w:ascii="Arial" w:hAnsi="Arial" w:cs="Arial"/>
          <w:sz w:val="20"/>
          <w:szCs w:val="20"/>
        </w:rPr>
      </w:pPr>
      <w:r w:rsidRPr="00E77CC7">
        <w:rPr>
          <w:rStyle w:val="Strong"/>
          <w:rFonts w:ascii="Arial" w:eastAsiaTheme="majorEastAsia" w:hAnsi="Arial" w:cs="Arial"/>
          <w:sz w:val="20"/>
          <w:szCs w:val="20"/>
        </w:rPr>
        <w:t>Practical considerations and scaling:</w:t>
      </w:r>
      <w:r w:rsidRPr="00E77CC7">
        <w:rPr>
          <w:rFonts w:ascii="Arial" w:hAnsi="Arial" w:cs="Arial"/>
          <w:sz w:val="20"/>
          <w:szCs w:val="20"/>
        </w:rPr>
        <w:t xml:space="preserve"> Adoption of these alternatives needs farmer training, quality inoculant supply chains, and demonstration plots to build trust. Economic assessments show that integrated strategies, combining reduced agrochemical purchases, organic inputs, and improved yields, can be cost-neutral or even profitable for smallholders when extension support is available (Altman </w:t>
      </w:r>
      <w:r w:rsidR="001E0196">
        <w:rPr>
          <w:rFonts w:ascii="Arial" w:hAnsi="Arial" w:cs="Arial"/>
          <w:sz w:val="20"/>
          <w:szCs w:val="20"/>
        </w:rPr>
        <w:t>&amp; Farrell,</w:t>
      </w:r>
      <w:r w:rsidRPr="00E77CC7">
        <w:rPr>
          <w:rFonts w:ascii="Arial" w:hAnsi="Arial" w:cs="Arial"/>
          <w:sz w:val="20"/>
          <w:szCs w:val="20"/>
        </w:rPr>
        <w:t xml:space="preserve"> 2022; Kishore </w:t>
      </w:r>
      <w:r w:rsidRPr="001E0196">
        <w:rPr>
          <w:rFonts w:ascii="Arial" w:hAnsi="Arial" w:cs="Arial"/>
          <w:i/>
          <w:iCs/>
          <w:sz w:val="20"/>
          <w:szCs w:val="20"/>
        </w:rPr>
        <w:t>et al.,</w:t>
      </w:r>
      <w:r w:rsidRPr="00E77CC7">
        <w:rPr>
          <w:rFonts w:ascii="Arial" w:hAnsi="Arial" w:cs="Arial"/>
          <w:sz w:val="20"/>
          <w:szCs w:val="20"/>
        </w:rPr>
        <w:t xml:space="preserve"> 2024). Combining IPM with soil health practices gives the best chance to cut residues in the soil–leaf–silkworm chain while protecting silk productivity and marketability.</w:t>
      </w:r>
    </w:p>
    <w:p w:rsidR="00397409" w:rsidRPr="00E77CC7" w:rsidRDefault="00E77CC7" w:rsidP="00E77CC7">
      <w:pPr>
        <w:pStyle w:val="ListParagraph"/>
        <w:numPr>
          <w:ilvl w:val="0"/>
          <w:numId w:val="32"/>
        </w:numPr>
        <w:spacing w:before="100" w:beforeAutospacing="1" w:after="100" w:afterAutospacing="1" w:line="240" w:lineRule="auto"/>
        <w:outlineLvl w:val="1"/>
        <w:rPr>
          <w:rFonts w:ascii="Arial" w:eastAsia="Times New Roman" w:hAnsi="Arial" w:cs="Arial"/>
          <w:b/>
          <w:bCs/>
          <w:kern w:val="0"/>
          <w:sz w:val="22"/>
          <w:szCs w:val="22"/>
          <w:lang w:eastAsia="en-IN"/>
        </w:rPr>
      </w:pPr>
      <w:r w:rsidRPr="00E77CC7">
        <w:rPr>
          <w:rFonts w:ascii="Arial" w:eastAsia="Times New Roman" w:hAnsi="Arial" w:cs="Arial"/>
          <w:b/>
          <w:bCs/>
          <w:kern w:val="0"/>
          <w:sz w:val="22"/>
          <w:szCs w:val="22"/>
          <w:lang w:eastAsia="en-IN"/>
        </w:rPr>
        <w:t>PATHWAYS TOWARD SUSTAINABLE SERICULTURE</w:t>
      </w:r>
    </w:p>
    <w:p w:rsidR="00397409" w:rsidRPr="00E77CC7" w:rsidRDefault="00397409" w:rsidP="00E77CC7">
      <w:pPr>
        <w:spacing w:before="100" w:beforeAutospacing="1" w:after="100" w:afterAutospacing="1"/>
        <w:ind w:firstLine="720"/>
        <w:jc w:val="both"/>
        <w:rPr>
          <w:rFonts w:ascii="Arial" w:hAnsi="Arial" w:cs="Arial"/>
          <w:lang w:eastAsia="en-IN"/>
        </w:rPr>
      </w:pPr>
      <w:r w:rsidRPr="00E77CC7">
        <w:rPr>
          <w:rFonts w:ascii="Arial" w:hAnsi="Arial" w:cs="Arial"/>
          <w:lang w:eastAsia="en-IN"/>
        </w:rPr>
        <w:t xml:space="preserve">The sustainability of sericulture hinges on reconciling the demand for high-yield mulberry production with the ecological risks posed by intensive agrochemical inputs. A central challenge is ensuring soil and leaf quality without compromising environmental health or silkworm safety. Recent studies emphasize that chronic pesticide and fertilizer use not only alters soil microbial networks but also leaves persistent residues in mulberry foliage, creating downstream risks for </w:t>
      </w:r>
      <w:r w:rsidRPr="00E77CC7">
        <w:rPr>
          <w:rFonts w:ascii="Arial" w:hAnsi="Arial" w:cs="Arial"/>
          <w:i/>
          <w:iCs/>
          <w:lang w:eastAsia="en-IN"/>
        </w:rPr>
        <w:t>Bombyx mori</w:t>
      </w:r>
      <w:r w:rsidRPr="00E77CC7">
        <w:rPr>
          <w:rFonts w:ascii="Arial" w:hAnsi="Arial" w:cs="Arial"/>
          <w:lang w:eastAsia="en-IN"/>
        </w:rPr>
        <w:t xml:space="preserve"> and silk quality (Shahid &amp; Khan, 2022; Hua </w:t>
      </w:r>
      <w:r w:rsidRPr="001E0196">
        <w:rPr>
          <w:rFonts w:ascii="Arial" w:hAnsi="Arial" w:cs="Arial"/>
          <w:i/>
          <w:iCs/>
          <w:lang w:eastAsia="en-IN"/>
        </w:rPr>
        <w:t xml:space="preserve">et </w:t>
      </w:r>
      <w:r w:rsidRPr="001E0196">
        <w:rPr>
          <w:rFonts w:ascii="Arial" w:hAnsi="Arial" w:cs="Arial"/>
          <w:i/>
          <w:iCs/>
          <w:lang w:eastAsia="en-IN"/>
        </w:rPr>
        <w:lastRenderedPageBreak/>
        <w:t>al.,</w:t>
      </w:r>
      <w:r w:rsidRPr="00E77CC7">
        <w:rPr>
          <w:rFonts w:ascii="Arial" w:hAnsi="Arial" w:cs="Arial"/>
          <w:lang w:eastAsia="en-IN"/>
        </w:rPr>
        <w:t xml:space="preserve"> 2022). At the same time, evidence from field and laboratory research highlights that carefully managed alternatives, such as biofertilizers, microbial inoculants, and organic amendments can restore enzyme activities, improve nutrient cycling, and support healthier host plants (Ewere</w:t>
      </w:r>
      <w:r w:rsidRPr="001E0196">
        <w:rPr>
          <w:rFonts w:ascii="Arial" w:hAnsi="Arial" w:cs="Arial"/>
          <w:i/>
          <w:iCs/>
          <w:lang w:eastAsia="en-IN"/>
        </w:rPr>
        <w:t>et al.,</w:t>
      </w:r>
      <w:r w:rsidRPr="00E77CC7">
        <w:rPr>
          <w:rFonts w:ascii="Arial" w:hAnsi="Arial" w:cs="Arial"/>
          <w:lang w:eastAsia="en-IN"/>
        </w:rPr>
        <w:t xml:space="preserve"> 2024; Hazarika </w:t>
      </w:r>
      <w:r w:rsidRPr="001E0196">
        <w:rPr>
          <w:rFonts w:ascii="Arial" w:hAnsi="Arial" w:cs="Arial"/>
          <w:i/>
          <w:iCs/>
          <w:lang w:eastAsia="en-IN"/>
        </w:rPr>
        <w:t>et al.,</w:t>
      </w:r>
      <w:r w:rsidRPr="00E77CC7">
        <w:rPr>
          <w:rFonts w:ascii="Arial" w:hAnsi="Arial" w:cs="Arial"/>
          <w:lang w:eastAsia="en-IN"/>
        </w:rPr>
        <w:t xml:space="preserve"> 2024).</w:t>
      </w:r>
    </w:p>
    <w:p w:rsidR="00397409" w:rsidRPr="00E77CC7" w:rsidRDefault="00397409" w:rsidP="00E77CC7">
      <w:pPr>
        <w:spacing w:before="100" w:beforeAutospacing="1" w:after="100" w:afterAutospacing="1"/>
        <w:ind w:firstLine="720"/>
        <w:jc w:val="both"/>
        <w:rPr>
          <w:rFonts w:ascii="Arial" w:hAnsi="Arial" w:cs="Arial"/>
          <w:lang w:eastAsia="en-IN"/>
        </w:rPr>
      </w:pPr>
      <w:r w:rsidRPr="00E77CC7">
        <w:rPr>
          <w:rFonts w:ascii="Arial" w:hAnsi="Arial" w:cs="Arial"/>
          <w:lang w:eastAsia="en-IN"/>
        </w:rPr>
        <w:t>Moving forward, integrating such practices into sericulture will require a systems approach that combines scientific innovation with farmer adoption. This includes tailoring site-specific integrated pest management (IPM) packages, promoting organic waste recycling to close nutrient loops, and strengthening residue monitoring to protect silk quality in domestic and export markets. Policies that incentivize sustainable inputs and support training in eco-friendly practices are equally critical. In this way, sericulture can transition toward a production model that maintains productivity while safeguarding soil, silkworm health, and the long-term ecological balance of mulberry-based ecosystems (Fernández-Marcos, 2024; Lokanath</w:t>
      </w:r>
      <w:r w:rsidR="001E0196" w:rsidRPr="001E0196">
        <w:rPr>
          <w:rFonts w:ascii="Arial" w:hAnsi="Arial" w:cs="Arial"/>
          <w:i/>
          <w:iCs/>
          <w:lang w:eastAsia="en-IN"/>
        </w:rPr>
        <w:t>et al.</w:t>
      </w:r>
      <w:r w:rsidRPr="001E0196">
        <w:rPr>
          <w:rFonts w:ascii="Arial" w:hAnsi="Arial" w:cs="Arial"/>
          <w:i/>
          <w:iCs/>
          <w:lang w:eastAsia="en-IN"/>
        </w:rPr>
        <w:t>,</w:t>
      </w:r>
      <w:r w:rsidRPr="00E77CC7">
        <w:rPr>
          <w:rFonts w:ascii="Arial" w:hAnsi="Arial" w:cs="Arial"/>
          <w:lang w:eastAsia="en-IN"/>
        </w:rPr>
        <w:t xml:space="preserve"> 2025).</w:t>
      </w:r>
    </w:p>
    <w:p w:rsidR="00397409" w:rsidRPr="00E77CC7" w:rsidRDefault="007868C8" w:rsidP="00E77CC7">
      <w:pPr>
        <w:pStyle w:val="ListParagraph"/>
        <w:numPr>
          <w:ilvl w:val="0"/>
          <w:numId w:val="32"/>
        </w:numPr>
        <w:jc w:val="both"/>
        <w:rPr>
          <w:rFonts w:ascii="Arial" w:hAnsi="Arial" w:cs="Arial"/>
          <w:b/>
          <w:bCs/>
          <w:sz w:val="22"/>
          <w:szCs w:val="22"/>
        </w:rPr>
      </w:pPr>
      <w:r w:rsidRPr="00E77CC7">
        <w:rPr>
          <w:rFonts w:ascii="Arial" w:hAnsi="Arial" w:cs="Arial"/>
          <w:b/>
          <w:bCs/>
          <w:sz w:val="22"/>
          <w:szCs w:val="22"/>
        </w:rPr>
        <w:t>CONCLUSION</w:t>
      </w:r>
    </w:p>
    <w:p w:rsidR="00315186" w:rsidRPr="00397409" w:rsidRDefault="00397409" w:rsidP="00E77CC7">
      <w:pPr>
        <w:ind w:firstLine="720"/>
        <w:jc w:val="both"/>
        <w:rPr>
          <w:rFonts w:ascii="Arial" w:hAnsi="Arial" w:cs="Arial"/>
        </w:rPr>
      </w:pPr>
      <w:r w:rsidRPr="00E77CC7">
        <w:rPr>
          <w:rFonts w:ascii="Arial" w:hAnsi="Arial" w:cs="Arial"/>
        </w:rPr>
        <w:t>Agrochemical use in mulberry cultivation creates a cascade of ecological and production challenges, affecting soil health, silkworm physiology, and silk quality. Residues persist in soils, alter microbial and enzymatic functions, and transfer to leaves, exposing larvae to chronic and sometimes acute stress. Sublethal effects can reduce cocoon size, shell weight, and silk fibre quality, threatening both yield and product safety. Evidence shows that sustainable strategies like, integrated pest management, biofertilizers, microbial inoculants, organic amendments, and waste recycling can mitigate these risks while maintaining productivity. Transitioning to these approaches requires farmer training, monitoring systems, and supportive policies. Ultimately, adopting ecologically informed practices ensures the long-term sustainability of mulberry–silkworm ecosystems, safeguarding soil, silkworm health, and silk quality for future production.</w:t>
      </w:r>
    </w:p>
    <w:p w:rsidR="00315186" w:rsidRPr="00397409" w:rsidRDefault="00315186" w:rsidP="00441B6F">
      <w:pPr>
        <w:rPr>
          <w:rFonts w:ascii="Arial" w:hAnsi="Arial" w:cs="Arial"/>
        </w:rPr>
      </w:pPr>
    </w:p>
    <w:p w:rsidR="00860000" w:rsidRPr="00397409" w:rsidRDefault="00860000" w:rsidP="00441B6F">
      <w:pPr>
        <w:pStyle w:val="ReferHead"/>
        <w:spacing w:after="0"/>
        <w:jc w:val="both"/>
        <w:rPr>
          <w:rFonts w:ascii="Arial" w:hAnsi="Arial" w:cs="Arial"/>
        </w:rPr>
      </w:pPr>
    </w:p>
    <w:p w:rsidR="00B01FCD" w:rsidRPr="00397409" w:rsidRDefault="00B01FCD" w:rsidP="00441B6F">
      <w:pPr>
        <w:pStyle w:val="ReferHead"/>
        <w:spacing w:after="0"/>
        <w:jc w:val="both"/>
        <w:rPr>
          <w:rFonts w:ascii="Arial" w:hAnsi="Arial" w:cs="Arial"/>
        </w:rPr>
      </w:pPr>
      <w:r w:rsidRPr="00397409">
        <w:rPr>
          <w:rFonts w:ascii="Arial" w:hAnsi="Arial" w:cs="Arial"/>
        </w:rPr>
        <w:t>References</w:t>
      </w:r>
    </w:p>
    <w:p w:rsidR="00790ADA" w:rsidRPr="00397409" w:rsidRDefault="00790ADA" w:rsidP="00441B6F">
      <w:pPr>
        <w:pStyle w:val="ReferHead"/>
        <w:spacing w:after="0"/>
        <w:jc w:val="both"/>
        <w:rPr>
          <w:rFonts w:ascii="Arial" w:hAnsi="Arial" w:cs="Arial"/>
        </w:rPr>
      </w:pP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Altman, G. H., &amp; Farrell, B. D. (2022). Sericulture as a sustainable agroindustry. </w:t>
      </w:r>
      <w:r w:rsidRPr="00D961EF">
        <w:rPr>
          <w:rFonts w:ascii="Arial" w:hAnsi="Arial" w:cs="Arial"/>
          <w:i/>
          <w:iCs/>
          <w:sz w:val="20"/>
          <w:szCs w:val="20"/>
        </w:rPr>
        <w:t>Cleaner and Circular Bioeconomy</w:t>
      </w:r>
      <w:r w:rsidRPr="00D961EF">
        <w:rPr>
          <w:rFonts w:ascii="Arial" w:hAnsi="Arial" w:cs="Arial"/>
          <w:sz w:val="20"/>
          <w:szCs w:val="20"/>
        </w:rPr>
        <w:t>, </w:t>
      </w:r>
      <w:r w:rsidRPr="00D961EF">
        <w:rPr>
          <w:rFonts w:ascii="Arial" w:hAnsi="Arial" w:cs="Arial"/>
          <w:i/>
          <w:iCs/>
          <w:sz w:val="20"/>
          <w:szCs w:val="20"/>
        </w:rPr>
        <w:t>2</w:t>
      </w:r>
      <w:r w:rsidRPr="00D961EF">
        <w:rPr>
          <w:rFonts w:ascii="Arial" w:hAnsi="Arial" w:cs="Arial"/>
          <w:sz w:val="20"/>
          <w:szCs w:val="20"/>
        </w:rPr>
        <w:t>, 100011.</w:t>
      </w:r>
    </w:p>
    <w:p w:rsid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Chanotra, S., Verma, S., Bhat, M. A., Angotra, J., Verma, G. R., Langer, S., &amp; Azam, M. (2022). Studies on Vermicomposting of Sericultural Wastes: An Eco-Friendly Approach for Effective Management of Seri-Wastes. </w:t>
      </w:r>
      <w:r w:rsidRPr="00D961EF">
        <w:rPr>
          <w:rFonts w:ascii="Arial" w:hAnsi="Arial" w:cs="Arial"/>
          <w:i/>
          <w:iCs/>
          <w:sz w:val="20"/>
          <w:szCs w:val="20"/>
        </w:rPr>
        <w:t>J. Exp. Agric. Int</w:t>
      </w:r>
      <w:r w:rsidRPr="00D961EF">
        <w:rPr>
          <w:rFonts w:ascii="Arial" w:hAnsi="Arial" w:cs="Arial"/>
          <w:sz w:val="20"/>
          <w:szCs w:val="20"/>
        </w:rPr>
        <w:t>, </w:t>
      </w:r>
      <w:r w:rsidRPr="00D961EF">
        <w:rPr>
          <w:rFonts w:ascii="Arial" w:hAnsi="Arial" w:cs="Arial"/>
          <w:i/>
          <w:iCs/>
          <w:sz w:val="20"/>
          <w:szCs w:val="20"/>
        </w:rPr>
        <w:t>44</w:t>
      </w:r>
      <w:r w:rsidRPr="00D961EF">
        <w:rPr>
          <w:rFonts w:ascii="Arial" w:hAnsi="Arial" w:cs="Arial"/>
          <w:sz w:val="20"/>
          <w:szCs w:val="20"/>
        </w:rPr>
        <w:t>(12), 146-156.</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Chen, Q., Sun, S., Yang, X., Yan, H., Wang, K., Ba, X., &amp; Wang, H. (2023). Sublethal effects of neonicotinoid insecticides on the development, body weight and economic characteristics of silkworm. </w:t>
      </w:r>
      <w:r w:rsidRPr="00D961EF">
        <w:rPr>
          <w:rFonts w:ascii="Arial" w:hAnsi="Arial" w:cs="Arial"/>
          <w:i/>
          <w:iCs/>
          <w:sz w:val="20"/>
          <w:szCs w:val="20"/>
        </w:rPr>
        <w:t>Toxics</w:t>
      </w:r>
      <w:r w:rsidRPr="00D961EF">
        <w:rPr>
          <w:rFonts w:ascii="Arial" w:hAnsi="Arial" w:cs="Arial"/>
          <w:sz w:val="20"/>
          <w:szCs w:val="20"/>
        </w:rPr>
        <w:t>, </w:t>
      </w:r>
      <w:r w:rsidRPr="00D961EF">
        <w:rPr>
          <w:rFonts w:ascii="Arial" w:hAnsi="Arial" w:cs="Arial"/>
          <w:i/>
          <w:iCs/>
          <w:sz w:val="20"/>
          <w:szCs w:val="20"/>
        </w:rPr>
        <w:t>11</w:t>
      </w:r>
      <w:r w:rsidRPr="00D961EF">
        <w:rPr>
          <w:rFonts w:ascii="Arial" w:hAnsi="Arial" w:cs="Arial"/>
          <w:sz w:val="20"/>
          <w:szCs w:val="20"/>
        </w:rPr>
        <w:t>(5), 402.</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Daunoras, J., Kačergius, A., &amp;Gudiukaitė, R. (2024). Role of soil microbiota enzymes in soil health and activity changes depending on climate change and the type of soil ecosystem. </w:t>
      </w:r>
      <w:r w:rsidRPr="00D961EF">
        <w:rPr>
          <w:rFonts w:ascii="Arial" w:hAnsi="Arial" w:cs="Arial"/>
          <w:i/>
          <w:iCs/>
          <w:sz w:val="20"/>
          <w:szCs w:val="20"/>
        </w:rPr>
        <w:t>Biology</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(2), 85.</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Doliș, M. G., Pânzaru, C., Usturoi, M. G., Usturoi, A., Radu-Rusu, C. G., &amp; Davidescu, M. A. (2024). On the digestibility of mulberry leaf fed to </w:t>
      </w:r>
      <w:r w:rsidRPr="00D961EF">
        <w:rPr>
          <w:rFonts w:ascii="Arial" w:hAnsi="Arial" w:cs="Arial"/>
          <w:i/>
          <w:iCs/>
          <w:sz w:val="20"/>
          <w:szCs w:val="20"/>
        </w:rPr>
        <w:t>Bombyx mori</w:t>
      </w:r>
      <w:r w:rsidRPr="00D961EF">
        <w:rPr>
          <w:rFonts w:ascii="Arial" w:hAnsi="Arial" w:cs="Arial"/>
          <w:sz w:val="20"/>
          <w:szCs w:val="20"/>
        </w:rPr>
        <w:t xml:space="preserve"> larvae. </w:t>
      </w:r>
      <w:r w:rsidRPr="00D961EF">
        <w:rPr>
          <w:rFonts w:ascii="Arial" w:hAnsi="Arial" w:cs="Arial"/>
          <w:i/>
          <w:iCs/>
          <w:sz w:val="20"/>
          <w:szCs w:val="20"/>
        </w:rPr>
        <w:t>Agriculture</w:t>
      </w:r>
      <w:r w:rsidRPr="00D961EF">
        <w:rPr>
          <w:rFonts w:ascii="Arial" w:hAnsi="Arial" w:cs="Arial"/>
          <w:sz w:val="20"/>
          <w:szCs w:val="20"/>
        </w:rPr>
        <w:t>, </w:t>
      </w:r>
      <w:r w:rsidRPr="00D961EF">
        <w:rPr>
          <w:rFonts w:ascii="Arial" w:hAnsi="Arial" w:cs="Arial"/>
          <w:i/>
          <w:iCs/>
          <w:sz w:val="20"/>
          <w:szCs w:val="20"/>
        </w:rPr>
        <w:t>14</w:t>
      </w:r>
      <w:r w:rsidRPr="00D961EF">
        <w:rPr>
          <w:rFonts w:ascii="Arial" w:hAnsi="Arial" w:cs="Arial"/>
          <w:sz w:val="20"/>
          <w:szCs w:val="20"/>
        </w:rPr>
        <w:t>(8), 1394.</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El-Sheikh, E. S. A., Prodhan, M. D., &amp; P, S. (2023). Monitoring and risk assessment of pesticide residues and mycotoxins-A potential public health concern. </w:t>
      </w:r>
      <w:r w:rsidRPr="00D961EF">
        <w:rPr>
          <w:rFonts w:ascii="Arial" w:hAnsi="Arial" w:cs="Arial"/>
          <w:i/>
          <w:iCs/>
          <w:sz w:val="20"/>
          <w:szCs w:val="20"/>
        </w:rPr>
        <w:t>Frontiers in Public Health</w:t>
      </w:r>
      <w:r w:rsidRPr="00D961EF">
        <w:rPr>
          <w:rFonts w:ascii="Arial" w:hAnsi="Arial" w:cs="Arial"/>
          <w:sz w:val="20"/>
          <w:szCs w:val="20"/>
        </w:rPr>
        <w:t>, </w:t>
      </w:r>
      <w:r w:rsidRPr="00D961EF">
        <w:rPr>
          <w:rFonts w:ascii="Arial" w:hAnsi="Arial" w:cs="Arial"/>
          <w:i/>
          <w:iCs/>
          <w:sz w:val="20"/>
          <w:szCs w:val="20"/>
        </w:rPr>
        <w:t>11</w:t>
      </w:r>
      <w:r w:rsidRPr="00D961EF">
        <w:rPr>
          <w:rFonts w:ascii="Arial" w:hAnsi="Arial" w:cs="Arial"/>
          <w:sz w:val="20"/>
          <w:szCs w:val="20"/>
        </w:rPr>
        <w:t>, 1293726.</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lastRenderedPageBreak/>
        <w:t>Ewere, E. E., White, S., Mauleon, R., &amp;Benkendorff, K. (2024). Soil microbial communities and degradation of pesticides in greenhouse effluent through a woodchip bioreactor. </w:t>
      </w:r>
      <w:r w:rsidRPr="00D961EF">
        <w:rPr>
          <w:rFonts w:ascii="Arial" w:hAnsi="Arial" w:cs="Arial"/>
          <w:i/>
          <w:iCs/>
          <w:sz w:val="20"/>
          <w:szCs w:val="20"/>
        </w:rPr>
        <w:t>Environmental Pollution</w:t>
      </w:r>
      <w:r w:rsidRPr="00D961EF">
        <w:rPr>
          <w:rFonts w:ascii="Arial" w:hAnsi="Arial" w:cs="Arial"/>
          <w:sz w:val="20"/>
          <w:szCs w:val="20"/>
        </w:rPr>
        <w:t>, </w:t>
      </w:r>
      <w:r w:rsidRPr="00D961EF">
        <w:rPr>
          <w:rFonts w:ascii="Arial" w:hAnsi="Arial" w:cs="Arial"/>
          <w:i/>
          <w:iCs/>
          <w:sz w:val="20"/>
          <w:szCs w:val="20"/>
        </w:rPr>
        <w:t>359</w:t>
      </w:r>
      <w:r w:rsidRPr="00D961EF">
        <w:rPr>
          <w:rFonts w:ascii="Arial" w:hAnsi="Arial" w:cs="Arial"/>
          <w:sz w:val="20"/>
          <w:szCs w:val="20"/>
        </w:rPr>
        <w:t>, 124561.</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Fernández-Marcos, M. L. (2024). Current Developments in Soil Ecotoxicology. </w:t>
      </w:r>
      <w:r w:rsidRPr="00D961EF">
        <w:rPr>
          <w:rFonts w:ascii="Arial" w:hAnsi="Arial" w:cs="Arial"/>
          <w:i/>
          <w:iCs/>
          <w:sz w:val="20"/>
          <w:szCs w:val="20"/>
        </w:rPr>
        <w:t>Toxics</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(10), 734.</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Hăbeanu, M., Gheorghe, A., &amp; Mihalcea, T. (2023). Silkworm </w:t>
      </w:r>
      <w:r w:rsidRPr="00D961EF">
        <w:rPr>
          <w:rFonts w:ascii="Arial" w:hAnsi="Arial" w:cs="Arial"/>
          <w:i/>
          <w:iCs/>
          <w:sz w:val="20"/>
          <w:szCs w:val="20"/>
        </w:rPr>
        <w:t>Bombyx mori</w:t>
      </w:r>
      <w:r w:rsidRPr="00D961EF">
        <w:rPr>
          <w:rFonts w:ascii="Arial" w:hAnsi="Arial" w:cs="Arial"/>
          <w:sz w:val="20"/>
          <w:szCs w:val="20"/>
        </w:rPr>
        <w:t>—sustainability and economic opportunity, particularly for Romania. </w:t>
      </w:r>
      <w:r w:rsidRPr="00D961EF">
        <w:rPr>
          <w:rFonts w:ascii="Arial" w:hAnsi="Arial" w:cs="Arial"/>
          <w:i/>
          <w:iCs/>
          <w:sz w:val="20"/>
          <w:szCs w:val="20"/>
        </w:rPr>
        <w:t>Agriculture</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(6), 1209.</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Hazarika, S., Jekinakatti, B., Bharathi, B. K. M., Charitha, K., &amp; Rahman, T. (2024). Impact of novel insecticides in mulberry ecosystem and its residual effect on silkworm growth &amp; productivity. </w:t>
      </w:r>
      <w:r w:rsidRPr="00D961EF">
        <w:rPr>
          <w:rFonts w:ascii="Arial" w:hAnsi="Arial" w:cs="Arial"/>
          <w:i/>
          <w:iCs/>
          <w:sz w:val="20"/>
          <w:szCs w:val="20"/>
        </w:rPr>
        <w:t>J Exp Agric Int</w:t>
      </w:r>
      <w:r w:rsidRPr="00D961EF">
        <w:rPr>
          <w:rFonts w:ascii="Arial" w:hAnsi="Arial" w:cs="Arial"/>
          <w:sz w:val="20"/>
          <w:szCs w:val="20"/>
        </w:rPr>
        <w:t>, </w:t>
      </w:r>
      <w:r w:rsidRPr="00D961EF">
        <w:rPr>
          <w:rFonts w:ascii="Arial" w:hAnsi="Arial" w:cs="Arial"/>
          <w:i/>
          <w:iCs/>
          <w:sz w:val="20"/>
          <w:szCs w:val="20"/>
        </w:rPr>
        <w:t>46</w:t>
      </w:r>
      <w:r w:rsidRPr="00D961EF">
        <w:rPr>
          <w:rFonts w:ascii="Arial" w:hAnsi="Arial" w:cs="Arial"/>
          <w:sz w:val="20"/>
          <w:szCs w:val="20"/>
        </w:rPr>
        <w:t>(9), 37-44.</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He, Z., Fang, Y., Zhang, F., Liu, Y., Wen, X., Yu, C., ... &amp; Wu, F. (2024). Toxic effect of methyl-thiophanate on </w:t>
      </w:r>
      <w:r w:rsidRPr="00D961EF">
        <w:rPr>
          <w:rFonts w:ascii="Arial" w:hAnsi="Arial" w:cs="Arial"/>
          <w:i/>
          <w:iCs/>
          <w:sz w:val="20"/>
          <w:szCs w:val="20"/>
        </w:rPr>
        <w:t>Bombyx mori</w:t>
      </w:r>
      <w:r w:rsidRPr="00D961EF">
        <w:rPr>
          <w:rFonts w:ascii="Arial" w:hAnsi="Arial" w:cs="Arial"/>
          <w:sz w:val="20"/>
          <w:szCs w:val="20"/>
        </w:rPr>
        <w:t xml:space="preserve"> based on physiological and transcriptomic analysis. </w:t>
      </w:r>
      <w:r w:rsidRPr="00D961EF">
        <w:rPr>
          <w:rFonts w:ascii="Arial" w:hAnsi="Arial" w:cs="Arial"/>
          <w:i/>
          <w:iCs/>
          <w:sz w:val="20"/>
          <w:szCs w:val="20"/>
        </w:rPr>
        <w:t>Genes</w:t>
      </w:r>
      <w:r w:rsidRPr="00D961EF">
        <w:rPr>
          <w:rFonts w:ascii="Arial" w:hAnsi="Arial" w:cs="Arial"/>
          <w:sz w:val="20"/>
          <w:szCs w:val="20"/>
        </w:rPr>
        <w:t>, </w:t>
      </w:r>
      <w:r w:rsidRPr="00D961EF">
        <w:rPr>
          <w:rFonts w:ascii="Arial" w:hAnsi="Arial" w:cs="Arial"/>
          <w:i/>
          <w:iCs/>
          <w:sz w:val="20"/>
          <w:szCs w:val="20"/>
        </w:rPr>
        <w:t>15</w:t>
      </w:r>
      <w:r w:rsidRPr="00D961EF">
        <w:rPr>
          <w:rFonts w:ascii="Arial" w:hAnsi="Arial" w:cs="Arial"/>
          <w:sz w:val="20"/>
          <w:szCs w:val="20"/>
        </w:rPr>
        <w:t>(10), 1279.</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Hua, Y., Yuan, Y., Qin, Y., Zhang, C., Wang, X., Feng, S., &amp; Lu, Y. (2022). Advances in the agro-environment migration of organic chemical pollutants and their biotransformation in crops. </w:t>
      </w:r>
      <w:r w:rsidRPr="00D961EF">
        <w:rPr>
          <w:rFonts w:ascii="Arial" w:hAnsi="Arial" w:cs="Arial"/>
          <w:i/>
          <w:iCs/>
          <w:sz w:val="20"/>
          <w:szCs w:val="20"/>
        </w:rPr>
        <w:t>Agronomy</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(12), 3009.</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Huang, Y., Zou, S., Zhan, P., Hao, Z., Lu, Q., Jing, W., ... &amp; Wang, H. (2023). Dinotefuran induces oxidative stress and autophagy on </w:t>
      </w:r>
      <w:r w:rsidRPr="00D961EF">
        <w:rPr>
          <w:rFonts w:ascii="Arial" w:hAnsi="Arial" w:cs="Arial"/>
          <w:i/>
          <w:iCs/>
          <w:sz w:val="20"/>
          <w:szCs w:val="20"/>
        </w:rPr>
        <w:t>Bombyx mori</w:t>
      </w:r>
      <w:r w:rsidRPr="00D961EF">
        <w:rPr>
          <w:rFonts w:ascii="Arial" w:hAnsi="Arial" w:cs="Arial"/>
          <w:sz w:val="20"/>
          <w:szCs w:val="20"/>
        </w:rPr>
        <w:t xml:space="preserve"> silk gland: Toxic effects and implications for nontarget organisms. </w:t>
      </w:r>
      <w:r w:rsidRPr="00D961EF">
        <w:rPr>
          <w:rFonts w:ascii="Arial" w:hAnsi="Arial" w:cs="Arial"/>
          <w:i/>
          <w:iCs/>
          <w:sz w:val="20"/>
          <w:szCs w:val="20"/>
        </w:rPr>
        <w:t>Environmental Pollution</w:t>
      </w:r>
      <w:r w:rsidRPr="00D961EF">
        <w:rPr>
          <w:rFonts w:ascii="Arial" w:hAnsi="Arial" w:cs="Arial"/>
          <w:sz w:val="20"/>
          <w:szCs w:val="20"/>
        </w:rPr>
        <w:t>, </w:t>
      </w:r>
      <w:r w:rsidRPr="00D961EF">
        <w:rPr>
          <w:rFonts w:ascii="Arial" w:hAnsi="Arial" w:cs="Arial"/>
          <w:i/>
          <w:iCs/>
          <w:sz w:val="20"/>
          <w:szCs w:val="20"/>
        </w:rPr>
        <w:t>336</w:t>
      </w:r>
      <w:r w:rsidRPr="00D961EF">
        <w:rPr>
          <w:rFonts w:ascii="Arial" w:hAnsi="Arial" w:cs="Arial"/>
          <w:sz w:val="20"/>
          <w:szCs w:val="20"/>
        </w:rPr>
        <w:t>, 122470.</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Jiang, S., Sun, J., Xin, Z., Mao, H., Wu, X., &amp; Li, Q. (2017). Visualizing distribution of pesticide residues in mulberry leaves using NIR hyperspectral imaging. </w:t>
      </w:r>
      <w:r w:rsidRPr="00D961EF">
        <w:rPr>
          <w:rFonts w:ascii="Arial" w:hAnsi="Arial" w:cs="Arial"/>
          <w:i/>
          <w:iCs/>
          <w:sz w:val="20"/>
          <w:szCs w:val="20"/>
        </w:rPr>
        <w:t>Journal of Food Process Engineering</w:t>
      </w:r>
      <w:r w:rsidRPr="00D961EF">
        <w:rPr>
          <w:rFonts w:ascii="Arial" w:hAnsi="Arial" w:cs="Arial"/>
          <w:sz w:val="20"/>
          <w:szCs w:val="20"/>
        </w:rPr>
        <w:t>, </w:t>
      </w:r>
      <w:r w:rsidRPr="00D961EF">
        <w:rPr>
          <w:rFonts w:ascii="Arial" w:hAnsi="Arial" w:cs="Arial"/>
          <w:i/>
          <w:iCs/>
          <w:sz w:val="20"/>
          <w:szCs w:val="20"/>
        </w:rPr>
        <w:t>40</w:t>
      </w:r>
      <w:r w:rsidRPr="00D961EF">
        <w:rPr>
          <w:rFonts w:ascii="Arial" w:hAnsi="Arial" w:cs="Arial"/>
          <w:sz w:val="20"/>
          <w:szCs w:val="20"/>
        </w:rPr>
        <w:t>(4), e12510.</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Kishore, S. M., Khajuria, M., Shalini, K. S., Saini, A., Srivastav, S., Manideep, K. S. N., ... &amp;Morabad, P. (2024). Advancing Sustainable Sericulture: A Review on Biological Control Agents in Managing Pests and Diseases of Mulberry and Silkworms. </w:t>
      </w:r>
      <w:r w:rsidRPr="00D961EF">
        <w:rPr>
          <w:rFonts w:ascii="Arial" w:hAnsi="Arial" w:cs="Arial"/>
          <w:i/>
          <w:iCs/>
          <w:sz w:val="20"/>
          <w:szCs w:val="20"/>
        </w:rPr>
        <w:t>Journal of Experimental Agriculture International</w:t>
      </w:r>
      <w:r w:rsidRPr="00D961EF">
        <w:rPr>
          <w:rFonts w:ascii="Arial" w:hAnsi="Arial" w:cs="Arial"/>
          <w:sz w:val="20"/>
          <w:szCs w:val="20"/>
        </w:rPr>
        <w:t>, </w:t>
      </w:r>
      <w:r w:rsidRPr="00D961EF">
        <w:rPr>
          <w:rFonts w:ascii="Arial" w:hAnsi="Arial" w:cs="Arial"/>
          <w:i/>
          <w:iCs/>
          <w:sz w:val="20"/>
          <w:szCs w:val="20"/>
        </w:rPr>
        <w:t>46</w:t>
      </w:r>
      <w:r w:rsidRPr="00D961EF">
        <w:rPr>
          <w:rFonts w:ascii="Arial" w:hAnsi="Arial" w:cs="Arial"/>
          <w:sz w:val="20"/>
          <w:szCs w:val="20"/>
        </w:rPr>
        <w:t>(9), 1139-1146.</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Liu, W., Yang, Z., Ye, Q., Peng, Z., Zhu, S., Chen, H., ... &amp; Huang, H. (2023). Positive effects of organic amendments on soil microbes and their functionality in agro-ecosystems. </w:t>
      </w:r>
      <w:r w:rsidRPr="00D961EF">
        <w:rPr>
          <w:rFonts w:ascii="Arial" w:hAnsi="Arial" w:cs="Arial"/>
          <w:i/>
          <w:iCs/>
          <w:sz w:val="20"/>
          <w:szCs w:val="20"/>
        </w:rPr>
        <w:t>Plants</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(22), 3790.</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Lokanath, S., Lingaiah, K., Manjappa, G., Helen, M., Beevi, D., Manthira Moorthy, S., &amp; Manjunath, G. R. (2025). Detection of pesticide and their effects on silkworm, </w:t>
      </w:r>
      <w:r w:rsidRPr="00D961EF">
        <w:rPr>
          <w:rFonts w:ascii="Arial" w:hAnsi="Arial" w:cs="Arial"/>
          <w:i/>
          <w:iCs/>
          <w:sz w:val="20"/>
          <w:szCs w:val="20"/>
        </w:rPr>
        <w:t>Bombyx mori</w:t>
      </w:r>
      <w:r w:rsidRPr="00D961EF">
        <w:rPr>
          <w:rFonts w:ascii="Arial" w:hAnsi="Arial" w:cs="Arial"/>
          <w:sz w:val="20"/>
          <w:szCs w:val="20"/>
        </w:rPr>
        <w:t xml:space="preserve"> L. (Lepidoptera: Bombycidae). </w:t>
      </w:r>
      <w:r w:rsidRPr="00D961EF">
        <w:rPr>
          <w:rFonts w:ascii="Arial" w:hAnsi="Arial" w:cs="Arial"/>
          <w:i/>
          <w:iCs/>
          <w:sz w:val="20"/>
          <w:szCs w:val="20"/>
        </w:rPr>
        <w:t>The Journal of Basic and Applied Zoology</w:t>
      </w:r>
      <w:r w:rsidRPr="00D961EF">
        <w:rPr>
          <w:rFonts w:ascii="Arial" w:hAnsi="Arial" w:cs="Arial"/>
          <w:sz w:val="20"/>
          <w:szCs w:val="20"/>
        </w:rPr>
        <w:t>, </w:t>
      </w:r>
      <w:r w:rsidRPr="00D961EF">
        <w:rPr>
          <w:rFonts w:ascii="Arial" w:hAnsi="Arial" w:cs="Arial"/>
          <w:i/>
          <w:iCs/>
          <w:sz w:val="20"/>
          <w:szCs w:val="20"/>
        </w:rPr>
        <w:t>86</w:t>
      </w:r>
      <w:r w:rsidRPr="00D961EF">
        <w:rPr>
          <w:rFonts w:ascii="Arial" w:hAnsi="Arial" w:cs="Arial"/>
          <w:sz w:val="20"/>
          <w:szCs w:val="20"/>
        </w:rPr>
        <w:t>(1), 60.</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Ou, T., Zhang, M., Gao, H., Wang, F., Xu, W., Liu, X., ... &amp; Xie, J. (2023). Study on the potential for stimulating mulberry growth and drought tolerance of plant growth-promoting fungi. </w:t>
      </w:r>
      <w:r w:rsidRPr="00D961EF">
        <w:rPr>
          <w:rFonts w:ascii="Arial" w:hAnsi="Arial" w:cs="Arial"/>
          <w:i/>
          <w:iCs/>
          <w:sz w:val="20"/>
          <w:szCs w:val="20"/>
        </w:rPr>
        <w:t>International journal of molecular sciences</w:t>
      </w:r>
      <w:r w:rsidRPr="00D961EF">
        <w:rPr>
          <w:rFonts w:ascii="Arial" w:hAnsi="Arial" w:cs="Arial"/>
          <w:sz w:val="20"/>
          <w:szCs w:val="20"/>
        </w:rPr>
        <w:t>, </w:t>
      </w:r>
      <w:r w:rsidRPr="00D961EF">
        <w:rPr>
          <w:rFonts w:ascii="Arial" w:hAnsi="Arial" w:cs="Arial"/>
          <w:i/>
          <w:iCs/>
          <w:sz w:val="20"/>
          <w:szCs w:val="20"/>
        </w:rPr>
        <w:t>24</w:t>
      </w:r>
      <w:r w:rsidRPr="00D961EF">
        <w:rPr>
          <w:rFonts w:ascii="Arial" w:hAnsi="Arial" w:cs="Arial"/>
          <w:sz w:val="20"/>
          <w:szCs w:val="20"/>
        </w:rPr>
        <w:t>(4), 4090.</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Ou, T., Zhang, M., Huang, Y., Wang, L., Wang, F., Wang, R., ... &amp; Xiang, Z. (2022). Role of rhizospheric Bacillus megaterium HGS7 in maintaining mulberry growth under extremely abiotic stress in hydro-fluctuation belt of three gorges reservoir. </w:t>
      </w:r>
      <w:r w:rsidRPr="00D961EF">
        <w:rPr>
          <w:rFonts w:ascii="Arial" w:hAnsi="Arial" w:cs="Arial"/>
          <w:i/>
          <w:iCs/>
          <w:sz w:val="20"/>
          <w:szCs w:val="20"/>
        </w:rPr>
        <w:t>Frontiers in Plant Science</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 880125.</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Reddy, N. C., Thrilekha, D., Gulabrao, D. P., Mala, P. H., Karur, A., Kumar, B., ... &amp; Ashrith, S. (2024). The use of bio-control agents in mulberry pest management: successful techniques and important issues. </w:t>
      </w:r>
      <w:r w:rsidRPr="00D961EF">
        <w:rPr>
          <w:rFonts w:ascii="Arial" w:hAnsi="Arial" w:cs="Arial"/>
          <w:i/>
          <w:iCs/>
          <w:sz w:val="20"/>
          <w:szCs w:val="20"/>
        </w:rPr>
        <w:t>International Journal of Environment and Climate Change</w:t>
      </w:r>
      <w:r w:rsidRPr="00D961EF">
        <w:rPr>
          <w:rFonts w:ascii="Arial" w:hAnsi="Arial" w:cs="Arial"/>
          <w:sz w:val="20"/>
          <w:szCs w:val="20"/>
        </w:rPr>
        <w:t>, </w:t>
      </w:r>
      <w:r w:rsidRPr="00D961EF">
        <w:rPr>
          <w:rFonts w:ascii="Arial" w:hAnsi="Arial" w:cs="Arial"/>
          <w:i/>
          <w:iCs/>
          <w:sz w:val="20"/>
          <w:szCs w:val="20"/>
        </w:rPr>
        <w:t>14</w:t>
      </w:r>
      <w:r w:rsidRPr="00D961EF">
        <w:rPr>
          <w:rFonts w:ascii="Arial" w:hAnsi="Arial" w:cs="Arial"/>
          <w:sz w:val="20"/>
          <w:szCs w:val="20"/>
        </w:rPr>
        <w:t>(9), 330-337.</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Shahid, M., &amp; Khan, M. S. (2022). Ecotoxicological implications of residual pesticides to beneficial soil bacteria: a review. </w:t>
      </w:r>
      <w:r w:rsidRPr="00D961EF">
        <w:rPr>
          <w:rFonts w:ascii="Arial" w:hAnsi="Arial" w:cs="Arial"/>
          <w:i/>
          <w:iCs/>
          <w:sz w:val="20"/>
          <w:szCs w:val="20"/>
        </w:rPr>
        <w:t>Pesticide Biochemistry and Physiology</w:t>
      </w:r>
      <w:r w:rsidRPr="00D961EF">
        <w:rPr>
          <w:rFonts w:ascii="Arial" w:hAnsi="Arial" w:cs="Arial"/>
          <w:sz w:val="20"/>
          <w:szCs w:val="20"/>
        </w:rPr>
        <w:t>, </w:t>
      </w:r>
      <w:r w:rsidRPr="00D961EF">
        <w:rPr>
          <w:rFonts w:ascii="Arial" w:hAnsi="Arial" w:cs="Arial"/>
          <w:i/>
          <w:iCs/>
          <w:sz w:val="20"/>
          <w:szCs w:val="20"/>
        </w:rPr>
        <w:t>188</w:t>
      </w:r>
      <w:r w:rsidRPr="00D961EF">
        <w:rPr>
          <w:rFonts w:ascii="Arial" w:hAnsi="Arial" w:cs="Arial"/>
          <w:sz w:val="20"/>
          <w:szCs w:val="20"/>
        </w:rPr>
        <w:t>, 105272.</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lastRenderedPageBreak/>
        <w:t>Sun, S., Chen, Q., Gao, J., Qu, M., Chen, Z., Wang, K., &amp; Wang, H. (2024). Sublethal effects of nitenpyram on the development of silkworm. </w:t>
      </w:r>
      <w:r w:rsidRPr="00D961EF">
        <w:rPr>
          <w:rFonts w:ascii="Arial" w:hAnsi="Arial" w:cs="Arial"/>
          <w:i/>
          <w:iCs/>
          <w:sz w:val="20"/>
          <w:szCs w:val="20"/>
        </w:rPr>
        <w:t>Science of the Total Environment</w:t>
      </w:r>
      <w:r w:rsidRPr="00D961EF">
        <w:rPr>
          <w:rFonts w:ascii="Arial" w:hAnsi="Arial" w:cs="Arial"/>
          <w:sz w:val="20"/>
          <w:szCs w:val="20"/>
        </w:rPr>
        <w:t>, </w:t>
      </w:r>
      <w:r w:rsidRPr="00D961EF">
        <w:rPr>
          <w:rFonts w:ascii="Arial" w:hAnsi="Arial" w:cs="Arial"/>
          <w:i/>
          <w:iCs/>
          <w:sz w:val="20"/>
          <w:szCs w:val="20"/>
        </w:rPr>
        <w:t>950</w:t>
      </w:r>
      <w:r w:rsidRPr="00D961EF">
        <w:rPr>
          <w:rFonts w:ascii="Arial" w:hAnsi="Arial" w:cs="Arial"/>
          <w:sz w:val="20"/>
          <w:szCs w:val="20"/>
        </w:rPr>
        <w:t>, 175262.</w:t>
      </w:r>
    </w:p>
    <w:p w:rsidR="00D961EF" w:rsidRPr="00D961EF" w:rsidRDefault="00D961EF" w:rsidP="00D961EF">
      <w:pPr>
        <w:pStyle w:val="ListParagraph"/>
        <w:numPr>
          <w:ilvl w:val="0"/>
          <w:numId w:val="34"/>
        </w:numPr>
        <w:jc w:val="both"/>
        <w:rPr>
          <w:rFonts w:ascii="Arial" w:hAnsi="Arial" w:cs="Arial"/>
          <w:sz w:val="16"/>
          <w:szCs w:val="16"/>
        </w:rPr>
      </w:pPr>
      <w:r w:rsidRPr="00D961EF">
        <w:rPr>
          <w:rFonts w:ascii="Arial" w:hAnsi="Arial" w:cs="Arial"/>
          <w:sz w:val="20"/>
          <w:szCs w:val="20"/>
        </w:rPr>
        <w:t>Vyas, P., Sharma, S., &amp; Gupta, J. (2022). Vermicomposting with microbial amendment: implications for bioremediation of industrial and agricultural waste. </w:t>
      </w:r>
      <w:r w:rsidRPr="00D961EF">
        <w:rPr>
          <w:rFonts w:ascii="Arial" w:hAnsi="Arial" w:cs="Arial"/>
          <w:i/>
          <w:iCs/>
          <w:sz w:val="20"/>
          <w:szCs w:val="20"/>
        </w:rPr>
        <w:t>BioTechnologia</w:t>
      </w:r>
      <w:r w:rsidRPr="00D961EF">
        <w:rPr>
          <w:rFonts w:ascii="Arial" w:hAnsi="Arial" w:cs="Arial"/>
          <w:sz w:val="20"/>
          <w:szCs w:val="20"/>
        </w:rPr>
        <w:t>, </w:t>
      </w:r>
      <w:r w:rsidRPr="00D961EF">
        <w:rPr>
          <w:rFonts w:ascii="Arial" w:hAnsi="Arial" w:cs="Arial"/>
          <w:i/>
          <w:iCs/>
          <w:sz w:val="20"/>
          <w:szCs w:val="20"/>
        </w:rPr>
        <w:t>103</w:t>
      </w:r>
      <w:r w:rsidRPr="00D961EF">
        <w:rPr>
          <w:rFonts w:ascii="Arial" w:hAnsi="Arial" w:cs="Arial"/>
          <w:sz w:val="20"/>
          <w:szCs w:val="20"/>
        </w:rPr>
        <w:t>(2), 203-215.</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Wojewódzki, P., Lemanowicz, J., Debska, B., &amp; Haddad, S. A. (2022). Soil enzyme activity response under the amendment of different types of biochar. </w:t>
      </w:r>
      <w:r w:rsidRPr="00D961EF">
        <w:rPr>
          <w:rFonts w:ascii="Arial" w:hAnsi="Arial" w:cs="Arial"/>
          <w:i/>
          <w:iCs/>
          <w:sz w:val="20"/>
          <w:szCs w:val="20"/>
        </w:rPr>
        <w:t>Agronomy</w:t>
      </w:r>
      <w:r w:rsidRPr="00D961EF">
        <w:rPr>
          <w:rFonts w:ascii="Arial" w:hAnsi="Arial" w:cs="Arial"/>
          <w:sz w:val="20"/>
          <w:szCs w:val="20"/>
        </w:rPr>
        <w:t>, </w:t>
      </w:r>
      <w:r w:rsidRPr="00D961EF">
        <w:rPr>
          <w:rFonts w:ascii="Arial" w:hAnsi="Arial" w:cs="Arial"/>
          <w:i/>
          <w:iCs/>
          <w:sz w:val="20"/>
          <w:szCs w:val="20"/>
        </w:rPr>
        <w:t>12</w:t>
      </w:r>
      <w:r w:rsidRPr="00D961EF">
        <w:rPr>
          <w:rFonts w:ascii="Arial" w:hAnsi="Arial" w:cs="Arial"/>
          <w:sz w:val="20"/>
          <w:szCs w:val="20"/>
        </w:rPr>
        <w:t>(3), 569.</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 xml:space="preserve">Xie, X., Hou, J., Li, M., Liu, Z., He, M., Li, C., ... &amp; Chen, L. (2025). Chronic Low-Dose Phoxim Exposure Impairs Silk Production in </w:t>
      </w:r>
      <w:r w:rsidRPr="00D961EF">
        <w:rPr>
          <w:rFonts w:ascii="Arial" w:hAnsi="Arial" w:cs="Arial"/>
          <w:i/>
          <w:iCs/>
          <w:sz w:val="20"/>
          <w:szCs w:val="20"/>
        </w:rPr>
        <w:t>Bombyx mori</w:t>
      </w:r>
      <w:r w:rsidRPr="00D961EF">
        <w:rPr>
          <w:rFonts w:ascii="Arial" w:hAnsi="Arial" w:cs="Arial"/>
          <w:sz w:val="20"/>
          <w:szCs w:val="20"/>
        </w:rPr>
        <w:t xml:space="preserve"> L. (Lepidoptera: Bombycidae) by Disrupting Juvenile Hormone Signaling-Mediated Fibroin Synthesis. </w:t>
      </w:r>
      <w:r w:rsidRPr="00D961EF">
        <w:rPr>
          <w:rFonts w:ascii="Arial" w:hAnsi="Arial" w:cs="Arial"/>
          <w:i/>
          <w:iCs/>
          <w:sz w:val="20"/>
          <w:szCs w:val="20"/>
        </w:rPr>
        <w:t>Toxics</w:t>
      </w:r>
      <w:r w:rsidRPr="00D961EF">
        <w:rPr>
          <w:rFonts w:ascii="Arial" w:hAnsi="Arial" w:cs="Arial"/>
          <w:sz w:val="20"/>
          <w:szCs w:val="20"/>
        </w:rPr>
        <w:t>, </w:t>
      </w:r>
      <w:r w:rsidRPr="00D961EF">
        <w:rPr>
          <w:rFonts w:ascii="Arial" w:hAnsi="Arial" w:cs="Arial"/>
          <w:i/>
          <w:iCs/>
          <w:sz w:val="20"/>
          <w:szCs w:val="20"/>
        </w:rPr>
        <w:t>13</w:t>
      </w:r>
      <w:r w:rsidRPr="00D961EF">
        <w:rPr>
          <w:rFonts w:ascii="Arial" w:hAnsi="Arial" w:cs="Arial"/>
          <w:sz w:val="20"/>
          <w:szCs w:val="20"/>
        </w:rPr>
        <w:t>(6), 427.</w:t>
      </w:r>
    </w:p>
    <w:p w:rsidR="00D961EF" w:rsidRPr="00D961EF" w:rsidRDefault="00D961EF" w:rsidP="00D961EF">
      <w:pPr>
        <w:pStyle w:val="ListParagraph"/>
        <w:numPr>
          <w:ilvl w:val="0"/>
          <w:numId w:val="34"/>
        </w:numPr>
        <w:jc w:val="both"/>
        <w:rPr>
          <w:rFonts w:ascii="Arial" w:hAnsi="Arial" w:cs="Arial"/>
          <w:sz w:val="20"/>
          <w:szCs w:val="20"/>
        </w:rPr>
      </w:pPr>
      <w:r w:rsidRPr="00D961EF">
        <w:rPr>
          <w:rFonts w:ascii="Arial" w:hAnsi="Arial" w:cs="Arial"/>
          <w:sz w:val="20"/>
          <w:szCs w:val="20"/>
        </w:rPr>
        <w:t>Zhou, W., Arcot, Y., Medina, R. F., Bernal, J., Cisneros-Zevallos, L., &amp; Akbulut, M. E. (2024). Integrated pest management: an update on the sustainability approach to crop protection. </w:t>
      </w:r>
      <w:r w:rsidRPr="00D961EF">
        <w:rPr>
          <w:rFonts w:ascii="Arial" w:hAnsi="Arial" w:cs="Arial"/>
          <w:i/>
          <w:iCs/>
          <w:sz w:val="20"/>
          <w:szCs w:val="20"/>
        </w:rPr>
        <w:t>ACS omega</w:t>
      </w:r>
      <w:r w:rsidRPr="00D961EF">
        <w:rPr>
          <w:rFonts w:ascii="Arial" w:hAnsi="Arial" w:cs="Arial"/>
          <w:sz w:val="20"/>
          <w:szCs w:val="20"/>
        </w:rPr>
        <w:t>, </w:t>
      </w:r>
      <w:r w:rsidRPr="00D961EF">
        <w:rPr>
          <w:rFonts w:ascii="Arial" w:hAnsi="Arial" w:cs="Arial"/>
          <w:i/>
          <w:iCs/>
          <w:sz w:val="20"/>
          <w:szCs w:val="20"/>
        </w:rPr>
        <w:t>9</w:t>
      </w:r>
      <w:r w:rsidRPr="00D961EF">
        <w:rPr>
          <w:rFonts w:ascii="Arial" w:hAnsi="Arial" w:cs="Arial"/>
          <w:sz w:val="20"/>
          <w:szCs w:val="20"/>
        </w:rPr>
        <w:t>(40), 41130-41147.</w:t>
      </w:r>
    </w:p>
    <w:p w:rsidR="004D4277" w:rsidRPr="00397409" w:rsidRDefault="004D4277" w:rsidP="00441B6F">
      <w:pPr>
        <w:pStyle w:val="Appendix"/>
        <w:spacing w:after="0"/>
        <w:jc w:val="both"/>
        <w:rPr>
          <w:rFonts w:ascii="Arial" w:hAnsi="Arial" w:cs="Arial"/>
          <w:b w:val="0"/>
        </w:rPr>
        <w:sectPr w:rsidR="004D4277" w:rsidRPr="00397409" w:rsidSect="00B136F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rsidR="00B01FCD" w:rsidRPr="00397409" w:rsidRDefault="00B01FCD" w:rsidP="00441B6F">
      <w:pPr>
        <w:pStyle w:val="Appendix"/>
        <w:spacing w:after="0"/>
        <w:jc w:val="both"/>
        <w:rPr>
          <w:rFonts w:ascii="Arial" w:hAnsi="Arial" w:cs="Arial"/>
          <w:b w:val="0"/>
        </w:rPr>
      </w:pPr>
    </w:p>
    <w:sectPr w:rsidR="00B01FCD" w:rsidRPr="00397409" w:rsidSect="00B136FE">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5-09-06T20:08:00Z" w:initials="l">
    <w:p w:rsidR="00EB6C63" w:rsidRDefault="00EB6C63">
      <w:pPr>
        <w:pStyle w:val="CommentText"/>
      </w:pPr>
      <w:r>
        <w:rPr>
          <w:rStyle w:val="CommentReference"/>
        </w:rPr>
        <w:annotationRef/>
      </w:r>
      <w:r>
        <w:t>Rewrite please</w:t>
      </w:r>
    </w:p>
  </w:comment>
  <w:comment w:id="2" w:author="lenovo" w:date="2025-09-06T20:18:00Z" w:initials="l">
    <w:p w:rsidR="003C55A0" w:rsidRDefault="003C55A0">
      <w:pPr>
        <w:pStyle w:val="CommentText"/>
      </w:pPr>
      <w:r>
        <w:rPr>
          <w:rStyle w:val="CommentReference"/>
        </w:rPr>
        <w:annotationRef/>
      </w:r>
      <w:r>
        <w:t>Flowcharts showing the pathways w.r.t. few agrochemicals may be incorporated</w:t>
      </w:r>
    </w:p>
  </w:comment>
  <w:comment w:id="3" w:author="lenovo" w:date="2025-09-06T20:20:00Z" w:initials="l">
    <w:p w:rsidR="003C55A0" w:rsidRDefault="003C55A0">
      <w:pPr>
        <w:pStyle w:val="CommentText"/>
      </w:pPr>
      <w:r>
        <w:rPr>
          <w:rStyle w:val="CommentReference"/>
        </w:rPr>
        <w:annotationRef/>
      </w:r>
      <w:r>
        <w:t>Tables/Figures showing the effects of agrochemicals on soil biota may be included to support the statements mentioned in this paragraph.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13C" w:rsidRDefault="0053613C" w:rsidP="00C37E61">
      <w:r>
        <w:separator/>
      </w:r>
    </w:p>
  </w:endnote>
  <w:endnote w:type="continuationSeparator" w:id="1">
    <w:p w:rsidR="0053613C" w:rsidRDefault="0053613C"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FE" w:rsidRDefault="00B136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FE" w:rsidRDefault="00B136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9A" w:rsidRPr="00B136FE" w:rsidRDefault="00754C9A" w:rsidP="00B136FE">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13C" w:rsidRDefault="0053613C" w:rsidP="00C37E61">
      <w:r>
        <w:separator/>
      </w:r>
    </w:p>
  </w:footnote>
  <w:footnote w:type="continuationSeparator" w:id="1">
    <w:p w:rsidR="0053613C" w:rsidRDefault="0053613C"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FE" w:rsidRDefault="00FF0C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FE" w:rsidRDefault="00FF0C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FF0C05" w:rsidP="00296529">
    <w:pPr>
      <w:ind w:left="2160"/>
      <w:jc w:val="center"/>
      <w:rPr>
        <w:rFonts w:ascii="Times New Roman" w:eastAsia="Calibri" w:hAnsi="Times New Roman"/>
        <w:i/>
        <w:sz w:val="18"/>
        <w:szCs w:val="22"/>
      </w:rPr>
    </w:pPr>
    <w:r w:rsidRPr="00FF0C0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FE" w:rsidRDefault="00FF0C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FE" w:rsidRDefault="00FF0C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6FE" w:rsidRDefault="00FF0C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443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094945"/>
    <w:multiLevelType w:val="multilevel"/>
    <w:tmpl w:val="B3D222B2"/>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4E0428CF"/>
    <w:multiLevelType w:val="multilevel"/>
    <w:tmpl w:val="561284E4"/>
    <w:lvl w:ilvl="0">
      <w:start w:val="2"/>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b/>
        <w:bCs/>
        <w:sz w:val="22"/>
        <w:szCs w:val="24"/>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1080" w:hanging="108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440" w:hanging="144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800" w:hanging="1800"/>
      </w:pPr>
      <w:rPr>
        <w:rFonts w:hint="default"/>
        <w:sz w:val="20"/>
      </w:rPr>
    </w:lvl>
    <w:lvl w:ilvl="8">
      <w:start w:val="1"/>
      <w:numFmt w:val="decimal"/>
      <w:isLgl/>
      <w:lvlText w:val="%1.%2.%3.%4.%5.%6.%7.%8.%9."/>
      <w:lvlJc w:val="left"/>
      <w:pPr>
        <w:ind w:left="1800" w:hanging="1800"/>
      </w:pPr>
      <w:rPr>
        <w:rFonts w:hint="default"/>
        <w:sz w:val="20"/>
      </w:r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B0A9A"/>
    <w:multiLevelType w:val="hybridMultilevel"/>
    <w:tmpl w:val="3FB2E8D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5E595704"/>
    <w:multiLevelType w:val="hybridMultilevel"/>
    <w:tmpl w:val="7DFA69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3"/>
  </w:num>
  <w:num w:numId="32">
    <w:abstractNumId w:val="17"/>
  </w:num>
  <w:num w:numId="33">
    <w:abstractNumId w:val="20"/>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A47FA"/>
    <w:rsid w:val="000A65D3"/>
    <w:rsid w:val="000B1E33"/>
    <w:rsid w:val="000C5D12"/>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019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4FE"/>
    <w:rsid w:val="00371FB6"/>
    <w:rsid w:val="003763C1"/>
    <w:rsid w:val="00376BBE"/>
    <w:rsid w:val="0039224F"/>
    <w:rsid w:val="00397409"/>
    <w:rsid w:val="003A43A4"/>
    <w:rsid w:val="003A7E18"/>
    <w:rsid w:val="003C4C86"/>
    <w:rsid w:val="003C55A0"/>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613C"/>
    <w:rsid w:val="00554FDA"/>
    <w:rsid w:val="005B6A48"/>
    <w:rsid w:val="005C784C"/>
    <w:rsid w:val="005D17F6"/>
    <w:rsid w:val="005E5539"/>
    <w:rsid w:val="00602BF5"/>
    <w:rsid w:val="00617659"/>
    <w:rsid w:val="00617FDD"/>
    <w:rsid w:val="00633614"/>
    <w:rsid w:val="00633F68"/>
    <w:rsid w:val="00636EB2"/>
    <w:rsid w:val="006375B8"/>
    <w:rsid w:val="00637E93"/>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8C8"/>
    <w:rsid w:val="00790ADA"/>
    <w:rsid w:val="007D2288"/>
    <w:rsid w:val="007E088F"/>
    <w:rsid w:val="007F7B32"/>
    <w:rsid w:val="00804BC2"/>
    <w:rsid w:val="0081431A"/>
    <w:rsid w:val="0083216F"/>
    <w:rsid w:val="00860000"/>
    <w:rsid w:val="00863BD3"/>
    <w:rsid w:val="008641ED"/>
    <w:rsid w:val="00866D66"/>
    <w:rsid w:val="008671C6"/>
    <w:rsid w:val="00875803"/>
    <w:rsid w:val="008B1E80"/>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5B0"/>
    <w:rsid w:val="00A94063"/>
    <w:rsid w:val="00AA6219"/>
    <w:rsid w:val="00AA74E0"/>
    <w:rsid w:val="00AB703F"/>
    <w:rsid w:val="00AC6BB8"/>
    <w:rsid w:val="00AE008F"/>
    <w:rsid w:val="00B01FCD"/>
    <w:rsid w:val="00B136FE"/>
    <w:rsid w:val="00B1776C"/>
    <w:rsid w:val="00B52583"/>
    <w:rsid w:val="00B52896"/>
    <w:rsid w:val="00B95236"/>
    <w:rsid w:val="00B968A0"/>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27C2"/>
    <w:rsid w:val="00CE793C"/>
    <w:rsid w:val="00CF193C"/>
    <w:rsid w:val="00D16831"/>
    <w:rsid w:val="00D173F1"/>
    <w:rsid w:val="00D74CB0"/>
    <w:rsid w:val="00D76D7C"/>
    <w:rsid w:val="00D8295D"/>
    <w:rsid w:val="00D961EF"/>
    <w:rsid w:val="00DC2A65"/>
    <w:rsid w:val="00DE15F0"/>
    <w:rsid w:val="00DE5663"/>
    <w:rsid w:val="00DE78AA"/>
    <w:rsid w:val="00E053D0"/>
    <w:rsid w:val="00E15994"/>
    <w:rsid w:val="00E3114E"/>
    <w:rsid w:val="00E31A70"/>
    <w:rsid w:val="00E35B02"/>
    <w:rsid w:val="00E66496"/>
    <w:rsid w:val="00E66B35"/>
    <w:rsid w:val="00E66E10"/>
    <w:rsid w:val="00E769F6"/>
    <w:rsid w:val="00E77CC7"/>
    <w:rsid w:val="00E8407C"/>
    <w:rsid w:val="00E84F3C"/>
    <w:rsid w:val="00EA012C"/>
    <w:rsid w:val="00EB6C63"/>
    <w:rsid w:val="00EC6A55"/>
    <w:rsid w:val="00ED0288"/>
    <w:rsid w:val="00EE52CB"/>
    <w:rsid w:val="00EF581D"/>
    <w:rsid w:val="00EF7FD8"/>
    <w:rsid w:val="00F06F59"/>
    <w:rsid w:val="00F17988"/>
    <w:rsid w:val="00F469F0"/>
    <w:rsid w:val="00F53273"/>
    <w:rsid w:val="00F65559"/>
    <w:rsid w:val="00F755E4"/>
    <w:rsid w:val="00F77D02"/>
    <w:rsid w:val="00FB3A86"/>
    <w:rsid w:val="00FD36C8"/>
    <w:rsid w:val="00FF0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61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97409"/>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397409"/>
    <w:pPr>
      <w:spacing w:after="160" w:line="278" w:lineRule="auto"/>
      <w:ind w:left="720"/>
      <w:contextualSpacing/>
    </w:pPr>
    <w:rPr>
      <w:rFonts w:asciiTheme="minorHAnsi" w:eastAsiaTheme="minorHAnsi" w:hAnsiTheme="minorHAnsi" w:cstheme="minorBidi"/>
      <w:kern w:val="2"/>
      <w:sz w:val="24"/>
      <w:szCs w:val="24"/>
      <w:lang w:val="en-IN"/>
    </w:rPr>
  </w:style>
  <w:style w:type="character" w:styleId="Strong">
    <w:name w:val="Strong"/>
    <w:basedOn w:val="DefaultParagraphFont"/>
    <w:uiPriority w:val="22"/>
    <w:qFormat/>
    <w:rsid w:val="00397409"/>
    <w:rPr>
      <w:b/>
      <w:bCs/>
    </w:rPr>
  </w:style>
  <w:style w:type="character" w:customStyle="1" w:styleId="Heading3Char">
    <w:name w:val="Heading 3 Char"/>
    <w:basedOn w:val="DefaultParagraphFont"/>
    <w:link w:val="Heading3"/>
    <w:uiPriority w:val="9"/>
    <w:rsid w:val="00D961EF"/>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EB6C63"/>
    <w:rPr>
      <w:rFonts w:ascii="Helvetica" w:hAnsi="Helvetica"/>
      <w:b/>
      <w:bCs/>
      <w:lang w:val="en-US" w:eastAsia="en-US"/>
    </w:rPr>
  </w:style>
  <w:style w:type="character" w:customStyle="1" w:styleId="CommentSubjectChar">
    <w:name w:val="Comment Subject Char"/>
    <w:basedOn w:val="CommentTextChar"/>
    <w:link w:val="CommentSubject"/>
    <w:semiHidden/>
    <w:rsid w:val="00EB6C63"/>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E246-7968-4346-AE36-058A5CBB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11</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15</cp:revision>
  <cp:lastPrinted>1999-07-06T11:00:00Z</cp:lastPrinted>
  <dcterms:created xsi:type="dcterms:W3CDTF">2014-10-25T14:34:00Z</dcterms:created>
  <dcterms:modified xsi:type="dcterms:W3CDTF">2025-09-06T14:52:00Z</dcterms:modified>
</cp:coreProperties>
</file>