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D307E" w14:textId="77777777" w:rsidR="005C7BA1" w:rsidRDefault="008C40BA">
      <w:pPr>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“Socio-Economic Profile and Knowledge of Ginger Growers Regarding Production Technology”</w:t>
      </w:r>
    </w:p>
    <w:p w14:paraId="5BEA15BB" w14:textId="77777777" w:rsidR="005C7BA1" w:rsidRDefault="005C7BA1">
      <w:pPr>
        <w:spacing w:after="0" w:line="360" w:lineRule="auto"/>
        <w:jc w:val="center"/>
        <w:rPr>
          <w:rFonts w:ascii="Times New Roman" w:eastAsia="Times New Roman" w:hAnsi="Times New Roman" w:cs="Times New Roman"/>
          <w:b/>
          <w:color w:val="000000"/>
          <w:sz w:val="28"/>
          <w:szCs w:val="28"/>
        </w:rPr>
      </w:pPr>
    </w:p>
    <w:p w14:paraId="3E509D78" w14:textId="77777777" w:rsidR="005C7BA1" w:rsidRDefault="005C7BA1">
      <w:pPr>
        <w:spacing w:line="240" w:lineRule="auto"/>
        <w:rPr>
          <w:rFonts w:ascii="Times New Roman" w:eastAsia="Times New Roman" w:hAnsi="Times New Roman" w:cs="Times New Roman"/>
          <w:b/>
          <w:sz w:val="28"/>
          <w:szCs w:val="28"/>
        </w:rPr>
      </w:pPr>
    </w:p>
    <w:p w14:paraId="35B5EC12" w14:textId="77777777" w:rsidR="005C7BA1" w:rsidRDefault="008C40BA">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Abstract</w:t>
      </w:r>
    </w:p>
    <w:p w14:paraId="1F2E4276" w14:textId="77777777" w:rsidR="005C7BA1" w:rsidRDefault="008C40BA">
      <w:pPr>
        <w:spacing w:before="120" w:after="12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present study was conducted in Indore district of Madhya Pradesh, purposively selected for its growing significance in ginger cultivation under the </w:t>
      </w:r>
      <w:r>
        <w:rPr>
          <w:rFonts w:ascii="Times New Roman" w:eastAsia="Times New Roman" w:hAnsi="Times New Roman" w:cs="Times New Roman"/>
          <w:color w:val="000000"/>
          <w:sz w:val="24"/>
          <w:szCs w:val="24"/>
        </w:rPr>
        <w:t>Malwa Plateau agro-climatic zone, which offers favorable soil and climatic conditions for horticultural crops. An ex-post facto research design was employed to assess farmers’ knowledge and adoption of improved ginger production techniques. Out of the dist</w:t>
      </w:r>
      <w:r>
        <w:rPr>
          <w:rFonts w:ascii="Times New Roman" w:eastAsia="Times New Roman" w:hAnsi="Times New Roman" w:cs="Times New Roman"/>
          <w:color w:val="000000"/>
          <w:sz w:val="24"/>
          <w:szCs w:val="24"/>
        </w:rPr>
        <w:t>rict’s ten development blocks, two—Mhow and Indore—were purposively chosen due to their maximum area under ginger cultivation. From each block, two villages were randomly selected, namely Pigdambar and Nanden from Mhow, and Asrawad Khurd and Berchha from I</w:t>
      </w:r>
      <w:r>
        <w:rPr>
          <w:rFonts w:ascii="Times New Roman" w:eastAsia="Times New Roman" w:hAnsi="Times New Roman" w:cs="Times New Roman"/>
          <w:color w:val="000000"/>
          <w:sz w:val="24"/>
          <w:szCs w:val="24"/>
        </w:rPr>
        <w:t>ndore. A total of 30 ginger-growing farmers were purposively selected from each village, resulting in a final sample of 120 respondents for the study. The study revealed that most ginger growers in Indore district were middle-aged (53.33%, 36–55 years) wit</w:t>
      </w:r>
      <w:r>
        <w:rPr>
          <w:rFonts w:ascii="Times New Roman" w:eastAsia="Times New Roman" w:hAnsi="Times New Roman" w:cs="Times New Roman"/>
          <w:color w:val="000000"/>
          <w:sz w:val="24"/>
          <w:szCs w:val="24"/>
        </w:rPr>
        <w:t>h moderate farming experience (56.67%, 15–30 years) and had middle school (21.67%) or primary education (18.33%). Small landholders (38.33%, 2.5–5 acres) and medium-income farmers (51.67%, ₹1,00,000–₹3,00,000) predominated. Social traits such as risk orien</w:t>
      </w:r>
      <w:r>
        <w:rPr>
          <w:rFonts w:ascii="Times New Roman" w:eastAsia="Times New Roman" w:hAnsi="Times New Roman" w:cs="Times New Roman"/>
          <w:color w:val="000000"/>
          <w:sz w:val="24"/>
          <w:szCs w:val="24"/>
        </w:rPr>
        <w:t>tation, cosmopoliteness, social participation, mass media exposure, and extension contact were mostly at medium levels (56–60%). Knowledge of ginger production was medium for 58.33% of farmers, with strong awareness of basic practices like variety selectio</w:t>
      </w:r>
      <w:r>
        <w:rPr>
          <w:rFonts w:ascii="Times New Roman" w:eastAsia="Times New Roman" w:hAnsi="Times New Roman" w:cs="Times New Roman"/>
          <w:color w:val="000000"/>
          <w:sz w:val="24"/>
          <w:szCs w:val="24"/>
        </w:rPr>
        <w:t>n (100%) and raised beds (100%), but low understanding of seed treatment (6.67%), post-harvest storage (17.5%), and grading (8.33%), indicating areas for targeted extension support.</w:t>
      </w:r>
    </w:p>
    <w:p w14:paraId="4CB86D20" w14:textId="77777777" w:rsidR="005C7BA1" w:rsidRDefault="008C40BA">
      <w:pPr>
        <w:spacing w:before="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Indore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Knowledge</w:t>
      </w:r>
      <w:r>
        <w:rPr>
          <w:rFonts w:ascii="Times New Roman" w:eastAsia="Times New Roman" w:hAnsi="Times New Roman" w:cs="Times New Roman"/>
          <w:sz w:val="24"/>
          <w:szCs w:val="24"/>
        </w:rPr>
        <w:t>, Ginger,</w:t>
      </w:r>
      <w:r>
        <w:rPr>
          <w:rFonts w:ascii="Times New Roman" w:eastAsia="Times New Roman" w:hAnsi="Times New Roman" w:cs="Times New Roman"/>
          <w:color w:val="000000"/>
          <w:sz w:val="24"/>
          <w:szCs w:val="24"/>
        </w:rPr>
        <w:t xml:space="preserve"> Production.</w:t>
      </w:r>
    </w:p>
    <w:p w14:paraId="5A3F50AC" w14:textId="77777777" w:rsidR="005C7BA1" w:rsidRDefault="005C7BA1">
      <w:pPr>
        <w:spacing w:line="240" w:lineRule="auto"/>
        <w:rPr>
          <w:rFonts w:ascii="Times New Roman" w:eastAsia="Times New Roman" w:hAnsi="Times New Roman" w:cs="Times New Roman"/>
          <w:b/>
          <w:sz w:val="24"/>
          <w:szCs w:val="24"/>
        </w:rPr>
      </w:pPr>
    </w:p>
    <w:p w14:paraId="4A06AD7A" w14:textId="77777777" w:rsidR="005C7BA1" w:rsidRDefault="005C7BA1">
      <w:pPr>
        <w:spacing w:line="240" w:lineRule="auto"/>
        <w:rPr>
          <w:rFonts w:ascii="Times New Roman" w:eastAsia="Times New Roman" w:hAnsi="Times New Roman" w:cs="Times New Roman"/>
          <w:b/>
          <w:sz w:val="24"/>
          <w:szCs w:val="24"/>
        </w:rPr>
      </w:pPr>
    </w:p>
    <w:p w14:paraId="7D39F6BC" w14:textId="77777777" w:rsidR="005C7BA1" w:rsidRDefault="008C40B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Introduction </w:t>
      </w:r>
    </w:p>
    <w:p w14:paraId="33BB8D33" w14:textId="77777777" w:rsidR="005C7BA1" w:rsidRDefault="008C40BA">
      <w:pPr>
        <w:spacing w:before="120" w:after="12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Agricultu</w:t>
      </w:r>
      <w:r>
        <w:rPr>
          <w:rFonts w:ascii="Times New Roman" w:eastAsia="Times New Roman" w:hAnsi="Times New Roman" w:cs="Times New Roman"/>
          <w:sz w:val="24"/>
          <w:szCs w:val="24"/>
        </w:rPr>
        <w:t>re remains the primary source of livelihood for nearly half of India’s population, despite contributing only about 18.2% to the national GDP (Ministry of Agriculture and Farmers Welfare, 2024). Spices form an important segment of Indian agriculture, both f</w:t>
      </w:r>
      <w:r>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lastRenderedPageBreak/>
        <w:t>domestic consumption and export. Among them, ginger (</w:t>
      </w:r>
      <w:r>
        <w:rPr>
          <w:rFonts w:ascii="Times New Roman" w:eastAsia="Times New Roman" w:hAnsi="Times New Roman" w:cs="Times New Roman"/>
          <w:i/>
          <w:iCs/>
          <w:sz w:val="24"/>
          <w:szCs w:val="24"/>
        </w:rPr>
        <w:t>Zingiber officinale</w:t>
      </w:r>
      <w:r>
        <w:rPr>
          <w:rFonts w:ascii="Times New Roman" w:eastAsia="Times New Roman" w:hAnsi="Times New Roman" w:cs="Times New Roman"/>
          <w:sz w:val="24"/>
          <w:szCs w:val="24"/>
        </w:rPr>
        <w:t>) is a key crop cultivated as both a fresh vegetable and dried spice, with India being the largest producer and exporter globally. In 2022–23, India produced 2.43 million metric ton</w:t>
      </w:r>
      <w:r>
        <w:rPr>
          <w:rFonts w:ascii="Times New Roman" w:eastAsia="Times New Roman" w:hAnsi="Times New Roman" w:cs="Times New Roman"/>
          <w:sz w:val="24"/>
          <w:szCs w:val="24"/>
        </w:rPr>
        <w:t>nes of ginger, with Madhya Pradesh alone contributing 45.9% of national production, highlighting its importance in the state’s agrarian economy (Spices Board of India, 2022–23).</w:t>
      </w:r>
    </w:p>
    <w:p w14:paraId="3D249D97" w14:textId="77777777" w:rsidR="005C7BA1" w:rsidRDefault="008C40BA">
      <w:pPr>
        <w:spacing w:before="120" w:after="12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Ginger is valued not only for its culinary use but also for its medicinal and </w:t>
      </w:r>
      <w:r>
        <w:rPr>
          <w:rFonts w:ascii="Times New Roman" w:eastAsia="Times New Roman" w:hAnsi="Times New Roman" w:cs="Times New Roman"/>
          <w:sz w:val="24"/>
          <w:szCs w:val="24"/>
        </w:rPr>
        <w:t>nutritional properties, containing bioactive compounds such as gingerol and shogaol that offer antioxidant, anti-inflammatory, and digestive benefits (Singh et al., 2020; USDA, 2023). The crop is cultivated through a series of scientific agronomic practice</w:t>
      </w:r>
      <w:r>
        <w:rPr>
          <w:rFonts w:ascii="Times New Roman" w:eastAsia="Times New Roman" w:hAnsi="Times New Roman" w:cs="Times New Roman"/>
          <w:sz w:val="24"/>
          <w:szCs w:val="24"/>
        </w:rPr>
        <w:t>s including field preparation, seed rhizome treatment, proper spacing, irrigation, mulching, and pest management, with a growth cycle of 7–8 months. However, productivity in major producing regions like Madhya Pradesh remains comparatively low, largely due</w:t>
      </w:r>
      <w:r>
        <w:rPr>
          <w:rFonts w:ascii="Times New Roman" w:eastAsia="Times New Roman" w:hAnsi="Times New Roman" w:cs="Times New Roman"/>
          <w:sz w:val="24"/>
          <w:szCs w:val="24"/>
        </w:rPr>
        <w:t xml:space="preserve"> to limited adoption of modern technologies, traditional cultivation methods, and inadequate access to extension services and inputs.</w:t>
      </w:r>
    </w:p>
    <w:p w14:paraId="40BE8F4F" w14:textId="77777777" w:rsidR="005C7BA1" w:rsidRDefault="008C40BA">
      <w:pPr>
        <w:spacing w:before="120" w:after="12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Given these challenges, it is crucial to assess the knowledge level of ginger production technologies among farmers, parti</w:t>
      </w:r>
      <w:r>
        <w:rPr>
          <w:rFonts w:ascii="Times New Roman" w:eastAsia="Times New Roman" w:hAnsi="Times New Roman" w:cs="Times New Roman"/>
          <w:sz w:val="24"/>
          <w:szCs w:val="24"/>
        </w:rPr>
        <w:t>cularly in high-potential regions such as Indore. Understanding the factors influencing adoption, along with the economic performance and profitability of ginger cultivation, can provide valuable insights for improving yield, income, and employment opportu</w:t>
      </w:r>
      <w:r>
        <w:rPr>
          <w:rFonts w:ascii="Times New Roman" w:eastAsia="Times New Roman" w:hAnsi="Times New Roman" w:cs="Times New Roman"/>
          <w:sz w:val="24"/>
          <w:szCs w:val="24"/>
        </w:rPr>
        <w:t>nities. This study aims to evaluate farmers’ awareness and use of modern ginger production practices, identify constraints to adoption, and analyze the potential for enhancing productivity and livelihood security.</w:t>
      </w:r>
    </w:p>
    <w:p w14:paraId="698CA14A" w14:textId="77777777" w:rsidR="005C7BA1" w:rsidRDefault="008C40BA">
      <w:pPr>
        <w:spacing w:before="120" w:after="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Material and Methods </w:t>
      </w:r>
    </w:p>
    <w:p w14:paraId="53147AAF" w14:textId="77777777" w:rsidR="005C7BA1" w:rsidRDefault="008C40BA">
      <w:pPr>
        <w:spacing w:before="120" w:after="12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was conducted in Indore district of Madhya Pradesh, purposively selected for its growing importance in ginger cultivation and suitable agro-climatic conditions under the Malwa Plateau. Covering 3,898 km² and comprising 10 development blocks with </w:t>
      </w:r>
      <w:r>
        <w:rPr>
          <w:rFonts w:ascii="Times New Roman" w:eastAsia="Times New Roman" w:hAnsi="Times New Roman" w:cs="Times New Roman"/>
          <w:sz w:val="24"/>
          <w:szCs w:val="24"/>
        </w:rPr>
        <w:t>over 600 villages, Indore has a population of 3,276,697 and a high literacy rate of 80.9%. The district experiences a subtropical climate with hot summers, moderate monsoon rainfall (950–1,000 mm), and cool winters, and its black cotton soils support crops</w:t>
      </w:r>
      <w:r>
        <w:rPr>
          <w:rFonts w:ascii="Times New Roman" w:eastAsia="Times New Roman" w:hAnsi="Times New Roman" w:cs="Times New Roman"/>
          <w:sz w:val="24"/>
          <w:szCs w:val="24"/>
        </w:rPr>
        <w:t xml:space="preserve"> like soybean, wheat, maize, gram, and pulses. </w:t>
      </w:r>
      <w:commentRangeStart w:id="0"/>
      <w:r>
        <w:rPr>
          <w:rFonts w:ascii="Times New Roman" w:eastAsia="Times New Roman" w:hAnsi="Times New Roman" w:cs="Times New Roman"/>
          <w:sz w:val="24"/>
          <w:szCs w:val="24"/>
        </w:rPr>
        <w:t>An “Ex-post facto” research design was adopted, with two blocks—Mhow and Indore—purposively selected due to maximum ginger cultivation</w:t>
      </w:r>
      <w:commentRangeEnd w:id="0"/>
      <w:r>
        <w:rPr>
          <w:rStyle w:val="CommentReference"/>
          <w:rFonts w:cs="Mangal"/>
        </w:rPr>
        <w:commentReference w:id="0"/>
      </w:r>
      <w:r>
        <w:rPr>
          <w:rFonts w:ascii="Times New Roman" w:eastAsia="Times New Roman" w:hAnsi="Times New Roman" w:cs="Times New Roman"/>
          <w:sz w:val="24"/>
          <w:szCs w:val="24"/>
        </w:rPr>
        <w:t>. From these, four villages (Pigdambar, Nanden, Asrawad Khurd, and Berch</w:t>
      </w:r>
      <w:r>
        <w:rPr>
          <w:rFonts w:ascii="Times New Roman" w:eastAsia="Times New Roman" w:hAnsi="Times New Roman" w:cs="Times New Roman"/>
          <w:sz w:val="24"/>
          <w:szCs w:val="24"/>
        </w:rPr>
        <w:t xml:space="preserve">ha) were randomly chosen, and a total of 120 ginger-growing farmers (30 from each village) were purposively selected as respondents </w:t>
      </w:r>
      <w:r>
        <w:rPr>
          <w:rFonts w:ascii="Times New Roman" w:eastAsia="Times New Roman" w:hAnsi="Times New Roman" w:cs="Times New Roman"/>
          <w:sz w:val="24"/>
          <w:szCs w:val="24"/>
        </w:rPr>
        <w:lastRenderedPageBreak/>
        <w:t xml:space="preserve">for </w:t>
      </w:r>
      <w:bookmarkStart w:id="1" w:name="_GoBack"/>
      <w:r>
        <w:rPr>
          <w:rFonts w:ascii="Times New Roman" w:eastAsia="Times New Roman" w:hAnsi="Times New Roman" w:cs="Times New Roman"/>
          <w:sz w:val="24"/>
          <w:szCs w:val="24"/>
        </w:rPr>
        <w:t>the study, making it a representative sample for assessing knowledge and adoption of improved ginger production techniqu</w:t>
      </w:r>
      <w:r>
        <w:rPr>
          <w:rFonts w:ascii="Times New Roman" w:eastAsia="Times New Roman" w:hAnsi="Times New Roman" w:cs="Times New Roman"/>
          <w:sz w:val="24"/>
          <w:szCs w:val="24"/>
        </w:rPr>
        <w:t>es</w:t>
      </w:r>
      <w:bookmarkEnd w:id="1"/>
      <w:r>
        <w:rPr>
          <w:rFonts w:ascii="Times New Roman" w:eastAsia="Times New Roman" w:hAnsi="Times New Roman" w:cs="Times New Roman"/>
          <w:sz w:val="24"/>
          <w:szCs w:val="24"/>
        </w:rPr>
        <w:t>.</w:t>
      </w:r>
    </w:p>
    <w:p w14:paraId="1278DC93" w14:textId="77777777" w:rsidR="005C7BA1" w:rsidRDefault="008C40BA">
      <w:pPr>
        <w:pStyle w:val="NormalWeb"/>
        <w:spacing w:before="120" w:beforeAutospacing="0" w:after="120" w:afterAutospacing="0" w:line="360" w:lineRule="auto"/>
        <w:jc w:val="both"/>
      </w:pPr>
      <w:r>
        <w:rPr>
          <w:rStyle w:val="Strong"/>
        </w:rPr>
        <w:t>Knowledge Measurement</w:t>
      </w:r>
    </w:p>
    <w:p w14:paraId="41B29C17" w14:textId="77777777" w:rsidR="005C7BA1" w:rsidRDefault="008C40BA">
      <w:pPr>
        <w:pStyle w:val="NormalWeb"/>
        <w:spacing w:before="120" w:beforeAutospacing="0" w:after="120" w:afterAutospacing="0" w:line="360" w:lineRule="auto"/>
        <w:jc w:val="both"/>
      </w:pPr>
      <w:r>
        <w:t xml:space="preserve">In this study, knowledge refers to the information and understanding retained by ginger growers regarding recommended cultivation practices as per the Package of Practices of the University of Agricultural Sciences, Bengaluru. </w:t>
      </w:r>
      <w:r>
        <w:t>To assess this, a “Teacher-made test” method (Anastasi, 1961) was employed. Twenty-nine key recommended practices of ginger cultivation were identified in consultation with experts, and questions were framed accordingly. Responses were scored as 2 for full</w:t>
      </w:r>
      <w:r>
        <w:t xml:space="preserve"> knowledge, 1 for partial knowledge, and 0 for no knowledge. The total score for each respondent was obtained by summing individual item scores, with a maximum possible score of 58 and a minimum of zero. The </w:t>
      </w:r>
      <w:r>
        <w:rPr>
          <w:rStyle w:val="Strong"/>
        </w:rPr>
        <w:t>Knowledge Index</w:t>
      </w:r>
      <w:r>
        <w:t xml:space="preserve"> was calculated using the formula</w:t>
      </w:r>
      <w:r>
        <w:t>:</w:t>
      </w:r>
    </w:p>
    <w:p w14:paraId="7C1AEA08" w14:textId="77777777" w:rsidR="005C7BA1" w:rsidRDefault="008C40BA">
      <w:pPr>
        <w:pStyle w:val="NormalWeb"/>
        <w:spacing w:before="120" w:beforeAutospacing="0" w:after="120" w:afterAutospacing="0" w:line="360" w:lineRule="auto"/>
        <w:jc w:val="center"/>
      </w:pPr>
      <w:r>
        <w:rPr>
          <w:noProof/>
        </w:rPr>
        <w:drawing>
          <wp:inline distT="0" distB="0" distL="0" distR="0" wp14:anchorId="1EB4AE09" wp14:editId="148544FF">
            <wp:extent cx="4477375" cy="581106"/>
            <wp:effectExtent l="0" t="0" r="0" b="9525"/>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srcRect/>
                    <a:stretch/>
                  </pic:blipFill>
                  <pic:spPr>
                    <a:xfrm>
                      <a:off x="0" y="0"/>
                      <a:ext cx="4477375" cy="581106"/>
                    </a:xfrm>
                    <a:prstGeom prst="rect">
                      <a:avLst/>
                    </a:prstGeom>
                  </pic:spPr>
                </pic:pic>
              </a:graphicData>
            </a:graphic>
          </wp:inline>
        </w:drawing>
      </w:r>
    </w:p>
    <w:p w14:paraId="2F912048" w14:textId="77777777" w:rsidR="005C7BA1" w:rsidRDefault="008C40BA">
      <w:pPr>
        <w:pStyle w:val="NormalWeb"/>
        <w:spacing w:before="120" w:beforeAutospacing="0" w:after="120" w:afterAutospacing="0" w:line="360" w:lineRule="auto"/>
        <w:jc w:val="both"/>
      </w:pPr>
      <w:r>
        <w:t xml:space="preserve">Based on the computed scores, respondents were categorized into </w:t>
      </w:r>
      <w:r>
        <w:rPr>
          <w:rStyle w:val="Strong"/>
        </w:rPr>
        <w:t>high, medium, and low knowledge levels</w:t>
      </w:r>
      <w:r>
        <w:t xml:space="preserve"> using the mean and standard deviation as benchmarks.</w:t>
      </w:r>
    </w:p>
    <w:p w14:paraId="6D9028DE" w14:textId="77777777" w:rsidR="005C7BA1" w:rsidRDefault="008C40B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 and Discussion</w:t>
      </w:r>
    </w:p>
    <w:p w14:paraId="4E7CCE20" w14:textId="77777777" w:rsidR="005C7BA1" w:rsidRDefault="008C40B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results of the present study, titled </w:t>
      </w:r>
      <w:r>
        <w:rPr>
          <w:rStyle w:val="Emphasis"/>
          <w:rFonts w:ascii="Times New Roman" w:hAnsi="Times New Roman" w:cs="Times New Roman"/>
          <w:i w:val="0"/>
          <w:iCs w:val="0"/>
          <w:sz w:val="24"/>
          <w:szCs w:val="24"/>
        </w:rPr>
        <w:t xml:space="preserve">“A Study on the Knowledge and </w:t>
      </w:r>
      <w:r>
        <w:rPr>
          <w:rStyle w:val="Emphasis"/>
          <w:rFonts w:ascii="Times New Roman" w:hAnsi="Times New Roman" w:cs="Times New Roman"/>
          <w:i w:val="0"/>
          <w:iCs w:val="0"/>
          <w:sz w:val="24"/>
          <w:szCs w:val="24"/>
        </w:rPr>
        <w:t>Adoption Level of Ginger Production Techniques by Farmers in Indore District,”</w:t>
      </w:r>
      <w:r>
        <w:rPr>
          <w:rFonts w:ascii="Times New Roman" w:hAnsi="Times New Roman" w:cs="Times New Roman"/>
          <w:sz w:val="24"/>
          <w:szCs w:val="24"/>
        </w:rPr>
        <w:t xml:space="preserve"> are presented in this chapter according to the specific objectives of the research. Data were collected from 120 purposively selected ginger-growing farmers using a structured i</w:t>
      </w:r>
      <w:r>
        <w:rPr>
          <w:rFonts w:ascii="Times New Roman" w:hAnsi="Times New Roman" w:cs="Times New Roman"/>
          <w:sz w:val="24"/>
          <w:szCs w:val="24"/>
        </w:rPr>
        <w:t>nterview schedule to ensure reliability and accuracy. The information obtained was systematically classified, tabulated, and analyzed using appropriate statistical techniques to derive meaningful insights. This chapter provides a detailed account of the so</w:t>
      </w:r>
      <w:r>
        <w:rPr>
          <w:rFonts w:ascii="Times New Roman" w:hAnsi="Times New Roman" w:cs="Times New Roman"/>
          <w:sz w:val="24"/>
          <w:szCs w:val="24"/>
        </w:rPr>
        <w:t>cio-economic characteristics of the ginger growers, including age, education, landholding, income, farming experience, and social participation, as well as their level of knowledge regarding improved ginger production technologies.</w:t>
      </w:r>
    </w:p>
    <w:p w14:paraId="24FC76AC" w14:textId="77777777" w:rsidR="005C7BA1" w:rsidRDefault="008C40BA">
      <w:pPr>
        <w:pStyle w:val="Heading3"/>
        <w:spacing w:before="120" w:after="120" w:line="360" w:lineRule="auto"/>
        <w:jc w:val="both"/>
        <w:rPr>
          <w:rFonts w:ascii="Times New Roman" w:hAnsi="Times New Roman" w:cs="Times New Roman"/>
        </w:rPr>
      </w:pPr>
      <w:r>
        <w:rPr>
          <w:rFonts w:ascii="Times New Roman" w:hAnsi="Times New Roman" w:cs="Times New Roman"/>
        </w:rPr>
        <w:t>Profile of the Responden</w:t>
      </w:r>
      <w:r>
        <w:rPr>
          <w:rFonts w:ascii="Times New Roman" w:hAnsi="Times New Roman" w:cs="Times New Roman"/>
        </w:rPr>
        <w:t>ts</w:t>
      </w:r>
    </w:p>
    <w:p w14:paraId="04615E2F" w14:textId="77777777" w:rsidR="005C7BA1" w:rsidRDefault="008C40BA">
      <w:pPr>
        <w:pStyle w:val="NormalWeb"/>
        <w:spacing w:before="120" w:beforeAutospacing="0" w:after="120" w:afterAutospacing="0" w:line="360" w:lineRule="auto"/>
        <w:ind w:firstLine="720"/>
        <w:jc w:val="both"/>
      </w:pPr>
      <w:r>
        <w:t>The data indicates that the majority of ginger growers in Indore district (53.33%) belong to the middle-age group (36–55 years), suggesting that most farmers are in their prime working years and possess considerable farming experience. Both the young (u</w:t>
      </w:r>
      <w:r>
        <w:t xml:space="preserve">p to 35 years) and older </w:t>
      </w:r>
      <w:r>
        <w:lastRenderedPageBreak/>
        <w:t>(above 55 years) groups accounted for 23.33% each, reflecting a relatively balanced age distribution but highlighting the need to engage more youth in agriculture. These results are consistent with Singh et al. (2015) and Gurjar et</w:t>
      </w:r>
      <w:r>
        <w:t xml:space="preserve"> al. (2015).</w:t>
      </w:r>
    </w:p>
    <w:p w14:paraId="2666DF4F" w14:textId="77777777" w:rsidR="005C7BA1" w:rsidRDefault="008C40BA">
      <w:pPr>
        <w:pStyle w:val="NormalWeb"/>
        <w:spacing w:before="120" w:beforeAutospacing="0" w:after="120" w:afterAutospacing="0" w:line="360" w:lineRule="auto"/>
        <w:ind w:firstLine="720"/>
        <w:jc w:val="both"/>
      </w:pPr>
      <w:r>
        <w:t>Regarding education, most respondents had completed middle school (21.67%), followed by primary education (18.33%) and functional literacy (15.00%). About 10% were illiterate, while only 8.33% had graduate-level or higher education, aligning w</w:t>
      </w:r>
      <w:r>
        <w:t>ith findings of Verma et al. (2014) and Kumar et al. (2017).</w:t>
      </w:r>
    </w:p>
    <w:p w14:paraId="53918FF2" w14:textId="77777777" w:rsidR="005C7BA1" w:rsidRDefault="008C40BA">
      <w:pPr>
        <w:pStyle w:val="NormalWeb"/>
        <w:spacing w:before="120" w:beforeAutospacing="0" w:after="120" w:afterAutospacing="0" w:line="360" w:lineRule="auto"/>
        <w:ind w:firstLine="720"/>
        <w:jc w:val="both"/>
      </w:pPr>
      <w:r>
        <w:t>In terms of landholding, the largest proportion of ginger growers (38.33%) were small farmers owning 2.5–5.0 acres, followed by marginal farmers (28.33%) cultivating less than 2.5 acres. Medium f</w:t>
      </w:r>
      <w:r>
        <w:t>armers comprised 21.67%, while big farmers (&gt;10 acres) accounted for 11.67%, consistent with Patel et al. (2015) and Jatav et al. (2016).</w:t>
      </w:r>
    </w:p>
    <w:p w14:paraId="124C243D" w14:textId="77777777" w:rsidR="005C7BA1" w:rsidRDefault="008C40BA">
      <w:pPr>
        <w:pStyle w:val="NormalWeb"/>
        <w:spacing w:before="120" w:beforeAutospacing="0" w:after="120" w:afterAutospacing="0" w:line="360" w:lineRule="auto"/>
        <w:ind w:firstLine="720"/>
        <w:jc w:val="both"/>
      </w:pPr>
      <w:r>
        <w:t>The majority of respondents (51.67%) had a medium annual income (₹1,00,000–₹3,00,000), with 25% in the low-income grou</w:t>
      </w:r>
      <w:r>
        <w:t>p (&lt;₹1,00,000) and 23.33% in the high-income category (&gt;₹3,00,000), in line with Choudhary et al. (2015) and Thakur &amp; Singh (2016).</w:t>
      </w:r>
    </w:p>
    <w:p w14:paraId="0E16EC2A" w14:textId="77777777" w:rsidR="005C7BA1" w:rsidRDefault="008C40BA">
      <w:pPr>
        <w:pStyle w:val="NormalWeb"/>
        <w:spacing w:before="120" w:beforeAutospacing="0" w:after="120" w:afterAutospacing="0" w:line="360" w:lineRule="auto"/>
        <w:ind w:firstLine="720"/>
        <w:jc w:val="both"/>
      </w:pPr>
      <w:r>
        <w:t>Most ginger growers (56.67%) had medium farming experience (15–30 years), while 23.33% had over 30 years, and 20% had less t</w:t>
      </w:r>
      <w:r>
        <w:t>han 15 years, indicating a strong presence of seasoned farmers (Yadav et al., 2015; Sahu &amp; Meena, 2016).</w:t>
      </w:r>
    </w:p>
    <w:p w14:paraId="206EBCFC" w14:textId="77777777" w:rsidR="005C7BA1" w:rsidRDefault="008C40BA">
      <w:pPr>
        <w:pStyle w:val="NormalWeb"/>
        <w:spacing w:before="120" w:beforeAutospacing="0" w:after="120" w:afterAutospacing="0" w:line="360" w:lineRule="auto"/>
        <w:ind w:firstLine="720"/>
        <w:jc w:val="both"/>
      </w:pPr>
      <w:r>
        <w:t>Regarding risk orientation, 58.33% exhibited medium risk-taking behavior, 23.33% high, and 18.33% low, suggesting a generally balanced approach to adop</w:t>
      </w:r>
      <w:r>
        <w:t>ting innovations (Patil et al., 2016; Shinde &amp; Gavit, 2017).</w:t>
      </w:r>
    </w:p>
    <w:p w14:paraId="5354CC17" w14:textId="77777777" w:rsidR="005C7BA1" w:rsidRDefault="008C40BA">
      <w:pPr>
        <w:pStyle w:val="NormalWeb"/>
        <w:spacing w:before="120" w:beforeAutospacing="0" w:after="120" w:afterAutospacing="0" w:line="360" w:lineRule="auto"/>
        <w:ind w:firstLine="720"/>
        <w:jc w:val="both"/>
      </w:pPr>
      <w:r>
        <w:t xml:space="preserve">In terms of cosmopoliteness, 60% had medium exposure to external communities, 23.33% high, and 16.67% low, reflecting moderate awareness and interaction beyond their rural environment (Patil et </w:t>
      </w:r>
      <w:r>
        <w:t>al., 2016; Yadav &amp; Meena, 2017).</w:t>
      </w:r>
    </w:p>
    <w:p w14:paraId="77265F33" w14:textId="77777777" w:rsidR="005C7BA1" w:rsidRDefault="008C40BA">
      <w:pPr>
        <w:pStyle w:val="NormalWeb"/>
        <w:spacing w:before="120" w:beforeAutospacing="0" w:after="120" w:afterAutospacing="0" w:line="360" w:lineRule="auto"/>
        <w:ind w:firstLine="720"/>
        <w:jc w:val="both"/>
      </w:pPr>
      <w:r>
        <w:t xml:space="preserve">Social participation was moderate for most respondents (58.33%), with 23.33% highly involved and 18.33% showing low participation, indicating that community engagement may influence technology adoption (Sable et al., 2017; </w:t>
      </w:r>
      <w:r>
        <w:t>Bairwa et al., 2016).</w:t>
      </w:r>
    </w:p>
    <w:p w14:paraId="161F275C" w14:textId="77777777" w:rsidR="005C7BA1" w:rsidRDefault="008C40BA">
      <w:pPr>
        <w:pStyle w:val="NormalWeb"/>
        <w:spacing w:before="120" w:beforeAutospacing="0" w:after="120" w:afterAutospacing="0" w:line="360" w:lineRule="auto"/>
        <w:ind w:firstLine="720"/>
        <w:jc w:val="both"/>
      </w:pPr>
      <w:r>
        <w:t>Mass media exposure was medium for 56.67% of respondents, high for 21.67%, and low for 21.67%, highlighting the reliance on newspapers, radio, television, and mobile platforms for agricultural knowledge (Jha et al., 2016; Mali et al.,</w:t>
      </w:r>
      <w:r>
        <w:t xml:space="preserve"> 2017).</w:t>
      </w:r>
    </w:p>
    <w:p w14:paraId="4435A367" w14:textId="77777777" w:rsidR="005C7BA1" w:rsidRDefault="008C40BA">
      <w:pPr>
        <w:pStyle w:val="NormalWeb"/>
        <w:spacing w:before="120" w:beforeAutospacing="0" w:after="120" w:afterAutospacing="0" w:line="360" w:lineRule="auto"/>
        <w:ind w:firstLine="720"/>
        <w:jc w:val="both"/>
      </w:pPr>
      <w:r>
        <w:lastRenderedPageBreak/>
        <w:t>Finally, extension contact was medium for 58.33% of ginger growers, high for 21.67%, and low for 20%, demonstrating regular but not intensive interaction with agricultural advisory systems (Sharma et al., 2015; Gohil et al., 2016).</w:t>
      </w:r>
    </w:p>
    <w:p w14:paraId="58CA7BFC" w14:textId="77777777" w:rsidR="005C7BA1" w:rsidRDefault="008C40BA">
      <w:pPr>
        <w:pStyle w:val="NormalWeb"/>
        <w:spacing w:before="120" w:beforeAutospacing="0" w:after="120" w:afterAutospacing="0" w:line="360" w:lineRule="auto"/>
        <w:jc w:val="both"/>
        <w:rPr>
          <w:b/>
          <w:bCs/>
        </w:rPr>
      </w:pPr>
      <w:r>
        <w:rPr>
          <w:b/>
          <w:bCs/>
        </w:rPr>
        <w:t>Table 1: Distrib</w:t>
      </w:r>
      <w:r>
        <w:rPr>
          <w:b/>
          <w:bCs/>
        </w:rPr>
        <w:t>ution of Respondents by Socio-economic and Farming Characteristics (N = 120)</w:t>
      </w:r>
    </w:p>
    <w:tbl>
      <w:tblPr>
        <w:tblStyle w:val="TableGrid"/>
        <w:tblW w:w="0" w:type="auto"/>
        <w:tblLook w:val="04A0" w:firstRow="1" w:lastRow="0" w:firstColumn="1" w:lastColumn="0" w:noHBand="0" w:noVBand="1"/>
      </w:tblPr>
      <w:tblGrid>
        <w:gridCol w:w="621"/>
        <w:gridCol w:w="1902"/>
        <w:gridCol w:w="2175"/>
        <w:gridCol w:w="1127"/>
        <w:gridCol w:w="1359"/>
        <w:gridCol w:w="916"/>
        <w:gridCol w:w="916"/>
      </w:tblGrid>
      <w:tr w:rsidR="005C7BA1" w14:paraId="2D0D9E9C" w14:textId="77777777">
        <w:tc>
          <w:tcPr>
            <w:tcW w:w="0" w:type="auto"/>
            <w:hideMark/>
          </w:tcPr>
          <w:p w14:paraId="6B035D05" w14:textId="77777777" w:rsidR="005C7BA1" w:rsidRDefault="008C40BA">
            <w:pPr>
              <w:spacing w:before="120" w:after="120" w:line="360" w:lineRule="auto"/>
              <w:jc w:val="center"/>
              <w:rPr>
                <w:rFonts w:ascii="Times New Roman" w:eastAsia="Times New Roman" w:hAnsi="Times New Roman" w:cs="Times New Roman"/>
                <w:b/>
                <w:bCs/>
                <w:sz w:val="20"/>
                <w:szCs w:val="20"/>
                <w:lang w:val="en-IN"/>
              </w:rPr>
            </w:pPr>
            <w:r>
              <w:rPr>
                <w:rFonts w:ascii="Times New Roman" w:eastAsia="Times New Roman" w:hAnsi="Times New Roman" w:cs="Times New Roman"/>
                <w:b/>
                <w:bCs/>
                <w:sz w:val="20"/>
                <w:szCs w:val="20"/>
                <w:lang w:val="en-IN"/>
              </w:rPr>
              <w:t>S. No.</w:t>
            </w:r>
          </w:p>
        </w:tc>
        <w:tc>
          <w:tcPr>
            <w:tcW w:w="1902" w:type="dxa"/>
            <w:hideMark/>
          </w:tcPr>
          <w:p w14:paraId="7B1466EC" w14:textId="77777777" w:rsidR="005C7BA1" w:rsidRDefault="008C40BA">
            <w:pPr>
              <w:spacing w:before="120" w:after="120" w:line="360" w:lineRule="auto"/>
              <w:jc w:val="center"/>
              <w:rPr>
                <w:rFonts w:ascii="Times New Roman" w:eastAsia="Times New Roman" w:hAnsi="Times New Roman" w:cs="Times New Roman"/>
                <w:b/>
                <w:bCs/>
                <w:sz w:val="20"/>
                <w:szCs w:val="20"/>
                <w:lang w:val="en-IN"/>
              </w:rPr>
            </w:pPr>
            <w:r>
              <w:rPr>
                <w:rFonts w:ascii="Times New Roman" w:eastAsia="Times New Roman" w:hAnsi="Times New Roman" w:cs="Times New Roman"/>
                <w:b/>
                <w:bCs/>
                <w:sz w:val="20"/>
                <w:szCs w:val="20"/>
                <w:lang w:val="en-IN"/>
              </w:rPr>
              <w:t>Variable</w:t>
            </w:r>
          </w:p>
        </w:tc>
        <w:tc>
          <w:tcPr>
            <w:tcW w:w="2175" w:type="dxa"/>
            <w:hideMark/>
          </w:tcPr>
          <w:p w14:paraId="58BD7155" w14:textId="77777777" w:rsidR="005C7BA1" w:rsidRDefault="008C40BA">
            <w:pPr>
              <w:spacing w:before="120" w:after="120" w:line="360" w:lineRule="auto"/>
              <w:jc w:val="center"/>
              <w:rPr>
                <w:rFonts w:ascii="Times New Roman" w:eastAsia="Times New Roman" w:hAnsi="Times New Roman" w:cs="Times New Roman"/>
                <w:b/>
                <w:bCs/>
                <w:sz w:val="20"/>
                <w:szCs w:val="20"/>
                <w:lang w:val="en-IN"/>
              </w:rPr>
            </w:pPr>
            <w:r>
              <w:rPr>
                <w:rFonts w:ascii="Times New Roman" w:eastAsia="Times New Roman" w:hAnsi="Times New Roman" w:cs="Times New Roman"/>
                <w:b/>
                <w:bCs/>
                <w:sz w:val="20"/>
                <w:szCs w:val="20"/>
                <w:lang w:val="en-IN"/>
              </w:rPr>
              <w:t>Category</w:t>
            </w:r>
          </w:p>
        </w:tc>
        <w:tc>
          <w:tcPr>
            <w:tcW w:w="829" w:type="dxa"/>
            <w:hideMark/>
          </w:tcPr>
          <w:p w14:paraId="76B19E9F" w14:textId="77777777" w:rsidR="005C7BA1" w:rsidRDefault="008C40BA">
            <w:pPr>
              <w:spacing w:before="120" w:after="120" w:line="360" w:lineRule="auto"/>
              <w:jc w:val="center"/>
              <w:rPr>
                <w:rFonts w:ascii="Times New Roman" w:eastAsia="Times New Roman" w:hAnsi="Times New Roman" w:cs="Times New Roman"/>
                <w:b/>
                <w:bCs/>
                <w:sz w:val="20"/>
                <w:szCs w:val="20"/>
                <w:lang w:val="en-IN"/>
              </w:rPr>
            </w:pPr>
            <w:r>
              <w:rPr>
                <w:rFonts w:ascii="Times New Roman" w:eastAsia="Times New Roman" w:hAnsi="Times New Roman" w:cs="Times New Roman"/>
                <w:b/>
                <w:bCs/>
                <w:sz w:val="20"/>
                <w:szCs w:val="20"/>
                <w:lang w:val="en-IN"/>
              </w:rPr>
              <w:t>Frequency (f)</w:t>
            </w:r>
          </w:p>
        </w:tc>
        <w:tc>
          <w:tcPr>
            <w:tcW w:w="0" w:type="auto"/>
            <w:hideMark/>
          </w:tcPr>
          <w:p w14:paraId="171F2450" w14:textId="77777777" w:rsidR="005C7BA1" w:rsidRDefault="008C40BA">
            <w:pPr>
              <w:spacing w:before="120" w:after="120" w:line="360" w:lineRule="auto"/>
              <w:jc w:val="center"/>
              <w:rPr>
                <w:rFonts w:ascii="Times New Roman" w:eastAsia="Times New Roman" w:hAnsi="Times New Roman" w:cs="Times New Roman"/>
                <w:b/>
                <w:bCs/>
                <w:sz w:val="20"/>
                <w:szCs w:val="20"/>
                <w:lang w:val="en-IN"/>
              </w:rPr>
            </w:pPr>
            <w:r>
              <w:rPr>
                <w:rFonts w:ascii="Times New Roman" w:eastAsia="Times New Roman" w:hAnsi="Times New Roman" w:cs="Times New Roman"/>
                <w:b/>
                <w:bCs/>
                <w:sz w:val="20"/>
                <w:szCs w:val="20"/>
                <w:lang w:val="en-IN"/>
              </w:rPr>
              <w:t>Percentage (%)</w:t>
            </w:r>
          </w:p>
        </w:tc>
        <w:tc>
          <w:tcPr>
            <w:tcW w:w="0" w:type="auto"/>
            <w:hideMark/>
          </w:tcPr>
          <w:p w14:paraId="20C0CFEE" w14:textId="77777777" w:rsidR="005C7BA1" w:rsidRDefault="008C40BA">
            <w:pPr>
              <w:spacing w:before="120" w:after="120" w:line="360" w:lineRule="auto"/>
              <w:jc w:val="center"/>
              <w:rPr>
                <w:rFonts w:ascii="Times New Roman" w:eastAsia="Times New Roman" w:hAnsi="Times New Roman" w:cs="Times New Roman"/>
                <w:b/>
                <w:bCs/>
                <w:sz w:val="20"/>
                <w:szCs w:val="20"/>
                <w:lang w:val="en-IN"/>
              </w:rPr>
            </w:pPr>
            <w:r>
              <w:rPr>
                <w:rFonts w:ascii="Times New Roman" w:eastAsia="Times New Roman" w:hAnsi="Times New Roman" w:cs="Times New Roman"/>
                <w:b/>
                <w:bCs/>
                <w:sz w:val="20"/>
                <w:szCs w:val="20"/>
                <w:lang w:val="en-IN"/>
              </w:rPr>
              <w:t>Mean</w:t>
            </w:r>
          </w:p>
        </w:tc>
        <w:tc>
          <w:tcPr>
            <w:tcW w:w="0" w:type="auto"/>
            <w:hideMark/>
          </w:tcPr>
          <w:p w14:paraId="1FF5A026" w14:textId="77777777" w:rsidR="005C7BA1" w:rsidRDefault="008C40BA">
            <w:pPr>
              <w:spacing w:before="120" w:after="120" w:line="360" w:lineRule="auto"/>
              <w:jc w:val="center"/>
              <w:rPr>
                <w:rFonts w:ascii="Times New Roman" w:eastAsia="Times New Roman" w:hAnsi="Times New Roman" w:cs="Times New Roman"/>
                <w:b/>
                <w:bCs/>
                <w:sz w:val="20"/>
                <w:szCs w:val="20"/>
                <w:lang w:val="en-IN"/>
              </w:rPr>
            </w:pPr>
            <w:r>
              <w:rPr>
                <w:rFonts w:ascii="Times New Roman" w:eastAsia="Times New Roman" w:hAnsi="Times New Roman" w:cs="Times New Roman"/>
                <w:b/>
                <w:bCs/>
                <w:sz w:val="20"/>
                <w:szCs w:val="20"/>
                <w:lang w:val="en-IN"/>
              </w:rPr>
              <w:t>S.D.</w:t>
            </w:r>
          </w:p>
        </w:tc>
      </w:tr>
      <w:tr w:rsidR="005C7BA1" w14:paraId="2D160148" w14:textId="77777777">
        <w:tc>
          <w:tcPr>
            <w:tcW w:w="0" w:type="auto"/>
            <w:hideMark/>
          </w:tcPr>
          <w:p w14:paraId="7E8A811D"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1</w:t>
            </w:r>
          </w:p>
        </w:tc>
        <w:tc>
          <w:tcPr>
            <w:tcW w:w="1902" w:type="dxa"/>
            <w:hideMark/>
          </w:tcPr>
          <w:p w14:paraId="22882974"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Age</w:t>
            </w:r>
          </w:p>
        </w:tc>
        <w:tc>
          <w:tcPr>
            <w:tcW w:w="2175" w:type="dxa"/>
            <w:hideMark/>
          </w:tcPr>
          <w:p w14:paraId="5CAAFA9D"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Young (≤35 yrs)</w:t>
            </w:r>
          </w:p>
        </w:tc>
        <w:tc>
          <w:tcPr>
            <w:tcW w:w="829" w:type="dxa"/>
            <w:hideMark/>
          </w:tcPr>
          <w:p w14:paraId="265D5112"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28</w:t>
            </w:r>
          </w:p>
        </w:tc>
        <w:tc>
          <w:tcPr>
            <w:tcW w:w="0" w:type="auto"/>
            <w:hideMark/>
          </w:tcPr>
          <w:p w14:paraId="64FBF8ED"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23.33</w:t>
            </w:r>
          </w:p>
        </w:tc>
        <w:tc>
          <w:tcPr>
            <w:tcW w:w="0" w:type="auto"/>
            <w:hideMark/>
          </w:tcPr>
          <w:p w14:paraId="318990B0"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43.56</w:t>
            </w:r>
          </w:p>
        </w:tc>
        <w:tc>
          <w:tcPr>
            <w:tcW w:w="0" w:type="auto"/>
            <w:hideMark/>
          </w:tcPr>
          <w:p w14:paraId="05807BB2"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8.05</w:t>
            </w:r>
          </w:p>
        </w:tc>
      </w:tr>
      <w:tr w:rsidR="005C7BA1" w14:paraId="6A129977" w14:textId="77777777">
        <w:tc>
          <w:tcPr>
            <w:tcW w:w="0" w:type="auto"/>
            <w:hideMark/>
          </w:tcPr>
          <w:p w14:paraId="403BE1AD"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1902" w:type="dxa"/>
            <w:hideMark/>
          </w:tcPr>
          <w:p w14:paraId="544D7E5E"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2175" w:type="dxa"/>
            <w:hideMark/>
          </w:tcPr>
          <w:p w14:paraId="3BF5B1CB"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Middle (36–55 yrs)</w:t>
            </w:r>
          </w:p>
        </w:tc>
        <w:tc>
          <w:tcPr>
            <w:tcW w:w="829" w:type="dxa"/>
            <w:hideMark/>
          </w:tcPr>
          <w:p w14:paraId="5BB283D3"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64</w:t>
            </w:r>
          </w:p>
        </w:tc>
        <w:tc>
          <w:tcPr>
            <w:tcW w:w="0" w:type="auto"/>
            <w:hideMark/>
          </w:tcPr>
          <w:p w14:paraId="6A780FA4"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53.34</w:t>
            </w:r>
          </w:p>
        </w:tc>
        <w:tc>
          <w:tcPr>
            <w:tcW w:w="0" w:type="auto"/>
            <w:hideMark/>
          </w:tcPr>
          <w:p w14:paraId="1AFCE630"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0" w:type="auto"/>
            <w:hideMark/>
          </w:tcPr>
          <w:p w14:paraId="73179095" w14:textId="77777777" w:rsidR="005C7BA1" w:rsidRDefault="005C7BA1">
            <w:pPr>
              <w:spacing w:before="120" w:after="120" w:line="360" w:lineRule="auto"/>
              <w:rPr>
                <w:rFonts w:ascii="Times New Roman" w:eastAsia="Times New Roman" w:hAnsi="Times New Roman" w:cs="Times New Roman"/>
                <w:sz w:val="20"/>
                <w:szCs w:val="20"/>
                <w:lang w:val="en-IN"/>
              </w:rPr>
            </w:pPr>
          </w:p>
        </w:tc>
      </w:tr>
      <w:tr w:rsidR="005C7BA1" w14:paraId="147A070C" w14:textId="77777777">
        <w:tc>
          <w:tcPr>
            <w:tcW w:w="0" w:type="auto"/>
            <w:hideMark/>
          </w:tcPr>
          <w:p w14:paraId="66965573"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1902" w:type="dxa"/>
            <w:hideMark/>
          </w:tcPr>
          <w:p w14:paraId="30591A35"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2175" w:type="dxa"/>
            <w:hideMark/>
          </w:tcPr>
          <w:p w14:paraId="654F3FA3"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Old (&gt;55 yrs)</w:t>
            </w:r>
          </w:p>
        </w:tc>
        <w:tc>
          <w:tcPr>
            <w:tcW w:w="829" w:type="dxa"/>
            <w:hideMark/>
          </w:tcPr>
          <w:p w14:paraId="2C494EFF"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28</w:t>
            </w:r>
          </w:p>
        </w:tc>
        <w:tc>
          <w:tcPr>
            <w:tcW w:w="0" w:type="auto"/>
            <w:hideMark/>
          </w:tcPr>
          <w:p w14:paraId="13684D01"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23.33</w:t>
            </w:r>
          </w:p>
        </w:tc>
        <w:tc>
          <w:tcPr>
            <w:tcW w:w="0" w:type="auto"/>
            <w:hideMark/>
          </w:tcPr>
          <w:p w14:paraId="235ED3F7"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0" w:type="auto"/>
            <w:hideMark/>
          </w:tcPr>
          <w:p w14:paraId="07F671D7" w14:textId="77777777" w:rsidR="005C7BA1" w:rsidRDefault="005C7BA1">
            <w:pPr>
              <w:spacing w:before="120" w:after="120" w:line="360" w:lineRule="auto"/>
              <w:rPr>
                <w:rFonts w:ascii="Times New Roman" w:eastAsia="Times New Roman" w:hAnsi="Times New Roman" w:cs="Times New Roman"/>
                <w:sz w:val="20"/>
                <w:szCs w:val="20"/>
                <w:lang w:val="en-IN"/>
              </w:rPr>
            </w:pPr>
          </w:p>
        </w:tc>
      </w:tr>
      <w:tr w:rsidR="005C7BA1" w14:paraId="13F4E87C" w14:textId="77777777">
        <w:tc>
          <w:tcPr>
            <w:tcW w:w="0" w:type="auto"/>
            <w:hideMark/>
          </w:tcPr>
          <w:p w14:paraId="286D04D8"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2</w:t>
            </w:r>
          </w:p>
        </w:tc>
        <w:tc>
          <w:tcPr>
            <w:tcW w:w="1902" w:type="dxa"/>
            <w:hideMark/>
          </w:tcPr>
          <w:p w14:paraId="795F8FC2"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Education</w:t>
            </w:r>
          </w:p>
        </w:tc>
        <w:tc>
          <w:tcPr>
            <w:tcW w:w="2175" w:type="dxa"/>
            <w:hideMark/>
          </w:tcPr>
          <w:p w14:paraId="621AF5A4"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Illiterate</w:t>
            </w:r>
          </w:p>
        </w:tc>
        <w:tc>
          <w:tcPr>
            <w:tcW w:w="829" w:type="dxa"/>
            <w:hideMark/>
          </w:tcPr>
          <w:p w14:paraId="3F4E91A2"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12</w:t>
            </w:r>
          </w:p>
        </w:tc>
        <w:tc>
          <w:tcPr>
            <w:tcW w:w="0" w:type="auto"/>
            <w:hideMark/>
          </w:tcPr>
          <w:p w14:paraId="4435D3C3"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10.00</w:t>
            </w:r>
          </w:p>
        </w:tc>
        <w:tc>
          <w:tcPr>
            <w:tcW w:w="0" w:type="auto"/>
            <w:hideMark/>
          </w:tcPr>
          <w:p w14:paraId="6009A67F"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4.12</w:t>
            </w:r>
          </w:p>
        </w:tc>
        <w:tc>
          <w:tcPr>
            <w:tcW w:w="0" w:type="auto"/>
            <w:hideMark/>
          </w:tcPr>
          <w:p w14:paraId="6D453AFD"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1.26</w:t>
            </w:r>
          </w:p>
        </w:tc>
      </w:tr>
      <w:tr w:rsidR="005C7BA1" w14:paraId="369F14C5" w14:textId="77777777">
        <w:tc>
          <w:tcPr>
            <w:tcW w:w="0" w:type="auto"/>
            <w:hideMark/>
          </w:tcPr>
          <w:p w14:paraId="3587982B"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1902" w:type="dxa"/>
            <w:hideMark/>
          </w:tcPr>
          <w:p w14:paraId="2DE56929"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2175" w:type="dxa"/>
            <w:hideMark/>
          </w:tcPr>
          <w:p w14:paraId="550024EE"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Functionally Literate</w:t>
            </w:r>
          </w:p>
        </w:tc>
        <w:tc>
          <w:tcPr>
            <w:tcW w:w="829" w:type="dxa"/>
            <w:hideMark/>
          </w:tcPr>
          <w:p w14:paraId="0195B2E7"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18</w:t>
            </w:r>
          </w:p>
        </w:tc>
        <w:tc>
          <w:tcPr>
            <w:tcW w:w="0" w:type="auto"/>
            <w:hideMark/>
          </w:tcPr>
          <w:p w14:paraId="66FD05BB"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15.00</w:t>
            </w:r>
          </w:p>
        </w:tc>
        <w:tc>
          <w:tcPr>
            <w:tcW w:w="0" w:type="auto"/>
            <w:hideMark/>
          </w:tcPr>
          <w:p w14:paraId="13D1D185"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0" w:type="auto"/>
            <w:hideMark/>
          </w:tcPr>
          <w:p w14:paraId="735FA08C" w14:textId="77777777" w:rsidR="005C7BA1" w:rsidRDefault="005C7BA1">
            <w:pPr>
              <w:spacing w:before="120" w:after="120" w:line="360" w:lineRule="auto"/>
              <w:rPr>
                <w:rFonts w:ascii="Times New Roman" w:eastAsia="Times New Roman" w:hAnsi="Times New Roman" w:cs="Times New Roman"/>
                <w:sz w:val="20"/>
                <w:szCs w:val="20"/>
                <w:lang w:val="en-IN"/>
              </w:rPr>
            </w:pPr>
          </w:p>
        </w:tc>
      </w:tr>
      <w:tr w:rsidR="005C7BA1" w14:paraId="0BC050E5" w14:textId="77777777">
        <w:tc>
          <w:tcPr>
            <w:tcW w:w="0" w:type="auto"/>
            <w:hideMark/>
          </w:tcPr>
          <w:p w14:paraId="0FEC916D"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1902" w:type="dxa"/>
            <w:hideMark/>
          </w:tcPr>
          <w:p w14:paraId="0193BD7F"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2175" w:type="dxa"/>
            <w:hideMark/>
          </w:tcPr>
          <w:p w14:paraId="1BD95BC6"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Primary School</w:t>
            </w:r>
          </w:p>
        </w:tc>
        <w:tc>
          <w:tcPr>
            <w:tcW w:w="829" w:type="dxa"/>
            <w:hideMark/>
          </w:tcPr>
          <w:p w14:paraId="7CA27BF7"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22</w:t>
            </w:r>
          </w:p>
        </w:tc>
        <w:tc>
          <w:tcPr>
            <w:tcW w:w="0" w:type="auto"/>
            <w:hideMark/>
          </w:tcPr>
          <w:p w14:paraId="007AB18D"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18.33</w:t>
            </w:r>
          </w:p>
        </w:tc>
        <w:tc>
          <w:tcPr>
            <w:tcW w:w="0" w:type="auto"/>
            <w:hideMark/>
          </w:tcPr>
          <w:p w14:paraId="7DFA1EFF"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0" w:type="auto"/>
            <w:hideMark/>
          </w:tcPr>
          <w:p w14:paraId="7F84265A" w14:textId="77777777" w:rsidR="005C7BA1" w:rsidRDefault="005C7BA1">
            <w:pPr>
              <w:spacing w:before="120" w:after="120" w:line="360" w:lineRule="auto"/>
              <w:rPr>
                <w:rFonts w:ascii="Times New Roman" w:eastAsia="Times New Roman" w:hAnsi="Times New Roman" w:cs="Times New Roman"/>
                <w:sz w:val="20"/>
                <w:szCs w:val="20"/>
                <w:lang w:val="en-IN"/>
              </w:rPr>
            </w:pPr>
          </w:p>
        </w:tc>
      </w:tr>
      <w:tr w:rsidR="005C7BA1" w14:paraId="6E05F1A2" w14:textId="77777777">
        <w:tc>
          <w:tcPr>
            <w:tcW w:w="0" w:type="auto"/>
            <w:hideMark/>
          </w:tcPr>
          <w:p w14:paraId="6BEC20F4"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1902" w:type="dxa"/>
            <w:hideMark/>
          </w:tcPr>
          <w:p w14:paraId="5CB92095"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2175" w:type="dxa"/>
            <w:hideMark/>
          </w:tcPr>
          <w:p w14:paraId="4523DC5B"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Middle School</w:t>
            </w:r>
          </w:p>
        </w:tc>
        <w:tc>
          <w:tcPr>
            <w:tcW w:w="829" w:type="dxa"/>
            <w:hideMark/>
          </w:tcPr>
          <w:p w14:paraId="0BC95BF0"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26</w:t>
            </w:r>
          </w:p>
        </w:tc>
        <w:tc>
          <w:tcPr>
            <w:tcW w:w="0" w:type="auto"/>
            <w:hideMark/>
          </w:tcPr>
          <w:p w14:paraId="46D8C79A"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21.67</w:t>
            </w:r>
          </w:p>
        </w:tc>
        <w:tc>
          <w:tcPr>
            <w:tcW w:w="0" w:type="auto"/>
            <w:hideMark/>
          </w:tcPr>
          <w:p w14:paraId="056E2861"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0" w:type="auto"/>
            <w:hideMark/>
          </w:tcPr>
          <w:p w14:paraId="6E0FC503" w14:textId="77777777" w:rsidR="005C7BA1" w:rsidRDefault="005C7BA1">
            <w:pPr>
              <w:spacing w:before="120" w:after="120" w:line="360" w:lineRule="auto"/>
              <w:rPr>
                <w:rFonts w:ascii="Times New Roman" w:eastAsia="Times New Roman" w:hAnsi="Times New Roman" w:cs="Times New Roman"/>
                <w:sz w:val="20"/>
                <w:szCs w:val="20"/>
                <w:lang w:val="en-IN"/>
              </w:rPr>
            </w:pPr>
          </w:p>
        </w:tc>
      </w:tr>
      <w:tr w:rsidR="005C7BA1" w14:paraId="6DC498D6" w14:textId="77777777">
        <w:tc>
          <w:tcPr>
            <w:tcW w:w="0" w:type="auto"/>
            <w:hideMark/>
          </w:tcPr>
          <w:p w14:paraId="7513C344"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1902" w:type="dxa"/>
            <w:hideMark/>
          </w:tcPr>
          <w:p w14:paraId="12370BCE"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2175" w:type="dxa"/>
            <w:hideMark/>
          </w:tcPr>
          <w:p w14:paraId="64CC9A4D"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High School</w:t>
            </w:r>
          </w:p>
        </w:tc>
        <w:tc>
          <w:tcPr>
            <w:tcW w:w="829" w:type="dxa"/>
            <w:hideMark/>
          </w:tcPr>
          <w:p w14:paraId="18486C38"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20</w:t>
            </w:r>
          </w:p>
        </w:tc>
        <w:tc>
          <w:tcPr>
            <w:tcW w:w="0" w:type="auto"/>
            <w:hideMark/>
          </w:tcPr>
          <w:p w14:paraId="2D6C5791"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16.67</w:t>
            </w:r>
          </w:p>
        </w:tc>
        <w:tc>
          <w:tcPr>
            <w:tcW w:w="0" w:type="auto"/>
            <w:hideMark/>
          </w:tcPr>
          <w:p w14:paraId="30682A7F"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0" w:type="auto"/>
            <w:hideMark/>
          </w:tcPr>
          <w:p w14:paraId="2733154B" w14:textId="77777777" w:rsidR="005C7BA1" w:rsidRDefault="005C7BA1">
            <w:pPr>
              <w:spacing w:before="120" w:after="120" w:line="360" w:lineRule="auto"/>
              <w:rPr>
                <w:rFonts w:ascii="Times New Roman" w:eastAsia="Times New Roman" w:hAnsi="Times New Roman" w:cs="Times New Roman"/>
                <w:sz w:val="20"/>
                <w:szCs w:val="20"/>
                <w:lang w:val="en-IN"/>
              </w:rPr>
            </w:pPr>
          </w:p>
        </w:tc>
      </w:tr>
      <w:tr w:rsidR="005C7BA1" w14:paraId="677D88B8" w14:textId="77777777">
        <w:tc>
          <w:tcPr>
            <w:tcW w:w="0" w:type="auto"/>
            <w:hideMark/>
          </w:tcPr>
          <w:p w14:paraId="2A284B98"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1902" w:type="dxa"/>
            <w:hideMark/>
          </w:tcPr>
          <w:p w14:paraId="66E8D7D0"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2175" w:type="dxa"/>
            <w:hideMark/>
          </w:tcPr>
          <w:p w14:paraId="0DAC3F5A"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College &amp; Below Graduation</w:t>
            </w:r>
          </w:p>
        </w:tc>
        <w:tc>
          <w:tcPr>
            <w:tcW w:w="829" w:type="dxa"/>
            <w:hideMark/>
          </w:tcPr>
          <w:p w14:paraId="24070BAE"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12</w:t>
            </w:r>
          </w:p>
        </w:tc>
        <w:tc>
          <w:tcPr>
            <w:tcW w:w="0" w:type="auto"/>
            <w:hideMark/>
          </w:tcPr>
          <w:p w14:paraId="3D57DD97"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10.00</w:t>
            </w:r>
          </w:p>
        </w:tc>
        <w:tc>
          <w:tcPr>
            <w:tcW w:w="0" w:type="auto"/>
            <w:hideMark/>
          </w:tcPr>
          <w:p w14:paraId="6EDCB95A"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0" w:type="auto"/>
            <w:hideMark/>
          </w:tcPr>
          <w:p w14:paraId="24BFA72F" w14:textId="77777777" w:rsidR="005C7BA1" w:rsidRDefault="005C7BA1">
            <w:pPr>
              <w:spacing w:before="120" w:after="120" w:line="360" w:lineRule="auto"/>
              <w:rPr>
                <w:rFonts w:ascii="Times New Roman" w:eastAsia="Times New Roman" w:hAnsi="Times New Roman" w:cs="Times New Roman"/>
                <w:sz w:val="20"/>
                <w:szCs w:val="20"/>
                <w:lang w:val="en-IN"/>
              </w:rPr>
            </w:pPr>
          </w:p>
        </w:tc>
      </w:tr>
      <w:tr w:rsidR="005C7BA1" w14:paraId="30F669DE" w14:textId="77777777">
        <w:tc>
          <w:tcPr>
            <w:tcW w:w="0" w:type="auto"/>
            <w:hideMark/>
          </w:tcPr>
          <w:p w14:paraId="55F2E218"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1902" w:type="dxa"/>
            <w:hideMark/>
          </w:tcPr>
          <w:p w14:paraId="61D89818"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2175" w:type="dxa"/>
            <w:hideMark/>
          </w:tcPr>
          <w:p w14:paraId="4D4FC7B4"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Graduation &amp; Above</w:t>
            </w:r>
          </w:p>
        </w:tc>
        <w:tc>
          <w:tcPr>
            <w:tcW w:w="829" w:type="dxa"/>
            <w:hideMark/>
          </w:tcPr>
          <w:p w14:paraId="08AD2F51"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10</w:t>
            </w:r>
          </w:p>
        </w:tc>
        <w:tc>
          <w:tcPr>
            <w:tcW w:w="0" w:type="auto"/>
            <w:hideMark/>
          </w:tcPr>
          <w:p w14:paraId="76FCF19E"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8.33</w:t>
            </w:r>
          </w:p>
        </w:tc>
        <w:tc>
          <w:tcPr>
            <w:tcW w:w="0" w:type="auto"/>
            <w:hideMark/>
          </w:tcPr>
          <w:p w14:paraId="60CE2744"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0" w:type="auto"/>
            <w:hideMark/>
          </w:tcPr>
          <w:p w14:paraId="5FC5590E" w14:textId="77777777" w:rsidR="005C7BA1" w:rsidRDefault="005C7BA1">
            <w:pPr>
              <w:spacing w:before="120" w:after="120" w:line="360" w:lineRule="auto"/>
              <w:rPr>
                <w:rFonts w:ascii="Times New Roman" w:eastAsia="Times New Roman" w:hAnsi="Times New Roman" w:cs="Times New Roman"/>
                <w:sz w:val="20"/>
                <w:szCs w:val="20"/>
                <w:lang w:val="en-IN"/>
              </w:rPr>
            </w:pPr>
          </w:p>
        </w:tc>
      </w:tr>
      <w:tr w:rsidR="005C7BA1" w14:paraId="6DCAC11B" w14:textId="77777777">
        <w:tc>
          <w:tcPr>
            <w:tcW w:w="0" w:type="auto"/>
            <w:hideMark/>
          </w:tcPr>
          <w:p w14:paraId="7848462F"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3</w:t>
            </w:r>
          </w:p>
        </w:tc>
        <w:tc>
          <w:tcPr>
            <w:tcW w:w="1902" w:type="dxa"/>
            <w:hideMark/>
          </w:tcPr>
          <w:p w14:paraId="07B95F6E"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Landholding</w:t>
            </w:r>
          </w:p>
        </w:tc>
        <w:tc>
          <w:tcPr>
            <w:tcW w:w="2175" w:type="dxa"/>
            <w:hideMark/>
          </w:tcPr>
          <w:p w14:paraId="6D8EB73B"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 xml:space="preserve">Marginal </w:t>
            </w:r>
            <w:r>
              <w:rPr>
                <w:rFonts w:ascii="Times New Roman" w:eastAsia="Times New Roman" w:hAnsi="Times New Roman" w:cs="Times New Roman"/>
                <w:sz w:val="20"/>
                <w:szCs w:val="20"/>
                <w:lang w:val="en-IN"/>
              </w:rPr>
              <w:t>(&lt;2.5 acres)</w:t>
            </w:r>
          </w:p>
        </w:tc>
        <w:tc>
          <w:tcPr>
            <w:tcW w:w="829" w:type="dxa"/>
            <w:hideMark/>
          </w:tcPr>
          <w:p w14:paraId="17183C16"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34</w:t>
            </w:r>
          </w:p>
        </w:tc>
        <w:tc>
          <w:tcPr>
            <w:tcW w:w="0" w:type="auto"/>
            <w:hideMark/>
          </w:tcPr>
          <w:p w14:paraId="17C5CFF7"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28.33</w:t>
            </w:r>
          </w:p>
        </w:tc>
        <w:tc>
          <w:tcPr>
            <w:tcW w:w="0" w:type="auto"/>
            <w:hideMark/>
          </w:tcPr>
          <w:p w14:paraId="1AC80482"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5.00</w:t>
            </w:r>
          </w:p>
        </w:tc>
        <w:tc>
          <w:tcPr>
            <w:tcW w:w="0" w:type="auto"/>
            <w:hideMark/>
          </w:tcPr>
          <w:p w14:paraId="0661B789"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2.50</w:t>
            </w:r>
          </w:p>
        </w:tc>
      </w:tr>
      <w:tr w:rsidR="005C7BA1" w14:paraId="48E672E3" w14:textId="77777777">
        <w:tc>
          <w:tcPr>
            <w:tcW w:w="0" w:type="auto"/>
            <w:hideMark/>
          </w:tcPr>
          <w:p w14:paraId="165F2DCF"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1902" w:type="dxa"/>
            <w:hideMark/>
          </w:tcPr>
          <w:p w14:paraId="5C6D218F"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2175" w:type="dxa"/>
            <w:hideMark/>
          </w:tcPr>
          <w:p w14:paraId="61AD501A"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Small (2.5–5.0 acres)</w:t>
            </w:r>
          </w:p>
        </w:tc>
        <w:tc>
          <w:tcPr>
            <w:tcW w:w="829" w:type="dxa"/>
            <w:hideMark/>
          </w:tcPr>
          <w:p w14:paraId="50E6D787"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46</w:t>
            </w:r>
          </w:p>
        </w:tc>
        <w:tc>
          <w:tcPr>
            <w:tcW w:w="0" w:type="auto"/>
            <w:hideMark/>
          </w:tcPr>
          <w:p w14:paraId="42E726F7"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38.33</w:t>
            </w:r>
          </w:p>
        </w:tc>
        <w:tc>
          <w:tcPr>
            <w:tcW w:w="0" w:type="auto"/>
            <w:hideMark/>
          </w:tcPr>
          <w:p w14:paraId="38CEB22A"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0" w:type="auto"/>
            <w:hideMark/>
          </w:tcPr>
          <w:p w14:paraId="6C95C654" w14:textId="77777777" w:rsidR="005C7BA1" w:rsidRDefault="005C7BA1">
            <w:pPr>
              <w:spacing w:before="120" w:after="120" w:line="360" w:lineRule="auto"/>
              <w:rPr>
                <w:rFonts w:ascii="Times New Roman" w:eastAsia="Times New Roman" w:hAnsi="Times New Roman" w:cs="Times New Roman"/>
                <w:sz w:val="20"/>
                <w:szCs w:val="20"/>
                <w:lang w:val="en-IN"/>
              </w:rPr>
            </w:pPr>
          </w:p>
        </w:tc>
      </w:tr>
      <w:tr w:rsidR="005C7BA1" w14:paraId="45EFEF13" w14:textId="77777777">
        <w:tc>
          <w:tcPr>
            <w:tcW w:w="0" w:type="auto"/>
            <w:hideMark/>
          </w:tcPr>
          <w:p w14:paraId="4BD2375F"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1902" w:type="dxa"/>
            <w:hideMark/>
          </w:tcPr>
          <w:p w14:paraId="5AA3073C"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2175" w:type="dxa"/>
            <w:hideMark/>
          </w:tcPr>
          <w:p w14:paraId="3B596CD4"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Medium (5–10 acres)</w:t>
            </w:r>
          </w:p>
        </w:tc>
        <w:tc>
          <w:tcPr>
            <w:tcW w:w="829" w:type="dxa"/>
            <w:hideMark/>
          </w:tcPr>
          <w:p w14:paraId="70B0C74C"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26</w:t>
            </w:r>
          </w:p>
        </w:tc>
        <w:tc>
          <w:tcPr>
            <w:tcW w:w="0" w:type="auto"/>
            <w:hideMark/>
          </w:tcPr>
          <w:p w14:paraId="48DA96FC"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21.67</w:t>
            </w:r>
          </w:p>
        </w:tc>
        <w:tc>
          <w:tcPr>
            <w:tcW w:w="0" w:type="auto"/>
            <w:hideMark/>
          </w:tcPr>
          <w:p w14:paraId="04DF1C70"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0" w:type="auto"/>
            <w:hideMark/>
          </w:tcPr>
          <w:p w14:paraId="7E52B4D3" w14:textId="77777777" w:rsidR="005C7BA1" w:rsidRDefault="005C7BA1">
            <w:pPr>
              <w:spacing w:before="120" w:after="120" w:line="360" w:lineRule="auto"/>
              <w:rPr>
                <w:rFonts w:ascii="Times New Roman" w:eastAsia="Times New Roman" w:hAnsi="Times New Roman" w:cs="Times New Roman"/>
                <w:sz w:val="20"/>
                <w:szCs w:val="20"/>
                <w:lang w:val="en-IN"/>
              </w:rPr>
            </w:pPr>
          </w:p>
        </w:tc>
      </w:tr>
      <w:tr w:rsidR="005C7BA1" w14:paraId="1ACB0A74" w14:textId="77777777">
        <w:tc>
          <w:tcPr>
            <w:tcW w:w="0" w:type="auto"/>
            <w:hideMark/>
          </w:tcPr>
          <w:p w14:paraId="20B37F73"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1902" w:type="dxa"/>
            <w:hideMark/>
          </w:tcPr>
          <w:p w14:paraId="212D2690"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2175" w:type="dxa"/>
            <w:hideMark/>
          </w:tcPr>
          <w:p w14:paraId="5C2D163D"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Big (&gt;10 acres)</w:t>
            </w:r>
          </w:p>
        </w:tc>
        <w:tc>
          <w:tcPr>
            <w:tcW w:w="829" w:type="dxa"/>
            <w:hideMark/>
          </w:tcPr>
          <w:p w14:paraId="48BAF747"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14</w:t>
            </w:r>
          </w:p>
        </w:tc>
        <w:tc>
          <w:tcPr>
            <w:tcW w:w="0" w:type="auto"/>
            <w:hideMark/>
          </w:tcPr>
          <w:p w14:paraId="47AD45D2"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11.67</w:t>
            </w:r>
          </w:p>
        </w:tc>
        <w:tc>
          <w:tcPr>
            <w:tcW w:w="0" w:type="auto"/>
            <w:hideMark/>
          </w:tcPr>
          <w:p w14:paraId="5D5C59C3"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0" w:type="auto"/>
            <w:hideMark/>
          </w:tcPr>
          <w:p w14:paraId="3AEC6AD4" w14:textId="77777777" w:rsidR="005C7BA1" w:rsidRDefault="005C7BA1">
            <w:pPr>
              <w:spacing w:before="120" w:after="120" w:line="360" w:lineRule="auto"/>
              <w:rPr>
                <w:rFonts w:ascii="Times New Roman" w:eastAsia="Times New Roman" w:hAnsi="Times New Roman" w:cs="Times New Roman"/>
                <w:sz w:val="20"/>
                <w:szCs w:val="20"/>
                <w:lang w:val="en-IN"/>
              </w:rPr>
            </w:pPr>
          </w:p>
        </w:tc>
      </w:tr>
      <w:tr w:rsidR="005C7BA1" w14:paraId="38F2566B" w14:textId="77777777">
        <w:tc>
          <w:tcPr>
            <w:tcW w:w="0" w:type="auto"/>
            <w:hideMark/>
          </w:tcPr>
          <w:p w14:paraId="7A5CC9E5"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4</w:t>
            </w:r>
          </w:p>
        </w:tc>
        <w:tc>
          <w:tcPr>
            <w:tcW w:w="1902" w:type="dxa"/>
            <w:hideMark/>
          </w:tcPr>
          <w:p w14:paraId="54BA5A84"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Annual Income</w:t>
            </w:r>
          </w:p>
        </w:tc>
        <w:tc>
          <w:tcPr>
            <w:tcW w:w="2175" w:type="dxa"/>
            <w:hideMark/>
          </w:tcPr>
          <w:p w14:paraId="0C2F4B67"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Low (&lt;₹1,00,000)</w:t>
            </w:r>
          </w:p>
        </w:tc>
        <w:tc>
          <w:tcPr>
            <w:tcW w:w="829" w:type="dxa"/>
            <w:hideMark/>
          </w:tcPr>
          <w:p w14:paraId="0D6C72E8"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30</w:t>
            </w:r>
          </w:p>
        </w:tc>
        <w:tc>
          <w:tcPr>
            <w:tcW w:w="0" w:type="auto"/>
            <w:hideMark/>
          </w:tcPr>
          <w:p w14:paraId="1480E282"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25.00</w:t>
            </w:r>
          </w:p>
        </w:tc>
        <w:tc>
          <w:tcPr>
            <w:tcW w:w="0" w:type="auto"/>
            <w:hideMark/>
          </w:tcPr>
          <w:p w14:paraId="2F7E5FDB"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2,00,000</w:t>
            </w:r>
          </w:p>
        </w:tc>
        <w:tc>
          <w:tcPr>
            <w:tcW w:w="0" w:type="auto"/>
            <w:hideMark/>
          </w:tcPr>
          <w:p w14:paraId="1E302B1A"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1,00,000</w:t>
            </w:r>
          </w:p>
        </w:tc>
      </w:tr>
      <w:tr w:rsidR="005C7BA1" w14:paraId="5E4C6790" w14:textId="77777777">
        <w:tc>
          <w:tcPr>
            <w:tcW w:w="0" w:type="auto"/>
            <w:hideMark/>
          </w:tcPr>
          <w:p w14:paraId="43EA15C5"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1902" w:type="dxa"/>
            <w:hideMark/>
          </w:tcPr>
          <w:p w14:paraId="06520AAD"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2175" w:type="dxa"/>
            <w:hideMark/>
          </w:tcPr>
          <w:p w14:paraId="147035BD"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Medium (₹1,00,000–3,00,000)</w:t>
            </w:r>
          </w:p>
        </w:tc>
        <w:tc>
          <w:tcPr>
            <w:tcW w:w="829" w:type="dxa"/>
            <w:hideMark/>
          </w:tcPr>
          <w:p w14:paraId="2FCA518D"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62</w:t>
            </w:r>
          </w:p>
        </w:tc>
        <w:tc>
          <w:tcPr>
            <w:tcW w:w="0" w:type="auto"/>
            <w:hideMark/>
          </w:tcPr>
          <w:p w14:paraId="7FA76968"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51.67</w:t>
            </w:r>
          </w:p>
        </w:tc>
        <w:tc>
          <w:tcPr>
            <w:tcW w:w="0" w:type="auto"/>
            <w:hideMark/>
          </w:tcPr>
          <w:p w14:paraId="5483BD28"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0" w:type="auto"/>
            <w:hideMark/>
          </w:tcPr>
          <w:p w14:paraId="5CFC8378" w14:textId="77777777" w:rsidR="005C7BA1" w:rsidRDefault="005C7BA1">
            <w:pPr>
              <w:spacing w:before="120" w:after="120" w:line="360" w:lineRule="auto"/>
              <w:rPr>
                <w:rFonts w:ascii="Times New Roman" w:eastAsia="Times New Roman" w:hAnsi="Times New Roman" w:cs="Times New Roman"/>
                <w:sz w:val="20"/>
                <w:szCs w:val="20"/>
                <w:lang w:val="en-IN"/>
              </w:rPr>
            </w:pPr>
          </w:p>
        </w:tc>
      </w:tr>
      <w:tr w:rsidR="005C7BA1" w14:paraId="2B994561" w14:textId="77777777">
        <w:tc>
          <w:tcPr>
            <w:tcW w:w="0" w:type="auto"/>
            <w:hideMark/>
          </w:tcPr>
          <w:p w14:paraId="342DD867"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1902" w:type="dxa"/>
            <w:hideMark/>
          </w:tcPr>
          <w:p w14:paraId="5DD3C022"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2175" w:type="dxa"/>
            <w:hideMark/>
          </w:tcPr>
          <w:p w14:paraId="1F7EB497"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High (&gt;₹3,00,000)</w:t>
            </w:r>
          </w:p>
        </w:tc>
        <w:tc>
          <w:tcPr>
            <w:tcW w:w="829" w:type="dxa"/>
            <w:hideMark/>
          </w:tcPr>
          <w:p w14:paraId="5AE2CF55"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28</w:t>
            </w:r>
          </w:p>
        </w:tc>
        <w:tc>
          <w:tcPr>
            <w:tcW w:w="0" w:type="auto"/>
            <w:hideMark/>
          </w:tcPr>
          <w:p w14:paraId="4A38DED9"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23.33</w:t>
            </w:r>
          </w:p>
        </w:tc>
        <w:tc>
          <w:tcPr>
            <w:tcW w:w="0" w:type="auto"/>
            <w:hideMark/>
          </w:tcPr>
          <w:p w14:paraId="02CA050D"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0" w:type="auto"/>
            <w:hideMark/>
          </w:tcPr>
          <w:p w14:paraId="1B306B83" w14:textId="77777777" w:rsidR="005C7BA1" w:rsidRDefault="005C7BA1">
            <w:pPr>
              <w:spacing w:before="120" w:after="120" w:line="360" w:lineRule="auto"/>
              <w:rPr>
                <w:rFonts w:ascii="Times New Roman" w:eastAsia="Times New Roman" w:hAnsi="Times New Roman" w:cs="Times New Roman"/>
                <w:sz w:val="20"/>
                <w:szCs w:val="20"/>
                <w:lang w:val="en-IN"/>
              </w:rPr>
            </w:pPr>
          </w:p>
        </w:tc>
      </w:tr>
      <w:tr w:rsidR="005C7BA1" w14:paraId="45DB95CF" w14:textId="77777777">
        <w:tc>
          <w:tcPr>
            <w:tcW w:w="0" w:type="auto"/>
            <w:hideMark/>
          </w:tcPr>
          <w:p w14:paraId="32075AFA"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5</w:t>
            </w:r>
          </w:p>
        </w:tc>
        <w:tc>
          <w:tcPr>
            <w:tcW w:w="1902" w:type="dxa"/>
            <w:hideMark/>
          </w:tcPr>
          <w:p w14:paraId="5F3A0043"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Farming Experience</w:t>
            </w:r>
          </w:p>
        </w:tc>
        <w:tc>
          <w:tcPr>
            <w:tcW w:w="2175" w:type="dxa"/>
            <w:hideMark/>
          </w:tcPr>
          <w:p w14:paraId="4F28E334"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Less (≤14 yrs)</w:t>
            </w:r>
          </w:p>
        </w:tc>
        <w:tc>
          <w:tcPr>
            <w:tcW w:w="829" w:type="dxa"/>
            <w:hideMark/>
          </w:tcPr>
          <w:p w14:paraId="6EA12C10"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24</w:t>
            </w:r>
          </w:p>
        </w:tc>
        <w:tc>
          <w:tcPr>
            <w:tcW w:w="0" w:type="auto"/>
            <w:hideMark/>
          </w:tcPr>
          <w:p w14:paraId="38244A6A"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20.00</w:t>
            </w:r>
          </w:p>
        </w:tc>
        <w:tc>
          <w:tcPr>
            <w:tcW w:w="0" w:type="auto"/>
            <w:hideMark/>
          </w:tcPr>
          <w:p w14:paraId="63478DDC"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20.33</w:t>
            </w:r>
          </w:p>
        </w:tc>
        <w:tc>
          <w:tcPr>
            <w:tcW w:w="0" w:type="auto"/>
            <w:hideMark/>
          </w:tcPr>
          <w:p w14:paraId="4B1A2A75"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10.20</w:t>
            </w:r>
          </w:p>
        </w:tc>
      </w:tr>
      <w:tr w:rsidR="005C7BA1" w14:paraId="04093AFE" w14:textId="77777777">
        <w:tc>
          <w:tcPr>
            <w:tcW w:w="0" w:type="auto"/>
            <w:hideMark/>
          </w:tcPr>
          <w:p w14:paraId="140EEEBC"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1902" w:type="dxa"/>
            <w:hideMark/>
          </w:tcPr>
          <w:p w14:paraId="1BE94F2E"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2175" w:type="dxa"/>
            <w:hideMark/>
          </w:tcPr>
          <w:p w14:paraId="608F69FB"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Moderate (15–30 yrs)</w:t>
            </w:r>
          </w:p>
        </w:tc>
        <w:tc>
          <w:tcPr>
            <w:tcW w:w="829" w:type="dxa"/>
            <w:hideMark/>
          </w:tcPr>
          <w:p w14:paraId="78E1ACF4"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68</w:t>
            </w:r>
          </w:p>
        </w:tc>
        <w:tc>
          <w:tcPr>
            <w:tcW w:w="0" w:type="auto"/>
            <w:hideMark/>
          </w:tcPr>
          <w:p w14:paraId="04B506A1"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56.67</w:t>
            </w:r>
          </w:p>
        </w:tc>
        <w:tc>
          <w:tcPr>
            <w:tcW w:w="0" w:type="auto"/>
            <w:hideMark/>
          </w:tcPr>
          <w:p w14:paraId="2FCBF6E0"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0" w:type="auto"/>
            <w:hideMark/>
          </w:tcPr>
          <w:p w14:paraId="3ECAC58B" w14:textId="77777777" w:rsidR="005C7BA1" w:rsidRDefault="005C7BA1">
            <w:pPr>
              <w:spacing w:before="120" w:after="120" w:line="360" w:lineRule="auto"/>
              <w:rPr>
                <w:rFonts w:ascii="Times New Roman" w:eastAsia="Times New Roman" w:hAnsi="Times New Roman" w:cs="Times New Roman"/>
                <w:sz w:val="20"/>
                <w:szCs w:val="20"/>
                <w:lang w:val="en-IN"/>
              </w:rPr>
            </w:pPr>
          </w:p>
        </w:tc>
      </w:tr>
      <w:tr w:rsidR="005C7BA1" w14:paraId="778C5C24" w14:textId="77777777">
        <w:tc>
          <w:tcPr>
            <w:tcW w:w="0" w:type="auto"/>
            <w:hideMark/>
          </w:tcPr>
          <w:p w14:paraId="7128DF6A"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1902" w:type="dxa"/>
            <w:hideMark/>
          </w:tcPr>
          <w:p w14:paraId="480FC7BD"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2175" w:type="dxa"/>
            <w:hideMark/>
          </w:tcPr>
          <w:p w14:paraId="206E7C99"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More (&gt;30 yrs)</w:t>
            </w:r>
          </w:p>
        </w:tc>
        <w:tc>
          <w:tcPr>
            <w:tcW w:w="829" w:type="dxa"/>
            <w:hideMark/>
          </w:tcPr>
          <w:p w14:paraId="49AEB261"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28</w:t>
            </w:r>
          </w:p>
        </w:tc>
        <w:tc>
          <w:tcPr>
            <w:tcW w:w="0" w:type="auto"/>
            <w:hideMark/>
          </w:tcPr>
          <w:p w14:paraId="4DFE00F0"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23.33</w:t>
            </w:r>
          </w:p>
        </w:tc>
        <w:tc>
          <w:tcPr>
            <w:tcW w:w="0" w:type="auto"/>
            <w:hideMark/>
          </w:tcPr>
          <w:p w14:paraId="2476DEE4"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0" w:type="auto"/>
            <w:hideMark/>
          </w:tcPr>
          <w:p w14:paraId="7F519349" w14:textId="77777777" w:rsidR="005C7BA1" w:rsidRDefault="005C7BA1">
            <w:pPr>
              <w:spacing w:before="120" w:after="120" w:line="360" w:lineRule="auto"/>
              <w:rPr>
                <w:rFonts w:ascii="Times New Roman" w:eastAsia="Times New Roman" w:hAnsi="Times New Roman" w:cs="Times New Roman"/>
                <w:sz w:val="20"/>
                <w:szCs w:val="20"/>
                <w:lang w:val="en-IN"/>
              </w:rPr>
            </w:pPr>
          </w:p>
        </w:tc>
      </w:tr>
      <w:tr w:rsidR="005C7BA1" w14:paraId="1C42F7B8" w14:textId="77777777">
        <w:tc>
          <w:tcPr>
            <w:tcW w:w="0" w:type="auto"/>
            <w:hideMark/>
          </w:tcPr>
          <w:p w14:paraId="5EB7BE66"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6</w:t>
            </w:r>
          </w:p>
        </w:tc>
        <w:tc>
          <w:tcPr>
            <w:tcW w:w="1902" w:type="dxa"/>
            <w:hideMark/>
          </w:tcPr>
          <w:p w14:paraId="4A10297E"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Risk Orientation</w:t>
            </w:r>
          </w:p>
        </w:tc>
        <w:tc>
          <w:tcPr>
            <w:tcW w:w="2175" w:type="dxa"/>
            <w:hideMark/>
          </w:tcPr>
          <w:p w14:paraId="6914A9D4"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Low (&lt;13)</w:t>
            </w:r>
          </w:p>
        </w:tc>
        <w:tc>
          <w:tcPr>
            <w:tcW w:w="829" w:type="dxa"/>
            <w:hideMark/>
          </w:tcPr>
          <w:p w14:paraId="58C408CC"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22</w:t>
            </w:r>
          </w:p>
        </w:tc>
        <w:tc>
          <w:tcPr>
            <w:tcW w:w="0" w:type="auto"/>
            <w:hideMark/>
          </w:tcPr>
          <w:p w14:paraId="739271B1"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18.33</w:t>
            </w:r>
          </w:p>
        </w:tc>
        <w:tc>
          <w:tcPr>
            <w:tcW w:w="0" w:type="auto"/>
            <w:hideMark/>
          </w:tcPr>
          <w:p w14:paraId="54208F9B"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15.14</w:t>
            </w:r>
          </w:p>
        </w:tc>
        <w:tc>
          <w:tcPr>
            <w:tcW w:w="0" w:type="auto"/>
            <w:hideMark/>
          </w:tcPr>
          <w:p w14:paraId="00321457"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2.69</w:t>
            </w:r>
          </w:p>
        </w:tc>
      </w:tr>
      <w:tr w:rsidR="005C7BA1" w14:paraId="510CEFDD" w14:textId="77777777">
        <w:tc>
          <w:tcPr>
            <w:tcW w:w="0" w:type="auto"/>
            <w:hideMark/>
          </w:tcPr>
          <w:p w14:paraId="50260478"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1902" w:type="dxa"/>
            <w:hideMark/>
          </w:tcPr>
          <w:p w14:paraId="5D86416A"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2175" w:type="dxa"/>
            <w:hideMark/>
          </w:tcPr>
          <w:p w14:paraId="028866D7"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Medium (13–17)</w:t>
            </w:r>
          </w:p>
        </w:tc>
        <w:tc>
          <w:tcPr>
            <w:tcW w:w="829" w:type="dxa"/>
            <w:hideMark/>
          </w:tcPr>
          <w:p w14:paraId="45DDE5BA"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70</w:t>
            </w:r>
          </w:p>
        </w:tc>
        <w:tc>
          <w:tcPr>
            <w:tcW w:w="0" w:type="auto"/>
            <w:hideMark/>
          </w:tcPr>
          <w:p w14:paraId="6CC2DD12"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58.33</w:t>
            </w:r>
          </w:p>
        </w:tc>
        <w:tc>
          <w:tcPr>
            <w:tcW w:w="0" w:type="auto"/>
            <w:hideMark/>
          </w:tcPr>
          <w:p w14:paraId="0AA7FDD8"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0" w:type="auto"/>
            <w:hideMark/>
          </w:tcPr>
          <w:p w14:paraId="69C1F626" w14:textId="77777777" w:rsidR="005C7BA1" w:rsidRDefault="005C7BA1">
            <w:pPr>
              <w:spacing w:before="120" w:after="120" w:line="360" w:lineRule="auto"/>
              <w:rPr>
                <w:rFonts w:ascii="Times New Roman" w:eastAsia="Times New Roman" w:hAnsi="Times New Roman" w:cs="Times New Roman"/>
                <w:sz w:val="20"/>
                <w:szCs w:val="20"/>
                <w:lang w:val="en-IN"/>
              </w:rPr>
            </w:pPr>
          </w:p>
        </w:tc>
      </w:tr>
      <w:tr w:rsidR="005C7BA1" w14:paraId="67C86E69" w14:textId="77777777">
        <w:tc>
          <w:tcPr>
            <w:tcW w:w="0" w:type="auto"/>
            <w:hideMark/>
          </w:tcPr>
          <w:p w14:paraId="785AC5E0"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1902" w:type="dxa"/>
            <w:hideMark/>
          </w:tcPr>
          <w:p w14:paraId="4D662559"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2175" w:type="dxa"/>
            <w:hideMark/>
          </w:tcPr>
          <w:p w14:paraId="62B3B4A7"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High (&gt;17)</w:t>
            </w:r>
          </w:p>
        </w:tc>
        <w:tc>
          <w:tcPr>
            <w:tcW w:w="829" w:type="dxa"/>
            <w:hideMark/>
          </w:tcPr>
          <w:p w14:paraId="23264509"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28</w:t>
            </w:r>
          </w:p>
        </w:tc>
        <w:tc>
          <w:tcPr>
            <w:tcW w:w="0" w:type="auto"/>
            <w:hideMark/>
          </w:tcPr>
          <w:p w14:paraId="0E331FFF"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23.33</w:t>
            </w:r>
          </w:p>
        </w:tc>
        <w:tc>
          <w:tcPr>
            <w:tcW w:w="0" w:type="auto"/>
            <w:hideMark/>
          </w:tcPr>
          <w:p w14:paraId="5A5F362D"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0" w:type="auto"/>
            <w:hideMark/>
          </w:tcPr>
          <w:p w14:paraId="11AE5390" w14:textId="77777777" w:rsidR="005C7BA1" w:rsidRDefault="005C7BA1">
            <w:pPr>
              <w:spacing w:before="120" w:after="120" w:line="360" w:lineRule="auto"/>
              <w:rPr>
                <w:rFonts w:ascii="Times New Roman" w:eastAsia="Times New Roman" w:hAnsi="Times New Roman" w:cs="Times New Roman"/>
                <w:sz w:val="20"/>
                <w:szCs w:val="20"/>
                <w:lang w:val="en-IN"/>
              </w:rPr>
            </w:pPr>
          </w:p>
        </w:tc>
      </w:tr>
      <w:tr w:rsidR="005C7BA1" w14:paraId="50FC6479" w14:textId="77777777">
        <w:tc>
          <w:tcPr>
            <w:tcW w:w="0" w:type="auto"/>
            <w:hideMark/>
          </w:tcPr>
          <w:p w14:paraId="0F40ADB4"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7</w:t>
            </w:r>
          </w:p>
        </w:tc>
        <w:tc>
          <w:tcPr>
            <w:tcW w:w="1902" w:type="dxa"/>
            <w:hideMark/>
          </w:tcPr>
          <w:p w14:paraId="3F549A06"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Cosmopoliteness</w:t>
            </w:r>
          </w:p>
        </w:tc>
        <w:tc>
          <w:tcPr>
            <w:tcW w:w="2175" w:type="dxa"/>
            <w:hideMark/>
          </w:tcPr>
          <w:p w14:paraId="2BA5A488"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Low (&lt;20.88)</w:t>
            </w:r>
          </w:p>
        </w:tc>
        <w:tc>
          <w:tcPr>
            <w:tcW w:w="829" w:type="dxa"/>
            <w:hideMark/>
          </w:tcPr>
          <w:p w14:paraId="0CA5D2C5"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20</w:t>
            </w:r>
          </w:p>
        </w:tc>
        <w:tc>
          <w:tcPr>
            <w:tcW w:w="0" w:type="auto"/>
            <w:hideMark/>
          </w:tcPr>
          <w:p w14:paraId="50938F7B"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16.67</w:t>
            </w:r>
          </w:p>
        </w:tc>
        <w:tc>
          <w:tcPr>
            <w:tcW w:w="0" w:type="auto"/>
            <w:hideMark/>
          </w:tcPr>
          <w:p w14:paraId="47F43933"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21.65</w:t>
            </w:r>
          </w:p>
        </w:tc>
        <w:tc>
          <w:tcPr>
            <w:tcW w:w="0" w:type="auto"/>
            <w:hideMark/>
          </w:tcPr>
          <w:p w14:paraId="7F43395B"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1.95</w:t>
            </w:r>
          </w:p>
        </w:tc>
      </w:tr>
      <w:tr w:rsidR="005C7BA1" w14:paraId="2BDA6929" w14:textId="77777777">
        <w:tc>
          <w:tcPr>
            <w:tcW w:w="0" w:type="auto"/>
            <w:hideMark/>
          </w:tcPr>
          <w:p w14:paraId="7DA75F14"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1902" w:type="dxa"/>
            <w:hideMark/>
          </w:tcPr>
          <w:p w14:paraId="18F77C67"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2175" w:type="dxa"/>
            <w:hideMark/>
          </w:tcPr>
          <w:p w14:paraId="696C31E3"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Medium (20.88–23.32)</w:t>
            </w:r>
          </w:p>
        </w:tc>
        <w:tc>
          <w:tcPr>
            <w:tcW w:w="829" w:type="dxa"/>
            <w:hideMark/>
          </w:tcPr>
          <w:p w14:paraId="76C2D3B0"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72</w:t>
            </w:r>
          </w:p>
        </w:tc>
        <w:tc>
          <w:tcPr>
            <w:tcW w:w="0" w:type="auto"/>
            <w:hideMark/>
          </w:tcPr>
          <w:p w14:paraId="2B3FFB4E"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60.00</w:t>
            </w:r>
          </w:p>
        </w:tc>
        <w:tc>
          <w:tcPr>
            <w:tcW w:w="0" w:type="auto"/>
            <w:hideMark/>
          </w:tcPr>
          <w:p w14:paraId="50989642"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0" w:type="auto"/>
            <w:hideMark/>
          </w:tcPr>
          <w:p w14:paraId="08C9414A" w14:textId="77777777" w:rsidR="005C7BA1" w:rsidRDefault="005C7BA1">
            <w:pPr>
              <w:spacing w:before="120" w:after="120" w:line="360" w:lineRule="auto"/>
              <w:rPr>
                <w:rFonts w:ascii="Times New Roman" w:eastAsia="Times New Roman" w:hAnsi="Times New Roman" w:cs="Times New Roman"/>
                <w:sz w:val="20"/>
                <w:szCs w:val="20"/>
                <w:lang w:val="en-IN"/>
              </w:rPr>
            </w:pPr>
          </w:p>
        </w:tc>
      </w:tr>
      <w:tr w:rsidR="005C7BA1" w14:paraId="6DB33369" w14:textId="77777777">
        <w:tc>
          <w:tcPr>
            <w:tcW w:w="0" w:type="auto"/>
            <w:hideMark/>
          </w:tcPr>
          <w:p w14:paraId="750102FD"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1902" w:type="dxa"/>
            <w:hideMark/>
          </w:tcPr>
          <w:p w14:paraId="42DC8D7C"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2175" w:type="dxa"/>
            <w:hideMark/>
          </w:tcPr>
          <w:p w14:paraId="222CA557"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High (&gt;23.32)</w:t>
            </w:r>
          </w:p>
        </w:tc>
        <w:tc>
          <w:tcPr>
            <w:tcW w:w="829" w:type="dxa"/>
            <w:hideMark/>
          </w:tcPr>
          <w:p w14:paraId="25CFC589"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28</w:t>
            </w:r>
          </w:p>
        </w:tc>
        <w:tc>
          <w:tcPr>
            <w:tcW w:w="0" w:type="auto"/>
            <w:hideMark/>
          </w:tcPr>
          <w:p w14:paraId="2ED9E4D3"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23.33</w:t>
            </w:r>
          </w:p>
        </w:tc>
        <w:tc>
          <w:tcPr>
            <w:tcW w:w="0" w:type="auto"/>
            <w:hideMark/>
          </w:tcPr>
          <w:p w14:paraId="782C3423"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0" w:type="auto"/>
            <w:hideMark/>
          </w:tcPr>
          <w:p w14:paraId="52D9197A" w14:textId="77777777" w:rsidR="005C7BA1" w:rsidRDefault="005C7BA1">
            <w:pPr>
              <w:spacing w:before="120" w:after="120" w:line="360" w:lineRule="auto"/>
              <w:rPr>
                <w:rFonts w:ascii="Times New Roman" w:eastAsia="Times New Roman" w:hAnsi="Times New Roman" w:cs="Times New Roman"/>
                <w:sz w:val="20"/>
                <w:szCs w:val="20"/>
                <w:lang w:val="en-IN"/>
              </w:rPr>
            </w:pPr>
          </w:p>
        </w:tc>
      </w:tr>
      <w:tr w:rsidR="005C7BA1" w14:paraId="04672B52" w14:textId="77777777">
        <w:tc>
          <w:tcPr>
            <w:tcW w:w="0" w:type="auto"/>
            <w:hideMark/>
          </w:tcPr>
          <w:p w14:paraId="0EC83809"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8</w:t>
            </w:r>
          </w:p>
        </w:tc>
        <w:tc>
          <w:tcPr>
            <w:tcW w:w="1902" w:type="dxa"/>
            <w:hideMark/>
          </w:tcPr>
          <w:p w14:paraId="321A7289"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Social Participation</w:t>
            </w:r>
          </w:p>
        </w:tc>
        <w:tc>
          <w:tcPr>
            <w:tcW w:w="2175" w:type="dxa"/>
            <w:hideMark/>
          </w:tcPr>
          <w:p w14:paraId="3BA8AD43"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Low (&lt;16.07)</w:t>
            </w:r>
          </w:p>
        </w:tc>
        <w:tc>
          <w:tcPr>
            <w:tcW w:w="829" w:type="dxa"/>
            <w:hideMark/>
          </w:tcPr>
          <w:p w14:paraId="510BC5B8"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22</w:t>
            </w:r>
          </w:p>
        </w:tc>
        <w:tc>
          <w:tcPr>
            <w:tcW w:w="0" w:type="auto"/>
            <w:hideMark/>
          </w:tcPr>
          <w:p w14:paraId="4BAD10A4"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18.33</w:t>
            </w:r>
          </w:p>
        </w:tc>
        <w:tc>
          <w:tcPr>
            <w:tcW w:w="0" w:type="auto"/>
            <w:hideMark/>
          </w:tcPr>
          <w:p w14:paraId="49643387"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16.98</w:t>
            </w:r>
          </w:p>
        </w:tc>
        <w:tc>
          <w:tcPr>
            <w:tcW w:w="0" w:type="auto"/>
            <w:hideMark/>
          </w:tcPr>
          <w:p w14:paraId="2419949E"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1.28</w:t>
            </w:r>
          </w:p>
        </w:tc>
      </w:tr>
      <w:tr w:rsidR="005C7BA1" w14:paraId="3179BAF2" w14:textId="77777777">
        <w:tc>
          <w:tcPr>
            <w:tcW w:w="0" w:type="auto"/>
            <w:hideMark/>
          </w:tcPr>
          <w:p w14:paraId="04F5ABEE"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1902" w:type="dxa"/>
            <w:hideMark/>
          </w:tcPr>
          <w:p w14:paraId="5FD17358"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2175" w:type="dxa"/>
            <w:hideMark/>
          </w:tcPr>
          <w:p w14:paraId="0142E56B"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Medium (16.07–17.85)</w:t>
            </w:r>
          </w:p>
        </w:tc>
        <w:tc>
          <w:tcPr>
            <w:tcW w:w="829" w:type="dxa"/>
            <w:hideMark/>
          </w:tcPr>
          <w:p w14:paraId="7E67E34E"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70</w:t>
            </w:r>
          </w:p>
        </w:tc>
        <w:tc>
          <w:tcPr>
            <w:tcW w:w="0" w:type="auto"/>
            <w:hideMark/>
          </w:tcPr>
          <w:p w14:paraId="72881255"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58.33</w:t>
            </w:r>
          </w:p>
        </w:tc>
        <w:tc>
          <w:tcPr>
            <w:tcW w:w="0" w:type="auto"/>
            <w:hideMark/>
          </w:tcPr>
          <w:p w14:paraId="69343AF1"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0" w:type="auto"/>
            <w:hideMark/>
          </w:tcPr>
          <w:p w14:paraId="13C61754" w14:textId="77777777" w:rsidR="005C7BA1" w:rsidRDefault="005C7BA1">
            <w:pPr>
              <w:spacing w:before="120" w:after="120" w:line="360" w:lineRule="auto"/>
              <w:rPr>
                <w:rFonts w:ascii="Times New Roman" w:eastAsia="Times New Roman" w:hAnsi="Times New Roman" w:cs="Times New Roman"/>
                <w:sz w:val="20"/>
                <w:szCs w:val="20"/>
                <w:lang w:val="en-IN"/>
              </w:rPr>
            </w:pPr>
          </w:p>
        </w:tc>
      </w:tr>
      <w:tr w:rsidR="005C7BA1" w14:paraId="6DD6B73B" w14:textId="77777777">
        <w:tc>
          <w:tcPr>
            <w:tcW w:w="0" w:type="auto"/>
            <w:hideMark/>
          </w:tcPr>
          <w:p w14:paraId="2605B00E"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1902" w:type="dxa"/>
            <w:hideMark/>
          </w:tcPr>
          <w:p w14:paraId="433FD045"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2175" w:type="dxa"/>
            <w:hideMark/>
          </w:tcPr>
          <w:p w14:paraId="0225AFFA"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High (&gt;17.85)</w:t>
            </w:r>
          </w:p>
        </w:tc>
        <w:tc>
          <w:tcPr>
            <w:tcW w:w="829" w:type="dxa"/>
            <w:hideMark/>
          </w:tcPr>
          <w:p w14:paraId="7ADCB32D"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28</w:t>
            </w:r>
          </w:p>
        </w:tc>
        <w:tc>
          <w:tcPr>
            <w:tcW w:w="0" w:type="auto"/>
            <w:hideMark/>
          </w:tcPr>
          <w:p w14:paraId="7FD2CFBD"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23.33</w:t>
            </w:r>
          </w:p>
        </w:tc>
        <w:tc>
          <w:tcPr>
            <w:tcW w:w="0" w:type="auto"/>
            <w:hideMark/>
          </w:tcPr>
          <w:p w14:paraId="5578894F"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0" w:type="auto"/>
            <w:hideMark/>
          </w:tcPr>
          <w:p w14:paraId="0C387B16" w14:textId="77777777" w:rsidR="005C7BA1" w:rsidRDefault="005C7BA1">
            <w:pPr>
              <w:spacing w:before="120" w:after="120" w:line="360" w:lineRule="auto"/>
              <w:rPr>
                <w:rFonts w:ascii="Times New Roman" w:eastAsia="Times New Roman" w:hAnsi="Times New Roman" w:cs="Times New Roman"/>
                <w:sz w:val="20"/>
                <w:szCs w:val="20"/>
                <w:lang w:val="en-IN"/>
              </w:rPr>
            </w:pPr>
          </w:p>
        </w:tc>
      </w:tr>
      <w:tr w:rsidR="005C7BA1" w14:paraId="5C5406E9" w14:textId="77777777">
        <w:tc>
          <w:tcPr>
            <w:tcW w:w="0" w:type="auto"/>
            <w:hideMark/>
          </w:tcPr>
          <w:p w14:paraId="61405422"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9</w:t>
            </w:r>
          </w:p>
        </w:tc>
        <w:tc>
          <w:tcPr>
            <w:tcW w:w="1902" w:type="dxa"/>
            <w:hideMark/>
          </w:tcPr>
          <w:p w14:paraId="7BE8865F"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General Participation</w:t>
            </w:r>
          </w:p>
        </w:tc>
        <w:tc>
          <w:tcPr>
            <w:tcW w:w="2175" w:type="dxa"/>
            <w:hideMark/>
          </w:tcPr>
          <w:p w14:paraId="2277EB8A"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Low (&lt;8.42)</w:t>
            </w:r>
          </w:p>
        </w:tc>
        <w:tc>
          <w:tcPr>
            <w:tcW w:w="829" w:type="dxa"/>
            <w:hideMark/>
          </w:tcPr>
          <w:p w14:paraId="6D93DEE1"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26</w:t>
            </w:r>
          </w:p>
        </w:tc>
        <w:tc>
          <w:tcPr>
            <w:tcW w:w="0" w:type="auto"/>
            <w:hideMark/>
          </w:tcPr>
          <w:p w14:paraId="5CDA3E18"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21.67</w:t>
            </w:r>
          </w:p>
        </w:tc>
        <w:tc>
          <w:tcPr>
            <w:tcW w:w="0" w:type="auto"/>
            <w:hideMark/>
          </w:tcPr>
          <w:p w14:paraId="3B8D0F56"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9.05</w:t>
            </w:r>
          </w:p>
        </w:tc>
        <w:tc>
          <w:tcPr>
            <w:tcW w:w="0" w:type="auto"/>
            <w:hideMark/>
          </w:tcPr>
          <w:p w14:paraId="2D92304F"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1.51</w:t>
            </w:r>
          </w:p>
        </w:tc>
      </w:tr>
      <w:tr w:rsidR="005C7BA1" w14:paraId="7446AC81" w14:textId="77777777">
        <w:tc>
          <w:tcPr>
            <w:tcW w:w="0" w:type="auto"/>
            <w:hideMark/>
          </w:tcPr>
          <w:p w14:paraId="1E9A0C09"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1902" w:type="dxa"/>
            <w:hideMark/>
          </w:tcPr>
          <w:p w14:paraId="16CC849F"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2175" w:type="dxa"/>
            <w:hideMark/>
          </w:tcPr>
          <w:p w14:paraId="3F0888F3"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Medium (8.42–9.98)</w:t>
            </w:r>
          </w:p>
        </w:tc>
        <w:tc>
          <w:tcPr>
            <w:tcW w:w="829" w:type="dxa"/>
            <w:hideMark/>
          </w:tcPr>
          <w:p w14:paraId="457AAD2A"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68</w:t>
            </w:r>
          </w:p>
        </w:tc>
        <w:tc>
          <w:tcPr>
            <w:tcW w:w="0" w:type="auto"/>
            <w:hideMark/>
          </w:tcPr>
          <w:p w14:paraId="0E520AC3"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56.67</w:t>
            </w:r>
          </w:p>
        </w:tc>
        <w:tc>
          <w:tcPr>
            <w:tcW w:w="0" w:type="auto"/>
            <w:hideMark/>
          </w:tcPr>
          <w:p w14:paraId="7C73A0E5"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0" w:type="auto"/>
            <w:hideMark/>
          </w:tcPr>
          <w:p w14:paraId="7AF06B06" w14:textId="77777777" w:rsidR="005C7BA1" w:rsidRDefault="005C7BA1">
            <w:pPr>
              <w:spacing w:before="120" w:after="120" w:line="360" w:lineRule="auto"/>
              <w:rPr>
                <w:rFonts w:ascii="Times New Roman" w:eastAsia="Times New Roman" w:hAnsi="Times New Roman" w:cs="Times New Roman"/>
                <w:sz w:val="20"/>
                <w:szCs w:val="20"/>
                <w:lang w:val="en-IN"/>
              </w:rPr>
            </w:pPr>
          </w:p>
        </w:tc>
      </w:tr>
      <w:tr w:rsidR="005C7BA1" w14:paraId="6FD3FF41" w14:textId="77777777">
        <w:tc>
          <w:tcPr>
            <w:tcW w:w="0" w:type="auto"/>
            <w:hideMark/>
          </w:tcPr>
          <w:p w14:paraId="5654BD49"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1902" w:type="dxa"/>
            <w:hideMark/>
          </w:tcPr>
          <w:p w14:paraId="0BEE6D11"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2175" w:type="dxa"/>
            <w:hideMark/>
          </w:tcPr>
          <w:p w14:paraId="54DAECF5"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High (&gt;9.98)</w:t>
            </w:r>
          </w:p>
        </w:tc>
        <w:tc>
          <w:tcPr>
            <w:tcW w:w="829" w:type="dxa"/>
            <w:hideMark/>
          </w:tcPr>
          <w:p w14:paraId="6DC14D4A"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26</w:t>
            </w:r>
          </w:p>
        </w:tc>
        <w:tc>
          <w:tcPr>
            <w:tcW w:w="0" w:type="auto"/>
            <w:hideMark/>
          </w:tcPr>
          <w:p w14:paraId="2BBF0B5E"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21.67</w:t>
            </w:r>
          </w:p>
        </w:tc>
        <w:tc>
          <w:tcPr>
            <w:tcW w:w="0" w:type="auto"/>
            <w:hideMark/>
          </w:tcPr>
          <w:p w14:paraId="5B23D5CF"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0" w:type="auto"/>
            <w:hideMark/>
          </w:tcPr>
          <w:p w14:paraId="08CE5D0A" w14:textId="77777777" w:rsidR="005C7BA1" w:rsidRDefault="005C7BA1">
            <w:pPr>
              <w:spacing w:before="120" w:after="120" w:line="360" w:lineRule="auto"/>
              <w:rPr>
                <w:rFonts w:ascii="Times New Roman" w:eastAsia="Times New Roman" w:hAnsi="Times New Roman" w:cs="Times New Roman"/>
                <w:sz w:val="20"/>
                <w:szCs w:val="20"/>
                <w:lang w:val="en-IN"/>
              </w:rPr>
            </w:pPr>
          </w:p>
        </w:tc>
      </w:tr>
      <w:tr w:rsidR="005C7BA1" w14:paraId="280DA58B" w14:textId="77777777">
        <w:tc>
          <w:tcPr>
            <w:tcW w:w="0" w:type="auto"/>
            <w:hideMark/>
          </w:tcPr>
          <w:p w14:paraId="32F44A6A"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10</w:t>
            </w:r>
          </w:p>
        </w:tc>
        <w:tc>
          <w:tcPr>
            <w:tcW w:w="1902" w:type="dxa"/>
            <w:hideMark/>
          </w:tcPr>
          <w:p w14:paraId="60D78A44"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Extension Contacts</w:t>
            </w:r>
          </w:p>
        </w:tc>
        <w:tc>
          <w:tcPr>
            <w:tcW w:w="2175" w:type="dxa"/>
            <w:hideMark/>
          </w:tcPr>
          <w:p w14:paraId="47E030AA"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Low (&lt;13.20)</w:t>
            </w:r>
          </w:p>
        </w:tc>
        <w:tc>
          <w:tcPr>
            <w:tcW w:w="829" w:type="dxa"/>
            <w:hideMark/>
          </w:tcPr>
          <w:p w14:paraId="7EB7BB0D"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24</w:t>
            </w:r>
          </w:p>
        </w:tc>
        <w:tc>
          <w:tcPr>
            <w:tcW w:w="0" w:type="auto"/>
            <w:hideMark/>
          </w:tcPr>
          <w:p w14:paraId="698FE4FF"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20.00</w:t>
            </w:r>
          </w:p>
        </w:tc>
        <w:tc>
          <w:tcPr>
            <w:tcW w:w="0" w:type="auto"/>
            <w:hideMark/>
          </w:tcPr>
          <w:p w14:paraId="5050ED77"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14.65</w:t>
            </w:r>
          </w:p>
        </w:tc>
        <w:tc>
          <w:tcPr>
            <w:tcW w:w="0" w:type="auto"/>
            <w:hideMark/>
          </w:tcPr>
          <w:p w14:paraId="4BB2DE79"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1.45</w:t>
            </w:r>
          </w:p>
        </w:tc>
      </w:tr>
      <w:tr w:rsidR="005C7BA1" w14:paraId="5532879D" w14:textId="77777777">
        <w:tc>
          <w:tcPr>
            <w:tcW w:w="0" w:type="auto"/>
            <w:hideMark/>
          </w:tcPr>
          <w:p w14:paraId="2E949A51"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1902" w:type="dxa"/>
            <w:hideMark/>
          </w:tcPr>
          <w:p w14:paraId="15F0E095"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2175" w:type="dxa"/>
            <w:hideMark/>
          </w:tcPr>
          <w:p w14:paraId="54E46EB9"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Medium (13.20–15.60)</w:t>
            </w:r>
          </w:p>
        </w:tc>
        <w:tc>
          <w:tcPr>
            <w:tcW w:w="829" w:type="dxa"/>
            <w:hideMark/>
          </w:tcPr>
          <w:p w14:paraId="5A788AB1"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70</w:t>
            </w:r>
          </w:p>
        </w:tc>
        <w:tc>
          <w:tcPr>
            <w:tcW w:w="0" w:type="auto"/>
            <w:hideMark/>
          </w:tcPr>
          <w:p w14:paraId="5D6DA02F"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58.33</w:t>
            </w:r>
          </w:p>
        </w:tc>
        <w:tc>
          <w:tcPr>
            <w:tcW w:w="0" w:type="auto"/>
            <w:hideMark/>
          </w:tcPr>
          <w:p w14:paraId="51A71CE4"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0" w:type="auto"/>
            <w:hideMark/>
          </w:tcPr>
          <w:p w14:paraId="130C2D4C" w14:textId="77777777" w:rsidR="005C7BA1" w:rsidRDefault="005C7BA1">
            <w:pPr>
              <w:spacing w:before="120" w:after="120" w:line="360" w:lineRule="auto"/>
              <w:rPr>
                <w:rFonts w:ascii="Times New Roman" w:eastAsia="Times New Roman" w:hAnsi="Times New Roman" w:cs="Times New Roman"/>
                <w:sz w:val="20"/>
                <w:szCs w:val="20"/>
                <w:lang w:val="en-IN"/>
              </w:rPr>
            </w:pPr>
          </w:p>
        </w:tc>
      </w:tr>
      <w:tr w:rsidR="005C7BA1" w14:paraId="14EDAEC8" w14:textId="77777777">
        <w:tc>
          <w:tcPr>
            <w:tcW w:w="0" w:type="auto"/>
            <w:hideMark/>
          </w:tcPr>
          <w:p w14:paraId="0E89650F"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1902" w:type="dxa"/>
            <w:hideMark/>
          </w:tcPr>
          <w:p w14:paraId="47F6ADD1"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2175" w:type="dxa"/>
            <w:hideMark/>
          </w:tcPr>
          <w:p w14:paraId="5D76FBB2"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High (&gt;15.60)</w:t>
            </w:r>
          </w:p>
        </w:tc>
        <w:tc>
          <w:tcPr>
            <w:tcW w:w="829" w:type="dxa"/>
            <w:hideMark/>
          </w:tcPr>
          <w:p w14:paraId="38A2D486"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26</w:t>
            </w:r>
          </w:p>
        </w:tc>
        <w:tc>
          <w:tcPr>
            <w:tcW w:w="0" w:type="auto"/>
            <w:hideMark/>
          </w:tcPr>
          <w:p w14:paraId="59BFF1FE" w14:textId="77777777" w:rsidR="005C7BA1" w:rsidRDefault="008C40BA">
            <w:pPr>
              <w:spacing w:before="120" w:after="120" w:line="360" w:lineRule="auto"/>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21.67</w:t>
            </w:r>
          </w:p>
        </w:tc>
        <w:tc>
          <w:tcPr>
            <w:tcW w:w="0" w:type="auto"/>
            <w:hideMark/>
          </w:tcPr>
          <w:p w14:paraId="33B38AE5" w14:textId="77777777" w:rsidR="005C7BA1" w:rsidRDefault="005C7BA1">
            <w:pPr>
              <w:spacing w:before="120" w:after="120" w:line="360" w:lineRule="auto"/>
              <w:rPr>
                <w:rFonts w:ascii="Times New Roman" w:eastAsia="Times New Roman" w:hAnsi="Times New Roman" w:cs="Times New Roman"/>
                <w:sz w:val="20"/>
                <w:szCs w:val="20"/>
                <w:lang w:val="en-IN"/>
              </w:rPr>
            </w:pPr>
          </w:p>
        </w:tc>
        <w:tc>
          <w:tcPr>
            <w:tcW w:w="0" w:type="auto"/>
            <w:hideMark/>
          </w:tcPr>
          <w:p w14:paraId="09E44312" w14:textId="77777777" w:rsidR="005C7BA1" w:rsidRDefault="005C7BA1">
            <w:pPr>
              <w:spacing w:before="120" w:after="120" w:line="360" w:lineRule="auto"/>
              <w:rPr>
                <w:rFonts w:ascii="Times New Roman" w:eastAsia="Times New Roman" w:hAnsi="Times New Roman" w:cs="Times New Roman"/>
                <w:sz w:val="20"/>
                <w:szCs w:val="20"/>
                <w:lang w:val="en-IN"/>
              </w:rPr>
            </w:pPr>
          </w:p>
        </w:tc>
      </w:tr>
    </w:tbl>
    <w:p w14:paraId="7D56ECB2" w14:textId="77777777" w:rsidR="005C7BA1" w:rsidRDefault="008C40BA">
      <w:pPr>
        <w:pStyle w:val="NormalWeb"/>
        <w:spacing w:before="120" w:beforeAutospacing="0" w:after="120" w:afterAutospacing="0" w:line="360" w:lineRule="auto"/>
        <w:jc w:val="both"/>
        <w:rPr>
          <w:b/>
          <w:bCs/>
        </w:rPr>
      </w:pPr>
      <w:bookmarkStart w:id="2" w:name="_Hlk206752290"/>
      <w:commentRangeStart w:id="3"/>
      <w:r>
        <w:rPr>
          <w:b/>
          <w:bCs/>
        </w:rPr>
        <w:t>Practice</w:t>
      </w:r>
      <w:commentRangeEnd w:id="3"/>
      <w:r>
        <w:rPr>
          <w:rStyle w:val="CommentReference"/>
          <w:rFonts w:ascii="Calibri" w:eastAsia="Calibri" w:hAnsi="Calibri" w:cs="Mangal"/>
          <w:lang w:val="en-US"/>
        </w:rPr>
        <w:commentReference w:id="3"/>
      </w:r>
      <w:r>
        <w:rPr>
          <w:b/>
          <w:bCs/>
        </w:rPr>
        <w:t xml:space="preserve">-wise knowledge of ginger growers about improved </w:t>
      </w:r>
      <w:r>
        <w:rPr>
          <w:b/>
          <w:bCs/>
        </w:rPr>
        <w:t>cultivation practices in ginger:</w:t>
      </w:r>
    </w:p>
    <w:p w14:paraId="0225863B" w14:textId="77777777" w:rsidR="005C7BA1" w:rsidRDefault="008C40BA">
      <w:pPr>
        <w:pStyle w:val="NormalWeb"/>
        <w:spacing w:before="120" w:beforeAutospacing="0" w:after="120" w:afterAutospacing="0" w:line="360" w:lineRule="auto"/>
        <w:ind w:firstLine="720"/>
        <w:jc w:val="both"/>
      </w:pPr>
      <w:r>
        <w:t>The practice-wise knowledge of ginger growers revealed that foundational cultivation practices are well understood, with all farmers (100%) knowledgeable about recommended varieties and raised bed methods, and high awarenes</w:t>
      </w:r>
      <w:r>
        <w:t xml:space="preserve">s of optimum spacing (90%), land </w:t>
      </w:r>
      <w:r>
        <w:lastRenderedPageBreak/>
        <w:t>preparation with four ploughings (97.5%), FYM application (99.17%), and proper harvesting time (92.5%). Knowledge of nutrient management was moderate: 77.5% were aware of NPK application, 57.5% knew about split fertilizatio</w:t>
      </w:r>
      <w:r>
        <w:t>n, 62.5% understood top-dressing schedules, and 60% knew phosphorus and potash requirements at planting. However, awareness of initial planting inputs was very low, with only 18.75% knowledgeable about seed material weight and 6.67% about seed treatment wi</w:t>
      </w:r>
      <w:r>
        <w:t>th Mancozeb and Quinalphos, while 60.83% had no knowledge of seed treatment. Farmers showed high understanding of routine maintenance, including weekly irrigation and hand weeding (87.5%), but knowledge of crop rotation (51.67%) and mulching (57.5%) was li</w:t>
      </w:r>
      <w:r>
        <w:t>mited. Awareness of earthing-up schedules (45%) and potential yield (45%) was also low, indicating suboptimal crop management. Pest and disease management knowledge varied: most farmers knew Malathion for shoot borer (75.83%), Mancozeb for soft rot (87.5%)</w:t>
      </w:r>
      <w:r>
        <w:t>, and Carbendazim for leaf spot (88.33%), but fewer were fully aware of Streptomycin for bacterial wilt (51.67%) and Quinalphos for rhizome scale (51.67%). Post-harvest practices revealed major gaps, with only 17.5% knowledgeable about storage and 8.33% ab</w:t>
      </w:r>
      <w:r>
        <w:t xml:space="preserve">out grading and certification, while nearly half lacked awareness of storage and 58.33% had no knowledge of grading, </w:t>
      </w:r>
      <w:commentRangeStart w:id="4"/>
      <w:r>
        <w:t>highlighting critical areas for extension and training in value addition and market-oriented practices.</w:t>
      </w:r>
      <w:commentRangeEnd w:id="4"/>
      <w:r>
        <w:rPr>
          <w:rStyle w:val="CommentReference"/>
          <w:rFonts w:ascii="Calibri" w:eastAsia="Calibri" w:hAnsi="Calibri" w:cs="Mangal"/>
          <w:lang w:val="en-US"/>
        </w:rPr>
        <w:commentReference w:id="4"/>
      </w:r>
    </w:p>
    <w:p w14:paraId="035BA362" w14:textId="77777777" w:rsidR="005C7BA1" w:rsidRDefault="008C40BA">
      <w:pPr>
        <w:pStyle w:val="NormalWeb"/>
        <w:spacing w:before="120" w:beforeAutospacing="0" w:after="120" w:afterAutospacing="0" w:line="360" w:lineRule="auto"/>
        <w:jc w:val="both"/>
        <w:rPr>
          <w:b/>
          <w:bCs/>
        </w:rPr>
      </w:pPr>
      <w:commentRangeStart w:id="5"/>
      <w:r>
        <w:rPr>
          <w:b/>
          <w:bCs/>
        </w:rPr>
        <w:t>Table 2</w:t>
      </w:r>
      <w:bookmarkEnd w:id="2"/>
      <w:r>
        <w:rPr>
          <w:b/>
          <w:bCs/>
        </w:rPr>
        <w:t>: Knowledge Level of Ging</w:t>
      </w:r>
      <w:r>
        <w:rPr>
          <w:b/>
          <w:bCs/>
        </w:rPr>
        <w:t>er Growers Regarding Improved Cultivation Practices (N = 120)</w:t>
      </w:r>
      <w:commentRangeEnd w:id="5"/>
      <w:r>
        <w:rPr>
          <w:rStyle w:val="CommentReference"/>
          <w:rFonts w:ascii="Calibri" w:eastAsia="Calibri" w:hAnsi="Calibri" w:cs="Mangal"/>
          <w:lang w:val="en-US"/>
        </w:rPr>
        <w:commentReference w:id="5"/>
      </w:r>
    </w:p>
    <w:tbl>
      <w:tblPr>
        <w:tblStyle w:val="TableGrid"/>
        <w:tblW w:w="0" w:type="auto"/>
        <w:tblLayout w:type="fixed"/>
        <w:tblLook w:val="04A0" w:firstRow="1" w:lastRow="0" w:firstColumn="1" w:lastColumn="0" w:noHBand="0" w:noVBand="1"/>
      </w:tblPr>
      <w:tblGrid>
        <w:gridCol w:w="805"/>
        <w:gridCol w:w="3150"/>
        <w:gridCol w:w="1620"/>
        <w:gridCol w:w="1890"/>
        <w:gridCol w:w="1530"/>
      </w:tblGrid>
      <w:tr w:rsidR="005C7BA1" w14:paraId="5A5CDCA1" w14:textId="77777777">
        <w:tc>
          <w:tcPr>
            <w:tcW w:w="805" w:type="dxa"/>
            <w:hideMark/>
          </w:tcPr>
          <w:p w14:paraId="6935E302" w14:textId="77777777" w:rsidR="005C7BA1" w:rsidRDefault="008C40BA">
            <w:pPr>
              <w:spacing w:after="0" w:line="36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Sl. No.</w:t>
            </w:r>
          </w:p>
        </w:tc>
        <w:tc>
          <w:tcPr>
            <w:tcW w:w="3150" w:type="dxa"/>
            <w:hideMark/>
          </w:tcPr>
          <w:p w14:paraId="5352B5D7" w14:textId="77777777" w:rsidR="005C7BA1" w:rsidRDefault="008C40BA">
            <w:pPr>
              <w:spacing w:after="0" w:line="36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Components of Improved Cultivation Practices</w:t>
            </w:r>
          </w:p>
        </w:tc>
        <w:tc>
          <w:tcPr>
            <w:tcW w:w="1620" w:type="dxa"/>
            <w:hideMark/>
          </w:tcPr>
          <w:p w14:paraId="2716EB73" w14:textId="77777777" w:rsidR="005C7BA1" w:rsidRDefault="008C40BA">
            <w:pPr>
              <w:spacing w:after="0" w:line="36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Full Knowledge (f &amp; %)</w:t>
            </w:r>
          </w:p>
        </w:tc>
        <w:tc>
          <w:tcPr>
            <w:tcW w:w="1890" w:type="dxa"/>
            <w:hideMark/>
          </w:tcPr>
          <w:p w14:paraId="3553554C" w14:textId="77777777" w:rsidR="005C7BA1" w:rsidRDefault="008C40BA">
            <w:pPr>
              <w:spacing w:after="0" w:line="36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Partial Knowledge (f &amp; %)</w:t>
            </w:r>
          </w:p>
        </w:tc>
        <w:tc>
          <w:tcPr>
            <w:tcW w:w="1530" w:type="dxa"/>
            <w:hideMark/>
          </w:tcPr>
          <w:p w14:paraId="58FC1921" w14:textId="77777777" w:rsidR="005C7BA1" w:rsidRDefault="008C40BA">
            <w:pPr>
              <w:spacing w:after="0" w:line="36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No Knowledge (f &amp; %)</w:t>
            </w:r>
          </w:p>
        </w:tc>
      </w:tr>
      <w:tr w:rsidR="005C7BA1" w14:paraId="16FD4192" w14:textId="77777777">
        <w:tc>
          <w:tcPr>
            <w:tcW w:w="805" w:type="dxa"/>
            <w:hideMark/>
          </w:tcPr>
          <w:p w14:paraId="3788FDEE"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150" w:type="dxa"/>
            <w:hideMark/>
          </w:tcPr>
          <w:p w14:paraId="1D826D74"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Cultivation of recommended varieties</w:t>
            </w:r>
          </w:p>
        </w:tc>
        <w:tc>
          <w:tcPr>
            <w:tcW w:w="1620" w:type="dxa"/>
            <w:hideMark/>
          </w:tcPr>
          <w:p w14:paraId="2FADB463"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w:t>
            </w:r>
          </w:p>
          <w:p w14:paraId="35EE0B1D"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(100.00)</w:t>
            </w:r>
          </w:p>
        </w:tc>
        <w:tc>
          <w:tcPr>
            <w:tcW w:w="1890" w:type="dxa"/>
            <w:hideMark/>
          </w:tcPr>
          <w:p w14:paraId="082D2683"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p w14:paraId="472B344D"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c>
          <w:tcPr>
            <w:tcW w:w="1530" w:type="dxa"/>
            <w:hideMark/>
          </w:tcPr>
          <w:p w14:paraId="5F82371A"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p w14:paraId="2188C514"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r>
      <w:tr w:rsidR="005C7BA1" w14:paraId="3DC50EAA" w14:textId="77777777">
        <w:tc>
          <w:tcPr>
            <w:tcW w:w="805" w:type="dxa"/>
            <w:hideMark/>
          </w:tcPr>
          <w:p w14:paraId="0CC94573"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3150" w:type="dxa"/>
            <w:hideMark/>
          </w:tcPr>
          <w:p w14:paraId="207A043A"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Time of planting (May–June)</w:t>
            </w:r>
          </w:p>
        </w:tc>
        <w:tc>
          <w:tcPr>
            <w:tcW w:w="1620" w:type="dxa"/>
            <w:hideMark/>
          </w:tcPr>
          <w:p w14:paraId="0400E86F"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114</w:t>
            </w:r>
          </w:p>
          <w:p w14:paraId="31E1A91E"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(95.00)</w:t>
            </w:r>
          </w:p>
        </w:tc>
        <w:tc>
          <w:tcPr>
            <w:tcW w:w="1890" w:type="dxa"/>
            <w:hideMark/>
          </w:tcPr>
          <w:p w14:paraId="39219F9E"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p w14:paraId="59F54152"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c>
          <w:tcPr>
            <w:tcW w:w="1530" w:type="dxa"/>
            <w:hideMark/>
          </w:tcPr>
          <w:p w14:paraId="30D7C739"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p w14:paraId="6102A6C7"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(5.00)</w:t>
            </w:r>
          </w:p>
        </w:tc>
      </w:tr>
      <w:tr w:rsidR="005C7BA1" w14:paraId="1807818B" w14:textId="77777777">
        <w:tc>
          <w:tcPr>
            <w:tcW w:w="805" w:type="dxa"/>
            <w:hideMark/>
          </w:tcPr>
          <w:p w14:paraId="4BD05896"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3150" w:type="dxa"/>
            <w:hideMark/>
          </w:tcPr>
          <w:p w14:paraId="12E3619D"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Appropriate weight of seed material (rhizome)</w:t>
            </w:r>
          </w:p>
        </w:tc>
        <w:tc>
          <w:tcPr>
            <w:tcW w:w="1620" w:type="dxa"/>
            <w:hideMark/>
          </w:tcPr>
          <w:p w14:paraId="382485D3"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p w14:paraId="6C2EB58F"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(18.75)</w:t>
            </w:r>
          </w:p>
        </w:tc>
        <w:tc>
          <w:tcPr>
            <w:tcW w:w="1890" w:type="dxa"/>
            <w:hideMark/>
          </w:tcPr>
          <w:p w14:paraId="56F81AD8"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79</w:t>
            </w:r>
          </w:p>
          <w:p w14:paraId="072ABFE4"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(65.83)</w:t>
            </w:r>
          </w:p>
        </w:tc>
        <w:tc>
          <w:tcPr>
            <w:tcW w:w="1530" w:type="dxa"/>
            <w:hideMark/>
          </w:tcPr>
          <w:p w14:paraId="0E104521"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p w14:paraId="2138B86A"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(15.42)</w:t>
            </w:r>
          </w:p>
        </w:tc>
      </w:tr>
      <w:tr w:rsidR="005C7BA1" w14:paraId="14F023A3" w14:textId="77777777">
        <w:tc>
          <w:tcPr>
            <w:tcW w:w="805" w:type="dxa"/>
            <w:hideMark/>
          </w:tcPr>
          <w:p w14:paraId="73016C76"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3150" w:type="dxa"/>
            <w:hideMark/>
          </w:tcPr>
          <w:p w14:paraId="18AAE933"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Use of Mancozeb and quinalphos for seed treatment</w:t>
            </w:r>
          </w:p>
        </w:tc>
        <w:tc>
          <w:tcPr>
            <w:tcW w:w="1620" w:type="dxa"/>
            <w:hideMark/>
          </w:tcPr>
          <w:p w14:paraId="6FC10697"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p w14:paraId="5B26D07B"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(6.67)</w:t>
            </w:r>
          </w:p>
        </w:tc>
        <w:tc>
          <w:tcPr>
            <w:tcW w:w="1890" w:type="dxa"/>
            <w:hideMark/>
          </w:tcPr>
          <w:p w14:paraId="7B18E1CF"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p w14:paraId="049BCE52"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(32.50)</w:t>
            </w:r>
          </w:p>
        </w:tc>
        <w:tc>
          <w:tcPr>
            <w:tcW w:w="1530" w:type="dxa"/>
            <w:hideMark/>
          </w:tcPr>
          <w:p w14:paraId="6846C6AD"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w:t>
            </w:r>
          </w:p>
          <w:p w14:paraId="7E40BF19"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(60.83)</w:t>
            </w:r>
          </w:p>
        </w:tc>
      </w:tr>
      <w:tr w:rsidR="005C7BA1" w14:paraId="0A6EB0AE" w14:textId="77777777">
        <w:tc>
          <w:tcPr>
            <w:tcW w:w="805" w:type="dxa"/>
            <w:hideMark/>
          </w:tcPr>
          <w:p w14:paraId="5B93D9F0"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3150" w:type="dxa"/>
            <w:hideMark/>
          </w:tcPr>
          <w:p w14:paraId="521CAF18"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Recommended </w:t>
            </w:r>
            <w:r>
              <w:rPr>
                <w:rFonts w:ascii="Times New Roman" w:eastAsia="Times New Roman" w:hAnsi="Times New Roman" w:cs="Times New Roman"/>
                <w:sz w:val="20"/>
                <w:szCs w:val="20"/>
              </w:rPr>
              <w:t>quantity of rhizome per acre (600 kg)</w:t>
            </w:r>
          </w:p>
        </w:tc>
        <w:tc>
          <w:tcPr>
            <w:tcW w:w="1620" w:type="dxa"/>
            <w:hideMark/>
          </w:tcPr>
          <w:p w14:paraId="3175FC91"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p w14:paraId="16672025"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(56.67)</w:t>
            </w:r>
          </w:p>
        </w:tc>
        <w:tc>
          <w:tcPr>
            <w:tcW w:w="1890" w:type="dxa"/>
            <w:hideMark/>
          </w:tcPr>
          <w:p w14:paraId="0D48DA46"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p w14:paraId="3EEA7710"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(32.50)</w:t>
            </w:r>
          </w:p>
        </w:tc>
        <w:tc>
          <w:tcPr>
            <w:tcW w:w="1530" w:type="dxa"/>
            <w:hideMark/>
          </w:tcPr>
          <w:p w14:paraId="43E66D2A"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p w14:paraId="79F6C19E"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(10.83)</w:t>
            </w:r>
          </w:p>
        </w:tc>
      </w:tr>
      <w:tr w:rsidR="005C7BA1" w14:paraId="6A517E15" w14:textId="77777777">
        <w:tc>
          <w:tcPr>
            <w:tcW w:w="805" w:type="dxa"/>
            <w:hideMark/>
          </w:tcPr>
          <w:p w14:paraId="537CB470"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3150" w:type="dxa"/>
            <w:hideMark/>
          </w:tcPr>
          <w:p w14:paraId="7223137D"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Raised bed method for cultivation</w:t>
            </w:r>
          </w:p>
        </w:tc>
        <w:tc>
          <w:tcPr>
            <w:tcW w:w="1620" w:type="dxa"/>
            <w:hideMark/>
          </w:tcPr>
          <w:p w14:paraId="46AF8457"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w:t>
            </w:r>
          </w:p>
          <w:p w14:paraId="5674E707"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(100.00)</w:t>
            </w:r>
          </w:p>
        </w:tc>
        <w:tc>
          <w:tcPr>
            <w:tcW w:w="1890" w:type="dxa"/>
            <w:hideMark/>
          </w:tcPr>
          <w:p w14:paraId="5DCFE72F"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p w14:paraId="0BE4E8A5"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c>
          <w:tcPr>
            <w:tcW w:w="1530" w:type="dxa"/>
            <w:hideMark/>
          </w:tcPr>
          <w:p w14:paraId="67BDAB00"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p w14:paraId="72560D84"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r>
      <w:tr w:rsidR="005C7BA1" w14:paraId="0A3E7439" w14:textId="77777777">
        <w:tc>
          <w:tcPr>
            <w:tcW w:w="805" w:type="dxa"/>
            <w:hideMark/>
          </w:tcPr>
          <w:p w14:paraId="535ED2A8"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3150" w:type="dxa"/>
            <w:hideMark/>
          </w:tcPr>
          <w:p w14:paraId="77C44780"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Optimum spacing (30 × 15 cm)</w:t>
            </w:r>
          </w:p>
        </w:tc>
        <w:tc>
          <w:tcPr>
            <w:tcW w:w="1620" w:type="dxa"/>
            <w:hideMark/>
          </w:tcPr>
          <w:p w14:paraId="3FF7FCDA"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108</w:t>
            </w:r>
          </w:p>
          <w:p w14:paraId="27ABFAB5"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(90.00)</w:t>
            </w:r>
          </w:p>
        </w:tc>
        <w:tc>
          <w:tcPr>
            <w:tcW w:w="1890" w:type="dxa"/>
            <w:hideMark/>
          </w:tcPr>
          <w:p w14:paraId="0BBDBE7C"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p w14:paraId="09414E87"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(10.00)</w:t>
            </w:r>
          </w:p>
        </w:tc>
        <w:tc>
          <w:tcPr>
            <w:tcW w:w="1530" w:type="dxa"/>
            <w:hideMark/>
          </w:tcPr>
          <w:p w14:paraId="296E3C5A"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p w14:paraId="050E2217"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r>
      <w:tr w:rsidR="005C7BA1" w14:paraId="62A7BA31" w14:textId="77777777">
        <w:tc>
          <w:tcPr>
            <w:tcW w:w="805" w:type="dxa"/>
            <w:hideMark/>
          </w:tcPr>
          <w:p w14:paraId="18FD5419"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8.</w:t>
            </w:r>
          </w:p>
        </w:tc>
        <w:tc>
          <w:tcPr>
            <w:tcW w:w="3150" w:type="dxa"/>
            <w:hideMark/>
          </w:tcPr>
          <w:p w14:paraId="49900F0F"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Four pre-ploughings in land preparation</w:t>
            </w:r>
          </w:p>
        </w:tc>
        <w:tc>
          <w:tcPr>
            <w:tcW w:w="1620" w:type="dxa"/>
            <w:hideMark/>
          </w:tcPr>
          <w:p w14:paraId="369E9355"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117</w:t>
            </w:r>
          </w:p>
          <w:p w14:paraId="7C86F865"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(97.50)</w:t>
            </w:r>
          </w:p>
        </w:tc>
        <w:tc>
          <w:tcPr>
            <w:tcW w:w="1890" w:type="dxa"/>
            <w:hideMark/>
          </w:tcPr>
          <w:p w14:paraId="60F436B2"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p w14:paraId="13E33C2F"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(2.50)</w:t>
            </w:r>
          </w:p>
        </w:tc>
        <w:tc>
          <w:tcPr>
            <w:tcW w:w="1530" w:type="dxa"/>
            <w:hideMark/>
          </w:tcPr>
          <w:p w14:paraId="0F8891AC"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p w14:paraId="0549289D"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r>
      <w:tr w:rsidR="005C7BA1" w14:paraId="2EA641A7" w14:textId="77777777">
        <w:tc>
          <w:tcPr>
            <w:tcW w:w="805" w:type="dxa"/>
            <w:hideMark/>
          </w:tcPr>
          <w:p w14:paraId="579EDB9E"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3150" w:type="dxa"/>
            <w:hideMark/>
          </w:tcPr>
          <w:p w14:paraId="045C12DF"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 MT FYM application</w:t>
            </w:r>
          </w:p>
        </w:tc>
        <w:tc>
          <w:tcPr>
            <w:tcW w:w="1620" w:type="dxa"/>
            <w:hideMark/>
          </w:tcPr>
          <w:p w14:paraId="5B4C99A6"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119</w:t>
            </w:r>
          </w:p>
          <w:p w14:paraId="24AF6EB1"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(99.17)</w:t>
            </w:r>
          </w:p>
        </w:tc>
        <w:tc>
          <w:tcPr>
            <w:tcW w:w="1890" w:type="dxa"/>
            <w:hideMark/>
          </w:tcPr>
          <w:p w14:paraId="793639AA"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14:paraId="304F25E5"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(0.83)</w:t>
            </w:r>
          </w:p>
        </w:tc>
        <w:tc>
          <w:tcPr>
            <w:tcW w:w="1530" w:type="dxa"/>
            <w:hideMark/>
          </w:tcPr>
          <w:p w14:paraId="676D94D6"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p w14:paraId="71F3BCFE"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r>
      <w:tr w:rsidR="005C7BA1" w14:paraId="7D03FA1E" w14:textId="77777777">
        <w:tc>
          <w:tcPr>
            <w:tcW w:w="805" w:type="dxa"/>
            <w:hideMark/>
          </w:tcPr>
          <w:p w14:paraId="3B31745E"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3150" w:type="dxa"/>
            <w:hideMark/>
          </w:tcPr>
          <w:p w14:paraId="734A05AC"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Application of NPK (40:20:20 kg/acre)</w:t>
            </w:r>
          </w:p>
        </w:tc>
        <w:tc>
          <w:tcPr>
            <w:tcW w:w="1620" w:type="dxa"/>
            <w:hideMark/>
          </w:tcPr>
          <w:p w14:paraId="79C89B48"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93</w:t>
            </w:r>
          </w:p>
          <w:p w14:paraId="1FFA067B"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(77.50)</w:t>
            </w:r>
          </w:p>
        </w:tc>
        <w:tc>
          <w:tcPr>
            <w:tcW w:w="1890" w:type="dxa"/>
            <w:hideMark/>
          </w:tcPr>
          <w:p w14:paraId="55D750C2"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p w14:paraId="40420588"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(22.50)</w:t>
            </w:r>
          </w:p>
        </w:tc>
        <w:tc>
          <w:tcPr>
            <w:tcW w:w="1530" w:type="dxa"/>
            <w:hideMark/>
          </w:tcPr>
          <w:p w14:paraId="3FDB1131"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p w14:paraId="522F5606"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r>
      <w:tr w:rsidR="005C7BA1" w14:paraId="70552650" w14:textId="77777777">
        <w:tc>
          <w:tcPr>
            <w:tcW w:w="805" w:type="dxa"/>
            <w:hideMark/>
          </w:tcPr>
          <w:p w14:paraId="1C9F5E37"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3150" w:type="dxa"/>
            <w:hideMark/>
          </w:tcPr>
          <w:p w14:paraId="28EE2DA3"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Fertilizer application in 3 splits</w:t>
            </w:r>
          </w:p>
        </w:tc>
        <w:tc>
          <w:tcPr>
            <w:tcW w:w="1620" w:type="dxa"/>
            <w:hideMark/>
          </w:tcPr>
          <w:p w14:paraId="54598EE5"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69</w:t>
            </w:r>
          </w:p>
          <w:p w14:paraId="0ACBC861"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(57.50)</w:t>
            </w:r>
          </w:p>
        </w:tc>
        <w:tc>
          <w:tcPr>
            <w:tcW w:w="1890" w:type="dxa"/>
            <w:hideMark/>
          </w:tcPr>
          <w:p w14:paraId="46D2D4E7"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p>
          <w:p w14:paraId="213E8D71"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(31.67)</w:t>
            </w:r>
          </w:p>
        </w:tc>
        <w:tc>
          <w:tcPr>
            <w:tcW w:w="1530" w:type="dxa"/>
            <w:hideMark/>
          </w:tcPr>
          <w:p w14:paraId="77C4F4A0"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p w14:paraId="59E99064"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(10.83)</w:t>
            </w:r>
          </w:p>
        </w:tc>
      </w:tr>
      <w:tr w:rsidR="005C7BA1" w14:paraId="352C18A0" w14:textId="77777777">
        <w:tc>
          <w:tcPr>
            <w:tcW w:w="805" w:type="dxa"/>
            <w:hideMark/>
          </w:tcPr>
          <w:p w14:paraId="0DABD10A"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3150" w:type="dxa"/>
            <w:hideMark/>
          </w:tcPr>
          <w:p w14:paraId="137F176B"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Top dressing 50% N </w:t>
            </w:r>
            <w:r>
              <w:rPr>
                <w:rFonts w:ascii="Times New Roman" w:eastAsia="Times New Roman" w:hAnsi="Times New Roman" w:cs="Times New Roman"/>
                <w:sz w:val="20"/>
                <w:szCs w:val="20"/>
              </w:rPr>
              <w:t>after 30 days</w:t>
            </w:r>
          </w:p>
        </w:tc>
        <w:tc>
          <w:tcPr>
            <w:tcW w:w="1620" w:type="dxa"/>
            <w:hideMark/>
          </w:tcPr>
          <w:p w14:paraId="0DB232D9"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p w14:paraId="0855738C"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(62.50)</w:t>
            </w:r>
          </w:p>
        </w:tc>
        <w:tc>
          <w:tcPr>
            <w:tcW w:w="1890" w:type="dxa"/>
            <w:hideMark/>
          </w:tcPr>
          <w:p w14:paraId="513E64A0"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p w14:paraId="61A732C1"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c>
          <w:tcPr>
            <w:tcW w:w="1530" w:type="dxa"/>
            <w:hideMark/>
          </w:tcPr>
          <w:p w14:paraId="6652EDC7"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p w14:paraId="1678D911"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(37.50)</w:t>
            </w:r>
          </w:p>
        </w:tc>
      </w:tr>
      <w:tr w:rsidR="005C7BA1" w14:paraId="430247AC" w14:textId="77777777">
        <w:tc>
          <w:tcPr>
            <w:tcW w:w="805" w:type="dxa"/>
            <w:hideMark/>
          </w:tcPr>
          <w:p w14:paraId="77B9757C"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3150" w:type="dxa"/>
            <w:hideMark/>
          </w:tcPr>
          <w:p w14:paraId="20DCFB34"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Top dressing remaining 50% N after 60 days</w:t>
            </w:r>
          </w:p>
        </w:tc>
        <w:tc>
          <w:tcPr>
            <w:tcW w:w="1620" w:type="dxa"/>
            <w:hideMark/>
          </w:tcPr>
          <w:p w14:paraId="589DB5C2"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p w14:paraId="3552B256"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(62.50)</w:t>
            </w:r>
          </w:p>
        </w:tc>
        <w:tc>
          <w:tcPr>
            <w:tcW w:w="1890" w:type="dxa"/>
            <w:hideMark/>
          </w:tcPr>
          <w:p w14:paraId="4090656F"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p w14:paraId="7E902524"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c>
          <w:tcPr>
            <w:tcW w:w="1530" w:type="dxa"/>
            <w:hideMark/>
          </w:tcPr>
          <w:p w14:paraId="7AEDE3C4"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p w14:paraId="1347C2A1"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(37.50)</w:t>
            </w:r>
          </w:p>
        </w:tc>
      </w:tr>
      <w:tr w:rsidR="005C7BA1" w14:paraId="58DF96D3" w14:textId="77777777">
        <w:tc>
          <w:tcPr>
            <w:tcW w:w="805" w:type="dxa"/>
            <w:hideMark/>
          </w:tcPr>
          <w:p w14:paraId="49845944"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3150" w:type="dxa"/>
            <w:hideMark/>
          </w:tcPr>
          <w:p w14:paraId="75615FFD"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Application of P and K at planting</w:t>
            </w:r>
          </w:p>
        </w:tc>
        <w:tc>
          <w:tcPr>
            <w:tcW w:w="1620" w:type="dxa"/>
            <w:hideMark/>
          </w:tcPr>
          <w:p w14:paraId="33AC6865"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72</w:t>
            </w:r>
          </w:p>
          <w:p w14:paraId="782DAB5A"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890" w:type="dxa"/>
            <w:hideMark/>
          </w:tcPr>
          <w:p w14:paraId="0B139289"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p w14:paraId="08E9488C"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(30.00)</w:t>
            </w:r>
          </w:p>
        </w:tc>
        <w:tc>
          <w:tcPr>
            <w:tcW w:w="1530" w:type="dxa"/>
            <w:hideMark/>
          </w:tcPr>
          <w:p w14:paraId="7890CDDD"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p w14:paraId="6636A187"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(10.00)</w:t>
            </w:r>
          </w:p>
        </w:tc>
      </w:tr>
      <w:tr w:rsidR="005C7BA1" w14:paraId="17684EC7" w14:textId="77777777">
        <w:tc>
          <w:tcPr>
            <w:tcW w:w="805" w:type="dxa"/>
            <w:hideMark/>
          </w:tcPr>
          <w:p w14:paraId="14AA143E"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3150" w:type="dxa"/>
            <w:hideMark/>
          </w:tcPr>
          <w:p w14:paraId="5BD73E1A"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Weekly irrigation</w:t>
            </w:r>
          </w:p>
        </w:tc>
        <w:tc>
          <w:tcPr>
            <w:tcW w:w="1620" w:type="dxa"/>
            <w:hideMark/>
          </w:tcPr>
          <w:p w14:paraId="6B765265"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105</w:t>
            </w:r>
          </w:p>
          <w:p w14:paraId="3543DC8F"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(87.50)</w:t>
            </w:r>
          </w:p>
        </w:tc>
        <w:tc>
          <w:tcPr>
            <w:tcW w:w="1890" w:type="dxa"/>
            <w:hideMark/>
          </w:tcPr>
          <w:p w14:paraId="07713B23"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p w14:paraId="1DF65162"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(12.50)</w:t>
            </w:r>
          </w:p>
        </w:tc>
        <w:tc>
          <w:tcPr>
            <w:tcW w:w="1530" w:type="dxa"/>
            <w:hideMark/>
          </w:tcPr>
          <w:p w14:paraId="0D9CE1C4"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p w14:paraId="568DC26A"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r>
      <w:tr w:rsidR="005C7BA1" w14:paraId="0FBF1932" w14:textId="77777777">
        <w:tc>
          <w:tcPr>
            <w:tcW w:w="805" w:type="dxa"/>
            <w:hideMark/>
          </w:tcPr>
          <w:p w14:paraId="17A2DBD9"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3150" w:type="dxa"/>
            <w:hideMark/>
          </w:tcPr>
          <w:p w14:paraId="5DD8C61C"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Hand weeding</w:t>
            </w:r>
          </w:p>
        </w:tc>
        <w:tc>
          <w:tcPr>
            <w:tcW w:w="1620" w:type="dxa"/>
            <w:hideMark/>
          </w:tcPr>
          <w:p w14:paraId="6034F570"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105</w:t>
            </w:r>
          </w:p>
          <w:p w14:paraId="6AB8BEA6"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(87.50)</w:t>
            </w:r>
          </w:p>
        </w:tc>
        <w:tc>
          <w:tcPr>
            <w:tcW w:w="1890" w:type="dxa"/>
            <w:hideMark/>
          </w:tcPr>
          <w:p w14:paraId="4C76D4E6"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p w14:paraId="05D2594B"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(12.50)</w:t>
            </w:r>
          </w:p>
        </w:tc>
        <w:tc>
          <w:tcPr>
            <w:tcW w:w="1530" w:type="dxa"/>
            <w:hideMark/>
          </w:tcPr>
          <w:p w14:paraId="71B84EA3"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p w14:paraId="46ADAC7D"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r>
      <w:tr w:rsidR="005C7BA1" w14:paraId="1E0B42D7" w14:textId="77777777">
        <w:tc>
          <w:tcPr>
            <w:tcW w:w="805" w:type="dxa"/>
            <w:hideMark/>
          </w:tcPr>
          <w:p w14:paraId="31364837"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3150" w:type="dxa"/>
            <w:hideMark/>
          </w:tcPr>
          <w:p w14:paraId="0A7D308A"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Crop rotation</w:t>
            </w:r>
          </w:p>
        </w:tc>
        <w:tc>
          <w:tcPr>
            <w:tcW w:w="1620" w:type="dxa"/>
            <w:hideMark/>
          </w:tcPr>
          <w:p w14:paraId="7FBBC757"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w:t>
            </w:r>
          </w:p>
          <w:p w14:paraId="61DB510F"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(51.67)</w:t>
            </w:r>
          </w:p>
        </w:tc>
        <w:tc>
          <w:tcPr>
            <w:tcW w:w="1890" w:type="dxa"/>
            <w:hideMark/>
          </w:tcPr>
          <w:p w14:paraId="35C1A16A"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p w14:paraId="605A27BD"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c>
          <w:tcPr>
            <w:tcW w:w="1530" w:type="dxa"/>
            <w:hideMark/>
          </w:tcPr>
          <w:p w14:paraId="7DB35B64"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w:t>
            </w:r>
          </w:p>
          <w:p w14:paraId="64C61472"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(48.33)</w:t>
            </w:r>
          </w:p>
        </w:tc>
      </w:tr>
      <w:tr w:rsidR="005C7BA1" w14:paraId="4026164D" w14:textId="77777777">
        <w:tc>
          <w:tcPr>
            <w:tcW w:w="805" w:type="dxa"/>
            <w:hideMark/>
          </w:tcPr>
          <w:p w14:paraId="310FFB63"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3150" w:type="dxa"/>
            <w:hideMark/>
          </w:tcPr>
          <w:p w14:paraId="4D2BD12B"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Mulching three times</w:t>
            </w:r>
          </w:p>
        </w:tc>
        <w:tc>
          <w:tcPr>
            <w:tcW w:w="1620" w:type="dxa"/>
            <w:hideMark/>
          </w:tcPr>
          <w:p w14:paraId="25042E0C"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69</w:t>
            </w:r>
          </w:p>
          <w:p w14:paraId="2C674A84"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(57.50)</w:t>
            </w:r>
          </w:p>
        </w:tc>
        <w:tc>
          <w:tcPr>
            <w:tcW w:w="1890" w:type="dxa"/>
            <w:hideMark/>
          </w:tcPr>
          <w:p w14:paraId="11A280B9"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p w14:paraId="2230F9B9"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(35.00)</w:t>
            </w:r>
          </w:p>
        </w:tc>
        <w:tc>
          <w:tcPr>
            <w:tcW w:w="1530" w:type="dxa"/>
            <w:hideMark/>
          </w:tcPr>
          <w:p w14:paraId="4BE8F0BE"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p w14:paraId="42688E40"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(7.50)</w:t>
            </w:r>
          </w:p>
        </w:tc>
      </w:tr>
      <w:tr w:rsidR="005C7BA1" w14:paraId="0AD3DA53" w14:textId="77777777">
        <w:tc>
          <w:tcPr>
            <w:tcW w:w="805" w:type="dxa"/>
            <w:hideMark/>
          </w:tcPr>
          <w:p w14:paraId="103254C7"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3150" w:type="dxa"/>
            <w:hideMark/>
          </w:tcPr>
          <w:p w14:paraId="75EB10BC"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Earthing up at 45 and 90 </w:t>
            </w:r>
            <w:proofErr w:type="gramStart"/>
            <w:r>
              <w:rPr>
                <w:rFonts w:ascii="Times New Roman" w:eastAsia="Times New Roman" w:hAnsi="Times New Roman" w:cs="Times New Roman"/>
                <w:sz w:val="20"/>
                <w:szCs w:val="20"/>
              </w:rPr>
              <w:t>DAP</w:t>
            </w:r>
            <w:proofErr w:type="gramEnd"/>
          </w:p>
        </w:tc>
        <w:tc>
          <w:tcPr>
            <w:tcW w:w="1620" w:type="dxa"/>
            <w:hideMark/>
          </w:tcPr>
          <w:p w14:paraId="55EDF036"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w:t>
            </w:r>
          </w:p>
          <w:p w14:paraId="24252175"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(45.00)</w:t>
            </w:r>
          </w:p>
        </w:tc>
        <w:tc>
          <w:tcPr>
            <w:tcW w:w="1890" w:type="dxa"/>
            <w:hideMark/>
          </w:tcPr>
          <w:p w14:paraId="3F81572D"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p>
          <w:p w14:paraId="5FFA32BC"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(31.67)</w:t>
            </w:r>
          </w:p>
        </w:tc>
        <w:tc>
          <w:tcPr>
            <w:tcW w:w="1530" w:type="dxa"/>
            <w:hideMark/>
          </w:tcPr>
          <w:p w14:paraId="1C794AE3"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p w14:paraId="743AB237"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(23.33)</w:t>
            </w:r>
          </w:p>
        </w:tc>
      </w:tr>
      <w:tr w:rsidR="005C7BA1" w14:paraId="1E1073C9" w14:textId="77777777">
        <w:tc>
          <w:tcPr>
            <w:tcW w:w="805" w:type="dxa"/>
            <w:hideMark/>
          </w:tcPr>
          <w:p w14:paraId="7C6B5CD1"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3150" w:type="dxa"/>
            <w:hideMark/>
          </w:tcPr>
          <w:p w14:paraId="3DD4C6BF"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Appropriate time of harvesting</w:t>
            </w:r>
          </w:p>
        </w:tc>
        <w:tc>
          <w:tcPr>
            <w:tcW w:w="1620" w:type="dxa"/>
            <w:hideMark/>
          </w:tcPr>
          <w:p w14:paraId="26D95AF0"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111</w:t>
            </w:r>
          </w:p>
          <w:p w14:paraId="7B8282F3"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(92.50)</w:t>
            </w:r>
          </w:p>
        </w:tc>
        <w:tc>
          <w:tcPr>
            <w:tcW w:w="1890" w:type="dxa"/>
            <w:hideMark/>
          </w:tcPr>
          <w:p w14:paraId="58E69558"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p w14:paraId="20FC2E8E"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(7.50)</w:t>
            </w:r>
          </w:p>
        </w:tc>
        <w:tc>
          <w:tcPr>
            <w:tcW w:w="1530" w:type="dxa"/>
            <w:hideMark/>
          </w:tcPr>
          <w:p w14:paraId="0592D269"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p w14:paraId="6C9EAAEF"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r>
      <w:tr w:rsidR="005C7BA1" w14:paraId="16EA80C1" w14:textId="77777777">
        <w:tc>
          <w:tcPr>
            <w:tcW w:w="805" w:type="dxa"/>
            <w:hideMark/>
          </w:tcPr>
          <w:p w14:paraId="78369B4A"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21.a(i)</w:t>
            </w:r>
          </w:p>
        </w:tc>
        <w:tc>
          <w:tcPr>
            <w:tcW w:w="3150" w:type="dxa"/>
            <w:hideMark/>
          </w:tcPr>
          <w:p w14:paraId="61F06BB4"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Quinalphos 0.075% for rhizome scale</w:t>
            </w:r>
          </w:p>
        </w:tc>
        <w:tc>
          <w:tcPr>
            <w:tcW w:w="1620" w:type="dxa"/>
            <w:hideMark/>
          </w:tcPr>
          <w:p w14:paraId="5F60C21D"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w:t>
            </w:r>
          </w:p>
          <w:p w14:paraId="1E03B7B1"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(51.67)</w:t>
            </w:r>
          </w:p>
        </w:tc>
        <w:tc>
          <w:tcPr>
            <w:tcW w:w="1890" w:type="dxa"/>
            <w:hideMark/>
          </w:tcPr>
          <w:p w14:paraId="0FAABD06"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p w14:paraId="242239BE"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(40.00)</w:t>
            </w:r>
          </w:p>
        </w:tc>
        <w:tc>
          <w:tcPr>
            <w:tcW w:w="1530" w:type="dxa"/>
            <w:hideMark/>
          </w:tcPr>
          <w:p w14:paraId="500DE818"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p w14:paraId="408DB1CB"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(8.33)</w:t>
            </w:r>
          </w:p>
        </w:tc>
      </w:tr>
      <w:tr w:rsidR="005C7BA1" w14:paraId="724ADEC4" w14:textId="77777777">
        <w:tc>
          <w:tcPr>
            <w:tcW w:w="805" w:type="dxa"/>
            <w:hideMark/>
          </w:tcPr>
          <w:p w14:paraId="3D5A34F2"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21.a(ii)</w:t>
            </w:r>
          </w:p>
        </w:tc>
        <w:tc>
          <w:tcPr>
            <w:tcW w:w="3150" w:type="dxa"/>
            <w:hideMark/>
          </w:tcPr>
          <w:p w14:paraId="48ADF0AB"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Malathion 0.1% for shoot borer</w:t>
            </w:r>
          </w:p>
        </w:tc>
        <w:tc>
          <w:tcPr>
            <w:tcW w:w="1620" w:type="dxa"/>
            <w:hideMark/>
          </w:tcPr>
          <w:p w14:paraId="53F6B845"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w:t>
            </w:r>
          </w:p>
          <w:p w14:paraId="3B081B57"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(75.83)</w:t>
            </w:r>
          </w:p>
        </w:tc>
        <w:tc>
          <w:tcPr>
            <w:tcW w:w="1890" w:type="dxa"/>
            <w:hideMark/>
          </w:tcPr>
          <w:p w14:paraId="410D9E24"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p w14:paraId="42789422"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(16.67)</w:t>
            </w:r>
          </w:p>
        </w:tc>
        <w:tc>
          <w:tcPr>
            <w:tcW w:w="1530" w:type="dxa"/>
            <w:hideMark/>
          </w:tcPr>
          <w:p w14:paraId="26D7BA04"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p w14:paraId="3D07E0E1"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(7.50)</w:t>
            </w:r>
          </w:p>
        </w:tc>
      </w:tr>
      <w:tr w:rsidR="005C7BA1" w14:paraId="29B1330F" w14:textId="77777777">
        <w:tc>
          <w:tcPr>
            <w:tcW w:w="805" w:type="dxa"/>
            <w:hideMark/>
          </w:tcPr>
          <w:p w14:paraId="3D510CE6"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21.b(i)</w:t>
            </w:r>
          </w:p>
        </w:tc>
        <w:tc>
          <w:tcPr>
            <w:tcW w:w="3150" w:type="dxa"/>
            <w:hideMark/>
          </w:tcPr>
          <w:p w14:paraId="6968AB98"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Mancozeb 0.125% for soft rot</w:t>
            </w:r>
          </w:p>
        </w:tc>
        <w:tc>
          <w:tcPr>
            <w:tcW w:w="1620" w:type="dxa"/>
            <w:hideMark/>
          </w:tcPr>
          <w:p w14:paraId="6F8BD077"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105</w:t>
            </w:r>
          </w:p>
          <w:p w14:paraId="61C954CC"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(87.50)</w:t>
            </w:r>
          </w:p>
        </w:tc>
        <w:tc>
          <w:tcPr>
            <w:tcW w:w="1890" w:type="dxa"/>
            <w:hideMark/>
          </w:tcPr>
          <w:p w14:paraId="03C701C9"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p w14:paraId="049C302C"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(6.67)</w:t>
            </w:r>
          </w:p>
        </w:tc>
        <w:tc>
          <w:tcPr>
            <w:tcW w:w="1530" w:type="dxa"/>
            <w:hideMark/>
          </w:tcPr>
          <w:p w14:paraId="76F0CBA4"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p w14:paraId="0EC1539C"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(5.83)</w:t>
            </w:r>
          </w:p>
        </w:tc>
      </w:tr>
      <w:tr w:rsidR="005C7BA1" w14:paraId="6F74ECC6" w14:textId="77777777">
        <w:tc>
          <w:tcPr>
            <w:tcW w:w="805" w:type="dxa"/>
            <w:hideMark/>
          </w:tcPr>
          <w:p w14:paraId="0E008072"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21.b(ii)</w:t>
            </w:r>
          </w:p>
        </w:tc>
        <w:tc>
          <w:tcPr>
            <w:tcW w:w="3150" w:type="dxa"/>
            <w:hideMark/>
          </w:tcPr>
          <w:p w14:paraId="444C5F85"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Carbendazim 0.2% for leaf spot</w:t>
            </w:r>
          </w:p>
        </w:tc>
        <w:tc>
          <w:tcPr>
            <w:tcW w:w="1620" w:type="dxa"/>
            <w:hideMark/>
          </w:tcPr>
          <w:p w14:paraId="40F93D72"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106</w:t>
            </w:r>
          </w:p>
          <w:p w14:paraId="34B706DF"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(88.33)</w:t>
            </w:r>
          </w:p>
        </w:tc>
        <w:tc>
          <w:tcPr>
            <w:tcW w:w="1890" w:type="dxa"/>
            <w:hideMark/>
          </w:tcPr>
          <w:p w14:paraId="6C8F6549"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p w14:paraId="542D9E46"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(7.50)</w:t>
            </w:r>
          </w:p>
        </w:tc>
        <w:tc>
          <w:tcPr>
            <w:tcW w:w="1530" w:type="dxa"/>
            <w:hideMark/>
          </w:tcPr>
          <w:p w14:paraId="751DCDE6"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p w14:paraId="1370F508"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(4.17)</w:t>
            </w:r>
          </w:p>
        </w:tc>
      </w:tr>
      <w:tr w:rsidR="005C7BA1" w14:paraId="77511BC1" w14:textId="77777777">
        <w:tc>
          <w:tcPr>
            <w:tcW w:w="805" w:type="dxa"/>
            <w:hideMark/>
          </w:tcPr>
          <w:p w14:paraId="73AC62F6"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21.b(iii)</w:t>
            </w:r>
          </w:p>
        </w:tc>
        <w:tc>
          <w:tcPr>
            <w:tcW w:w="3150" w:type="dxa"/>
            <w:hideMark/>
          </w:tcPr>
          <w:p w14:paraId="375D5B19"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Streptomycin 200 ppm for bacterial wilt</w:t>
            </w:r>
          </w:p>
        </w:tc>
        <w:tc>
          <w:tcPr>
            <w:tcW w:w="1620" w:type="dxa"/>
            <w:hideMark/>
          </w:tcPr>
          <w:p w14:paraId="137C9EEF"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w:t>
            </w:r>
          </w:p>
          <w:p w14:paraId="2EE9E9ED"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(51.67)</w:t>
            </w:r>
          </w:p>
        </w:tc>
        <w:tc>
          <w:tcPr>
            <w:tcW w:w="1890" w:type="dxa"/>
            <w:hideMark/>
          </w:tcPr>
          <w:p w14:paraId="5EBFFE4A"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p w14:paraId="068B4AE2"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(30.00)</w:t>
            </w:r>
          </w:p>
        </w:tc>
        <w:tc>
          <w:tcPr>
            <w:tcW w:w="1530" w:type="dxa"/>
            <w:hideMark/>
          </w:tcPr>
          <w:p w14:paraId="28C46618"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p w14:paraId="118D5DB8"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(18.33)</w:t>
            </w:r>
          </w:p>
        </w:tc>
      </w:tr>
      <w:tr w:rsidR="005C7BA1" w14:paraId="356CD6CA" w14:textId="77777777">
        <w:tc>
          <w:tcPr>
            <w:tcW w:w="805" w:type="dxa"/>
            <w:hideMark/>
          </w:tcPr>
          <w:p w14:paraId="7DA2B8FD"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3150" w:type="dxa"/>
            <w:hideMark/>
          </w:tcPr>
          <w:p w14:paraId="669FC81B"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Potential yield of ginger crop (15–20 MT)</w:t>
            </w:r>
          </w:p>
        </w:tc>
        <w:tc>
          <w:tcPr>
            <w:tcW w:w="1620" w:type="dxa"/>
            <w:hideMark/>
          </w:tcPr>
          <w:p w14:paraId="1ACC99F0"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p w14:paraId="363A55C5"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(30.00)</w:t>
            </w:r>
          </w:p>
        </w:tc>
        <w:tc>
          <w:tcPr>
            <w:tcW w:w="1890" w:type="dxa"/>
            <w:hideMark/>
          </w:tcPr>
          <w:p w14:paraId="76F92847"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p w14:paraId="4F8B1118"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(15.00)</w:t>
            </w:r>
          </w:p>
        </w:tc>
        <w:tc>
          <w:tcPr>
            <w:tcW w:w="1530" w:type="dxa"/>
            <w:hideMark/>
          </w:tcPr>
          <w:p w14:paraId="251BB5BD"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w:t>
            </w:r>
          </w:p>
          <w:p w14:paraId="3317DC57"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(55.00)</w:t>
            </w:r>
          </w:p>
        </w:tc>
      </w:tr>
      <w:tr w:rsidR="005C7BA1" w14:paraId="01966D74" w14:textId="77777777">
        <w:tc>
          <w:tcPr>
            <w:tcW w:w="805" w:type="dxa"/>
            <w:hideMark/>
          </w:tcPr>
          <w:p w14:paraId="2B78CD6A"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23.a</w:t>
            </w:r>
          </w:p>
        </w:tc>
        <w:tc>
          <w:tcPr>
            <w:tcW w:w="3150" w:type="dxa"/>
            <w:hideMark/>
          </w:tcPr>
          <w:p w14:paraId="546D20AA"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Curing of ginger after </w:t>
            </w:r>
            <w:r>
              <w:rPr>
                <w:rFonts w:ascii="Times New Roman" w:eastAsia="Times New Roman" w:hAnsi="Times New Roman" w:cs="Times New Roman"/>
                <w:sz w:val="20"/>
                <w:szCs w:val="20"/>
              </w:rPr>
              <w:t>harvesting</w:t>
            </w:r>
          </w:p>
        </w:tc>
        <w:tc>
          <w:tcPr>
            <w:tcW w:w="1620" w:type="dxa"/>
            <w:hideMark/>
          </w:tcPr>
          <w:p w14:paraId="798B0CB2"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p w14:paraId="6672FAED"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(66.67)</w:t>
            </w:r>
          </w:p>
        </w:tc>
        <w:tc>
          <w:tcPr>
            <w:tcW w:w="1890" w:type="dxa"/>
            <w:hideMark/>
          </w:tcPr>
          <w:p w14:paraId="64115673"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40</w:t>
            </w:r>
          </w:p>
          <w:p w14:paraId="082E5964"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(33.33)</w:t>
            </w:r>
          </w:p>
        </w:tc>
        <w:tc>
          <w:tcPr>
            <w:tcW w:w="1530" w:type="dxa"/>
            <w:hideMark/>
          </w:tcPr>
          <w:p w14:paraId="7527FC1C"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0</w:t>
            </w:r>
          </w:p>
          <w:p w14:paraId="19FFB383"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(0.00)</w:t>
            </w:r>
          </w:p>
        </w:tc>
      </w:tr>
      <w:tr w:rsidR="005C7BA1" w14:paraId="1216E00B" w14:textId="77777777">
        <w:tc>
          <w:tcPr>
            <w:tcW w:w="805" w:type="dxa"/>
            <w:hideMark/>
          </w:tcPr>
          <w:p w14:paraId="02F1ABD9"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23.b</w:t>
            </w:r>
          </w:p>
        </w:tc>
        <w:tc>
          <w:tcPr>
            <w:tcW w:w="3150" w:type="dxa"/>
            <w:hideMark/>
          </w:tcPr>
          <w:p w14:paraId="0C5A59DC"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Storage of ginger</w:t>
            </w:r>
          </w:p>
        </w:tc>
        <w:tc>
          <w:tcPr>
            <w:tcW w:w="1620" w:type="dxa"/>
            <w:hideMark/>
          </w:tcPr>
          <w:p w14:paraId="01360A7A"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p w14:paraId="113CA257"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(17.50)</w:t>
            </w:r>
          </w:p>
        </w:tc>
        <w:tc>
          <w:tcPr>
            <w:tcW w:w="1890" w:type="dxa"/>
            <w:hideMark/>
          </w:tcPr>
          <w:p w14:paraId="5E2CB0F1"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p w14:paraId="738CED28"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(33.33)</w:t>
            </w:r>
          </w:p>
        </w:tc>
        <w:tc>
          <w:tcPr>
            <w:tcW w:w="1530" w:type="dxa"/>
            <w:hideMark/>
          </w:tcPr>
          <w:p w14:paraId="00730F0C"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w:t>
            </w:r>
          </w:p>
          <w:p w14:paraId="5914E80B"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(49.17)</w:t>
            </w:r>
          </w:p>
        </w:tc>
      </w:tr>
      <w:tr w:rsidR="005C7BA1" w14:paraId="03F54BF3" w14:textId="77777777">
        <w:tc>
          <w:tcPr>
            <w:tcW w:w="805" w:type="dxa"/>
            <w:hideMark/>
          </w:tcPr>
          <w:p w14:paraId="129DB01C"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23.c</w:t>
            </w:r>
          </w:p>
        </w:tc>
        <w:tc>
          <w:tcPr>
            <w:tcW w:w="3150" w:type="dxa"/>
            <w:hideMark/>
          </w:tcPr>
          <w:p w14:paraId="4679D8CB"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Grading and certification</w:t>
            </w:r>
          </w:p>
        </w:tc>
        <w:tc>
          <w:tcPr>
            <w:tcW w:w="1620" w:type="dxa"/>
            <w:hideMark/>
          </w:tcPr>
          <w:p w14:paraId="4B7ECD8B"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p w14:paraId="5AA0399E"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(8.33)</w:t>
            </w:r>
          </w:p>
        </w:tc>
        <w:tc>
          <w:tcPr>
            <w:tcW w:w="1890" w:type="dxa"/>
            <w:hideMark/>
          </w:tcPr>
          <w:p w14:paraId="4FCF405C"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p w14:paraId="5CE4DAB8"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(33.33)</w:t>
            </w:r>
          </w:p>
        </w:tc>
        <w:tc>
          <w:tcPr>
            <w:tcW w:w="1530" w:type="dxa"/>
            <w:hideMark/>
          </w:tcPr>
          <w:p w14:paraId="52A7A1C1" w14:textId="77777777" w:rsidR="005C7BA1" w:rsidRDefault="008C40B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r>
              <w:rPr>
                <w:rFonts w:ascii="Times New Roman" w:eastAsia="Times New Roman" w:hAnsi="Times New Roman" w:cs="Times New Roman"/>
                <w:sz w:val="20"/>
                <w:szCs w:val="20"/>
              </w:rPr>
              <w:br/>
              <w:t>(58.33)</w:t>
            </w:r>
          </w:p>
        </w:tc>
      </w:tr>
    </w:tbl>
    <w:p w14:paraId="746F4CCA" w14:textId="77777777" w:rsidR="005C7BA1" w:rsidRDefault="008C40BA">
      <w:pPr>
        <w:tabs>
          <w:tab w:val="left" w:pos="1220"/>
        </w:tabs>
        <w:spacing w:before="240" w:line="360" w:lineRule="auto"/>
        <w:jc w:val="both"/>
        <w:rPr>
          <w:rFonts w:ascii="Times New Roman" w:eastAsia="Times New Roman" w:hAnsi="Times New Roman" w:cs="Times New Roman"/>
          <w:b/>
          <w:sz w:val="24"/>
          <w:szCs w:val="24"/>
        </w:rPr>
      </w:pPr>
      <w:commentRangeStart w:id="6"/>
      <w:r>
        <w:rPr>
          <w:rFonts w:ascii="Times New Roman" w:eastAsia="Times New Roman" w:hAnsi="Times New Roman" w:cs="Times New Roman"/>
          <w:b/>
          <w:sz w:val="24"/>
          <w:szCs w:val="24"/>
        </w:rPr>
        <w:t>Source:</w:t>
      </w:r>
      <w:commentRangeEnd w:id="6"/>
      <w:r>
        <w:rPr>
          <w:rStyle w:val="CommentReference"/>
          <w:rFonts w:cs="Mangal"/>
        </w:rPr>
        <w:commentReference w:id="6"/>
      </w:r>
    </w:p>
    <w:p w14:paraId="3127C2C6" w14:textId="77777777" w:rsidR="005C7BA1" w:rsidRDefault="008C40BA">
      <w:pPr>
        <w:tabs>
          <w:tab w:val="left" w:pos="1220"/>
        </w:tabs>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Conclusion: </w:t>
      </w:r>
      <w:r>
        <w:rPr>
          <w:rFonts w:ascii="Times New Roman" w:eastAsia="Times New Roman" w:hAnsi="Times New Roman" w:cs="Times New Roman"/>
          <w:sz w:val="24"/>
          <w:szCs w:val="24"/>
        </w:rPr>
        <w:t>In conclusion, the study revealed that ginger growers in Indore district are predominantly middle-aged (53.33%) and possess moderate levels of education, landholding, income, and farming experience, reflecting a balanced socio-economic profile conducive to</w:t>
      </w:r>
      <w:r>
        <w:rPr>
          <w:rFonts w:ascii="Times New Roman" w:eastAsia="Times New Roman" w:hAnsi="Times New Roman" w:cs="Times New Roman"/>
          <w:sz w:val="24"/>
          <w:szCs w:val="24"/>
        </w:rPr>
        <w:t xml:space="preserve"> adopting improved practices. Psychological and social factors such as risk orientation, cosmopoliteness, social participation, mass media exposure, and extension contact were generally at medium levels, indicating moderate engagement with innovation and a</w:t>
      </w:r>
      <w:r>
        <w:rPr>
          <w:rFonts w:ascii="Times New Roman" w:eastAsia="Times New Roman" w:hAnsi="Times New Roman" w:cs="Times New Roman"/>
          <w:sz w:val="24"/>
          <w:szCs w:val="24"/>
        </w:rPr>
        <w:t>dvisory services. Regarding knowledge of ginger production technology, most farmers (58.33%) exhibited medium-level understanding, with strong awareness of foundational practices like recommended varieties, land preparation, FYM application, spacing, and h</w:t>
      </w:r>
      <w:r>
        <w:rPr>
          <w:rFonts w:ascii="Times New Roman" w:eastAsia="Times New Roman" w:hAnsi="Times New Roman" w:cs="Times New Roman"/>
          <w:sz w:val="24"/>
          <w:szCs w:val="24"/>
        </w:rPr>
        <w:t>arvesting. However, significant gaps were observed in seed treatment, nitrogen management, pest and disease control, and post-harvest practices, particularly in storage, grading, and certification. These findings underscore the importance of targeted exten</w:t>
      </w:r>
      <w:r>
        <w:rPr>
          <w:rFonts w:ascii="Times New Roman" w:eastAsia="Times New Roman" w:hAnsi="Times New Roman" w:cs="Times New Roman"/>
          <w:sz w:val="24"/>
          <w:szCs w:val="24"/>
        </w:rPr>
        <w:t xml:space="preserve">sion interventions and training programs to enhance farmers’ knowledge, fill critical gaps, and improve the overall adoption of scientific ginger production techniques, ultimately contributing to higher productivity and </w:t>
      </w:r>
      <w:commentRangeStart w:id="7"/>
      <w:r>
        <w:rPr>
          <w:rFonts w:ascii="Times New Roman" w:eastAsia="Times New Roman" w:hAnsi="Times New Roman" w:cs="Times New Roman"/>
          <w:sz w:val="24"/>
          <w:szCs w:val="24"/>
        </w:rPr>
        <w:t>profitability</w:t>
      </w:r>
      <w:commentRangeEnd w:id="7"/>
      <w:r>
        <w:rPr>
          <w:rStyle w:val="CommentReference"/>
          <w:rFonts w:cs="Mangal"/>
        </w:rPr>
        <w:commentReference w:id="7"/>
      </w:r>
      <w:r>
        <w:rPr>
          <w:rFonts w:ascii="Times New Roman" w:eastAsia="Times New Roman" w:hAnsi="Times New Roman" w:cs="Times New Roman"/>
          <w:sz w:val="24"/>
          <w:szCs w:val="24"/>
        </w:rPr>
        <w:t>.</w:t>
      </w:r>
    </w:p>
    <w:p w14:paraId="78A6C76D" w14:textId="77777777" w:rsidR="005C7BA1" w:rsidRDefault="005C7BA1">
      <w:pPr>
        <w:widowControl w:val="0"/>
        <w:pBdr>
          <w:top w:val="nil"/>
          <w:left w:val="nil"/>
          <w:bottom w:val="nil"/>
          <w:right w:val="nil"/>
          <w:between w:val="nil"/>
        </w:pBdr>
        <w:spacing w:after="120" w:line="240" w:lineRule="auto"/>
        <w:ind w:left="432"/>
        <w:jc w:val="both"/>
        <w:rPr>
          <w:rFonts w:ascii="Times New Roman" w:eastAsia="Times New Roman" w:hAnsi="Times New Roman" w:cs="Times New Roman"/>
          <w:b/>
          <w:color w:val="000000"/>
          <w:sz w:val="28"/>
          <w:szCs w:val="28"/>
        </w:rPr>
      </w:pPr>
    </w:p>
    <w:p w14:paraId="313D9EB4" w14:textId="77777777" w:rsidR="005C7BA1" w:rsidRDefault="008C40BA">
      <w:pPr>
        <w:widowControl w:val="0"/>
        <w:pBdr>
          <w:top w:val="nil"/>
          <w:left w:val="nil"/>
          <w:bottom w:val="nil"/>
          <w:right w:val="nil"/>
          <w:between w:val="nil"/>
        </w:pBdr>
        <w:spacing w:after="120" w:line="240" w:lineRule="auto"/>
        <w:ind w:left="432"/>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References </w:t>
      </w:r>
    </w:p>
    <w:p w14:paraId="23FE2DD8" w14:textId="77777777" w:rsidR="005C7BA1" w:rsidRDefault="008C40BA">
      <w:pPr>
        <w:spacing w:before="120" w:after="120"/>
        <w:ind w:left="1152" w:right="144" w:hanging="720"/>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 xml:space="preserve">Ministry of Agriculture and Farmers Welfare. (2024). </w:t>
      </w:r>
      <w:r>
        <w:rPr>
          <w:rFonts w:ascii="Times New Roman" w:eastAsia="Times New Roman" w:hAnsi="Times New Roman" w:cs="Times New Roman"/>
          <w:i/>
          <w:iCs/>
          <w:sz w:val="24"/>
          <w:szCs w:val="24"/>
          <w:lang w:val="en-IN"/>
        </w:rPr>
        <w:t>Agricultural statistics at a glance 2024</w:t>
      </w:r>
      <w:r>
        <w:rPr>
          <w:rFonts w:ascii="Times New Roman" w:eastAsia="Times New Roman" w:hAnsi="Times New Roman" w:cs="Times New Roman"/>
          <w:sz w:val="24"/>
          <w:szCs w:val="24"/>
          <w:lang w:val="en-IN"/>
        </w:rPr>
        <w:t>. Government of India. https://agricoop.nic.in</w:t>
      </w:r>
    </w:p>
    <w:p w14:paraId="693171C3" w14:textId="77777777" w:rsidR="005C7BA1" w:rsidRDefault="008C40BA">
      <w:pPr>
        <w:spacing w:before="120" w:after="120"/>
        <w:ind w:left="1152" w:right="144" w:hanging="720"/>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 xml:space="preserve">Singh, A., Verma, P., &amp; Sharma, R. (2020). Nutritional and medicinal properties of ginger (Zingiber officinale) and </w:t>
      </w:r>
      <w:r>
        <w:rPr>
          <w:rFonts w:ascii="Times New Roman" w:eastAsia="Times New Roman" w:hAnsi="Times New Roman" w:cs="Times New Roman"/>
          <w:sz w:val="24"/>
          <w:szCs w:val="24"/>
          <w:lang w:val="en-IN"/>
        </w:rPr>
        <w:t xml:space="preserve">its role in health promotion. </w:t>
      </w:r>
      <w:r>
        <w:rPr>
          <w:rFonts w:ascii="Times New Roman" w:eastAsia="Times New Roman" w:hAnsi="Times New Roman" w:cs="Times New Roman"/>
          <w:i/>
          <w:iCs/>
          <w:sz w:val="24"/>
          <w:szCs w:val="24"/>
          <w:lang w:val="en-IN"/>
        </w:rPr>
        <w:t>Journal of Spices and Aromatic Crops</w:t>
      </w:r>
      <w:r>
        <w:rPr>
          <w:rFonts w:ascii="Times New Roman" w:eastAsia="Times New Roman" w:hAnsi="Times New Roman" w:cs="Times New Roman"/>
          <w:sz w:val="24"/>
          <w:szCs w:val="24"/>
          <w:lang w:val="en-IN"/>
        </w:rPr>
        <w:t>, 29(2), 101–110.</w:t>
      </w:r>
    </w:p>
    <w:p w14:paraId="28E62BD2" w14:textId="77777777" w:rsidR="005C7BA1" w:rsidRDefault="008C40BA">
      <w:pPr>
        <w:spacing w:before="120" w:after="120"/>
        <w:ind w:left="1152" w:right="144" w:hanging="720"/>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 xml:space="preserve">Spices Board of India. (2022–23). </w:t>
      </w:r>
      <w:r>
        <w:rPr>
          <w:rFonts w:ascii="Times New Roman" w:eastAsia="Times New Roman" w:hAnsi="Times New Roman" w:cs="Times New Roman"/>
          <w:i/>
          <w:iCs/>
          <w:sz w:val="24"/>
          <w:szCs w:val="24"/>
          <w:lang w:val="en-IN"/>
        </w:rPr>
        <w:t>Annual report 2022–23</w:t>
      </w:r>
      <w:r>
        <w:rPr>
          <w:rFonts w:ascii="Times New Roman" w:eastAsia="Times New Roman" w:hAnsi="Times New Roman" w:cs="Times New Roman"/>
          <w:sz w:val="24"/>
          <w:szCs w:val="24"/>
          <w:lang w:val="en-IN"/>
        </w:rPr>
        <w:t>. Ministry of Commerce &amp; Industry, Government of India. https://www.indianspices.com</w:t>
      </w:r>
    </w:p>
    <w:p w14:paraId="212BD2EF" w14:textId="77777777" w:rsidR="005C7BA1" w:rsidRDefault="008C40BA">
      <w:pPr>
        <w:spacing w:before="120" w:after="120"/>
        <w:ind w:left="1152" w:right="144" w:hanging="720"/>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United States Department of Agri</w:t>
      </w:r>
      <w:r>
        <w:rPr>
          <w:rFonts w:ascii="Times New Roman" w:eastAsia="Times New Roman" w:hAnsi="Times New Roman" w:cs="Times New Roman"/>
          <w:sz w:val="24"/>
          <w:szCs w:val="24"/>
          <w:lang w:val="en-IN"/>
        </w:rPr>
        <w:t xml:space="preserve">culture (USDA). (2023). </w:t>
      </w:r>
      <w:r>
        <w:rPr>
          <w:rFonts w:ascii="Times New Roman" w:eastAsia="Times New Roman" w:hAnsi="Times New Roman" w:cs="Times New Roman"/>
          <w:i/>
          <w:iCs/>
          <w:sz w:val="24"/>
          <w:szCs w:val="24"/>
          <w:lang w:val="en-IN"/>
        </w:rPr>
        <w:t>Ginger: Nutritional and bioactive composition</w:t>
      </w:r>
      <w:r>
        <w:rPr>
          <w:rFonts w:ascii="Times New Roman" w:eastAsia="Times New Roman" w:hAnsi="Times New Roman" w:cs="Times New Roman"/>
          <w:sz w:val="24"/>
          <w:szCs w:val="24"/>
          <w:lang w:val="en-IN"/>
        </w:rPr>
        <w:t xml:space="preserve">. USDA National Nutrient Database. </w:t>
      </w:r>
      <w:hyperlink r:id="rId13" w:history="1">
        <w:r>
          <w:rPr>
            <w:rStyle w:val="Hyperlink"/>
            <w:rFonts w:ascii="Times New Roman" w:eastAsia="Times New Roman" w:hAnsi="Times New Roman" w:cs="Times New Roman"/>
            <w:sz w:val="24"/>
            <w:szCs w:val="24"/>
            <w:lang w:val="en-IN"/>
          </w:rPr>
          <w:t>https://www.nal.usda.gov</w:t>
        </w:r>
      </w:hyperlink>
      <w:r>
        <w:rPr>
          <w:rFonts w:ascii="Times New Roman" w:eastAsia="Times New Roman" w:hAnsi="Times New Roman" w:cs="Times New Roman"/>
          <w:sz w:val="24"/>
          <w:szCs w:val="24"/>
          <w:lang w:val="en-IN"/>
        </w:rPr>
        <w:t>.</w:t>
      </w:r>
    </w:p>
    <w:p w14:paraId="2947E4C8" w14:textId="77777777" w:rsidR="005C7BA1" w:rsidRDefault="008C40BA">
      <w:pPr>
        <w:pStyle w:val="NormalWeb"/>
        <w:spacing w:before="120" w:beforeAutospacing="0" w:after="120" w:afterAutospacing="0" w:line="276" w:lineRule="auto"/>
        <w:ind w:left="1152" w:right="144" w:hanging="720"/>
        <w:jc w:val="both"/>
      </w:pPr>
      <w:r>
        <w:t xml:space="preserve">Anastasi, A. (1961). </w:t>
      </w:r>
      <w:r>
        <w:rPr>
          <w:rStyle w:val="Emphasis"/>
        </w:rPr>
        <w:t>Psychological testing</w:t>
      </w:r>
      <w:r>
        <w:t>. Macmillan.</w:t>
      </w:r>
    </w:p>
    <w:p w14:paraId="46208AD9" w14:textId="77777777" w:rsidR="005C7BA1" w:rsidRDefault="008C40BA">
      <w:pPr>
        <w:pStyle w:val="NormalWeb"/>
        <w:spacing w:before="120" w:beforeAutospacing="0" w:after="120" w:afterAutospacing="0" w:line="276" w:lineRule="auto"/>
        <w:ind w:left="1152" w:right="144" w:hanging="720"/>
        <w:jc w:val="both"/>
      </w:pPr>
      <w:r>
        <w:lastRenderedPageBreak/>
        <w:t xml:space="preserve">Bairwa, S. L., Meena, H. R., &amp; Yadav, R. K. (2016). Social participation and adoption of agricultural innovations among farmers. </w:t>
      </w:r>
      <w:r>
        <w:rPr>
          <w:rStyle w:val="Emphasis"/>
        </w:rPr>
        <w:t>Indian Journal of Extension Education, 52</w:t>
      </w:r>
      <w:r>
        <w:t>(2), 45–50.</w:t>
      </w:r>
    </w:p>
    <w:p w14:paraId="697B7787" w14:textId="77777777" w:rsidR="005C7BA1" w:rsidRDefault="008C40BA">
      <w:pPr>
        <w:pStyle w:val="NormalWeb"/>
        <w:spacing w:before="120" w:beforeAutospacing="0" w:after="120" w:afterAutospacing="0" w:line="276" w:lineRule="auto"/>
        <w:ind w:left="1152" w:right="144" w:hanging="720"/>
        <w:jc w:val="both"/>
      </w:pPr>
      <w:r>
        <w:t>Choudhary, R., Singh, P., &amp; Kumar, V. (2015). Socio-economic profile and f</w:t>
      </w:r>
      <w:r>
        <w:t xml:space="preserve">arming practices of ginger growers. </w:t>
      </w:r>
      <w:r>
        <w:rPr>
          <w:rStyle w:val="Emphasis"/>
        </w:rPr>
        <w:t>Journal of Agriculture and Rural Development, 7</w:t>
      </w:r>
      <w:r>
        <w:t>(1), 12–18.</w:t>
      </w:r>
    </w:p>
    <w:p w14:paraId="40A567EF" w14:textId="77777777" w:rsidR="005C7BA1" w:rsidRDefault="008C40BA">
      <w:pPr>
        <w:pStyle w:val="NormalWeb"/>
        <w:spacing w:before="120" w:beforeAutospacing="0" w:after="120" w:afterAutospacing="0" w:line="276" w:lineRule="auto"/>
        <w:ind w:left="1152" w:right="144" w:hanging="720"/>
        <w:jc w:val="both"/>
      </w:pPr>
      <w:r>
        <w:t xml:space="preserve">Gurjar, R. S., Singh, D., &amp; Patel, M. (2015). Age and experience profile of vegetable growers in Madhya Pradesh. </w:t>
      </w:r>
      <w:r>
        <w:rPr>
          <w:rStyle w:val="Emphasis"/>
        </w:rPr>
        <w:t>Journal of Extension Systems, 31</w:t>
      </w:r>
      <w:r>
        <w:t>(2), 55–62.</w:t>
      </w:r>
    </w:p>
    <w:p w14:paraId="24911943" w14:textId="77777777" w:rsidR="005C7BA1" w:rsidRDefault="008C40BA">
      <w:pPr>
        <w:pStyle w:val="NormalWeb"/>
        <w:spacing w:before="120" w:beforeAutospacing="0" w:after="120" w:afterAutospacing="0" w:line="276" w:lineRule="auto"/>
        <w:ind w:left="1152" w:right="144" w:hanging="720"/>
        <w:jc w:val="both"/>
      </w:pPr>
      <w:r>
        <w:t>Jata</w:t>
      </w:r>
      <w:r>
        <w:t xml:space="preserve">v, R. K., Sharma, K., &amp; Yadav, S. (2016). Landholding patterns and adoption of improved cultivation practices. </w:t>
      </w:r>
      <w:r>
        <w:rPr>
          <w:rStyle w:val="Emphasis"/>
        </w:rPr>
        <w:t>Indian Research Journal of Extension Education, 16</w:t>
      </w:r>
      <w:r>
        <w:t>(4), 25–31.</w:t>
      </w:r>
    </w:p>
    <w:p w14:paraId="6D82E638" w14:textId="77777777" w:rsidR="005C7BA1" w:rsidRDefault="008C40BA">
      <w:pPr>
        <w:pStyle w:val="NormalWeb"/>
        <w:spacing w:before="120" w:beforeAutospacing="0" w:after="120" w:afterAutospacing="0" w:line="276" w:lineRule="auto"/>
        <w:ind w:left="1152" w:right="144" w:hanging="720"/>
        <w:jc w:val="both"/>
      </w:pPr>
      <w:r>
        <w:t>Jha, S., Mali, R., &amp; Singh, A. (2016). Mass media exposure and knowledge level of f</w:t>
      </w:r>
      <w:r>
        <w:t xml:space="preserve">armers. </w:t>
      </w:r>
      <w:r>
        <w:rPr>
          <w:rStyle w:val="Emphasis"/>
        </w:rPr>
        <w:t>Journal of Rural Development, 35</w:t>
      </w:r>
      <w:r>
        <w:t>(3), 243–252.</w:t>
      </w:r>
    </w:p>
    <w:p w14:paraId="51C6EC1A" w14:textId="77777777" w:rsidR="005C7BA1" w:rsidRDefault="008C40BA">
      <w:pPr>
        <w:pStyle w:val="NormalWeb"/>
        <w:spacing w:before="120" w:beforeAutospacing="0" w:after="120" w:afterAutospacing="0" w:line="276" w:lineRule="auto"/>
        <w:ind w:left="1152" w:right="144" w:hanging="720"/>
        <w:jc w:val="both"/>
      </w:pPr>
      <w:r>
        <w:t xml:space="preserve">Kumar, R., Verma, P., &amp; Meena, R. (2017). Educational status and adoption of ginger production technology. </w:t>
      </w:r>
      <w:r>
        <w:rPr>
          <w:rStyle w:val="Emphasis"/>
        </w:rPr>
        <w:t>International Journal of Agriculture Sciences, 9</w:t>
      </w:r>
      <w:r>
        <w:t>(6), 112–118.</w:t>
      </w:r>
    </w:p>
    <w:p w14:paraId="575C81BA" w14:textId="77777777" w:rsidR="005C7BA1" w:rsidRDefault="008C40BA">
      <w:pPr>
        <w:pStyle w:val="NormalWeb"/>
        <w:spacing w:before="120" w:beforeAutospacing="0" w:after="120" w:afterAutospacing="0" w:line="276" w:lineRule="auto"/>
        <w:ind w:left="1152" w:right="144" w:hanging="720"/>
        <w:jc w:val="both"/>
      </w:pPr>
      <w:r>
        <w:t>Mali, R., Jha, S., &amp; Sharma, D. (</w:t>
      </w:r>
      <w:r>
        <w:t xml:space="preserve">2017). Role of mass media in dissemination of agricultural knowledge. </w:t>
      </w:r>
      <w:r>
        <w:rPr>
          <w:rStyle w:val="Emphasis"/>
        </w:rPr>
        <w:t>Agricultural Extension Review, 29</w:t>
      </w:r>
      <w:r>
        <w:t>(1), 33–41.</w:t>
      </w:r>
    </w:p>
    <w:p w14:paraId="12E9A613" w14:textId="77777777" w:rsidR="005C7BA1" w:rsidRDefault="008C40BA">
      <w:pPr>
        <w:pStyle w:val="NormalWeb"/>
        <w:spacing w:before="120" w:beforeAutospacing="0" w:after="120" w:afterAutospacing="0" w:line="276" w:lineRule="auto"/>
        <w:ind w:left="1152" w:right="144" w:hanging="720"/>
        <w:jc w:val="both"/>
      </w:pPr>
      <w:r>
        <w:t xml:space="preserve">Patil, S., Shinde, V., &amp; Gavit, P. (2016). Risk orientation and technology adoption in agriculture. </w:t>
      </w:r>
      <w:r>
        <w:rPr>
          <w:rStyle w:val="Emphasis"/>
        </w:rPr>
        <w:t>Journal of Extension Education, 28</w:t>
      </w:r>
      <w:r>
        <w:t>(3), 56</w:t>
      </w:r>
      <w:r>
        <w:t>–62.</w:t>
      </w:r>
    </w:p>
    <w:p w14:paraId="2894D0CA" w14:textId="77777777" w:rsidR="005C7BA1" w:rsidRDefault="008C40BA">
      <w:pPr>
        <w:pStyle w:val="NormalWeb"/>
        <w:spacing w:before="120" w:beforeAutospacing="0" w:after="120" w:afterAutospacing="0" w:line="276" w:lineRule="auto"/>
        <w:ind w:left="1152" w:right="144" w:hanging="720"/>
        <w:jc w:val="both"/>
      </w:pPr>
      <w:r>
        <w:t xml:space="preserve">Patel, K., Meena, H. R., &amp; Jatav, S. (2015). Landholding size and adoption of ginger cultivation practices. </w:t>
      </w:r>
      <w:r>
        <w:rPr>
          <w:rStyle w:val="Emphasis"/>
        </w:rPr>
        <w:t>Indian Journal of Agricultural Economics, 70</w:t>
      </w:r>
      <w:r>
        <w:t>(2), 85–92.</w:t>
      </w:r>
    </w:p>
    <w:p w14:paraId="701A9D76" w14:textId="77777777" w:rsidR="005C7BA1" w:rsidRDefault="008C40BA">
      <w:pPr>
        <w:pStyle w:val="NormalWeb"/>
        <w:spacing w:before="120" w:beforeAutospacing="0" w:after="120" w:afterAutospacing="0" w:line="276" w:lineRule="auto"/>
        <w:ind w:left="1152" w:right="144" w:hanging="720"/>
        <w:jc w:val="both"/>
      </w:pPr>
      <w:r>
        <w:t>Sahu, R., &amp; Meena, H. R. (2016). Farming experience and technology adoption among ginge</w:t>
      </w:r>
      <w:r>
        <w:t xml:space="preserve">r growers. </w:t>
      </w:r>
      <w:r>
        <w:rPr>
          <w:rStyle w:val="Emphasis"/>
        </w:rPr>
        <w:t>Journal of Rural Studies, 18</w:t>
      </w:r>
      <w:r>
        <w:t>(2), 67–74.</w:t>
      </w:r>
    </w:p>
    <w:p w14:paraId="4817AE07" w14:textId="77777777" w:rsidR="005C7BA1" w:rsidRDefault="008C40BA">
      <w:pPr>
        <w:pStyle w:val="NormalWeb"/>
        <w:spacing w:before="120" w:beforeAutospacing="0" w:after="120" w:afterAutospacing="0" w:line="276" w:lineRule="auto"/>
        <w:ind w:left="1152" w:right="144" w:hanging="720"/>
        <w:jc w:val="both"/>
      </w:pPr>
      <w:r>
        <w:t xml:space="preserve">Sable, B., Bairwa, S., &amp; Yadav, R. (2017). Social participation of farmers and its impact on adoption of innovations. </w:t>
      </w:r>
      <w:r>
        <w:rPr>
          <w:rStyle w:val="Emphasis"/>
        </w:rPr>
        <w:t>Journal of Extension Systems, 33</w:t>
      </w:r>
      <w:r>
        <w:t>(1), 44–51.</w:t>
      </w:r>
    </w:p>
    <w:p w14:paraId="4F7C2D9D" w14:textId="77777777" w:rsidR="005C7BA1" w:rsidRDefault="008C40BA">
      <w:pPr>
        <w:pStyle w:val="NormalWeb"/>
        <w:spacing w:before="120" w:beforeAutospacing="0" w:after="120" w:afterAutospacing="0" w:line="276" w:lineRule="auto"/>
        <w:ind w:left="1152" w:right="144" w:hanging="720"/>
        <w:jc w:val="both"/>
      </w:pPr>
      <w:r>
        <w:t xml:space="preserve">Sharma, K., Gohil, R., &amp; Meena, H. R. (2015). Extension contact and knowledge levels of farmers. </w:t>
      </w:r>
      <w:r>
        <w:rPr>
          <w:rStyle w:val="Emphasis"/>
        </w:rPr>
        <w:t>Indian Research Journal of Extension Education, 15</w:t>
      </w:r>
      <w:r>
        <w:t>(3), 22–28.</w:t>
      </w:r>
    </w:p>
    <w:p w14:paraId="69EECF87" w14:textId="77777777" w:rsidR="005C7BA1" w:rsidRDefault="008C40BA">
      <w:pPr>
        <w:pStyle w:val="NormalWeb"/>
        <w:spacing w:before="120" w:beforeAutospacing="0" w:after="120" w:afterAutospacing="0" w:line="276" w:lineRule="auto"/>
        <w:ind w:left="1152" w:right="144" w:hanging="720"/>
        <w:jc w:val="both"/>
      </w:pPr>
      <w:r>
        <w:t xml:space="preserve">Shinde, V., &amp; Gavit, P. (2017). Risk-taking behavior and adoption of agricultural innovations. </w:t>
      </w:r>
      <w:r>
        <w:rPr>
          <w:rStyle w:val="Emphasis"/>
        </w:rPr>
        <w:t>Jo</w:t>
      </w:r>
      <w:r>
        <w:rPr>
          <w:rStyle w:val="Emphasis"/>
        </w:rPr>
        <w:t>urnal of Rural Development, 36</w:t>
      </w:r>
      <w:r>
        <w:t>(1), 55–62.</w:t>
      </w:r>
    </w:p>
    <w:p w14:paraId="099C52AD" w14:textId="77777777" w:rsidR="005C7BA1" w:rsidRDefault="008C40BA">
      <w:pPr>
        <w:pStyle w:val="NormalWeb"/>
        <w:spacing w:before="120" w:beforeAutospacing="0" w:after="120" w:afterAutospacing="0" w:line="276" w:lineRule="auto"/>
        <w:ind w:left="1152" w:right="144" w:hanging="720"/>
        <w:jc w:val="both"/>
      </w:pPr>
      <w:r>
        <w:t xml:space="preserve">Singh, D., &amp; Meena, R. (2015). Age profile and adoption behavior of ginger growers. </w:t>
      </w:r>
      <w:r>
        <w:rPr>
          <w:rStyle w:val="Emphasis"/>
        </w:rPr>
        <w:t>Indian Journal of Extension Education, 51</w:t>
      </w:r>
      <w:r>
        <w:t>(2), 60–65.</w:t>
      </w:r>
    </w:p>
    <w:p w14:paraId="4D1C6826" w14:textId="77777777" w:rsidR="005C7BA1" w:rsidRDefault="008C40BA">
      <w:pPr>
        <w:pStyle w:val="NormalWeb"/>
        <w:spacing w:before="120" w:beforeAutospacing="0" w:after="120" w:afterAutospacing="0" w:line="276" w:lineRule="auto"/>
        <w:ind w:left="1152" w:right="144" w:hanging="720"/>
        <w:jc w:val="both"/>
      </w:pPr>
      <w:r>
        <w:t>Thakur, R., &amp; Singh, P. (2016). Income levels and adoption of improved agricu</w:t>
      </w:r>
      <w:r>
        <w:t xml:space="preserve">ltural practices. </w:t>
      </w:r>
      <w:r>
        <w:rPr>
          <w:rStyle w:val="Emphasis"/>
        </w:rPr>
        <w:t>Journal of Agricultural Studies, 8</w:t>
      </w:r>
      <w:r>
        <w:t>(1), 41–48.</w:t>
      </w:r>
    </w:p>
    <w:p w14:paraId="55D46793" w14:textId="77777777" w:rsidR="005C7BA1" w:rsidRDefault="008C40BA">
      <w:pPr>
        <w:pStyle w:val="NormalWeb"/>
        <w:spacing w:before="120" w:beforeAutospacing="0" w:after="120" w:afterAutospacing="0" w:line="276" w:lineRule="auto"/>
        <w:ind w:left="1152" w:right="144" w:hanging="720"/>
        <w:jc w:val="both"/>
      </w:pPr>
      <w:r>
        <w:t xml:space="preserve">Verma, P., Kumar, R., &amp; Meena, R. (2014). Educational status and knowledge of ginger cultivation practices. </w:t>
      </w:r>
      <w:r>
        <w:rPr>
          <w:rStyle w:val="Emphasis"/>
        </w:rPr>
        <w:t>International Journal of Agriculture Sciences, 6</w:t>
      </w:r>
      <w:r>
        <w:t>(4), 205–210.</w:t>
      </w:r>
    </w:p>
    <w:p w14:paraId="50965036" w14:textId="77777777" w:rsidR="005C7BA1" w:rsidRDefault="008C40BA">
      <w:pPr>
        <w:pStyle w:val="NormalWeb"/>
        <w:spacing w:before="120" w:beforeAutospacing="0" w:after="120" w:afterAutospacing="0" w:line="276" w:lineRule="auto"/>
        <w:ind w:left="1152" w:right="144" w:hanging="720"/>
        <w:jc w:val="both"/>
      </w:pPr>
      <w:r>
        <w:lastRenderedPageBreak/>
        <w:t>Yadav, R., Meena, H. R</w:t>
      </w:r>
      <w:r>
        <w:t xml:space="preserve">., &amp; Sahu, R. (2015). Farming experience and adoption of innovations among ginger growers. </w:t>
      </w:r>
      <w:r>
        <w:rPr>
          <w:rStyle w:val="Emphasis"/>
        </w:rPr>
        <w:t>Journal of Rural Extension, 23</w:t>
      </w:r>
      <w:r>
        <w:t>(2), 33–40.</w:t>
      </w:r>
    </w:p>
    <w:p w14:paraId="31901158" w14:textId="77777777" w:rsidR="005C7BA1" w:rsidRDefault="008C40BA">
      <w:pPr>
        <w:pStyle w:val="NormalWeb"/>
        <w:spacing w:before="120" w:beforeAutospacing="0" w:after="120" w:afterAutospacing="0" w:line="276" w:lineRule="auto"/>
        <w:ind w:left="1152" w:right="144" w:hanging="720"/>
        <w:jc w:val="both"/>
      </w:pPr>
      <w:r>
        <w:t xml:space="preserve">Yadav, S., &amp; Meena, H. R. (2017). Cosmopoliteness and awareness of agricultural innovations. </w:t>
      </w:r>
      <w:r>
        <w:rPr>
          <w:rStyle w:val="Emphasis"/>
        </w:rPr>
        <w:t>Indian Journal of Extension Ed</w:t>
      </w:r>
      <w:r>
        <w:rPr>
          <w:rStyle w:val="Emphasis"/>
        </w:rPr>
        <w:t>ucation, 53</w:t>
      </w:r>
      <w:r>
        <w:t>(1), 12–18.</w:t>
      </w:r>
    </w:p>
    <w:p w14:paraId="7EF61BC1" w14:textId="77777777" w:rsidR="005C7BA1" w:rsidRDefault="005C7BA1">
      <w:pPr>
        <w:spacing w:before="100" w:beforeAutospacing="1" w:after="100" w:afterAutospacing="1" w:line="240" w:lineRule="auto"/>
        <w:rPr>
          <w:rFonts w:ascii="Times New Roman" w:eastAsia="Times New Roman" w:hAnsi="Times New Roman" w:cs="Times New Roman"/>
          <w:sz w:val="24"/>
          <w:szCs w:val="24"/>
          <w:lang w:val="en-IN"/>
        </w:rPr>
      </w:pPr>
    </w:p>
    <w:p w14:paraId="4293C38F" w14:textId="77777777" w:rsidR="005C7BA1" w:rsidRDefault="005C7BA1">
      <w:pPr>
        <w:widowControl w:val="0"/>
        <w:pBdr>
          <w:top w:val="nil"/>
          <w:left w:val="nil"/>
          <w:bottom w:val="nil"/>
          <w:right w:val="nil"/>
          <w:between w:val="nil"/>
        </w:pBdr>
        <w:spacing w:after="120" w:line="240" w:lineRule="auto"/>
        <w:ind w:left="436" w:hanging="720"/>
        <w:jc w:val="both"/>
        <w:rPr>
          <w:rFonts w:ascii="Times New Roman" w:eastAsia="Times New Roman" w:hAnsi="Times New Roman" w:cs="Times New Roman"/>
          <w:color w:val="000000"/>
          <w:sz w:val="24"/>
          <w:szCs w:val="24"/>
        </w:rPr>
      </w:pPr>
    </w:p>
    <w:p w14:paraId="39C215F3" w14:textId="77777777" w:rsidR="005C7BA1" w:rsidRDefault="005C7BA1">
      <w:pPr>
        <w:widowControl w:val="0"/>
        <w:pBdr>
          <w:top w:val="nil"/>
          <w:left w:val="nil"/>
          <w:bottom w:val="nil"/>
          <w:right w:val="nil"/>
          <w:between w:val="nil"/>
        </w:pBdr>
        <w:spacing w:after="120" w:line="240" w:lineRule="auto"/>
        <w:ind w:left="436" w:hanging="720"/>
        <w:jc w:val="both"/>
        <w:rPr>
          <w:rFonts w:ascii="Times New Roman" w:eastAsia="Times New Roman" w:hAnsi="Times New Roman" w:cs="Times New Roman"/>
          <w:color w:val="000000"/>
          <w:sz w:val="24"/>
          <w:szCs w:val="24"/>
        </w:rPr>
      </w:pPr>
    </w:p>
    <w:p w14:paraId="65D0CC50" w14:textId="77777777" w:rsidR="005C7BA1" w:rsidRDefault="005C7BA1">
      <w:pPr>
        <w:widowControl w:val="0"/>
        <w:pBdr>
          <w:top w:val="nil"/>
          <w:left w:val="nil"/>
          <w:bottom w:val="nil"/>
          <w:right w:val="nil"/>
          <w:between w:val="nil"/>
        </w:pBdr>
        <w:spacing w:after="120" w:line="240" w:lineRule="auto"/>
        <w:ind w:left="436" w:hanging="720"/>
        <w:jc w:val="both"/>
        <w:rPr>
          <w:rFonts w:ascii="Times New Roman" w:eastAsia="Times New Roman" w:hAnsi="Times New Roman" w:cs="Times New Roman"/>
          <w:color w:val="000000"/>
          <w:sz w:val="24"/>
          <w:szCs w:val="24"/>
        </w:rPr>
      </w:pPr>
    </w:p>
    <w:p w14:paraId="163B0C61" w14:textId="77777777" w:rsidR="005C7BA1" w:rsidRDefault="005C7BA1">
      <w:pPr>
        <w:widowControl w:val="0"/>
        <w:pBdr>
          <w:top w:val="nil"/>
          <w:left w:val="nil"/>
          <w:bottom w:val="nil"/>
          <w:right w:val="nil"/>
          <w:between w:val="nil"/>
        </w:pBdr>
        <w:spacing w:after="120" w:line="240" w:lineRule="auto"/>
        <w:ind w:left="436" w:hanging="720"/>
        <w:jc w:val="both"/>
        <w:rPr>
          <w:rFonts w:ascii="Times New Roman" w:eastAsia="Times New Roman" w:hAnsi="Times New Roman" w:cs="Times New Roman"/>
          <w:color w:val="000000"/>
          <w:sz w:val="24"/>
          <w:szCs w:val="24"/>
        </w:rPr>
      </w:pPr>
    </w:p>
    <w:p w14:paraId="7256AD9E" w14:textId="77777777" w:rsidR="005C7BA1" w:rsidRDefault="005C7BA1">
      <w:pPr>
        <w:widowControl w:val="0"/>
        <w:pBdr>
          <w:top w:val="nil"/>
          <w:left w:val="nil"/>
          <w:bottom w:val="nil"/>
          <w:right w:val="nil"/>
          <w:between w:val="nil"/>
        </w:pBdr>
        <w:spacing w:after="120" w:line="240" w:lineRule="auto"/>
        <w:ind w:left="436" w:hanging="720"/>
        <w:jc w:val="both"/>
        <w:rPr>
          <w:rFonts w:ascii="Times New Roman" w:eastAsia="Times New Roman" w:hAnsi="Times New Roman" w:cs="Times New Roman"/>
          <w:color w:val="000000"/>
          <w:sz w:val="24"/>
          <w:szCs w:val="24"/>
        </w:rPr>
      </w:pPr>
    </w:p>
    <w:p w14:paraId="024F7213" w14:textId="77777777" w:rsidR="005C7BA1" w:rsidRDefault="005C7BA1">
      <w:pPr>
        <w:widowControl w:val="0"/>
        <w:pBdr>
          <w:top w:val="nil"/>
          <w:left w:val="nil"/>
          <w:bottom w:val="nil"/>
          <w:right w:val="nil"/>
          <w:between w:val="nil"/>
        </w:pBdr>
        <w:spacing w:after="120" w:line="240" w:lineRule="auto"/>
        <w:ind w:left="436" w:hanging="720"/>
        <w:jc w:val="both"/>
        <w:rPr>
          <w:rFonts w:ascii="Times New Roman" w:eastAsia="Times New Roman" w:hAnsi="Times New Roman" w:cs="Times New Roman"/>
          <w:color w:val="000000"/>
          <w:sz w:val="24"/>
          <w:szCs w:val="24"/>
        </w:rPr>
      </w:pPr>
    </w:p>
    <w:p w14:paraId="3CD7F721" w14:textId="77777777" w:rsidR="005C7BA1" w:rsidRDefault="005C7BA1">
      <w:pPr>
        <w:widowControl w:val="0"/>
        <w:pBdr>
          <w:top w:val="nil"/>
          <w:left w:val="nil"/>
          <w:bottom w:val="nil"/>
          <w:right w:val="nil"/>
          <w:between w:val="nil"/>
        </w:pBdr>
        <w:spacing w:after="120" w:line="240" w:lineRule="auto"/>
        <w:ind w:left="436" w:hanging="720"/>
        <w:jc w:val="both"/>
        <w:rPr>
          <w:rFonts w:ascii="Times New Roman" w:eastAsia="Times New Roman" w:hAnsi="Times New Roman" w:cs="Times New Roman"/>
          <w:color w:val="000000"/>
          <w:sz w:val="24"/>
          <w:szCs w:val="24"/>
        </w:rPr>
      </w:pPr>
    </w:p>
    <w:p w14:paraId="4430779F" w14:textId="77777777" w:rsidR="005C7BA1" w:rsidRDefault="005C7BA1">
      <w:pPr>
        <w:widowControl w:val="0"/>
        <w:pBdr>
          <w:top w:val="nil"/>
          <w:left w:val="nil"/>
          <w:bottom w:val="nil"/>
          <w:right w:val="nil"/>
          <w:between w:val="nil"/>
        </w:pBdr>
        <w:spacing w:after="120" w:line="240" w:lineRule="auto"/>
        <w:ind w:left="436" w:hanging="720"/>
        <w:jc w:val="both"/>
        <w:rPr>
          <w:rFonts w:ascii="Times New Roman" w:eastAsia="Times New Roman" w:hAnsi="Times New Roman" w:cs="Times New Roman"/>
          <w:color w:val="000000"/>
          <w:sz w:val="24"/>
          <w:szCs w:val="24"/>
        </w:rPr>
      </w:pPr>
    </w:p>
    <w:p w14:paraId="1269D5F2" w14:textId="77777777" w:rsidR="005C7BA1" w:rsidRDefault="005C7BA1">
      <w:pPr>
        <w:widowControl w:val="0"/>
        <w:pBdr>
          <w:top w:val="nil"/>
          <w:left w:val="nil"/>
          <w:bottom w:val="nil"/>
          <w:right w:val="nil"/>
          <w:between w:val="nil"/>
        </w:pBdr>
        <w:spacing w:after="120" w:line="240" w:lineRule="auto"/>
        <w:ind w:left="436" w:hanging="720"/>
        <w:jc w:val="both"/>
        <w:rPr>
          <w:rFonts w:ascii="Times New Roman" w:eastAsia="Times New Roman" w:hAnsi="Times New Roman" w:cs="Times New Roman"/>
          <w:color w:val="000000"/>
          <w:sz w:val="24"/>
          <w:szCs w:val="24"/>
        </w:rPr>
      </w:pPr>
    </w:p>
    <w:sectPr w:rsidR="005C7BA1">
      <w:headerReference w:type="even" r:id="rId14"/>
      <w:headerReference w:type="default" r:id="rId15"/>
      <w:footerReference w:type="even" r:id="rId16"/>
      <w:footerReference w:type="default" r:id="rId17"/>
      <w:headerReference w:type="first" r:id="rId18"/>
      <w:pgSz w:w="11906" w:h="16838"/>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odspealgat@hotmail.com" w:date="2025-09-03T14:54:00Z" w:initials="o">
    <w:p w14:paraId="00000001" w14:textId="77777777" w:rsidR="005C7BA1" w:rsidRDefault="008C40BA">
      <w:pPr>
        <w:pStyle w:val="CommentText"/>
      </w:pPr>
      <w:r>
        <w:rPr>
          <w:rStyle w:val="CommentReference"/>
        </w:rPr>
        <w:annotationRef/>
      </w:r>
      <w:r>
        <w:t>Make more clearly the justification for purposive sampling</w:t>
      </w:r>
    </w:p>
  </w:comment>
  <w:comment w:id="3" w:author="odspealgat@hotmail.com" w:date="2025-09-03T15:08:00Z" w:initials="o">
    <w:p w14:paraId="00000003" w14:textId="77777777" w:rsidR="005C7BA1" w:rsidRDefault="008C40BA">
      <w:pPr>
        <w:pStyle w:val="CommentText"/>
      </w:pPr>
      <w:r>
        <w:rPr>
          <w:rStyle w:val="CommentReference"/>
        </w:rPr>
        <w:annotationRef/>
      </w:r>
      <w:r>
        <w:t>Provide the source of the data used under the table</w:t>
      </w:r>
    </w:p>
  </w:comment>
  <w:comment w:id="4" w:author="odspealgat@hotmail.com" w:date="2025-09-03T14:57:00Z" w:initials="o">
    <w:p w14:paraId="00000004" w14:textId="77777777" w:rsidR="005C7BA1" w:rsidRDefault="008C40BA">
      <w:pPr>
        <w:pStyle w:val="CommentText"/>
      </w:pPr>
      <w:r>
        <w:rPr>
          <w:rStyle w:val="CommentReference"/>
        </w:rPr>
        <w:annotationRef/>
      </w:r>
      <w:r>
        <w:t xml:space="preserve">State your inference on why the knowledge gap exist </w:t>
      </w:r>
    </w:p>
  </w:comment>
  <w:comment w:id="5" w:author="odspealgat@hotmail.com" w:date="2025-09-03T15:01:00Z" w:initials="o">
    <w:p w14:paraId="00000005" w14:textId="77777777" w:rsidR="005C7BA1" w:rsidRDefault="008C40BA">
      <w:pPr>
        <w:pStyle w:val="CommentText"/>
      </w:pPr>
      <w:r>
        <w:rPr>
          <w:rStyle w:val="CommentReference"/>
        </w:rPr>
        <w:annotationRef/>
      </w:r>
      <w:r>
        <w:t>Try visualizing this information in the form of a chat. The result can easily be seen at a gla</w:t>
      </w:r>
      <w:r>
        <w:t>nce</w:t>
      </w:r>
    </w:p>
  </w:comment>
  <w:comment w:id="6" w:author="odspealgat@hotmail.com" w:date="2025-09-03T15:09:00Z" w:initials="o">
    <w:p w14:paraId="00000006" w14:textId="77777777" w:rsidR="005C7BA1" w:rsidRDefault="008C40BA">
      <w:pPr>
        <w:pStyle w:val="CommentText"/>
      </w:pPr>
      <w:r>
        <w:rPr>
          <w:rStyle w:val="CommentReference"/>
        </w:rPr>
        <w:annotationRef/>
      </w:r>
      <w:r>
        <w:t>Provide source of data under this table</w:t>
      </w:r>
    </w:p>
  </w:comment>
  <w:comment w:id="7" w:author="odspealgat@hotmail.com" w:date="2025-09-03T15:06:00Z" w:initials="o">
    <w:p w14:paraId="00000007" w14:textId="77777777" w:rsidR="005C7BA1" w:rsidRDefault="008C40BA">
      <w:pPr>
        <w:pStyle w:val="CommentText"/>
      </w:pPr>
      <w:r>
        <w:rPr>
          <w:rStyle w:val="CommentReference"/>
        </w:rPr>
        <w:annotationRef/>
      </w:r>
      <w:r>
        <w:t>Provide actionable recommendation to these findings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001" w15:done="0"/>
  <w15:commentEx w15:paraId="00000003" w15:done="0"/>
  <w15:commentEx w15:paraId="00000004" w15:done="0"/>
  <w15:commentEx w15:paraId="00000005" w15:done="0"/>
  <w15:commentEx w15:paraId="00000006" w15:done="0"/>
  <w15:commentEx w15:paraId="000000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001" w16cid:durableId="2C644210"/>
  <w16cid:commentId w16cid:paraId="00000003" w16cid:durableId="2C644212"/>
  <w16cid:commentId w16cid:paraId="00000004" w16cid:durableId="2C644213"/>
  <w16cid:commentId w16cid:paraId="00000005" w16cid:durableId="2C644214"/>
  <w16cid:commentId w16cid:paraId="00000006" w16cid:durableId="2C644215"/>
  <w16cid:commentId w16cid:paraId="00000007" w16cid:durableId="2C6442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4074F" w14:textId="77777777" w:rsidR="008C40BA" w:rsidRDefault="008C40BA">
      <w:pPr>
        <w:spacing w:after="0" w:line="240" w:lineRule="auto"/>
      </w:pPr>
      <w:r>
        <w:separator/>
      </w:r>
    </w:p>
  </w:endnote>
  <w:endnote w:type="continuationSeparator" w:id="0">
    <w:p w14:paraId="775E2F1E" w14:textId="77777777" w:rsidR="008C40BA" w:rsidRDefault="008C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2B24F" w14:textId="77777777" w:rsidR="005C7BA1" w:rsidRDefault="005C7B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B829E" w14:textId="77777777" w:rsidR="005C7BA1" w:rsidRDefault="005C7BA1">
    <w:pPr>
      <w:pBdr>
        <w:top w:val="nil"/>
        <w:left w:val="nil"/>
        <w:bottom w:val="nil"/>
        <w:right w:val="nil"/>
        <w:between w:val="nil"/>
      </w:pBdr>
      <w:tabs>
        <w:tab w:val="center" w:pos="4513"/>
        <w:tab w:val="right" w:pos="9026"/>
      </w:tabs>
      <w:spacing w:after="0" w:line="240" w:lineRule="auto"/>
      <w:rPr>
        <w:color w:val="000000"/>
      </w:rPr>
    </w:pPr>
  </w:p>
  <w:p w14:paraId="161EBF71" w14:textId="77777777" w:rsidR="005C7BA1" w:rsidRDefault="005C7BA1">
    <w:pPr>
      <w:pBdr>
        <w:top w:val="nil"/>
        <w:left w:val="nil"/>
        <w:bottom w:val="nil"/>
        <w:right w:val="nil"/>
        <w:between w:val="nil"/>
      </w:pBdr>
      <w:tabs>
        <w:tab w:val="center" w:pos="4513"/>
        <w:tab w:val="right" w:pos="9026"/>
      </w:tabs>
      <w:spacing w:after="0" w:line="240" w:lineRule="auto"/>
      <w:rPr>
        <w:color w:val="000000"/>
      </w:rPr>
    </w:pPr>
  </w:p>
  <w:p w14:paraId="34A315F0" w14:textId="77777777" w:rsidR="005C7BA1" w:rsidRDefault="005C7BA1">
    <w:pPr>
      <w:pBdr>
        <w:top w:val="nil"/>
        <w:left w:val="nil"/>
        <w:bottom w:val="nil"/>
        <w:right w:val="nil"/>
        <w:between w:val="nil"/>
      </w:pBdr>
      <w:tabs>
        <w:tab w:val="center" w:pos="4513"/>
        <w:tab w:val="right" w:pos="9026"/>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DDBC4" w14:textId="77777777" w:rsidR="008C40BA" w:rsidRDefault="008C40BA">
      <w:pPr>
        <w:spacing w:after="0" w:line="240" w:lineRule="auto"/>
      </w:pPr>
      <w:r>
        <w:separator/>
      </w:r>
    </w:p>
  </w:footnote>
  <w:footnote w:type="continuationSeparator" w:id="0">
    <w:p w14:paraId="7B084A46" w14:textId="77777777" w:rsidR="008C40BA" w:rsidRDefault="008C4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FD46A" w14:textId="77777777" w:rsidR="005C7BA1" w:rsidRDefault="008C40BA">
    <w:pPr>
      <w:pStyle w:val="Header"/>
    </w:pPr>
    <w:r>
      <w:rPr>
        <w:noProof/>
      </w:rPr>
      <w:pict w14:anchorId="26E4E6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35.8pt;height:100.4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54814" w14:textId="77777777" w:rsidR="005C7BA1" w:rsidRDefault="008C40BA">
    <w:pPr>
      <w:pStyle w:val="Header"/>
    </w:pPr>
    <w:r>
      <w:rPr>
        <w:noProof/>
      </w:rPr>
      <w:pict w14:anchorId="7DFB16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35.8pt;height:100.4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E24ED" w14:textId="77777777" w:rsidR="005C7BA1" w:rsidRDefault="008C40BA">
    <w:pPr>
      <w:pStyle w:val="Header"/>
    </w:pPr>
    <w:r>
      <w:rPr>
        <w:noProof/>
      </w:rPr>
      <w:pict w14:anchorId="6E3B6B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35.8pt;height:100.4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hybridMultilevel"/>
    <w:tmpl w:val="05D656F4"/>
    <w:lvl w:ilvl="0" w:tplc="4009000F">
      <w:start w:val="1"/>
      <w:numFmt w:val="decimal"/>
      <w:lvlText w:val="%1."/>
      <w:lvlJc w:val="left"/>
      <w:pPr>
        <w:ind w:left="436" w:hanging="360"/>
      </w:pPr>
    </w:lvl>
    <w:lvl w:ilvl="1" w:tplc="40090019" w:tentative="1">
      <w:start w:val="1"/>
      <w:numFmt w:val="lowerLetter"/>
      <w:lvlText w:val="%2."/>
      <w:lvlJc w:val="left"/>
      <w:pPr>
        <w:ind w:left="1156" w:hanging="360"/>
      </w:pPr>
    </w:lvl>
    <w:lvl w:ilvl="2" w:tplc="4009001B" w:tentative="1">
      <w:start w:val="1"/>
      <w:numFmt w:val="lowerRoman"/>
      <w:lvlText w:val="%3."/>
      <w:lvlJc w:val="right"/>
      <w:pPr>
        <w:ind w:left="1876" w:hanging="180"/>
      </w:pPr>
    </w:lvl>
    <w:lvl w:ilvl="3" w:tplc="4009000F" w:tentative="1">
      <w:start w:val="1"/>
      <w:numFmt w:val="decimal"/>
      <w:lvlText w:val="%4."/>
      <w:lvlJc w:val="left"/>
      <w:pPr>
        <w:ind w:left="2596" w:hanging="360"/>
      </w:pPr>
    </w:lvl>
    <w:lvl w:ilvl="4" w:tplc="40090019" w:tentative="1">
      <w:start w:val="1"/>
      <w:numFmt w:val="lowerLetter"/>
      <w:lvlText w:val="%5."/>
      <w:lvlJc w:val="left"/>
      <w:pPr>
        <w:ind w:left="3316" w:hanging="360"/>
      </w:pPr>
    </w:lvl>
    <w:lvl w:ilvl="5" w:tplc="4009001B" w:tentative="1">
      <w:start w:val="1"/>
      <w:numFmt w:val="lowerRoman"/>
      <w:lvlText w:val="%6."/>
      <w:lvlJc w:val="right"/>
      <w:pPr>
        <w:ind w:left="4036" w:hanging="180"/>
      </w:pPr>
    </w:lvl>
    <w:lvl w:ilvl="6" w:tplc="4009000F" w:tentative="1">
      <w:start w:val="1"/>
      <w:numFmt w:val="decimal"/>
      <w:lvlText w:val="%7."/>
      <w:lvlJc w:val="left"/>
      <w:pPr>
        <w:ind w:left="4756" w:hanging="360"/>
      </w:pPr>
    </w:lvl>
    <w:lvl w:ilvl="7" w:tplc="40090019" w:tentative="1">
      <w:start w:val="1"/>
      <w:numFmt w:val="lowerLetter"/>
      <w:lvlText w:val="%8."/>
      <w:lvlJc w:val="left"/>
      <w:pPr>
        <w:ind w:left="5476" w:hanging="360"/>
      </w:pPr>
    </w:lvl>
    <w:lvl w:ilvl="8" w:tplc="4009001B" w:tentative="1">
      <w:start w:val="1"/>
      <w:numFmt w:val="lowerRoman"/>
      <w:lvlText w:val="%9."/>
      <w:lvlJc w:val="right"/>
      <w:pPr>
        <w:ind w:left="6196" w:hanging="180"/>
      </w:pPr>
    </w:lvl>
  </w:abstractNum>
  <w:abstractNum w:abstractNumId="1" w15:restartNumberingAfterBreak="0">
    <w:nsid w:val="00000001"/>
    <w:multiLevelType w:val="hybridMultilevel"/>
    <w:tmpl w:val="937A546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00000002"/>
    <w:multiLevelType w:val="multilevel"/>
    <w:tmpl w:val="451466F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00000003"/>
    <w:multiLevelType w:val="hybridMultilevel"/>
    <w:tmpl w:val="F52E89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0000004"/>
    <w:multiLevelType w:val="multilevel"/>
    <w:tmpl w:val="401606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BA1"/>
    <w:rsid w:val="005C7BA1"/>
    <w:rsid w:val="008C40BA"/>
    <w:rsid w:val="0093022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5C448CB-7C53-4687-B4E6-CDDEABE07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IN" w:eastAsia="en-I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IN"/>
    </w:rPr>
  </w:style>
  <w:style w:type="character" w:styleId="Emphasis">
    <w:name w:val="Emphasis"/>
    <w:uiPriority w:val="20"/>
    <w:qFormat/>
    <w:rPr>
      <w:i/>
      <w:iCs/>
    </w:rPr>
  </w:style>
  <w:style w:type="table" w:customStyle="1" w:styleId="PlainTable11">
    <w:name w:val="Plain Table 11"/>
    <w:basedOn w:val="TableNormal"/>
    <w:uiPriority w:val="41"/>
    <w:rPr>
      <w:rFonts w:ascii="Cambria" w:eastAsia="Cambria" w:hAnsi="Cambria" w:cs="Mangal"/>
      <w:kern w:val="2"/>
      <w:sz w:val="24"/>
      <w:szCs w:val="24"/>
      <w:lang w:eastAsia="en-US"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rPr>
      <w:rFonts w:cs="Mangal"/>
      <w:szCs w:val="20"/>
    </w:rPr>
  </w:style>
  <w:style w:type="character" w:styleId="Strong">
    <w:name w:val="Strong"/>
    <w:uiPriority w:val="22"/>
    <w:qFormat/>
    <w:rPr>
      <w:b/>
      <w:bCs/>
    </w:rPr>
  </w:style>
  <w:style w:type="character" w:customStyle="1" w:styleId="katex-mathml">
    <w:name w:val="katex-mathml"/>
    <w:basedOn w:val="DefaultParagraphFont"/>
  </w:style>
  <w:style w:type="character" w:customStyle="1" w:styleId="mord">
    <w:name w:val="mord"/>
    <w:basedOn w:val="DefaultParagraphFont"/>
  </w:style>
  <w:style w:type="character" w:customStyle="1" w:styleId="mrel">
    <w:name w:val="mrel"/>
    <w:basedOn w:val="DefaultParagraphFont"/>
  </w:style>
  <w:style w:type="character" w:customStyle="1" w:styleId="mbin">
    <w:name w:val="mbin"/>
    <w:basedOn w:val="DefaultParagraphFont"/>
  </w:style>
  <w:style w:type="character" w:customStyle="1" w:styleId="vlist-s">
    <w:name w:val="vlist-s"/>
    <w:basedOn w:val="DefaultParagraphFont"/>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styleId="Header">
    <w:name w:val="header"/>
    <w:basedOn w:val="Normal"/>
    <w:link w:val="HeaderChar"/>
    <w:uiPriority w:val="99"/>
    <w:pPr>
      <w:tabs>
        <w:tab w:val="center" w:pos="4680"/>
        <w:tab w:val="right" w:pos="9360"/>
      </w:tabs>
      <w:spacing w:after="0" w:line="240" w:lineRule="auto"/>
    </w:pPr>
    <w:rPr>
      <w:rFonts w:cs="Mangal"/>
      <w:szCs w:val="20"/>
    </w:rPr>
  </w:style>
  <w:style w:type="character" w:customStyle="1" w:styleId="HeaderChar">
    <w:name w:val="Header Char"/>
    <w:basedOn w:val="DefaultParagraphFont"/>
    <w:link w:val="Header"/>
    <w:uiPriority w:val="99"/>
    <w:rPr>
      <w:rFonts w:cs="Mangal"/>
      <w:sz w:val="22"/>
      <w:lang w:val="en-US"/>
    </w:rPr>
  </w:style>
  <w:style w:type="paragraph" w:styleId="Footer">
    <w:name w:val="footer"/>
    <w:basedOn w:val="Normal"/>
    <w:link w:val="FooterChar"/>
    <w:uiPriority w:val="99"/>
    <w:pPr>
      <w:tabs>
        <w:tab w:val="center" w:pos="4680"/>
        <w:tab w:val="right" w:pos="9360"/>
      </w:tabs>
      <w:spacing w:after="0" w:line="240" w:lineRule="auto"/>
    </w:pPr>
    <w:rPr>
      <w:rFonts w:cs="Mangal"/>
      <w:szCs w:val="20"/>
    </w:rPr>
  </w:style>
  <w:style w:type="character" w:customStyle="1" w:styleId="FooterChar">
    <w:name w:val="Footer Char"/>
    <w:basedOn w:val="DefaultParagraphFont"/>
    <w:link w:val="Footer"/>
    <w:uiPriority w:val="99"/>
    <w:rPr>
      <w:rFonts w:cs="Mangal"/>
      <w:sz w:val="22"/>
      <w:lang w:val="en-US"/>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rFonts w:cs="Mangal"/>
      <w:sz w:val="20"/>
      <w:szCs w:val="18"/>
    </w:rPr>
  </w:style>
  <w:style w:type="character" w:customStyle="1" w:styleId="CommentTextChar">
    <w:name w:val="Comment Text Char"/>
    <w:basedOn w:val="DefaultParagraphFont"/>
    <w:link w:val="CommentText"/>
    <w:uiPriority w:val="99"/>
    <w:rPr>
      <w:rFonts w:cs="Mangal"/>
      <w:szCs w:val="18"/>
      <w:lang w:val="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cs="Mangal"/>
      <w:b/>
      <w:bCs/>
      <w:szCs w:val="18"/>
      <w:lang w:val="en-US"/>
    </w:rPr>
  </w:style>
  <w:style w:type="paragraph" w:styleId="BalloonText">
    <w:name w:val="Balloon Text"/>
    <w:basedOn w:val="Normal"/>
    <w:link w:val="BalloonTextChar"/>
    <w:uiPriority w:val="99"/>
    <w:semiHidden/>
    <w:unhideWhenUsed/>
    <w:rsid w:val="00930225"/>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930225"/>
    <w:rPr>
      <w:rFonts w:ascii="Segoe UI" w:hAnsi="Segoe UI" w:cs="Mangal"/>
      <w:sz w:val="18"/>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al.usda.gov" TargetMode="External"/><Relationship Id="rId18"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F161D-9A57-4228-B7FA-B898A3A330EC}">
  <ds:schemaRefs>
    <ds:schemaRef ds:uri="http://www.wps.cn/android/officeDocument/2013/mofficeCustomData"/>
  </ds:schemaRefs>
</ds:datastoreItem>
</file>

<file path=customXml/itemProps2.xml><?xml version="1.0" encoding="utf-8"?>
<ds:datastoreItem xmlns:ds="http://schemas.openxmlformats.org/officeDocument/2006/customXml" ds:itemID="{211F9416-6F95-4D01-BA2B-9C42CE1CD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2953</Words>
  <Characters>16838</Characters>
  <Application>Microsoft Office Word</Application>
  <DocSecurity>0</DocSecurity>
  <Lines>140</Lines>
  <Paragraphs>39</Paragraphs>
  <ScaleCrop>false</ScaleCrop>
  <Company/>
  <LinksUpToDate>false</LinksUpToDate>
  <CharactersWithSpaces>19752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Pc;Dr. L. G. Tor</dc:creator>
  <cp:lastModifiedBy>SDI 1167</cp:lastModifiedBy>
  <cp:revision>3</cp:revision>
  <dcterms:created xsi:type="dcterms:W3CDTF">2025-09-03T14:10:00Z</dcterms:created>
  <dcterms:modified xsi:type="dcterms:W3CDTF">2025-09-04T11:21:00Z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e82917131e3e432e8698a08539900d60</vt:lpwstr>
  </property>
</Properties>
</file>