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8D91" w14:textId="72010D10" w:rsidR="00D826BC" w:rsidRPr="00D826BC" w:rsidRDefault="00D826BC" w:rsidP="006B09BD">
      <w:pPr>
        <w:spacing w:before="100" w:beforeAutospacing="1" w:after="100" w:afterAutospacing="1" w:line="360" w:lineRule="auto"/>
        <w:jc w:val="center"/>
        <w:rPr>
          <w:rFonts w:ascii="Times New Roman" w:eastAsia="Times New Roman" w:hAnsi="Times New Roman" w:cs="Times New Roman"/>
          <w:sz w:val="24"/>
          <w:szCs w:val="24"/>
          <w:lang w:eastAsia="en-GB"/>
        </w:rPr>
      </w:pPr>
      <w:r w:rsidRPr="00D826BC">
        <w:rPr>
          <w:rFonts w:ascii="Times New Roman" w:eastAsia="Times New Roman" w:hAnsi="Times New Roman" w:cs="Times New Roman"/>
          <w:b/>
          <w:bCs/>
          <w:sz w:val="24"/>
          <w:szCs w:val="24"/>
          <w:lang w:eastAsia="en-GB"/>
        </w:rPr>
        <w:t>Studies on Management of Cercospora Leaf Spot (</w:t>
      </w:r>
      <w:proofErr w:type="spellStart"/>
      <w:r w:rsidRPr="00D826BC">
        <w:rPr>
          <w:rFonts w:ascii="Times New Roman" w:eastAsia="Times New Roman" w:hAnsi="Times New Roman" w:cs="Times New Roman"/>
          <w:b/>
          <w:bCs/>
          <w:i/>
          <w:iCs/>
          <w:sz w:val="24"/>
          <w:szCs w:val="24"/>
          <w:lang w:eastAsia="en-GB"/>
        </w:rPr>
        <w:t>Cercospora</w:t>
      </w:r>
      <w:proofErr w:type="spellEnd"/>
      <w:r w:rsidRPr="00D826BC">
        <w:rPr>
          <w:rFonts w:ascii="Times New Roman" w:eastAsia="Times New Roman" w:hAnsi="Times New Roman" w:cs="Times New Roman"/>
          <w:b/>
          <w:bCs/>
          <w:i/>
          <w:iCs/>
          <w:sz w:val="24"/>
          <w:szCs w:val="24"/>
          <w:lang w:eastAsia="en-GB"/>
        </w:rPr>
        <w:t xml:space="preserve"> </w:t>
      </w:r>
      <w:proofErr w:type="spellStart"/>
      <w:r w:rsidRPr="00D826BC">
        <w:rPr>
          <w:rFonts w:ascii="Times New Roman" w:eastAsia="Times New Roman" w:hAnsi="Times New Roman" w:cs="Times New Roman"/>
          <w:b/>
          <w:bCs/>
          <w:i/>
          <w:iCs/>
          <w:sz w:val="24"/>
          <w:szCs w:val="24"/>
          <w:lang w:eastAsia="en-GB"/>
        </w:rPr>
        <w:t>canescens</w:t>
      </w:r>
      <w:proofErr w:type="spellEnd"/>
      <w:r w:rsidRPr="00D826BC">
        <w:rPr>
          <w:rFonts w:ascii="Times New Roman" w:eastAsia="Times New Roman" w:hAnsi="Times New Roman" w:cs="Times New Roman"/>
          <w:b/>
          <w:bCs/>
          <w:sz w:val="24"/>
          <w:szCs w:val="24"/>
          <w:lang w:eastAsia="en-GB"/>
        </w:rPr>
        <w:t>) of Black Gram (</w:t>
      </w:r>
      <w:r w:rsidRPr="00D826BC">
        <w:rPr>
          <w:rFonts w:ascii="Times New Roman" w:eastAsia="Times New Roman" w:hAnsi="Times New Roman" w:cs="Times New Roman"/>
          <w:b/>
          <w:bCs/>
          <w:i/>
          <w:iCs/>
          <w:sz w:val="24"/>
          <w:szCs w:val="24"/>
          <w:lang w:eastAsia="en-GB"/>
        </w:rPr>
        <w:t>Vigna mungo</w:t>
      </w:r>
      <w:r w:rsidRPr="00D826BC">
        <w:rPr>
          <w:rFonts w:ascii="Times New Roman" w:eastAsia="Times New Roman" w:hAnsi="Times New Roman" w:cs="Times New Roman"/>
          <w:b/>
          <w:bCs/>
          <w:sz w:val="24"/>
          <w:szCs w:val="24"/>
          <w:lang w:eastAsia="en-GB"/>
        </w:rPr>
        <w:t xml:space="preserve"> L.)</w:t>
      </w:r>
    </w:p>
    <w:p w14:paraId="0D7D1508" w14:textId="2CFF273F" w:rsidR="006B09BD" w:rsidRDefault="006B09BD" w:rsidP="00204FCA">
      <w:pPr>
        <w:spacing w:after="0" w:line="360" w:lineRule="auto"/>
        <w:jc w:val="both"/>
        <w:rPr>
          <w:rFonts w:ascii="Times New Roman" w:eastAsia="Times New Roman" w:hAnsi="Times New Roman" w:cs="Times New Roman"/>
          <w:sz w:val="24"/>
          <w:szCs w:val="24"/>
          <w:lang w:eastAsia="en-GB"/>
        </w:rPr>
      </w:pPr>
    </w:p>
    <w:p w14:paraId="539160BF" w14:textId="77777777" w:rsidR="00AA1FE6" w:rsidRPr="00D826BC" w:rsidRDefault="00AA1FE6" w:rsidP="00204FCA">
      <w:pPr>
        <w:spacing w:after="0" w:line="360" w:lineRule="auto"/>
        <w:jc w:val="both"/>
        <w:rPr>
          <w:rFonts w:ascii="Times New Roman" w:eastAsia="Times New Roman" w:hAnsi="Times New Roman" w:cs="Times New Roman"/>
          <w:sz w:val="24"/>
          <w:szCs w:val="24"/>
          <w:lang w:eastAsia="en-GB"/>
        </w:rPr>
      </w:pPr>
    </w:p>
    <w:p w14:paraId="065DA4C9" w14:textId="77777777" w:rsidR="007C560B" w:rsidRDefault="007C560B" w:rsidP="00196E36">
      <w:pPr>
        <w:pStyle w:val="NormalWeb"/>
        <w:spacing w:line="360" w:lineRule="auto"/>
        <w:jc w:val="both"/>
      </w:pPr>
      <w:r>
        <w:t xml:space="preserve">Abstract </w:t>
      </w:r>
    </w:p>
    <w:p w14:paraId="21B79248" w14:textId="56949ED2" w:rsidR="00204FCA" w:rsidRDefault="00204FCA" w:rsidP="00196E36">
      <w:pPr>
        <w:pStyle w:val="NormalWeb"/>
        <w:spacing w:line="360" w:lineRule="auto"/>
        <w:jc w:val="both"/>
      </w:pPr>
      <w:r w:rsidRPr="007C11B5">
        <w:t>Black gram (</w:t>
      </w:r>
      <w:r w:rsidRPr="007C11B5">
        <w:rPr>
          <w:rStyle w:val="nfasis"/>
        </w:rPr>
        <w:t>Vigna mungo</w:t>
      </w:r>
      <w:r w:rsidRPr="007C11B5">
        <w:t xml:space="preserve"> (L.)) is one of the most important pulse crops in India, valued for its high protein content and ability to improve soil fertility. However, its productivity is significantly hindered by various foliar diseases, with </w:t>
      </w:r>
      <w:r w:rsidRPr="007C11B5">
        <w:rPr>
          <w:rStyle w:val="Textoennegrita"/>
          <w:b w:val="0"/>
          <w:bCs w:val="0"/>
        </w:rPr>
        <w:t>Cercospora Leaf Spot (CLS)</w:t>
      </w:r>
      <w:r w:rsidRPr="007C11B5">
        <w:t xml:space="preserve"> caused by </w:t>
      </w:r>
      <w:proofErr w:type="spellStart"/>
      <w:r w:rsidRPr="007C11B5">
        <w:rPr>
          <w:rStyle w:val="nfasis"/>
        </w:rPr>
        <w:t>Cercospora</w:t>
      </w:r>
      <w:proofErr w:type="spellEnd"/>
      <w:r w:rsidRPr="007C11B5">
        <w:rPr>
          <w:rStyle w:val="nfasis"/>
        </w:rPr>
        <w:t xml:space="preserve"> </w:t>
      </w:r>
      <w:proofErr w:type="spellStart"/>
      <w:r w:rsidRPr="007C11B5">
        <w:rPr>
          <w:rStyle w:val="nfasis"/>
        </w:rPr>
        <w:t>canescens</w:t>
      </w:r>
      <w:proofErr w:type="spellEnd"/>
      <w:r w:rsidRPr="007C11B5">
        <w:t xml:space="preserve"> being among the most devastating. The present investigation was undertaken during </w:t>
      </w:r>
      <w:r w:rsidRPr="007C560B">
        <w:rPr>
          <w:rStyle w:val="Textoennegrita"/>
          <w:b w:val="0"/>
          <w:bCs w:val="0"/>
          <w:i/>
          <w:iCs/>
        </w:rPr>
        <w:t>Kharif</w:t>
      </w:r>
      <w:r w:rsidRPr="007C11B5">
        <w:rPr>
          <w:rStyle w:val="Textoennegrita"/>
          <w:b w:val="0"/>
          <w:bCs w:val="0"/>
        </w:rPr>
        <w:t xml:space="preserve"> 2024</w:t>
      </w:r>
      <w:r w:rsidRPr="007C11B5">
        <w:t xml:space="preserve"> at the </w:t>
      </w:r>
      <w:r w:rsidR="007C560B">
        <w:t>Student</w:t>
      </w:r>
      <w:r w:rsidRPr="007C11B5">
        <w:t xml:space="preserve"> Research Farm, Department of Plant Pathology, Bundelkhand University, Jhansi, to evaluate the effectiveness of different management strategies against CLS under field conditions.</w:t>
      </w:r>
      <w:r w:rsidR="00196E36">
        <w:t xml:space="preserve"> </w:t>
      </w:r>
      <w:r w:rsidRPr="007C11B5">
        <w:t xml:space="preserve">A total of </w:t>
      </w:r>
      <w:r w:rsidRPr="007C11B5">
        <w:rPr>
          <w:rStyle w:val="Textoennegrita"/>
          <w:b w:val="0"/>
          <w:bCs w:val="0"/>
        </w:rPr>
        <w:t xml:space="preserve">nine </w:t>
      </w:r>
      <w:r w:rsidR="00A414FA">
        <w:rPr>
          <w:rStyle w:val="Textoennegrita"/>
          <w:b w:val="0"/>
          <w:bCs w:val="0"/>
        </w:rPr>
        <w:t>treatments,</w:t>
      </w:r>
      <w:r w:rsidRPr="007C11B5">
        <w:t xml:space="preserve"> including botanicals, bio-agents, fungicides, and </w:t>
      </w:r>
      <w:r w:rsidR="00A414FA">
        <w:t>control,</w:t>
      </w:r>
      <w:r w:rsidRPr="007C11B5">
        <w:t xml:space="preserve"> were assessed in a </w:t>
      </w:r>
      <w:r w:rsidRPr="007C11B5">
        <w:rPr>
          <w:rStyle w:val="Textoennegrita"/>
          <w:b w:val="0"/>
          <w:bCs w:val="0"/>
        </w:rPr>
        <w:t>Randomized Block Design (RBD)</w:t>
      </w:r>
      <w:r w:rsidRPr="007C11B5">
        <w:t xml:space="preserve"> with three replications. Parameters such as </w:t>
      </w:r>
      <w:r w:rsidRPr="007C11B5">
        <w:rPr>
          <w:rStyle w:val="Textoennegrita"/>
          <w:b w:val="0"/>
          <w:bCs w:val="0"/>
        </w:rPr>
        <w:t>disease incidence</w:t>
      </w:r>
      <w:r w:rsidRPr="007C11B5">
        <w:t xml:space="preserve"> and </w:t>
      </w:r>
      <w:r w:rsidRPr="007C11B5">
        <w:rPr>
          <w:rStyle w:val="Textoennegrita"/>
          <w:b w:val="0"/>
          <w:bCs w:val="0"/>
        </w:rPr>
        <w:t>percent disease reduction</w:t>
      </w:r>
      <w:r w:rsidRPr="007C11B5">
        <w:t xml:space="preserve"> were recorded at </w:t>
      </w:r>
      <w:r w:rsidRPr="007C11B5">
        <w:rPr>
          <w:rStyle w:val="Textoennegrita"/>
          <w:b w:val="0"/>
          <w:bCs w:val="0"/>
        </w:rPr>
        <w:t>30 and 45 days after sowing (DAS</w:t>
      </w:r>
      <w:r w:rsidRPr="007C11B5">
        <w:rPr>
          <w:rStyle w:val="Textoennegrita"/>
        </w:rPr>
        <w:t>)</w:t>
      </w:r>
      <w:r w:rsidRPr="007C11B5">
        <w:t xml:space="preserve">. Results revealed that </w:t>
      </w:r>
      <w:r w:rsidRPr="007C11B5">
        <w:rPr>
          <w:rStyle w:val="Textoennegrita"/>
          <w:b w:val="0"/>
          <w:bCs w:val="0"/>
        </w:rPr>
        <w:t>Propiconazole 25% EC (0.05%)</w:t>
      </w:r>
      <w:r w:rsidRPr="007C11B5">
        <w:t xml:space="preserve"> was the most effective treatment, recording the lowest disease incidence (18.3% and 18.7% at 30 and 45 DAS respectively), followed by </w:t>
      </w:r>
      <w:r w:rsidRPr="007C11B5">
        <w:rPr>
          <w:rStyle w:val="Textoennegrita"/>
          <w:b w:val="0"/>
          <w:bCs w:val="0"/>
        </w:rPr>
        <w:t>Carbendazim (0.5%)</w:t>
      </w:r>
      <w:r w:rsidRPr="007C11B5">
        <w:t xml:space="preserve"> and </w:t>
      </w:r>
      <w:r w:rsidRPr="007C11B5">
        <w:rPr>
          <w:rStyle w:val="Textoennegrita"/>
          <w:b w:val="0"/>
          <w:bCs w:val="0"/>
        </w:rPr>
        <w:t>Mancozeb 75 WP (0.2%)</w:t>
      </w:r>
      <w:r w:rsidRPr="007C11B5">
        <w:rPr>
          <w:b/>
          <w:bCs/>
        </w:rPr>
        <w:t>.</w:t>
      </w:r>
      <w:r w:rsidRPr="007C11B5">
        <w:t xml:space="preserve"> Among botanicals, </w:t>
      </w:r>
      <w:r w:rsidRPr="007C11B5">
        <w:rPr>
          <w:rStyle w:val="Textoennegrita"/>
          <w:b w:val="0"/>
          <w:bCs w:val="0"/>
        </w:rPr>
        <w:t>Neem Seed Kernel Extract (NSKE)</w:t>
      </w:r>
      <w:r w:rsidRPr="007C11B5">
        <w:t xml:space="preserve"> showed superior performance, while </w:t>
      </w:r>
      <w:r w:rsidRPr="007C11B5">
        <w:rPr>
          <w:rStyle w:val="Textoennegrita"/>
          <w:b w:val="0"/>
          <w:bCs w:val="0"/>
          <w:i/>
          <w:iCs/>
        </w:rPr>
        <w:t xml:space="preserve">Trichoderma </w:t>
      </w:r>
      <w:proofErr w:type="spellStart"/>
      <w:r w:rsidRPr="007C11B5">
        <w:rPr>
          <w:rStyle w:val="Textoennegrita"/>
          <w:b w:val="0"/>
          <w:bCs w:val="0"/>
          <w:i/>
          <w:iCs/>
        </w:rPr>
        <w:t>harzianum</w:t>
      </w:r>
      <w:proofErr w:type="spellEnd"/>
      <w:r w:rsidRPr="007C11B5">
        <w:t xml:space="preserve"> was effective as a biological control agent.</w:t>
      </w:r>
      <w:r w:rsidR="00196E36">
        <w:t xml:space="preserve"> </w:t>
      </w:r>
      <w:r w:rsidRPr="007C11B5">
        <w:t xml:space="preserve">The study highlights the efficacy of integrating chemical, botanical, and biological approaches in managing CLS in black gram. The use of environmentally safe and sustainable treatments, such as bio-agents and plant extracts, offers promising alternatives for reducing dependency on chemical fungicides, thus contributing to </w:t>
      </w:r>
      <w:r w:rsidRPr="007C11B5">
        <w:rPr>
          <w:rStyle w:val="Textoennegrita"/>
          <w:b w:val="0"/>
          <w:bCs w:val="0"/>
        </w:rPr>
        <w:t>Integrated Disease Management (IDM)</w:t>
      </w:r>
      <w:r w:rsidRPr="007C11B5">
        <w:t xml:space="preserve"> strategies.</w:t>
      </w:r>
    </w:p>
    <w:p w14:paraId="545C91D2" w14:textId="3FC19182" w:rsidR="007C560B" w:rsidRPr="007C560B" w:rsidRDefault="007C560B" w:rsidP="00196E36">
      <w:pPr>
        <w:pStyle w:val="NormalWeb"/>
        <w:spacing w:line="360" w:lineRule="auto"/>
        <w:jc w:val="both"/>
        <w:rPr>
          <w:b/>
          <w:bCs/>
        </w:rPr>
      </w:pPr>
      <w:r w:rsidRPr="007C560B">
        <w:rPr>
          <w:b/>
          <w:bCs/>
        </w:rPr>
        <w:t>Keywords</w:t>
      </w:r>
    </w:p>
    <w:p w14:paraId="10A88773" w14:textId="34E71FB1" w:rsidR="00D826BC" w:rsidRPr="00D826BC" w:rsidRDefault="00D826BC"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D826BC">
        <w:rPr>
          <w:rFonts w:ascii="Times New Roman" w:eastAsia="Times New Roman" w:hAnsi="Times New Roman" w:cs="Times New Roman"/>
          <w:b/>
          <w:bCs/>
          <w:sz w:val="24"/>
          <w:szCs w:val="24"/>
          <w:lang w:eastAsia="en-GB"/>
        </w:rPr>
        <w:t>Introduction</w:t>
      </w:r>
    </w:p>
    <w:p w14:paraId="2C60FE00" w14:textId="0D071432"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Black gram (Vigna mungo (L.)), also known as urd bean, is an important pulse crop cultivated widely in India due to its high protein content and soil-enriching properties. It belongs to the family Leguminosae and subfamily </w:t>
      </w:r>
      <w:proofErr w:type="spellStart"/>
      <w:r w:rsidRPr="00204FCA">
        <w:rPr>
          <w:rFonts w:ascii="Times New Roman" w:eastAsia="Times New Roman" w:hAnsi="Times New Roman" w:cs="Times New Roman"/>
          <w:sz w:val="24"/>
          <w:szCs w:val="24"/>
          <w:lang w:eastAsia="en-GB"/>
        </w:rPr>
        <w:t>Papilionaceae</w:t>
      </w:r>
      <w:proofErr w:type="spellEnd"/>
      <w:r w:rsidRPr="00204FCA">
        <w:rPr>
          <w:rFonts w:ascii="Times New Roman" w:eastAsia="Times New Roman" w:hAnsi="Times New Roman" w:cs="Times New Roman"/>
          <w:sz w:val="24"/>
          <w:szCs w:val="24"/>
          <w:lang w:eastAsia="en-GB"/>
        </w:rPr>
        <w:t xml:space="preserve"> and</w:t>
      </w:r>
      <w:r w:rsidRPr="00D826BC">
        <w:rPr>
          <w:rFonts w:ascii="Times New Roman" w:eastAsia="Times New Roman" w:hAnsi="Times New Roman" w:cs="Times New Roman"/>
          <w:sz w:val="24"/>
          <w:szCs w:val="24"/>
          <w:lang w:eastAsia="en-GB"/>
        </w:rPr>
        <w:t xml:space="preserve"> plays a crucial role in Indian agriculture as both a food legume and a nitrogen-fixing crop. India is the largest producer and consumer </w:t>
      </w:r>
      <w:r w:rsidRPr="00D826BC">
        <w:rPr>
          <w:rFonts w:ascii="Times New Roman" w:eastAsia="Times New Roman" w:hAnsi="Times New Roman" w:cs="Times New Roman"/>
          <w:sz w:val="24"/>
          <w:szCs w:val="24"/>
          <w:lang w:eastAsia="en-GB"/>
        </w:rPr>
        <w:lastRenderedPageBreak/>
        <w:t>of black gram, with major growing states including Madhya Pradesh, Uttar Pradesh, Maharashtra, and Tamil Nadu (</w:t>
      </w:r>
      <w:proofErr w:type="spellStart"/>
      <w:r w:rsidRPr="00D826BC">
        <w:rPr>
          <w:rFonts w:ascii="Times New Roman" w:eastAsia="Times New Roman" w:hAnsi="Times New Roman" w:cs="Times New Roman"/>
          <w:sz w:val="24"/>
          <w:szCs w:val="24"/>
          <w:lang w:eastAsia="en-GB"/>
        </w:rPr>
        <w:t>Mehjabi</w:t>
      </w:r>
      <w:proofErr w:type="spellEnd"/>
      <w:r w:rsidRPr="00D826BC">
        <w:rPr>
          <w:rFonts w:ascii="Times New Roman" w:eastAsia="Times New Roman" w:hAnsi="Times New Roman" w:cs="Times New Roman"/>
          <w:sz w:val="24"/>
          <w:szCs w:val="24"/>
          <w:lang w:eastAsia="en-GB"/>
        </w:rPr>
        <w:t xml:space="preserve"> et al., 2024). Despite its agronomic and nutritional value, the productivity of black gram remains suboptimal due to several biotic constraints, with Cercospora leaf spot (CLS) being one of the most destructive diseases affecting the crop.</w:t>
      </w:r>
    </w:p>
    <w:p w14:paraId="1FFD1AD2" w14:textId="2CEDA5F9" w:rsidR="00D826BC" w:rsidRPr="00D826BC" w:rsidRDefault="003D5841"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D5841">
        <w:rPr>
          <w:rFonts w:ascii="Times New Roman" w:eastAsia="Times New Roman" w:hAnsi="Times New Roman" w:cs="Times New Roman"/>
          <w:sz w:val="24"/>
          <w:szCs w:val="24"/>
          <w:lang w:eastAsia="en-GB"/>
        </w:rPr>
        <w:t xml:space="preserve">Cercospora leaf spot, caused by </w:t>
      </w:r>
      <w:proofErr w:type="spellStart"/>
      <w:r w:rsidRPr="003D5841">
        <w:rPr>
          <w:rFonts w:ascii="Times New Roman" w:eastAsia="Times New Roman" w:hAnsi="Times New Roman" w:cs="Times New Roman"/>
          <w:i/>
          <w:iCs/>
          <w:sz w:val="24"/>
          <w:szCs w:val="24"/>
          <w:lang w:eastAsia="en-GB"/>
        </w:rPr>
        <w:t>Cercospora</w:t>
      </w:r>
      <w:proofErr w:type="spellEnd"/>
      <w:r w:rsidRPr="003D5841">
        <w:rPr>
          <w:rFonts w:ascii="Times New Roman" w:eastAsia="Times New Roman" w:hAnsi="Times New Roman" w:cs="Times New Roman"/>
          <w:i/>
          <w:iCs/>
          <w:sz w:val="24"/>
          <w:szCs w:val="24"/>
          <w:lang w:eastAsia="en-GB"/>
        </w:rPr>
        <w:t xml:space="preserve"> </w:t>
      </w:r>
      <w:proofErr w:type="spellStart"/>
      <w:r w:rsidRPr="003D5841">
        <w:rPr>
          <w:rFonts w:ascii="Times New Roman" w:eastAsia="Times New Roman" w:hAnsi="Times New Roman" w:cs="Times New Roman"/>
          <w:i/>
          <w:iCs/>
          <w:sz w:val="24"/>
          <w:szCs w:val="24"/>
          <w:lang w:eastAsia="en-GB"/>
        </w:rPr>
        <w:t>canescens</w:t>
      </w:r>
      <w:proofErr w:type="spellEnd"/>
      <w:r w:rsidRPr="003D5841">
        <w:rPr>
          <w:rFonts w:ascii="Times New Roman" w:eastAsia="Times New Roman" w:hAnsi="Times New Roman" w:cs="Times New Roman"/>
          <w:sz w:val="24"/>
          <w:szCs w:val="24"/>
          <w:lang w:eastAsia="en-GB"/>
        </w:rPr>
        <w:t xml:space="preserve"> Ellis &amp; Martin, is a foliar fungal disease that significantly impacts the yield and quality of black gram. The disease manifests as small, circular to irregular brown lesions with greyish </w:t>
      </w:r>
      <w:proofErr w:type="spellStart"/>
      <w:r w:rsidRPr="003D5841">
        <w:rPr>
          <w:rFonts w:ascii="Times New Roman" w:eastAsia="Times New Roman" w:hAnsi="Times New Roman" w:cs="Times New Roman"/>
          <w:sz w:val="24"/>
          <w:szCs w:val="24"/>
          <w:lang w:eastAsia="en-GB"/>
        </w:rPr>
        <w:t>centers</w:t>
      </w:r>
      <w:proofErr w:type="spellEnd"/>
      <w:r w:rsidRPr="003D5841">
        <w:rPr>
          <w:rFonts w:ascii="Times New Roman" w:eastAsia="Times New Roman" w:hAnsi="Times New Roman" w:cs="Times New Roman"/>
          <w:sz w:val="24"/>
          <w:szCs w:val="24"/>
          <w:lang w:eastAsia="en-GB"/>
        </w:rPr>
        <w:t xml:space="preserve"> and reddish margins on leaves, stems, and pods, eventually leading to premature defoliation, poor pod formation, and reduced seed quality (Kumar, Meena, Kumar, Nathawat, &amp; Yadav, 2023). It represents one of the most economically important fungal diseases affecting black gram (</w:t>
      </w:r>
      <w:r w:rsidRPr="003D5841">
        <w:rPr>
          <w:rFonts w:ascii="Times New Roman" w:eastAsia="Times New Roman" w:hAnsi="Times New Roman" w:cs="Times New Roman"/>
          <w:i/>
          <w:iCs/>
          <w:sz w:val="24"/>
          <w:szCs w:val="24"/>
          <w:lang w:eastAsia="en-GB"/>
        </w:rPr>
        <w:t>Vigna mungo</w:t>
      </w:r>
      <w:r w:rsidRPr="003D5841">
        <w:rPr>
          <w:rFonts w:ascii="Times New Roman" w:eastAsia="Times New Roman" w:hAnsi="Times New Roman" w:cs="Times New Roman"/>
          <w:sz w:val="24"/>
          <w:szCs w:val="24"/>
          <w:lang w:eastAsia="en-GB"/>
        </w:rPr>
        <w:t xml:space="preserve"> L.) production globally (Raghuvanshi et al., 2024; Kumar et al., 2023). This disease poses a serious threat to pulse crop cultivation, particularly in major growing regions where environmental conditions </w:t>
      </w:r>
      <w:proofErr w:type="spellStart"/>
      <w:r w:rsidRPr="003D5841">
        <w:rPr>
          <w:rFonts w:ascii="Times New Roman" w:eastAsia="Times New Roman" w:hAnsi="Times New Roman" w:cs="Times New Roman"/>
          <w:sz w:val="24"/>
          <w:szCs w:val="24"/>
          <w:lang w:eastAsia="en-GB"/>
        </w:rPr>
        <w:t>favor</w:t>
      </w:r>
      <w:proofErr w:type="spellEnd"/>
      <w:r w:rsidRPr="003D5841">
        <w:rPr>
          <w:rFonts w:ascii="Times New Roman" w:eastAsia="Times New Roman" w:hAnsi="Times New Roman" w:cs="Times New Roman"/>
          <w:sz w:val="24"/>
          <w:szCs w:val="24"/>
          <w:lang w:eastAsia="en-GB"/>
        </w:rPr>
        <w:t xml:space="preserve"> pathogen development and spread (Kumar, Singh, </w:t>
      </w:r>
      <w:proofErr w:type="spellStart"/>
      <w:r w:rsidRPr="003D5841">
        <w:rPr>
          <w:rFonts w:ascii="Times New Roman" w:eastAsia="Times New Roman" w:hAnsi="Times New Roman" w:cs="Times New Roman"/>
          <w:sz w:val="24"/>
          <w:szCs w:val="24"/>
          <w:lang w:eastAsia="en-GB"/>
        </w:rPr>
        <w:t>Lakhran</w:t>
      </w:r>
      <w:proofErr w:type="spellEnd"/>
      <w:r w:rsidRPr="003D5841">
        <w:rPr>
          <w:rFonts w:ascii="Times New Roman" w:eastAsia="Times New Roman" w:hAnsi="Times New Roman" w:cs="Times New Roman"/>
          <w:sz w:val="24"/>
          <w:szCs w:val="24"/>
          <w:lang w:eastAsia="en-GB"/>
        </w:rPr>
        <w:t>, Prajapati, &amp; Maurya, 2022). In severe infections, CLS severely affects foliation and can result in damage to the entire crop, highlighting the need for comprehensive management approaches that integrate multiple control strategies.</w:t>
      </w:r>
      <w:r>
        <w:rPr>
          <w:rFonts w:ascii="Times New Roman" w:eastAsia="Times New Roman" w:hAnsi="Times New Roman" w:cs="Times New Roman"/>
          <w:sz w:val="24"/>
          <w:szCs w:val="24"/>
          <w:lang w:eastAsia="en-GB"/>
        </w:rPr>
        <w:t xml:space="preserve"> </w:t>
      </w:r>
      <w:r w:rsidR="0005751E" w:rsidRPr="0005751E">
        <w:rPr>
          <w:rFonts w:ascii="Times New Roman" w:eastAsia="Times New Roman" w:hAnsi="Times New Roman" w:cs="Times New Roman"/>
          <w:sz w:val="24"/>
          <w:szCs w:val="24"/>
          <w:lang w:eastAsia="en-GB"/>
        </w:rPr>
        <w:t xml:space="preserve">Cercospora leaf spot causes substantial economic losses in black gram production. Yield losses can reach 50-70% in severely infected crops, particularly in major growing areas </w:t>
      </w:r>
      <w:r w:rsidR="0005751E">
        <w:rPr>
          <w:rFonts w:ascii="Times New Roman" w:eastAsia="Times New Roman" w:hAnsi="Times New Roman" w:cs="Times New Roman"/>
          <w:sz w:val="24"/>
          <w:szCs w:val="24"/>
          <w:lang w:eastAsia="en-GB"/>
        </w:rPr>
        <w:t>(</w:t>
      </w:r>
      <w:r w:rsidR="0005751E" w:rsidRPr="0005751E">
        <w:rPr>
          <w:rFonts w:ascii="Times New Roman" w:eastAsia="Times New Roman" w:hAnsi="Times New Roman" w:cs="Times New Roman"/>
          <w:sz w:val="24"/>
          <w:szCs w:val="24"/>
          <w:lang w:eastAsia="en-GB"/>
        </w:rPr>
        <w:t>Raghuvanshi</w:t>
      </w:r>
      <w:r w:rsidR="0005751E" w:rsidRPr="003D5841">
        <w:rPr>
          <w:rFonts w:ascii="Times New Roman" w:eastAsia="Times New Roman" w:hAnsi="Times New Roman" w:cs="Times New Roman"/>
          <w:sz w:val="24"/>
          <w:szCs w:val="24"/>
          <w:lang w:eastAsia="en-GB"/>
        </w:rPr>
        <w:t xml:space="preserve"> et al., 202</w:t>
      </w:r>
      <w:r w:rsidR="0005751E">
        <w:rPr>
          <w:rFonts w:ascii="Times New Roman" w:eastAsia="Times New Roman" w:hAnsi="Times New Roman" w:cs="Times New Roman"/>
          <w:sz w:val="24"/>
          <w:szCs w:val="24"/>
          <w:lang w:eastAsia="en-GB"/>
        </w:rPr>
        <w:t>4)</w:t>
      </w:r>
      <w:r w:rsidR="0005751E" w:rsidRPr="0005751E">
        <w:rPr>
          <w:rFonts w:ascii="Times New Roman" w:eastAsia="Times New Roman" w:hAnsi="Times New Roman" w:cs="Times New Roman"/>
          <w:sz w:val="24"/>
          <w:szCs w:val="24"/>
          <w:lang w:eastAsia="en-GB"/>
        </w:rPr>
        <w:t xml:space="preserve"> The disease affects both quantity and quality of produce through premature defoliation and reduction in pod and grain size </w:t>
      </w:r>
      <w:r w:rsidR="0005751E">
        <w:rPr>
          <w:rFonts w:ascii="Times New Roman" w:eastAsia="Times New Roman" w:hAnsi="Times New Roman" w:cs="Times New Roman"/>
          <w:sz w:val="24"/>
          <w:szCs w:val="24"/>
          <w:lang w:eastAsia="en-GB"/>
        </w:rPr>
        <w:t>(</w:t>
      </w:r>
      <w:r w:rsidR="0005751E" w:rsidRPr="003D5841">
        <w:rPr>
          <w:rFonts w:ascii="Times New Roman" w:eastAsia="Times New Roman" w:hAnsi="Times New Roman" w:cs="Times New Roman"/>
          <w:sz w:val="24"/>
          <w:szCs w:val="24"/>
          <w:lang w:eastAsia="en-GB"/>
        </w:rPr>
        <w:t>Kumar et al., 2023</w:t>
      </w:r>
      <w:r w:rsidR="0005751E">
        <w:rPr>
          <w:rFonts w:ascii="Times New Roman" w:eastAsia="Times New Roman" w:hAnsi="Times New Roman" w:cs="Times New Roman"/>
          <w:sz w:val="24"/>
          <w:szCs w:val="24"/>
          <w:lang w:eastAsia="en-GB"/>
        </w:rPr>
        <w:t>)</w:t>
      </w:r>
      <w:r w:rsidR="0005751E" w:rsidRPr="0005751E">
        <w:rPr>
          <w:rFonts w:ascii="Times New Roman" w:eastAsia="Times New Roman" w:hAnsi="Times New Roman" w:cs="Times New Roman"/>
          <w:sz w:val="24"/>
          <w:szCs w:val="24"/>
          <w:lang w:eastAsia="en-GB"/>
        </w:rPr>
        <w:t xml:space="preserve">. </w:t>
      </w:r>
      <w:r w:rsidR="00D826BC" w:rsidRPr="00D826BC">
        <w:rPr>
          <w:rFonts w:ascii="Times New Roman" w:eastAsia="Times New Roman" w:hAnsi="Times New Roman" w:cs="Times New Roman"/>
          <w:sz w:val="24"/>
          <w:szCs w:val="24"/>
          <w:lang w:eastAsia="en-GB"/>
        </w:rPr>
        <w:t>(Hashmi et al., 2024). Reported yield losses due to CLS range from 23% to as high as 61% under severe epidemics (Iqbal et al., 1995; Grewal et al., 1980).</w:t>
      </w:r>
    </w:p>
    <w:p w14:paraId="4BFAB57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commentRangeStart w:id="0"/>
      <w:r w:rsidRPr="00D826BC">
        <w:rPr>
          <w:rFonts w:ascii="Times New Roman" w:eastAsia="Times New Roman" w:hAnsi="Times New Roman" w:cs="Times New Roman"/>
          <w:sz w:val="24"/>
          <w:szCs w:val="24"/>
          <w:lang w:eastAsia="en-GB"/>
        </w:rPr>
        <w:t>Historically, the management of CLS has relied heavily on chemical fungicides such as carbendazim, mancozeb, and chlorothalonil. These fungicides have been effective in reducing disease incidence and severity when applied timely after symptom appearance (Prasad et al., 2024). However, continuous use of synthetic chemicals poses environmental risks and can lead to the development of fungicide resistance in pathogen populations. Moreover, the high cost of chemical fungicides limits their adoption by resource-poor farmers.</w:t>
      </w:r>
      <w:commentRangeEnd w:id="0"/>
      <w:r w:rsidR="003E7A61">
        <w:rPr>
          <w:rStyle w:val="Refdecomentario"/>
        </w:rPr>
        <w:commentReference w:id="0"/>
      </w:r>
    </w:p>
    <w:p w14:paraId="6C0F910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In recent years, attention has shifted toward eco-friendly and sustainable disease management approaches. Botanicals such as neem (</w:t>
      </w:r>
      <w:proofErr w:type="spellStart"/>
      <w:r w:rsidRPr="00D826BC">
        <w:rPr>
          <w:rFonts w:ascii="Times New Roman" w:eastAsia="Times New Roman" w:hAnsi="Times New Roman" w:cs="Times New Roman"/>
          <w:i/>
          <w:iCs/>
          <w:sz w:val="24"/>
          <w:szCs w:val="24"/>
          <w:lang w:eastAsia="en-GB"/>
        </w:rPr>
        <w:t>Azadirachta</w:t>
      </w:r>
      <w:proofErr w:type="spellEnd"/>
      <w:r w:rsidRPr="00D826BC">
        <w:rPr>
          <w:rFonts w:ascii="Times New Roman" w:eastAsia="Times New Roman" w:hAnsi="Times New Roman" w:cs="Times New Roman"/>
          <w:i/>
          <w:iCs/>
          <w:sz w:val="24"/>
          <w:szCs w:val="24"/>
          <w:lang w:eastAsia="en-GB"/>
        </w:rPr>
        <w:t xml:space="preserve"> indica</w:t>
      </w:r>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sz w:val="24"/>
          <w:szCs w:val="24"/>
          <w:lang w:eastAsia="en-GB"/>
        </w:rPr>
        <w:t>tulsi</w:t>
      </w:r>
      <w:proofErr w:type="spellEnd"/>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Ocimum</w:t>
      </w:r>
      <w:proofErr w:type="spellEnd"/>
      <w:r w:rsidRPr="00D826BC">
        <w:rPr>
          <w:rFonts w:ascii="Times New Roman" w:eastAsia="Times New Roman" w:hAnsi="Times New Roman" w:cs="Times New Roman"/>
          <w:i/>
          <w:iCs/>
          <w:sz w:val="24"/>
          <w:szCs w:val="24"/>
          <w:lang w:eastAsia="en-GB"/>
        </w:rPr>
        <w:t xml:space="preserve"> sanctum</w:t>
      </w:r>
      <w:r w:rsidRPr="00D826BC">
        <w:rPr>
          <w:rFonts w:ascii="Times New Roman" w:eastAsia="Times New Roman" w:hAnsi="Times New Roman" w:cs="Times New Roman"/>
          <w:sz w:val="24"/>
          <w:szCs w:val="24"/>
          <w:lang w:eastAsia="en-GB"/>
        </w:rPr>
        <w:t>), and datura (</w:t>
      </w:r>
      <w:r w:rsidRPr="00D826BC">
        <w:rPr>
          <w:rFonts w:ascii="Times New Roman" w:eastAsia="Times New Roman" w:hAnsi="Times New Roman" w:cs="Times New Roman"/>
          <w:i/>
          <w:iCs/>
          <w:sz w:val="24"/>
          <w:szCs w:val="24"/>
          <w:lang w:eastAsia="en-GB"/>
        </w:rPr>
        <w:t>Datura stramonium</w:t>
      </w:r>
      <w:r w:rsidRPr="00D826BC">
        <w:rPr>
          <w:rFonts w:ascii="Times New Roman" w:eastAsia="Times New Roman" w:hAnsi="Times New Roman" w:cs="Times New Roman"/>
          <w:sz w:val="24"/>
          <w:szCs w:val="24"/>
          <w:lang w:eastAsia="en-GB"/>
        </w:rPr>
        <w:t xml:space="preserve">) have demonstrated promising antifungal activity against </w:t>
      </w:r>
      <w:r w:rsidRPr="00D826BC">
        <w:rPr>
          <w:rFonts w:ascii="Times New Roman" w:eastAsia="Times New Roman" w:hAnsi="Times New Roman" w:cs="Times New Roman"/>
          <w:i/>
          <w:iCs/>
          <w:sz w:val="24"/>
          <w:szCs w:val="24"/>
          <w:lang w:eastAsia="en-GB"/>
        </w:rPr>
        <w:t xml:space="preserve">C.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in both laboratory and field conditions (Hashmi et al., 2024; Kumar et al., 2022). These plant extracts inhibit the radial mycelial growth of the pathogen and reduce disease incidence when </w:t>
      </w:r>
      <w:r w:rsidRPr="00D826BC">
        <w:rPr>
          <w:rFonts w:ascii="Times New Roman" w:eastAsia="Times New Roman" w:hAnsi="Times New Roman" w:cs="Times New Roman"/>
          <w:sz w:val="24"/>
          <w:szCs w:val="24"/>
          <w:lang w:eastAsia="en-GB"/>
        </w:rPr>
        <w:lastRenderedPageBreak/>
        <w:t>applied as foliar sprays. For instance, neem extract at 10% concentration significantly decreased disease severity in black gram fields (Hashmi et al., 2024).</w:t>
      </w:r>
    </w:p>
    <w:p w14:paraId="2C3AD537"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In addition to botanicals, biocontrol agents like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i/>
          <w:iCs/>
          <w:sz w:val="24"/>
          <w:szCs w:val="24"/>
          <w:lang w:eastAsia="en-GB"/>
        </w:rPr>
        <w:t>Bacillus subtilis</w:t>
      </w:r>
      <w:r w:rsidRPr="00D826BC">
        <w:rPr>
          <w:rFonts w:ascii="Times New Roman" w:eastAsia="Times New Roman" w:hAnsi="Times New Roman" w:cs="Times New Roman"/>
          <w:sz w:val="24"/>
          <w:szCs w:val="24"/>
          <w:lang w:eastAsia="en-GB"/>
        </w:rPr>
        <w:t xml:space="preserve">, and </w:t>
      </w:r>
      <w:r w:rsidRPr="00D826BC">
        <w:rPr>
          <w:rFonts w:ascii="Times New Roman" w:eastAsia="Times New Roman" w:hAnsi="Times New Roman" w:cs="Times New Roman"/>
          <w:i/>
          <w:iCs/>
          <w:sz w:val="24"/>
          <w:szCs w:val="24"/>
          <w:lang w:eastAsia="en-GB"/>
        </w:rPr>
        <w:t>Bacillus thuringiensis</w:t>
      </w:r>
      <w:r w:rsidRPr="00D826BC">
        <w:rPr>
          <w:rFonts w:ascii="Times New Roman" w:eastAsia="Times New Roman" w:hAnsi="Times New Roman" w:cs="Times New Roman"/>
          <w:sz w:val="24"/>
          <w:szCs w:val="24"/>
          <w:lang w:eastAsia="en-GB"/>
        </w:rPr>
        <w:t xml:space="preserve"> have gained recognition for their role in suppressing fungal pathogens through mechanisms such as mycoparasitism, competition, and production of antifungal metabolites (Yadav et al., 2024). Studies have shown that foliar application of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can reduce CLS incidence by more than 40% and improve grain yield by up to 14.75 q/ha compared to untreated controls (Hashmi et al., 2024). Integration of these biocontrol agents with botanicals in an organic management framework offers a viable alternative to chemical control and aligns with the principles of integrated disease management (IDM).</w:t>
      </w:r>
    </w:p>
    <w:p w14:paraId="5833A77F" w14:textId="2EFF0BA0" w:rsidR="00860B50" w:rsidRPr="00860B50" w:rsidRDefault="00D826BC" w:rsidP="007C11B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Given the economic importance of black gram and the threat posed by CLS, it is essential to explore effective, sustainable strategies for disease management. The present study aims to investigate the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from infected black gram plants and evaluate various management practices, including botanicals, bio-agents, and chemical treatments, under controlled conditions. Emphasis is placed on identifying cost-effective and environmentally benign options suitable for smallholder farmers, thereby contributing to improved crop productivity and sustainable agriculture.</w:t>
      </w:r>
    </w:p>
    <w:p w14:paraId="50ADA998" w14:textId="63F43D38" w:rsidR="00860B50" w:rsidRPr="00860B50" w:rsidRDefault="006B09BD"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2.1 </w:t>
      </w:r>
      <w:r w:rsidR="00860B50" w:rsidRPr="00860B50">
        <w:rPr>
          <w:rFonts w:ascii="Times New Roman" w:eastAsia="Times New Roman" w:hAnsi="Times New Roman" w:cs="Times New Roman"/>
          <w:b/>
          <w:bCs/>
          <w:sz w:val="24"/>
          <w:szCs w:val="24"/>
          <w:lang w:eastAsia="en-GB"/>
        </w:rPr>
        <w:t>MATERIALS AND METHODS</w:t>
      </w:r>
    </w:p>
    <w:p w14:paraId="3150051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Experimental Site and Season</w:t>
      </w:r>
    </w:p>
    <w:p w14:paraId="58C00112" w14:textId="31D75500" w:rsidR="00860B50" w:rsidRPr="00860B50" w:rsidRDefault="00860B50" w:rsidP="006B09B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present study on the isolation and management of </w:t>
      </w:r>
      <w:r w:rsidRPr="00860B50">
        <w:rPr>
          <w:rFonts w:ascii="Times New Roman" w:eastAsia="Times New Roman" w:hAnsi="Times New Roman" w:cs="Times New Roman"/>
          <w:i/>
          <w:iCs/>
          <w:sz w:val="24"/>
          <w:szCs w:val="24"/>
          <w:lang w:eastAsia="en-GB"/>
        </w:rPr>
        <w:t>Cercospora leaf spot</w:t>
      </w:r>
      <w:r w:rsidRPr="00860B50">
        <w:rPr>
          <w:rFonts w:ascii="Times New Roman" w:eastAsia="Times New Roman" w:hAnsi="Times New Roman" w:cs="Times New Roman"/>
          <w:sz w:val="24"/>
          <w:szCs w:val="24"/>
          <w:lang w:eastAsia="en-GB"/>
        </w:rPr>
        <w:t xml:space="preserve"> (CLS) of black gram (</w:t>
      </w:r>
      <w:r w:rsidRPr="00860B50">
        <w:rPr>
          <w:rFonts w:ascii="Times New Roman" w:eastAsia="Times New Roman" w:hAnsi="Times New Roman" w:cs="Times New Roman"/>
          <w:i/>
          <w:iCs/>
          <w:sz w:val="24"/>
          <w:szCs w:val="24"/>
          <w:lang w:eastAsia="en-GB"/>
        </w:rPr>
        <w:t>Vigna mungo</w:t>
      </w:r>
      <w:r w:rsidRPr="00860B50">
        <w:rPr>
          <w:rFonts w:ascii="Times New Roman" w:eastAsia="Times New Roman" w:hAnsi="Times New Roman" w:cs="Times New Roman"/>
          <w:sz w:val="24"/>
          <w:szCs w:val="24"/>
          <w:lang w:eastAsia="en-GB"/>
        </w:rPr>
        <w:t xml:space="preserve"> (L.)) was conducted during Kharif 2024 at the Chemical Research Farm</w:t>
      </w:r>
      <w:r w:rsidRPr="00860B50">
        <w:rPr>
          <w:rFonts w:ascii="Times New Roman" w:eastAsia="Times New Roman" w:hAnsi="Times New Roman" w:cs="Times New Roman"/>
          <w:b/>
          <w:bCs/>
          <w:sz w:val="24"/>
          <w:szCs w:val="24"/>
          <w:lang w:eastAsia="en-GB"/>
        </w:rPr>
        <w:t xml:space="preserve">, </w:t>
      </w:r>
      <w:r w:rsidRPr="00860B50">
        <w:rPr>
          <w:rFonts w:ascii="Times New Roman" w:eastAsia="Times New Roman" w:hAnsi="Times New Roman" w:cs="Times New Roman"/>
          <w:sz w:val="24"/>
          <w:szCs w:val="24"/>
          <w:lang w:eastAsia="en-GB"/>
        </w:rPr>
        <w:t>Department of Plant Pathology, Institute of Agricultural Sciences, Bundelkhand University, Jhansi, Uttar Pradesh, India. The field was prepared following standard agronomic practices. The experiment was laid out using Randomized Block Design (RBD) with nine treatments and three replications. The black gram variety used for the experiment was ‘Alankar’, which is known to be highly susceptible to CLS.</w:t>
      </w:r>
    </w:p>
    <w:p w14:paraId="58F5FF42"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Disease Rating Scale</w:t>
      </w:r>
    </w:p>
    <w:p w14:paraId="704E5A25" w14:textId="79B24F56"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 xml:space="preserve">The intensity of CLS symptoms was evaluated based on the Mayee and Datar (1986) 1–9 scale (Table 1), which categorizes foliage infection into qualitative disease reactions ranging from “free” to “highly </w:t>
      </w:r>
      <w:r w:rsidR="007C560B">
        <w:rPr>
          <w:rFonts w:ascii="Times New Roman" w:eastAsia="Times New Roman" w:hAnsi="Times New Roman" w:cs="Times New Roman"/>
          <w:sz w:val="24"/>
          <w:szCs w:val="24"/>
          <w:lang w:eastAsia="en-GB"/>
        </w:rPr>
        <w:t>susceptible.”</w:t>
      </w:r>
    </w:p>
    <w:p w14:paraId="08E52F1C" w14:textId="7C824581"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Table 1: Disease rating scale for Cercospora Leaf Spot</w:t>
      </w:r>
    </w:p>
    <w:tbl>
      <w:tblPr>
        <w:tblW w:w="878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134"/>
        <w:gridCol w:w="2835"/>
        <w:gridCol w:w="2835"/>
      </w:tblGrid>
      <w:tr w:rsidR="009A7BED" w:rsidRPr="00860B50" w14:paraId="67235647" w14:textId="77777777" w:rsidTr="009A7BED">
        <w:trPr>
          <w:trHeight w:val="295"/>
          <w:tblHeader/>
          <w:tblCellSpacing w:w="15" w:type="dxa"/>
          <w:jc w:val="center"/>
        </w:trPr>
        <w:tc>
          <w:tcPr>
            <w:tcW w:w="1935" w:type="dxa"/>
            <w:vAlign w:val="center"/>
            <w:hideMark/>
          </w:tcPr>
          <w:p w14:paraId="5B4D0DC7"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Sl. No.</w:t>
            </w:r>
          </w:p>
        </w:tc>
        <w:tc>
          <w:tcPr>
            <w:tcW w:w="1104" w:type="dxa"/>
            <w:vAlign w:val="center"/>
            <w:hideMark/>
          </w:tcPr>
          <w:p w14:paraId="36166582"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Grade</w:t>
            </w:r>
          </w:p>
        </w:tc>
        <w:tc>
          <w:tcPr>
            <w:tcW w:w="2805" w:type="dxa"/>
            <w:vAlign w:val="center"/>
            <w:hideMark/>
          </w:tcPr>
          <w:p w14:paraId="1440FA61"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 Foliage Affected</w:t>
            </w:r>
          </w:p>
        </w:tc>
        <w:tc>
          <w:tcPr>
            <w:tcW w:w="2790" w:type="dxa"/>
            <w:vAlign w:val="center"/>
            <w:hideMark/>
          </w:tcPr>
          <w:p w14:paraId="1BD22006"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Reaction</w:t>
            </w:r>
          </w:p>
        </w:tc>
      </w:tr>
      <w:tr w:rsidR="009A7BED" w:rsidRPr="00860B50" w14:paraId="18178BCD" w14:textId="77777777" w:rsidTr="009A7BED">
        <w:trPr>
          <w:trHeight w:val="295"/>
          <w:tblCellSpacing w:w="15" w:type="dxa"/>
          <w:jc w:val="center"/>
        </w:trPr>
        <w:tc>
          <w:tcPr>
            <w:tcW w:w="1935" w:type="dxa"/>
            <w:vAlign w:val="center"/>
            <w:hideMark/>
          </w:tcPr>
          <w:p w14:paraId="51B1C2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1104" w:type="dxa"/>
            <w:vAlign w:val="center"/>
            <w:hideMark/>
          </w:tcPr>
          <w:p w14:paraId="2B77DC0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2805" w:type="dxa"/>
            <w:vAlign w:val="center"/>
            <w:hideMark/>
          </w:tcPr>
          <w:p w14:paraId="304049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No infection</w:t>
            </w:r>
          </w:p>
        </w:tc>
        <w:tc>
          <w:tcPr>
            <w:tcW w:w="2790" w:type="dxa"/>
            <w:vAlign w:val="center"/>
            <w:hideMark/>
          </w:tcPr>
          <w:p w14:paraId="2D4A57D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Free</w:t>
            </w:r>
          </w:p>
        </w:tc>
      </w:tr>
      <w:tr w:rsidR="009A7BED" w:rsidRPr="00860B50" w14:paraId="6C3218F5" w14:textId="77777777" w:rsidTr="009A7BED">
        <w:trPr>
          <w:trHeight w:val="295"/>
          <w:tblCellSpacing w:w="15" w:type="dxa"/>
          <w:jc w:val="center"/>
        </w:trPr>
        <w:tc>
          <w:tcPr>
            <w:tcW w:w="1935" w:type="dxa"/>
            <w:vAlign w:val="center"/>
            <w:hideMark/>
          </w:tcPr>
          <w:p w14:paraId="5A5AE4A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1104" w:type="dxa"/>
            <w:vAlign w:val="center"/>
            <w:hideMark/>
          </w:tcPr>
          <w:p w14:paraId="6C02C8C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2805" w:type="dxa"/>
            <w:vAlign w:val="center"/>
            <w:hideMark/>
          </w:tcPr>
          <w:p w14:paraId="41DEADD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2790" w:type="dxa"/>
            <w:vAlign w:val="center"/>
            <w:hideMark/>
          </w:tcPr>
          <w:p w14:paraId="16C0596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Resistant</w:t>
            </w:r>
          </w:p>
        </w:tc>
      </w:tr>
      <w:tr w:rsidR="009A7BED" w:rsidRPr="00860B50" w14:paraId="6BF64DC0" w14:textId="77777777" w:rsidTr="009A7BED">
        <w:trPr>
          <w:trHeight w:val="274"/>
          <w:tblCellSpacing w:w="15" w:type="dxa"/>
          <w:jc w:val="center"/>
        </w:trPr>
        <w:tc>
          <w:tcPr>
            <w:tcW w:w="1935" w:type="dxa"/>
            <w:vAlign w:val="center"/>
            <w:hideMark/>
          </w:tcPr>
          <w:p w14:paraId="58F461B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1104" w:type="dxa"/>
            <w:vAlign w:val="center"/>
            <w:hideMark/>
          </w:tcPr>
          <w:p w14:paraId="3255AD4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2805" w:type="dxa"/>
            <w:vAlign w:val="center"/>
            <w:hideMark/>
          </w:tcPr>
          <w:p w14:paraId="1BE56A0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5–10%</w:t>
            </w:r>
          </w:p>
        </w:tc>
        <w:tc>
          <w:tcPr>
            <w:tcW w:w="2790" w:type="dxa"/>
            <w:vAlign w:val="center"/>
            <w:hideMark/>
          </w:tcPr>
          <w:p w14:paraId="4B21D50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Resistant</w:t>
            </w:r>
          </w:p>
        </w:tc>
      </w:tr>
      <w:tr w:rsidR="009A7BED" w:rsidRPr="00860B50" w14:paraId="20A489FC" w14:textId="77777777" w:rsidTr="009A7BED">
        <w:trPr>
          <w:trHeight w:val="295"/>
          <w:tblCellSpacing w:w="15" w:type="dxa"/>
          <w:jc w:val="center"/>
        </w:trPr>
        <w:tc>
          <w:tcPr>
            <w:tcW w:w="1935" w:type="dxa"/>
            <w:vAlign w:val="center"/>
            <w:hideMark/>
          </w:tcPr>
          <w:p w14:paraId="6311A14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1104" w:type="dxa"/>
            <w:vAlign w:val="center"/>
            <w:hideMark/>
          </w:tcPr>
          <w:p w14:paraId="36651B9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2805" w:type="dxa"/>
            <w:vAlign w:val="center"/>
            <w:hideMark/>
          </w:tcPr>
          <w:p w14:paraId="5FE0B1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11–15%</w:t>
            </w:r>
          </w:p>
        </w:tc>
        <w:tc>
          <w:tcPr>
            <w:tcW w:w="2790" w:type="dxa"/>
            <w:vAlign w:val="center"/>
            <w:hideMark/>
          </w:tcPr>
          <w:p w14:paraId="4A0AEF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Resistant</w:t>
            </w:r>
          </w:p>
        </w:tc>
      </w:tr>
      <w:tr w:rsidR="009A7BED" w:rsidRPr="00860B50" w14:paraId="77020B59" w14:textId="77777777" w:rsidTr="009A7BED">
        <w:trPr>
          <w:trHeight w:val="295"/>
          <w:tblCellSpacing w:w="15" w:type="dxa"/>
          <w:jc w:val="center"/>
        </w:trPr>
        <w:tc>
          <w:tcPr>
            <w:tcW w:w="1935" w:type="dxa"/>
            <w:vAlign w:val="center"/>
            <w:hideMark/>
          </w:tcPr>
          <w:p w14:paraId="634E455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1104" w:type="dxa"/>
            <w:vAlign w:val="center"/>
            <w:hideMark/>
          </w:tcPr>
          <w:p w14:paraId="4CC5F3D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2805" w:type="dxa"/>
            <w:vAlign w:val="center"/>
            <w:hideMark/>
          </w:tcPr>
          <w:p w14:paraId="6127660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15–20%</w:t>
            </w:r>
          </w:p>
        </w:tc>
        <w:tc>
          <w:tcPr>
            <w:tcW w:w="2790" w:type="dxa"/>
            <w:vAlign w:val="center"/>
            <w:hideMark/>
          </w:tcPr>
          <w:p w14:paraId="3F81F0D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Susceptible</w:t>
            </w:r>
          </w:p>
        </w:tc>
      </w:tr>
      <w:tr w:rsidR="009A7BED" w:rsidRPr="00860B50" w14:paraId="6C2E3EA1" w14:textId="77777777" w:rsidTr="009A7BED">
        <w:trPr>
          <w:trHeight w:val="295"/>
          <w:tblCellSpacing w:w="15" w:type="dxa"/>
          <w:jc w:val="center"/>
        </w:trPr>
        <w:tc>
          <w:tcPr>
            <w:tcW w:w="1935" w:type="dxa"/>
            <w:vAlign w:val="center"/>
            <w:hideMark/>
          </w:tcPr>
          <w:p w14:paraId="247A56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1104" w:type="dxa"/>
            <w:vAlign w:val="center"/>
            <w:hideMark/>
          </w:tcPr>
          <w:p w14:paraId="0466D7F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2805" w:type="dxa"/>
            <w:vAlign w:val="center"/>
            <w:hideMark/>
          </w:tcPr>
          <w:p w14:paraId="7878B65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21–30%</w:t>
            </w:r>
          </w:p>
        </w:tc>
        <w:tc>
          <w:tcPr>
            <w:tcW w:w="2790" w:type="dxa"/>
            <w:vAlign w:val="center"/>
            <w:hideMark/>
          </w:tcPr>
          <w:p w14:paraId="49F8E32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66FCE082" w14:textId="77777777" w:rsidTr="009A7BED">
        <w:trPr>
          <w:trHeight w:val="295"/>
          <w:tblCellSpacing w:w="15" w:type="dxa"/>
          <w:jc w:val="center"/>
        </w:trPr>
        <w:tc>
          <w:tcPr>
            <w:tcW w:w="1935" w:type="dxa"/>
            <w:vAlign w:val="center"/>
            <w:hideMark/>
          </w:tcPr>
          <w:p w14:paraId="452597E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1104" w:type="dxa"/>
            <w:vAlign w:val="center"/>
            <w:hideMark/>
          </w:tcPr>
          <w:p w14:paraId="4E425F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2805" w:type="dxa"/>
            <w:vAlign w:val="center"/>
            <w:hideMark/>
          </w:tcPr>
          <w:p w14:paraId="63549E6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31–50%</w:t>
            </w:r>
          </w:p>
        </w:tc>
        <w:tc>
          <w:tcPr>
            <w:tcW w:w="2790" w:type="dxa"/>
            <w:vAlign w:val="center"/>
            <w:hideMark/>
          </w:tcPr>
          <w:p w14:paraId="404D0D1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4BB35751" w14:textId="77777777" w:rsidTr="009A7BED">
        <w:trPr>
          <w:trHeight w:val="274"/>
          <w:tblCellSpacing w:w="15" w:type="dxa"/>
          <w:jc w:val="center"/>
        </w:trPr>
        <w:tc>
          <w:tcPr>
            <w:tcW w:w="1935" w:type="dxa"/>
            <w:vAlign w:val="center"/>
            <w:hideMark/>
          </w:tcPr>
          <w:p w14:paraId="0E3DC6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1104" w:type="dxa"/>
            <w:vAlign w:val="center"/>
            <w:hideMark/>
          </w:tcPr>
          <w:p w14:paraId="72ED411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2805" w:type="dxa"/>
            <w:vAlign w:val="center"/>
            <w:hideMark/>
          </w:tcPr>
          <w:p w14:paraId="12E7671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51–75%</w:t>
            </w:r>
          </w:p>
        </w:tc>
        <w:tc>
          <w:tcPr>
            <w:tcW w:w="2790" w:type="dxa"/>
            <w:vAlign w:val="center"/>
            <w:hideMark/>
          </w:tcPr>
          <w:p w14:paraId="526A1BA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r w:rsidR="009A7BED" w:rsidRPr="00860B50" w14:paraId="55CB4B79" w14:textId="77777777" w:rsidTr="009A7BED">
        <w:trPr>
          <w:trHeight w:val="295"/>
          <w:tblCellSpacing w:w="15" w:type="dxa"/>
          <w:jc w:val="center"/>
        </w:trPr>
        <w:tc>
          <w:tcPr>
            <w:tcW w:w="1935" w:type="dxa"/>
            <w:vAlign w:val="center"/>
            <w:hideMark/>
          </w:tcPr>
          <w:p w14:paraId="3A29981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1104" w:type="dxa"/>
            <w:vAlign w:val="center"/>
            <w:hideMark/>
          </w:tcPr>
          <w:p w14:paraId="68BD7AA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2805" w:type="dxa"/>
            <w:vAlign w:val="center"/>
            <w:hideMark/>
          </w:tcPr>
          <w:p w14:paraId="48167A7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Above 75%</w:t>
            </w:r>
          </w:p>
        </w:tc>
        <w:tc>
          <w:tcPr>
            <w:tcW w:w="2790" w:type="dxa"/>
            <w:vAlign w:val="center"/>
            <w:hideMark/>
          </w:tcPr>
          <w:p w14:paraId="2165B48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bl>
    <w:p w14:paraId="731B5624" w14:textId="561EAA5D"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7AC4A693"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Details</w:t>
      </w:r>
    </w:p>
    <w:p w14:paraId="65374D36" w14:textId="77777777"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A total of nine treatments including bio-agents, botanicals, fungicides, and a control were evaluated under natural field conditions. The treatment details are presented in Table 2.</w:t>
      </w:r>
    </w:p>
    <w:p w14:paraId="1599FB8B" w14:textId="2CB1707B"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Table 2: Treatment Details Used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3275"/>
        <w:gridCol w:w="1560"/>
        <w:gridCol w:w="2657"/>
      </w:tblGrid>
      <w:tr w:rsidR="00860B50" w:rsidRPr="00860B50" w14:paraId="70A185FD" w14:textId="77777777" w:rsidTr="00204FCA">
        <w:trPr>
          <w:tblHeader/>
          <w:tblCellSpacing w:w="15" w:type="dxa"/>
        </w:trPr>
        <w:tc>
          <w:tcPr>
            <w:tcW w:w="0" w:type="auto"/>
            <w:vAlign w:val="center"/>
            <w:hideMark/>
          </w:tcPr>
          <w:p w14:paraId="4F53BEB0"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Code</w:t>
            </w:r>
          </w:p>
        </w:tc>
        <w:tc>
          <w:tcPr>
            <w:tcW w:w="0" w:type="auto"/>
            <w:vAlign w:val="center"/>
            <w:hideMark/>
          </w:tcPr>
          <w:p w14:paraId="5AC752CF"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Description</w:t>
            </w:r>
          </w:p>
        </w:tc>
        <w:tc>
          <w:tcPr>
            <w:tcW w:w="0" w:type="auto"/>
            <w:vAlign w:val="center"/>
            <w:hideMark/>
          </w:tcPr>
          <w:p w14:paraId="2BC0A61E"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Concentration</w:t>
            </w:r>
          </w:p>
        </w:tc>
        <w:tc>
          <w:tcPr>
            <w:tcW w:w="0" w:type="auto"/>
            <w:vAlign w:val="center"/>
            <w:hideMark/>
          </w:tcPr>
          <w:p w14:paraId="18B19B5A"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Source/Manufacturer</w:t>
            </w:r>
          </w:p>
        </w:tc>
      </w:tr>
      <w:tr w:rsidR="00860B50" w:rsidRPr="00860B50" w14:paraId="061A6331" w14:textId="77777777" w:rsidTr="00204FCA">
        <w:trPr>
          <w:tblCellSpacing w:w="15" w:type="dxa"/>
        </w:trPr>
        <w:tc>
          <w:tcPr>
            <w:tcW w:w="0" w:type="auto"/>
            <w:vAlign w:val="center"/>
            <w:hideMark/>
          </w:tcPr>
          <w:p w14:paraId="7F9E20E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T₀</w:t>
            </w:r>
          </w:p>
        </w:tc>
        <w:tc>
          <w:tcPr>
            <w:tcW w:w="0" w:type="auto"/>
            <w:vAlign w:val="center"/>
            <w:hideMark/>
          </w:tcPr>
          <w:p w14:paraId="7060868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Control (untreated)</w:t>
            </w:r>
          </w:p>
        </w:tc>
        <w:tc>
          <w:tcPr>
            <w:tcW w:w="0" w:type="auto"/>
            <w:vAlign w:val="center"/>
            <w:hideMark/>
          </w:tcPr>
          <w:p w14:paraId="421679D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c>
          <w:tcPr>
            <w:tcW w:w="0" w:type="auto"/>
            <w:vAlign w:val="center"/>
            <w:hideMark/>
          </w:tcPr>
          <w:p w14:paraId="734DAE0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r>
      <w:tr w:rsidR="00860B50" w:rsidRPr="00860B50" w14:paraId="1E792E52" w14:textId="77777777" w:rsidTr="00204FCA">
        <w:trPr>
          <w:tblCellSpacing w:w="15" w:type="dxa"/>
        </w:trPr>
        <w:tc>
          <w:tcPr>
            <w:tcW w:w="0" w:type="auto"/>
            <w:vAlign w:val="center"/>
            <w:hideMark/>
          </w:tcPr>
          <w:p w14:paraId="3D5C131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T₁</w:t>
            </w:r>
          </w:p>
        </w:tc>
        <w:tc>
          <w:tcPr>
            <w:tcW w:w="0" w:type="auto"/>
            <w:vAlign w:val="center"/>
            <w:hideMark/>
          </w:tcPr>
          <w:p w14:paraId="1054128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Seed treatment with </w:t>
            </w:r>
            <w:r w:rsidRPr="00860B50">
              <w:rPr>
                <w:rFonts w:ascii="Times New Roman" w:eastAsia="Times New Roman" w:hAnsi="Times New Roman" w:cs="Times New Roman"/>
                <w:i/>
                <w:iCs/>
                <w:sz w:val="24"/>
                <w:szCs w:val="24"/>
                <w:lang w:eastAsia="en-GB"/>
              </w:rPr>
              <w:t xml:space="preserve">Trichoderma </w:t>
            </w:r>
            <w:proofErr w:type="spellStart"/>
            <w:r w:rsidRPr="00860B50">
              <w:rPr>
                <w:rFonts w:ascii="Times New Roman" w:eastAsia="Times New Roman" w:hAnsi="Times New Roman" w:cs="Times New Roman"/>
                <w:i/>
                <w:iCs/>
                <w:sz w:val="24"/>
                <w:szCs w:val="24"/>
                <w:lang w:eastAsia="en-GB"/>
              </w:rPr>
              <w:t>harzianum</w:t>
            </w:r>
            <w:proofErr w:type="spellEnd"/>
          </w:p>
        </w:tc>
        <w:tc>
          <w:tcPr>
            <w:tcW w:w="0" w:type="auto"/>
            <w:vAlign w:val="center"/>
            <w:hideMark/>
          </w:tcPr>
          <w:p w14:paraId="0456692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g/kg seed</w:t>
            </w:r>
          </w:p>
        </w:tc>
        <w:tc>
          <w:tcPr>
            <w:tcW w:w="0" w:type="auto"/>
            <w:vAlign w:val="center"/>
            <w:hideMark/>
          </w:tcPr>
          <w:p w14:paraId="020BEC6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 </w:t>
            </w:r>
            <w:proofErr w:type="spellStart"/>
            <w:r w:rsidRPr="00860B50">
              <w:rPr>
                <w:rFonts w:ascii="Times New Roman" w:eastAsia="Times New Roman" w:hAnsi="Times New Roman" w:cs="Times New Roman"/>
                <w:sz w:val="24"/>
                <w:szCs w:val="24"/>
                <w:lang w:eastAsia="en-GB"/>
              </w:rPr>
              <w:t>Stanes</w:t>
            </w:r>
            <w:proofErr w:type="spellEnd"/>
            <w:r w:rsidRPr="00860B50">
              <w:rPr>
                <w:rFonts w:ascii="Times New Roman" w:eastAsia="Times New Roman" w:hAnsi="Times New Roman" w:cs="Times New Roman"/>
                <w:sz w:val="24"/>
                <w:szCs w:val="24"/>
                <w:lang w:eastAsia="en-GB"/>
              </w:rPr>
              <w:t xml:space="preserve"> &amp; Co. Ltd.</w:t>
            </w:r>
          </w:p>
        </w:tc>
      </w:tr>
      <w:tr w:rsidR="00860B50" w:rsidRPr="00860B50" w14:paraId="3789B216" w14:textId="77777777" w:rsidTr="00204FCA">
        <w:trPr>
          <w:tblCellSpacing w:w="15" w:type="dxa"/>
        </w:trPr>
        <w:tc>
          <w:tcPr>
            <w:tcW w:w="0" w:type="auto"/>
            <w:vAlign w:val="center"/>
            <w:hideMark/>
          </w:tcPr>
          <w:p w14:paraId="29F2BFC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T₂</w:t>
            </w:r>
          </w:p>
        </w:tc>
        <w:tc>
          <w:tcPr>
            <w:tcW w:w="0" w:type="auto"/>
            <w:vAlign w:val="center"/>
            <w:hideMark/>
          </w:tcPr>
          <w:p w14:paraId="60B42AC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onion (</w:t>
            </w:r>
            <w:r w:rsidRPr="00860B50">
              <w:rPr>
                <w:rFonts w:ascii="Times New Roman" w:eastAsia="Times New Roman" w:hAnsi="Times New Roman" w:cs="Times New Roman"/>
                <w:i/>
                <w:iCs/>
                <w:sz w:val="24"/>
                <w:szCs w:val="24"/>
                <w:lang w:eastAsia="en-GB"/>
              </w:rPr>
              <w:t>Allium cepa</w:t>
            </w:r>
            <w:r w:rsidRPr="00860B50">
              <w:rPr>
                <w:rFonts w:ascii="Times New Roman" w:eastAsia="Times New Roman" w:hAnsi="Times New Roman" w:cs="Times New Roman"/>
                <w:sz w:val="24"/>
                <w:szCs w:val="24"/>
                <w:lang w:eastAsia="en-GB"/>
              </w:rPr>
              <w:t>) bulb extract</w:t>
            </w:r>
          </w:p>
        </w:tc>
        <w:tc>
          <w:tcPr>
            <w:tcW w:w="0" w:type="auto"/>
            <w:vAlign w:val="center"/>
            <w:hideMark/>
          </w:tcPr>
          <w:p w14:paraId="7ADA0D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(w/v)</w:t>
            </w:r>
          </w:p>
        </w:tc>
        <w:tc>
          <w:tcPr>
            <w:tcW w:w="0" w:type="auto"/>
            <w:vAlign w:val="center"/>
            <w:hideMark/>
          </w:tcPr>
          <w:p w14:paraId="1A3D2A3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2AC63435" w14:textId="77777777" w:rsidTr="00204FCA">
        <w:trPr>
          <w:tblCellSpacing w:w="15" w:type="dxa"/>
        </w:trPr>
        <w:tc>
          <w:tcPr>
            <w:tcW w:w="0" w:type="auto"/>
            <w:vAlign w:val="center"/>
            <w:hideMark/>
          </w:tcPr>
          <w:p w14:paraId="3881C6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T₃</w:t>
            </w:r>
          </w:p>
        </w:tc>
        <w:tc>
          <w:tcPr>
            <w:tcW w:w="0" w:type="auto"/>
            <w:vAlign w:val="center"/>
            <w:hideMark/>
          </w:tcPr>
          <w:p w14:paraId="65AD5F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Neem Seed Kernel Extract (NSKE) foliar spray</w:t>
            </w:r>
          </w:p>
        </w:tc>
        <w:tc>
          <w:tcPr>
            <w:tcW w:w="0" w:type="auto"/>
            <w:vAlign w:val="center"/>
            <w:hideMark/>
          </w:tcPr>
          <w:p w14:paraId="47471B8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0DF929D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9330935" w14:textId="77777777" w:rsidTr="00204FCA">
        <w:trPr>
          <w:tblCellSpacing w:w="15" w:type="dxa"/>
        </w:trPr>
        <w:tc>
          <w:tcPr>
            <w:tcW w:w="0" w:type="auto"/>
            <w:vAlign w:val="center"/>
            <w:hideMark/>
          </w:tcPr>
          <w:p w14:paraId="10CDA3B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T₄</w:t>
            </w:r>
          </w:p>
        </w:tc>
        <w:tc>
          <w:tcPr>
            <w:tcW w:w="0" w:type="auto"/>
            <w:vAlign w:val="center"/>
            <w:hideMark/>
          </w:tcPr>
          <w:p w14:paraId="3C0E110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Garlic (</w:t>
            </w:r>
            <w:r w:rsidRPr="00860B50">
              <w:rPr>
                <w:rFonts w:ascii="Times New Roman" w:eastAsia="Times New Roman" w:hAnsi="Times New Roman" w:cs="Times New Roman"/>
                <w:i/>
                <w:iCs/>
                <w:sz w:val="24"/>
                <w:szCs w:val="24"/>
                <w:lang w:eastAsia="en-GB"/>
              </w:rPr>
              <w:t>Allium sativum</w:t>
            </w:r>
            <w:r w:rsidRPr="00860B50">
              <w:rPr>
                <w:rFonts w:ascii="Times New Roman" w:eastAsia="Times New Roman" w:hAnsi="Times New Roman" w:cs="Times New Roman"/>
                <w:sz w:val="24"/>
                <w:szCs w:val="24"/>
                <w:lang w:eastAsia="en-GB"/>
              </w:rPr>
              <w:t>) foliar spray</w:t>
            </w:r>
          </w:p>
        </w:tc>
        <w:tc>
          <w:tcPr>
            <w:tcW w:w="0" w:type="auto"/>
            <w:vAlign w:val="center"/>
            <w:hideMark/>
          </w:tcPr>
          <w:p w14:paraId="02B0DF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5674C83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AEED148" w14:textId="77777777" w:rsidTr="00204FCA">
        <w:trPr>
          <w:tblCellSpacing w:w="15" w:type="dxa"/>
        </w:trPr>
        <w:tc>
          <w:tcPr>
            <w:tcW w:w="0" w:type="auto"/>
            <w:vAlign w:val="center"/>
            <w:hideMark/>
          </w:tcPr>
          <w:p w14:paraId="15F50B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T₅</w:t>
            </w:r>
          </w:p>
        </w:tc>
        <w:tc>
          <w:tcPr>
            <w:tcW w:w="0" w:type="auto"/>
            <w:vAlign w:val="center"/>
            <w:hideMark/>
          </w:tcPr>
          <w:p w14:paraId="74C5026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Carbendazim</w:t>
            </w:r>
          </w:p>
        </w:tc>
        <w:tc>
          <w:tcPr>
            <w:tcW w:w="0" w:type="auto"/>
            <w:vAlign w:val="center"/>
            <w:hideMark/>
          </w:tcPr>
          <w:p w14:paraId="44FA427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0" w:type="auto"/>
            <w:vAlign w:val="center"/>
            <w:hideMark/>
          </w:tcPr>
          <w:p w14:paraId="4FD5DF9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UPL Ltd. / Rallis India</w:t>
            </w:r>
          </w:p>
        </w:tc>
      </w:tr>
      <w:tr w:rsidR="00860B50" w:rsidRPr="00860B50" w14:paraId="4F36AB13" w14:textId="77777777" w:rsidTr="00204FCA">
        <w:trPr>
          <w:tblCellSpacing w:w="15" w:type="dxa"/>
        </w:trPr>
        <w:tc>
          <w:tcPr>
            <w:tcW w:w="0" w:type="auto"/>
            <w:vAlign w:val="center"/>
            <w:hideMark/>
          </w:tcPr>
          <w:p w14:paraId="16DFB0E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T₆</w:t>
            </w:r>
          </w:p>
        </w:tc>
        <w:tc>
          <w:tcPr>
            <w:tcW w:w="0" w:type="auto"/>
            <w:vAlign w:val="center"/>
            <w:hideMark/>
          </w:tcPr>
          <w:p w14:paraId="1E92E1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Mancozeb 75 WP foliar spray</w:t>
            </w:r>
          </w:p>
        </w:tc>
        <w:tc>
          <w:tcPr>
            <w:tcW w:w="0" w:type="auto"/>
            <w:vAlign w:val="center"/>
            <w:hideMark/>
          </w:tcPr>
          <w:p w14:paraId="03D6DD8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64FCBE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729D359A" w14:textId="77777777" w:rsidTr="00204FCA">
        <w:trPr>
          <w:tblCellSpacing w:w="15" w:type="dxa"/>
        </w:trPr>
        <w:tc>
          <w:tcPr>
            <w:tcW w:w="0" w:type="auto"/>
            <w:vAlign w:val="center"/>
            <w:hideMark/>
          </w:tcPr>
          <w:p w14:paraId="7F4DCB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T₇</w:t>
            </w:r>
          </w:p>
        </w:tc>
        <w:tc>
          <w:tcPr>
            <w:tcW w:w="0" w:type="auto"/>
            <w:vAlign w:val="center"/>
            <w:hideMark/>
          </w:tcPr>
          <w:p w14:paraId="667A22F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Propiconazole 25% EC foliar spray</w:t>
            </w:r>
          </w:p>
        </w:tc>
        <w:tc>
          <w:tcPr>
            <w:tcW w:w="0" w:type="auto"/>
            <w:vAlign w:val="center"/>
            <w:hideMark/>
          </w:tcPr>
          <w:p w14:paraId="769B84A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0.05%</w:t>
            </w:r>
          </w:p>
        </w:tc>
        <w:tc>
          <w:tcPr>
            <w:tcW w:w="0" w:type="auto"/>
            <w:vAlign w:val="center"/>
            <w:hideMark/>
          </w:tcPr>
          <w:p w14:paraId="473C628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46ADBE03" w14:textId="77777777" w:rsidTr="00204FCA">
        <w:trPr>
          <w:tblCellSpacing w:w="15" w:type="dxa"/>
        </w:trPr>
        <w:tc>
          <w:tcPr>
            <w:tcW w:w="0" w:type="auto"/>
            <w:vAlign w:val="center"/>
            <w:hideMark/>
          </w:tcPr>
          <w:p w14:paraId="141E3D4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T₈</w:t>
            </w:r>
          </w:p>
        </w:tc>
        <w:tc>
          <w:tcPr>
            <w:tcW w:w="0" w:type="auto"/>
            <w:vAlign w:val="center"/>
            <w:hideMark/>
          </w:tcPr>
          <w:p w14:paraId="67206DB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Seed treatment with Thiram 75% DS</w:t>
            </w:r>
          </w:p>
        </w:tc>
        <w:tc>
          <w:tcPr>
            <w:tcW w:w="0" w:type="auto"/>
            <w:vAlign w:val="center"/>
            <w:hideMark/>
          </w:tcPr>
          <w:p w14:paraId="621E829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4784A4A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Jaivik Crop Care LLP</w:t>
            </w:r>
          </w:p>
        </w:tc>
      </w:tr>
    </w:tbl>
    <w:p w14:paraId="125F5208" w14:textId="19B6782B"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6DDAC7A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3.1.2 Efficacy of Fungicides</w:t>
      </w:r>
    </w:p>
    <w:p w14:paraId="3B6110CE" w14:textId="0A54110C"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For evaluation of fungicidal efficacy, black gram seeds were soaked for 12 hours before sowing and treated with Carbendazim @ 2 g/kg + Thiram @ 1 g/kg. Treated and untreated seeds were sown in 3 × 3 m plots with standard spacing. Disease incidence was recorded at 30 and 45 days after sowing. </w:t>
      </w:r>
    </w:p>
    <w:p w14:paraId="15CE903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3.1.3 Efficacy of Plant Extracts</w:t>
      </w:r>
    </w:p>
    <w:p w14:paraId="4BC05CAA" w14:textId="0D23412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Selected plant extracts (onion, garlic, NSKE) were tested for in vivo efficacy. Extracts were prepared at appropriate concentrations and applied as soil treatments at 100 ml/kg soil, 7 days before sowing. Twelve seeds per plot were sown and later thinned to 15 healthy plants. Disease incidence and control were recorded at 30 and 45 days after sowing using the same formulas as above.</w:t>
      </w:r>
    </w:p>
    <w:p w14:paraId="2DAFB37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3.1.4 Efficacy of Bio-agents</w:t>
      </w:r>
    </w:p>
    <w:p w14:paraId="1CDDEEB8" w14:textId="2D7F711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bio-agent Trichoderma </w:t>
      </w:r>
      <w:proofErr w:type="spellStart"/>
      <w:r w:rsidRPr="00860B50">
        <w:rPr>
          <w:rFonts w:ascii="Times New Roman" w:eastAsia="Times New Roman" w:hAnsi="Times New Roman" w:cs="Times New Roman"/>
          <w:sz w:val="24"/>
          <w:szCs w:val="24"/>
          <w:lang w:eastAsia="en-GB"/>
        </w:rPr>
        <w:t>harzianum</w:t>
      </w:r>
      <w:proofErr w:type="spellEnd"/>
      <w:r w:rsidRPr="00860B50">
        <w:rPr>
          <w:rFonts w:ascii="Times New Roman" w:eastAsia="Times New Roman" w:hAnsi="Times New Roman" w:cs="Times New Roman"/>
          <w:sz w:val="24"/>
          <w:szCs w:val="24"/>
          <w:lang w:eastAsia="en-GB"/>
        </w:rPr>
        <w:t xml:space="preserve"> was cultured on Potato Dextrose Agar (PDA) and incubated at 25 ± 2°C for 15 days. After full growth, the mycelial mat was filtered, dried at </w:t>
      </w:r>
      <w:r w:rsidRPr="00860B50">
        <w:rPr>
          <w:rFonts w:ascii="Times New Roman" w:eastAsia="Times New Roman" w:hAnsi="Times New Roman" w:cs="Times New Roman"/>
          <w:sz w:val="24"/>
          <w:szCs w:val="24"/>
          <w:lang w:eastAsia="en-GB"/>
        </w:rPr>
        <w:lastRenderedPageBreak/>
        <w:t>room temperature, and powdered. This powder was used for seed treatment @ 4 g/kg seed. Treated seeds were sown in designated plots, and observations on disease incidence were taken at 30 and 45 days after sowing. Untreated plots served as control.</w:t>
      </w:r>
    </w:p>
    <w:p w14:paraId="091BC0BE"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Statistical Analysis</w:t>
      </w:r>
    </w:p>
    <w:p w14:paraId="09356173" w14:textId="6A5F6ACC" w:rsidR="000B195D" w:rsidRPr="000B195D" w:rsidRDefault="00860B50" w:rsidP="009A7BE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All data were statistically </w:t>
      </w:r>
      <w:proofErr w:type="spellStart"/>
      <w:r w:rsidRPr="00860B50">
        <w:rPr>
          <w:rFonts w:ascii="Times New Roman" w:eastAsia="Times New Roman" w:hAnsi="Times New Roman" w:cs="Times New Roman"/>
          <w:sz w:val="24"/>
          <w:szCs w:val="24"/>
          <w:lang w:eastAsia="en-GB"/>
        </w:rPr>
        <w:t>analyzed</w:t>
      </w:r>
      <w:proofErr w:type="spellEnd"/>
      <w:r w:rsidRPr="00860B50">
        <w:rPr>
          <w:rFonts w:ascii="Times New Roman" w:eastAsia="Times New Roman" w:hAnsi="Times New Roman" w:cs="Times New Roman"/>
          <w:sz w:val="24"/>
          <w:szCs w:val="24"/>
          <w:lang w:eastAsia="en-GB"/>
        </w:rPr>
        <w:t xml:space="preserve"> using analysis of variance (ANOVA) appropriate for Randomized Block Design (RBD). The differences among treatment means were tested at 5% level of significance using the Critical Difference (CD) method.</w:t>
      </w:r>
    </w:p>
    <w:p w14:paraId="5FE83731" w14:textId="3045208F" w:rsidR="000B195D" w:rsidRPr="000B195D" w:rsidRDefault="001621D7"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w:t>
      </w:r>
      <w:r w:rsidR="000B195D" w:rsidRPr="000B195D">
        <w:rPr>
          <w:rFonts w:ascii="Times New Roman" w:eastAsia="Times New Roman" w:hAnsi="Times New Roman" w:cs="Times New Roman"/>
          <w:b/>
          <w:bCs/>
          <w:sz w:val="24"/>
          <w:szCs w:val="24"/>
          <w:lang w:eastAsia="en-GB"/>
        </w:rPr>
        <w:t>RESULTS AND DISCUSSION</w:t>
      </w:r>
    </w:p>
    <w:p w14:paraId="6A9A3867"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Effect of Treatments on Disease Incidence and Reduction in Black Gram</w:t>
      </w:r>
    </w:p>
    <w:p w14:paraId="3972ACF2"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results of the present study clearly demonstrated significant differences among the treatments in managing </w:t>
      </w:r>
      <w:r w:rsidRPr="000B195D">
        <w:rPr>
          <w:rFonts w:ascii="Times New Roman" w:eastAsia="Times New Roman" w:hAnsi="Times New Roman" w:cs="Times New Roman"/>
          <w:i/>
          <w:iCs/>
          <w:sz w:val="24"/>
          <w:szCs w:val="24"/>
          <w:lang w:eastAsia="en-GB"/>
        </w:rPr>
        <w:t>Cercospora leaf spot</w:t>
      </w:r>
      <w:r w:rsidRPr="000B195D">
        <w:rPr>
          <w:rFonts w:ascii="Times New Roman" w:eastAsia="Times New Roman" w:hAnsi="Times New Roman" w:cs="Times New Roman"/>
          <w:sz w:val="24"/>
          <w:szCs w:val="24"/>
          <w:lang w:eastAsia="en-GB"/>
        </w:rPr>
        <w:t xml:space="preserve"> (CLS) of black gram under field conditions. Disease incidence was recorded at 30 and 45 days after sowing (DAS), and corresponding percent disease reduction was calculated compared to the untreated control.</w:t>
      </w:r>
    </w:p>
    <w:p w14:paraId="7F619E78" w14:textId="2E34FA06"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b/>
          <w:bCs/>
          <w:sz w:val="24"/>
          <w:szCs w:val="24"/>
          <w:lang w:eastAsia="en-GB"/>
        </w:rPr>
        <w:t xml:space="preserve">Table </w:t>
      </w:r>
      <w:proofErr w:type="gramStart"/>
      <w:r w:rsidR="001621D7">
        <w:rPr>
          <w:rFonts w:ascii="Times New Roman" w:eastAsia="Times New Roman" w:hAnsi="Times New Roman" w:cs="Times New Roman"/>
          <w:b/>
          <w:bCs/>
          <w:sz w:val="24"/>
          <w:szCs w:val="24"/>
          <w:lang w:eastAsia="en-GB"/>
        </w:rPr>
        <w:t>3.</w:t>
      </w:r>
      <w:r w:rsidRPr="000B195D">
        <w:rPr>
          <w:rFonts w:ascii="Times New Roman" w:eastAsia="Times New Roman" w:hAnsi="Times New Roman" w:cs="Times New Roman"/>
          <w:b/>
          <w:bCs/>
          <w:sz w:val="24"/>
          <w:szCs w:val="24"/>
          <w:lang w:eastAsia="en-GB"/>
        </w:rPr>
        <w:t>.</w:t>
      </w:r>
      <w:proofErr w:type="gramEnd"/>
      <w:r w:rsidRPr="000B195D">
        <w:rPr>
          <w:rFonts w:ascii="Times New Roman" w:eastAsia="Times New Roman" w:hAnsi="Times New Roman" w:cs="Times New Roman"/>
          <w:b/>
          <w:bCs/>
          <w:sz w:val="24"/>
          <w:szCs w:val="24"/>
          <w:lang w:eastAsia="en-GB"/>
        </w:rPr>
        <w:t xml:space="preserve"> Effect of Treatments on Disease Incidence and Disease Reduction Against </w:t>
      </w:r>
      <w:proofErr w:type="spellStart"/>
      <w:r w:rsidRPr="000B195D">
        <w:rPr>
          <w:rFonts w:ascii="Times New Roman" w:eastAsia="Times New Roman" w:hAnsi="Times New Roman" w:cs="Times New Roman"/>
          <w:b/>
          <w:bCs/>
          <w:i/>
          <w:iCs/>
          <w:sz w:val="24"/>
          <w:szCs w:val="24"/>
          <w:lang w:eastAsia="en-GB"/>
        </w:rPr>
        <w:t>Cercospora</w:t>
      </w:r>
      <w:proofErr w:type="spellEnd"/>
      <w:r w:rsidRPr="000B195D">
        <w:rPr>
          <w:rFonts w:ascii="Times New Roman" w:eastAsia="Times New Roman" w:hAnsi="Times New Roman" w:cs="Times New Roman"/>
          <w:b/>
          <w:bCs/>
          <w:i/>
          <w:iCs/>
          <w:sz w:val="24"/>
          <w:szCs w:val="24"/>
          <w:lang w:eastAsia="en-GB"/>
        </w:rPr>
        <w:t xml:space="preserve"> </w:t>
      </w:r>
      <w:proofErr w:type="spellStart"/>
      <w:r w:rsidRPr="000B195D">
        <w:rPr>
          <w:rFonts w:ascii="Times New Roman" w:eastAsia="Times New Roman" w:hAnsi="Times New Roman" w:cs="Times New Roman"/>
          <w:b/>
          <w:bCs/>
          <w:i/>
          <w:iCs/>
          <w:sz w:val="24"/>
          <w:szCs w:val="24"/>
          <w:lang w:eastAsia="en-GB"/>
        </w:rPr>
        <w:t>canescens</w:t>
      </w:r>
      <w:proofErr w:type="spellEnd"/>
      <w:r w:rsidRPr="000B195D">
        <w:rPr>
          <w:rFonts w:ascii="Times New Roman" w:eastAsia="Times New Roman" w:hAnsi="Times New Roman" w:cs="Times New Roman"/>
          <w:b/>
          <w:bCs/>
          <w:sz w:val="24"/>
          <w:szCs w:val="24"/>
          <w:lang w:eastAsia="en-GB"/>
        </w:rPr>
        <w:t xml:space="preserve"> in Black 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1890"/>
        <w:gridCol w:w="1447"/>
        <w:gridCol w:w="1447"/>
        <w:gridCol w:w="1514"/>
        <w:gridCol w:w="1529"/>
      </w:tblGrid>
      <w:tr w:rsidR="001621D7" w:rsidRPr="000B195D" w14:paraId="31319C39" w14:textId="77777777" w:rsidTr="000B195D">
        <w:trPr>
          <w:tblHeader/>
          <w:tblCellSpacing w:w="15" w:type="dxa"/>
        </w:trPr>
        <w:tc>
          <w:tcPr>
            <w:tcW w:w="0" w:type="auto"/>
            <w:vAlign w:val="center"/>
            <w:hideMark/>
          </w:tcPr>
          <w:p w14:paraId="5F096AA3" w14:textId="199AD1BA"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 xml:space="preserve">Treatment </w:t>
            </w:r>
          </w:p>
        </w:tc>
        <w:tc>
          <w:tcPr>
            <w:tcW w:w="0" w:type="auto"/>
            <w:vAlign w:val="center"/>
            <w:hideMark/>
          </w:tcPr>
          <w:p w14:paraId="074CD199"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Treatment Description</w:t>
            </w:r>
          </w:p>
        </w:tc>
        <w:tc>
          <w:tcPr>
            <w:tcW w:w="0" w:type="auto"/>
            <w:vAlign w:val="center"/>
            <w:hideMark/>
          </w:tcPr>
          <w:p w14:paraId="245AE667"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(30 DAS)</w:t>
            </w:r>
          </w:p>
        </w:tc>
        <w:tc>
          <w:tcPr>
            <w:tcW w:w="0" w:type="auto"/>
            <w:vAlign w:val="center"/>
            <w:hideMark/>
          </w:tcPr>
          <w:p w14:paraId="4E45CFFD"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(45 DAS)</w:t>
            </w:r>
          </w:p>
        </w:tc>
        <w:tc>
          <w:tcPr>
            <w:tcW w:w="0" w:type="auto"/>
            <w:vAlign w:val="center"/>
            <w:hideMark/>
          </w:tcPr>
          <w:p w14:paraId="6748FD31"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(30 DAS)</w:t>
            </w:r>
          </w:p>
        </w:tc>
        <w:tc>
          <w:tcPr>
            <w:tcW w:w="0" w:type="auto"/>
            <w:vAlign w:val="center"/>
            <w:hideMark/>
          </w:tcPr>
          <w:p w14:paraId="76262A4C"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(45 DAS)</w:t>
            </w:r>
          </w:p>
        </w:tc>
      </w:tr>
      <w:tr w:rsidR="001621D7" w:rsidRPr="000B195D" w14:paraId="3418531D" w14:textId="77777777" w:rsidTr="000B195D">
        <w:trPr>
          <w:tblCellSpacing w:w="15" w:type="dxa"/>
        </w:trPr>
        <w:tc>
          <w:tcPr>
            <w:tcW w:w="0" w:type="auto"/>
            <w:vAlign w:val="center"/>
            <w:hideMark/>
          </w:tcPr>
          <w:p w14:paraId="5742FE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T₀</w:t>
            </w:r>
          </w:p>
        </w:tc>
        <w:tc>
          <w:tcPr>
            <w:tcW w:w="0" w:type="auto"/>
            <w:vAlign w:val="center"/>
            <w:hideMark/>
          </w:tcPr>
          <w:p w14:paraId="40383B0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Control</w:t>
            </w:r>
          </w:p>
        </w:tc>
        <w:tc>
          <w:tcPr>
            <w:tcW w:w="0" w:type="auto"/>
            <w:vAlign w:val="center"/>
            <w:hideMark/>
          </w:tcPr>
          <w:p w14:paraId="1873FE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72.5</w:t>
            </w:r>
          </w:p>
        </w:tc>
        <w:tc>
          <w:tcPr>
            <w:tcW w:w="0" w:type="auto"/>
            <w:vAlign w:val="center"/>
            <w:hideMark/>
          </w:tcPr>
          <w:p w14:paraId="34F699E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78.4</w:t>
            </w:r>
          </w:p>
        </w:tc>
        <w:tc>
          <w:tcPr>
            <w:tcW w:w="0" w:type="auto"/>
            <w:vAlign w:val="center"/>
            <w:hideMark/>
          </w:tcPr>
          <w:p w14:paraId="737B68B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c>
          <w:tcPr>
            <w:tcW w:w="0" w:type="auto"/>
            <w:vAlign w:val="center"/>
            <w:hideMark/>
          </w:tcPr>
          <w:p w14:paraId="606C41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r>
      <w:tr w:rsidR="001621D7" w:rsidRPr="000B195D" w14:paraId="43E02CBE" w14:textId="77777777" w:rsidTr="000B195D">
        <w:trPr>
          <w:tblCellSpacing w:w="15" w:type="dxa"/>
        </w:trPr>
        <w:tc>
          <w:tcPr>
            <w:tcW w:w="0" w:type="auto"/>
            <w:vAlign w:val="center"/>
            <w:hideMark/>
          </w:tcPr>
          <w:p w14:paraId="2439540E"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T₁</w:t>
            </w:r>
          </w:p>
        </w:tc>
        <w:tc>
          <w:tcPr>
            <w:tcW w:w="0" w:type="auto"/>
            <w:vAlign w:val="center"/>
            <w:hideMark/>
          </w:tcPr>
          <w:p w14:paraId="465A72B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i/>
                <w:iCs/>
                <w:sz w:val="24"/>
                <w:szCs w:val="24"/>
                <w:lang w:eastAsia="en-GB"/>
              </w:rPr>
              <w:t xml:space="preserve">Trichoderma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(Seed treatment)</w:t>
            </w:r>
          </w:p>
        </w:tc>
        <w:tc>
          <w:tcPr>
            <w:tcW w:w="0" w:type="auto"/>
            <w:vAlign w:val="center"/>
            <w:hideMark/>
          </w:tcPr>
          <w:p w14:paraId="1914BC1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42.3</w:t>
            </w:r>
          </w:p>
        </w:tc>
        <w:tc>
          <w:tcPr>
            <w:tcW w:w="0" w:type="auto"/>
            <w:vAlign w:val="center"/>
            <w:hideMark/>
          </w:tcPr>
          <w:p w14:paraId="4B802AE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46.5</w:t>
            </w:r>
          </w:p>
        </w:tc>
        <w:tc>
          <w:tcPr>
            <w:tcW w:w="0" w:type="auto"/>
            <w:vAlign w:val="center"/>
            <w:hideMark/>
          </w:tcPr>
          <w:p w14:paraId="0EF9A48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41.66</w:t>
            </w:r>
          </w:p>
        </w:tc>
        <w:tc>
          <w:tcPr>
            <w:tcW w:w="0" w:type="auto"/>
            <w:vAlign w:val="center"/>
            <w:hideMark/>
          </w:tcPr>
          <w:p w14:paraId="1A2977A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40.71</w:t>
            </w:r>
          </w:p>
        </w:tc>
      </w:tr>
      <w:tr w:rsidR="001621D7" w:rsidRPr="000B195D" w14:paraId="6A2686E2" w14:textId="77777777" w:rsidTr="000B195D">
        <w:trPr>
          <w:tblCellSpacing w:w="15" w:type="dxa"/>
        </w:trPr>
        <w:tc>
          <w:tcPr>
            <w:tcW w:w="0" w:type="auto"/>
            <w:vAlign w:val="center"/>
            <w:hideMark/>
          </w:tcPr>
          <w:p w14:paraId="0A213E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T₂</w:t>
            </w:r>
          </w:p>
        </w:tc>
        <w:tc>
          <w:tcPr>
            <w:tcW w:w="0" w:type="auto"/>
            <w:vAlign w:val="center"/>
            <w:hideMark/>
          </w:tcPr>
          <w:p w14:paraId="385A42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Onion bulb extract (Foliar spray)</w:t>
            </w:r>
          </w:p>
        </w:tc>
        <w:tc>
          <w:tcPr>
            <w:tcW w:w="0" w:type="auto"/>
            <w:vAlign w:val="center"/>
            <w:hideMark/>
          </w:tcPr>
          <w:p w14:paraId="0B1D90B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46.7</w:t>
            </w:r>
          </w:p>
        </w:tc>
        <w:tc>
          <w:tcPr>
            <w:tcW w:w="0" w:type="auto"/>
            <w:vAlign w:val="center"/>
            <w:hideMark/>
          </w:tcPr>
          <w:p w14:paraId="084500E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49.9</w:t>
            </w:r>
          </w:p>
        </w:tc>
        <w:tc>
          <w:tcPr>
            <w:tcW w:w="0" w:type="auto"/>
            <w:vAlign w:val="center"/>
            <w:hideMark/>
          </w:tcPr>
          <w:p w14:paraId="5A40DB5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35.59</w:t>
            </w:r>
          </w:p>
        </w:tc>
        <w:tc>
          <w:tcPr>
            <w:tcW w:w="0" w:type="auto"/>
            <w:vAlign w:val="center"/>
            <w:hideMark/>
          </w:tcPr>
          <w:p w14:paraId="052B534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36.35</w:t>
            </w:r>
          </w:p>
        </w:tc>
      </w:tr>
      <w:tr w:rsidR="001621D7" w:rsidRPr="000B195D" w14:paraId="5D82A091" w14:textId="77777777" w:rsidTr="000B195D">
        <w:trPr>
          <w:tblCellSpacing w:w="15" w:type="dxa"/>
        </w:trPr>
        <w:tc>
          <w:tcPr>
            <w:tcW w:w="0" w:type="auto"/>
            <w:vAlign w:val="center"/>
            <w:hideMark/>
          </w:tcPr>
          <w:p w14:paraId="63117F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T₃</w:t>
            </w:r>
          </w:p>
        </w:tc>
        <w:tc>
          <w:tcPr>
            <w:tcW w:w="0" w:type="auto"/>
            <w:vAlign w:val="center"/>
            <w:hideMark/>
          </w:tcPr>
          <w:p w14:paraId="3163337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NSKE (Foliar spray)</w:t>
            </w:r>
          </w:p>
        </w:tc>
        <w:tc>
          <w:tcPr>
            <w:tcW w:w="0" w:type="auto"/>
            <w:vAlign w:val="center"/>
            <w:hideMark/>
          </w:tcPr>
          <w:p w14:paraId="23EFE7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39.1</w:t>
            </w:r>
          </w:p>
        </w:tc>
        <w:tc>
          <w:tcPr>
            <w:tcW w:w="0" w:type="auto"/>
            <w:vAlign w:val="center"/>
            <w:hideMark/>
          </w:tcPr>
          <w:p w14:paraId="458F952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42.2</w:t>
            </w:r>
          </w:p>
        </w:tc>
        <w:tc>
          <w:tcPr>
            <w:tcW w:w="0" w:type="auto"/>
            <w:vAlign w:val="center"/>
            <w:hideMark/>
          </w:tcPr>
          <w:p w14:paraId="3058BEB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46.06</w:t>
            </w:r>
          </w:p>
        </w:tc>
        <w:tc>
          <w:tcPr>
            <w:tcW w:w="0" w:type="auto"/>
            <w:vAlign w:val="center"/>
            <w:hideMark/>
          </w:tcPr>
          <w:p w14:paraId="579A823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46.20</w:t>
            </w:r>
          </w:p>
        </w:tc>
      </w:tr>
      <w:tr w:rsidR="001621D7" w:rsidRPr="000B195D" w14:paraId="05B540E8" w14:textId="77777777" w:rsidTr="000B195D">
        <w:trPr>
          <w:tblCellSpacing w:w="15" w:type="dxa"/>
        </w:trPr>
        <w:tc>
          <w:tcPr>
            <w:tcW w:w="0" w:type="auto"/>
            <w:vAlign w:val="center"/>
            <w:hideMark/>
          </w:tcPr>
          <w:p w14:paraId="7756CF0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lastRenderedPageBreak/>
              <w:t>T₄</w:t>
            </w:r>
          </w:p>
        </w:tc>
        <w:tc>
          <w:tcPr>
            <w:tcW w:w="0" w:type="auto"/>
            <w:vAlign w:val="center"/>
            <w:hideMark/>
          </w:tcPr>
          <w:p w14:paraId="58518FD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Garlic extract (Foliar spray)</w:t>
            </w:r>
          </w:p>
        </w:tc>
        <w:tc>
          <w:tcPr>
            <w:tcW w:w="0" w:type="auto"/>
            <w:vAlign w:val="center"/>
            <w:hideMark/>
          </w:tcPr>
          <w:p w14:paraId="7038C9F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44.0</w:t>
            </w:r>
          </w:p>
        </w:tc>
        <w:tc>
          <w:tcPr>
            <w:tcW w:w="0" w:type="auto"/>
            <w:vAlign w:val="center"/>
            <w:hideMark/>
          </w:tcPr>
          <w:p w14:paraId="4DA89B1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48.0</w:t>
            </w:r>
          </w:p>
        </w:tc>
        <w:tc>
          <w:tcPr>
            <w:tcW w:w="0" w:type="auto"/>
            <w:vAlign w:val="center"/>
            <w:hideMark/>
          </w:tcPr>
          <w:p w14:paraId="5852882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39.31</w:t>
            </w:r>
          </w:p>
        </w:tc>
        <w:tc>
          <w:tcPr>
            <w:tcW w:w="0" w:type="auto"/>
            <w:vAlign w:val="center"/>
            <w:hideMark/>
          </w:tcPr>
          <w:p w14:paraId="713E7FA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38.78</w:t>
            </w:r>
          </w:p>
        </w:tc>
      </w:tr>
      <w:tr w:rsidR="001621D7" w:rsidRPr="000B195D" w14:paraId="49A2C5B5" w14:textId="77777777" w:rsidTr="000B195D">
        <w:trPr>
          <w:tblCellSpacing w:w="15" w:type="dxa"/>
        </w:trPr>
        <w:tc>
          <w:tcPr>
            <w:tcW w:w="0" w:type="auto"/>
            <w:vAlign w:val="center"/>
            <w:hideMark/>
          </w:tcPr>
          <w:p w14:paraId="1587C02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T₅</w:t>
            </w:r>
          </w:p>
        </w:tc>
        <w:tc>
          <w:tcPr>
            <w:tcW w:w="0" w:type="auto"/>
            <w:vAlign w:val="center"/>
            <w:hideMark/>
          </w:tcPr>
          <w:p w14:paraId="13E350A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Carbendazim</w:t>
            </w:r>
          </w:p>
        </w:tc>
        <w:tc>
          <w:tcPr>
            <w:tcW w:w="0" w:type="auto"/>
            <w:vAlign w:val="center"/>
            <w:hideMark/>
          </w:tcPr>
          <w:p w14:paraId="47AC791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20.8</w:t>
            </w:r>
          </w:p>
        </w:tc>
        <w:tc>
          <w:tcPr>
            <w:tcW w:w="0" w:type="auto"/>
            <w:vAlign w:val="center"/>
            <w:hideMark/>
          </w:tcPr>
          <w:p w14:paraId="3EAE9B6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21.4</w:t>
            </w:r>
          </w:p>
        </w:tc>
        <w:tc>
          <w:tcPr>
            <w:tcW w:w="0" w:type="auto"/>
            <w:vAlign w:val="center"/>
            <w:hideMark/>
          </w:tcPr>
          <w:p w14:paraId="4B8CD12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71.31</w:t>
            </w:r>
          </w:p>
        </w:tc>
        <w:tc>
          <w:tcPr>
            <w:tcW w:w="0" w:type="auto"/>
            <w:vAlign w:val="center"/>
            <w:hideMark/>
          </w:tcPr>
          <w:p w14:paraId="743FAB7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72.70</w:t>
            </w:r>
          </w:p>
        </w:tc>
      </w:tr>
      <w:tr w:rsidR="001621D7" w:rsidRPr="000B195D" w14:paraId="1C414792" w14:textId="77777777" w:rsidTr="000B195D">
        <w:trPr>
          <w:tblCellSpacing w:w="15" w:type="dxa"/>
        </w:trPr>
        <w:tc>
          <w:tcPr>
            <w:tcW w:w="0" w:type="auto"/>
            <w:vAlign w:val="center"/>
            <w:hideMark/>
          </w:tcPr>
          <w:p w14:paraId="04878EC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T₆</w:t>
            </w:r>
          </w:p>
        </w:tc>
        <w:tc>
          <w:tcPr>
            <w:tcW w:w="0" w:type="auto"/>
            <w:vAlign w:val="center"/>
            <w:hideMark/>
          </w:tcPr>
          <w:p w14:paraId="5F7DB3A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Mancozeb 75 WP</w:t>
            </w:r>
          </w:p>
        </w:tc>
        <w:tc>
          <w:tcPr>
            <w:tcW w:w="0" w:type="auto"/>
            <w:vAlign w:val="center"/>
            <w:hideMark/>
          </w:tcPr>
          <w:p w14:paraId="65133BE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25.5</w:t>
            </w:r>
          </w:p>
        </w:tc>
        <w:tc>
          <w:tcPr>
            <w:tcW w:w="0" w:type="auto"/>
            <w:vAlign w:val="center"/>
            <w:hideMark/>
          </w:tcPr>
          <w:p w14:paraId="2DEEB97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26.1</w:t>
            </w:r>
          </w:p>
        </w:tc>
        <w:tc>
          <w:tcPr>
            <w:tcW w:w="0" w:type="auto"/>
            <w:vAlign w:val="center"/>
            <w:hideMark/>
          </w:tcPr>
          <w:p w14:paraId="3A4D86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64.83</w:t>
            </w:r>
          </w:p>
        </w:tc>
        <w:tc>
          <w:tcPr>
            <w:tcW w:w="0" w:type="auto"/>
            <w:vAlign w:val="center"/>
            <w:hideMark/>
          </w:tcPr>
          <w:p w14:paraId="4B2D19B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66.72</w:t>
            </w:r>
          </w:p>
        </w:tc>
      </w:tr>
      <w:tr w:rsidR="001621D7" w:rsidRPr="000B195D" w14:paraId="43DE82EB" w14:textId="77777777" w:rsidTr="000B195D">
        <w:trPr>
          <w:tblCellSpacing w:w="15" w:type="dxa"/>
        </w:trPr>
        <w:tc>
          <w:tcPr>
            <w:tcW w:w="0" w:type="auto"/>
            <w:vAlign w:val="center"/>
            <w:hideMark/>
          </w:tcPr>
          <w:p w14:paraId="0F6372B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T₇</w:t>
            </w:r>
          </w:p>
        </w:tc>
        <w:tc>
          <w:tcPr>
            <w:tcW w:w="0" w:type="auto"/>
            <w:vAlign w:val="center"/>
            <w:hideMark/>
          </w:tcPr>
          <w:p w14:paraId="7533FB8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Propiconazole 25% EC (Foliar spray)</w:t>
            </w:r>
          </w:p>
        </w:tc>
        <w:tc>
          <w:tcPr>
            <w:tcW w:w="0" w:type="auto"/>
            <w:vAlign w:val="center"/>
            <w:hideMark/>
          </w:tcPr>
          <w:p w14:paraId="7BD96D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18.3</w:t>
            </w:r>
          </w:p>
        </w:tc>
        <w:tc>
          <w:tcPr>
            <w:tcW w:w="0" w:type="auto"/>
            <w:vAlign w:val="center"/>
            <w:hideMark/>
          </w:tcPr>
          <w:p w14:paraId="5F3DA3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18.7</w:t>
            </w:r>
          </w:p>
        </w:tc>
        <w:tc>
          <w:tcPr>
            <w:tcW w:w="0" w:type="auto"/>
            <w:vAlign w:val="center"/>
            <w:hideMark/>
          </w:tcPr>
          <w:p w14:paraId="5AC1A42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74.75</w:t>
            </w:r>
          </w:p>
        </w:tc>
        <w:tc>
          <w:tcPr>
            <w:tcW w:w="0" w:type="auto"/>
            <w:vAlign w:val="center"/>
            <w:hideMark/>
          </w:tcPr>
          <w:p w14:paraId="51C313E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76.14</w:t>
            </w:r>
          </w:p>
        </w:tc>
      </w:tr>
      <w:tr w:rsidR="001621D7" w:rsidRPr="000B195D" w14:paraId="4C39599A" w14:textId="77777777" w:rsidTr="000B195D">
        <w:trPr>
          <w:tblCellSpacing w:w="15" w:type="dxa"/>
        </w:trPr>
        <w:tc>
          <w:tcPr>
            <w:tcW w:w="0" w:type="auto"/>
            <w:vAlign w:val="center"/>
            <w:hideMark/>
          </w:tcPr>
          <w:p w14:paraId="4A51459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T₈</w:t>
            </w:r>
          </w:p>
        </w:tc>
        <w:tc>
          <w:tcPr>
            <w:tcW w:w="0" w:type="auto"/>
            <w:vAlign w:val="center"/>
            <w:hideMark/>
          </w:tcPr>
          <w:p w14:paraId="2AE791F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Thiram 75% DS</w:t>
            </w:r>
          </w:p>
        </w:tc>
        <w:tc>
          <w:tcPr>
            <w:tcW w:w="0" w:type="auto"/>
            <w:vAlign w:val="center"/>
            <w:hideMark/>
          </w:tcPr>
          <w:p w14:paraId="5AAC6472"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33.9</w:t>
            </w:r>
          </w:p>
        </w:tc>
        <w:tc>
          <w:tcPr>
            <w:tcW w:w="0" w:type="auto"/>
            <w:vAlign w:val="center"/>
            <w:hideMark/>
          </w:tcPr>
          <w:p w14:paraId="2296571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35.3</w:t>
            </w:r>
          </w:p>
        </w:tc>
        <w:tc>
          <w:tcPr>
            <w:tcW w:w="0" w:type="auto"/>
            <w:vAlign w:val="center"/>
            <w:hideMark/>
          </w:tcPr>
          <w:p w14:paraId="7C98A40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53.24</w:t>
            </w:r>
          </w:p>
        </w:tc>
        <w:tc>
          <w:tcPr>
            <w:tcW w:w="0" w:type="auto"/>
            <w:vAlign w:val="center"/>
            <w:hideMark/>
          </w:tcPr>
          <w:p w14:paraId="06D8F4F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55.00</w:t>
            </w:r>
          </w:p>
        </w:tc>
      </w:tr>
    </w:tbl>
    <w:p w14:paraId="4F2F4E8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untreated control (T₀) recorded the highest disease incidence with 72.5% at 30 DAS and 78.4% at 45 DAS. In contrast, all treatments significantly reduced CLS incidence compared to the control. The lowest disease incidence was recorded in T₇ (Propiconazole 25% EC) with only 18.3% and 18.7% at 30 and 45 DAS, respectively, achieving maximum disease reduction of 74.75% and 76.14%.</w:t>
      </w:r>
    </w:p>
    <w:p w14:paraId="64E53663"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These findings are in agreement with the study by Prasad et al. (2024), who reported that Propiconazole and Carbendazim significantly reduced disease incidence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w:t>
      </w:r>
      <w:proofErr w:type="spellStart"/>
      <w:r w:rsidRPr="000B195D">
        <w:rPr>
          <w:rFonts w:ascii="Times New Roman" w:eastAsia="Times New Roman" w:hAnsi="Times New Roman" w:cs="Times New Roman"/>
          <w:sz w:val="24"/>
          <w:szCs w:val="24"/>
          <w:lang w:eastAsia="en-GB"/>
        </w:rPr>
        <w:t>mungbean</w:t>
      </w:r>
      <w:proofErr w:type="spellEnd"/>
      <w:r w:rsidRPr="000B195D">
        <w:rPr>
          <w:rFonts w:ascii="Times New Roman" w:eastAsia="Times New Roman" w:hAnsi="Times New Roman" w:cs="Times New Roman"/>
          <w:sz w:val="24"/>
          <w:szCs w:val="24"/>
          <w:lang w:eastAsia="en-GB"/>
        </w:rPr>
        <w:t>, with Propiconazole proving most effective. Similarly, Carbendazim (T₅) also performed well in the present study, showing 71.31% and 72.70% reduction at 30 and 45 DAS respectively, validating its role in effective CLS control (Durga Prasad et al., 2024; Bhat et al., 2015).</w:t>
      </w:r>
    </w:p>
    <w:p w14:paraId="48645286"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Among the botanicals, Neem Seed Kernel Extract (T₃) demonstrated superior efficacy, reducing disease incidence to 39.1% and 42.2% at 30 and 45 DAS, which corresponds to 46.06% and 46.20% disease reduction. These results align with the findings of Hashmi et al. (2024), who observed that neem extract significantly decreased CLS incidence in black gram. Neem's antifungal properties have been widely documented and are attributed to its bioactive compounds like azadirachtin and </w:t>
      </w:r>
      <w:proofErr w:type="spellStart"/>
      <w:r w:rsidRPr="000B195D">
        <w:rPr>
          <w:rFonts w:ascii="Times New Roman" w:eastAsia="Times New Roman" w:hAnsi="Times New Roman" w:cs="Times New Roman"/>
          <w:sz w:val="24"/>
          <w:szCs w:val="24"/>
          <w:lang w:eastAsia="en-GB"/>
        </w:rPr>
        <w:t>nimbin</w:t>
      </w:r>
      <w:proofErr w:type="spellEnd"/>
      <w:r w:rsidRPr="000B195D">
        <w:rPr>
          <w:rFonts w:ascii="Times New Roman" w:eastAsia="Times New Roman" w:hAnsi="Times New Roman" w:cs="Times New Roman"/>
          <w:sz w:val="24"/>
          <w:szCs w:val="24"/>
          <w:lang w:eastAsia="en-GB"/>
        </w:rPr>
        <w:t xml:space="preserve"> (Kumar et al., 2022).</w:t>
      </w:r>
    </w:p>
    <w:p w14:paraId="4BBEC15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lastRenderedPageBreak/>
        <w:t xml:space="preserve">Garlic (T₄) and onion (T₂) extracts also showed promising results, with 35–39% disease reduction, indicating moderate efficacy. Plant-based treatments are advantageous due to their eco-friendliness and compatibility with organic farming systems. The results are supported by Kumar et al. (2022), who reported that botanical extracts such as garlic and onion inhibited radial growth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vitro and reduced disease incidence under field conditions.</w:t>
      </w:r>
    </w:p>
    <w:p w14:paraId="700CC8BA"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In the case of biological control, T₁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was effective in lowering disease incidence to 42.3% and 46.5%, resulting in 41.66% and 40.71% disease reduction, respectively. This confirms the antagonistic potential of </w:t>
      </w:r>
      <w:r w:rsidRPr="000B195D">
        <w:rPr>
          <w:rFonts w:ascii="Times New Roman" w:eastAsia="Times New Roman" w:hAnsi="Times New Roman" w:cs="Times New Roman"/>
          <w:i/>
          <w:iCs/>
          <w:sz w:val="24"/>
          <w:szCs w:val="24"/>
          <w:lang w:eastAsia="en-GB"/>
        </w:rPr>
        <w:t xml:space="preserve">T.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as previously reported by Yadav et al. (2024) and Hashmi et al. (2024). The biocontrol agent acts through mechanisms like competition, parasitism, and antibiosis, making it a sustainable and environmentally safe strategy.</w:t>
      </w:r>
    </w:p>
    <w:p w14:paraId="27DAB633" w14:textId="5B8A83FD"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fungicides Mancozeb (T₆) and Thiram (T₈) also contributed significantly to disease suppression. Mancozeb reduced incidence by 66.72% at 45 DAS, aligning with the results of Prasad et al. (2024), while Thiram, used for seed treatment, showed moderate efficacy with 55% disease reduction. These findings suggest that while chemical control remains highly effective, its integration with bio-agents and botanicals can enhance disease management in an integrated disease management (IDM) approach.</w:t>
      </w:r>
    </w:p>
    <w:p w14:paraId="0C8C9BB2"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Conclusion</w:t>
      </w:r>
    </w:p>
    <w:p w14:paraId="1F54FFAA" w14:textId="6BF65F18"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study clearly indicates that Propiconazole 25% EC was the most effective treatment against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followed by Carbendazim and Mancozeb, in terms of both disease incidence and reduction. Among the botanicals, NSKE proved to be the best, while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showed potential as a bio-agent in managing CLS under field conditions. These findings are consistent with previous research and underline the importance of integrating fungicides, botanicals, and bio-agents for sustainable management of Cercospora leaf spot in black gram.</w:t>
      </w:r>
    </w:p>
    <w:p w14:paraId="072FCF21" w14:textId="75F86C9D" w:rsidR="001621D7" w:rsidRPr="001621D7" w:rsidRDefault="000B195D" w:rsidP="001621D7">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 xml:space="preserve">References </w:t>
      </w:r>
    </w:p>
    <w:p w14:paraId="5029CFF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Bhat, M. N., Sheikh, P. A., &amp; Jan, S. (2015). Evaluation of fungicides for control of Cercospora leaf spot in </w:t>
      </w:r>
      <w:proofErr w:type="spellStart"/>
      <w:r w:rsidRPr="000B195D">
        <w:rPr>
          <w:rFonts w:ascii="Times New Roman" w:eastAsia="Times New Roman" w:hAnsi="Times New Roman" w:cs="Times New Roman"/>
          <w:sz w:val="24"/>
          <w:szCs w:val="24"/>
          <w:lang w:eastAsia="en-GB"/>
        </w:rPr>
        <w:t>greengram</w:t>
      </w:r>
      <w:proofErr w:type="spellEnd"/>
      <w:r w:rsidRPr="000B195D">
        <w:rPr>
          <w:rFonts w:ascii="Times New Roman" w:eastAsia="Times New Roman" w:hAnsi="Times New Roman" w:cs="Times New Roman"/>
          <w:sz w:val="24"/>
          <w:szCs w:val="24"/>
          <w:lang w:eastAsia="en-GB"/>
        </w:rPr>
        <w:t xml:space="preserve">. </w:t>
      </w:r>
      <w:r w:rsidRPr="000B195D">
        <w:rPr>
          <w:rFonts w:ascii="Times New Roman" w:eastAsia="Times New Roman" w:hAnsi="Times New Roman" w:cs="Times New Roman"/>
          <w:i/>
          <w:iCs/>
          <w:sz w:val="24"/>
          <w:szCs w:val="24"/>
          <w:lang w:eastAsia="en-GB"/>
        </w:rPr>
        <w:t>Legume Research</w:t>
      </w:r>
      <w:r w:rsidRPr="000B195D">
        <w:rPr>
          <w:rFonts w:ascii="Times New Roman" w:eastAsia="Times New Roman" w:hAnsi="Times New Roman" w:cs="Times New Roman"/>
          <w:sz w:val="24"/>
          <w:szCs w:val="24"/>
          <w:lang w:eastAsia="en-GB"/>
        </w:rPr>
        <w:t>, 38(6), 819–822.</w:t>
      </w:r>
    </w:p>
    <w:p w14:paraId="6F1D4D83"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lastRenderedPageBreak/>
        <w:t xml:space="preserve">Grewal, J. S., Kolte, S. J., &amp; Bhalla, S. K. (1980). Epidemiology and control of Cercospora leaf spot of black gram. </w:t>
      </w:r>
      <w:r w:rsidRPr="00D826BC">
        <w:rPr>
          <w:rFonts w:ascii="Times New Roman" w:eastAsia="Times New Roman" w:hAnsi="Times New Roman" w:cs="Times New Roman"/>
          <w:i/>
          <w:iCs/>
          <w:sz w:val="24"/>
          <w:szCs w:val="24"/>
          <w:lang w:eastAsia="en-GB"/>
        </w:rPr>
        <w:t>Indian Phytopathology</w:t>
      </w:r>
      <w:r w:rsidRPr="00D826BC">
        <w:rPr>
          <w:rFonts w:ascii="Times New Roman" w:eastAsia="Times New Roman" w:hAnsi="Times New Roman" w:cs="Times New Roman"/>
          <w:sz w:val="24"/>
          <w:szCs w:val="24"/>
          <w:lang w:eastAsia="en-GB"/>
        </w:rPr>
        <w:t>, 33(4), 517–519.</w:t>
      </w:r>
    </w:p>
    <w:p w14:paraId="52339FA9"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Hashmi, M., Mehta, P. K., Hashmi, S., Natani, A., &amp; Rathor, S. K. (2024). Organic management of Cercospora leaf spot of black gram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by using plant leaf extract, bio-agents and mix cropping. </w:t>
      </w:r>
      <w:r w:rsidRPr="000B195D">
        <w:rPr>
          <w:rFonts w:ascii="Times New Roman" w:eastAsia="Times New Roman" w:hAnsi="Times New Roman" w:cs="Times New Roman"/>
          <w:i/>
          <w:iCs/>
          <w:sz w:val="24"/>
          <w:szCs w:val="24"/>
          <w:lang w:eastAsia="en-GB"/>
        </w:rPr>
        <w:t>Plant Archives</w:t>
      </w:r>
      <w:r w:rsidRPr="000B195D">
        <w:rPr>
          <w:rFonts w:ascii="Times New Roman" w:eastAsia="Times New Roman" w:hAnsi="Times New Roman" w:cs="Times New Roman"/>
          <w:sz w:val="24"/>
          <w:szCs w:val="24"/>
          <w:lang w:eastAsia="en-GB"/>
        </w:rPr>
        <w:t xml:space="preserve">, 24(Special Issue), 546–550. </w:t>
      </w:r>
      <w:hyperlink r:id="rId11" w:history="1">
        <w:r w:rsidRPr="000B195D">
          <w:rPr>
            <w:rFonts w:ascii="Times New Roman" w:eastAsia="Times New Roman" w:hAnsi="Times New Roman" w:cs="Times New Roman"/>
            <w:color w:val="0000FF"/>
            <w:sz w:val="24"/>
            <w:szCs w:val="24"/>
            <w:u w:val="single"/>
            <w:lang w:eastAsia="en-GB"/>
          </w:rPr>
          <w:t>https://doi.org/10.51470/PLANTARCHIVES.2024.v24.SP-GABELS.081</w:t>
        </w:r>
      </w:hyperlink>
    </w:p>
    <w:p w14:paraId="21810704"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Hashmi, M., Mehta, P. K., Hashmi, S., Natani, A., &amp; Rathor, S. K. (2024). Organic management of Cercospora leaf spot of black gram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by using plant leaf extract, bio-agents and mix cropping.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xml:space="preserve">, 24(Special Issue), 546–550. </w:t>
      </w:r>
      <w:hyperlink r:id="rId12" w:history="1">
        <w:r w:rsidRPr="00D826BC">
          <w:rPr>
            <w:rFonts w:ascii="Times New Roman" w:eastAsia="Times New Roman" w:hAnsi="Times New Roman" w:cs="Times New Roman"/>
            <w:color w:val="0000FF"/>
            <w:sz w:val="24"/>
            <w:szCs w:val="24"/>
            <w:u w:val="single"/>
            <w:lang w:eastAsia="en-GB"/>
          </w:rPr>
          <w:t>https://doi.org/10.51470/PLANTARCHIVES.2024.v24.SP-GABELS.081</w:t>
        </w:r>
      </w:hyperlink>
    </w:p>
    <w:p w14:paraId="6DF6D827"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Iqbal, S. M., Ghafoor, A., &amp; Ayub, N. (1995). Resistance in mungbean to Cercospora leaf spot disease. </w:t>
      </w:r>
      <w:r w:rsidRPr="00D826BC">
        <w:rPr>
          <w:rFonts w:ascii="Times New Roman" w:eastAsia="Times New Roman" w:hAnsi="Times New Roman" w:cs="Times New Roman"/>
          <w:i/>
          <w:iCs/>
          <w:sz w:val="24"/>
          <w:szCs w:val="24"/>
          <w:lang w:eastAsia="en-GB"/>
        </w:rPr>
        <w:t>Pakistan Journal of Phytopathology</w:t>
      </w:r>
      <w:r w:rsidRPr="00D826BC">
        <w:rPr>
          <w:rFonts w:ascii="Times New Roman" w:eastAsia="Times New Roman" w:hAnsi="Times New Roman" w:cs="Times New Roman"/>
          <w:sz w:val="24"/>
          <w:szCs w:val="24"/>
          <w:lang w:eastAsia="en-GB"/>
        </w:rPr>
        <w:t>, 7, 110–112.</w:t>
      </w:r>
    </w:p>
    <w:p w14:paraId="31CF36B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Kumar, R., Meena, A. K., Kumar, V., &amp; Singh, J. (2022). Isolation of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and management of Cercospora leaf spot of </w:t>
      </w:r>
      <w:proofErr w:type="spellStart"/>
      <w:r w:rsidRPr="000B195D">
        <w:rPr>
          <w:rFonts w:ascii="Times New Roman" w:eastAsia="Times New Roman" w:hAnsi="Times New Roman" w:cs="Times New Roman"/>
          <w:sz w:val="24"/>
          <w:szCs w:val="24"/>
          <w:lang w:eastAsia="en-GB"/>
        </w:rPr>
        <w:t>mothbean</w:t>
      </w:r>
      <w:proofErr w:type="spellEnd"/>
      <w:r w:rsidRPr="000B195D">
        <w:rPr>
          <w:rFonts w:ascii="Times New Roman" w:eastAsia="Times New Roman" w:hAnsi="Times New Roman" w:cs="Times New Roman"/>
          <w:sz w:val="24"/>
          <w:szCs w:val="24"/>
          <w:lang w:eastAsia="en-GB"/>
        </w:rPr>
        <w:t xml:space="preserve"> through botanicals. </w:t>
      </w:r>
      <w:r w:rsidRPr="000B195D">
        <w:rPr>
          <w:rFonts w:ascii="Times New Roman" w:eastAsia="Times New Roman" w:hAnsi="Times New Roman" w:cs="Times New Roman"/>
          <w:i/>
          <w:iCs/>
          <w:sz w:val="24"/>
          <w:szCs w:val="24"/>
          <w:lang w:eastAsia="en-GB"/>
        </w:rPr>
        <w:t>Journal of Experimental Agriculture International</w:t>
      </w:r>
      <w:r w:rsidRPr="000B195D">
        <w:rPr>
          <w:rFonts w:ascii="Times New Roman" w:eastAsia="Times New Roman" w:hAnsi="Times New Roman" w:cs="Times New Roman"/>
          <w:sz w:val="24"/>
          <w:szCs w:val="24"/>
          <w:lang w:eastAsia="en-GB"/>
        </w:rPr>
        <w:t xml:space="preserve">, 44(5), 57–63. </w:t>
      </w:r>
      <w:hyperlink r:id="rId13" w:history="1">
        <w:r w:rsidRPr="000B195D">
          <w:rPr>
            <w:rFonts w:ascii="Times New Roman" w:eastAsia="Times New Roman" w:hAnsi="Times New Roman" w:cs="Times New Roman"/>
            <w:color w:val="0000FF"/>
            <w:sz w:val="24"/>
            <w:szCs w:val="24"/>
            <w:u w:val="single"/>
            <w:lang w:eastAsia="en-GB"/>
          </w:rPr>
          <w:t>https://doi.org/10.9734/JEAI/2022/v44i530824</w:t>
        </w:r>
      </w:hyperlink>
    </w:p>
    <w:p w14:paraId="75740A7C"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Kumar, R., Meena, A. K., Kumar, V., &amp; Singh, J. (2022).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and management of Cercospora leaf spot of </w:t>
      </w:r>
      <w:proofErr w:type="spellStart"/>
      <w:r w:rsidRPr="00D826BC">
        <w:rPr>
          <w:rFonts w:ascii="Times New Roman" w:eastAsia="Times New Roman" w:hAnsi="Times New Roman" w:cs="Times New Roman"/>
          <w:sz w:val="24"/>
          <w:szCs w:val="24"/>
          <w:lang w:eastAsia="en-GB"/>
        </w:rPr>
        <w:t>mothbean</w:t>
      </w:r>
      <w:proofErr w:type="spellEnd"/>
      <w:r w:rsidRPr="00D826BC">
        <w:rPr>
          <w:rFonts w:ascii="Times New Roman" w:eastAsia="Times New Roman" w:hAnsi="Times New Roman" w:cs="Times New Roman"/>
          <w:sz w:val="24"/>
          <w:szCs w:val="24"/>
          <w:lang w:eastAsia="en-GB"/>
        </w:rPr>
        <w:t xml:space="preserve"> through botanicals. </w:t>
      </w:r>
      <w:r w:rsidRPr="00D826BC">
        <w:rPr>
          <w:rFonts w:ascii="Times New Roman" w:eastAsia="Times New Roman" w:hAnsi="Times New Roman" w:cs="Times New Roman"/>
          <w:i/>
          <w:iCs/>
          <w:sz w:val="24"/>
          <w:szCs w:val="24"/>
          <w:lang w:eastAsia="en-GB"/>
        </w:rPr>
        <w:t>Journal of Experimental Agriculture International</w:t>
      </w:r>
      <w:r w:rsidRPr="00D826BC">
        <w:rPr>
          <w:rFonts w:ascii="Times New Roman" w:eastAsia="Times New Roman" w:hAnsi="Times New Roman" w:cs="Times New Roman"/>
          <w:sz w:val="24"/>
          <w:szCs w:val="24"/>
          <w:lang w:eastAsia="en-GB"/>
        </w:rPr>
        <w:t xml:space="preserve">, 44(5), 57–63. </w:t>
      </w:r>
      <w:hyperlink r:id="rId14" w:history="1">
        <w:r w:rsidRPr="00D826BC">
          <w:rPr>
            <w:rFonts w:ascii="Times New Roman" w:eastAsia="Times New Roman" w:hAnsi="Times New Roman" w:cs="Times New Roman"/>
            <w:color w:val="0000FF"/>
            <w:sz w:val="24"/>
            <w:szCs w:val="24"/>
            <w:u w:val="single"/>
            <w:lang w:eastAsia="en-GB"/>
          </w:rPr>
          <w:t>https://doi.org/10.9734/JEAI/2022/v44i530824</w:t>
        </w:r>
      </w:hyperlink>
    </w:p>
    <w:p w14:paraId="7FC333B9"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D826BC">
        <w:rPr>
          <w:rFonts w:ascii="Times New Roman" w:eastAsia="Times New Roman" w:hAnsi="Times New Roman" w:cs="Times New Roman"/>
          <w:sz w:val="24"/>
          <w:szCs w:val="24"/>
          <w:lang w:eastAsia="en-GB"/>
        </w:rPr>
        <w:t>Mehjabi</w:t>
      </w:r>
      <w:proofErr w:type="spellEnd"/>
      <w:r w:rsidRPr="00D826BC">
        <w:rPr>
          <w:rFonts w:ascii="Times New Roman" w:eastAsia="Times New Roman" w:hAnsi="Times New Roman" w:cs="Times New Roman"/>
          <w:sz w:val="24"/>
          <w:szCs w:val="24"/>
          <w:lang w:eastAsia="en-GB"/>
        </w:rPr>
        <w:t xml:space="preserve">, H., Mehta, P. K., Hashmi, S., Natani, A., &amp; Rathor, S. K. (2024). Organic management of Cercospora leaf spot of black gram using botanicals and bio-agents.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24(Special Issue), 546–550.</w:t>
      </w:r>
    </w:p>
    <w:p w14:paraId="7EA449F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Prasad, D., Gupta, K., &amp; Singh, V. P. (2024). Management of Cercospora Leaf Spot of Mungbean using fungicides and host resistance in Bundelkhand region of Uttar Pradesh, India. </w:t>
      </w:r>
      <w:r w:rsidRPr="000B195D">
        <w:rPr>
          <w:rFonts w:ascii="Times New Roman" w:eastAsia="Times New Roman" w:hAnsi="Times New Roman" w:cs="Times New Roman"/>
          <w:i/>
          <w:iCs/>
          <w:sz w:val="24"/>
          <w:szCs w:val="24"/>
          <w:lang w:eastAsia="en-GB"/>
        </w:rPr>
        <w:t>Legume Research</w:t>
      </w:r>
      <w:r w:rsidRPr="000B195D">
        <w:rPr>
          <w:rFonts w:ascii="Times New Roman" w:eastAsia="Times New Roman" w:hAnsi="Times New Roman" w:cs="Times New Roman"/>
          <w:sz w:val="24"/>
          <w:szCs w:val="24"/>
          <w:lang w:eastAsia="en-GB"/>
        </w:rPr>
        <w:t xml:space="preserve">, 47(2), 318–322. </w:t>
      </w:r>
      <w:hyperlink r:id="rId15" w:history="1">
        <w:r w:rsidRPr="000B195D">
          <w:rPr>
            <w:rFonts w:ascii="Times New Roman" w:eastAsia="Times New Roman" w:hAnsi="Times New Roman" w:cs="Times New Roman"/>
            <w:color w:val="0000FF"/>
            <w:sz w:val="24"/>
            <w:szCs w:val="24"/>
            <w:u w:val="single"/>
            <w:lang w:eastAsia="en-GB"/>
          </w:rPr>
          <w:t>https://doi.org/10.18805/LR-4641</w:t>
        </w:r>
      </w:hyperlink>
    </w:p>
    <w:p w14:paraId="7FB7BD56"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Prasad, D., Gupta, K., &amp; Singh, V. P. (2024). Management of Cercospora Leaf Spot of Mungbean (</w:t>
      </w:r>
      <w:r w:rsidRPr="00D826BC">
        <w:rPr>
          <w:rFonts w:ascii="Times New Roman" w:eastAsia="Times New Roman" w:hAnsi="Times New Roman" w:cs="Times New Roman"/>
          <w:i/>
          <w:iCs/>
          <w:sz w:val="24"/>
          <w:szCs w:val="24"/>
          <w:lang w:eastAsia="en-GB"/>
        </w:rPr>
        <w:t>Vigna radiata</w:t>
      </w:r>
      <w:r w:rsidRPr="00D826BC">
        <w:rPr>
          <w:rFonts w:ascii="Times New Roman" w:eastAsia="Times New Roman" w:hAnsi="Times New Roman" w:cs="Times New Roman"/>
          <w:sz w:val="24"/>
          <w:szCs w:val="24"/>
          <w:lang w:eastAsia="en-GB"/>
        </w:rPr>
        <w:t xml:space="preserve"> L.) using fungicides and host resistance in Bundelkhand region of Uttar Pradesh, India. </w:t>
      </w:r>
      <w:r w:rsidRPr="00D826BC">
        <w:rPr>
          <w:rFonts w:ascii="Times New Roman" w:eastAsia="Times New Roman" w:hAnsi="Times New Roman" w:cs="Times New Roman"/>
          <w:i/>
          <w:iCs/>
          <w:sz w:val="24"/>
          <w:szCs w:val="24"/>
          <w:lang w:eastAsia="en-GB"/>
        </w:rPr>
        <w:t>Legume Research - An International Journal</w:t>
      </w:r>
      <w:r w:rsidRPr="00D826BC">
        <w:rPr>
          <w:rFonts w:ascii="Times New Roman" w:eastAsia="Times New Roman" w:hAnsi="Times New Roman" w:cs="Times New Roman"/>
          <w:sz w:val="24"/>
          <w:szCs w:val="24"/>
          <w:lang w:eastAsia="en-GB"/>
        </w:rPr>
        <w:t xml:space="preserve">, 47(2), 318–322. </w:t>
      </w:r>
      <w:hyperlink r:id="rId16" w:history="1">
        <w:r w:rsidRPr="00D826BC">
          <w:rPr>
            <w:rFonts w:ascii="Times New Roman" w:eastAsia="Times New Roman" w:hAnsi="Times New Roman" w:cs="Times New Roman"/>
            <w:color w:val="0000FF"/>
            <w:sz w:val="24"/>
            <w:szCs w:val="24"/>
            <w:u w:val="single"/>
            <w:lang w:eastAsia="en-GB"/>
          </w:rPr>
          <w:t>https://doi.org/10.18805/LR-4641</w:t>
        </w:r>
      </w:hyperlink>
    </w:p>
    <w:p w14:paraId="46E77644" w14:textId="77777777" w:rsidR="001621D7" w:rsidRPr="00204FCA"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Yadav, J. B. S., Singh, P. C., Singh, R., Kumar, S., &amp; Chaudhary, S. (2024). Management of Cercospora leaf spot disease in mungbean using novel fungicides, botanicals and bio-agents. </w:t>
      </w:r>
      <w:r w:rsidRPr="000B195D">
        <w:rPr>
          <w:rFonts w:ascii="Times New Roman" w:eastAsia="Times New Roman" w:hAnsi="Times New Roman" w:cs="Times New Roman"/>
          <w:i/>
          <w:iCs/>
          <w:sz w:val="24"/>
          <w:szCs w:val="24"/>
          <w:lang w:eastAsia="en-GB"/>
        </w:rPr>
        <w:t>International Journal of Research in Agronomy</w:t>
      </w:r>
      <w:r w:rsidRPr="000B195D">
        <w:rPr>
          <w:rFonts w:ascii="Times New Roman" w:eastAsia="Times New Roman" w:hAnsi="Times New Roman" w:cs="Times New Roman"/>
          <w:sz w:val="24"/>
          <w:szCs w:val="24"/>
          <w:lang w:eastAsia="en-GB"/>
        </w:rPr>
        <w:t xml:space="preserve">, 7(3), 609–612. </w:t>
      </w:r>
      <w:hyperlink r:id="rId17" w:history="1">
        <w:r w:rsidRPr="000B195D">
          <w:rPr>
            <w:rFonts w:ascii="Times New Roman" w:eastAsia="Times New Roman" w:hAnsi="Times New Roman" w:cs="Times New Roman"/>
            <w:color w:val="0000FF"/>
            <w:sz w:val="24"/>
            <w:szCs w:val="24"/>
            <w:u w:val="single"/>
            <w:lang w:eastAsia="en-GB"/>
          </w:rPr>
          <w:t>https://doi.org/10.33545/2618060X.2024.v7.i3h.490</w:t>
        </w:r>
      </w:hyperlink>
    </w:p>
    <w:p w14:paraId="38B0E971" w14:textId="7B7B12C3" w:rsidR="001621D7"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lastRenderedPageBreak/>
        <w:t xml:space="preserve">Yadav, J. B. S., Singh, P. C., Singh, R., Kumar, S., &amp; Chaudhary, S. (2024). Management of Cercospora leaf spot disease in mungbean using novel fungicides, botanicals and bio-agents. </w:t>
      </w:r>
      <w:r w:rsidRPr="00D826BC">
        <w:rPr>
          <w:rFonts w:ascii="Times New Roman" w:eastAsia="Times New Roman" w:hAnsi="Times New Roman" w:cs="Times New Roman"/>
          <w:i/>
          <w:iCs/>
          <w:sz w:val="24"/>
          <w:szCs w:val="24"/>
          <w:lang w:eastAsia="en-GB"/>
        </w:rPr>
        <w:t>International Journal of Research in Agronomy</w:t>
      </w:r>
      <w:r w:rsidRPr="00D826BC">
        <w:rPr>
          <w:rFonts w:ascii="Times New Roman" w:eastAsia="Times New Roman" w:hAnsi="Times New Roman" w:cs="Times New Roman"/>
          <w:sz w:val="24"/>
          <w:szCs w:val="24"/>
          <w:lang w:eastAsia="en-GB"/>
        </w:rPr>
        <w:t>, 7(3), 609</w:t>
      </w:r>
      <w:r w:rsidR="003D5841">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sz w:val="24"/>
          <w:szCs w:val="24"/>
          <w:lang w:eastAsia="en-GB"/>
        </w:rPr>
        <w:t xml:space="preserve">612. </w:t>
      </w:r>
      <w:hyperlink r:id="rId18" w:history="1">
        <w:r w:rsidRPr="00D826BC">
          <w:rPr>
            <w:rFonts w:ascii="Times New Roman" w:eastAsia="Times New Roman" w:hAnsi="Times New Roman" w:cs="Times New Roman"/>
            <w:color w:val="0000FF"/>
            <w:sz w:val="24"/>
            <w:szCs w:val="24"/>
            <w:u w:val="single"/>
            <w:lang w:eastAsia="en-GB"/>
          </w:rPr>
          <w:t>https://doi.org/10.33545/2618060X.2024.v7.i3h.490</w:t>
        </w:r>
      </w:hyperlink>
    </w:p>
    <w:p w14:paraId="6F7D466E" w14:textId="77777777" w:rsidR="003D5841" w:rsidRDefault="003D5841" w:rsidP="003D5841">
      <w:pPr>
        <w:pStyle w:val="NormalWeb"/>
        <w:numPr>
          <w:ilvl w:val="0"/>
          <w:numId w:val="7"/>
        </w:numPr>
        <w:jc w:val="both"/>
      </w:pPr>
      <w:r>
        <w:t xml:space="preserve">Kumar, N., Singh, M., </w:t>
      </w:r>
      <w:proofErr w:type="spellStart"/>
      <w:r>
        <w:t>Lakhran</w:t>
      </w:r>
      <w:proofErr w:type="spellEnd"/>
      <w:r>
        <w:t xml:space="preserve">, L., Prajapati, S., &amp; Maurya, S. (2022). Management strategies using phytoextracts and fungicides against Cercospora leaf spot of </w:t>
      </w:r>
      <w:proofErr w:type="spellStart"/>
      <w:r>
        <w:t>mungbean</w:t>
      </w:r>
      <w:proofErr w:type="spellEnd"/>
      <w:r>
        <w:t xml:space="preserve"> incited by </w:t>
      </w:r>
      <w:proofErr w:type="spellStart"/>
      <w:r>
        <w:rPr>
          <w:rStyle w:val="nfasis"/>
        </w:rPr>
        <w:t>Cercospora</w:t>
      </w:r>
      <w:proofErr w:type="spellEnd"/>
      <w:r>
        <w:rPr>
          <w:rStyle w:val="nfasis"/>
        </w:rPr>
        <w:t xml:space="preserve"> </w:t>
      </w:r>
      <w:proofErr w:type="spellStart"/>
      <w:r>
        <w:rPr>
          <w:rStyle w:val="nfasis"/>
        </w:rPr>
        <w:t>canescens</w:t>
      </w:r>
      <w:proofErr w:type="spellEnd"/>
      <w:r>
        <w:t xml:space="preserve"> under </w:t>
      </w:r>
      <w:r>
        <w:rPr>
          <w:rStyle w:val="nfasis"/>
        </w:rPr>
        <w:t>in vitro</w:t>
      </w:r>
      <w:r>
        <w:t xml:space="preserve"> and </w:t>
      </w:r>
      <w:r>
        <w:rPr>
          <w:rStyle w:val="nfasis"/>
        </w:rPr>
        <w:t>in vivo</w:t>
      </w:r>
      <w:r>
        <w:t xml:space="preserve"> conditions. </w:t>
      </w:r>
      <w:r>
        <w:rPr>
          <w:rStyle w:val="nfasis"/>
        </w:rPr>
        <w:t>Legume Research</w:t>
      </w:r>
      <w:r>
        <w:t xml:space="preserve">, 45(11), 4809. </w:t>
      </w:r>
      <w:hyperlink r:id="rId19" w:tgtFrame="_new" w:history="1">
        <w:r>
          <w:rPr>
            <w:rStyle w:val="Hipervnculo"/>
          </w:rPr>
          <w:t>https://doi.org/10.18805/lr-4809</w:t>
        </w:r>
      </w:hyperlink>
    </w:p>
    <w:p w14:paraId="3403D46F" w14:textId="77777777" w:rsidR="003D5841" w:rsidRDefault="003D5841" w:rsidP="003D5841">
      <w:pPr>
        <w:pStyle w:val="NormalWeb"/>
        <w:numPr>
          <w:ilvl w:val="0"/>
          <w:numId w:val="7"/>
        </w:numPr>
        <w:jc w:val="both"/>
      </w:pPr>
      <w:r>
        <w:t>Kumar, R., Meena, A. K., Kumar, V., Nathawat, B. D. S., &amp; Yadav, A. (2023). Management of Cercospora leaf spot (</w:t>
      </w:r>
      <w:proofErr w:type="spellStart"/>
      <w:r>
        <w:rPr>
          <w:rStyle w:val="nfasis"/>
        </w:rPr>
        <w:t>Cercospora</w:t>
      </w:r>
      <w:proofErr w:type="spellEnd"/>
      <w:r>
        <w:rPr>
          <w:rStyle w:val="nfasis"/>
        </w:rPr>
        <w:t xml:space="preserve"> </w:t>
      </w:r>
      <w:proofErr w:type="spellStart"/>
      <w:r>
        <w:rPr>
          <w:rStyle w:val="nfasis"/>
        </w:rPr>
        <w:t>canescens</w:t>
      </w:r>
      <w:proofErr w:type="spellEnd"/>
      <w:r>
        <w:t xml:space="preserve"> Ellis and Martin) of </w:t>
      </w:r>
      <w:proofErr w:type="spellStart"/>
      <w:r>
        <w:t>mothbean</w:t>
      </w:r>
      <w:proofErr w:type="spellEnd"/>
      <w:r>
        <w:t xml:space="preserve"> (</w:t>
      </w:r>
      <w:r>
        <w:rPr>
          <w:rStyle w:val="nfasis"/>
        </w:rPr>
        <w:t xml:space="preserve">Vigna </w:t>
      </w:r>
      <w:proofErr w:type="spellStart"/>
      <w:r>
        <w:rPr>
          <w:rStyle w:val="nfasis"/>
        </w:rPr>
        <w:t>aconitifolia</w:t>
      </w:r>
      <w:proofErr w:type="spellEnd"/>
      <w:r>
        <w:t xml:space="preserve"> (Jacq.) Maréchal) through fungicides. </w:t>
      </w:r>
      <w:r>
        <w:rPr>
          <w:rStyle w:val="nfasis"/>
        </w:rPr>
        <w:t>Legume Research</w:t>
      </w:r>
      <w:r>
        <w:t xml:space="preserve">, 46(6), 891. </w:t>
      </w:r>
      <w:hyperlink r:id="rId20" w:tgtFrame="_new" w:history="1">
        <w:r>
          <w:rPr>
            <w:rStyle w:val="Hipervnculo"/>
          </w:rPr>
          <w:t>https://doi.org/10.18805/lr-4891</w:t>
        </w:r>
      </w:hyperlink>
    </w:p>
    <w:p w14:paraId="11F98483" w14:textId="77777777" w:rsidR="003D5841" w:rsidRDefault="003D5841" w:rsidP="003D5841">
      <w:pPr>
        <w:pStyle w:val="NormalWeb"/>
        <w:numPr>
          <w:ilvl w:val="0"/>
          <w:numId w:val="7"/>
        </w:numPr>
        <w:jc w:val="both"/>
      </w:pPr>
      <w:r>
        <w:t xml:space="preserve">Raghuvanshi, R., Singh, N., </w:t>
      </w:r>
      <w:proofErr w:type="spellStart"/>
      <w:r>
        <w:t>Sarsaiya</w:t>
      </w:r>
      <w:proofErr w:type="spellEnd"/>
      <w:r>
        <w:t xml:space="preserve">, V., Patidar, G., Chandra, S., Singh, A., &amp; Singh, V. (2024). Comprehensive disease management strategy for Cercospora leaf spot in mungbean: Assessment of botanicals, fungicides, and bio-agents </w:t>
      </w:r>
      <w:r>
        <w:rPr>
          <w:rStyle w:val="nfasis"/>
        </w:rPr>
        <w:t>in vivo</w:t>
      </w:r>
      <w:r>
        <w:t xml:space="preserve">. </w:t>
      </w:r>
      <w:r>
        <w:rPr>
          <w:rStyle w:val="nfasis"/>
        </w:rPr>
        <w:t>Journal of Experimental Agriculture International</w:t>
      </w:r>
      <w:r>
        <w:t xml:space="preserve">, 46(5), 2426. </w:t>
      </w:r>
      <w:hyperlink r:id="rId21" w:tgtFrame="_new" w:history="1">
        <w:r>
          <w:rPr>
            <w:rStyle w:val="Hipervnculo"/>
          </w:rPr>
          <w:t>https://doi.org/10.9734/jeai/2024/v46i52426</w:t>
        </w:r>
      </w:hyperlink>
    </w:p>
    <w:p w14:paraId="6276505E" w14:textId="77777777" w:rsidR="003D5841" w:rsidRPr="00D826BC" w:rsidRDefault="003D5841" w:rsidP="003D5841">
      <w:pPr>
        <w:spacing w:before="100" w:beforeAutospacing="1" w:after="100" w:afterAutospacing="1" w:line="360" w:lineRule="auto"/>
        <w:ind w:left="720"/>
        <w:jc w:val="both"/>
        <w:rPr>
          <w:rFonts w:ascii="Times New Roman" w:eastAsia="Times New Roman" w:hAnsi="Times New Roman" w:cs="Times New Roman"/>
          <w:sz w:val="24"/>
          <w:szCs w:val="24"/>
          <w:lang w:eastAsia="en-GB"/>
        </w:rPr>
      </w:pPr>
    </w:p>
    <w:sectPr w:rsidR="003D5841" w:rsidRPr="00D826BC">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s maria-ramirez" w:date="2025-08-14T11:32:00Z" w:initials="amr">
    <w:p w14:paraId="2CBADAC3" w14:textId="77777777" w:rsidR="003E7A61" w:rsidRPr="003E7A61" w:rsidRDefault="003E7A61" w:rsidP="003E7A61">
      <w:pPr>
        <w:pStyle w:val="NormalWeb"/>
        <w:rPr>
          <w:lang w:val="es-MX" w:eastAsia="es-MX"/>
        </w:rPr>
      </w:pPr>
      <w:r>
        <w:rPr>
          <w:rStyle w:val="Refdecomentario"/>
        </w:rPr>
        <w:annotationRef/>
      </w:r>
      <w:proofErr w:type="spellStart"/>
      <w:r w:rsidRPr="003E7A61">
        <w:rPr>
          <w:lang w:val="es-MX" w:eastAsia="es-MX"/>
        </w:rPr>
        <w:t>It</w:t>
      </w:r>
      <w:proofErr w:type="spellEnd"/>
      <w:r w:rsidRPr="003E7A61">
        <w:rPr>
          <w:lang w:val="es-MX" w:eastAsia="es-MX"/>
        </w:rPr>
        <w:t xml:space="preserve"> </w:t>
      </w:r>
      <w:proofErr w:type="spellStart"/>
      <w:r w:rsidRPr="003E7A61">
        <w:rPr>
          <w:lang w:val="es-MX" w:eastAsia="es-MX"/>
        </w:rPr>
        <w:t>will</w:t>
      </w:r>
      <w:proofErr w:type="spellEnd"/>
      <w:r w:rsidRPr="003E7A61">
        <w:rPr>
          <w:lang w:val="es-MX" w:eastAsia="es-MX"/>
        </w:rPr>
        <w:t xml:space="preserve"> be </w:t>
      </w:r>
      <w:proofErr w:type="spellStart"/>
      <w:r w:rsidRPr="003E7A61">
        <w:rPr>
          <w:lang w:val="es-MX" w:eastAsia="es-MX"/>
        </w:rPr>
        <w:t>interesting</w:t>
      </w:r>
      <w:proofErr w:type="spellEnd"/>
      <w:r w:rsidRPr="003E7A61">
        <w:rPr>
          <w:lang w:val="es-MX" w:eastAsia="es-MX"/>
        </w:rPr>
        <w:t xml:space="preserve"> </w:t>
      </w:r>
      <w:proofErr w:type="spellStart"/>
      <w:r w:rsidRPr="003E7A61">
        <w:rPr>
          <w:lang w:val="es-MX" w:eastAsia="es-MX"/>
        </w:rPr>
        <w:t>to</w:t>
      </w:r>
      <w:proofErr w:type="spellEnd"/>
      <w:r w:rsidRPr="003E7A61">
        <w:rPr>
          <w:lang w:val="es-MX" w:eastAsia="es-MX"/>
        </w:rPr>
        <w:t xml:space="preserve"> </w:t>
      </w:r>
      <w:proofErr w:type="spellStart"/>
      <w:r w:rsidRPr="003E7A61">
        <w:rPr>
          <w:lang w:val="es-MX" w:eastAsia="es-MX"/>
        </w:rPr>
        <w:t>record</w:t>
      </w:r>
      <w:proofErr w:type="spellEnd"/>
      <w:r w:rsidRPr="003E7A61">
        <w:rPr>
          <w:lang w:val="es-MX" w:eastAsia="es-MX"/>
        </w:rPr>
        <w:t xml:space="preserve"> </w:t>
      </w:r>
      <w:proofErr w:type="spellStart"/>
      <w:r w:rsidRPr="003E7A61">
        <w:rPr>
          <w:lang w:val="es-MX" w:eastAsia="es-MX"/>
        </w:rPr>
        <w:t>the</w:t>
      </w:r>
      <w:proofErr w:type="spellEnd"/>
      <w:r w:rsidRPr="003E7A61">
        <w:rPr>
          <w:lang w:val="es-MX" w:eastAsia="es-MX"/>
        </w:rPr>
        <w:t xml:space="preserve"> </w:t>
      </w:r>
      <w:proofErr w:type="spellStart"/>
      <w:r w:rsidRPr="003E7A61">
        <w:rPr>
          <w:lang w:val="es-MX" w:eastAsia="es-MX"/>
        </w:rPr>
        <w:t>percentage</w:t>
      </w:r>
      <w:proofErr w:type="spellEnd"/>
      <w:r w:rsidRPr="003E7A61">
        <w:rPr>
          <w:lang w:val="es-MX" w:eastAsia="es-MX"/>
        </w:rPr>
        <w:t xml:space="preserve"> </w:t>
      </w:r>
      <w:proofErr w:type="spellStart"/>
      <w:r w:rsidRPr="003E7A61">
        <w:rPr>
          <w:lang w:val="es-MX" w:eastAsia="es-MX"/>
        </w:rPr>
        <w:t>of</w:t>
      </w:r>
      <w:proofErr w:type="spellEnd"/>
      <w:r w:rsidRPr="003E7A61">
        <w:rPr>
          <w:lang w:val="es-MX" w:eastAsia="es-MX"/>
        </w:rPr>
        <w:t xml:space="preserve"> </w:t>
      </w:r>
      <w:proofErr w:type="spellStart"/>
      <w:r w:rsidRPr="003E7A61">
        <w:rPr>
          <w:lang w:val="es-MX" w:eastAsia="es-MX"/>
        </w:rPr>
        <w:t>area</w:t>
      </w:r>
      <w:proofErr w:type="spellEnd"/>
      <w:r w:rsidRPr="003E7A61">
        <w:rPr>
          <w:lang w:val="es-MX" w:eastAsia="es-MX"/>
        </w:rPr>
        <w:t xml:space="preserve"> </w:t>
      </w:r>
      <w:proofErr w:type="spellStart"/>
      <w:r w:rsidRPr="003E7A61">
        <w:rPr>
          <w:lang w:val="es-MX" w:eastAsia="es-MX"/>
        </w:rPr>
        <w:t>planted</w:t>
      </w:r>
      <w:proofErr w:type="spellEnd"/>
      <w:r w:rsidRPr="003E7A61">
        <w:rPr>
          <w:lang w:val="es-MX" w:eastAsia="es-MX"/>
        </w:rPr>
        <w:t xml:space="preserve"> </w:t>
      </w:r>
      <w:proofErr w:type="spellStart"/>
      <w:r w:rsidRPr="003E7A61">
        <w:rPr>
          <w:lang w:val="es-MX" w:eastAsia="es-MX"/>
        </w:rPr>
        <w:t>with</w:t>
      </w:r>
      <w:proofErr w:type="spellEnd"/>
      <w:r w:rsidRPr="003E7A61">
        <w:rPr>
          <w:lang w:val="es-MX" w:eastAsia="es-MX"/>
        </w:rPr>
        <w:t xml:space="preserve"> </w:t>
      </w:r>
      <w:r w:rsidRPr="003E7A61">
        <w:rPr>
          <w:i/>
          <w:iCs/>
          <w:lang w:val="es-MX" w:eastAsia="es-MX"/>
        </w:rPr>
        <w:t xml:space="preserve">Vigna </w:t>
      </w:r>
      <w:proofErr w:type="spellStart"/>
      <w:r w:rsidRPr="003E7A61">
        <w:rPr>
          <w:i/>
          <w:iCs/>
          <w:lang w:val="es-MX" w:eastAsia="es-MX"/>
        </w:rPr>
        <w:t>mungo</w:t>
      </w:r>
      <w:proofErr w:type="spellEnd"/>
      <w:r w:rsidRPr="003E7A61">
        <w:rPr>
          <w:lang w:val="es-MX" w:eastAsia="es-MX"/>
        </w:rPr>
        <w:t xml:space="preserve"> (L.) </w:t>
      </w:r>
      <w:proofErr w:type="spellStart"/>
      <w:r w:rsidRPr="003E7A61">
        <w:rPr>
          <w:lang w:val="es-MX" w:eastAsia="es-MX"/>
        </w:rPr>
        <w:t>that</w:t>
      </w:r>
      <w:proofErr w:type="spellEnd"/>
      <w:r w:rsidRPr="003E7A61">
        <w:rPr>
          <w:lang w:val="es-MX" w:eastAsia="es-MX"/>
        </w:rPr>
        <w:t xml:space="preserve"> </w:t>
      </w:r>
      <w:proofErr w:type="spellStart"/>
      <w:r w:rsidRPr="003E7A61">
        <w:rPr>
          <w:lang w:val="es-MX" w:eastAsia="es-MX"/>
        </w:rPr>
        <w:t>is</w:t>
      </w:r>
      <w:proofErr w:type="spellEnd"/>
      <w:r w:rsidRPr="003E7A61">
        <w:rPr>
          <w:lang w:val="es-MX" w:eastAsia="es-MX"/>
        </w:rPr>
        <w:t xml:space="preserve"> </w:t>
      </w:r>
      <w:proofErr w:type="spellStart"/>
      <w:r w:rsidRPr="003E7A61">
        <w:rPr>
          <w:lang w:val="es-MX" w:eastAsia="es-MX"/>
        </w:rPr>
        <w:t>under</w:t>
      </w:r>
      <w:proofErr w:type="spellEnd"/>
      <w:r w:rsidRPr="003E7A61">
        <w:rPr>
          <w:lang w:val="es-MX" w:eastAsia="es-MX"/>
        </w:rPr>
        <w:t xml:space="preserve"> </w:t>
      </w:r>
      <w:proofErr w:type="spellStart"/>
      <w:r w:rsidRPr="003E7A61">
        <w:rPr>
          <w:lang w:val="es-MX" w:eastAsia="es-MX"/>
        </w:rPr>
        <w:t>disease</w:t>
      </w:r>
      <w:proofErr w:type="spellEnd"/>
      <w:r w:rsidRPr="003E7A61">
        <w:rPr>
          <w:lang w:val="es-MX" w:eastAsia="es-MX"/>
        </w:rPr>
        <w:t xml:space="preserve"> control and </w:t>
      </w:r>
      <w:proofErr w:type="spellStart"/>
      <w:r w:rsidRPr="003E7A61">
        <w:rPr>
          <w:lang w:val="es-MX" w:eastAsia="es-MX"/>
        </w:rPr>
        <w:t>the</w:t>
      </w:r>
      <w:proofErr w:type="spellEnd"/>
      <w:r w:rsidRPr="003E7A61">
        <w:rPr>
          <w:lang w:val="es-MX" w:eastAsia="es-MX"/>
        </w:rPr>
        <w:t xml:space="preserve"> control </w:t>
      </w:r>
      <w:proofErr w:type="spellStart"/>
      <w:r w:rsidRPr="003E7A61">
        <w:rPr>
          <w:lang w:val="es-MX" w:eastAsia="es-MX"/>
        </w:rPr>
        <w:t>method</w:t>
      </w:r>
      <w:proofErr w:type="spellEnd"/>
      <w:r w:rsidRPr="003E7A61">
        <w:rPr>
          <w:lang w:val="es-MX" w:eastAsia="es-MX"/>
        </w:rPr>
        <w:t xml:space="preserve"> </w:t>
      </w:r>
      <w:proofErr w:type="spellStart"/>
      <w:r w:rsidRPr="003E7A61">
        <w:rPr>
          <w:lang w:val="es-MX" w:eastAsia="es-MX"/>
        </w:rPr>
        <w:t>or</w:t>
      </w:r>
      <w:proofErr w:type="spellEnd"/>
      <w:r w:rsidRPr="003E7A61">
        <w:rPr>
          <w:lang w:val="es-MX" w:eastAsia="es-MX"/>
        </w:rPr>
        <w:t xml:space="preserve"> </w:t>
      </w:r>
      <w:proofErr w:type="spellStart"/>
      <w:r w:rsidRPr="003E7A61">
        <w:rPr>
          <w:lang w:val="es-MX" w:eastAsia="es-MX"/>
        </w:rPr>
        <w:t>methods</w:t>
      </w:r>
      <w:proofErr w:type="spellEnd"/>
      <w:r w:rsidRPr="003E7A61">
        <w:rPr>
          <w:lang w:val="es-MX" w:eastAsia="es-MX"/>
        </w:rPr>
        <w:t xml:space="preserve"> </w:t>
      </w:r>
      <w:proofErr w:type="spellStart"/>
      <w:r w:rsidRPr="003E7A61">
        <w:rPr>
          <w:lang w:val="es-MX" w:eastAsia="es-MX"/>
        </w:rPr>
        <w:t>used</w:t>
      </w:r>
      <w:proofErr w:type="spellEnd"/>
      <w:r w:rsidRPr="003E7A61">
        <w:rPr>
          <w:lang w:val="es-MX" w:eastAsia="es-MX"/>
        </w:rPr>
        <w:t xml:space="preserve">, in </w:t>
      </w:r>
      <w:proofErr w:type="spellStart"/>
      <w:r w:rsidRPr="003E7A61">
        <w:rPr>
          <w:lang w:val="es-MX" w:eastAsia="es-MX"/>
        </w:rPr>
        <w:t>order</w:t>
      </w:r>
      <w:proofErr w:type="spellEnd"/>
      <w:r w:rsidRPr="003E7A61">
        <w:rPr>
          <w:lang w:val="es-MX" w:eastAsia="es-MX"/>
        </w:rPr>
        <w:t xml:space="preserve"> </w:t>
      </w:r>
      <w:proofErr w:type="spellStart"/>
      <w:r w:rsidRPr="003E7A61">
        <w:rPr>
          <w:lang w:val="es-MX" w:eastAsia="es-MX"/>
        </w:rPr>
        <w:t>to</w:t>
      </w:r>
      <w:proofErr w:type="spellEnd"/>
      <w:r w:rsidRPr="003E7A61">
        <w:rPr>
          <w:lang w:val="es-MX" w:eastAsia="es-MX"/>
        </w:rPr>
        <w:t xml:space="preserve"> </w:t>
      </w:r>
      <w:proofErr w:type="spellStart"/>
      <w:r w:rsidRPr="003E7A61">
        <w:rPr>
          <w:lang w:val="es-MX" w:eastAsia="es-MX"/>
        </w:rPr>
        <w:t>gain</w:t>
      </w:r>
      <w:proofErr w:type="spellEnd"/>
      <w:r w:rsidRPr="003E7A61">
        <w:rPr>
          <w:lang w:val="es-MX" w:eastAsia="es-MX"/>
        </w:rPr>
        <w:t xml:space="preserve"> a </w:t>
      </w:r>
      <w:proofErr w:type="spellStart"/>
      <w:r w:rsidRPr="003E7A61">
        <w:rPr>
          <w:lang w:val="es-MX" w:eastAsia="es-MX"/>
        </w:rPr>
        <w:t>better</w:t>
      </w:r>
      <w:proofErr w:type="spellEnd"/>
      <w:r w:rsidRPr="003E7A61">
        <w:rPr>
          <w:lang w:val="es-MX" w:eastAsia="es-MX"/>
        </w:rPr>
        <w:t xml:space="preserve"> </w:t>
      </w:r>
      <w:proofErr w:type="spellStart"/>
      <w:r w:rsidRPr="003E7A61">
        <w:rPr>
          <w:lang w:val="es-MX" w:eastAsia="es-MX"/>
        </w:rPr>
        <w:t>understanding</w:t>
      </w:r>
      <w:proofErr w:type="spellEnd"/>
      <w:r w:rsidRPr="003E7A61">
        <w:rPr>
          <w:lang w:val="es-MX" w:eastAsia="es-MX"/>
        </w:rPr>
        <w:t xml:space="preserve"> </w:t>
      </w:r>
      <w:proofErr w:type="spellStart"/>
      <w:r w:rsidRPr="003E7A61">
        <w:rPr>
          <w:lang w:val="es-MX" w:eastAsia="es-MX"/>
        </w:rPr>
        <w:t>of</w:t>
      </w:r>
      <w:proofErr w:type="spellEnd"/>
      <w:r w:rsidRPr="003E7A61">
        <w:rPr>
          <w:lang w:val="es-MX" w:eastAsia="es-MX"/>
        </w:rPr>
        <w:t xml:space="preserve"> </w:t>
      </w:r>
      <w:proofErr w:type="spellStart"/>
      <w:r w:rsidRPr="003E7A61">
        <w:rPr>
          <w:lang w:val="es-MX" w:eastAsia="es-MX"/>
        </w:rPr>
        <w:t>the</w:t>
      </w:r>
      <w:proofErr w:type="spellEnd"/>
      <w:r w:rsidRPr="003E7A61">
        <w:rPr>
          <w:lang w:val="es-MX" w:eastAsia="es-MX"/>
        </w:rPr>
        <w:t xml:space="preserve"> </w:t>
      </w:r>
      <w:proofErr w:type="spellStart"/>
      <w:r w:rsidRPr="003E7A61">
        <w:rPr>
          <w:lang w:val="es-MX" w:eastAsia="es-MX"/>
        </w:rPr>
        <w:t>problem</w:t>
      </w:r>
      <w:proofErr w:type="spellEnd"/>
      <w:r w:rsidRPr="003E7A61">
        <w:rPr>
          <w:lang w:val="es-MX" w:eastAsia="es-MX"/>
        </w:rPr>
        <w:t xml:space="preserve">, </w:t>
      </w:r>
      <w:proofErr w:type="spellStart"/>
      <w:r w:rsidRPr="003E7A61">
        <w:rPr>
          <w:lang w:val="es-MX" w:eastAsia="es-MX"/>
        </w:rPr>
        <w:t>given</w:t>
      </w:r>
      <w:proofErr w:type="spellEnd"/>
      <w:r w:rsidRPr="003E7A61">
        <w:rPr>
          <w:lang w:val="es-MX" w:eastAsia="es-MX"/>
        </w:rPr>
        <w:t xml:space="preserve"> </w:t>
      </w:r>
      <w:proofErr w:type="spellStart"/>
      <w:r w:rsidRPr="003E7A61">
        <w:rPr>
          <w:lang w:val="es-MX" w:eastAsia="es-MX"/>
        </w:rPr>
        <w:t>the</w:t>
      </w:r>
      <w:proofErr w:type="spellEnd"/>
      <w:r w:rsidRPr="003E7A61">
        <w:rPr>
          <w:lang w:val="es-MX" w:eastAsia="es-MX"/>
        </w:rPr>
        <w:t xml:space="preserve"> </w:t>
      </w:r>
      <w:proofErr w:type="spellStart"/>
      <w:r w:rsidRPr="003E7A61">
        <w:rPr>
          <w:lang w:val="es-MX" w:eastAsia="es-MX"/>
        </w:rPr>
        <w:t>environmental</w:t>
      </w:r>
      <w:proofErr w:type="spellEnd"/>
      <w:r w:rsidRPr="003E7A61">
        <w:rPr>
          <w:lang w:val="es-MX" w:eastAsia="es-MX"/>
        </w:rPr>
        <w:t xml:space="preserve"> </w:t>
      </w:r>
      <w:proofErr w:type="spellStart"/>
      <w:r w:rsidRPr="003E7A61">
        <w:rPr>
          <w:lang w:val="es-MX" w:eastAsia="es-MX"/>
        </w:rPr>
        <w:t>damage</w:t>
      </w:r>
      <w:proofErr w:type="spellEnd"/>
      <w:r w:rsidRPr="003E7A61">
        <w:rPr>
          <w:lang w:val="es-MX" w:eastAsia="es-MX"/>
        </w:rPr>
        <w:t xml:space="preserve"> and </w:t>
      </w:r>
      <w:proofErr w:type="spellStart"/>
      <w:r w:rsidRPr="003E7A61">
        <w:rPr>
          <w:lang w:val="es-MX" w:eastAsia="es-MX"/>
        </w:rPr>
        <w:t>costs</w:t>
      </w:r>
      <w:proofErr w:type="spellEnd"/>
      <w:r w:rsidRPr="003E7A61">
        <w:rPr>
          <w:lang w:val="es-MX" w:eastAsia="es-MX"/>
        </w:rPr>
        <w:t xml:space="preserve"> </w:t>
      </w:r>
      <w:proofErr w:type="spellStart"/>
      <w:r w:rsidRPr="003E7A61">
        <w:rPr>
          <w:lang w:val="es-MX" w:eastAsia="es-MX"/>
        </w:rPr>
        <w:t>of</w:t>
      </w:r>
      <w:proofErr w:type="spellEnd"/>
      <w:r w:rsidRPr="003E7A61">
        <w:rPr>
          <w:lang w:val="es-MX" w:eastAsia="es-MX"/>
        </w:rPr>
        <w:t xml:space="preserve"> </w:t>
      </w:r>
      <w:proofErr w:type="spellStart"/>
      <w:r w:rsidRPr="003E7A61">
        <w:rPr>
          <w:lang w:val="es-MX" w:eastAsia="es-MX"/>
        </w:rPr>
        <w:t>chemical</w:t>
      </w:r>
      <w:proofErr w:type="spellEnd"/>
      <w:r w:rsidRPr="003E7A61">
        <w:rPr>
          <w:lang w:val="es-MX" w:eastAsia="es-MX"/>
        </w:rPr>
        <w:t xml:space="preserve"> </w:t>
      </w:r>
      <w:proofErr w:type="spellStart"/>
      <w:r w:rsidRPr="003E7A61">
        <w:rPr>
          <w:lang w:val="es-MX" w:eastAsia="es-MX"/>
        </w:rPr>
        <w:t>products</w:t>
      </w:r>
      <w:proofErr w:type="spellEnd"/>
      <w:r w:rsidRPr="003E7A61">
        <w:rPr>
          <w:lang w:val="es-MX" w:eastAsia="es-MX"/>
        </w:rPr>
        <w:t>.</w:t>
      </w:r>
    </w:p>
    <w:p w14:paraId="54C93091" w14:textId="17673D1D" w:rsidR="003E7A61" w:rsidRDefault="003E7A61">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93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847B3" w16cex:dateUtc="2025-08-14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93091" w16cid:durableId="2C484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5314" w14:textId="77777777" w:rsidR="008163D7" w:rsidRDefault="008163D7" w:rsidP="00AA1FE6">
      <w:pPr>
        <w:spacing w:after="0" w:line="240" w:lineRule="auto"/>
      </w:pPr>
      <w:r>
        <w:separator/>
      </w:r>
    </w:p>
  </w:endnote>
  <w:endnote w:type="continuationSeparator" w:id="0">
    <w:p w14:paraId="4A424005" w14:textId="77777777" w:rsidR="008163D7" w:rsidRDefault="008163D7" w:rsidP="00AA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30F0" w14:textId="77777777" w:rsidR="00AA1FE6" w:rsidRDefault="00AA1F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BC65" w14:textId="77777777" w:rsidR="00AA1FE6" w:rsidRDefault="00AA1FE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340B" w14:textId="77777777" w:rsidR="00AA1FE6" w:rsidRDefault="00AA1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2CD7" w14:textId="77777777" w:rsidR="008163D7" w:rsidRDefault="008163D7" w:rsidP="00AA1FE6">
      <w:pPr>
        <w:spacing w:after="0" w:line="240" w:lineRule="auto"/>
      </w:pPr>
      <w:r>
        <w:separator/>
      </w:r>
    </w:p>
  </w:footnote>
  <w:footnote w:type="continuationSeparator" w:id="0">
    <w:p w14:paraId="49C76609" w14:textId="77777777" w:rsidR="008163D7" w:rsidRDefault="008163D7" w:rsidP="00AA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7C21" w14:textId="221D312B" w:rsidR="00AA1FE6" w:rsidRDefault="008163D7">
    <w:pPr>
      <w:pStyle w:val="Encabezado"/>
    </w:pPr>
    <w:r>
      <w:rPr>
        <w:noProof/>
      </w:rPr>
      <w:pict w14:anchorId="1487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7160" w14:textId="2C4958B7" w:rsidR="00AA1FE6" w:rsidRDefault="008163D7">
    <w:pPr>
      <w:pStyle w:val="Encabezado"/>
    </w:pPr>
    <w:r>
      <w:rPr>
        <w:noProof/>
      </w:rPr>
      <w:pict w14:anchorId="19214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D249" w14:textId="744E8094" w:rsidR="00AA1FE6" w:rsidRDefault="008163D7">
    <w:pPr>
      <w:pStyle w:val="Encabezado"/>
    </w:pPr>
    <w:r>
      <w:rPr>
        <w:noProof/>
      </w:rPr>
      <w:pict w14:anchorId="5646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954"/>
    <w:multiLevelType w:val="multilevel"/>
    <w:tmpl w:val="FED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30932"/>
    <w:multiLevelType w:val="multilevel"/>
    <w:tmpl w:val="F59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E0F87"/>
    <w:multiLevelType w:val="multilevel"/>
    <w:tmpl w:val="D3E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02C5B"/>
    <w:multiLevelType w:val="multilevel"/>
    <w:tmpl w:val="9CE6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229B3"/>
    <w:multiLevelType w:val="multilevel"/>
    <w:tmpl w:val="D13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E2FE8"/>
    <w:multiLevelType w:val="multilevel"/>
    <w:tmpl w:val="45C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47E11"/>
    <w:multiLevelType w:val="multilevel"/>
    <w:tmpl w:val="2D5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662DB"/>
    <w:multiLevelType w:val="multilevel"/>
    <w:tmpl w:val="C6A657A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s maria-ramirez">
    <w15:presenceInfo w15:providerId="Windows Live" w15:userId="6e832cd2e3947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BC"/>
    <w:rsid w:val="0005751E"/>
    <w:rsid w:val="000B195D"/>
    <w:rsid w:val="001621D7"/>
    <w:rsid w:val="00196E36"/>
    <w:rsid w:val="001D74ED"/>
    <w:rsid w:val="00204FCA"/>
    <w:rsid w:val="00280E0A"/>
    <w:rsid w:val="003171B4"/>
    <w:rsid w:val="003D5841"/>
    <w:rsid w:val="003E7A61"/>
    <w:rsid w:val="005B0761"/>
    <w:rsid w:val="006B09BD"/>
    <w:rsid w:val="00716B54"/>
    <w:rsid w:val="007C11B5"/>
    <w:rsid w:val="007C560B"/>
    <w:rsid w:val="007D0B1A"/>
    <w:rsid w:val="007E08CB"/>
    <w:rsid w:val="008163D7"/>
    <w:rsid w:val="00860B50"/>
    <w:rsid w:val="00966D99"/>
    <w:rsid w:val="009A7BED"/>
    <w:rsid w:val="00A414FA"/>
    <w:rsid w:val="00A42D45"/>
    <w:rsid w:val="00AA1FE6"/>
    <w:rsid w:val="00AC3581"/>
    <w:rsid w:val="00D826BC"/>
    <w:rsid w:val="00D850E1"/>
    <w:rsid w:val="00E479DF"/>
    <w:rsid w:val="00EF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E4C015"/>
  <w15:chartTrackingRefBased/>
  <w15:docId w15:val="{34C06656-734D-5249-AC30-0CD9D0E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0A"/>
    <w:pPr>
      <w:spacing w:after="80"/>
    </w:pPr>
  </w:style>
  <w:style w:type="paragraph" w:styleId="Ttulo1">
    <w:name w:val="heading 1"/>
    <w:basedOn w:val="Normal"/>
    <w:next w:val="Normal"/>
    <w:link w:val="Ttulo1C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Ttulo2">
    <w:name w:val="heading 2"/>
    <w:basedOn w:val="Normal"/>
    <w:next w:val="Normal"/>
    <w:link w:val="Ttulo2Car"/>
    <w:uiPriority w:val="9"/>
    <w:unhideWhenUsed/>
    <w:qFormat/>
    <w:rsid w:val="00D826BC"/>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D826BC"/>
    <w:pPr>
      <w:keepNext/>
      <w:keepLines/>
      <w:spacing w:before="16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D826BC"/>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D826BC"/>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D826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26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26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26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E0A"/>
    <w:rPr>
      <w:rFonts w:asciiTheme="majorHAnsi" w:eastAsiaTheme="majorEastAsia" w:hAnsiTheme="majorHAnsi" w:cstheme="majorBidi"/>
      <w:spacing w:val="-10"/>
      <w:kern w:val="28"/>
      <w:sz w:val="56"/>
      <w:szCs w:val="56"/>
    </w:rPr>
  </w:style>
  <w:style w:type="paragraph" w:styleId="Prrafodelista">
    <w:name w:val="List Paragraph"/>
    <w:basedOn w:val="Normal"/>
    <w:link w:val="PrrafodelistaC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PrrafodelistaCar">
    <w:name w:val="Párrafo de lista Car"/>
    <w:link w:val="Prrafodelista"/>
    <w:uiPriority w:val="1"/>
    <w:locked/>
    <w:rsid w:val="00280E0A"/>
    <w:rPr>
      <w:rFonts w:ascii="Times New Roman" w:eastAsia="Times New Roman" w:hAnsi="Times New Roman" w:cs="Times New Roman"/>
    </w:rPr>
  </w:style>
  <w:style w:type="character" w:customStyle="1" w:styleId="Ttulo1Car">
    <w:name w:val="Título 1 Car"/>
    <w:basedOn w:val="Fuentedeprrafopredeter"/>
    <w:link w:val="Ttulo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Ttulo2Car">
    <w:name w:val="Título 2 Car"/>
    <w:basedOn w:val="Fuentedeprrafopredeter"/>
    <w:link w:val="Ttulo2"/>
    <w:uiPriority w:val="9"/>
    <w:rsid w:val="00D826BC"/>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826BC"/>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D826BC"/>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D826BC"/>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D826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26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26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26BC"/>
    <w:rPr>
      <w:rFonts w:eastAsiaTheme="majorEastAsia" w:cstheme="majorBidi"/>
      <w:color w:val="272727" w:themeColor="text1" w:themeTint="D8"/>
    </w:rPr>
  </w:style>
  <w:style w:type="paragraph" w:styleId="Subttulo">
    <w:name w:val="Subtitle"/>
    <w:basedOn w:val="Normal"/>
    <w:next w:val="Normal"/>
    <w:link w:val="SubttuloCar"/>
    <w:uiPriority w:val="11"/>
    <w:qFormat/>
    <w:rsid w:val="00D826B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26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26B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826BC"/>
    <w:rPr>
      <w:i/>
      <w:iCs/>
      <w:color w:val="404040" w:themeColor="text1" w:themeTint="BF"/>
    </w:rPr>
  </w:style>
  <w:style w:type="character" w:styleId="nfasisintenso">
    <w:name w:val="Intense Emphasis"/>
    <w:basedOn w:val="Fuentedeprrafopredeter"/>
    <w:uiPriority w:val="21"/>
    <w:qFormat/>
    <w:rsid w:val="00D826BC"/>
    <w:rPr>
      <w:i/>
      <w:iCs/>
      <w:color w:val="365F91" w:themeColor="accent1" w:themeShade="BF"/>
    </w:rPr>
  </w:style>
  <w:style w:type="paragraph" w:styleId="Citadestacada">
    <w:name w:val="Intense Quote"/>
    <w:basedOn w:val="Normal"/>
    <w:next w:val="Normal"/>
    <w:link w:val="CitadestacadaCar"/>
    <w:uiPriority w:val="30"/>
    <w:qFormat/>
    <w:rsid w:val="00D826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D826BC"/>
    <w:rPr>
      <w:i/>
      <w:iCs/>
      <w:color w:val="365F91" w:themeColor="accent1" w:themeShade="BF"/>
    </w:rPr>
  </w:style>
  <w:style w:type="character" w:styleId="Referenciaintensa">
    <w:name w:val="Intense Reference"/>
    <w:basedOn w:val="Fuentedeprrafopredeter"/>
    <w:uiPriority w:val="32"/>
    <w:qFormat/>
    <w:rsid w:val="00D826BC"/>
    <w:rPr>
      <w:b/>
      <w:bCs/>
      <w:smallCaps/>
      <w:color w:val="365F91" w:themeColor="accent1" w:themeShade="BF"/>
      <w:spacing w:val="5"/>
    </w:rPr>
  </w:style>
  <w:style w:type="paragraph" w:styleId="NormalWeb">
    <w:name w:val="Normal (Web)"/>
    <w:basedOn w:val="Normal"/>
    <w:uiPriority w:val="99"/>
    <w:unhideWhenUsed/>
    <w:rsid w:val="00D82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Textoennegrita">
    <w:name w:val="Strong"/>
    <w:basedOn w:val="Fuentedeprrafopredeter"/>
    <w:uiPriority w:val="22"/>
    <w:qFormat/>
    <w:rsid w:val="00D826BC"/>
    <w:rPr>
      <w:b/>
      <w:bCs/>
    </w:rPr>
  </w:style>
  <w:style w:type="character" w:styleId="nfasis">
    <w:name w:val="Emphasis"/>
    <w:basedOn w:val="Fuentedeprrafopredeter"/>
    <w:uiPriority w:val="20"/>
    <w:qFormat/>
    <w:rsid w:val="00D826BC"/>
    <w:rPr>
      <w:i/>
      <w:iCs/>
    </w:rPr>
  </w:style>
  <w:style w:type="character" w:styleId="Hipervnculo">
    <w:name w:val="Hyperlink"/>
    <w:basedOn w:val="Fuentedeprrafopredeter"/>
    <w:uiPriority w:val="99"/>
    <w:unhideWhenUsed/>
    <w:rsid w:val="00D826BC"/>
    <w:rPr>
      <w:color w:val="0000FF"/>
      <w:u w:val="single"/>
    </w:rPr>
  </w:style>
  <w:style w:type="character" w:customStyle="1" w:styleId="katex">
    <w:name w:val="katex"/>
    <w:basedOn w:val="Fuentedeprrafopredeter"/>
    <w:rsid w:val="00860B50"/>
  </w:style>
  <w:style w:type="paragraph" w:customStyle="1" w:styleId="my-0">
    <w:name w:val="my-0"/>
    <w:basedOn w:val="Normal"/>
    <w:rsid w:val="000B1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cinsinresolver">
    <w:name w:val="Unresolved Mention"/>
    <w:basedOn w:val="Fuentedeprrafopredeter"/>
    <w:uiPriority w:val="99"/>
    <w:semiHidden/>
    <w:unhideWhenUsed/>
    <w:rsid w:val="00966D99"/>
    <w:rPr>
      <w:color w:val="605E5C"/>
      <w:shd w:val="clear" w:color="auto" w:fill="E1DFDD"/>
    </w:rPr>
  </w:style>
  <w:style w:type="paragraph" w:styleId="Encabezado">
    <w:name w:val="header"/>
    <w:basedOn w:val="Normal"/>
    <w:link w:val="EncabezadoCar"/>
    <w:uiPriority w:val="99"/>
    <w:unhideWhenUsed/>
    <w:rsid w:val="00AA1FE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1FE6"/>
  </w:style>
  <w:style w:type="paragraph" w:styleId="Piedepgina">
    <w:name w:val="footer"/>
    <w:basedOn w:val="Normal"/>
    <w:link w:val="PiedepginaCar"/>
    <w:uiPriority w:val="99"/>
    <w:unhideWhenUsed/>
    <w:rsid w:val="00AA1FE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1FE6"/>
  </w:style>
  <w:style w:type="character" w:styleId="Refdecomentario">
    <w:name w:val="annotation reference"/>
    <w:basedOn w:val="Fuentedeprrafopredeter"/>
    <w:uiPriority w:val="99"/>
    <w:semiHidden/>
    <w:unhideWhenUsed/>
    <w:rsid w:val="003E7A61"/>
    <w:rPr>
      <w:sz w:val="16"/>
      <w:szCs w:val="16"/>
    </w:rPr>
  </w:style>
  <w:style w:type="paragraph" w:styleId="Textocomentario">
    <w:name w:val="annotation text"/>
    <w:basedOn w:val="Normal"/>
    <w:link w:val="TextocomentarioCar"/>
    <w:uiPriority w:val="99"/>
    <w:semiHidden/>
    <w:unhideWhenUsed/>
    <w:rsid w:val="003E7A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7A61"/>
    <w:rPr>
      <w:sz w:val="20"/>
      <w:szCs w:val="20"/>
    </w:rPr>
  </w:style>
  <w:style w:type="paragraph" w:styleId="Asuntodelcomentario">
    <w:name w:val="annotation subject"/>
    <w:basedOn w:val="Textocomentario"/>
    <w:next w:val="Textocomentario"/>
    <w:link w:val="AsuntodelcomentarioCar"/>
    <w:uiPriority w:val="99"/>
    <w:semiHidden/>
    <w:unhideWhenUsed/>
    <w:rsid w:val="003E7A61"/>
    <w:rPr>
      <w:b/>
      <w:bCs/>
    </w:rPr>
  </w:style>
  <w:style w:type="character" w:customStyle="1" w:styleId="AsuntodelcomentarioCar">
    <w:name w:val="Asunto del comentario Car"/>
    <w:basedOn w:val="TextocomentarioCar"/>
    <w:link w:val="Asuntodelcomentario"/>
    <w:uiPriority w:val="99"/>
    <w:semiHidden/>
    <w:rsid w:val="003E7A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9734/JEAI/2022/v44i530824" TargetMode="External"/><Relationship Id="rId18" Type="http://schemas.openxmlformats.org/officeDocument/2006/relationships/hyperlink" Target="https://doi.org/10.33545/2618060X.2024.v7.i3h.49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jeai/2024/v46i52426" TargetMode="External"/><Relationship Id="rId7" Type="http://schemas.openxmlformats.org/officeDocument/2006/relationships/comments" Target="comments.xml"/><Relationship Id="rId12" Type="http://schemas.openxmlformats.org/officeDocument/2006/relationships/hyperlink" Target="https://doi.org/10.51470/PLANTARCHIVES.2024.v24.SP-GABELS.081" TargetMode="External"/><Relationship Id="rId17" Type="http://schemas.openxmlformats.org/officeDocument/2006/relationships/hyperlink" Target="https://doi.org/10.33545/2618060X.2024.v7.i3h.49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8805/LR-4641" TargetMode="External"/><Relationship Id="rId20" Type="http://schemas.openxmlformats.org/officeDocument/2006/relationships/hyperlink" Target="https://doi.org/10.18805/lr-4891"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470/PLANTARCHIVES.2024.v24.SP-GABELS.08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8805/LR-4641"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8805/lr-480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JEAI/2022/v44i530824"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2952</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andres maria-ramirez</cp:lastModifiedBy>
  <cp:revision>2</cp:revision>
  <dcterms:created xsi:type="dcterms:W3CDTF">2025-08-14T16:32:00Z</dcterms:created>
  <dcterms:modified xsi:type="dcterms:W3CDTF">2025-08-14T16:32:00Z</dcterms:modified>
</cp:coreProperties>
</file>