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4A7B67" w:rsidRPr="003C21DE" w14:paraId="7F1A5678" w14:textId="77777777">
        <w:trPr>
          <w:trHeight w:val="326"/>
        </w:trPr>
        <w:tc>
          <w:tcPr>
            <w:tcW w:w="20934" w:type="dxa"/>
            <w:gridSpan w:val="2"/>
            <w:tcBorders>
              <w:top w:val="nil"/>
              <w:left w:val="nil"/>
              <w:bottom w:val="single" w:sz="4" w:space="0" w:color="000000"/>
              <w:right w:val="nil"/>
            </w:tcBorders>
            <w:tcMar>
              <w:top w:w="80" w:type="dxa"/>
              <w:left w:w="80" w:type="dxa"/>
              <w:bottom w:w="80" w:type="dxa"/>
              <w:right w:w="80" w:type="dxa"/>
            </w:tcMar>
          </w:tcPr>
          <w:p w14:paraId="2CD83FF5" w14:textId="77777777" w:rsidR="004A7B67" w:rsidRPr="003C21DE" w:rsidRDefault="004A7B67">
            <w:pPr>
              <w:rPr>
                <w:rFonts w:ascii="Arial" w:hAnsi="Arial" w:cs="Arial"/>
                <w:sz w:val="20"/>
                <w:szCs w:val="20"/>
              </w:rPr>
            </w:pPr>
          </w:p>
        </w:tc>
      </w:tr>
      <w:tr w:rsidR="004A7B67" w:rsidRPr="003C21DE" w14:paraId="0A652F14"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307429D6" w14:textId="77777777" w:rsidR="004A7B67" w:rsidRPr="003C21DE" w:rsidRDefault="005B34E1">
            <w:pPr>
              <w:pStyle w:val="BodyText"/>
              <w:ind w:left="90"/>
              <w:jc w:val="left"/>
              <w:rPr>
                <w:rFonts w:ascii="Arial" w:hAnsi="Arial" w:cs="Arial"/>
                <w:sz w:val="20"/>
                <w:szCs w:val="20"/>
              </w:rPr>
            </w:pPr>
            <w:r w:rsidRPr="003C21DE">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75D47A" w14:textId="77777777" w:rsidR="004A7B67" w:rsidRPr="003C21DE" w:rsidRDefault="005B34E1">
            <w:pPr>
              <w:rPr>
                <w:rFonts w:ascii="Arial" w:hAnsi="Arial" w:cs="Arial"/>
                <w:sz w:val="20"/>
                <w:szCs w:val="20"/>
              </w:rPr>
            </w:pPr>
            <w:hyperlink r:id="rId7" w:history="1">
              <w:r w:rsidRPr="003C21DE">
                <w:rPr>
                  <w:rStyle w:val="Hyperlink0"/>
                  <w:rFonts w:ascii="Arial" w:hAnsi="Arial" w:cs="Arial"/>
                  <w:b/>
                  <w:bCs/>
                  <w:sz w:val="20"/>
                  <w:szCs w:val="20"/>
                </w:rPr>
                <w:t>Journal of Cancer and Tumor International</w:t>
              </w:r>
            </w:hyperlink>
            <w:r w:rsidRPr="003C21DE">
              <w:rPr>
                <w:rFonts w:ascii="Arial" w:hAnsi="Arial" w:cs="Arial"/>
                <w:b/>
                <w:bCs/>
                <w:color w:val="0000FF"/>
                <w:sz w:val="20"/>
                <w:szCs w:val="20"/>
                <w:u w:color="0000FF"/>
              </w:rPr>
              <w:t xml:space="preserve"> </w:t>
            </w:r>
          </w:p>
        </w:tc>
      </w:tr>
      <w:tr w:rsidR="004A7B67" w:rsidRPr="003C21DE" w14:paraId="54C81E4F"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66CBD553" w14:textId="77777777" w:rsidR="004A7B67" w:rsidRPr="003C21DE" w:rsidRDefault="005B34E1">
            <w:pPr>
              <w:pStyle w:val="BodyText"/>
              <w:ind w:left="90"/>
              <w:jc w:val="left"/>
              <w:rPr>
                <w:rFonts w:ascii="Arial" w:hAnsi="Arial" w:cs="Arial"/>
                <w:sz w:val="20"/>
                <w:szCs w:val="20"/>
              </w:rPr>
            </w:pPr>
            <w:r w:rsidRPr="003C21DE">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C3C0CC" w14:textId="77777777" w:rsidR="004A7B67" w:rsidRPr="003C21DE" w:rsidRDefault="005B34E1">
            <w:pPr>
              <w:pStyle w:val="NormalWeb"/>
              <w:spacing w:before="0" w:after="0"/>
              <w:rPr>
                <w:rFonts w:ascii="Arial" w:hAnsi="Arial" w:cs="Arial"/>
                <w:sz w:val="20"/>
                <w:szCs w:val="20"/>
              </w:rPr>
            </w:pPr>
            <w:r w:rsidRPr="003C21DE">
              <w:rPr>
                <w:rFonts w:ascii="Arial" w:hAnsi="Arial" w:cs="Arial"/>
                <w:b/>
                <w:bCs/>
                <w:sz w:val="20"/>
                <w:szCs w:val="20"/>
              </w:rPr>
              <w:t>Ms_JCTI_144316</w:t>
            </w:r>
          </w:p>
        </w:tc>
      </w:tr>
      <w:tr w:rsidR="004A7B67" w:rsidRPr="003C21DE" w14:paraId="2573EA72" w14:textId="77777777">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1C3FB27D" w14:textId="77777777" w:rsidR="004A7B67" w:rsidRPr="003C21DE" w:rsidRDefault="005B34E1">
            <w:pPr>
              <w:pStyle w:val="BodyText"/>
              <w:ind w:left="90"/>
              <w:jc w:val="left"/>
              <w:rPr>
                <w:rFonts w:ascii="Arial" w:hAnsi="Arial" w:cs="Arial"/>
                <w:sz w:val="20"/>
                <w:szCs w:val="20"/>
              </w:rPr>
            </w:pPr>
            <w:r w:rsidRPr="003C21DE">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AF2D91" w14:textId="77777777" w:rsidR="004A7B67" w:rsidRPr="003C21DE" w:rsidRDefault="005B34E1">
            <w:pPr>
              <w:pStyle w:val="NormalWeb"/>
              <w:spacing w:before="0" w:after="0"/>
              <w:rPr>
                <w:rFonts w:ascii="Arial" w:hAnsi="Arial" w:cs="Arial"/>
                <w:sz w:val="20"/>
                <w:szCs w:val="20"/>
              </w:rPr>
            </w:pPr>
            <w:r w:rsidRPr="003C21DE">
              <w:rPr>
                <w:rFonts w:ascii="Arial" w:hAnsi="Arial" w:cs="Arial"/>
                <w:b/>
                <w:bCs/>
                <w:sz w:val="20"/>
                <w:szCs w:val="20"/>
              </w:rPr>
              <w:t>Integrative Bioinformatics Analysis of microRNA Expression and Genomic Signatures for Early Detection and Survival Prediction in Prostate Cancer</w:t>
            </w:r>
          </w:p>
        </w:tc>
      </w:tr>
      <w:tr w:rsidR="004A7B67" w:rsidRPr="003C21DE" w14:paraId="0F9326DE"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6AF5D7ED" w14:textId="77777777" w:rsidR="004A7B67" w:rsidRPr="003C21DE" w:rsidRDefault="005B34E1">
            <w:pPr>
              <w:pStyle w:val="BodyText"/>
              <w:ind w:left="90"/>
              <w:jc w:val="left"/>
              <w:rPr>
                <w:rFonts w:ascii="Arial" w:hAnsi="Arial" w:cs="Arial"/>
                <w:sz w:val="20"/>
                <w:szCs w:val="20"/>
              </w:rPr>
            </w:pPr>
            <w:r w:rsidRPr="003C21DE">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6987FF" w14:textId="77777777" w:rsidR="004A7B67" w:rsidRPr="003C21DE" w:rsidRDefault="004A7B67">
            <w:pPr>
              <w:rPr>
                <w:rFonts w:ascii="Arial" w:hAnsi="Arial" w:cs="Arial"/>
                <w:sz w:val="20"/>
                <w:szCs w:val="20"/>
              </w:rPr>
            </w:pPr>
          </w:p>
        </w:tc>
      </w:tr>
    </w:tbl>
    <w:p w14:paraId="1B46D56A" w14:textId="77777777" w:rsidR="004A7B67" w:rsidRPr="003C21DE" w:rsidRDefault="004A7B67">
      <w:pPr>
        <w:widowControl w:val="0"/>
        <w:rPr>
          <w:rFonts w:ascii="Arial" w:hAnsi="Arial" w:cs="Arial"/>
          <w:sz w:val="20"/>
          <w:szCs w:val="20"/>
        </w:rPr>
      </w:pPr>
    </w:p>
    <w:p w14:paraId="0775F0EB" w14:textId="77777777" w:rsidR="004A7B67" w:rsidRPr="003C21DE" w:rsidRDefault="004A7B67">
      <w:pPr>
        <w:pStyle w:val="BodyText"/>
        <w:rPr>
          <w:rFonts w:ascii="Arial" w:eastAsia="Arial" w:hAnsi="Arial" w:cs="Arial"/>
          <w:b/>
          <w:bCs/>
          <w:sz w:val="20"/>
          <w:szCs w:val="20"/>
          <w:u w:val="single"/>
          <w:lang w:val="en-US"/>
        </w:rPr>
      </w:pPr>
    </w:p>
    <w:p w14:paraId="52A81DB1" w14:textId="77777777" w:rsidR="004A7B67" w:rsidRPr="003C21DE" w:rsidRDefault="004A7B67">
      <w:pPr>
        <w:pStyle w:val="BodyText"/>
        <w:rPr>
          <w:rFonts w:ascii="Arial" w:eastAsia="Arial" w:hAnsi="Arial" w:cs="Arial"/>
          <w:b/>
          <w:bCs/>
          <w:sz w:val="20"/>
          <w:szCs w:val="20"/>
          <w:u w:val="single"/>
          <w:lang w:val="en-US"/>
        </w:rPr>
      </w:pPr>
    </w:p>
    <w:p w14:paraId="16880398" w14:textId="77777777" w:rsidR="004A7B67" w:rsidRPr="003C21DE" w:rsidRDefault="004A7B67">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4A7B67" w:rsidRPr="003C21DE" w14:paraId="129E318C" w14:textId="77777777">
        <w:trPr>
          <w:trHeight w:val="447"/>
        </w:trPr>
        <w:tc>
          <w:tcPr>
            <w:tcW w:w="21150" w:type="dxa"/>
            <w:gridSpan w:val="3"/>
            <w:tcBorders>
              <w:top w:val="nil"/>
              <w:left w:val="nil"/>
              <w:bottom w:val="single" w:sz="4" w:space="0" w:color="000000"/>
              <w:right w:val="nil"/>
            </w:tcBorders>
            <w:tcMar>
              <w:top w:w="80" w:type="dxa"/>
              <w:left w:w="80" w:type="dxa"/>
              <w:bottom w:w="80" w:type="dxa"/>
              <w:right w:w="80" w:type="dxa"/>
            </w:tcMar>
          </w:tcPr>
          <w:p w14:paraId="7AFE8E18" w14:textId="77777777" w:rsidR="004A7B67" w:rsidRPr="003C21DE" w:rsidRDefault="005B34E1">
            <w:pPr>
              <w:pStyle w:val="Heading2"/>
              <w:jc w:val="left"/>
              <w:rPr>
                <w:rFonts w:ascii="Arial" w:hAnsi="Arial" w:cs="Arial"/>
              </w:rPr>
            </w:pPr>
            <w:r w:rsidRPr="003C21DE">
              <w:rPr>
                <w:rFonts w:ascii="Arial" w:hAnsi="Arial" w:cs="Arial"/>
                <w:shd w:val="clear" w:color="auto" w:fill="FFFF00"/>
                <w:lang w:val="en-US"/>
              </w:rPr>
              <w:t>PART  1:</w:t>
            </w:r>
            <w:r w:rsidRPr="003C21DE">
              <w:rPr>
                <w:rFonts w:ascii="Arial" w:hAnsi="Arial" w:cs="Arial"/>
                <w:lang w:val="en-US"/>
              </w:rPr>
              <w:t xml:space="preserve"> Comments</w:t>
            </w:r>
          </w:p>
        </w:tc>
      </w:tr>
      <w:tr w:rsidR="004A7B67" w:rsidRPr="003C21DE" w14:paraId="07EA69D4" w14:textId="77777777">
        <w:trPr>
          <w:trHeight w:val="960"/>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F8107" w14:textId="77777777" w:rsidR="004A7B67" w:rsidRPr="003C21DE" w:rsidRDefault="004A7B67">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5DA15" w14:textId="77777777" w:rsidR="004A7B67" w:rsidRPr="003C21DE" w:rsidRDefault="005B34E1">
            <w:pPr>
              <w:pStyle w:val="Heading2"/>
              <w:jc w:val="left"/>
              <w:rPr>
                <w:rFonts w:ascii="Arial" w:eastAsia="Times New Roman" w:hAnsi="Arial" w:cs="Arial"/>
              </w:rPr>
            </w:pPr>
            <w:r w:rsidRPr="003C21DE">
              <w:rPr>
                <w:rFonts w:ascii="Arial" w:hAnsi="Arial" w:cs="Arial"/>
                <w:lang w:val="en-US"/>
              </w:rPr>
              <w:t>Reviewer’s comment</w:t>
            </w:r>
          </w:p>
          <w:p w14:paraId="546C5116" w14:textId="77777777" w:rsidR="004A7B67" w:rsidRPr="003C21DE" w:rsidRDefault="005B34E1">
            <w:pPr>
              <w:rPr>
                <w:rFonts w:ascii="Arial" w:hAnsi="Arial" w:cs="Arial"/>
                <w:sz w:val="20"/>
                <w:szCs w:val="20"/>
              </w:rPr>
            </w:pPr>
            <w:r w:rsidRPr="003C21DE">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FA3C4" w14:textId="77777777" w:rsidR="004A7B67" w:rsidRPr="003C21DE" w:rsidRDefault="005B34E1">
            <w:pPr>
              <w:spacing w:after="160" w:line="256" w:lineRule="auto"/>
              <w:rPr>
                <w:rFonts w:ascii="Arial" w:hAnsi="Arial" w:cs="Arial"/>
                <w:sz w:val="20"/>
                <w:szCs w:val="20"/>
              </w:rPr>
            </w:pPr>
            <w:r w:rsidRPr="003C21DE">
              <w:rPr>
                <w:rFonts w:ascii="Arial" w:hAnsi="Arial" w:cs="Arial"/>
                <w:b/>
                <w:bCs/>
                <w:kern w:val="2"/>
                <w:sz w:val="20"/>
                <w:szCs w:val="20"/>
              </w:rPr>
              <w:t>Author’s Feedback</w:t>
            </w:r>
            <w:r w:rsidRPr="003C21DE">
              <w:rPr>
                <w:rFonts w:ascii="Arial" w:hAnsi="Arial" w:cs="Arial"/>
                <w:kern w:val="2"/>
                <w:sz w:val="20"/>
                <w:szCs w:val="20"/>
              </w:rPr>
              <w:t xml:space="preserve"> (It is mandatory that authors should write his/her feedback here)</w:t>
            </w:r>
          </w:p>
        </w:tc>
      </w:tr>
      <w:tr w:rsidR="004A7B67" w:rsidRPr="003C21DE" w14:paraId="550011F4" w14:textId="77777777">
        <w:trPr>
          <w:trHeight w:val="2340"/>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46EA9267" w14:textId="77777777" w:rsidR="004A7B67" w:rsidRPr="003C21DE" w:rsidRDefault="005B34E1">
            <w:pPr>
              <w:ind w:left="360"/>
              <w:rPr>
                <w:rFonts w:ascii="Arial" w:hAnsi="Arial" w:cs="Arial"/>
                <w:sz w:val="20"/>
                <w:szCs w:val="20"/>
              </w:rPr>
            </w:pPr>
            <w:r w:rsidRPr="003C21DE">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FF4F96" w14:textId="77777777" w:rsidR="004A7B67" w:rsidRPr="003C21DE" w:rsidRDefault="005B34E1">
            <w:pPr>
              <w:pStyle w:val="Default"/>
              <w:suppressAutoHyphens/>
              <w:spacing w:before="0" w:after="240" w:line="240" w:lineRule="auto"/>
              <w:rPr>
                <w:rFonts w:ascii="Arial" w:hAnsi="Arial" w:cs="Arial"/>
                <w:sz w:val="20"/>
                <w:szCs w:val="20"/>
              </w:rPr>
            </w:pPr>
            <w:r w:rsidRPr="003C21DE">
              <w:rPr>
                <w:rFonts w:ascii="Arial" w:hAnsi="Arial" w:cs="Arial"/>
                <w:sz w:val="20"/>
                <w:szCs w:val="20"/>
              </w:rPr>
              <w:t>The manuscript presents a comprehensive integrative bioinformatics analysis of microRNA (miRNA) expression and genomic signatures in prostate cancer using TCGA and GEO datasets. The work is timely, relevant, and addresses an important gap in prostate cancer biomarker discovery. The methodology is detailed, results are robust, and the discussion provides strong clinical implications. However, certain areas require refinement for clarity, rigor, and improved presentation.</w:t>
            </w:r>
          </w:p>
          <w:p w14:paraId="709D02FC" w14:textId="77777777" w:rsidR="004A7B67" w:rsidRPr="003C21DE" w:rsidRDefault="004A7B67">
            <w:pPr>
              <w:pStyle w:val="Default"/>
              <w:suppressAutoHyphens/>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8610D" w14:textId="77777777" w:rsidR="004A7B67" w:rsidRPr="003C21DE" w:rsidRDefault="004A7B67">
            <w:pPr>
              <w:rPr>
                <w:rFonts w:ascii="Arial" w:hAnsi="Arial" w:cs="Arial"/>
                <w:sz w:val="20"/>
                <w:szCs w:val="20"/>
              </w:rPr>
            </w:pPr>
          </w:p>
        </w:tc>
      </w:tr>
      <w:tr w:rsidR="004A7B67" w:rsidRPr="003C21DE" w14:paraId="5106FDDC" w14:textId="77777777">
        <w:trPr>
          <w:trHeight w:val="6420"/>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7EBD9C7F" w14:textId="77777777" w:rsidR="004A7B67" w:rsidRPr="003C21DE" w:rsidRDefault="005B34E1">
            <w:pPr>
              <w:ind w:left="360"/>
              <w:rPr>
                <w:rFonts w:ascii="Arial" w:hAnsi="Arial" w:cs="Arial"/>
                <w:b/>
                <w:bCs/>
                <w:sz w:val="20"/>
                <w:szCs w:val="20"/>
              </w:rPr>
            </w:pPr>
            <w:r w:rsidRPr="003C21DE">
              <w:rPr>
                <w:rFonts w:ascii="Arial" w:hAnsi="Arial" w:cs="Arial"/>
                <w:b/>
                <w:bCs/>
                <w:sz w:val="20"/>
                <w:szCs w:val="20"/>
              </w:rPr>
              <w:lastRenderedPageBreak/>
              <w:t>Is the title of the article suitable?</w:t>
            </w:r>
          </w:p>
          <w:p w14:paraId="4B29B2B1" w14:textId="77777777" w:rsidR="004A7B67" w:rsidRPr="003C21DE" w:rsidRDefault="005B34E1">
            <w:pPr>
              <w:ind w:left="360"/>
              <w:rPr>
                <w:rFonts w:ascii="Arial" w:hAnsi="Arial" w:cs="Arial"/>
                <w:sz w:val="20"/>
                <w:szCs w:val="20"/>
              </w:rPr>
            </w:pPr>
            <w:r w:rsidRPr="003C21DE">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19B90233" w14:textId="77777777" w:rsidR="004A7B67" w:rsidRPr="003C21DE" w:rsidRDefault="005B34E1">
            <w:pPr>
              <w:pStyle w:val="Default"/>
              <w:suppressAutoHyphens/>
              <w:spacing w:before="0" w:after="240" w:line="240" w:lineRule="auto"/>
              <w:rPr>
                <w:rFonts w:ascii="Arial" w:eastAsia="Times New Roman" w:hAnsi="Arial" w:cs="Arial"/>
                <w:sz w:val="20"/>
                <w:szCs w:val="20"/>
              </w:rPr>
            </w:pPr>
            <w:r w:rsidRPr="003C21DE">
              <w:rPr>
                <w:rFonts w:ascii="Arial" w:hAnsi="Arial" w:cs="Arial"/>
                <w:sz w:val="20"/>
                <w:szCs w:val="20"/>
              </w:rPr>
              <w:t xml:space="preserve">The current title </w:t>
            </w:r>
            <w:r w:rsidRPr="003C21DE">
              <w:rPr>
                <w:rFonts w:ascii="Arial" w:hAnsi="Arial" w:cs="Arial"/>
                <w:sz w:val="20"/>
                <w:szCs w:val="20"/>
                <w:rtl/>
                <w:lang w:val="ar-SA"/>
              </w:rPr>
              <w:t>“</w:t>
            </w:r>
            <w:r w:rsidRPr="003C21DE">
              <w:rPr>
                <w:rFonts w:ascii="Arial" w:hAnsi="Arial" w:cs="Arial"/>
                <w:sz w:val="20"/>
                <w:szCs w:val="20"/>
              </w:rPr>
              <w:t>Integrative Bioinformatics Analysis of microRNA Expression and Genomic Signatures for Early Detection and Survival Prediction in Prostate Cancer” is informative and reflects the scope of the study. However, it is somewhat long and could be made more concise to improve clarity and impact.</w:t>
            </w:r>
          </w:p>
          <w:p w14:paraId="69962675" w14:textId="77777777" w:rsidR="004A7B67" w:rsidRPr="003C21DE" w:rsidRDefault="004A7B67">
            <w:pPr>
              <w:pStyle w:val="Default"/>
              <w:suppressAutoHyphens/>
              <w:spacing w:before="0" w:after="240" w:line="240" w:lineRule="auto"/>
              <w:rPr>
                <w:rFonts w:ascii="Arial" w:eastAsia="Times New Roman" w:hAnsi="Arial" w:cs="Arial"/>
                <w:sz w:val="20"/>
                <w:szCs w:val="20"/>
              </w:rPr>
            </w:pPr>
          </w:p>
          <w:p w14:paraId="404E3EBB" w14:textId="77777777" w:rsidR="004A7B67" w:rsidRPr="003C21DE" w:rsidRDefault="005B34E1">
            <w:pPr>
              <w:pStyle w:val="Default"/>
              <w:suppressAutoHyphens/>
              <w:spacing w:before="0" w:after="240" w:line="240" w:lineRule="auto"/>
              <w:rPr>
                <w:rFonts w:ascii="Arial" w:eastAsia="Times New Roman" w:hAnsi="Arial" w:cs="Arial"/>
                <w:sz w:val="20"/>
                <w:szCs w:val="20"/>
              </w:rPr>
            </w:pPr>
            <w:r w:rsidRPr="003C21DE">
              <w:rPr>
                <w:rFonts w:ascii="Arial" w:hAnsi="Arial" w:cs="Arial"/>
                <w:sz w:val="20"/>
                <w:szCs w:val="20"/>
              </w:rPr>
              <w:t>Suggested alternative titles:</w:t>
            </w:r>
          </w:p>
          <w:p w14:paraId="14C958D0" w14:textId="77777777" w:rsidR="004A7B67" w:rsidRPr="003C21DE" w:rsidRDefault="004A7B67">
            <w:pPr>
              <w:pStyle w:val="Default"/>
              <w:suppressAutoHyphens/>
              <w:spacing w:before="0" w:after="240" w:line="240" w:lineRule="auto"/>
              <w:rPr>
                <w:rFonts w:ascii="Arial" w:eastAsia="Times New Roman" w:hAnsi="Arial" w:cs="Arial"/>
                <w:sz w:val="20"/>
                <w:szCs w:val="20"/>
              </w:rPr>
            </w:pPr>
          </w:p>
          <w:p w14:paraId="0B60E4FA" w14:textId="77777777" w:rsidR="004A7B67" w:rsidRPr="003C21DE" w:rsidRDefault="005B34E1">
            <w:pPr>
              <w:pStyle w:val="Default"/>
              <w:numPr>
                <w:ilvl w:val="0"/>
                <w:numId w:val="1"/>
              </w:numPr>
              <w:suppressAutoHyphens/>
              <w:spacing w:before="0" w:after="240" w:line="240" w:lineRule="auto"/>
              <w:rPr>
                <w:rFonts w:ascii="Arial" w:hAnsi="Arial" w:cs="Arial"/>
                <w:sz w:val="20"/>
                <w:szCs w:val="20"/>
                <w:lang w:val="ar-SA"/>
              </w:rPr>
            </w:pPr>
            <w:r w:rsidRPr="003C21DE">
              <w:rPr>
                <w:rFonts w:ascii="Arial" w:hAnsi="Arial" w:cs="Arial"/>
                <w:sz w:val="20"/>
                <w:szCs w:val="20"/>
                <w:rtl/>
                <w:lang w:val="ar-SA"/>
              </w:rPr>
              <w:t>“</w:t>
            </w:r>
            <w:r w:rsidRPr="003C21DE">
              <w:rPr>
                <w:rFonts w:ascii="Arial" w:hAnsi="Arial" w:cs="Arial"/>
                <w:sz w:val="20"/>
                <w:szCs w:val="20"/>
              </w:rPr>
              <w:t>Integrative Analysis of microRNA and Genomic Signatures for Early Detection and Prognosis in Prostate Cancer”</w:t>
            </w:r>
          </w:p>
          <w:p w14:paraId="1F3D1441" w14:textId="77777777" w:rsidR="004A7B67" w:rsidRPr="003C21DE" w:rsidRDefault="005B34E1">
            <w:pPr>
              <w:pStyle w:val="Default"/>
              <w:numPr>
                <w:ilvl w:val="0"/>
                <w:numId w:val="1"/>
              </w:numPr>
              <w:suppressAutoHyphens/>
              <w:spacing w:before="0" w:after="240" w:line="240" w:lineRule="auto"/>
              <w:rPr>
                <w:rFonts w:ascii="Arial" w:hAnsi="Arial" w:cs="Arial"/>
                <w:sz w:val="20"/>
                <w:szCs w:val="20"/>
                <w:lang w:val="ar-SA"/>
              </w:rPr>
            </w:pPr>
            <w:r w:rsidRPr="003C21DE">
              <w:rPr>
                <w:rFonts w:ascii="Arial" w:hAnsi="Arial" w:cs="Arial"/>
                <w:sz w:val="20"/>
                <w:szCs w:val="20"/>
                <w:rtl/>
                <w:lang w:val="ar-SA"/>
              </w:rPr>
              <w:t>“</w:t>
            </w:r>
            <w:r w:rsidRPr="003C21DE">
              <w:rPr>
                <w:rFonts w:ascii="Arial" w:hAnsi="Arial" w:cs="Arial"/>
                <w:sz w:val="20"/>
                <w:szCs w:val="20"/>
              </w:rPr>
              <w:t>Bioinformatics-Based miRNA and Genomic Signatures for Prostate Cancer Diagnosis and Survival Prediction”</w:t>
            </w:r>
          </w:p>
          <w:p w14:paraId="053EB565" w14:textId="77777777" w:rsidR="00194850" w:rsidRPr="003C21DE" w:rsidRDefault="005B34E1" w:rsidP="00194850">
            <w:pPr>
              <w:pStyle w:val="Default"/>
              <w:numPr>
                <w:ilvl w:val="0"/>
                <w:numId w:val="1"/>
              </w:numPr>
              <w:suppressAutoHyphens/>
              <w:spacing w:before="0" w:after="240" w:line="240" w:lineRule="auto"/>
              <w:rPr>
                <w:rFonts w:ascii="Arial" w:hAnsi="Arial" w:cs="Arial"/>
                <w:sz w:val="20"/>
                <w:szCs w:val="20"/>
                <w:lang w:val="ar-SA"/>
              </w:rPr>
            </w:pPr>
            <w:r w:rsidRPr="003C21DE">
              <w:rPr>
                <w:rFonts w:ascii="Arial" w:hAnsi="Arial" w:cs="Arial"/>
                <w:sz w:val="20"/>
                <w:szCs w:val="20"/>
                <w:rtl/>
                <w:lang w:val="ar-SA"/>
              </w:rPr>
              <w:t>“</w:t>
            </w:r>
            <w:r w:rsidRPr="003C21DE">
              <w:rPr>
                <w:rFonts w:ascii="Arial" w:hAnsi="Arial" w:cs="Arial"/>
                <w:sz w:val="20"/>
                <w:szCs w:val="20"/>
              </w:rPr>
              <w:t>microRNA and Genomic Signature Profiling for Early Detection and Prognostic Stratification in Prostate Cancer”</w:t>
            </w:r>
          </w:p>
          <w:p w14:paraId="51C18482" w14:textId="77777777" w:rsidR="004A7B67" w:rsidRPr="003C21DE" w:rsidRDefault="004A7B67" w:rsidP="00194850">
            <w:pPr>
              <w:rPr>
                <w:rFonts w:ascii="Arial" w:hAnsi="Arial" w:cs="Arial"/>
                <w:sz w:val="20"/>
                <w:szCs w:val="20"/>
                <w:lang w:val="ar-SA"/>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55E80" w14:textId="77777777" w:rsidR="004A7B67" w:rsidRPr="003C21DE" w:rsidRDefault="004A7B67">
            <w:pPr>
              <w:rPr>
                <w:rFonts w:ascii="Arial" w:hAnsi="Arial" w:cs="Arial"/>
                <w:sz w:val="20"/>
                <w:szCs w:val="20"/>
              </w:rPr>
            </w:pPr>
          </w:p>
        </w:tc>
      </w:tr>
      <w:tr w:rsidR="004A7B67" w:rsidRPr="003C21DE" w14:paraId="42B8A715" w14:textId="77777777">
        <w:trPr>
          <w:trHeight w:val="2640"/>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1445C4F4" w14:textId="77777777" w:rsidR="004A7B67" w:rsidRPr="003C21DE" w:rsidRDefault="005B34E1">
            <w:pPr>
              <w:pStyle w:val="Heading2"/>
              <w:ind w:left="360"/>
              <w:jc w:val="left"/>
              <w:rPr>
                <w:rFonts w:ascii="Arial" w:hAnsi="Arial" w:cs="Arial"/>
              </w:rPr>
            </w:pPr>
            <w:r w:rsidRPr="003C21DE">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18AEC" w14:textId="77777777" w:rsidR="004A7B67" w:rsidRPr="003C21DE" w:rsidRDefault="005B34E1">
            <w:pPr>
              <w:pStyle w:val="Default"/>
              <w:suppressAutoHyphens/>
              <w:spacing w:before="0" w:after="240" w:line="240" w:lineRule="auto"/>
              <w:rPr>
                <w:rFonts w:ascii="Arial" w:hAnsi="Arial" w:cs="Arial"/>
                <w:sz w:val="20"/>
                <w:szCs w:val="20"/>
              </w:rPr>
            </w:pPr>
            <w:r w:rsidRPr="003C21DE">
              <w:rPr>
                <w:rFonts w:ascii="Arial" w:hAnsi="Arial" w:cs="Arial"/>
                <w:sz w:val="20"/>
                <w:szCs w:val="20"/>
              </w:rPr>
              <w:t>The abstract is comprehensive, but it is currently too detailed and lengthy, which may reduce its clarity and impact. I recommend condensing the methodological descriptions and highlighting only the most significant findings, such as the key dysregulated miRNAs and the performance metrics of the diagnostic and prognostic signatures. The conclusion should emphasize the clinical applicability of these signatures for early detection and personalized management of prostate cancer. Overall, the abstract should remain within 250–300 words and present the study in a more concise, reader-friendly manner.</w:t>
            </w:r>
          </w:p>
          <w:p w14:paraId="775B681B" w14:textId="77777777" w:rsidR="004A7B67" w:rsidRPr="003C21DE" w:rsidRDefault="004A7B67">
            <w:pPr>
              <w:pStyle w:val="Default"/>
              <w:suppressAutoHyphens/>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5D4FD" w14:textId="77777777" w:rsidR="004A7B67" w:rsidRPr="003C21DE" w:rsidRDefault="004A7B67">
            <w:pPr>
              <w:rPr>
                <w:rFonts w:ascii="Arial" w:hAnsi="Arial" w:cs="Arial"/>
                <w:sz w:val="20"/>
                <w:szCs w:val="20"/>
              </w:rPr>
            </w:pPr>
          </w:p>
        </w:tc>
      </w:tr>
      <w:tr w:rsidR="004A7B67" w:rsidRPr="003C21DE" w14:paraId="0B73EE8D" w14:textId="77777777">
        <w:trPr>
          <w:trHeight w:val="1740"/>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40EE9ACF" w14:textId="77777777" w:rsidR="004A7B67" w:rsidRPr="003C21DE" w:rsidRDefault="005B34E1">
            <w:pPr>
              <w:pStyle w:val="Heading2"/>
              <w:ind w:left="360"/>
              <w:jc w:val="left"/>
              <w:rPr>
                <w:rFonts w:ascii="Arial" w:hAnsi="Arial" w:cs="Arial"/>
              </w:rPr>
            </w:pPr>
            <w:r w:rsidRPr="003C21DE">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5CA4C" w14:textId="77777777" w:rsidR="004A7B67" w:rsidRPr="003C21DE" w:rsidRDefault="005B34E1">
            <w:pPr>
              <w:pStyle w:val="Default"/>
              <w:suppressAutoHyphens/>
              <w:spacing w:before="0" w:after="240" w:line="240" w:lineRule="auto"/>
              <w:rPr>
                <w:rFonts w:ascii="Arial" w:hAnsi="Arial" w:cs="Arial"/>
                <w:sz w:val="20"/>
                <w:szCs w:val="20"/>
              </w:rPr>
            </w:pPr>
            <w:r w:rsidRPr="003C21DE">
              <w:rPr>
                <w:rFonts w:ascii="Arial" w:hAnsi="Arial" w:cs="Arial"/>
                <w:sz w:val="20"/>
                <w:szCs w:val="20"/>
              </w:rPr>
              <w:t>Yes, the manuscript is scientifically correct. The methodology is rigorous and the analyses are appropriate, though some parameters (e.g., cutoff thresholds) need clearer justification and prognostic tables should include hazard ratios and confidence intervals. Minor refinements in presentation are recommended.</w:t>
            </w:r>
          </w:p>
          <w:p w14:paraId="051E89F3" w14:textId="77777777" w:rsidR="004A7B67" w:rsidRPr="003C21DE" w:rsidRDefault="004A7B67">
            <w:pPr>
              <w:pStyle w:val="Default"/>
              <w:suppressAutoHyphens/>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ED590" w14:textId="77777777" w:rsidR="004A7B67" w:rsidRPr="003C21DE" w:rsidRDefault="004A7B67">
            <w:pPr>
              <w:rPr>
                <w:rFonts w:ascii="Arial" w:hAnsi="Arial" w:cs="Arial"/>
                <w:sz w:val="20"/>
                <w:szCs w:val="20"/>
              </w:rPr>
            </w:pPr>
          </w:p>
        </w:tc>
      </w:tr>
      <w:tr w:rsidR="004A7B67" w:rsidRPr="003C21DE" w14:paraId="2063646E" w14:textId="77777777">
        <w:trPr>
          <w:trHeight w:val="1740"/>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799346CD" w14:textId="77777777" w:rsidR="004A7B67" w:rsidRPr="003C21DE" w:rsidRDefault="005B34E1">
            <w:pPr>
              <w:ind w:left="360"/>
              <w:rPr>
                <w:rFonts w:ascii="Arial" w:hAnsi="Arial" w:cs="Arial"/>
                <w:sz w:val="20"/>
                <w:szCs w:val="20"/>
              </w:rPr>
            </w:pPr>
            <w:r w:rsidRPr="003C21DE">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00D6D" w14:textId="77777777" w:rsidR="004A7B67" w:rsidRPr="003C21DE" w:rsidRDefault="005B34E1">
            <w:pPr>
              <w:pStyle w:val="Default"/>
              <w:suppressAutoHyphens/>
              <w:spacing w:before="0" w:after="240" w:line="240" w:lineRule="auto"/>
              <w:rPr>
                <w:rFonts w:ascii="Arial" w:hAnsi="Arial" w:cs="Arial"/>
                <w:sz w:val="20"/>
                <w:szCs w:val="20"/>
              </w:rPr>
            </w:pPr>
            <w:r w:rsidRPr="003C21DE">
              <w:rPr>
                <w:rFonts w:ascii="Arial" w:hAnsi="Arial" w:cs="Arial"/>
                <w:sz w:val="20"/>
                <w:szCs w:val="20"/>
              </w:rPr>
              <w:t xml:space="preserve">Yes, the references are sufficient and mostly recent. However, some older citations could be updated, and recent works on circulating miRNAs and integrative multi-omics (e.g., Front Oncol. </w:t>
            </w:r>
            <w:proofErr w:type="gramStart"/>
            <w:r w:rsidRPr="003C21DE">
              <w:rPr>
                <w:rFonts w:ascii="Arial" w:hAnsi="Arial" w:cs="Arial"/>
                <w:sz w:val="20"/>
                <w:szCs w:val="20"/>
              </w:rPr>
              <w:t>2021;11:736290</w:t>
            </w:r>
            <w:proofErr w:type="gramEnd"/>
            <w:r w:rsidRPr="003C21DE">
              <w:rPr>
                <w:rFonts w:ascii="Arial" w:hAnsi="Arial" w:cs="Arial"/>
                <w:sz w:val="20"/>
                <w:szCs w:val="20"/>
              </w:rPr>
              <w:t xml:space="preserve"> and Nat Commun. </w:t>
            </w:r>
            <w:proofErr w:type="gramStart"/>
            <w:r w:rsidRPr="003C21DE">
              <w:rPr>
                <w:rFonts w:ascii="Arial" w:hAnsi="Arial" w:cs="Arial"/>
                <w:sz w:val="20"/>
                <w:szCs w:val="20"/>
              </w:rPr>
              <w:t>2021;12:6644</w:t>
            </w:r>
            <w:proofErr w:type="gramEnd"/>
            <w:r w:rsidRPr="003C21DE">
              <w:rPr>
                <w:rFonts w:ascii="Arial" w:hAnsi="Arial" w:cs="Arial"/>
                <w:sz w:val="20"/>
                <w:szCs w:val="20"/>
              </w:rPr>
              <w:t>) are recommended to strengthen the clinical and translational context.</w:t>
            </w:r>
          </w:p>
          <w:p w14:paraId="5CDFD840" w14:textId="77777777" w:rsidR="004A7B67" w:rsidRPr="003C21DE" w:rsidRDefault="004A7B67">
            <w:pPr>
              <w:pStyle w:val="Default"/>
              <w:suppressAutoHyphens/>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7FE4C" w14:textId="77777777" w:rsidR="004A7B67" w:rsidRPr="003C21DE" w:rsidRDefault="004A7B67">
            <w:pPr>
              <w:rPr>
                <w:rFonts w:ascii="Arial" w:hAnsi="Arial" w:cs="Arial"/>
                <w:sz w:val="20"/>
                <w:szCs w:val="20"/>
              </w:rPr>
            </w:pPr>
          </w:p>
        </w:tc>
      </w:tr>
      <w:tr w:rsidR="004A7B67" w:rsidRPr="003C21DE" w14:paraId="63CEE733" w14:textId="77777777">
        <w:trPr>
          <w:trHeight w:val="1140"/>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01099FE" w14:textId="77777777" w:rsidR="004A7B67" w:rsidRPr="003C21DE" w:rsidRDefault="005B34E1">
            <w:pPr>
              <w:pStyle w:val="Heading2"/>
              <w:ind w:left="360"/>
              <w:jc w:val="left"/>
              <w:rPr>
                <w:rFonts w:ascii="Arial" w:hAnsi="Arial" w:cs="Arial"/>
              </w:rPr>
            </w:pPr>
            <w:r w:rsidRPr="003C21DE">
              <w:rPr>
                <w:rFonts w:ascii="Arial" w:hAnsi="Arial" w:cs="Arial"/>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F06A6F" w14:textId="77777777" w:rsidR="004A7B67" w:rsidRPr="003C21DE" w:rsidRDefault="005B34E1">
            <w:pPr>
              <w:pStyle w:val="Default"/>
              <w:suppressAutoHyphens/>
              <w:spacing w:before="0" w:after="240" w:line="240" w:lineRule="auto"/>
              <w:rPr>
                <w:rFonts w:ascii="Arial" w:hAnsi="Arial" w:cs="Arial"/>
                <w:sz w:val="20"/>
                <w:szCs w:val="20"/>
              </w:rPr>
            </w:pPr>
            <w:r w:rsidRPr="003C21DE">
              <w:rPr>
                <w:rFonts w:ascii="Arial" w:hAnsi="Arial" w:cs="Arial"/>
                <w:sz w:val="20"/>
                <w:szCs w:val="20"/>
              </w:rPr>
              <w:t>Yes, the English is clear and suitable for scholarly communication, though minor grammatical corrections and consistency in terminology are recommended.</w:t>
            </w:r>
          </w:p>
          <w:p w14:paraId="1D2FF0E7" w14:textId="77777777" w:rsidR="004A7B67" w:rsidRPr="003C21DE" w:rsidRDefault="004A7B67">
            <w:pPr>
              <w:pStyle w:val="Default"/>
              <w:suppressAutoHyphens/>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999D2" w14:textId="77777777" w:rsidR="004A7B67" w:rsidRPr="003C21DE" w:rsidRDefault="004A7B67">
            <w:pPr>
              <w:rPr>
                <w:rFonts w:ascii="Arial" w:hAnsi="Arial" w:cs="Arial"/>
                <w:sz w:val="20"/>
                <w:szCs w:val="20"/>
              </w:rPr>
            </w:pPr>
          </w:p>
        </w:tc>
      </w:tr>
      <w:tr w:rsidR="004A7B67" w:rsidRPr="003C21DE" w14:paraId="36FB4B29" w14:textId="77777777">
        <w:trPr>
          <w:trHeight w:val="1140"/>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88E89" w14:textId="77777777" w:rsidR="004A7B67" w:rsidRPr="003C21DE" w:rsidRDefault="005B34E1">
            <w:pPr>
              <w:pStyle w:val="Heading2"/>
              <w:jc w:val="left"/>
              <w:rPr>
                <w:rFonts w:ascii="Arial" w:hAnsi="Arial" w:cs="Arial"/>
              </w:rPr>
            </w:pPr>
            <w:r w:rsidRPr="003C21DE">
              <w:rPr>
                <w:rFonts w:ascii="Arial" w:hAnsi="Arial" w:cs="Arial"/>
                <w:u w:val="single"/>
                <w:lang w:val="en-US"/>
              </w:rPr>
              <w:t>Optional/General</w:t>
            </w:r>
            <w:r w:rsidRPr="003C21DE">
              <w:rPr>
                <w:rFonts w:ascii="Arial" w:hAnsi="Arial" w:cs="Arial"/>
                <w:lang w:val="en-US"/>
              </w:rPr>
              <w:t xml:space="preserve"> </w:t>
            </w:r>
            <w:r w:rsidRPr="003C21DE">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0CCAC" w14:textId="77777777" w:rsidR="004A7B67" w:rsidRPr="003C21DE" w:rsidRDefault="005B34E1">
            <w:pPr>
              <w:pStyle w:val="Default"/>
              <w:suppressAutoHyphens/>
              <w:spacing w:before="0" w:after="240" w:line="240" w:lineRule="auto"/>
              <w:rPr>
                <w:rFonts w:ascii="Arial" w:hAnsi="Arial" w:cs="Arial"/>
                <w:sz w:val="20"/>
                <w:szCs w:val="20"/>
              </w:rPr>
            </w:pPr>
            <w:r w:rsidRPr="003C21DE">
              <w:rPr>
                <w:rFonts w:ascii="Arial" w:hAnsi="Arial" w:cs="Arial"/>
                <w:sz w:val="20"/>
                <w:szCs w:val="20"/>
              </w:rPr>
              <w:t>A strong and relevant study; revisions should focus on conciseness, clarity, and translational emphasis to maximize impact.</w:t>
            </w:r>
          </w:p>
          <w:p w14:paraId="7D48D772" w14:textId="77777777" w:rsidR="00194850" w:rsidRPr="003C21DE" w:rsidRDefault="00194850" w:rsidP="00194850">
            <w:pPr>
              <w:pStyle w:val="Default"/>
              <w:suppressAutoHyphens/>
              <w:spacing w:before="0" w:after="240" w:line="240" w:lineRule="auto"/>
              <w:rPr>
                <w:rFonts w:ascii="Arial" w:hAnsi="Arial" w:cs="Arial"/>
                <w:sz w:val="20"/>
                <w:szCs w:val="20"/>
              </w:rPr>
            </w:pPr>
            <w:r w:rsidRPr="003C21DE">
              <w:rPr>
                <w:rFonts w:ascii="Arial" w:hAnsi="Arial" w:cs="Arial"/>
                <w:sz w:val="20"/>
                <w:szCs w:val="20"/>
              </w:rPr>
              <w:t>The study is scientifically sound, original, and relevant.</w:t>
            </w:r>
          </w:p>
          <w:p w14:paraId="6E7E1F15" w14:textId="77777777" w:rsidR="00194850" w:rsidRPr="003C21DE" w:rsidRDefault="00194850" w:rsidP="00194850">
            <w:pPr>
              <w:pStyle w:val="Default"/>
              <w:suppressAutoHyphens/>
              <w:spacing w:before="0" w:after="240" w:line="240" w:lineRule="auto"/>
              <w:rPr>
                <w:rFonts w:ascii="Arial" w:hAnsi="Arial" w:cs="Arial"/>
                <w:sz w:val="20"/>
                <w:szCs w:val="20"/>
              </w:rPr>
            </w:pPr>
            <w:r w:rsidRPr="003C21DE">
              <w:rPr>
                <w:rFonts w:ascii="Arial" w:hAnsi="Arial" w:cs="Arial"/>
                <w:sz w:val="20"/>
                <w:szCs w:val="20"/>
              </w:rPr>
              <w:t>The methodology is rigorous and validated with independent cohorts.</w:t>
            </w:r>
          </w:p>
          <w:p w14:paraId="777B4D68" w14:textId="77777777" w:rsidR="00194850" w:rsidRPr="003C21DE" w:rsidRDefault="00194850" w:rsidP="00194850">
            <w:pPr>
              <w:pStyle w:val="Default"/>
              <w:suppressAutoHyphens/>
              <w:spacing w:before="0" w:after="240" w:line="240" w:lineRule="auto"/>
              <w:rPr>
                <w:rFonts w:ascii="Arial" w:eastAsia="Times New Roman" w:hAnsi="Arial" w:cs="Arial"/>
                <w:sz w:val="20"/>
                <w:szCs w:val="20"/>
              </w:rPr>
            </w:pPr>
            <w:r w:rsidRPr="003C21DE">
              <w:rPr>
                <w:rFonts w:ascii="Arial" w:hAnsi="Arial" w:cs="Arial"/>
                <w:sz w:val="20"/>
                <w:szCs w:val="20"/>
              </w:rPr>
              <w:t>However, the manuscript is currently too detailed in places, with methodological descriptions overlapping the Results and Discussion sections. Figures are sometimes repetitive, and prognostic tables would be stronger with hazard ratios and confidence intervals included. The abstract should be condensed, and the discussion streamlined to reduce redundancy while emphasizing translational and clinical implementation aspects, including cost-effectiveness and feasibility of liquid biopsy approaches.</w:t>
            </w:r>
          </w:p>
          <w:p w14:paraId="50557475" w14:textId="77777777" w:rsidR="00194850" w:rsidRPr="003C21DE" w:rsidRDefault="00194850" w:rsidP="00194850">
            <w:pPr>
              <w:pStyle w:val="Default"/>
              <w:suppressAutoHyphens/>
              <w:spacing w:before="0" w:after="240" w:line="240" w:lineRule="auto"/>
              <w:rPr>
                <w:rFonts w:ascii="Arial" w:eastAsia="Times New Roman" w:hAnsi="Arial" w:cs="Arial"/>
                <w:sz w:val="20"/>
                <w:szCs w:val="20"/>
              </w:rPr>
            </w:pPr>
          </w:p>
          <w:p w14:paraId="79619912" w14:textId="77777777" w:rsidR="00194850" w:rsidRPr="003C21DE" w:rsidRDefault="00194850" w:rsidP="00194850">
            <w:pPr>
              <w:pStyle w:val="Default"/>
              <w:suppressAutoHyphens/>
              <w:spacing w:before="0" w:after="240" w:line="240" w:lineRule="auto"/>
              <w:rPr>
                <w:rFonts w:ascii="Arial" w:eastAsia="Times New Roman" w:hAnsi="Arial" w:cs="Arial"/>
                <w:sz w:val="20"/>
                <w:szCs w:val="20"/>
              </w:rPr>
            </w:pPr>
            <w:r w:rsidRPr="003C21DE">
              <w:rPr>
                <w:rFonts w:ascii="Arial" w:hAnsi="Arial" w:cs="Arial"/>
                <w:sz w:val="20"/>
                <w:szCs w:val="20"/>
              </w:rPr>
              <w:t>With revisions aimed at improving clarity, conciseness, and focus on clinical applicability, the manuscript will represent a valuable contribution to prostate cancer biomarker research and precision medicine.</w:t>
            </w:r>
          </w:p>
          <w:p w14:paraId="303A4F4F" w14:textId="77777777" w:rsidR="00194850" w:rsidRPr="003C21DE" w:rsidRDefault="00194850" w:rsidP="00194850">
            <w:pPr>
              <w:pStyle w:val="Default"/>
              <w:suppressAutoHyphens/>
              <w:spacing w:before="0" w:after="240" w:line="240" w:lineRule="auto"/>
              <w:ind w:left="536"/>
              <w:rPr>
                <w:rFonts w:ascii="Arial" w:hAnsi="Arial" w:cs="Arial"/>
                <w:sz w:val="20"/>
                <w:szCs w:val="20"/>
              </w:rPr>
            </w:pPr>
          </w:p>
          <w:p w14:paraId="480168A2" w14:textId="77777777" w:rsidR="00194850" w:rsidRPr="003C21DE" w:rsidRDefault="00194850">
            <w:pPr>
              <w:pStyle w:val="Default"/>
              <w:suppressAutoHyphens/>
              <w:spacing w:before="0" w:after="240" w:line="240" w:lineRule="auto"/>
              <w:rPr>
                <w:rFonts w:ascii="Arial" w:hAnsi="Arial" w:cs="Arial"/>
                <w:sz w:val="20"/>
                <w:szCs w:val="20"/>
              </w:rPr>
            </w:pPr>
          </w:p>
          <w:p w14:paraId="7917EE02" w14:textId="77777777" w:rsidR="004A7B67" w:rsidRPr="003C21DE" w:rsidRDefault="004A7B67">
            <w:pPr>
              <w:pStyle w:val="Default"/>
              <w:suppressAutoHyphens/>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2B6CB" w14:textId="77777777" w:rsidR="004A7B67" w:rsidRPr="003C21DE" w:rsidRDefault="004A7B67">
            <w:pPr>
              <w:rPr>
                <w:rFonts w:ascii="Arial" w:hAnsi="Arial" w:cs="Arial"/>
                <w:sz w:val="20"/>
                <w:szCs w:val="20"/>
              </w:rPr>
            </w:pPr>
          </w:p>
        </w:tc>
      </w:tr>
    </w:tbl>
    <w:p w14:paraId="1F231D59" w14:textId="77777777" w:rsidR="004A7B67" w:rsidRPr="003C21DE" w:rsidRDefault="004A7B67">
      <w:pPr>
        <w:pStyle w:val="BodyText"/>
        <w:rPr>
          <w:rFonts w:ascii="Arial" w:eastAsia="Times New Roman" w:hAnsi="Arial" w:cs="Arial"/>
          <w:b/>
          <w:bCs/>
          <w:sz w:val="20"/>
          <w:szCs w:val="20"/>
          <w:u w:val="single"/>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4A7B67" w:rsidRPr="003C21DE" w14:paraId="53C3B76E" w14:textId="77777777">
        <w:trPr>
          <w:trHeight w:val="447"/>
        </w:trPr>
        <w:tc>
          <w:tcPr>
            <w:tcW w:w="21150" w:type="dxa"/>
            <w:gridSpan w:val="3"/>
            <w:tcBorders>
              <w:top w:val="nil"/>
              <w:left w:val="nil"/>
              <w:bottom w:val="single" w:sz="4" w:space="0" w:color="000000"/>
              <w:right w:val="nil"/>
            </w:tcBorders>
            <w:tcMar>
              <w:top w:w="80" w:type="dxa"/>
              <w:left w:w="80" w:type="dxa"/>
              <w:bottom w:w="80" w:type="dxa"/>
              <w:right w:w="80" w:type="dxa"/>
            </w:tcMar>
            <w:vAlign w:val="center"/>
          </w:tcPr>
          <w:p w14:paraId="21299848" w14:textId="77777777" w:rsidR="004A7B67" w:rsidRPr="003C21DE" w:rsidRDefault="005B34E1">
            <w:pPr>
              <w:pStyle w:val="NormalWeb"/>
              <w:spacing w:before="0" w:after="0"/>
              <w:rPr>
                <w:rFonts w:ascii="Arial" w:hAnsi="Arial" w:cs="Arial"/>
                <w:sz w:val="20"/>
                <w:szCs w:val="20"/>
              </w:rPr>
            </w:pPr>
            <w:r w:rsidRPr="003C21DE">
              <w:rPr>
                <w:rFonts w:ascii="Arial" w:hAnsi="Arial" w:cs="Arial"/>
                <w:b/>
                <w:bCs/>
                <w:sz w:val="20"/>
                <w:szCs w:val="20"/>
                <w:u w:val="single"/>
                <w:shd w:val="clear" w:color="auto" w:fill="FFFF00"/>
              </w:rPr>
              <w:t>PART  2:</w:t>
            </w:r>
            <w:r w:rsidRPr="003C21DE">
              <w:rPr>
                <w:rFonts w:ascii="Arial" w:hAnsi="Arial" w:cs="Arial"/>
                <w:b/>
                <w:bCs/>
                <w:sz w:val="20"/>
                <w:szCs w:val="20"/>
                <w:u w:val="single"/>
              </w:rPr>
              <w:t xml:space="preserve"> </w:t>
            </w:r>
          </w:p>
        </w:tc>
      </w:tr>
      <w:tr w:rsidR="004A7B67" w:rsidRPr="003C21DE" w14:paraId="1583F6D0" w14:textId="77777777" w:rsidTr="00194850">
        <w:trPr>
          <w:trHeight w:val="945"/>
        </w:trPr>
        <w:tc>
          <w:tcPr>
            <w:tcW w:w="6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60D66C" w14:textId="77777777" w:rsidR="004A7B67" w:rsidRPr="003C21DE" w:rsidRDefault="004A7B67">
            <w:pPr>
              <w:rPr>
                <w:rFonts w:ascii="Arial" w:hAnsi="Arial" w:cs="Arial"/>
                <w:sz w:val="20"/>
                <w:szCs w:val="20"/>
              </w:rPr>
            </w:pPr>
          </w:p>
        </w:tc>
        <w:tc>
          <w:tcPr>
            <w:tcW w:w="86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EB073" w14:textId="77777777" w:rsidR="004A7B67" w:rsidRPr="003C21DE" w:rsidRDefault="005B34E1" w:rsidP="00194850">
            <w:pPr>
              <w:pStyle w:val="Heading2"/>
              <w:jc w:val="left"/>
              <w:rPr>
                <w:rFonts w:ascii="Arial" w:eastAsia="Times New Roman" w:hAnsi="Arial" w:cs="Arial"/>
                <w:lang w:val="en-US"/>
              </w:rPr>
            </w:pPr>
            <w:r w:rsidRPr="003C21DE">
              <w:rPr>
                <w:rFonts w:ascii="Arial" w:hAnsi="Arial" w:cs="Arial"/>
                <w:lang w:val="en-US"/>
              </w:rPr>
              <w:t>Reviewer’s comment</w:t>
            </w:r>
          </w:p>
        </w:tc>
        <w:tc>
          <w:tcPr>
            <w:tcW w:w="5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3DCA1" w14:textId="77777777" w:rsidR="004A7B67" w:rsidRPr="003C21DE" w:rsidRDefault="005B34E1">
            <w:pPr>
              <w:spacing w:after="160" w:line="256" w:lineRule="auto"/>
              <w:rPr>
                <w:rFonts w:ascii="Arial" w:hAnsi="Arial" w:cs="Arial"/>
                <w:sz w:val="20"/>
                <w:szCs w:val="20"/>
              </w:rPr>
            </w:pPr>
            <w:r w:rsidRPr="003C21DE">
              <w:rPr>
                <w:rFonts w:ascii="Arial" w:hAnsi="Arial" w:cs="Arial"/>
                <w:b/>
                <w:bCs/>
                <w:kern w:val="2"/>
                <w:sz w:val="20"/>
                <w:szCs w:val="20"/>
              </w:rPr>
              <w:t>Author’s Feedback</w:t>
            </w:r>
            <w:r w:rsidRPr="003C21DE">
              <w:rPr>
                <w:rFonts w:ascii="Arial" w:hAnsi="Arial" w:cs="Arial"/>
                <w:kern w:val="2"/>
                <w:sz w:val="20"/>
                <w:szCs w:val="20"/>
              </w:rPr>
              <w:t xml:space="preserve"> (It is mandatory that authors should write his/her feedback here)</w:t>
            </w:r>
          </w:p>
        </w:tc>
      </w:tr>
      <w:tr w:rsidR="004A7B67" w:rsidRPr="003C21DE" w14:paraId="572927C5" w14:textId="77777777">
        <w:trPr>
          <w:trHeight w:val="882"/>
        </w:trPr>
        <w:tc>
          <w:tcPr>
            <w:tcW w:w="6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A059D1" w14:textId="77777777" w:rsidR="004A7B67" w:rsidRPr="003C21DE" w:rsidRDefault="005B34E1">
            <w:pPr>
              <w:pStyle w:val="NormalWeb"/>
              <w:spacing w:before="0" w:after="0"/>
              <w:rPr>
                <w:rFonts w:ascii="Arial" w:hAnsi="Arial" w:cs="Arial"/>
                <w:sz w:val="20"/>
                <w:szCs w:val="20"/>
              </w:rPr>
            </w:pPr>
            <w:r w:rsidRPr="003C21DE">
              <w:rPr>
                <w:rFonts w:ascii="Arial" w:hAnsi="Arial" w:cs="Arial"/>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A248A4" w14:textId="77777777" w:rsidR="004A7B67" w:rsidRPr="003C21DE" w:rsidRDefault="005B34E1">
            <w:pPr>
              <w:pStyle w:val="NormalWeb"/>
              <w:spacing w:before="0" w:after="0"/>
              <w:rPr>
                <w:rFonts w:ascii="Arial" w:hAnsi="Arial" w:cs="Arial"/>
                <w:sz w:val="20"/>
                <w:szCs w:val="20"/>
              </w:rPr>
            </w:pPr>
            <w:r w:rsidRPr="003C21DE">
              <w:rPr>
                <w:rFonts w:ascii="Arial" w:hAnsi="Arial" w:cs="Arial"/>
                <w:i/>
                <w:iCs/>
                <w:sz w:val="20"/>
                <w:szCs w:val="20"/>
                <w:u w:val="single"/>
              </w:rPr>
              <w:t>(No ethical issues are identified; the study relies on publicly available datasets (TCGA, GEO) with appropriate use.</w:t>
            </w:r>
          </w:p>
        </w:tc>
        <w:tc>
          <w:tcPr>
            <w:tcW w:w="5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C9B1BE" w14:textId="77777777" w:rsidR="004A7B67" w:rsidRPr="003C21DE" w:rsidRDefault="004A7B67">
            <w:pPr>
              <w:rPr>
                <w:rFonts w:ascii="Arial" w:hAnsi="Arial" w:cs="Arial"/>
                <w:sz w:val="20"/>
                <w:szCs w:val="20"/>
              </w:rPr>
            </w:pPr>
          </w:p>
          <w:p w14:paraId="4CB4A1A9" w14:textId="77777777" w:rsidR="004A7B67" w:rsidRPr="003C21DE" w:rsidRDefault="004A7B67">
            <w:pPr>
              <w:rPr>
                <w:rFonts w:ascii="Arial" w:hAnsi="Arial" w:cs="Arial"/>
                <w:sz w:val="20"/>
                <w:szCs w:val="20"/>
              </w:rPr>
            </w:pPr>
          </w:p>
          <w:p w14:paraId="48AAAFDA" w14:textId="77777777" w:rsidR="004A7B67" w:rsidRPr="003C21DE" w:rsidRDefault="004A7B67">
            <w:pPr>
              <w:rPr>
                <w:rFonts w:ascii="Arial" w:hAnsi="Arial" w:cs="Arial"/>
                <w:sz w:val="20"/>
                <w:szCs w:val="20"/>
              </w:rPr>
            </w:pPr>
          </w:p>
        </w:tc>
      </w:tr>
      <w:bookmarkEnd w:id="0"/>
    </w:tbl>
    <w:p w14:paraId="60E787C8" w14:textId="77777777" w:rsidR="004A7B67" w:rsidRDefault="004A7B67">
      <w:pPr>
        <w:pStyle w:val="BodyText"/>
        <w:outlineLvl w:val="0"/>
        <w:rPr>
          <w:rFonts w:ascii="Arial" w:hAnsi="Arial" w:cs="Arial"/>
          <w:sz w:val="20"/>
          <w:szCs w:val="20"/>
        </w:rPr>
      </w:pPr>
    </w:p>
    <w:p w14:paraId="2EC727C0" w14:textId="77777777" w:rsidR="003C21DE" w:rsidRDefault="003C21DE">
      <w:pPr>
        <w:pStyle w:val="BodyText"/>
        <w:outlineLvl w:val="0"/>
        <w:rPr>
          <w:rFonts w:ascii="Arial" w:hAnsi="Arial" w:cs="Arial"/>
          <w:sz w:val="20"/>
          <w:szCs w:val="20"/>
        </w:rPr>
      </w:pPr>
    </w:p>
    <w:p w14:paraId="23A7EFFF" w14:textId="77777777" w:rsidR="003C21DE" w:rsidRPr="003C2F91" w:rsidRDefault="003C21DE" w:rsidP="003C21DE">
      <w:pPr>
        <w:pStyle w:val="Affiliation"/>
        <w:spacing w:after="0" w:line="240" w:lineRule="auto"/>
        <w:jc w:val="left"/>
        <w:rPr>
          <w:rFonts w:ascii="Arial" w:hAnsi="Arial" w:cs="Arial"/>
          <w:b/>
          <w:u w:val="single"/>
        </w:rPr>
      </w:pPr>
      <w:r>
        <w:rPr>
          <w:rFonts w:ascii="Arial" w:hAnsi="Arial" w:cs="Arial"/>
        </w:rPr>
        <w:t xml:space="preserve">  </w:t>
      </w:r>
      <w:r w:rsidRPr="003C2F91">
        <w:rPr>
          <w:rFonts w:ascii="Arial" w:hAnsi="Arial" w:cs="Arial"/>
          <w:b/>
          <w:u w:val="single"/>
        </w:rPr>
        <w:t>Reviewer details:</w:t>
      </w:r>
    </w:p>
    <w:p w14:paraId="7CAEC354" w14:textId="77777777" w:rsidR="003C21DE" w:rsidRDefault="003C21DE" w:rsidP="003C21DE">
      <w:proofErr w:type="spellStart"/>
      <w:r w:rsidRPr="003C2F91">
        <w:rPr>
          <w:rFonts w:ascii="Arial" w:hAnsi="Arial" w:cs="Arial"/>
          <w:b/>
          <w:sz w:val="20"/>
          <w:szCs w:val="20"/>
        </w:rPr>
        <w:t>Enaam</w:t>
      </w:r>
      <w:proofErr w:type="spellEnd"/>
      <w:r w:rsidRPr="003C2F91">
        <w:rPr>
          <w:rFonts w:ascii="Arial" w:hAnsi="Arial" w:cs="Arial"/>
          <w:b/>
          <w:sz w:val="20"/>
          <w:szCs w:val="20"/>
        </w:rPr>
        <w:t xml:space="preserve"> </w:t>
      </w:r>
      <w:proofErr w:type="gramStart"/>
      <w:r w:rsidRPr="003C2F91">
        <w:rPr>
          <w:rFonts w:ascii="Arial" w:hAnsi="Arial" w:cs="Arial"/>
          <w:b/>
          <w:sz w:val="20"/>
          <w:szCs w:val="20"/>
        </w:rPr>
        <w:t>Junainah ,</w:t>
      </w:r>
      <w:proofErr w:type="gramEnd"/>
      <w:r w:rsidRPr="003C2F91">
        <w:rPr>
          <w:rFonts w:ascii="Arial" w:hAnsi="Arial" w:cs="Arial"/>
          <w:b/>
          <w:sz w:val="20"/>
          <w:szCs w:val="20"/>
        </w:rPr>
        <w:t xml:space="preserve"> Saudi Arabia </w:t>
      </w:r>
      <w:r w:rsidRPr="003C2F91">
        <w:rPr>
          <w:rFonts w:ascii="Arial" w:hAnsi="Arial" w:cs="Arial"/>
          <w:b/>
          <w:sz w:val="20"/>
          <w:szCs w:val="20"/>
        </w:rPr>
        <w:br/>
      </w:r>
    </w:p>
    <w:p w14:paraId="7D6489CE" w14:textId="57886879" w:rsidR="003C21DE" w:rsidRPr="003C21DE" w:rsidRDefault="003C21DE">
      <w:pPr>
        <w:pStyle w:val="BodyText"/>
        <w:outlineLvl w:val="0"/>
        <w:rPr>
          <w:rFonts w:ascii="Arial" w:hAnsi="Arial" w:cs="Arial"/>
          <w:sz w:val="20"/>
          <w:szCs w:val="20"/>
          <w:lang w:val="en-US"/>
        </w:rPr>
      </w:pPr>
    </w:p>
    <w:sectPr w:rsidR="003C21DE" w:rsidRPr="003C21DE">
      <w:headerReference w:type="default" r:id="rId8"/>
      <w:footerReference w:type="default" r:id="rId9"/>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61A5" w14:textId="77777777" w:rsidR="00B308CD" w:rsidRDefault="00B308CD">
      <w:r>
        <w:separator/>
      </w:r>
    </w:p>
  </w:endnote>
  <w:endnote w:type="continuationSeparator" w:id="0">
    <w:p w14:paraId="2275DF0B" w14:textId="77777777" w:rsidR="00B308CD" w:rsidRDefault="00B3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5012" w14:textId="77777777" w:rsidR="004A7B67" w:rsidRDefault="005B34E1">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C31D" w14:textId="77777777" w:rsidR="00B308CD" w:rsidRDefault="00B308CD">
      <w:r>
        <w:separator/>
      </w:r>
    </w:p>
  </w:footnote>
  <w:footnote w:type="continuationSeparator" w:id="0">
    <w:p w14:paraId="66CE6C27" w14:textId="77777777" w:rsidR="00B308CD" w:rsidRDefault="00B3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9C48" w14:textId="77777777" w:rsidR="004A7B67" w:rsidRDefault="004A7B67">
    <w:pPr>
      <w:spacing w:before="100" w:after="100"/>
      <w:jc w:val="center"/>
      <w:rPr>
        <w:rFonts w:ascii="Arial" w:hAnsi="Arial"/>
        <w:b/>
        <w:bCs/>
        <w:color w:val="003399"/>
        <w:u w:val="single" w:color="003399"/>
      </w:rPr>
    </w:pPr>
  </w:p>
  <w:p w14:paraId="31962E6E" w14:textId="77777777" w:rsidR="004A7B67" w:rsidRDefault="005B34E1">
    <w:pPr>
      <w:spacing w:before="100" w:after="100"/>
    </w:pPr>
    <w:r>
      <w:rPr>
        <w:rFonts w:ascii="Arial" w:hAnsi="Arial"/>
        <w:b/>
        <w:bCs/>
        <w:color w:val="003399"/>
        <w:u w:val="single" w:color="003399"/>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DC5"/>
    <w:multiLevelType w:val="hybridMultilevel"/>
    <w:tmpl w:val="C1881B32"/>
    <w:lvl w:ilvl="0" w:tplc="D42ACD2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CC928BA6">
      <w:start w:val="1"/>
      <w:numFmt w:val="bullet"/>
      <w:lvlText w:val="•"/>
      <w:lvlJc w:val="left"/>
      <w:pPr>
        <w:ind w:left="75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C30AD290">
      <w:start w:val="1"/>
      <w:numFmt w:val="bullet"/>
      <w:lvlText w:val="•"/>
      <w:lvlJc w:val="left"/>
      <w:pPr>
        <w:ind w:left="97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9AEAAD68">
      <w:start w:val="1"/>
      <w:numFmt w:val="bullet"/>
      <w:lvlText w:val="•"/>
      <w:lvlJc w:val="left"/>
      <w:pPr>
        <w:ind w:left="119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05A4DF54">
      <w:start w:val="1"/>
      <w:numFmt w:val="bullet"/>
      <w:lvlText w:val="•"/>
      <w:lvlJc w:val="left"/>
      <w:pPr>
        <w:ind w:left="141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387407EC">
      <w:start w:val="1"/>
      <w:numFmt w:val="bullet"/>
      <w:lvlText w:val="•"/>
      <w:lvlJc w:val="left"/>
      <w:pPr>
        <w:ind w:left="163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482C3E48">
      <w:start w:val="1"/>
      <w:numFmt w:val="bullet"/>
      <w:lvlText w:val="•"/>
      <w:lvlJc w:val="left"/>
      <w:pPr>
        <w:ind w:left="185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DC5E9860">
      <w:start w:val="1"/>
      <w:numFmt w:val="bullet"/>
      <w:lvlText w:val="•"/>
      <w:lvlJc w:val="left"/>
      <w:pPr>
        <w:ind w:left="207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033C5182">
      <w:start w:val="1"/>
      <w:numFmt w:val="bullet"/>
      <w:lvlText w:val="•"/>
      <w:lvlJc w:val="left"/>
      <w:pPr>
        <w:ind w:left="229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1281729"/>
    <w:multiLevelType w:val="hybridMultilevel"/>
    <w:tmpl w:val="519419BA"/>
    <w:lvl w:ilvl="0" w:tplc="4634BF70">
      <w:start w:val="1"/>
      <w:numFmt w:val="bullet"/>
      <w:lvlText w:val="•"/>
      <w:lvlJc w:val="left"/>
      <w:pPr>
        <w:ind w:left="50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B4AD17C">
      <w:start w:val="1"/>
      <w:numFmt w:val="bullet"/>
      <w:lvlText w:val="•"/>
      <w:lvlJc w:val="left"/>
      <w:pPr>
        <w:ind w:left="72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0332EB5C">
      <w:start w:val="1"/>
      <w:numFmt w:val="bullet"/>
      <w:lvlText w:val="•"/>
      <w:lvlJc w:val="left"/>
      <w:pPr>
        <w:ind w:left="94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E3388D42">
      <w:start w:val="1"/>
      <w:numFmt w:val="bullet"/>
      <w:lvlText w:val="•"/>
      <w:lvlJc w:val="left"/>
      <w:pPr>
        <w:ind w:left="116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BA109EE2">
      <w:start w:val="1"/>
      <w:numFmt w:val="bullet"/>
      <w:lvlText w:val="•"/>
      <w:lvlJc w:val="left"/>
      <w:pPr>
        <w:ind w:left="138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DA3007BA">
      <w:start w:val="1"/>
      <w:numFmt w:val="bullet"/>
      <w:lvlText w:val="•"/>
      <w:lvlJc w:val="left"/>
      <w:pPr>
        <w:ind w:left="160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CB4C9946">
      <w:start w:val="1"/>
      <w:numFmt w:val="bullet"/>
      <w:lvlText w:val="•"/>
      <w:lvlJc w:val="left"/>
      <w:pPr>
        <w:ind w:left="182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78DC14B0">
      <w:start w:val="1"/>
      <w:numFmt w:val="bullet"/>
      <w:lvlText w:val="•"/>
      <w:lvlJc w:val="left"/>
      <w:pPr>
        <w:ind w:left="204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E0A6D98A">
      <w:start w:val="1"/>
      <w:numFmt w:val="bullet"/>
      <w:lvlText w:val="•"/>
      <w:lvlJc w:val="left"/>
      <w:pPr>
        <w:ind w:left="226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47513D4B"/>
    <w:multiLevelType w:val="hybridMultilevel"/>
    <w:tmpl w:val="3D3A33EC"/>
    <w:lvl w:ilvl="0" w:tplc="34D2E896">
      <w:start w:val="1"/>
      <w:numFmt w:val="decimal"/>
      <w:lvlText w:val="%1."/>
      <w:lvlJc w:val="left"/>
      <w:pPr>
        <w:ind w:left="5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974CC4E">
      <w:start w:val="1"/>
      <w:numFmt w:val="decimal"/>
      <w:lvlText w:val="%2."/>
      <w:lvlJc w:val="left"/>
      <w:pPr>
        <w:ind w:left="7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D66126">
      <w:start w:val="1"/>
      <w:numFmt w:val="decimal"/>
      <w:lvlText w:val="%3."/>
      <w:lvlJc w:val="left"/>
      <w:pPr>
        <w:ind w:left="9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7BA7D3A">
      <w:start w:val="1"/>
      <w:numFmt w:val="decimal"/>
      <w:lvlText w:val="%4."/>
      <w:lvlJc w:val="left"/>
      <w:pPr>
        <w:ind w:left="11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3347C7C">
      <w:start w:val="1"/>
      <w:numFmt w:val="decimal"/>
      <w:lvlText w:val="%5."/>
      <w:lvlJc w:val="left"/>
      <w:pPr>
        <w:ind w:left="140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C3ED264">
      <w:start w:val="1"/>
      <w:numFmt w:val="decimal"/>
      <w:lvlText w:val="%6."/>
      <w:lvlJc w:val="left"/>
      <w:pPr>
        <w:ind w:left="16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90267A">
      <w:start w:val="1"/>
      <w:numFmt w:val="decimal"/>
      <w:lvlText w:val="%7."/>
      <w:lvlJc w:val="left"/>
      <w:pPr>
        <w:ind w:left="18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7B87EBE">
      <w:start w:val="1"/>
      <w:numFmt w:val="decimal"/>
      <w:lvlText w:val="%8."/>
      <w:lvlJc w:val="left"/>
      <w:pPr>
        <w:ind w:left="20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5DE7E3A">
      <w:start w:val="1"/>
      <w:numFmt w:val="decimal"/>
      <w:lvlText w:val="%9."/>
      <w:lvlJc w:val="left"/>
      <w:pPr>
        <w:ind w:left="22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45553934">
    <w:abstractNumId w:val="2"/>
  </w:num>
  <w:num w:numId="2" w16cid:durableId="1495414833">
    <w:abstractNumId w:val="0"/>
  </w:num>
  <w:num w:numId="3" w16cid:durableId="1308509617">
    <w:abstractNumId w:val="0"/>
    <w:lvlOverride w:ilvl="0">
      <w:lvl w:ilvl="0" w:tplc="D42ACD20">
        <w:start w:val="1"/>
        <w:numFmt w:val="bullet"/>
        <w:lvlText w:val="•"/>
        <w:lvlJc w:val="left"/>
        <w:pPr>
          <w:ind w:left="53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C928BA6">
        <w:start w:val="1"/>
        <w:numFmt w:val="bullet"/>
        <w:lvlText w:val="•"/>
        <w:lvlJc w:val="left"/>
        <w:pPr>
          <w:ind w:left="75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C30AD290">
        <w:start w:val="1"/>
        <w:numFmt w:val="bullet"/>
        <w:lvlText w:val="•"/>
        <w:lvlJc w:val="left"/>
        <w:pPr>
          <w:ind w:left="97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9AEAAD68">
        <w:start w:val="1"/>
        <w:numFmt w:val="bullet"/>
        <w:lvlText w:val="•"/>
        <w:lvlJc w:val="left"/>
        <w:pPr>
          <w:ind w:left="119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05A4DF54">
        <w:start w:val="1"/>
        <w:numFmt w:val="bullet"/>
        <w:lvlText w:val="•"/>
        <w:lvlJc w:val="left"/>
        <w:pPr>
          <w:ind w:left="141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387407EC">
        <w:start w:val="1"/>
        <w:numFmt w:val="bullet"/>
        <w:lvlText w:val="•"/>
        <w:lvlJc w:val="left"/>
        <w:pPr>
          <w:ind w:left="163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482C3E48">
        <w:start w:val="1"/>
        <w:numFmt w:val="bullet"/>
        <w:lvlText w:val="•"/>
        <w:lvlJc w:val="left"/>
        <w:pPr>
          <w:ind w:left="185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DC5E9860">
        <w:start w:val="1"/>
        <w:numFmt w:val="bullet"/>
        <w:lvlText w:val="•"/>
        <w:lvlJc w:val="left"/>
        <w:pPr>
          <w:ind w:left="207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033C5182">
        <w:start w:val="1"/>
        <w:numFmt w:val="bullet"/>
        <w:lvlText w:val="•"/>
        <w:lvlJc w:val="left"/>
        <w:pPr>
          <w:ind w:left="229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4" w16cid:durableId="189407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67"/>
    <w:rsid w:val="00017188"/>
    <w:rsid w:val="00194850"/>
    <w:rsid w:val="003C21DE"/>
    <w:rsid w:val="004A7B67"/>
    <w:rsid w:val="005B34E1"/>
    <w:rsid w:val="00B308CD"/>
    <w:rsid w:val="00D300AA"/>
    <w:rsid w:val="00FD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C2F5"/>
  <w15:docId w15:val="{1CB03FB4-F2FD-42C4-8F51-DCFBAD34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ffiliation">
    <w:name w:val="Affiliation"/>
    <w:basedOn w:val="Normal"/>
    <w:rsid w:val="003C21DE"/>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cti.com/index.php/JC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4</cp:revision>
  <dcterms:created xsi:type="dcterms:W3CDTF">2025-09-13T05:52:00Z</dcterms:created>
  <dcterms:modified xsi:type="dcterms:W3CDTF">2025-09-16T09:34:00Z</dcterms:modified>
</cp:coreProperties>
</file>