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1E06F" w14:textId="617257E9" w:rsidR="00754C9A" w:rsidRPr="00D27E2D" w:rsidRDefault="00D27E2D" w:rsidP="00441B6F">
      <w:pPr>
        <w:pStyle w:val="Title"/>
        <w:spacing w:after="0"/>
        <w:jc w:val="both"/>
        <w:rPr>
          <w:rFonts w:ascii="Arial" w:hAnsi="Arial" w:cs="Arial"/>
          <w:u w:val="single"/>
        </w:rPr>
      </w:pPr>
      <w:bookmarkStart w:id="0" w:name="_GoBack"/>
      <w:bookmarkEnd w:id="0"/>
      <w:r w:rsidRPr="00D27E2D">
        <w:rPr>
          <w:rFonts w:ascii="Arial" w:hAnsi="Arial" w:cs="Arial"/>
          <w:u w:val="single"/>
        </w:rPr>
        <w:t>Case report</w:t>
      </w:r>
    </w:p>
    <w:p w14:paraId="46ABF078" w14:textId="666F06EC" w:rsidR="00163BC4" w:rsidRPr="00163BC4" w:rsidRDefault="005C66E8" w:rsidP="00441B6F">
      <w:pPr>
        <w:pStyle w:val="Author"/>
        <w:spacing w:line="240" w:lineRule="auto"/>
        <w:rPr>
          <w:rFonts w:ascii="Arial" w:hAnsi="Arial" w:cs="Arial"/>
          <w:bCs/>
          <w:iCs/>
          <w:kern w:val="28"/>
          <w:sz w:val="36"/>
        </w:rPr>
      </w:pPr>
      <w:r w:rsidRPr="005C66E8">
        <w:rPr>
          <w:rFonts w:ascii="Arial" w:hAnsi="Arial" w:cs="Arial"/>
          <w:bCs/>
          <w:iCs/>
          <w:kern w:val="28"/>
          <w:sz w:val="36"/>
        </w:rPr>
        <w:t>Evaluating the Effectiveness of Supplemental Parenteral Nutrition in the Nutritional Management of Cancer Patients: An Observational Case Series Focused on Fatigue and Physical Function improvemen</w:t>
      </w:r>
      <w:r>
        <w:rPr>
          <w:rFonts w:ascii="Arial" w:hAnsi="Arial" w:cs="Arial"/>
          <w:bCs/>
          <w:iCs/>
          <w:kern w:val="28"/>
          <w:sz w:val="36"/>
        </w:rPr>
        <w:t>t</w:t>
      </w:r>
    </w:p>
    <w:p w14:paraId="4D35116C" w14:textId="77777777" w:rsidR="00A258C3" w:rsidRPr="00790ADA" w:rsidRDefault="00A258C3" w:rsidP="00441B6F">
      <w:pPr>
        <w:pStyle w:val="Author"/>
        <w:spacing w:line="240" w:lineRule="auto"/>
        <w:jc w:val="both"/>
        <w:rPr>
          <w:rFonts w:ascii="Arial" w:hAnsi="Arial" w:cs="Arial"/>
          <w:sz w:val="36"/>
        </w:rPr>
      </w:pPr>
    </w:p>
    <w:p w14:paraId="77B84C5F" w14:textId="77777777" w:rsidR="002C57D2" w:rsidRPr="00FB3A86" w:rsidRDefault="002C57D2" w:rsidP="00441B6F">
      <w:pPr>
        <w:pStyle w:val="Affiliation"/>
        <w:spacing w:after="0" w:line="240" w:lineRule="auto"/>
        <w:jc w:val="both"/>
        <w:rPr>
          <w:rFonts w:ascii="Arial" w:hAnsi="Arial" w:cs="Arial"/>
        </w:rPr>
      </w:pPr>
    </w:p>
    <w:p w14:paraId="7456DD35" w14:textId="545DB66B" w:rsidR="00B01FCD" w:rsidRPr="00FB3A86" w:rsidRDefault="00DB46BA" w:rsidP="00441B6F">
      <w:pPr>
        <w:pStyle w:val="Copyright"/>
        <w:spacing w:after="0" w:line="240" w:lineRule="auto"/>
        <w:jc w:val="both"/>
        <w:rPr>
          <w:rFonts w:ascii="Arial" w:hAnsi="Arial" w:cs="Arial"/>
        </w:rPr>
        <w:sectPr w:rsidR="00B01FCD" w:rsidRPr="00FB3A86" w:rsidSect="006A1F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27E67D4" wp14:editId="4D47BE56">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0E7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3712E78" w14:textId="6CE03FC5"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81080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B5E6CAE" w14:textId="77777777" w:rsidTr="001E44FE">
        <w:tc>
          <w:tcPr>
            <w:tcW w:w="9576" w:type="dxa"/>
            <w:shd w:val="clear" w:color="auto" w:fill="F2F2F2"/>
          </w:tcPr>
          <w:p w14:paraId="3797F7DE" w14:textId="77777777" w:rsidR="00E3114E" w:rsidRDefault="00E3114E" w:rsidP="00441B6F">
            <w:pPr>
              <w:pStyle w:val="Body"/>
              <w:spacing w:after="0"/>
              <w:rPr>
                <w:rFonts w:ascii="Arial" w:eastAsia="Calibri" w:hAnsi="Arial" w:cs="Arial"/>
                <w:b/>
                <w:szCs w:val="22"/>
              </w:rPr>
            </w:pPr>
          </w:p>
          <w:p w14:paraId="7BC720B6" w14:textId="77777777" w:rsidR="00A272E9" w:rsidRPr="00376609" w:rsidRDefault="00A272E9" w:rsidP="00A272E9">
            <w:r w:rsidRPr="00376609">
              <w:rPr>
                <w:b/>
                <w:bCs/>
              </w:rPr>
              <w:t>Background:</w:t>
            </w:r>
            <w:r w:rsidRPr="00376609">
              <w:t xml:space="preserve"> Cancer-related fatigue is one of the most prevalent and distressing symptoms experienced by cancer patients, often persisting beyond the completion of active treatment. Nutritional deficiencies during cancer treatment may contribute to fatigue and decreased physical function. Parenteral nutrition (PN), containing amino acids, glucose, and a mix of medium- and long-chain triglycerides, may help address these </w:t>
            </w:r>
            <w:commentRangeStart w:id="1"/>
            <w:r w:rsidRPr="00376609">
              <w:t>deficits</w:t>
            </w:r>
            <w:commentRangeEnd w:id="1"/>
            <w:r w:rsidR="0035144C">
              <w:rPr>
                <w:rStyle w:val="CommentReference"/>
                <w:rFonts w:ascii="Times New Roman" w:hAnsi="Times New Roman"/>
                <w:lang w:val="nb-NO" w:eastAsia="nb-NO"/>
              </w:rPr>
              <w:commentReference w:id="1"/>
            </w:r>
          </w:p>
          <w:p w14:paraId="213EEA71" w14:textId="77777777" w:rsidR="00A272E9" w:rsidRPr="00376609" w:rsidRDefault="00A272E9" w:rsidP="00A272E9">
            <w:r w:rsidRPr="00376609">
              <w:rPr>
                <w:b/>
                <w:bCs/>
              </w:rPr>
              <w:t>Aims:</w:t>
            </w:r>
            <w:r w:rsidRPr="00376609">
              <w:t xml:space="preserve"> To evaluate the effectiveness of supplemental PN in managing fatigue, nutritional achievement status, and physical function in adult cancer patients undergoing treatment.</w:t>
            </w:r>
          </w:p>
          <w:p w14:paraId="05B4C280" w14:textId="77777777" w:rsidR="00A272E9" w:rsidRPr="00376609" w:rsidRDefault="00A272E9" w:rsidP="00A272E9">
            <w:commentRangeStart w:id="2"/>
            <w:r w:rsidRPr="00376609">
              <w:rPr>
                <w:b/>
                <w:bCs/>
              </w:rPr>
              <w:t>Study design:</w:t>
            </w:r>
            <w:r w:rsidRPr="00376609">
              <w:t xml:space="preserve">  This was an observational case series.</w:t>
            </w:r>
            <w:commentRangeEnd w:id="2"/>
            <w:r w:rsidR="0035144C">
              <w:rPr>
                <w:rStyle w:val="CommentReference"/>
                <w:rFonts w:ascii="Times New Roman" w:hAnsi="Times New Roman"/>
                <w:lang w:val="nb-NO" w:eastAsia="nb-NO"/>
              </w:rPr>
              <w:commentReference w:id="2"/>
            </w:r>
          </w:p>
          <w:p w14:paraId="02966CFD" w14:textId="77777777" w:rsidR="00A272E9" w:rsidRPr="00376609" w:rsidRDefault="00A272E9" w:rsidP="00A272E9">
            <w:r w:rsidRPr="00376609">
              <w:rPr>
                <w:b/>
                <w:bCs/>
              </w:rPr>
              <w:t>Methodology:</w:t>
            </w:r>
            <w:r w:rsidRPr="00376609">
              <w:t xml:space="preserve"> This observational case series was aimed to evaluate the effectiveness of supplemental PN in managing fatigue, nutrition and physical functions among adult cancer patients. Eleven patients (mean age: 44.36 years) receiving specialized parenteral nutrition as part of their nutritional management during cancer treatment were included. Fatigue levels were assessed at baseline, Day 3, and Day 7 using the Cancer Fatigue Scale. Physical function was also measured using the stand-to-sit (STS) test and hand grip strength at baseline, Day 3, and Day 7. Patient’s response to PN formulation, the adverse effects and the median time to achieve full caloric intake were also evaluated.</w:t>
            </w:r>
          </w:p>
          <w:p w14:paraId="5FDFDA22" w14:textId="77777777" w:rsidR="00A272E9" w:rsidRPr="00376609" w:rsidRDefault="00A272E9" w:rsidP="00A272E9">
            <w:commentRangeStart w:id="3"/>
            <w:r w:rsidRPr="00376609">
              <w:rPr>
                <w:b/>
                <w:bCs/>
              </w:rPr>
              <w:t>Results:</w:t>
            </w:r>
            <w:r w:rsidRPr="00376609">
              <w:t xml:space="preserve"> </w:t>
            </w:r>
            <w:commentRangeEnd w:id="3"/>
            <w:r w:rsidR="00D01CCB">
              <w:rPr>
                <w:rStyle w:val="CommentReference"/>
                <w:rFonts w:ascii="Times New Roman" w:hAnsi="Times New Roman"/>
                <w:lang w:val="nb-NO" w:eastAsia="nb-NO"/>
              </w:rPr>
              <w:commentReference w:id="3"/>
            </w:r>
            <w:r w:rsidRPr="00376609">
              <w:t>A significant improvement in fatigue scores was observed</w:t>
            </w:r>
            <w:r>
              <w:t xml:space="preserve"> over time points (P=0.002), with statistical improvement</w:t>
            </w:r>
            <w:r w:rsidRPr="00376609">
              <w:t xml:space="preserve"> from baseline to Day 7 (P =0.007), indicating the positive impact of parenteral nutrition formulation on fatigue. While STS results showed no significant change, hand grip strength significantly improved from baseline to Day 7 (P =0.003), suggesting enhanced physical strength. The median time to achieve </w:t>
            </w:r>
            <w:commentRangeStart w:id="4"/>
            <w:r w:rsidRPr="00376609">
              <w:t>full caloric intake was 3 days</w:t>
            </w:r>
            <w:commentRangeEnd w:id="4"/>
            <w:r w:rsidR="0035144C">
              <w:rPr>
                <w:rStyle w:val="CommentReference"/>
                <w:rFonts w:ascii="Times New Roman" w:hAnsi="Times New Roman"/>
                <w:lang w:val="nb-NO" w:eastAsia="nb-NO"/>
              </w:rPr>
              <w:commentReference w:id="4"/>
            </w:r>
            <w:r w:rsidRPr="00376609">
              <w:t>. 72.7% rated their response to PN as “significant improvement”, while 27.3% rated it as “moderate improvement”. No adverse effects related to PN were reported.</w:t>
            </w:r>
          </w:p>
          <w:p w14:paraId="103DBBE8" w14:textId="30C18C01" w:rsidR="00505F06" w:rsidRPr="00A272E9" w:rsidRDefault="00A272E9" w:rsidP="00A272E9">
            <w:r w:rsidRPr="00376609">
              <w:rPr>
                <w:b/>
                <w:bCs/>
              </w:rPr>
              <w:t>Conclusion:</w:t>
            </w:r>
            <w:r w:rsidRPr="00376609">
              <w:t xml:space="preserve"> Supplementary parenteral nutrition was well tolerated, safely achieving full caloric intake within three days. Significant improvements in fatigue and hand grip strength demonstrate enhanced patient well-being and physical function, with no PN-related adverse events reported.</w:t>
            </w:r>
          </w:p>
        </w:tc>
      </w:tr>
    </w:tbl>
    <w:p w14:paraId="607C07EE" w14:textId="77777777" w:rsidR="00636EB2" w:rsidRDefault="00636EB2" w:rsidP="00441B6F">
      <w:pPr>
        <w:pStyle w:val="Body"/>
        <w:spacing w:after="0"/>
        <w:rPr>
          <w:rFonts w:ascii="Arial" w:hAnsi="Arial" w:cs="Arial"/>
          <w:i/>
        </w:rPr>
      </w:pPr>
    </w:p>
    <w:p w14:paraId="273DB61E" w14:textId="0609DC2F" w:rsidR="0024282C" w:rsidRDefault="00A24E7E" w:rsidP="00DC614B">
      <w:pPr>
        <w:pStyle w:val="Body"/>
        <w:spacing w:after="0"/>
        <w:rPr>
          <w:rFonts w:ascii="Arial" w:hAnsi="Arial" w:cs="Arial"/>
          <w:i/>
          <w:sz w:val="18"/>
        </w:rPr>
      </w:pPr>
      <w:r>
        <w:rPr>
          <w:rFonts w:ascii="Arial" w:hAnsi="Arial" w:cs="Arial"/>
          <w:i/>
        </w:rPr>
        <w:t>Keywords</w:t>
      </w:r>
      <w:r w:rsidRPr="005B77B8">
        <w:rPr>
          <w:rFonts w:ascii="Arial" w:hAnsi="Arial" w:cs="Arial"/>
          <w:i/>
        </w:rPr>
        <w:t xml:space="preserve">: </w:t>
      </w:r>
      <w:r w:rsidR="005B77B8" w:rsidRPr="005B77B8">
        <w:rPr>
          <w:rFonts w:ascii="Aptos" w:eastAsia="Aptos" w:hAnsi="Aptos"/>
          <w:i/>
          <w:kern w:val="2"/>
          <w:sz w:val="24"/>
          <w:szCs w:val="24"/>
          <w14:ligatures w14:val="standardContextual"/>
        </w:rPr>
        <w:t>Cancer, Parenteral nutrition, Fatigue, Physical activity, Exercise</w:t>
      </w:r>
      <w:r w:rsidR="005B77B8">
        <w:rPr>
          <w:rFonts w:ascii="Arial" w:hAnsi="Arial" w:cs="Arial"/>
          <w:i/>
        </w:rPr>
        <w:t xml:space="preserve"> </w:t>
      </w:r>
    </w:p>
    <w:p w14:paraId="0580685B" w14:textId="77777777" w:rsidR="00505F06" w:rsidRPr="00A24E7E" w:rsidRDefault="00505F06" w:rsidP="00441B6F">
      <w:pPr>
        <w:pStyle w:val="Body"/>
        <w:spacing w:after="0"/>
        <w:rPr>
          <w:rFonts w:ascii="Arial" w:hAnsi="Arial" w:cs="Arial"/>
          <w:i/>
        </w:rPr>
      </w:pPr>
    </w:p>
    <w:p w14:paraId="2A301B2A" w14:textId="6E8683B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28EE544" w14:textId="77777777" w:rsidR="00790ADA" w:rsidRPr="00FB3A86" w:rsidRDefault="00790ADA" w:rsidP="00441B6F">
      <w:pPr>
        <w:pStyle w:val="AbstHead"/>
        <w:spacing w:after="0"/>
        <w:jc w:val="both"/>
        <w:rPr>
          <w:rFonts w:ascii="Arial" w:hAnsi="Arial" w:cs="Arial"/>
        </w:rPr>
      </w:pPr>
    </w:p>
    <w:p w14:paraId="2034E58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Malnutrition is a prevalent issue among cancer patients, often exacerbated by the disease itself and the adverse effects of anticancer treatments, such as chemotherapy and </w:t>
      </w:r>
      <w:proofErr w:type="gramStart"/>
      <w:r w:rsidRPr="00402DA7">
        <w:rPr>
          <w:rFonts w:ascii="Arial" w:eastAsia="Aptos" w:hAnsi="Arial" w:cs="Arial"/>
          <w:kern w:val="2"/>
          <w14:ligatures w14:val="standardContextual"/>
        </w:rPr>
        <w:t>radiation.[</w:t>
      </w:r>
      <w:proofErr w:type="gramEnd"/>
      <w:r w:rsidRPr="00402DA7">
        <w:rPr>
          <w:rFonts w:ascii="Arial" w:eastAsia="Aptos" w:hAnsi="Arial" w:cs="Arial"/>
          <w:kern w:val="2"/>
          <w14:ligatures w14:val="standardContextual"/>
        </w:rPr>
        <w:t xml:space="preserve">1] Cancer-related malnutrition is a multi-factorial condition driven by reduced food intake, tumor-induced metabolic changes, and treatment side effects. It affects 20–80% of cancer patients, depending on cancer type and stage. [2,3] Malnutrition worsens quality of life, weakens immunity, increases treatment toxicity, and lowers survival. Chemotherapy and radiation often cause nausea, vomiting, </w:t>
      </w:r>
      <w:proofErr w:type="spellStart"/>
      <w:r w:rsidRPr="00402DA7">
        <w:rPr>
          <w:rFonts w:ascii="Arial" w:eastAsia="Aptos" w:hAnsi="Arial" w:cs="Arial"/>
          <w:kern w:val="2"/>
          <w14:ligatures w14:val="standardContextual"/>
        </w:rPr>
        <w:t>mucositis</w:t>
      </w:r>
      <w:proofErr w:type="spellEnd"/>
      <w:r w:rsidRPr="00402DA7">
        <w:rPr>
          <w:rFonts w:ascii="Arial" w:eastAsia="Aptos" w:hAnsi="Arial" w:cs="Arial"/>
          <w:kern w:val="2"/>
          <w14:ligatures w14:val="standardContextual"/>
        </w:rPr>
        <w:t xml:space="preserve">, and diarrhea, impairing nutrient intake and absorption. Additionally, cancer-related metabolic demands can trigger a catabolic state, accelerating weight loss and deepening nutritional decline [4]. While enteral nutrition (EN) is often the first line of nutritional support for patients with adequate gastrointestinal function, it is not always feasible. Enteral nutrition may be limited by factors such as: gastrointestinal obstruction, patient acceptance and inadequate nutritional intake. In cases where patients experience significant gastrointestinal distress, EN may not provide sufficient caloric or nutritional support to meet their needs. Given these limitations, there is often a need to switch to parenteral nutrition, particularly in patients who are unable to maintain adequate nutritional intake through enteral </w:t>
      </w:r>
      <w:proofErr w:type="gramStart"/>
      <w:r w:rsidRPr="00402DA7">
        <w:rPr>
          <w:rFonts w:ascii="Arial" w:eastAsia="Aptos" w:hAnsi="Arial" w:cs="Arial"/>
          <w:kern w:val="2"/>
          <w14:ligatures w14:val="standardContextual"/>
        </w:rPr>
        <w:t>routes.[</w:t>
      </w:r>
      <w:proofErr w:type="gramEnd"/>
      <w:r w:rsidRPr="00402DA7">
        <w:rPr>
          <w:rFonts w:ascii="Arial" w:eastAsia="Aptos" w:hAnsi="Arial" w:cs="Arial"/>
          <w:kern w:val="2"/>
          <w14:ligatures w14:val="standardContextual"/>
        </w:rPr>
        <w:t>5]</w:t>
      </w:r>
    </w:p>
    <w:p w14:paraId="285644AF"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Parenteral nutrition (PN) involves the intravenous administration of nutrients, bypassing the gastrointestinal tract entirely. Studies have demonstrated the clinical benefits of supplemental parenteral nutrition in cancer patients. For instance, PN can help stabilize nutritional status, improve functional outcomes, and enhance </w:t>
      </w:r>
      <w:proofErr w:type="spellStart"/>
      <w:r w:rsidRPr="00402DA7">
        <w:rPr>
          <w:rFonts w:ascii="Arial" w:eastAsia="Aptos" w:hAnsi="Arial" w:cs="Arial"/>
          <w:kern w:val="2"/>
          <w14:ligatures w14:val="standardContextual"/>
        </w:rPr>
        <w:t>QoL</w:t>
      </w:r>
      <w:proofErr w:type="spellEnd"/>
      <w:r w:rsidRPr="00402DA7">
        <w:rPr>
          <w:rFonts w:ascii="Arial" w:eastAsia="Aptos" w:hAnsi="Arial" w:cs="Arial"/>
          <w:kern w:val="2"/>
          <w14:ligatures w14:val="standardContextual"/>
        </w:rPr>
        <w:t xml:space="preserve"> in patients who cannot tolerate EN. [1,6,7] </w:t>
      </w:r>
    </w:p>
    <w:p w14:paraId="1095C2D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Cancer-related fatigue is a debilitating condition that affects many cancer patients, often persisting long after treatment has ended. This fatigue is not only a result of the cancer itself but is also exacerbated by the side effects of treatments such as chemotherapy and radiation. Nutritional deficiencies and metabolic changes associated with cancer can further contribute to this fatigue, making effective nutritional management crucial for improving patient </w:t>
      </w:r>
      <w:proofErr w:type="gramStart"/>
      <w:r w:rsidRPr="00402DA7">
        <w:rPr>
          <w:rFonts w:ascii="Arial" w:eastAsia="Aptos" w:hAnsi="Arial" w:cs="Arial"/>
          <w:kern w:val="2"/>
          <w14:ligatures w14:val="standardContextual"/>
        </w:rPr>
        <w:t>outcomes.[</w:t>
      </w:r>
      <w:proofErr w:type="gramEnd"/>
      <w:r w:rsidRPr="00402DA7">
        <w:rPr>
          <w:rFonts w:ascii="Arial" w:eastAsia="Aptos" w:hAnsi="Arial" w:cs="Arial"/>
          <w:kern w:val="2"/>
          <w14:ligatures w14:val="standardContextual"/>
        </w:rPr>
        <w:t>8]</w:t>
      </w:r>
    </w:p>
    <w:p w14:paraId="5C60A711"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PN formulation provides a balanced mixture of amino acids, glucose, and lipids, including both medium-chain triglycerides (MCTs) and long-chain triglycerides (LCTs</w:t>
      </w:r>
      <w:proofErr w:type="gramStart"/>
      <w:r w:rsidRPr="00402DA7">
        <w:rPr>
          <w:rFonts w:ascii="Arial" w:eastAsia="Aptos" w:hAnsi="Arial" w:cs="Arial"/>
          <w:kern w:val="2"/>
          <w14:ligatures w14:val="standardContextual"/>
        </w:rPr>
        <w:t>).[</w:t>
      </w:r>
      <w:proofErr w:type="gramEnd"/>
      <w:r w:rsidRPr="00402DA7">
        <w:rPr>
          <w:rFonts w:ascii="Arial" w:eastAsia="Aptos" w:hAnsi="Arial" w:cs="Arial"/>
          <w:kern w:val="2"/>
          <w14:ligatures w14:val="standardContextual"/>
        </w:rPr>
        <w:t xml:space="preserve">9] In this context, PN may provide a comprehensive solution by delivering essential nutrients that can help mitigate fatigue while supporting overall nutritional status. The combination of amino acids, carbohydrates, and lipids in this formulation is designed to enhance energy levels and improve the fatigue and physical functions in cancer patients. However, there is a scarcity of data regarding its utility and effectiveness in the existing literature. </w:t>
      </w:r>
    </w:p>
    <w:p w14:paraId="02F625C6" w14:textId="77777777" w:rsidR="00402DA7" w:rsidRPr="00402DA7" w:rsidRDefault="00402DA7" w:rsidP="00402DA7">
      <w:pPr>
        <w:spacing w:after="160" w:line="278" w:lineRule="auto"/>
        <w:rPr>
          <w:rFonts w:ascii="Arial" w:eastAsia="Aptos" w:hAnsi="Arial" w:cs="Arial"/>
          <w:kern w:val="2"/>
          <w:sz w:val="24"/>
          <w:szCs w:val="24"/>
          <w14:ligatures w14:val="standardContextual"/>
        </w:rPr>
      </w:pPr>
      <w:r w:rsidRPr="00402DA7">
        <w:rPr>
          <w:rFonts w:ascii="Arial" w:eastAsia="Aptos" w:hAnsi="Arial" w:cs="Arial"/>
          <w:kern w:val="2"/>
          <w14:ligatures w14:val="standardContextual"/>
        </w:rPr>
        <w:t xml:space="preserve">Therefore, this case series study aimed to evaluate the impact of supplemental PN on fatigue, physical function, and time to reach the desired caloric intake in adult cancer patients. Additionally, </w:t>
      </w:r>
      <w:commentRangeStart w:id="5"/>
      <w:r w:rsidRPr="00402DA7">
        <w:rPr>
          <w:rFonts w:ascii="Arial" w:eastAsia="Aptos" w:hAnsi="Arial" w:cs="Arial"/>
          <w:kern w:val="2"/>
          <w14:ligatures w14:val="standardContextual"/>
        </w:rPr>
        <w:t xml:space="preserve">adverse events </w:t>
      </w:r>
      <w:commentRangeEnd w:id="5"/>
      <w:r w:rsidR="0035144C">
        <w:rPr>
          <w:rStyle w:val="CommentReference"/>
          <w:rFonts w:ascii="Times New Roman" w:hAnsi="Times New Roman"/>
          <w:lang w:val="nb-NO" w:eastAsia="nb-NO"/>
        </w:rPr>
        <w:commentReference w:id="5"/>
      </w:r>
      <w:r w:rsidRPr="00402DA7">
        <w:rPr>
          <w:rFonts w:ascii="Arial" w:eastAsia="Aptos" w:hAnsi="Arial" w:cs="Arial"/>
          <w:kern w:val="2"/>
          <w14:ligatures w14:val="standardContextual"/>
        </w:rPr>
        <w:t>related to PN supplementation were assessed.</w:t>
      </w:r>
    </w:p>
    <w:p w14:paraId="631EBA58" w14:textId="77777777" w:rsidR="00402DA7" w:rsidRDefault="00402DA7" w:rsidP="006C5AB5">
      <w:pPr>
        <w:pStyle w:val="Body"/>
        <w:spacing w:after="0"/>
        <w:rPr>
          <w:rFonts w:ascii="Arial" w:hAnsi="Arial" w:cs="Arial"/>
        </w:rPr>
      </w:pPr>
    </w:p>
    <w:p w14:paraId="544C19A6" w14:textId="77777777" w:rsidR="006C5AB5" w:rsidRPr="00FB3A86" w:rsidRDefault="006C5AB5" w:rsidP="006C5AB5">
      <w:pPr>
        <w:pStyle w:val="Body"/>
        <w:spacing w:after="0"/>
        <w:rPr>
          <w:rFonts w:ascii="Arial" w:hAnsi="Arial" w:cs="Arial"/>
        </w:rPr>
      </w:pPr>
    </w:p>
    <w:p w14:paraId="2D0D901B" w14:textId="4D5017B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61621D" w14:textId="77777777" w:rsidR="00837254" w:rsidRDefault="00837254" w:rsidP="00441B6F">
      <w:pPr>
        <w:pStyle w:val="Body"/>
        <w:spacing w:after="0"/>
        <w:rPr>
          <w:rFonts w:ascii="Arial" w:eastAsia="Calibri" w:hAnsi="Arial" w:cs="Arial"/>
          <w:szCs w:val="22"/>
        </w:rPr>
      </w:pPr>
    </w:p>
    <w:p w14:paraId="266A1320"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Study design:</w:t>
      </w:r>
      <w:r w:rsidRPr="00402DA7">
        <w:rPr>
          <w:rFonts w:ascii="Arial" w:eastAsia="Aptos" w:hAnsi="Arial" w:cs="Arial"/>
          <w:kern w:val="2"/>
          <w14:ligatures w14:val="standardContextual"/>
        </w:rPr>
        <w:t xml:space="preserve"> </w:t>
      </w:r>
      <w:commentRangeStart w:id="6"/>
      <w:r w:rsidRPr="00402DA7">
        <w:rPr>
          <w:rFonts w:ascii="Arial" w:eastAsia="Aptos" w:hAnsi="Arial" w:cs="Arial"/>
          <w:kern w:val="2"/>
          <w14:ligatures w14:val="standardContextual"/>
        </w:rPr>
        <w:t>This was observational case series.</w:t>
      </w:r>
      <w:commentRangeEnd w:id="6"/>
      <w:r w:rsidR="00D01CCB">
        <w:rPr>
          <w:rStyle w:val="CommentReference"/>
          <w:rFonts w:ascii="Times New Roman" w:hAnsi="Times New Roman"/>
          <w:lang w:val="nb-NO" w:eastAsia="nb-NO"/>
        </w:rPr>
        <w:commentReference w:id="6"/>
      </w:r>
    </w:p>
    <w:p w14:paraId="4E6C7204" w14:textId="77777777" w:rsidR="00402DA7" w:rsidRPr="00402DA7" w:rsidRDefault="00402DA7" w:rsidP="00402DA7">
      <w:pPr>
        <w:spacing w:after="160" w:line="278" w:lineRule="auto"/>
        <w:rPr>
          <w:rFonts w:ascii="Arial" w:eastAsia="Aptos" w:hAnsi="Arial" w:cs="Arial"/>
          <w:kern w:val="2"/>
          <w14:ligatures w14:val="standardContextual"/>
        </w:rPr>
      </w:pPr>
      <w:commentRangeStart w:id="7"/>
      <w:r w:rsidRPr="00402DA7">
        <w:rPr>
          <w:rFonts w:ascii="Arial" w:eastAsia="Aptos" w:hAnsi="Arial" w:cs="Arial"/>
          <w:b/>
          <w:bCs/>
          <w:kern w:val="2"/>
          <w14:ligatures w14:val="standardContextual"/>
        </w:rPr>
        <w:lastRenderedPageBreak/>
        <w:t>Study population:</w:t>
      </w:r>
      <w:r w:rsidRPr="00402DA7">
        <w:rPr>
          <w:rFonts w:ascii="Arial" w:eastAsia="Aptos" w:hAnsi="Arial" w:cs="Arial"/>
          <w:kern w:val="2"/>
          <w14:ligatures w14:val="standardContextual"/>
        </w:rPr>
        <w:t xml:space="preserve"> Cancer patients</w:t>
      </w:r>
      <w:commentRangeEnd w:id="7"/>
      <w:r w:rsidR="00D01CCB">
        <w:rPr>
          <w:rStyle w:val="CommentReference"/>
          <w:rFonts w:ascii="Times New Roman" w:hAnsi="Times New Roman"/>
          <w:lang w:val="nb-NO" w:eastAsia="nb-NO"/>
        </w:rPr>
        <w:commentReference w:id="7"/>
      </w:r>
    </w:p>
    <w:p w14:paraId="315ED08E" w14:textId="77777777" w:rsidR="00402DA7" w:rsidRPr="00402DA7" w:rsidRDefault="00402DA7" w:rsidP="00402DA7">
      <w:pPr>
        <w:spacing w:after="160" w:line="278" w:lineRule="auto"/>
        <w:rPr>
          <w:rFonts w:ascii="Arial" w:eastAsia="Aptos" w:hAnsi="Arial" w:cs="Arial"/>
          <w:kern w:val="2"/>
          <w14:ligatures w14:val="standardContextual"/>
        </w:rPr>
      </w:pPr>
      <w:commentRangeStart w:id="8"/>
      <w:r w:rsidRPr="00402DA7">
        <w:rPr>
          <w:rFonts w:ascii="Arial" w:eastAsia="Aptos" w:hAnsi="Arial" w:cs="Arial"/>
          <w:b/>
          <w:bCs/>
          <w:kern w:val="2"/>
          <w14:ligatures w14:val="standardContextual"/>
        </w:rPr>
        <w:t>Inclusion criteria:</w:t>
      </w:r>
      <w:r w:rsidRPr="00402DA7">
        <w:rPr>
          <w:rFonts w:ascii="Arial" w:eastAsia="Aptos" w:hAnsi="Arial" w:cs="Arial"/>
          <w:kern w:val="2"/>
          <w14:ligatures w14:val="standardContextual"/>
        </w:rPr>
        <w:t xml:space="preserve"> Adult Patients&gt; 18 years, either gender and diagnosed with any cancer, who were eligible to receive parenteral nutrition as per the dietician risk assessment during their cancer treatment.</w:t>
      </w:r>
      <w:commentRangeEnd w:id="8"/>
      <w:r w:rsidR="00D01CCB">
        <w:rPr>
          <w:rStyle w:val="CommentReference"/>
          <w:rFonts w:ascii="Times New Roman" w:hAnsi="Times New Roman"/>
          <w:lang w:val="nb-NO" w:eastAsia="nb-NO"/>
        </w:rPr>
        <w:commentReference w:id="8"/>
      </w:r>
    </w:p>
    <w:p w14:paraId="1D73ADE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Exclusion criteria:</w:t>
      </w:r>
      <w:r w:rsidRPr="00402DA7">
        <w:rPr>
          <w:rFonts w:ascii="Arial" w:eastAsia="Aptos" w:hAnsi="Arial" w:cs="Arial"/>
          <w:kern w:val="2"/>
          <w14:ligatures w14:val="standardContextual"/>
        </w:rPr>
        <w:t xml:space="preserve"> Patients&gt;65 years, Patients not willing to participate and consent and patients have allergic to the PN compounds.</w:t>
      </w:r>
    </w:p>
    <w:p w14:paraId="79E35A5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Patients fulfilling the eligibility criteria, were enrolled and their baseline characteristics and clinical diagnosis, nutrition status, fatigue levels, physical function and clinical parameters were recorded at baseline, day3 and day 7. As per the nutritional risk assessment and the total calories requirement, the infusion of PN was administered to the patients.</w:t>
      </w:r>
    </w:p>
    <w:p w14:paraId="220DE39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following endpoints were evaluated to assess the beneficial effects of supplemental parenteral nutrition over a one-week period:</w:t>
      </w:r>
    </w:p>
    <w:p w14:paraId="09E1215A"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a) </w:t>
      </w:r>
      <w:r w:rsidRPr="00402DA7">
        <w:rPr>
          <w:rFonts w:ascii="Arial" w:eastAsia="Aptos" w:hAnsi="Arial" w:cs="Arial"/>
          <w:b/>
          <w:bCs/>
          <w:kern w:val="2"/>
          <w14:ligatures w14:val="standardContextual"/>
        </w:rPr>
        <w:t>Change in Fatigue Levels:</w:t>
      </w:r>
    </w:p>
    <w:p w14:paraId="1CC93916"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Fatigue was assessed using the Cancer Fatigue </w:t>
      </w:r>
      <w:proofErr w:type="gramStart"/>
      <w:r w:rsidRPr="00402DA7">
        <w:rPr>
          <w:rFonts w:ascii="Arial" w:eastAsia="Aptos" w:hAnsi="Arial" w:cs="Arial"/>
          <w:kern w:val="2"/>
          <w14:ligatures w14:val="standardContextual"/>
        </w:rPr>
        <w:t>Scale.[</w:t>
      </w:r>
      <w:proofErr w:type="gramEnd"/>
      <w:r w:rsidRPr="00402DA7">
        <w:rPr>
          <w:rFonts w:ascii="Arial" w:eastAsia="Aptos" w:hAnsi="Arial" w:cs="Arial"/>
          <w:kern w:val="2"/>
          <w14:ligatures w14:val="standardContextual"/>
        </w:rPr>
        <w:t>10] Changes in scores were calculated from baseline to day 3 and day 7 to evaluate the impact of nutritional intervention on fatigue status.</w:t>
      </w:r>
    </w:p>
    <w:p w14:paraId="6E9FCE17" w14:textId="77777777" w:rsidR="00402DA7" w:rsidRPr="00402DA7" w:rsidRDefault="00402DA7" w:rsidP="00402DA7">
      <w:pPr>
        <w:spacing w:after="160" w:line="278" w:lineRule="auto"/>
        <w:rPr>
          <w:rFonts w:ascii="Arial" w:eastAsia="Aptos" w:hAnsi="Arial" w:cs="Arial"/>
          <w:b/>
          <w:bCs/>
          <w:kern w:val="2"/>
          <w14:ligatures w14:val="standardContextual"/>
        </w:rPr>
      </w:pPr>
      <w:r w:rsidRPr="00402DA7">
        <w:rPr>
          <w:rFonts w:ascii="Arial" w:eastAsia="Aptos" w:hAnsi="Arial" w:cs="Arial"/>
          <w:kern w:val="2"/>
          <w14:ligatures w14:val="standardContextual"/>
        </w:rPr>
        <w:t xml:space="preserve">b) </w:t>
      </w:r>
      <w:r w:rsidRPr="00402DA7">
        <w:rPr>
          <w:rFonts w:ascii="Arial" w:eastAsia="Aptos" w:hAnsi="Arial" w:cs="Arial"/>
          <w:b/>
          <w:bCs/>
          <w:kern w:val="2"/>
          <w14:ligatures w14:val="standardContextual"/>
        </w:rPr>
        <w:t>Change in Muscular Strength – Handgrip Strength:</w:t>
      </w:r>
    </w:p>
    <w:p w14:paraId="03B2450A"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Handgrip strength was measured using a dynamometer at baseline and on day 7 to assess changes in muscular strength following PN supplementation.</w:t>
      </w:r>
    </w:p>
    <w:p w14:paraId="690F4DB2"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c) </w:t>
      </w:r>
      <w:r w:rsidRPr="00402DA7">
        <w:rPr>
          <w:rFonts w:ascii="Arial" w:eastAsia="Aptos" w:hAnsi="Arial" w:cs="Arial"/>
          <w:b/>
          <w:bCs/>
          <w:kern w:val="2"/>
          <w14:ligatures w14:val="standardContextual"/>
        </w:rPr>
        <w:t>Change in Physical Endurance – Sit-to-Stand (STS) Test:</w:t>
      </w:r>
    </w:p>
    <w:p w14:paraId="0B24A74B"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STS test was used to evaluate changes in physical endurance. Performance times were recorded at baseline and after one week of PN intervention.</w:t>
      </w:r>
    </w:p>
    <w:p w14:paraId="1832A4DE"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d) </w:t>
      </w:r>
      <w:r w:rsidRPr="00402DA7">
        <w:rPr>
          <w:rFonts w:ascii="Arial" w:eastAsia="Aptos" w:hAnsi="Arial" w:cs="Arial"/>
          <w:b/>
          <w:bCs/>
          <w:kern w:val="2"/>
          <w14:ligatures w14:val="standardContextual"/>
        </w:rPr>
        <w:t>Nutritional Intake Achievement:</w:t>
      </w:r>
    </w:p>
    <w:p w14:paraId="69EB8A1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The </w:t>
      </w:r>
      <w:commentRangeStart w:id="9"/>
      <w:r w:rsidRPr="00402DA7">
        <w:rPr>
          <w:rFonts w:ascii="Arial" w:eastAsia="Aptos" w:hAnsi="Arial" w:cs="Arial"/>
          <w:kern w:val="2"/>
          <w14:ligatures w14:val="standardContextual"/>
        </w:rPr>
        <w:t>median</w:t>
      </w:r>
      <w:commentRangeEnd w:id="9"/>
      <w:r w:rsidR="00D01CCB">
        <w:rPr>
          <w:rStyle w:val="CommentReference"/>
          <w:rFonts w:ascii="Times New Roman" w:hAnsi="Times New Roman"/>
          <w:lang w:val="nb-NO" w:eastAsia="nb-NO"/>
        </w:rPr>
        <w:commentReference w:id="9"/>
      </w:r>
      <w:r w:rsidRPr="00402DA7">
        <w:rPr>
          <w:rFonts w:ascii="Arial" w:eastAsia="Aptos" w:hAnsi="Arial" w:cs="Arial"/>
          <w:kern w:val="2"/>
          <w14:ligatures w14:val="standardContextual"/>
        </w:rPr>
        <w:t xml:space="preserve"> number of days required to achieve the prescribed caloric intake was calculated. The total volume of PN administered was also </w:t>
      </w:r>
      <w:commentRangeStart w:id="10"/>
      <w:r w:rsidRPr="00402DA7">
        <w:rPr>
          <w:rFonts w:ascii="Arial" w:eastAsia="Aptos" w:hAnsi="Arial" w:cs="Arial"/>
          <w:kern w:val="2"/>
          <w14:ligatures w14:val="standardContextual"/>
        </w:rPr>
        <w:t>recorded</w:t>
      </w:r>
      <w:commentRangeEnd w:id="10"/>
      <w:r w:rsidR="00D01CCB">
        <w:rPr>
          <w:rStyle w:val="CommentReference"/>
          <w:rFonts w:ascii="Times New Roman" w:hAnsi="Times New Roman"/>
          <w:lang w:val="nb-NO" w:eastAsia="nb-NO"/>
        </w:rPr>
        <w:commentReference w:id="10"/>
      </w:r>
    </w:p>
    <w:p w14:paraId="0C1DDCCB"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e) </w:t>
      </w:r>
      <w:r w:rsidRPr="00402DA7">
        <w:rPr>
          <w:rFonts w:ascii="Arial" w:eastAsia="Aptos" w:hAnsi="Arial" w:cs="Arial"/>
          <w:b/>
          <w:bCs/>
          <w:kern w:val="2"/>
          <w14:ligatures w14:val="standardContextual"/>
        </w:rPr>
        <w:t>Patient Response to PN:</w:t>
      </w:r>
    </w:p>
    <w:p w14:paraId="70AC06F3"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On day 7, patient response to supplemental PN was assessed by investigators using a standardized Likert scale ranging from no improvement to significant improvement. This method provided a consistent and objective measure of overall patient response to PN.</w:t>
      </w:r>
    </w:p>
    <w:p w14:paraId="129382C1"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f)</w:t>
      </w:r>
      <w:r w:rsidRPr="00402DA7">
        <w:rPr>
          <w:rFonts w:ascii="Arial" w:eastAsia="Aptos" w:hAnsi="Arial" w:cs="Arial"/>
          <w:b/>
          <w:bCs/>
          <w:kern w:val="2"/>
          <w14:ligatures w14:val="standardContextual"/>
        </w:rPr>
        <w:t xml:space="preserve"> Safety Assessment:</w:t>
      </w:r>
    </w:p>
    <w:p w14:paraId="400BDDEF"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Adverse events and serious adverse events related to parenteral nutrition were monitored throughout the study and noted.</w:t>
      </w:r>
    </w:p>
    <w:p w14:paraId="2E471884" w14:textId="4EEAD73D" w:rsidR="00790ADA" w:rsidRPr="00956545" w:rsidRDefault="00402DA7" w:rsidP="00402DA7">
      <w:pPr>
        <w:pStyle w:val="Body"/>
        <w:spacing w:after="0"/>
        <w:rPr>
          <w:rFonts w:ascii="Arial" w:eastAsia="Aptos" w:hAnsi="Arial" w:cs="Arial"/>
          <w:kern w:val="2"/>
          <w14:ligatures w14:val="standardContextual"/>
        </w:rPr>
      </w:pPr>
      <w:r w:rsidRPr="00956545">
        <w:rPr>
          <w:rFonts w:ascii="Arial" w:eastAsia="Aptos" w:hAnsi="Arial" w:cs="Arial"/>
          <w:kern w:val="2"/>
          <w14:ligatures w14:val="standardContextual"/>
        </w:rPr>
        <w:t xml:space="preserve">The Statistical Package for the Social Sciences (IBM SPSS Statistics for Windows, Version 21.0) was used to perform the statistical study. Actual numbers, percentages, means with standard deviations (SD), and medians with interquartile ranges (IQR) were among the descriptive statistics utilized to summarize the data. The normality of </w:t>
      </w:r>
      <w:proofErr w:type="gramStart"/>
      <w:r w:rsidRPr="00956545">
        <w:rPr>
          <w:rFonts w:ascii="Arial" w:eastAsia="Aptos" w:hAnsi="Arial" w:cs="Arial"/>
          <w:kern w:val="2"/>
          <w14:ligatures w14:val="standardContextual"/>
        </w:rPr>
        <w:t>data  was</w:t>
      </w:r>
      <w:proofErr w:type="gramEnd"/>
      <w:r w:rsidRPr="00956545">
        <w:rPr>
          <w:rFonts w:ascii="Arial" w:eastAsia="Aptos" w:hAnsi="Arial" w:cs="Arial"/>
          <w:kern w:val="2"/>
          <w14:ligatures w14:val="standardContextual"/>
        </w:rPr>
        <w:t xml:space="preserve"> evaluated </w:t>
      </w:r>
      <w:r w:rsidRPr="00956545">
        <w:rPr>
          <w:rFonts w:ascii="Arial" w:eastAsia="Aptos" w:hAnsi="Arial" w:cs="Arial"/>
          <w:kern w:val="2"/>
          <w14:ligatures w14:val="standardContextual"/>
        </w:rPr>
        <w:lastRenderedPageBreak/>
        <w:t>using  Kolmogorov–Smirnov test. Changes from baseline were examined using repeated-measures ANOVA (R-ANOVA) or paired t-tests for normally distributed continuous variables. The Wilcoxon Signed Ranks Test was applied to paired comparisons of non-normally distributed data. Statistical significance was defined as a P-value of less than 0.05.</w:t>
      </w:r>
    </w:p>
    <w:p w14:paraId="22502D62" w14:textId="77777777" w:rsidR="00956545" w:rsidRPr="00FB3A86" w:rsidRDefault="00956545" w:rsidP="00402DA7">
      <w:pPr>
        <w:pStyle w:val="Body"/>
        <w:spacing w:after="0"/>
        <w:rPr>
          <w:rFonts w:ascii="Arial" w:hAnsi="Arial" w:cs="Arial"/>
        </w:rPr>
      </w:pPr>
    </w:p>
    <w:p w14:paraId="7884517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24CB14" w14:textId="20F28865" w:rsidR="005F3D93" w:rsidRDefault="005F3D93" w:rsidP="00441B6F">
      <w:pPr>
        <w:pStyle w:val="Body"/>
        <w:spacing w:after="0"/>
        <w:rPr>
          <w:rFonts w:ascii="Arial" w:hAnsi="Arial" w:cs="Arial"/>
        </w:rPr>
      </w:pPr>
    </w:p>
    <w:p w14:paraId="75B47143" w14:textId="749636DD" w:rsidR="00A02A89" w:rsidRDefault="005F3D93" w:rsidP="005F3D93">
      <w:pPr>
        <w:pStyle w:val="Body"/>
        <w:rPr>
          <w:rFonts w:ascii="Arial" w:hAnsi="Arial" w:cs="Arial"/>
        </w:rPr>
      </w:pPr>
      <w:commentRangeStart w:id="11"/>
      <w:r w:rsidRPr="005F3D93">
        <w:rPr>
          <w:rFonts w:ascii="Arial" w:hAnsi="Arial" w:cs="Arial"/>
        </w:rPr>
        <w:t xml:space="preserve">This was a pilot study, </w:t>
      </w:r>
      <w:commentRangeEnd w:id="11"/>
      <w:r w:rsidR="00D01CCB">
        <w:rPr>
          <w:rStyle w:val="CommentReference"/>
          <w:rFonts w:ascii="Times New Roman" w:hAnsi="Times New Roman"/>
          <w:lang w:val="nb-NO" w:eastAsia="nb-NO"/>
        </w:rPr>
        <w:commentReference w:id="11"/>
      </w:r>
      <w:r w:rsidRPr="005F3D93">
        <w:rPr>
          <w:rFonts w:ascii="Arial" w:hAnsi="Arial" w:cs="Arial"/>
        </w:rPr>
        <w:t xml:space="preserve">a total of </w:t>
      </w:r>
      <w:commentRangeStart w:id="12"/>
      <w:r w:rsidRPr="005F3D93">
        <w:rPr>
          <w:rFonts w:ascii="Arial" w:hAnsi="Arial" w:cs="Arial"/>
        </w:rPr>
        <w:t>11 pa</w:t>
      </w:r>
      <w:r w:rsidR="00142FEC">
        <w:rPr>
          <w:rFonts w:ascii="Arial" w:hAnsi="Arial" w:cs="Arial"/>
        </w:rPr>
        <w:t xml:space="preserve">tients </w:t>
      </w:r>
      <w:commentRangeEnd w:id="12"/>
      <w:r w:rsidR="00D01CCB">
        <w:rPr>
          <w:rStyle w:val="CommentReference"/>
          <w:rFonts w:ascii="Times New Roman" w:hAnsi="Times New Roman"/>
          <w:lang w:val="nb-NO" w:eastAsia="nb-NO"/>
        </w:rPr>
        <w:commentReference w:id="12"/>
      </w:r>
      <w:r w:rsidR="00142FEC">
        <w:rPr>
          <w:rFonts w:ascii="Arial" w:hAnsi="Arial" w:cs="Arial"/>
        </w:rPr>
        <w:t xml:space="preserve">who had received </w:t>
      </w:r>
      <w:r w:rsidR="00EF48F6">
        <w:rPr>
          <w:rFonts w:ascii="Arial" w:hAnsi="Arial" w:cs="Arial"/>
        </w:rPr>
        <w:t xml:space="preserve">PN </w:t>
      </w:r>
      <w:r w:rsidR="00EF48F6" w:rsidRPr="005F3D93">
        <w:rPr>
          <w:rFonts w:ascii="Arial" w:hAnsi="Arial" w:cs="Arial"/>
        </w:rPr>
        <w:t>were</w:t>
      </w:r>
      <w:r w:rsidRPr="005F3D93">
        <w:rPr>
          <w:rFonts w:ascii="Arial" w:hAnsi="Arial" w:cs="Arial"/>
        </w:rPr>
        <w:t xml:space="preserve"> analyzed. </w:t>
      </w:r>
    </w:p>
    <w:p w14:paraId="5E02E411" w14:textId="0E7DFE2A" w:rsidR="00A02A89" w:rsidRPr="00A02A89" w:rsidRDefault="00A02A89" w:rsidP="005F3D93">
      <w:pPr>
        <w:pStyle w:val="Body"/>
        <w:rPr>
          <w:rFonts w:ascii="Arial" w:hAnsi="Arial" w:cs="Arial"/>
          <w:b/>
          <w:bCs/>
        </w:rPr>
      </w:pPr>
      <w:r w:rsidRPr="00A02A89">
        <w:rPr>
          <w:rFonts w:ascii="Arial" w:hAnsi="Arial" w:cs="Arial"/>
          <w:b/>
          <w:bCs/>
        </w:rPr>
        <w:t>3.1 Baseline characteristics</w:t>
      </w:r>
    </w:p>
    <w:p w14:paraId="5372C7DC" w14:textId="77777777" w:rsidR="00D860B5" w:rsidRPr="00D860B5" w:rsidRDefault="00D860B5" w:rsidP="00D860B5">
      <w:pPr>
        <w:pStyle w:val="Body"/>
        <w:rPr>
          <w:rFonts w:ascii="Arial" w:hAnsi="Arial" w:cs="Arial"/>
        </w:rPr>
      </w:pPr>
      <w:r w:rsidRPr="00D860B5">
        <w:rPr>
          <w:rFonts w:ascii="Arial" w:hAnsi="Arial" w:cs="Arial"/>
        </w:rPr>
        <w:t>The mean age of the participants was 61± 16.36 years with a median of 62 (IQR-12) years. Out of 11 participants, 6 were female (54.55%) and 5 were male (45.45%), resulting in a female-to-male ratio of 1.2:1. Majority (81.82%) of the participants had gastrointestinal (GIT) malignancies, while non-GIT malignancies accounted for 18.2%.  Majority of the participants were in stage 4 (54.55%), followed by stage 3 (27.27%), and stage 2 (18.18%). [Table 1]</w:t>
      </w:r>
    </w:p>
    <w:p w14:paraId="7E5CF68F" w14:textId="7DB0089A" w:rsidR="00790ADA" w:rsidRDefault="00D860B5" w:rsidP="00D860B5">
      <w:pPr>
        <w:pStyle w:val="Body"/>
        <w:spacing w:after="0"/>
        <w:rPr>
          <w:rFonts w:ascii="Arial" w:hAnsi="Arial" w:cs="Arial"/>
        </w:rPr>
      </w:pPr>
      <w:r w:rsidRPr="00D860B5">
        <w:rPr>
          <w:rFonts w:ascii="Arial" w:hAnsi="Arial" w:cs="Arial"/>
        </w:rPr>
        <w:t>The mean basal metabolic rate (BMR) of the participants was 1327.27±144.91, with a median of 1300 (IQR-300). Based on nutrition risk stratification, 45.45% of individuals were identified as high risk, 36.36% as moderate risk, and 18.18% as low risk. The baseline assessments revealed a mean fatigue score of 44.36 ± 15.68, mean handgrip strength of 9.45 ± 5.61 kg, and an average stand-to-sit test time of 21.63 ± 6.12 seconds.</w:t>
      </w:r>
    </w:p>
    <w:p w14:paraId="6546FBFF" w14:textId="77777777" w:rsidR="00D860B5" w:rsidRDefault="00D860B5" w:rsidP="00D860B5">
      <w:pPr>
        <w:pStyle w:val="Body"/>
        <w:spacing w:after="0"/>
        <w:rPr>
          <w:rFonts w:ascii="Arial" w:hAnsi="Arial" w:cs="Arial"/>
        </w:rPr>
      </w:pPr>
    </w:p>
    <w:p w14:paraId="4F6BDA3D" w14:textId="34C72D3F" w:rsidR="00863BD3" w:rsidRPr="00A02A89" w:rsidRDefault="009500A6" w:rsidP="00C00B90">
      <w:pPr>
        <w:spacing w:line="480" w:lineRule="auto"/>
        <w:rPr>
          <w:rFonts w:ascii="Arial" w:hAnsi="Arial" w:cs="Arial"/>
        </w:rPr>
      </w:pPr>
      <w:r w:rsidRPr="00A02A89">
        <w:rPr>
          <w:rFonts w:ascii="Arial" w:hAnsi="Arial" w:cs="Arial"/>
          <w:b/>
        </w:rPr>
        <w:t>Table</w:t>
      </w:r>
      <w:r w:rsidR="00C00B90" w:rsidRPr="00A02A89">
        <w:rPr>
          <w:rFonts w:ascii="Arial" w:hAnsi="Arial" w:cs="Arial"/>
          <w:b/>
        </w:rPr>
        <w:t xml:space="preserve"> 1. </w:t>
      </w:r>
      <w:r w:rsidR="00C00B90" w:rsidRPr="00A02A89">
        <w:rPr>
          <w:rFonts w:ascii="Arial" w:hAnsi="Arial" w:cs="Arial"/>
          <w:b/>
          <w:bCs/>
        </w:rPr>
        <w:t>Baseline characteristics and parameters</w:t>
      </w:r>
    </w:p>
    <w:p w14:paraId="77A02D99" w14:textId="77777777" w:rsidR="00863BD3" w:rsidRPr="00A02A89" w:rsidRDefault="00863BD3" w:rsidP="00441B6F">
      <w:pPr>
        <w:tabs>
          <w:tab w:val="left" w:pos="1080"/>
        </w:tabs>
        <w:jc w:val="both"/>
        <w:rPr>
          <w:rFonts w:ascii="Arial" w:hAnsi="Arial" w:cs="Arial"/>
          <w:b/>
        </w:rPr>
      </w:pPr>
    </w:p>
    <w:tbl>
      <w:tblPr>
        <w:tblStyle w:val="PlainTable2"/>
        <w:tblW w:w="0" w:type="auto"/>
        <w:tblLook w:val="04A0" w:firstRow="1" w:lastRow="0" w:firstColumn="1" w:lastColumn="0" w:noHBand="0" w:noVBand="1"/>
      </w:tblPr>
      <w:tblGrid>
        <w:gridCol w:w="893"/>
        <w:gridCol w:w="3134"/>
        <w:gridCol w:w="2048"/>
        <w:gridCol w:w="2133"/>
      </w:tblGrid>
      <w:tr w:rsidR="00BD41AA" w:rsidRPr="00A02A89" w14:paraId="10B820D5" w14:textId="77777777" w:rsidTr="00BD4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E1D1272" w14:textId="77777777" w:rsidR="00BD41AA" w:rsidRPr="00A02A89" w:rsidRDefault="00BD41AA" w:rsidP="00CC0D28">
            <w:pPr>
              <w:spacing w:line="480" w:lineRule="auto"/>
              <w:rPr>
                <w:rFonts w:ascii="Arial" w:hAnsi="Arial" w:cs="Arial"/>
              </w:rPr>
            </w:pPr>
            <w:proofErr w:type="spellStart"/>
            <w:r w:rsidRPr="00A02A89">
              <w:rPr>
                <w:rFonts w:ascii="Arial" w:hAnsi="Arial" w:cs="Arial"/>
              </w:rPr>
              <w:t>Sr</w:t>
            </w:r>
            <w:proofErr w:type="spellEnd"/>
          </w:p>
        </w:tc>
        <w:tc>
          <w:tcPr>
            <w:tcW w:w="5774" w:type="dxa"/>
            <w:gridSpan w:val="2"/>
          </w:tcPr>
          <w:p w14:paraId="2C5975E2" w14:textId="77777777" w:rsidR="00BD41AA" w:rsidRPr="00A02A89"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Parameters</w:t>
            </w:r>
          </w:p>
        </w:tc>
        <w:tc>
          <w:tcPr>
            <w:tcW w:w="2254" w:type="dxa"/>
          </w:tcPr>
          <w:p w14:paraId="7F0C2A1A" w14:textId="77777777" w:rsidR="00BD41AA" w:rsidRPr="00A02A89"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Value</w:t>
            </w:r>
          </w:p>
        </w:tc>
      </w:tr>
      <w:tr w:rsidR="00BD41AA" w:rsidRPr="00A02A89" w14:paraId="5B33FFA3"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2D048C0" w14:textId="77777777" w:rsidR="00BD41AA" w:rsidRPr="00A02A89" w:rsidRDefault="00BD41AA" w:rsidP="00CC0D28">
            <w:pPr>
              <w:spacing w:line="480" w:lineRule="auto"/>
              <w:rPr>
                <w:rFonts w:ascii="Arial" w:hAnsi="Arial" w:cs="Arial"/>
              </w:rPr>
            </w:pPr>
            <w:r w:rsidRPr="00A02A89">
              <w:rPr>
                <w:rFonts w:ascii="Arial" w:hAnsi="Arial" w:cs="Arial"/>
              </w:rPr>
              <w:t>1</w:t>
            </w:r>
          </w:p>
        </w:tc>
        <w:tc>
          <w:tcPr>
            <w:tcW w:w="5774" w:type="dxa"/>
            <w:gridSpan w:val="2"/>
          </w:tcPr>
          <w:p w14:paraId="0B83982A"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Total Patients</w:t>
            </w:r>
          </w:p>
        </w:tc>
        <w:tc>
          <w:tcPr>
            <w:tcW w:w="2254" w:type="dxa"/>
          </w:tcPr>
          <w:p w14:paraId="52712F64"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11 (100%)</w:t>
            </w:r>
          </w:p>
        </w:tc>
      </w:tr>
      <w:tr w:rsidR="00BD41AA" w:rsidRPr="00A02A89" w14:paraId="4C741E82"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4E2E57B" w14:textId="77777777" w:rsidR="00BD41AA" w:rsidRPr="00A02A89" w:rsidRDefault="00BD41AA" w:rsidP="00CC0D28">
            <w:pPr>
              <w:spacing w:line="480" w:lineRule="auto"/>
              <w:rPr>
                <w:rFonts w:ascii="Arial" w:hAnsi="Arial" w:cs="Arial"/>
              </w:rPr>
            </w:pPr>
            <w:r w:rsidRPr="00A02A89">
              <w:rPr>
                <w:rFonts w:ascii="Arial" w:hAnsi="Arial" w:cs="Arial"/>
              </w:rPr>
              <w:t>2</w:t>
            </w:r>
          </w:p>
        </w:tc>
        <w:tc>
          <w:tcPr>
            <w:tcW w:w="3520" w:type="dxa"/>
          </w:tcPr>
          <w:p w14:paraId="3F8A94A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 age in years</w:t>
            </w:r>
          </w:p>
        </w:tc>
        <w:tc>
          <w:tcPr>
            <w:tcW w:w="2254" w:type="dxa"/>
          </w:tcPr>
          <w:p w14:paraId="42756C9C"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DD48160" w14:textId="59B50215"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61± 6.36</w:t>
            </w:r>
          </w:p>
        </w:tc>
      </w:tr>
      <w:tr w:rsidR="00BD41AA" w:rsidRPr="00A02A89" w14:paraId="72ACE16F"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DC34AE1" w14:textId="77777777" w:rsidR="00BD41AA" w:rsidRPr="00A02A89" w:rsidRDefault="00BD41AA" w:rsidP="00CC0D28">
            <w:pPr>
              <w:spacing w:line="480" w:lineRule="auto"/>
              <w:rPr>
                <w:rFonts w:ascii="Arial" w:hAnsi="Arial" w:cs="Arial"/>
              </w:rPr>
            </w:pPr>
            <w:r w:rsidRPr="00A02A89">
              <w:rPr>
                <w:rFonts w:ascii="Arial" w:hAnsi="Arial" w:cs="Arial"/>
              </w:rPr>
              <w:t>3</w:t>
            </w:r>
          </w:p>
        </w:tc>
        <w:tc>
          <w:tcPr>
            <w:tcW w:w="3520" w:type="dxa"/>
            <w:vMerge w:val="restart"/>
          </w:tcPr>
          <w:p w14:paraId="681C518F"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Gender</w:t>
            </w:r>
          </w:p>
        </w:tc>
        <w:tc>
          <w:tcPr>
            <w:tcW w:w="2254" w:type="dxa"/>
          </w:tcPr>
          <w:p w14:paraId="2171C127"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Male</w:t>
            </w:r>
          </w:p>
        </w:tc>
        <w:tc>
          <w:tcPr>
            <w:tcW w:w="2254" w:type="dxa"/>
          </w:tcPr>
          <w:p w14:paraId="240BC5B8"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5 (45.45%)</w:t>
            </w:r>
          </w:p>
        </w:tc>
      </w:tr>
      <w:tr w:rsidR="00BD41AA" w:rsidRPr="00A02A89" w14:paraId="40BB8662"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6D514500" w14:textId="77777777" w:rsidR="00BD41AA" w:rsidRPr="00A02A89" w:rsidRDefault="00BD41AA" w:rsidP="00CC0D28">
            <w:pPr>
              <w:spacing w:line="480" w:lineRule="auto"/>
              <w:rPr>
                <w:rFonts w:ascii="Arial" w:hAnsi="Arial" w:cs="Arial"/>
              </w:rPr>
            </w:pPr>
          </w:p>
        </w:tc>
        <w:tc>
          <w:tcPr>
            <w:tcW w:w="3520" w:type="dxa"/>
            <w:vMerge/>
          </w:tcPr>
          <w:p w14:paraId="61D0FD92"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99CAB8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Female</w:t>
            </w:r>
          </w:p>
        </w:tc>
        <w:tc>
          <w:tcPr>
            <w:tcW w:w="2254" w:type="dxa"/>
          </w:tcPr>
          <w:p w14:paraId="7A6CF337"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6 (54.55%)</w:t>
            </w:r>
          </w:p>
        </w:tc>
      </w:tr>
      <w:tr w:rsidR="00BD41AA" w:rsidRPr="00A02A89" w14:paraId="5F489F2B"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51F2BC0" w14:textId="77777777" w:rsidR="00BD41AA" w:rsidRPr="00A02A89" w:rsidRDefault="00BD41AA" w:rsidP="00CC0D28">
            <w:pPr>
              <w:spacing w:line="480" w:lineRule="auto"/>
              <w:rPr>
                <w:rFonts w:ascii="Arial" w:hAnsi="Arial" w:cs="Arial"/>
              </w:rPr>
            </w:pPr>
            <w:r w:rsidRPr="00A02A89">
              <w:rPr>
                <w:rFonts w:ascii="Arial" w:hAnsi="Arial" w:cs="Arial"/>
              </w:rPr>
              <w:t>4</w:t>
            </w:r>
          </w:p>
        </w:tc>
        <w:tc>
          <w:tcPr>
            <w:tcW w:w="3520" w:type="dxa"/>
            <w:vMerge w:val="restart"/>
          </w:tcPr>
          <w:p w14:paraId="47DE4FE6"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Cancer type</w:t>
            </w:r>
          </w:p>
        </w:tc>
        <w:tc>
          <w:tcPr>
            <w:tcW w:w="2254" w:type="dxa"/>
          </w:tcPr>
          <w:p w14:paraId="36ABFACE"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GIT</w:t>
            </w:r>
          </w:p>
        </w:tc>
        <w:tc>
          <w:tcPr>
            <w:tcW w:w="2254" w:type="dxa"/>
          </w:tcPr>
          <w:p w14:paraId="7EC178EA"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9 (81.8%)</w:t>
            </w:r>
          </w:p>
        </w:tc>
      </w:tr>
      <w:tr w:rsidR="00BD41AA" w:rsidRPr="00A02A89" w14:paraId="4BBD3E5D"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000F1FB3" w14:textId="77777777" w:rsidR="00BD41AA" w:rsidRPr="00A02A89" w:rsidRDefault="00BD41AA" w:rsidP="00CC0D28">
            <w:pPr>
              <w:spacing w:line="480" w:lineRule="auto"/>
              <w:rPr>
                <w:rFonts w:ascii="Arial" w:hAnsi="Arial" w:cs="Arial"/>
              </w:rPr>
            </w:pPr>
          </w:p>
        </w:tc>
        <w:tc>
          <w:tcPr>
            <w:tcW w:w="3520" w:type="dxa"/>
            <w:vMerge/>
          </w:tcPr>
          <w:p w14:paraId="5F3FB8CB"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AA12861"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Non-GIT</w:t>
            </w:r>
          </w:p>
        </w:tc>
        <w:tc>
          <w:tcPr>
            <w:tcW w:w="2254" w:type="dxa"/>
          </w:tcPr>
          <w:p w14:paraId="0396D02F"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 (18.2%)</w:t>
            </w:r>
          </w:p>
        </w:tc>
      </w:tr>
      <w:tr w:rsidR="00BD41AA" w:rsidRPr="00A02A89" w14:paraId="1BDAC5C0"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360E64D4" w14:textId="77777777" w:rsidR="00BD41AA" w:rsidRPr="00A02A89" w:rsidRDefault="00BD41AA" w:rsidP="00CC0D28">
            <w:pPr>
              <w:spacing w:line="480" w:lineRule="auto"/>
              <w:rPr>
                <w:rFonts w:ascii="Arial" w:hAnsi="Arial" w:cs="Arial"/>
              </w:rPr>
            </w:pPr>
            <w:r w:rsidRPr="00A02A89">
              <w:rPr>
                <w:rFonts w:ascii="Arial" w:hAnsi="Arial" w:cs="Arial"/>
              </w:rPr>
              <w:t>5</w:t>
            </w:r>
          </w:p>
        </w:tc>
        <w:tc>
          <w:tcPr>
            <w:tcW w:w="3520" w:type="dxa"/>
            <w:vMerge w:val="restart"/>
          </w:tcPr>
          <w:p w14:paraId="613EFA32"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of cancer</w:t>
            </w:r>
          </w:p>
        </w:tc>
        <w:tc>
          <w:tcPr>
            <w:tcW w:w="2254" w:type="dxa"/>
          </w:tcPr>
          <w:p w14:paraId="4811408E"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2</w:t>
            </w:r>
          </w:p>
        </w:tc>
        <w:tc>
          <w:tcPr>
            <w:tcW w:w="2254" w:type="dxa"/>
          </w:tcPr>
          <w:p w14:paraId="58E6731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 (18.2%)</w:t>
            </w:r>
          </w:p>
        </w:tc>
      </w:tr>
      <w:tr w:rsidR="00BD41AA" w:rsidRPr="00A02A89" w14:paraId="7A3D575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32E122A7" w14:textId="77777777" w:rsidR="00BD41AA" w:rsidRPr="00A02A89" w:rsidRDefault="00BD41AA" w:rsidP="00CC0D28">
            <w:pPr>
              <w:spacing w:line="480" w:lineRule="auto"/>
              <w:rPr>
                <w:rFonts w:ascii="Arial" w:hAnsi="Arial" w:cs="Arial"/>
              </w:rPr>
            </w:pPr>
          </w:p>
        </w:tc>
        <w:tc>
          <w:tcPr>
            <w:tcW w:w="3520" w:type="dxa"/>
            <w:vMerge/>
          </w:tcPr>
          <w:p w14:paraId="01FB3A9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1E033EC5"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Stage 3</w:t>
            </w:r>
          </w:p>
        </w:tc>
        <w:tc>
          <w:tcPr>
            <w:tcW w:w="2254" w:type="dxa"/>
          </w:tcPr>
          <w:p w14:paraId="7D8BE0D5"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3 (27.3%)</w:t>
            </w:r>
          </w:p>
        </w:tc>
      </w:tr>
      <w:tr w:rsidR="00BD41AA" w:rsidRPr="00A02A89" w14:paraId="29EB7234"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E4CB080" w14:textId="77777777" w:rsidR="00BD41AA" w:rsidRPr="00A02A89" w:rsidRDefault="00BD41AA" w:rsidP="00CC0D28">
            <w:pPr>
              <w:spacing w:line="480" w:lineRule="auto"/>
              <w:rPr>
                <w:rFonts w:ascii="Arial" w:hAnsi="Arial" w:cs="Arial"/>
              </w:rPr>
            </w:pPr>
          </w:p>
        </w:tc>
        <w:tc>
          <w:tcPr>
            <w:tcW w:w="3520" w:type="dxa"/>
            <w:vMerge/>
          </w:tcPr>
          <w:p w14:paraId="7F1BD6C5"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6A0B2D37"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4</w:t>
            </w:r>
          </w:p>
        </w:tc>
        <w:tc>
          <w:tcPr>
            <w:tcW w:w="2254" w:type="dxa"/>
          </w:tcPr>
          <w:p w14:paraId="49D27551"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6 (54.5%)</w:t>
            </w:r>
          </w:p>
        </w:tc>
      </w:tr>
      <w:tr w:rsidR="00BD41AA" w:rsidRPr="00A02A89" w14:paraId="38BC4DCE"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4888FD32" w14:textId="77777777" w:rsidR="00BD41AA" w:rsidRPr="00A02A89" w:rsidRDefault="00BD41AA" w:rsidP="00CC0D28">
            <w:pPr>
              <w:spacing w:line="480" w:lineRule="auto"/>
              <w:rPr>
                <w:rFonts w:ascii="Arial" w:hAnsi="Arial" w:cs="Arial"/>
              </w:rPr>
            </w:pPr>
            <w:r w:rsidRPr="00A02A89">
              <w:rPr>
                <w:rFonts w:ascii="Arial" w:hAnsi="Arial" w:cs="Arial"/>
              </w:rPr>
              <w:t>6</w:t>
            </w:r>
          </w:p>
        </w:tc>
        <w:tc>
          <w:tcPr>
            <w:tcW w:w="5774" w:type="dxa"/>
            <w:gridSpan w:val="2"/>
          </w:tcPr>
          <w:p w14:paraId="4A664BDE"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 Baseline BMR</w:t>
            </w:r>
          </w:p>
        </w:tc>
        <w:tc>
          <w:tcPr>
            <w:tcW w:w="2254" w:type="dxa"/>
          </w:tcPr>
          <w:p w14:paraId="51796248"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2A89">
              <w:rPr>
                <w:rStyle w:val="Strong"/>
                <w:rFonts w:ascii="Arial" w:hAnsi="Arial" w:cs="Arial"/>
                <w:b w:val="0"/>
                <w:bCs w:val="0"/>
              </w:rPr>
              <w:t>1327.27±144.9</w:t>
            </w:r>
          </w:p>
        </w:tc>
      </w:tr>
      <w:tr w:rsidR="00BD41AA" w:rsidRPr="00A02A89" w14:paraId="2FC6A336"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2B01B606" w14:textId="77777777" w:rsidR="00BD41AA" w:rsidRPr="00A02A89" w:rsidRDefault="00BD41AA" w:rsidP="00CC0D28">
            <w:pPr>
              <w:spacing w:line="480" w:lineRule="auto"/>
              <w:rPr>
                <w:rFonts w:ascii="Arial" w:hAnsi="Arial" w:cs="Arial"/>
              </w:rPr>
            </w:pPr>
            <w:r w:rsidRPr="00A02A89">
              <w:rPr>
                <w:rFonts w:ascii="Arial" w:hAnsi="Arial" w:cs="Arial"/>
              </w:rPr>
              <w:t>7</w:t>
            </w:r>
          </w:p>
        </w:tc>
        <w:tc>
          <w:tcPr>
            <w:tcW w:w="3520" w:type="dxa"/>
            <w:vMerge w:val="restart"/>
          </w:tcPr>
          <w:p w14:paraId="7BB0C404"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Baseline Nutrition risk stratification</w:t>
            </w:r>
          </w:p>
        </w:tc>
        <w:tc>
          <w:tcPr>
            <w:tcW w:w="2254" w:type="dxa"/>
          </w:tcPr>
          <w:p w14:paraId="475CC45D"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High risk</w:t>
            </w:r>
          </w:p>
        </w:tc>
        <w:tc>
          <w:tcPr>
            <w:tcW w:w="2254" w:type="dxa"/>
          </w:tcPr>
          <w:p w14:paraId="4CE607D0"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5 (45.5%)</w:t>
            </w:r>
          </w:p>
        </w:tc>
      </w:tr>
      <w:tr w:rsidR="00BD41AA" w:rsidRPr="00A02A89" w14:paraId="3380E20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727010A0" w14:textId="77777777" w:rsidR="00BD41AA" w:rsidRPr="00A02A89" w:rsidRDefault="00BD41AA" w:rsidP="00CC0D28">
            <w:pPr>
              <w:spacing w:line="480" w:lineRule="auto"/>
              <w:rPr>
                <w:rFonts w:ascii="Arial" w:hAnsi="Arial" w:cs="Arial"/>
              </w:rPr>
            </w:pPr>
          </w:p>
        </w:tc>
        <w:tc>
          <w:tcPr>
            <w:tcW w:w="3520" w:type="dxa"/>
            <w:vMerge/>
          </w:tcPr>
          <w:p w14:paraId="503ACB4D"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A962881"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Moderate risk</w:t>
            </w:r>
          </w:p>
        </w:tc>
        <w:tc>
          <w:tcPr>
            <w:tcW w:w="2254" w:type="dxa"/>
          </w:tcPr>
          <w:p w14:paraId="6D9CCD67"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 (36.4%)</w:t>
            </w:r>
          </w:p>
        </w:tc>
      </w:tr>
      <w:tr w:rsidR="00BD41AA" w:rsidRPr="00A02A89" w14:paraId="31A0BF97"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26BF8E3" w14:textId="77777777" w:rsidR="00BD41AA" w:rsidRPr="00A02A89" w:rsidRDefault="00BD41AA" w:rsidP="00CC0D28">
            <w:pPr>
              <w:spacing w:line="480" w:lineRule="auto"/>
              <w:rPr>
                <w:rFonts w:ascii="Arial" w:hAnsi="Arial" w:cs="Arial"/>
              </w:rPr>
            </w:pPr>
          </w:p>
        </w:tc>
        <w:tc>
          <w:tcPr>
            <w:tcW w:w="3520" w:type="dxa"/>
            <w:vMerge/>
          </w:tcPr>
          <w:p w14:paraId="33380E35"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0885D6E8"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Low risk</w:t>
            </w:r>
          </w:p>
        </w:tc>
        <w:tc>
          <w:tcPr>
            <w:tcW w:w="2254" w:type="dxa"/>
          </w:tcPr>
          <w:p w14:paraId="119238F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 (18.1%)</w:t>
            </w:r>
          </w:p>
        </w:tc>
      </w:tr>
      <w:tr w:rsidR="00BD41AA" w:rsidRPr="00A02A89" w14:paraId="763E4E73"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EE2C57D" w14:textId="77777777" w:rsidR="00BD41AA" w:rsidRPr="00A02A89" w:rsidRDefault="00BD41AA" w:rsidP="00CC0D28">
            <w:pPr>
              <w:spacing w:line="480" w:lineRule="auto"/>
              <w:rPr>
                <w:rFonts w:ascii="Arial" w:hAnsi="Arial" w:cs="Arial"/>
              </w:rPr>
            </w:pPr>
            <w:r w:rsidRPr="00A02A89">
              <w:rPr>
                <w:rFonts w:ascii="Arial" w:hAnsi="Arial" w:cs="Arial"/>
              </w:rPr>
              <w:lastRenderedPageBreak/>
              <w:t>8</w:t>
            </w:r>
          </w:p>
        </w:tc>
        <w:tc>
          <w:tcPr>
            <w:tcW w:w="5774" w:type="dxa"/>
            <w:gridSpan w:val="2"/>
          </w:tcPr>
          <w:p w14:paraId="5CBF511B"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 Fatigue score</w:t>
            </w:r>
          </w:p>
        </w:tc>
        <w:tc>
          <w:tcPr>
            <w:tcW w:w="2254" w:type="dxa"/>
          </w:tcPr>
          <w:p w14:paraId="32976D06"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44.36</w:t>
            </w:r>
            <w:r w:rsidRPr="00A02A89">
              <w:rPr>
                <w:rStyle w:val="Strong"/>
                <w:rFonts w:ascii="Arial" w:hAnsi="Arial" w:cs="Arial"/>
                <w:b w:val="0"/>
                <w:bCs w:val="0"/>
              </w:rPr>
              <w:t>±</w:t>
            </w:r>
            <w:r w:rsidRPr="00A02A89">
              <w:rPr>
                <w:rFonts w:ascii="Arial" w:hAnsi="Arial" w:cs="Arial"/>
              </w:rPr>
              <w:t>15.68</w:t>
            </w:r>
          </w:p>
        </w:tc>
      </w:tr>
      <w:tr w:rsidR="00BD41AA" w:rsidRPr="00A02A89" w14:paraId="21DBC9A5"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5498B9" w14:textId="77777777" w:rsidR="00BD41AA" w:rsidRPr="00A02A89" w:rsidRDefault="00BD41AA" w:rsidP="00CC0D28">
            <w:pPr>
              <w:spacing w:line="480" w:lineRule="auto"/>
              <w:rPr>
                <w:rFonts w:ascii="Arial" w:hAnsi="Arial" w:cs="Arial"/>
              </w:rPr>
            </w:pPr>
            <w:r w:rsidRPr="00A02A89">
              <w:rPr>
                <w:rFonts w:ascii="Arial" w:hAnsi="Arial" w:cs="Arial"/>
              </w:rPr>
              <w:t>9</w:t>
            </w:r>
          </w:p>
        </w:tc>
        <w:tc>
          <w:tcPr>
            <w:tcW w:w="5774" w:type="dxa"/>
            <w:gridSpan w:val="2"/>
          </w:tcPr>
          <w:p w14:paraId="7B73D04A"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 xml:space="preserve">Baseline Hand grip </w:t>
            </w:r>
          </w:p>
        </w:tc>
        <w:tc>
          <w:tcPr>
            <w:tcW w:w="2254" w:type="dxa"/>
          </w:tcPr>
          <w:p w14:paraId="250A93F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 xml:space="preserve">9.45 </w:t>
            </w:r>
            <w:r w:rsidRPr="00A02A89">
              <w:rPr>
                <w:rStyle w:val="Strong"/>
                <w:rFonts w:ascii="Arial" w:hAnsi="Arial" w:cs="Arial"/>
                <w:b w:val="0"/>
                <w:bCs w:val="0"/>
              </w:rPr>
              <w:t>±</w:t>
            </w:r>
            <w:r w:rsidRPr="00A02A89">
              <w:rPr>
                <w:rFonts w:ascii="Arial" w:hAnsi="Arial" w:cs="Arial"/>
              </w:rPr>
              <w:t>5.61</w:t>
            </w:r>
          </w:p>
        </w:tc>
      </w:tr>
      <w:tr w:rsidR="00BD41AA" w:rsidRPr="00A02A89" w14:paraId="0404273C"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07D38108" w14:textId="77777777" w:rsidR="00BD41AA" w:rsidRPr="00A02A89" w:rsidRDefault="00BD41AA" w:rsidP="00CC0D28">
            <w:pPr>
              <w:spacing w:line="480" w:lineRule="auto"/>
              <w:rPr>
                <w:rFonts w:ascii="Arial" w:hAnsi="Arial" w:cs="Arial"/>
              </w:rPr>
            </w:pPr>
            <w:r w:rsidRPr="00A02A89">
              <w:rPr>
                <w:rFonts w:ascii="Arial" w:hAnsi="Arial" w:cs="Arial"/>
              </w:rPr>
              <w:t>10</w:t>
            </w:r>
          </w:p>
        </w:tc>
        <w:tc>
          <w:tcPr>
            <w:tcW w:w="5774" w:type="dxa"/>
            <w:gridSpan w:val="2"/>
          </w:tcPr>
          <w:p w14:paraId="5809CB53"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 Sit to stand</w:t>
            </w:r>
          </w:p>
        </w:tc>
        <w:tc>
          <w:tcPr>
            <w:tcW w:w="2254" w:type="dxa"/>
          </w:tcPr>
          <w:p w14:paraId="0ACA0A92"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21.63</w:t>
            </w:r>
            <w:r w:rsidRPr="00A02A89">
              <w:rPr>
                <w:rStyle w:val="Strong"/>
                <w:rFonts w:ascii="Arial" w:hAnsi="Arial" w:cs="Arial"/>
                <w:b w:val="0"/>
                <w:bCs w:val="0"/>
              </w:rPr>
              <w:t>±</w:t>
            </w:r>
            <w:r w:rsidRPr="00A02A89">
              <w:rPr>
                <w:rFonts w:ascii="Arial" w:hAnsi="Arial" w:cs="Arial"/>
              </w:rPr>
              <w:t>6.12</w:t>
            </w:r>
          </w:p>
        </w:tc>
      </w:tr>
    </w:tbl>
    <w:p w14:paraId="102D9C0A" w14:textId="77777777" w:rsidR="00BD41AA" w:rsidRPr="00A02A89" w:rsidRDefault="00BD41AA" w:rsidP="00441B6F">
      <w:pPr>
        <w:pStyle w:val="BodyText3"/>
        <w:tabs>
          <w:tab w:val="left" w:pos="1080"/>
        </w:tabs>
        <w:spacing w:after="0"/>
        <w:ind w:left="1080" w:hanging="1080"/>
        <w:jc w:val="both"/>
        <w:rPr>
          <w:rFonts w:ascii="Arial" w:hAnsi="Arial" w:cs="Arial"/>
          <w:bCs/>
          <w:iCs/>
          <w:sz w:val="20"/>
          <w:szCs w:val="20"/>
        </w:rPr>
      </w:pPr>
    </w:p>
    <w:p w14:paraId="5DB73CDB" w14:textId="623960AE" w:rsidR="00927834" w:rsidRDefault="00927834" w:rsidP="00C00B90">
      <w:pPr>
        <w:pStyle w:val="BodyText3"/>
        <w:tabs>
          <w:tab w:val="left" w:pos="1080"/>
        </w:tabs>
        <w:spacing w:after="0"/>
        <w:jc w:val="both"/>
        <w:rPr>
          <w:rFonts w:ascii="Arial" w:hAnsi="Arial" w:cs="Arial"/>
          <w:b/>
          <w:sz w:val="20"/>
          <w:szCs w:val="20"/>
        </w:rPr>
      </w:pPr>
    </w:p>
    <w:p w14:paraId="117341F4" w14:textId="77777777" w:rsidR="00A02A89" w:rsidRPr="00C00B90" w:rsidRDefault="00A02A89" w:rsidP="00A02A89">
      <w:pPr>
        <w:pStyle w:val="Body"/>
        <w:rPr>
          <w:rFonts w:ascii="Arial" w:hAnsi="Arial" w:cs="Arial"/>
          <w:b/>
          <w:bCs/>
        </w:rPr>
      </w:pPr>
      <w:r w:rsidRPr="00C00B90">
        <w:rPr>
          <w:rFonts w:ascii="Arial" w:hAnsi="Arial" w:cs="Arial"/>
          <w:b/>
          <w:bCs/>
        </w:rPr>
        <w:t>3.</w:t>
      </w:r>
      <w:r>
        <w:rPr>
          <w:rFonts w:ascii="Arial" w:hAnsi="Arial" w:cs="Arial"/>
          <w:b/>
          <w:bCs/>
        </w:rPr>
        <w:t>2</w:t>
      </w:r>
      <w:r>
        <w:rPr>
          <w:rFonts w:ascii="Arial" w:hAnsi="Arial" w:cs="Arial"/>
        </w:rPr>
        <w:t xml:space="preserve"> </w:t>
      </w:r>
      <w:r w:rsidRPr="00C00B90">
        <w:rPr>
          <w:rFonts w:ascii="Arial" w:hAnsi="Arial" w:cs="Arial"/>
          <w:b/>
          <w:bCs/>
        </w:rPr>
        <w:t>Change in the Assessment Parameters from baseline.</w:t>
      </w:r>
    </w:p>
    <w:p w14:paraId="67CA8533"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3.2.1 Fatigue score</w:t>
      </w:r>
    </w:p>
    <w:p w14:paraId="5F64EBFD" w14:textId="77777777" w:rsidR="008D7FEF" w:rsidRPr="008D7FEF" w:rsidRDefault="008D7FEF" w:rsidP="008D7FEF">
      <w:pPr>
        <w:pStyle w:val="BodyText3"/>
        <w:tabs>
          <w:tab w:val="left" w:pos="1080"/>
        </w:tabs>
        <w:jc w:val="both"/>
        <w:rPr>
          <w:rFonts w:ascii="Arial" w:hAnsi="Arial" w:cs="Arial"/>
          <w:bCs/>
          <w:sz w:val="20"/>
          <w:szCs w:val="20"/>
        </w:rPr>
      </w:pPr>
      <w:r w:rsidRPr="008D7FEF">
        <w:rPr>
          <w:rFonts w:ascii="Arial" w:hAnsi="Arial" w:cs="Arial"/>
          <w:bCs/>
          <w:sz w:val="20"/>
          <w:szCs w:val="20"/>
        </w:rPr>
        <w:t xml:space="preserve">Fatigue scores significantly improved over time (overall P = 0.002). There was a reduction from baseline (44.36 ± 15.68) to day 3 (41.72 ± 15.93; P = 0.151), and statistically significant reduction from baseline to day 7 (28.36 ± 14.03; P = 0.002), indicating a consistent reduction </w:t>
      </w:r>
      <w:commentRangeStart w:id="13"/>
      <w:r w:rsidRPr="008D7FEF">
        <w:rPr>
          <w:rFonts w:ascii="Arial" w:hAnsi="Arial" w:cs="Arial"/>
          <w:bCs/>
          <w:sz w:val="20"/>
          <w:szCs w:val="20"/>
        </w:rPr>
        <w:t xml:space="preserve">in fatigue levels following supplementation. </w:t>
      </w:r>
      <w:commentRangeEnd w:id="13"/>
      <w:r w:rsidR="003F70E2">
        <w:rPr>
          <w:rStyle w:val="CommentReference"/>
          <w:rFonts w:ascii="Times New Roman" w:hAnsi="Times New Roman"/>
          <w:lang w:val="nb-NO" w:eastAsia="nb-NO"/>
        </w:rPr>
        <w:commentReference w:id="13"/>
      </w:r>
      <w:r w:rsidRPr="008D7FEF">
        <w:rPr>
          <w:rFonts w:ascii="Arial" w:hAnsi="Arial" w:cs="Arial"/>
          <w:bCs/>
          <w:sz w:val="20"/>
          <w:szCs w:val="20"/>
        </w:rPr>
        <w:t>[Table 2]</w:t>
      </w:r>
    </w:p>
    <w:p w14:paraId="3DBE296B"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3.2.2 Hand grip strength</w:t>
      </w:r>
    </w:p>
    <w:p w14:paraId="4347C5E9" w14:textId="77777777" w:rsidR="008D7FEF" w:rsidRPr="008D7FEF" w:rsidRDefault="008D7FEF" w:rsidP="008D7FEF">
      <w:pPr>
        <w:pStyle w:val="BodyText3"/>
        <w:tabs>
          <w:tab w:val="left" w:pos="1080"/>
        </w:tabs>
        <w:jc w:val="both"/>
        <w:rPr>
          <w:rFonts w:ascii="Arial" w:hAnsi="Arial" w:cs="Arial"/>
          <w:bCs/>
          <w:sz w:val="20"/>
          <w:szCs w:val="20"/>
        </w:rPr>
      </w:pPr>
      <w:r w:rsidRPr="008D7FEF">
        <w:rPr>
          <w:rFonts w:ascii="Arial" w:hAnsi="Arial" w:cs="Arial"/>
          <w:bCs/>
          <w:sz w:val="20"/>
          <w:szCs w:val="20"/>
        </w:rPr>
        <w:t>Handgrip strength improved significantly from baseline value of 9.45 ± 5.61 kg to 12.00 ± 4.93 kg on day 7 (P =0.003), demonstrating a measurable gain in muscular performance. [Table 2]</w:t>
      </w:r>
    </w:p>
    <w:p w14:paraId="338065E5"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3.2.3 Sit to stand test</w:t>
      </w:r>
    </w:p>
    <w:p w14:paraId="45538014" w14:textId="7A3D210C" w:rsidR="00A02A89" w:rsidRPr="008D7FEF" w:rsidRDefault="008D7FEF" w:rsidP="008D7FEF">
      <w:pPr>
        <w:pStyle w:val="BodyText3"/>
        <w:tabs>
          <w:tab w:val="left" w:pos="1080"/>
        </w:tabs>
        <w:spacing w:after="0"/>
        <w:jc w:val="both"/>
        <w:rPr>
          <w:rFonts w:ascii="Arial" w:hAnsi="Arial" w:cs="Arial"/>
          <w:bCs/>
          <w:sz w:val="20"/>
          <w:szCs w:val="20"/>
        </w:rPr>
      </w:pPr>
      <w:r w:rsidRPr="008D7FEF">
        <w:rPr>
          <w:rFonts w:ascii="Arial" w:hAnsi="Arial" w:cs="Arial"/>
          <w:bCs/>
          <w:sz w:val="20"/>
          <w:szCs w:val="20"/>
        </w:rPr>
        <w:t>STS performance values showed a decrease in the mean from 21.63 (SD = 6.12; median = 20.0) at baseline to 20.18 (SD = 2.92; median = 20.0) after 7 days; however, this difference/change was not significant (P =0.261). [Table 2]</w:t>
      </w:r>
    </w:p>
    <w:p w14:paraId="1629B64F" w14:textId="77777777" w:rsidR="008D7FEF" w:rsidRPr="00A02A89" w:rsidRDefault="008D7FEF" w:rsidP="008D7FEF">
      <w:pPr>
        <w:pStyle w:val="BodyText3"/>
        <w:tabs>
          <w:tab w:val="left" w:pos="1080"/>
        </w:tabs>
        <w:spacing w:after="0"/>
        <w:jc w:val="both"/>
        <w:rPr>
          <w:rFonts w:ascii="Arial" w:hAnsi="Arial" w:cs="Arial"/>
          <w:b/>
          <w:sz w:val="20"/>
          <w:szCs w:val="20"/>
        </w:rPr>
      </w:pPr>
    </w:p>
    <w:p w14:paraId="136CBBA1" w14:textId="77777777" w:rsidR="00C00B90" w:rsidRPr="00A02A89" w:rsidRDefault="00C00B90" w:rsidP="00C00B90">
      <w:pPr>
        <w:spacing w:line="480" w:lineRule="auto"/>
        <w:rPr>
          <w:rFonts w:ascii="Arial" w:hAnsi="Arial" w:cs="Arial"/>
          <w:b/>
          <w:bCs/>
        </w:rPr>
      </w:pPr>
      <w:r w:rsidRPr="00A02A89">
        <w:rPr>
          <w:rFonts w:ascii="Arial" w:hAnsi="Arial" w:cs="Arial"/>
          <w:b/>
          <w:bCs/>
        </w:rPr>
        <w:t xml:space="preserve">Table 2. Change in parameters post-parenteral nutrition </w:t>
      </w:r>
    </w:p>
    <w:tbl>
      <w:tblPr>
        <w:tblStyle w:val="PlainTable2"/>
        <w:tblW w:w="0" w:type="auto"/>
        <w:tblLook w:val="04A0" w:firstRow="1" w:lastRow="0" w:firstColumn="1" w:lastColumn="0" w:noHBand="0" w:noVBand="1"/>
      </w:tblPr>
      <w:tblGrid>
        <w:gridCol w:w="562"/>
        <w:gridCol w:w="1418"/>
        <w:gridCol w:w="1623"/>
        <w:gridCol w:w="1094"/>
        <w:gridCol w:w="1117"/>
        <w:gridCol w:w="1111"/>
        <w:gridCol w:w="1091"/>
      </w:tblGrid>
      <w:tr w:rsidR="00C00B90" w:rsidRPr="00A02A89" w14:paraId="504007CF" w14:textId="77777777" w:rsidTr="00C00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D66DAB7" w14:textId="77777777" w:rsidR="00C00B90" w:rsidRPr="00A02A89" w:rsidRDefault="00C00B90" w:rsidP="00CC0D28">
            <w:pPr>
              <w:spacing w:line="480" w:lineRule="auto"/>
              <w:rPr>
                <w:rFonts w:ascii="Arial" w:hAnsi="Arial" w:cs="Arial"/>
              </w:rPr>
            </w:pPr>
            <w:proofErr w:type="spellStart"/>
            <w:r w:rsidRPr="00A02A89">
              <w:rPr>
                <w:rFonts w:ascii="Arial" w:hAnsi="Arial" w:cs="Arial"/>
              </w:rPr>
              <w:t>Sr</w:t>
            </w:r>
            <w:proofErr w:type="spellEnd"/>
          </w:p>
        </w:tc>
        <w:tc>
          <w:tcPr>
            <w:tcW w:w="1418" w:type="dxa"/>
          </w:tcPr>
          <w:p w14:paraId="7DE18667"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Parameter</w:t>
            </w:r>
          </w:p>
        </w:tc>
        <w:tc>
          <w:tcPr>
            <w:tcW w:w="1623" w:type="dxa"/>
          </w:tcPr>
          <w:p w14:paraId="4FEE1B26"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Assessment day</w:t>
            </w:r>
          </w:p>
        </w:tc>
        <w:tc>
          <w:tcPr>
            <w:tcW w:w="1094" w:type="dxa"/>
          </w:tcPr>
          <w:p w14:paraId="7C9452D9"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w:t>
            </w:r>
          </w:p>
        </w:tc>
        <w:tc>
          <w:tcPr>
            <w:tcW w:w="1072" w:type="dxa"/>
          </w:tcPr>
          <w:p w14:paraId="613B4B10"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Standard Deviation</w:t>
            </w:r>
          </w:p>
        </w:tc>
        <w:tc>
          <w:tcPr>
            <w:tcW w:w="1111" w:type="dxa"/>
          </w:tcPr>
          <w:p w14:paraId="3ABB84F2"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Median</w:t>
            </w:r>
          </w:p>
        </w:tc>
        <w:tc>
          <w:tcPr>
            <w:tcW w:w="1091" w:type="dxa"/>
          </w:tcPr>
          <w:p w14:paraId="46E8137A"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 value</w:t>
            </w:r>
          </w:p>
        </w:tc>
      </w:tr>
      <w:tr w:rsidR="00C00B90" w:rsidRPr="00A02A89" w14:paraId="1B771656"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43787DE5" w14:textId="77777777" w:rsidR="00C00B90" w:rsidRPr="00A02A89" w:rsidRDefault="00C00B90" w:rsidP="00CC0D28">
            <w:pPr>
              <w:spacing w:line="480" w:lineRule="auto"/>
              <w:rPr>
                <w:rFonts w:ascii="Arial" w:hAnsi="Arial" w:cs="Arial"/>
              </w:rPr>
            </w:pPr>
            <w:r w:rsidRPr="00A02A89">
              <w:rPr>
                <w:rFonts w:ascii="Arial" w:hAnsi="Arial" w:cs="Arial"/>
              </w:rPr>
              <w:t>1</w:t>
            </w:r>
          </w:p>
        </w:tc>
        <w:tc>
          <w:tcPr>
            <w:tcW w:w="1418" w:type="dxa"/>
            <w:vMerge w:val="restart"/>
          </w:tcPr>
          <w:p w14:paraId="0082910A"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Fatigue score</w:t>
            </w:r>
          </w:p>
        </w:tc>
        <w:tc>
          <w:tcPr>
            <w:tcW w:w="1623" w:type="dxa"/>
          </w:tcPr>
          <w:p w14:paraId="2C02CDC1"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Baseline</w:t>
            </w:r>
          </w:p>
        </w:tc>
        <w:tc>
          <w:tcPr>
            <w:tcW w:w="1094" w:type="dxa"/>
          </w:tcPr>
          <w:p w14:paraId="029C238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44.36</w:t>
            </w:r>
          </w:p>
        </w:tc>
        <w:tc>
          <w:tcPr>
            <w:tcW w:w="1072" w:type="dxa"/>
          </w:tcPr>
          <w:p w14:paraId="3B0BE3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15.68</w:t>
            </w:r>
          </w:p>
        </w:tc>
        <w:tc>
          <w:tcPr>
            <w:tcW w:w="1111" w:type="dxa"/>
          </w:tcPr>
          <w:p w14:paraId="5215F69F"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45.0</w:t>
            </w:r>
          </w:p>
        </w:tc>
        <w:tc>
          <w:tcPr>
            <w:tcW w:w="1091" w:type="dxa"/>
            <w:vMerge w:val="restart"/>
          </w:tcPr>
          <w:p w14:paraId="2FA3015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0.002</w:t>
            </w:r>
          </w:p>
        </w:tc>
      </w:tr>
      <w:tr w:rsidR="00C00B90" w:rsidRPr="00A02A89" w14:paraId="0C1C01BE" w14:textId="77777777" w:rsidTr="00C00B90">
        <w:tc>
          <w:tcPr>
            <w:cnfStyle w:val="001000000000" w:firstRow="0" w:lastRow="0" w:firstColumn="1" w:lastColumn="0" w:oddVBand="0" w:evenVBand="0" w:oddHBand="0" w:evenHBand="0" w:firstRowFirstColumn="0" w:firstRowLastColumn="0" w:lastRowFirstColumn="0" w:lastRowLastColumn="0"/>
            <w:tcW w:w="562" w:type="dxa"/>
            <w:vMerge/>
          </w:tcPr>
          <w:p w14:paraId="42A0AFC4" w14:textId="77777777" w:rsidR="00C00B90" w:rsidRPr="00A02A89" w:rsidRDefault="00C00B90" w:rsidP="00CC0D28">
            <w:pPr>
              <w:spacing w:line="480" w:lineRule="auto"/>
              <w:rPr>
                <w:rFonts w:ascii="Arial" w:hAnsi="Arial" w:cs="Arial"/>
              </w:rPr>
            </w:pPr>
          </w:p>
        </w:tc>
        <w:tc>
          <w:tcPr>
            <w:tcW w:w="1418" w:type="dxa"/>
            <w:vMerge/>
          </w:tcPr>
          <w:p w14:paraId="2983D9D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3" w:type="dxa"/>
          </w:tcPr>
          <w:p w14:paraId="42487BDF"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Day 3</w:t>
            </w:r>
          </w:p>
        </w:tc>
        <w:tc>
          <w:tcPr>
            <w:tcW w:w="1094" w:type="dxa"/>
          </w:tcPr>
          <w:p w14:paraId="71C4FC64"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41.72</w:t>
            </w:r>
          </w:p>
        </w:tc>
        <w:tc>
          <w:tcPr>
            <w:tcW w:w="1072" w:type="dxa"/>
          </w:tcPr>
          <w:p w14:paraId="2D13752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15.93</w:t>
            </w:r>
          </w:p>
        </w:tc>
        <w:tc>
          <w:tcPr>
            <w:tcW w:w="1111" w:type="dxa"/>
          </w:tcPr>
          <w:p w14:paraId="5E811C9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40.0</w:t>
            </w:r>
          </w:p>
        </w:tc>
        <w:tc>
          <w:tcPr>
            <w:tcW w:w="1091" w:type="dxa"/>
            <w:vMerge/>
          </w:tcPr>
          <w:p w14:paraId="1A3205FA"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0B90" w:rsidRPr="00A02A89" w14:paraId="684D21D5"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297B9929" w14:textId="77777777" w:rsidR="00C00B90" w:rsidRPr="00A02A89" w:rsidRDefault="00C00B90" w:rsidP="00CC0D28">
            <w:pPr>
              <w:spacing w:line="480" w:lineRule="auto"/>
              <w:rPr>
                <w:rFonts w:ascii="Arial" w:hAnsi="Arial" w:cs="Arial"/>
              </w:rPr>
            </w:pPr>
          </w:p>
        </w:tc>
        <w:tc>
          <w:tcPr>
            <w:tcW w:w="1418" w:type="dxa"/>
            <w:vMerge/>
          </w:tcPr>
          <w:p w14:paraId="05AF8A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3" w:type="dxa"/>
          </w:tcPr>
          <w:p w14:paraId="3A53758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1094" w:type="dxa"/>
          </w:tcPr>
          <w:p w14:paraId="2ED0657B"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28.36*</w:t>
            </w:r>
          </w:p>
        </w:tc>
        <w:tc>
          <w:tcPr>
            <w:tcW w:w="1072" w:type="dxa"/>
          </w:tcPr>
          <w:p w14:paraId="0BD1E452"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14.03</w:t>
            </w:r>
          </w:p>
        </w:tc>
        <w:tc>
          <w:tcPr>
            <w:tcW w:w="1111" w:type="dxa"/>
          </w:tcPr>
          <w:p w14:paraId="0E30DFF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25.0</w:t>
            </w:r>
          </w:p>
        </w:tc>
        <w:tc>
          <w:tcPr>
            <w:tcW w:w="1091" w:type="dxa"/>
            <w:vMerge/>
          </w:tcPr>
          <w:p w14:paraId="040C560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A02A89" w14:paraId="4EB61CAA" w14:textId="77777777" w:rsidTr="00C00B90">
        <w:tc>
          <w:tcPr>
            <w:cnfStyle w:val="001000000000" w:firstRow="0" w:lastRow="0" w:firstColumn="1" w:lastColumn="0" w:oddVBand="0" w:evenVBand="0" w:oddHBand="0" w:evenHBand="0" w:firstRowFirstColumn="0" w:firstRowLastColumn="0" w:lastRowFirstColumn="0" w:lastRowLastColumn="0"/>
            <w:tcW w:w="562" w:type="dxa"/>
            <w:vMerge w:val="restart"/>
          </w:tcPr>
          <w:p w14:paraId="7217D9AB" w14:textId="77777777" w:rsidR="00C00B90" w:rsidRPr="00A02A89" w:rsidRDefault="00C00B90" w:rsidP="00CC0D28">
            <w:pPr>
              <w:spacing w:line="480" w:lineRule="auto"/>
              <w:rPr>
                <w:rFonts w:ascii="Arial" w:hAnsi="Arial" w:cs="Arial"/>
              </w:rPr>
            </w:pPr>
            <w:r w:rsidRPr="00A02A89">
              <w:rPr>
                <w:rFonts w:ascii="Arial" w:hAnsi="Arial" w:cs="Arial"/>
              </w:rPr>
              <w:t>2</w:t>
            </w:r>
          </w:p>
        </w:tc>
        <w:tc>
          <w:tcPr>
            <w:tcW w:w="1418" w:type="dxa"/>
            <w:vMerge w:val="restart"/>
          </w:tcPr>
          <w:p w14:paraId="1806678A" w14:textId="056DFE68"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 xml:space="preserve">Hand </w:t>
            </w:r>
            <w:r w:rsidR="00142FEC" w:rsidRPr="00A02A89">
              <w:rPr>
                <w:rFonts w:ascii="Arial" w:hAnsi="Arial" w:cs="Arial"/>
              </w:rPr>
              <w:t>grip (</w:t>
            </w:r>
            <w:r w:rsidRPr="00A02A89">
              <w:rPr>
                <w:rFonts w:ascii="Arial" w:hAnsi="Arial" w:cs="Arial"/>
              </w:rPr>
              <w:t>HG) strength</w:t>
            </w:r>
          </w:p>
          <w:p w14:paraId="48BEDAB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3" w:type="dxa"/>
          </w:tcPr>
          <w:p w14:paraId="5CD8B607"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w:t>
            </w:r>
          </w:p>
        </w:tc>
        <w:tc>
          <w:tcPr>
            <w:tcW w:w="1094" w:type="dxa"/>
          </w:tcPr>
          <w:p w14:paraId="00CC22CF"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9.45</w:t>
            </w:r>
          </w:p>
        </w:tc>
        <w:tc>
          <w:tcPr>
            <w:tcW w:w="1072" w:type="dxa"/>
          </w:tcPr>
          <w:p w14:paraId="326000C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5.61</w:t>
            </w:r>
          </w:p>
        </w:tc>
        <w:tc>
          <w:tcPr>
            <w:tcW w:w="1111" w:type="dxa"/>
          </w:tcPr>
          <w:p w14:paraId="280A476E"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9.0</w:t>
            </w:r>
          </w:p>
        </w:tc>
        <w:tc>
          <w:tcPr>
            <w:tcW w:w="1091" w:type="dxa"/>
            <w:vMerge w:val="restart"/>
          </w:tcPr>
          <w:p w14:paraId="2D631F57"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0.003</w:t>
            </w:r>
          </w:p>
        </w:tc>
      </w:tr>
      <w:tr w:rsidR="00C00B90" w:rsidRPr="00A02A89" w14:paraId="21C59D6E"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3B7695F7" w14:textId="77777777" w:rsidR="00C00B90" w:rsidRPr="00A02A89" w:rsidRDefault="00C00B90" w:rsidP="00CC0D28">
            <w:pPr>
              <w:spacing w:line="480" w:lineRule="auto"/>
              <w:rPr>
                <w:rFonts w:ascii="Arial" w:hAnsi="Arial" w:cs="Arial"/>
              </w:rPr>
            </w:pPr>
          </w:p>
        </w:tc>
        <w:tc>
          <w:tcPr>
            <w:tcW w:w="1418" w:type="dxa"/>
            <w:vMerge/>
          </w:tcPr>
          <w:p w14:paraId="4F63EB9D"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3" w:type="dxa"/>
          </w:tcPr>
          <w:p w14:paraId="4752B96E"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1094" w:type="dxa"/>
          </w:tcPr>
          <w:p w14:paraId="4BA0912B"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12.00</w:t>
            </w:r>
          </w:p>
        </w:tc>
        <w:tc>
          <w:tcPr>
            <w:tcW w:w="1072" w:type="dxa"/>
          </w:tcPr>
          <w:p w14:paraId="69EE01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4.93</w:t>
            </w:r>
          </w:p>
        </w:tc>
        <w:tc>
          <w:tcPr>
            <w:tcW w:w="1111" w:type="dxa"/>
          </w:tcPr>
          <w:p w14:paraId="6AAF098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11.0</w:t>
            </w:r>
          </w:p>
        </w:tc>
        <w:tc>
          <w:tcPr>
            <w:tcW w:w="1091" w:type="dxa"/>
            <w:vMerge/>
          </w:tcPr>
          <w:p w14:paraId="580DBAD7"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A02A89" w14:paraId="382A947B" w14:textId="77777777" w:rsidTr="00C00B90">
        <w:tc>
          <w:tcPr>
            <w:cnfStyle w:val="001000000000" w:firstRow="0" w:lastRow="0" w:firstColumn="1" w:lastColumn="0" w:oddVBand="0" w:evenVBand="0" w:oddHBand="0" w:evenHBand="0" w:firstRowFirstColumn="0" w:firstRowLastColumn="0" w:lastRowFirstColumn="0" w:lastRowLastColumn="0"/>
            <w:tcW w:w="562" w:type="dxa"/>
            <w:vMerge w:val="restart"/>
          </w:tcPr>
          <w:p w14:paraId="353537D7" w14:textId="77777777" w:rsidR="00C00B90" w:rsidRPr="00A02A89" w:rsidRDefault="00C00B90" w:rsidP="00CC0D28">
            <w:pPr>
              <w:spacing w:line="480" w:lineRule="auto"/>
              <w:rPr>
                <w:rFonts w:ascii="Arial" w:hAnsi="Arial" w:cs="Arial"/>
              </w:rPr>
            </w:pPr>
            <w:r w:rsidRPr="00A02A89">
              <w:rPr>
                <w:rFonts w:ascii="Arial" w:hAnsi="Arial" w:cs="Arial"/>
              </w:rPr>
              <w:t>3</w:t>
            </w:r>
          </w:p>
        </w:tc>
        <w:tc>
          <w:tcPr>
            <w:tcW w:w="1418" w:type="dxa"/>
            <w:vMerge w:val="restart"/>
          </w:tcPr>
          <w:p w14:paraId="55ABF36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Sit to Stand test (STS)</w:t>
            </w:r>
          </w:p>
          <w:p w14:paraId="40A53DB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3" w:type="dxa"/>
          </w:tcPr>
          <w:p w14:paraId="1E3C542B"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lastRenderedPageBreak/>
              <w:t>Baseline</w:t>
            </w:r>
          </w:p>
        </w:tc>
        <w:tc>
          <w:tcPr>
            <w:tcW w:w="1094" w:type="dxa"/>
          </w:tcPr>
          <w:p w14:paraId="0B75B73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color w:val="000000"/>
              </w:rPr>
              <w:t>21.63</w:t>
            </w:r>
          </w:p>
        </w:tc>
        <w:tc>
          <w:tcPr>
            <w:tcW w:w="1072" w:type="dxa"/>
          </w:tcPr>
          <w:p w14:paraId="3E015D71"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color w:val="000000"/>
              </w:rPr>
              <w:t>6.12</w:t>
            </w:r>
          </w:p>
        </w:tc>
        <w:tc>
          <w:tcPr>
            <w:tcW w:w="1111" w:type="dxa"/>
          </w:tcPr>
          <w:p w14:paraId="556A89F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20</w:t>
            </w:r>
          </w:p>
        </w:tc>
        <w:tc>
          <w:tcPr>
            <w:tcW w:w="1091" w:type="dxa"/>
            <w:vMerge w:val="restart"/>
          </w:tcPr>
          <w:p w14:paraId="733AF73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0.261</w:t>
            </w:r>
          </w:p>
        </w:tc>
      </w:tr>
      <w:tr w:rsidR="00C00B90" w:rsidRPr="00A02A89" w14:paraId="39015FA0"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548EFFA2" w14:textId="77777777" w:rsidR="00C00B90" w:rsidRPr="00A02A89" w:rsidRDefault="00C00B90" w:rsidP="00CC0D28">
            <w:pPr>
              <w:spacing w:line="480" w:lineRule="auto"/>
              <w:rPr>
                <w:rFonts w:ascii="Arial" w:hAnsi="Arial" w:cs="Arial"/>
              </w:rPr>
            </w:pPr>
          </w:p>
        </w:tc>
        <w:tc>
          <w:tcPr>
            <w:tcW w:w="1418" w:type="dxa"/>
            <w:vMerge/>
          </w:tcPr>
          <w:p w14:paraId="0CF1D89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3" w:type="dxa"/>
          </w:tcPr>
          <w:p w14:paraId="350F2AE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1094" w:type="dxa"/>
          </w:tcPr>
          <w:p w14:paraId="21ED475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color w:val="000000"/>
              </w:rPr>
              <w:t>20.18</w:t>
            </w:r>
          </w:p>
        </w:tc>
        <w:tc>
          <w:tcPr>
            <w:tcW w:w="1072" w:type="dxa"/>
          </w:tcPr>
          <w:p w14:paraId="26D6BEA2"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color w:val="000000"/>
              </w:rPr>
              <w:t>2.92</w:t>
            </w:r>
          </w:p>
        </w:tc>
        <w:tc>
          <w:tcPr>
            <w:tcW w:w="1111" w:type="dxa"/>
          </w:tcPr>
          <w:p w14:paraId="175C012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20</w:t>
            </w:r>
          </w:p>
        </w:tc>
        <w:tc>
          <w:tcPr>
            <w:tcW w:w="1091" w:type="dxa"/>
            <w:vMerge/>
          </w:tcPr>
          <w:p w14:paraId="3FA506C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451AC7B" w14:textId="04BE4F7A" w:rsidR="00C00B90" w:rsidRPr="00A02A89" w:rsidRDefault="00C00B90" w:rsidP="00C00B90">
      <w:pPr>
        <w:pStyle w:val="Body"/>
        <w:spacing w:after="0"/>
        <w:rPr>
          <w:rFonts w:ascii="Arial" w:hAnsi="Arial" w:cs="Arial"/>
          <w:i/>
        </w:rPr>
      </w:pPr>
      <w:r w:rsidRPr="00A02A89">
        <w:rPr>
          <w:rFonts w:ascii="Arial" w:hAnsi="Arial" w:cs="Arial"/>
          <w:vertAlign w:val="superscript"/>
        </w:rPr>
        <w:lastRenderedPageBreak/>
        <w:t xml:space="preserve">a </w:t>
      </w:r>
      <w:r w:rsidRPr="00A02A89">
        <w:rPr>
          <w:rFonts w:ascii="Arial" w:hAnsi="Arial" w:cs="Arial"/>
        </w:rPr>
        <w:t xml:space="preserve">denotes </w:t>
      </w:r>
      <w:r w:rsidRPr="00A02A89">
        <w:rPr>
          <w:rFonts w:ascii="Arial" w:hAnsi="Arial" w:cs="Arial"/>
          <w:i/>
          <w:iCs/>
        </w:rPr>
        <w:t>P</w:t>
      </w:r>
      <w:r w:rsidRPr="00A02A89">
        <w:rPr>
          <w:rFonts w:ascii="Arial" w:hAnsi="Arial" w:cs="Arial"/>
        </w:rPr>
        <w:t xml:space="preserve"> value less than 0.05 compared to baseline at day 7 on post hoc analysis</w:t>
      </w:r>
    </w:p>
    <w:p w14:paraId="59A68C27" w14:textId="77777777" w:rsidR="00863BD3" w:rsidRPr="00FB3A86" w:rsidRDefault="00863BD3" w:rsidP="00441B6F">
      <w:pPr>
        <w:pStyle w:val="Body"/>
        <w:spacing w:after="0"/>
        <w:rPr>
          <w:rFonts w:ascii="Arial" w:hAnsi="Arial" w:cs="Arial"/>
        </w:rPr>
      </w:pPr>
    </w:p>
    <w:p w14:paraId="6C1D5B6E"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3.2.4 Median time to reach the prescribed caloric intake</w:t>
      </w:r>
    </w:p>
    <w:p w14:paraId="3D497B81" w14:textId="77777777" w:rsidR="00A02A89" w:rsidRPr="00C00B90" w:rsidRDefault="00A02A89" w:rsidP="00A02A89">
      <w:pPr>
        <w:pStyle w:val="Body"/>
        <w:rPr>
          <w:rFonts w:ascii="Arial" w:hAnsi="Arial" w:cs="Arial"/>
        </w:rPr>
      </w:pPr>
      <w:r w:rsidRPr="00C00B90">
        <w:rPr>
          <w:rFonts w:ascii="Arial" w:hAnsi="Arial" w:cs="Arial"/>
        </w:rPr>
        <w:t xml:space="preserve">The volume of </w:t>
      </w:r>
      <w:proofErr w:type="spellStart"/>
      <w:r w:rsidRPr="00C00B90">
        <w:rPr>
          <w:rFonts w:ascii="Arial" w:hAnsi="Arial" w:cs="Arial"/>
        </w:rPr>
        <w:t>Nutriflex</w:t>
      </w:r>
      <w:proofErr w:type="spellEnd"/>
      <w:r w:rsidRPr="00C00B90">
        <w:rPr>
          <w:rFonts w:ascii="Arial" w:hAnsi="Arial" w:cs="Arial"/>
        </w:rPr>
        <w:t xml:space="preserve"> administered ranged from 625 ml to 1250 ml as per the nutritional requirements of the patients, with a mean of 1143 ± 190 ml, a median of 1000 ml (IQR-250 ml).</w:t>
      </w:r>
      <w:r>
        <w:rPr>
          <w:rFonts w:ascii="Arial" w:hAnsi="Arial" w:cs="Arial"/>
        </w:rPr>
        <w:t xml:space="preserve"> </w:t>
      </w:r>
      <w:r w:rsidRPr="00C00B90">
        <w:rPr>
          <w:rFonts w:ascii="Arial" w:hAnsi="Arial" w:cs="Arial"/>
        </w:rPr>
        <w:t xml:space="preserve">The median number of days to reach the prescribed caloric intake with </w:t>
      </w:r>
      <w:commentRangeStart w:id="14"/>
      <w:r w:rsidRPr="00C00B90">
        <w:rPr>
          <w:rFonts w:ascii="Arial" w:hAnsi="Arial" w:cs="Arial"/>
        </w:rPr>
        <w:t xml:space="preserve">PN was 3 days </w:t>
      </w:r>
      <w:commentRangeEnd w:id="14"/>
      <w:r w:rsidR="003F70E2">
        <w:rPr>
          <w:rStyle w:val="CommentReference"/>
          <w:rFonts w:ascii="Times New Roman" w:hAnsi="Times New Roman"/>
          <w:lang w:val="nb-NO" w:eastAsia="nb-NO"/>
        </w:rPr>
        <w:commentReference w:id="14"/>
      </w:r>
      <w:r w:rsidRPr="00C00B90">
        <w:rPr>
          <w:rFonts w:ascii="Arial" w:hAnsi="Arial" w:cs="Arial"/>
        </w:rPr>
        <w:t>(IQR-1 day).</w:t>
      </w:r>
    </w:p>
    <w:p w14:paraId="4713D71C"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3.2.5 Patient rating tolerance</w:t>
      </w:r>
    </w:p>
    <w:p w14:paraId="5F301F71" w14:textId="77777777" w:rsidR="00A02A89" w:rsidRPr="00C00B90" w:rsidRDefault="00A02A89" w:rsidP="00A02A89">
      <w:pPr>
        <w:pStyle w:val="Body"/>
        <w:rPr>
          <w:rFonts w:ascii="Arial" w:hAnsi="Arial" w:cs="Arial"/>
        </w:rPr>
      </w:pPr>
      <w:r w:rsidRPr="00C00B90">
        <w:rPr>
          <w:rFonts w:ascii="Arial" w:hAnsi="Arial" w:cs="Arial"/>
        </w:rPr>
        <w:t>Overall, patients exhibited good tolerance to supplemental parenteral nutrition, as evidenced by 72.7% of evaluations rated ‘Excellent’ and 27.3% rated ‘Very Good’.</w:t>
      </w:r>
    </w:p>
    <w:p w14:paraId="54331CD3" w14:textId="77777777" w:rsidR="00A02A89" w:rsidRPr="00EF26A6" w:rsidRDefault="00A02A89" w:rsidP="00A02A89">
      <w:pPr>
        <w:pStyle w:val="Body"/>
        <w:rPr>
          <w:rFonts w:ascii="Arial" w:hAnsi="Arial" w:cs="Arial"/>
          <w:b/>
          <w:bCs/>
          <w:u w:val="single"/>
        </w:rPr>
      </w:pPr>
      <w:commentRangeStart w:id="15"/>
      <w:r w:rsidRPr="00EF26A6">
        <w:rPr>
          <w:rFonts w:ascii="Arial" w:hAnsi="Arial" w:cs="Arial"/>
          <w:b/>
          <w:bCs/>
          <w:u w:val="single"/>
        </w:rPr>
        <w:t>3.2.6 Safety assessment</w:t>
      </w:r>
      <w:commentRangeEnd w:id="15"/>
      <w:r w:rsidR="003F70E2">
        <w:rPr>
          <w:rStyle w:val="CommentReference"/>
          <w:rFonts w:ascii="Times New Roman" w:hAnsi="Times New Roman"/>
          <w:lang w:val="nb-NO" w:eastAsia="nb-NO"/>
        </w:rPr>
        <w:commentReference w:id="15"/>
      </w:r>
    </w:p>
    <w:p w14:paraId="12A050CA" w14:textId="219DF8A7" w:rsidR="00F71DE9" w:rsidRDefault="00F71DE9" w:rsidP="00A02A89">
      <w:pPr>
        <w:pStyle w:val="Body"/>
        <w:spacing w:after="0"/>
        <w:rPr>
          <w:rFonts w:ascii="Arial" w:hAnsi="Arial" w:cs="Arial"/>
        </w:rPr>
      </w:pPr>
    </w:p>
    <w:p w14:paraId="7B334F44" w14:textId="77777777" w:rsidR="00A02A89" w:rsidRDefault="00A02A89" w:rsidP="00441B6F">
      <w:pPr>
        <w:pStyle w:val="Body"/>
        <w:spacing w:after="0"/>
        <w:rPr>
          <w:rFonts w:ascii="Arial" w:hAnsi="Arial" w:cs="Arial"/>
          <w:b/>
          <w:caps/>
          <w:sz w:val="22"/>
        </w:rPr>
      </w:pPr>
    </w:p>
    <w:p w14:paraId="1BFD823A" w14:textId="175B8F6B" w:rsidR="00EF26A6" w:rsidRDefault="00EF26A6" w:rsidP="00EF26A6">
      <w:pPr>
        <w:pStyle w:val="ConcHead"/>
        <w:spacing w:after="0"/>
        <w:jc w:val="both"/>
        <w:rPr>
          <w:rFonts w:ascii="Arial" w:hAnsi="Arial" w:cs="Arial"/>
        </w:rPr>
      </w:pPr>
      <w:r>
        <w:rPr>
          <w:rFonts w:ascii="Arial" w:hAnsi="Arial" w:cs="Arial"/>
        </w:rPr>
        <w:t>4. Discussion</w:t>
      </w:r>
    </w:p>
    <w:p w14:paraId="2E99BE69" w14:textId="77777777" w:rsidR="000F3953" w:rsidRDefault="000F3953" w:rsidP="00EF26A6">
      <w:pPr>
        <w:pStyle w:val="ConcHead"/>
        <w:spacing w:after="0"/>
        <w:jc w:val="both"/>
        <w:rPr>
          <w:rFonts w:ascii="Arial" w:hAnsi="Arial" w:cs="Arial"/>
        </w:rPr>
      </w:pPr>
    </w:p>
    <w:p w14:paraId="73159A30" w14:textId="77777777" w:rsidR="000F3953" w:rsidRDefault="000F3953" w:rsidP="000F3953">
      <w:pPr>
        <w:pStyle w:val="Body"/>
      </w:pPr>
      <w:proofErr w:type="gramStart"/>
      <w:r>
        <w:t>This case series’ key findings</w:t>
      </w:r>
      <w:proofErr w:type="gramEnd"/>
      <w:r>
        <w:t xml:space="preserve"> indicate that parenteral nutrition significantly improved fatigue and physical function, highlighting its beneficial impact on patient outcomes.</w:t>
      </w:r>
    </w:p>
    <w:p w14:paraId="1EC91807" w14:textId="77777777" w:rsidR="000F3953" w:rsidRDefault="000F3953" w:rsidP="000F3953">
      <w:pPr>
        <w:pStyle w:val="Body"/>
      </w:pPr>
      <w:r>
        <w:t xml:space="preserve">Parenteral nutrition offers a valuable option to increase or maintain nutrient intake in patients who cannot meet their nutritional needs through normal food consumption, and for whom enteral nutrition is either not feasible, contraindicated, or </w:t>
      </w:r>
      <w:proofErr w:type="gramStart"/>
      <w:r>
        <w:t>refused.[</w:t>
      </w:r>
      <w:proofErr w:type="gramEnd"/>
      <w:r>
        <w:t>11] This approach can help preserve or improve patient autonomy by promoting muscle mass gain, alleviating fatigue, and enhancing overall well-being.</w:t>
      </w:r>
    </w:p>
    <w:p w14:paraId="23AB904C" w14:textId="77777777" w:rsidR="000F3953" w:rsidRDefault="000F3953" w:rsidP="000F3953">
      <w:pPr>
        <w:pStyle w:val="Body"/>
      </w:pPr>
      <w:r>
        <w:t>In this study, we found that there was a significant reduction in fatigue levels following supplementation, with clear improvements observed across the 7-day period. Fatigue scores declined from a baseline average of 44.36 ± 15.69 to 41.73 ± 15.93 by day 3 and dropped further to 28.36 ± 14.03 by day 7. The overall reduction was statistically significant (P = 0.002), with the most substantial change occurring between baseline and day 7 (P = 0.007), indicating a progressive and cumulative benefit from the intervention.</w:t>
      </w:r>
    </w:p>
    <w:p w14:paraId="07CB7F97" w14:textId="77777777" w:rsidR="000F3953" w:rsidRDefault="000F3953" w:rsidP="000F3953">
      <w:pPr>
        <w:pStyle w:val="Body"/>
      </w:pPr>
      <w:r>
        <w:t>Fatigue in cancer patients results from complex factors, including nutrient deficiencies, muscle weakness, and metabolic imbalances. Parenteral nutrition can improve fatigue symptoms by directly supplying essential vitamins, minerals, amino acids, and energy substrates when oral intake is insufficient. PN bypasses gastrointestinal limitations, ensuring adequate delivery of critical nutrients vitamins, and antioxidants, which have demonstrated roles in mitigating fatigue through improved mitochondrial function, reduced oxidative stress, and better muscle metabolism [12]. By correcting these deficiencies, PN helps restore cellular energy production and muscle endurance, thereby reducing fatigue severity in cancer patients. [12,13]</w:t>
      </w:r>
    </w:p>
    <w:p w14:paraId="24EA7E60" w14:textId="77777777" w:rsidR="000F3953" w:rsidRDefault="000F3953" w:rsidP="000F3953">
      <w:pPr>
        <w:pStyle w:val="Body"/>
      </w:pPr>
      <w:r>
        <w:t xml:space="preserve"> In this study, we documented a significant increase in handgrip strength from 9.45 ± 5.61 kg at baseline to 12.00 ± 4.93 kg after 7 days (P = 0.003), indicating improved muscle function. Handgrip strength is a reliable and practical indicator of muscular performance and nutritional </w:t>
      </w:r>
      <w:proofErr w:type="gramStart"/>
      <w:r>
        <w:t>status.[</w:t>
      </w:r>
      <w:proofErr w:type="gramEnd"/>
      <w:r>
        <w:t xml:space="preserve">14] The observed improvement suggests that the intervention effectively counteracted muscle weakness, which is critical for enhancing physical function and quality of life. </w:t>
      </w:r>
      <w:proofErr w:type="spellStart"/>
      <w:r>
        <w:t>Caccialanza</w:t>
      </w:r>
      <w:proofErr w:type="spellEnd"/>
      <w:r>
        <w:t xml:space="preserve"> et al. conducted a </w:t>
      </w:r>
      <w:proofErr w:type="spellStart"/>
      <w:r>
        <w:t>bicentric</w:t>
      </w:r>
      <w:proofErr w:type="spellEnd"/>
      <w:r>
        <w:t xml:space="preserve"> single-arm trial evaluating early seven-day </w:t>
      </w:r>
      <w:r>
        <w:lastRenderedPageBreak/>
        <w:t xml:space="preserve">supplemental parenteral nutrition (SPN) in </w:t>
      </w:r>
      <w:proofErr w:type="spellStart"/>
      <w:r>
        <w:t>hypophagic</w:t>
      </w:r>
      <w:proofErr w:type="spellEnd"/>
      <w:r>
        <w:t xml:space="preserve"> hospitalized cancer patients at nutritional risk with contraindications for enteral nutrition (n=131). The study showed significant improvement in handgrip strength, a key marker of muscle function and nutritional status, alongside better body composition and </w:t>
      </w:r>
      <w:proofErr w:type="spellStart"/>
      <w:r>
        <w:t>prealbumin</w:t>
      </w:r>
      <w:proofErr w:type="spellEnd"/>
      <w:r>
        <w:t xml:space="preserve"> levels. Importantly, these benefits occurred without relevant clinical complications, supporting the safety and efficacy of early SPN in improving muscle function and nutrition in this vulnerable </w:t>
      </w:r>
      <w:proofErr w:type="gramStart"/>
      <w:r>
        <w:t>population.[</w:t>
      </w:r>
      <w:proofErr w:type="gramEnd"/>
      <w:r>
        <w:t>15]</w:t>
      </w:r>
    </w:p>
    <w:p w14:paraId="52FEFD65" w14:textId="77777777" w:rsidR="000F3953" w:rsidRDefault="000F3953" w:rsidP="000F3953">
      <w:pPr>
        <w:pStyle w:val="Body"/>
      </w:pPr>
      <w:r>
        <w:t xml:space="preserve">Previous literature is limited, however a case study involving a 78-year-old female with multiple comorbidities—including chronic kidney disease and peripheral vascular disease—demonstrated that preoperative parenteral nutrition (PN) led to meaningful improvements in functional status, such as increased hand grip strength and weight gain. These improvements highlighted the value of early nutritional intervention, which began at surgical contemplation and continued through the perioperative and postoperative phases. Integrating nutritional </w:t>
      </w:r>
      <w:proofErr w:type="spellStart"/>
      <w:r>
        <w:t>prehabilitation</w:t>
      </w:r>
      <w:proofErr w:type="spellEnd"/>
      <w:r>
        <w:t xml:space="preserve"> into standard care protocols improved outcomes, especially for malnourished or high-risk surgical </w:t>
      </w:r>
      <w:proofErr w:type="gramStart"/>
      <w:r>
        <w:t>patients.[</w:t>
      </w:r>
      <w:proofErr w:type="gramEnd"/>
      <w:r>
        <w:t>16]</w:t>
      </w:r>
    </w:p>
    <w:p w14:paraId="1B4BE156" w14:textId="77777777" w:rsidR="000F3953" w:rsidRDefault="000F3953" w:rsidP="000F3953">
      <w:pPr>
        <w:pStyle w:val="Body"/>
      </w:pPr>
      <w:r>
        <w:t xml:space="preserve"> PN plays a critical role in managing patients with gastrointestinal cancers when enteral feeding is not feasible. It is important to balance the benefits of PN against potential risks such as infections and metabolic complications, with a focus on improving quality of life, maintaining physical function, and relieving symptoms. (17)</w:t>
      </w:r>
    </w:p>
    <w:p w14:paraId="49106B52" w14:textId="77777777" w:rsidR="000F3953" w:rsidRDefault="000F3953" w:rsidP="000F3953">
      <w:pPr>
        <w:pStyle w:val="Body"/>
      </w:pPr>
      <w:r>
        <w:t>In this study, no adverse events or serious adverse events related to parenteral nutrition were reported. The intervention was well tolerated, with no local or systemic adverse reactions observed throughout the study period. These findings support the safety profile of the parenteral nutrition regimen used in this cohort.</w:t>
      </w:r>
    </w:p>
    <w:p w14:paraId="00616BE8" w14:textId="615DE33D" w:rsidR="000F3953" w:rsidRDefault="000F3953" w:rsidP="000F3953">
      <w:pPr>
        <w:pStyle w:val="Body"/>
      </w:pPr>
      <w:r>
        <w:t>Overall, the findings of this study suggest that specialized supplemental parenteral nutrition improves fatigue and physical strength in cancer patients and is well tolerated. The rapid attainment of full caloric intake demonstrates its feasibility during treatment, and the positive outcomes highlight its potential benefits for supportive cancer care.</w:t>
      </w:r>
    </w:p>
    <w:p w14:paraId="34754E11" w14:textId="77777777" w:rsidR="000F3953" w:rsidRDefault="000F3953" w:rsidP="000F3953">
      <w:pPr>
        <w:pStyle w:val="Body"/>
      </w:pPr>
      <w:r>
        <w:t>Limitations of the study</w:t>
      </w:r>
    </w:p>
    <w:p w14:paraId="1317D0F1" w14:textId="3770294F" w:rsidR="00A01D26" w:rsidRDefault="000F3953" w:rsidP="000F3953">
      <w:pPr>
        <w:pStyle w:val="Body"/>
        <w:spacing w:after="0"/>
      </w:pPr>
      <w:r>
        <w:t>The study's small sample size limits the generalizability of its findings and the ability to draw firm conclusions about the effectiveness of PN in cancer patients. As an observational study, it is also subject to potential biases, and variations in patient profiles and treatments may influence outcomes. Further large-scale, controlled trials are needed to confirm these findings and explore the broader impact on functional status and quality of life in cancer populations.</w:t>
      </w:r>
    </w:p>
    <w:p w14:paraId="7D22AF76" w14:textId="18F8C799" w:rsidR="00502C84" w:rsidRDefault="00502C84" w:rsidP="00441B6F">
      <w:pPr>
        <w:pStyle w:val="Body"/>
        <w:spacing w:after="0"/>
      </w:pPr>
    </w:p>
    <w:p w14:paraId="6BEC10E6" w14:textId="77777777" w:rsidR="00502C84" w:rsidRDefault="00502C84" w:rsidP="00441B6F">
      <w:pPr>
        <w:pStyle w:val="Body"/>
        <w:spacing w:after="0"/>
        <w:rPr>
          <w:rFonts w:ascii="Arial" w:hAnsi="Arial" w:cs="Arial"/>
        </w:rPr>
      </w:pPr>
    </w:p>
    <w:p w14:paraId="54668E79" w14:textId="77777777" w:rsidR="00790ADA" w:rsidRPr="00FB3A86" w:rsidRDefault="00790ADA" w:rsidP="00441B6F">
      <w:pPr>
        <w:pStyle w:val="Body"/>
        <w:spacing w:after="0"/>
        <w:rPr>
          <w:rFonts w:ascii="Arial" w:hAnsi="Arial" w:cs="Arial"/>
        </w:rPr>
      </w:pPr>
    </w:p>
    <w:p w14:paraId="7D749FF4" w14:textId="4700A29B" w:rsidR="00B01FCD" w:rsidRDefault="00F630D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295856" w14:textId="77777777" w:rsidR="00790ADA" w:rsidRPr="00FB3A86" w:rsidRDefault="00790ADA" w:rsidP="00441B6F">
      <w:pPr>
        <w:pStyle w:val="ConcHead"/>
        <w:spacing w:after="0"/>
        <w:jc w:val="both"/>
        <w:rPr>
          <w:rFonts w:ascii="Arial" w:hAnsi="Arial" w:cs="Arial"/>
        </w:rPr>
      </w:pPr>
    </w:p>
    <w:p w14:paraId="5C2EF5C8" w14:textId="77777777" w:rsidR="00FD4888" w:rsidRPr="00FD4888" w:rsidRDefault="00FD4888" w:rsidP="00FD4888">
      <w:pPr>
        <w:jc w:val="both"/>
        <w:rPr>
          <w:rFonts w:ascii="Arial" w:hAnsi="Arial" w:cs="Arial"/>
        </w:rPr>
      </w:pPr>
      <w:r w:rsidRPr="00FD4888">
        <w:rPr>
          <w:rFonts w:ascii="Arial" w:hAnsi="Arial" w:cs="Arial"/>
        </w:rPr>
        <w:t>Supplementary parenteral nutrition was well tolerated, safely achieving full caloric intake within three days. Significant improvements in fatigue and hand grip strength demonstrated enhanced patient well-being and physical function, with no PN-related adverse events reported.</w:t>
      </w:r>
    </w:p>
    <w:p w14:paraId="1097E016" w14:textId="77777777" w:rsidR="00FD4888" w:rsidRPr="00FD4888" w:rsidRDefault="00FD4888" w:rsidP="00FD4888">
      <w:pPr>
        <w:jc w:val="both"/>
        <w:rPr>
          <w:rFonts w:ascii="Arial" w:hAnsi="Arial" w:cs="Arial"/>
        </w:rPr>
      </w:pPr>
    </w:p>
    <w:p w14:paraId="5D17BD55" w14:textId="77777777" w:rsidR="00FD4888" w:rsidRPr="00FD4888" w:rsidRDefault="00FD4888" w:rsidP="00FD4888">
      <w:pPr>
        <w:jc w:val="both"/>
        <w:rPr>
          <w:rFonts w:ascii="Arial" w:hAnsi="Arial" w:cs="Arial"/>
          <w:b/>
          <w:bCs/>
        </w:rPr>
      </w:pPr>
    </w:p>
    <w:p w14:paraId="72C73D05" w14:textId="77777777" w:rsidR="00FD4888" w:rsidRPr="00FD4888" w:rsidRDefault="00FD4888" w:rsidP="00FD4888">
      <w:pPr>
        <w:jc w:val="both"/>
        <w:rPr>
          <w:rFonts w:ascii="Arial" w:hAnsi="Arial" w:cs="Arial"/>
          <w:b/>
          <w:bCs/>
        </w:rPr>
      </w:pPr>
      <w:r w:rsidRPr="00FD4888">
        <w:rPr>
          <w:rFonts w:ascii="Arial" w:hAnsi="Arial" w:cs="Arial"/>
          <w:b/>
          <w:bCs/>
        </w:rPr>
        <w:t>CONSENT (WHEREVER APPLICABLE)</w:t>
      </w:r>
    </w:p>
    <w:p w14:paraId="607CCC2B" w14:textId="77777777" w:rsidR="00FD4888" w:rsidRPr="00FD4888" w:rsidRDefault="00FD4888" w:rsidP="00FD4888">
      <w:pPr>
        <w:jc w:val="both"/>
        <w:rPr>
          <w:rFonts w:ascii="Arial" w:hAnsi="Arial" w:cs="Arial"/>
        </w:rPr>
      </w:pPr>
      <w:r w:rsidRPr="00FD4888">
        <w:rPr>
          <w:rFonts w:ascii="Arial" w:hAnsi="Arial" w:cs="Arial"/>
        </w:rPr>
        <w:t xml:space="preserve">All authors declare that ‘informed consent was obtained from the patient </w:t>
      </w:r>
    </w:p>
    <w:p w14:paraId="2EB1886E" w14:textId="77777777" w:rsidR="00FD4888" w:rsidRPr="00FD4888" w:rsidRDefault="00FD4888" w:rsidP="00FD4888">
      <w:pPr>
        <w:jc w:val="both"/>
        <w:rPr>
          <w:rFonts w:ascii="Arial" w:hAnsi="Arial" w:cs="Arial"/>
        </w:rPr>
      </w:pPr>
    </w:p>
    <w:p w14:paraId="6BCBB2A2" w14:textId="77777777" w:rsidR="00FD4888" w:rsidRPr="00FD4888" w:rsidRDefault="00FD4888" w:rsidP="00FD4888">
      <w:pPr>
        <w:jc w:val="both"/>
        <w:rPr>
          <w:rFonts w:ascii="Arial" w:hAnsi="Arial" w:cs="Arial"/>
          <w:b/>
          <w:bCs/>
        </w:rPr>
      </w:pPr>
      <w:r w:rsidRPr="00FD4888">
        <w:rPr>
          <w:rFonts w:ascii="Arial" w:hAnsi="Arial" w:cs="Arial"/>
          <w:b/>
          <w:bCs/>
        </w:rPr>
        <w:t>ETHICAL APPROVAL (WHEREVER APPLICABLE)</w:t>
      </w:r>
    </w:p>
    <w:p w14:paraId="0090E66B" w14:textId="77777777" w:rsidR="00FD4888" w:rsidRDefault="00FD4888" w:rsidP="00FD4888">
      <w:pPr>
        <w:jc w:val="both"/>
        <w:rPr>
          <w:rFonts w:ascii="Arial" w:hAnsi="Arial" w:cs="Arial"/>
        </w:rPr>
      </w:pPr>
      <w:r w:rsidRPr="00FD4888">
        <w:rPr>
          <w:rFonts w:ascii="Arial" w:hAnsi="Arial" w:cs="Arial"/>
        </w:rPr>
        <w:lastRenderedPageBreak/>
        <w:t>The study was aligned with Institutional Review Board. Since the study is observational and a case series, ethics committee approval is not applicable.</w:t>
      </w:r>
    </w:p>
    <w:p w14:paraId="7A34315C" w14:textId="77777777" w:rsidR="00CF6899" w:rsidRDefault="00CF6899" w:rsidP="00FD4888">
      <w:pPr>
        <w:jc w:val="both"/>
        <w:rPr>
          <w:rFonts w:ascii="Arial" w:hAnsi="Arial" w:cs="Arial"/>
        </w:rPr>
      </w:pPr>
    </w:p>
    <w:p w14:paraId="28DEE4ED" w14:textId="77777777" w:rsidR="00CF6899" w:rsidRDefault="00CF6899" w:rsidP="00FD4888">
      <w:pPr>
        <w:jc w:val="both"/>
        <w:rPr>
          <w:rFonts w:ascii="Arial" w:hAnsi="Arial" w:cs="Arial"/>
        </w:rPr>
      </w:pPr>
    </w:p>
    <w:p w14:paraId="3767C152" w14:textId="77777777" w:rsidR="00CF6899" w:rsidRPr="00CF6899" w:rsidRDefault="00CF6899" w:rsidP="00CF6899">
      <w:pPr>
        <w:jc w:val="both"/>
        <w:rPr>
          <w:rFonts w:ascii="Arial" w:hAnsi="Arial" w:cs="Arial"/>
        </w:rPr>
      </w:pPr>
      <w:r w:rsidRPr="00CF6899">
        <w:rPr>
          <w:rFonts w:ascii="Arial" w:hAnsi="Arial" w:cs="Arial"/>
        </w:rPr>
        <w:t>COMPETING INTERESTS DISCLAIMER:</w:t>
      </w:r>
    </w:p>
    <w:p w14:paraId="7BD46202" w14:textId="22702B0D" w:rsidR="00CF6899" w:rsidRPr="00FD4888" w:rsidRDefault="00CF6899" w:rsidP="00CF6899">
      <w:pPr>
        <w:jc w:val="both"/>
        <w:rPr>
          <w:rFonts w:ascii="Arial" w:hAnsi="Arial" w:cs="Arial"/>
        </w:rPr>
      </w:pPr>
      <w:r w:rsidRPr="00CF6899">
        <w:rPr>
          <w:rFonts w:ascii="Arial" w:hAnsi="Arial" w:cs="Arial"/>
        </w:rPr>
        <w:t>Authors have declared that they have no known competing financial interests OR non-financial interests OR personal relationships that could have appeared to influence the work reported in this paper.</w:t>
      </w:r>
    </w:p>
    <w:p w14:paraId="51E44A32" w14:textId="77777777" w:rsidR="00FD4888" w:rsidRPr="00376609" w:rsidRDefault="00FD4888" w:rsidP="00FD4888"/>
    <w:p w14:paraId="1FD9C841" w14:textId="77777777" w:rsidR="00860000" w:rsidRDefault="00860000" w:rsidP="00441B6F">
      <w:pPr>
        <w:pStyle w:val="ReferHead"/>
        <w:spacing w:after="0"/>
        <w:jc w:val="both"/>
        <w:rPr>
          <w:rFonts w:ascii="Arial" w:hAnsi="Arial" w:cs="Arial"/>
        </w:rPr>
      </w:pPr>
    </w:p>
    <w:p w14:paraId="00E431E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73C046" w14:textId="5A8753FE" w:rsidR="001764B7" w:rsidRPr="001764B7" w:rsidRDefault="001764B7" w:rsidP="001764B7">
      <w:pPr>
        <w:pStyle w:val="Body"/>
        <w:rPr>
          <w:rFonts w:ascii="Arial" w:hAnsi="Arial" w:cs="Arial"/>
        </w:rPr>
      </w:pPr>
    </w:p>
    <w:p w14:paraId="68A43D38" w14:textId="77777777" w:rsidR="001764B7" w:rsidRPr="001764B7" w:rsidRDefault="001764B7" w:rsidP="001764B7">
      <w:pPr>
        <w:pStyle w:val="Body"/>
        <w:rPr>
          <w:rFonts w:ascii="Arial" w:hAnsi="Arial" w:cs="Arial"/>
        </w:rPr>
      </w:pPr>
      <w:r w:rsidRPr="001764B7">
        <w:rPr>
          <w:rFonts w:ascii="Arial" w:hAnsi="Arial" w:cs="Arial"/>
        </w:rPr>
        <w:t xml:space="preserve">1.Cotogni, P., </w:t>
      </w:r>
      <w:proofErr w:type="spellStart"/>
      <w:r w:rsidRPr="001764B7">
        <w:rPr>
          <w:rFonts w:ascii="Arial" w:hAnsi="Arial" w:cs="Arial"/>
        </w:rPr>
        <w:t>Bozzetti</w:t>
      </w:r>
      <w:proofErr w:type="spellEnd"/>
      <w:r w:rsidRPr="001764B7">
        <w:rPr>
          <w:rFonts w:ascii="Arial" w:hAnsi="Arial" w:cs="Arial"/>
        </w:rPr>
        <w:t xml:space="preserve">, F., </w:t>
      </w:r>
      <w:proofErr w:type="spellStart"/>
      <w:r w:rsidRPr="001764B7">
        <w:rPr>
          <w:rFonts w:ascii="Arial" w:hAnsi="Arial" w:cs="Arial"/>
        </w:rPr>
        <w:t>Goldwasser</w:t>
      </w:r>
      <w:proofErr w:type="spellEnd"/>
      <w:r w:rsidRPr="001764B7">
        <w:rPr>
          <w:rFonts w:ascii="Arial" w:hAnsi="Arial" w:cs="Arial"/>
        </w:rPr>
        <w:t xml:space="preserve">, F., Jimenez-Fonseca, P., </w:t>
      </w:r>
      <w:proofErr w:type="spellStart"/>
      <w:r w:rsidRPr="001764B7">
        <w:rPr>
          <w:rFonts w:ascii="Arial" w:hAnsi="Arial" w:cs="Arial"/>
        </w:rPr>
        <w:t>Roelsgaard</w:t>
      </w:r>
      <w:proofErr w:type="spellEnd"/>
      <w:r w:rsidRPr="001764B7">
        <w:rPr>
          <w:rFonts w:ascii="Arial" w:hAnsi="Arial" w:cs="Arial"/>
        </w:rPr>
        <w:t xml:space="preserve"> </w:t>
      </w:r>
      <w:proofErr w:type="spellStart"/>
      <w:r w:rsidRPr="001764B7">
        <w:rPr>
          <w:rFonts w:ascii="Arial" w:hAnsi="Arial" w:cs="Arial"/>
        </w:rPr>
        <w:t>Obling</w:t>
      </w:r>
      <w:proofErr w:type="spellEnd"/>
      <w:r w:rsidRPr="001764B7">
        <w:rPr>
          <w:rFonts w:ascii="Arial" w:hAnsi="Arial" w:cs="Arial"/>
        </w:rPr>
        <w:t>, S., &amp; Valle, J. W. (2022). Supplemental parenteral nutrition in cancer care: why, who, when. Therapeutic advances in medical oncology, 14, 17588359221113691. https://doi.org/10.1177/17588359221113691</w:t>
      </w:r>
    </w:p>
    <w:p w14:paraId="7FCD7245" w14:textId="77777777" w:rsidR="001764B7" w:rsidRPr="001764B7" w:rsidRDefault="001764B7" w:rsidP="001764B7">
      <w:pPr>
        <w:pStyle w:val="Body"/>
        <w:rPr>
          <w:rFonts w:ascii="Arial" w:hAnsi="Arial" w:cs="Arial"/>
        </w:rPr>
      </w:pPr>
      <w:r w:rsidRPr="001764B7">
        <w:rPr>
          <w:rFonts w:ascii="Arial" w:hAnsi="Arial" w:cs="Arial"/>
        </w:rPr>
        <w:t xml:space="preserve">2.Arends, J., </w:t>
      </w:r>
      <w:proofErr w:type="spellStart"/>
      <w:r w:rsidRPr="001764B7">
        <w:rPr>
          <w:rFonts w:ascii="Arial" w:hAnsi="Arial" w:cs="Arial"/>
        </w:rPr>
        <w:t>Baracos</w:t>
      </w:r>
      <w:proofErr w:type="spellEnd"/>
      <w:r w:rsidRPr="001764B7">
        <w:rPr>
          <w:rFonts w:ascii="Arial" w:hAnsi="Arial" w:cs="Arial"/>
        </w:rPr>
        <w:t xml:space="preserve">, V., </w:t>
      </w:r>
      <w:proofErr w:type="spellStart"/>
      <w:r w:rsidRPr="001764B7">
        <w:rPr>
          <w:rFonts w:ascii="Arial" w:hAnsi="Arial" w:cs="Arial"/>
        </w:rPr>
        <w:t>Bertz</w:t>
      </w:r>
      <w:proofErr w:type="spellEnd"/>
      <w:r w:rsidRPr="001764B7">
        <w:rPr>
          <w:rFonts w:ascii="Arial" w:hAnsi="Arial" w:cs="Arial"/>
        </w:rPr>
        <w:t xml:space="preserve">, H., </w:t>
      </w:r>
      <w:proofErr w:type="spellStart"/>
      <w:r w:rsidRPr="001764B7">
        <w:rPr>
          <w:rFonts w:ascii="Arial" w:hAnsi="Arial" w:cs="Arial"/>
        </w:rPr>
        <w:t>Bozzetti</w:t>
      </w:r>
      <w:proofErr w:type="spellEnd"/>
      <w:r w:rsidRPr="001764B7">
        <w:rPr>
          <w:rFonts w:ascii="Arial" w:hAnsi="Arial" w:cs="Arial"/>
        </w:rPr>
        <w:t xml:space="preserve">, F., Calder, P. C., </w:t>
      </w:r>
      <w:proofErr w:type="spellStart"/>
      <w:r w:rsidRPr="001764B7">
        <w:rPr>
          <w:rFonts w:ascii="Arial" w:hAnsi="Arial" w:cs="Arial"/>
        </w:rPr>
        <w:t>Deutz</w:t>
      </w:r>
      <w:proofErr w:type="spellEnd"/>
      <w:r w:rsidRPr="001764B7">
        <w:rPr>
          <w:rFonts w:ascii="Arial" w:hAnsi="Arial" w:cs="Arial"/>
        </w:rPr>
        <w:t xml:space="preserve">, N. E. P., Erickson, N., </w:t>
      </w:r>
      <w:proofErr w:type="spellStart"/>
      <w:r w:rsidRPr="001764B7">
        <w:rPr>
          <w:rFonts w:ascii="Arial" w:hAnsi="Arial" w:cs="Arial"/>
        </w:rPr>
        <w:t>Laviano</w:t>
      </w:r>
      <w:proofErr w:type="spellEnd"/>
      <w:r w:rsidRPr="001764B7">
        <w:rPr>
          <w:rFonts w:ascii="Arial" w:hAnsi="Arial" w:cs="Arial"/>
        </w:rPr>
        <w:t xml:space="preserve">, A., </w:t>
      </w:r>
      <w:proofErr w:type="spellStart"/>
      <w:r w:rsidRPr="001764B7">
        <w:rPr>
          <w:rFonts w:ascii="Arial" w:hAnsi="Arial" w:cs="Arial"/>
        </w:rPr>
        <w:t>Lisanti</w:t>
      </w:r>
      <w:proofErr w:type="spellEnd"/>
      <w:r w:rsidRPr="001764B7">
        <w:rPr>
          <w:rFonts w:ascii="Arial" w:hAnsi="Arial" w:cs="Arial"/>
        </w:rPr>
        <w:t xml:space="preserve">, M. P., Lobo, D. N., McMillan, D. C., </w:t>
      </w:r>
      <w:proofErr w:type="spellStart"/>
      <w:r w:rsidRPr="001764B7">
        <w:rPr>
          <w:rFonts w:ascii="Arial" w:hAnsi="Arial" w:cs="Arial"/>
        </w:rPr>
        <w:t>Muscaritoli</w:t>
      </w:r>
      <w:proofErr w:type="spellEnd"/>
      <w:r w:rsidRPr="001764B7">
        <w:rPr>
          <w:rFonts w:ascii="Arial" w:hAnsi="Arial" w:cs="Arial"/>
        </w:rPr>
        <w:t xml:space="preserve">, M., </w:t>
      </w:r>
      <w:proofErr w:type="spellStart"/>
      <w:r w:rsidRPr="001764B7">
        <w:rPr>
          <w:rFonts w:ascii="Arial" w:hAnsi="Arial" w:cs="Arial"/>
        </w:rPr>
        <w:t>Ockenga</w:t>
      </w:r>
      <w:proofErr w:type="spellEnd"/>
      <w:r w:rsidRPr="001764B7">
        <w:rPr>
          <w:rFonts w:ascii="Arial" w:hAnsi="Arial" w:cs="Arial"/>
        </w:rPr>
        <w:t xml:space="preserve">, J., </w:t>
      </w:r>
      <w:proofErr w:type="spellStart"/>
      <w:r w:rsidRPr="001764B7">
        <w:rPr>
          <w:rFonts w:ascii="Arial" w:hAnsi="Arial" w:cs="Arial"/>
        </w:rPr>
        <w:t>Pirlich</w:t>
      </w:r>
      <w:proofErr w:type="spellEnd"/>
      <w:r w:rsidRPr="001764B7">
        <w:rPr>
          <w:rFonts w:ascii="Arial" w:hAnsi="Arial" w:cs="Arial"/>
        </w:rPr>
        <w:t xml:space="preserve">, M., </w:t>
      </w:r>
      <w:proofErr w:type="spellStart"/>
      <w:r w:rsidRPr="001764B7">
        <w:rPr>
          <w:rFonts w:ascii="Arial" w:hAnsi="Arial" w:cs="Arial"/>
        </w:rPr>
        <w:t>Strasser</w:t>
      </w:r>
      <w:proofErr w:type="spellEnd"/>
      <w:r w:rsidRPr="001764B7">
        <w:rPr>
          <w:rFonts w:ascii="Arial" w:hAnsi="Arial" w:cs="Arial"/>
        </w:rPr>
        <w:t xml:space="preserve">, F., de van der </w:t>
      </w:r>
      <w:proofErr w:type="spellStart"/>
      <w:r w:rsidRPr="001764B7">
        <w:rPr>
          <w:rFonts w:ascii="Arial" w:hAnsi="Arial" w:cs="Arial"/>
        </w:rPr>
        <w:t>Schueren</w:t>
      </w:r>
      <w:proofErr w:type="spellEnd"/>
      <w:r w:rsidRPr="001764B7">
        <w:rPr>
          <w:rFonts w:ascii="Arial" w:hAnsi="Arial" w:cs="Arial"/>
        </w:rPr>
        <w:t xml:space="preserve">, M., Van </w:t>
      </w:r>
      <w:proofErr w:type="spellStart"/>
      <w:r w:rsidRPr="001764B7">
        <w:rPr>
          <w:rFonts w:ascii="Arial" w:hAnsi="Arial" w:cs="Arial"/>
        </w:rPr>
        <w:t>Gossum</w:t>
      </w:r>
      <w:proofErr w:type="spellEnd"/>
      <w:r w:rsidRPr="001764B7">
        <w:rPr>
          <w:rFonts w:ascii="Arial" w:hAnsi="Arial" w:cs="Arial"/>
        </w:rPr>
        <w:t xml:space="preserve">, A., </w:t>
      </w:r>
      <w:proofErr w:type="spellStart"/>
      <w:r w:rsidRPr="001764B7">
        <w:rPr>
          <w:rFonts w:ascii="Arial" w:hAnsi="Arial" w:cs="Arial"/>
        </w:rPr>
        <w:t>Vaupel</w:t>
      </w:r>
      <w:proofErr w:type="spellEnd"/>
      <w:r w:rsidRPr="001764B7">
        <w:rPr>
          <w:rFonts w:ascii="Arial" w:hAnsi="Arial" w:cs="Arial"/>
        </w:rPr>
        <w:t xml:space="preserve">, P., &amp; </w:t>
      </w:r>
      <w:proofErr w:type="spellStart"/>
      <w:r w:rsidRPr="001764B7">
        <w:rPr>
          <w:rFonts w:ascii="Arial" w:hAnsi="Arial" w:cs="Arial"/>
        </w:rPr>
        <w:t>Weimann</w:t>
      </w:r>
      <w:proofErr w:type="spellEnd"/>
      <w:r w:rsidRPr="001764B7">
        <w:rPr>
          <w:rFonts w:ascii="Arial" w:hAnsi="Arial" w:cs="Arial"/>
        </w:rPr>
        <w:t>, A. (2017). ESPEN expert group recommendations for action against cancer-related malnutrition. Clinical nutrition (Edinburgh, Scotland), 36(5), 1187–1196. https://doi.org/10.1016/j.clnu.2017.06.017</w:t>
      </w:r>
    </w:p>
    <w:p w14:paraId="07A5B49C" w14:textId="77777777" w:rsidR="001764B7" w:rsidRPr="001764B7" w:rsidRDefault="001764B7" w:rsidP="001764B7">
      <w:pPr>
        <w:pStyle w:val="Body"/>
        <w:rPr>
          <w:rFonts w:ascii="Arial" w:hAnsi="Arial" w:cs="Arial"/>
        </w:rPr>
      </w:pPr>
      <w:r w:rsidRPr="001764B7">
        <w:rPr>
          <w:rFonts w:ascii="Arial" w:hAnsi="Arial" w:cs="Arial"/>
        </w:rPr>
        <w:t xml:space="preserve">3.Pressoir, M., </w:t>
      </w:r>
      <w:proofErr w:type="spellStart"/>
      <w:r w:rsidRPr="001764B7">
        <w:rPr>
          <w:rFonts w:ascii="Arial" w:hAnsi="Arial" w:cs="Arial"/>
        </w:rPr>
        <w:t>Desné</w:t>
      </w:r>
      <w:proofErr w:type="spellEnd"/>
      <w:r w:rsidRPr="001764B7">
        <w:rPr>
          <w:rFonts w:ascii="Arial" w:hAnsi="Arial" w:cs="Arial"/>
        </w:rPr>
        <w:t xml:space="preserve">, S., </w:t>
      </w:r>
      <w:proofErr w:type="spellStart"/>
      <w:r w:rsidRPr="001764B7">
        <w:rPr>
          <w:rFonts w:ascii="Arial" w:hAnsi="Arial" w:cs="Arial"/>
        </w:rPr>
        <w:t>Berchery</w:t>
      </w:r>
      <w:proofErr w:type="spellEnd"/>
      <w:r w:rsidRPr="001764B7">
        <w:rPr>
          <w:rFonts w:ascii="Arial" w:hAnsi="Arial" w:cs="Arial"/>
        </w:rPr>
        <w:t xml:space="preserve">, D., Rossignol, G., </w:t>
      </w:r>
      <w:proofErr w:type="spellStart"/>
      <w:r w:rsidRPr="001764B7">
        <w:rPr>
          <w:rFonts w:ascii="Arial" w:hAnsi="Arial" w:cs="Arial"/>
        </w:rPr>
        <w:t>Poiree</w:t>
      </w:r>
      <w:proofErr w:type="spellEnd"/>
      <w:r w:rsidRPr="001764B7">
        <w:rPr>
          <w:rFonts w:ascii="Arial" w:hAnsi="Arial" w:cs="Arial"/>
        </w:rPr>
        <w:t xml:space="preserve">, B., </w:t>
      </w:r>
      <w:proofErr w:type="spellStart"/>
      <w:r w:rsidRPr="001764B7">
        <w:rPr>
          <w:rFonts w:ascii="Arial" w:hAnsi="Arial" w:cs="Arial"/>
        </w:rPr>
        <w:t>Meslier</w:t>
      </w:r>
      <w:proofErr w:type="spellEnd"/>
      <w:r w:rsidRPr="001764B7">
        <w:rPr>
          <w:rFonts w:ascii="Arial" w:hAnsi="Arial" w:cs="Arial"/>
        </w:rPr>
        <w:t xml:space="preserve">, M., </w:t>
      </w:r>
      <w:proofErr w:type="spellStart"/>
      <w:r w:rsidRPr="001764B7">
        <w:rPr>
          <w:rFonts w:ascii="Arial" w:hAnsi="Arial" w:cs="Arial"/>
        </w:rPr>
        <w:t>Traversier</w:t>
      </w:r>
      <w:proofErr w:type="spellEnd"/>
      <w:r w:rsidRPr="001764B7">
        <w:rPr>
          <w:rFonts w:ascii="Arial" w:hAnsi="Arial" w:cs="Arial"/>
        </w:rPr>
        <w:t xml:space="preserve">, S., </w:t>
      </w:r>
      <w:proofErr w:type="spellStart"/>
      <w:r w:rsidRPr="001764B7">
        <w:rPr>
          <w:rFonts w:ascii="Arial" w:hAnsi="Arial" w:cs="Arial"/>
        </w:rPr>
        <w:t>Vittot</w:t>
      </w:r>
      <w:proofErr w:type="spellEnd"/>
      <w:r w:rsidRPr="001764B7">
        <w:rPr>
          <w:rFonts w:ascii="Arial" w:hAnsi="Arial" w:cs="Arial"/>
        </w:rPr>
        <w:t xml:space="preserve">, M., Simon, M., </w:t>
      </w:r>
      <w:proofErr w:type="spellStart"/>
      <w:r w:rsidRPr="001764B7">
        <w:rPr>
          <w:rFonts w:ascii="Arial" w:hAnsi="Arial" w:cs="Arial"/>
        </w:rPr>
        <w:t>Gekiere</w:t>
      </w:r>
      <w:proofErr w:type="spellEnd"/>
      <w:r w:rsidRPr="001764B7">
        <w:rPr>
          <w:rFonts w:ascii="Arial" w:hAnsi="Arial" w:cs="Arial"/>
        </w:rPr>
        <w:t xml:space="preserve">, J. P., </w:t>
      </w:r>
      <w:proofErr w:type="spellStart"/>
      <w:r w:rsidRPr="001764B7">
        <w:rPr>
          <w:rFonts w:ascii="Arial" w:hAnsi="Arial" w:cs="Arial"/>
        </w:rPr>
        <w:t>Meuric</w:t>
      </w:r>
      <w:proofErr w:type="spellEnd"/>
      <w:r w:rsidRPr="001764B7">
        <w:rPr>
          <w:rFonts w:ascii="Arial" w:hAnsi="Arial" w:cs="Arial"/>
        </w:rPr>
        <w:t xml:space="preserve">, J., </w:t>
      </w:r>
      <w:proofErr w:type="spellStart"/>
      <w:r w:rsidRPr="001764B7">
        <w:rPr>
          <w:rFonts w:ascii="Arial" w:hAnsi="Arial" w:cs="Arial"/>
        </w:rPr>
        <w:t>Serot</w:t>
      </w:r>
      <w:proofErr w:type="spellEnd"/>
      <w:r w:rsidRPr="001764B7">
        <w:rPr>
          <w:rFonts w:ascii="Arial" w:hAnsi="Arial" w:cs="Arial"/>
        </w:rPr>
        <w:t xml:space="preserve">, F., </w:t>
      </w:r>
      <w:proofErr w:type="spellStart"/>
      <w:r w:rsidRPr="001764B7">
        <w:rPr>
          <w:rFonts w:ascii="Arial" w:hAnsi="Arial" w:cs="Arial"/>
        </w:rPr>
        <w:t>Falewee</w:t>
      </w:r>
      <w:proofErr w:type="spellEnd"/>
      <w:r w:rsidRPr="001764B7">
        <w:rPr>
          <w:rFonts w:ascii="Arial" w:hAnsi="Arial" w:cs="Arial"/>
        </w:rPr>
        <w:t xml:space="preserve">, M. N., Rodrigues, I., </w:t>
      </w:r>
      <w:proofErr w:type="spellStart"/>
      <w:r w:rsidRPr="001764B7">
        <w:rPr>
          <w:rFonts w:ascii="Arial" w:hAnsi="Arial" w:cs="Arial"/>
        </w:rPr>
        <w:t>Senesse</w:t>
      </w:r>
      <w:proofErr w:type="spellEnd"/>
      <w:r w:rsidRPr="001764B7">
        <w:rPr>
          <w:rFonts w:ascii="Arial" w:hAnsi="Arial" w:cs="Arial"/>
        </w:rPr>
        <w:t xml:space="preserve">, P., </w:t>
      </w:r>
      <w:proofErr w:type="spellStart"/>
      <w:r w:rsidRPr="001764B7">
        <w:rPr>
          <w:rFonts w:ascii="Arial" w:hAnsi="Arial" w:cs="Arial"/>
        </w:rPr>
        <w:t>Vasson</w:t>
      </w:r>
      <w:proofErr w:type="spellEnd"/>
      <w:r w:rsidRPr="001764B7">
        <w:rPr>
          <w:rFonts w:ascii="Arial" w:hAnsi="Arial" w:cs="Arial"/>
        </w:rPr>
        <w:t xml:space="preserve">, M. P., </w:t>
      </w:r>
      <w:proofErr w:type="spellStart"/>
      <w:r w:rsidRPr="001764B7">
        <w:rPr>
          <w:rFonts w:ascii="Arial" w:hAnsi="Arial" w:cs="Arial"/>
        </w:rPr>
        <w:t>Chelle</w:t>
      </w:r>
      <w:proofErr w:type="spellEnd"/>
      <w:r w:rsidRPr="001764B7">
        <w:rPr>
          <w:rFonts w:ascii="Arial" w:hAnsi="Arial" w:cs="Arial"/>
        </w:rPr>
        <w:t xml:space="preserve">, F., </w:t>
      </w:r>
      <w:proofErr w:type="spellStart"/>
      <w:r w:rsidRPr="001764B7">
        <w:rPr>
          <w:rFonts w:ascii="Arial" w:hAnsi="Arial" w:cs="Arial"/>
        </w:rPr>
        <w:t>Maget</w:t>
      </w:r>
      <w:proofErr w:type="spellEnd"/>
      <w:r w:rsidRPr="001764B7">
        <w:rPr>
          <w:rFonts w:ascii="Arial" w:hAnsi="Arial" w:cs="Arial"/>
        </w:rPr>
        <w:t xml:space="preserve">, B., </w:t>
      </w:r>
      <w:proofErr w:type="spellStart"/>
      <w:r w:rsidRPr="001764B7">
        <w:rPr>
          <w:rFonts w:ascii="Arial" w:hAnsi="Arial" w:cs="Arial"/>
        </w:rPr>
        <w:t>Antoun</w:t>
      </w:r>
      <w:proofErr w:type="spellEnd"/>
      <w:r w:rsidRPr="001764B7">
        <w:rPr>
          <w:rFonts w:ascii="Arial" w:hAnsi="Arial" w:cs="Arial"/>
        </w:rPr>
        <w:t xml:space="preserve">, S., &amp; Bachmann, P. (2010). Prevalence, risk factors and clinical implications of malnutrition in French Comprehensive Cancer </w:t>
      </w:r>
      <w:proofErr w:type="spellStart"/>
      <w:r w:rsidRPr="001764B7">
        <w:rPr>
          <w:rFonts w:ascii="Arial" w:hAnsi="Arial" w:cs="Arial"/>
        </w:rPr>
        <w:t>Centres</w:t>
      </w:r>
      <w:proofErr w:type="spellEnd"/>
      <w:r w:rsidRPr="001764B7">
        <w:rPr>
          <w:rFonts w:ascii="Arial" w:hAnsi="Arial" w:cs="Arial"/>
        </w:rPr>
        <w:t>. British journal of cancer, 102(6), 966–971. https://doi.org/10.1038/sj.bjc.6605578</w:t>
      </w:r>
    </w:p>
    <w:p w14:paraId="7B0E7BBE" w14:textId="77777777" w:rsidR="001764B7" w:rsidRPr="001764B7" w:rsidRDefault="001764B7" w:rsidP="001764B7">
      <w:pPr>
        <w:pStyle w:val="Body"/>
        <w:rPr>
          <w:rFonts w:ascii="Arial" w:hAnsi="Arial" w:cs="Arial"/>
        </w:rPr>
      </w:pPr>
      <w:r w:rsidRPr="001764B7">
        <w:rPr>
          <w:rFonts w:ascii="Arial" w:hAnsi="Arial" w:cs="Arial"/>
        </w:rPr>
        <w:t>4.Bozzetti F. (2013). Nutritional support of the oncology patient. Critical reviews in oncology/hematology, 87(2), 172–200. https://doi.org/10.1016/j.critrevonc.2013.03.006</w:t>
      </w:r>
    </w:p>
    <w:p w14:paraId="75AE1544" w14:textId="77777777" w:rsidR="001764B7" w:rsidRPr="001764B7" w:rsidRDefault="001764B7" w:rsidP="001764B7">
      <w:pPr>
        <w:pStyle w:val="Body"/>
        <w:rPr>
          <w:rFonts w:ascii="Arial" w:hAnsi="Arial" w:cs="Arial"/>
        </w:rPr>
      </w:pPr>
      <w:r w:rsidRPr="001764B7">
        <w:rPr>
          <w:rFonts w:ascii="Arial" w:hAnsi="Arial" w:cs="Arial"/>
        </w:rPr>
        <w:t xml:space="preserve">5.Bozzetti, F., </w:t>
      </w:r>
      <w:proofErr w:type="spellStart"/>
      <w:r w:rsidRPr="001764B7">
        <w:rPr>
          <w:rFonts w:ascii="Arial" w:hAnsi="Arial" w:cs="Arial"/>
        </w:rPr>
        <w:t>Arends</w:t>
      </w:r>
      <w:proofErr w:type="spellEnd"/>
      <w:r w:rsidRPr="001764B7">
        <w:rPr>
          <w:rFonts w:ascii="Arial" w:hAnsi="Arial" w:cs="Arial"/>
        </w:rPr>
        <w:t xml:space="preserve">, J., </w:t>
      </w:r>
      <w:proofErr w:type="spellStart"/>
      <w:r w:rsidRPr="001764B7">
        <w:rPr>
          <w:rFonts w:ascii="Arial" w:hAnsi="Arial" w:cs="Arial"/>
        </w:rPr>
        <w:t>Lundholm</w:t>
      </w:r>
      <w:proofErr w:type="spellEnd"/>
      <w:r w:rsidRPr="001764B7">
        <w:rPr>
          <w:rFonts w:ascii="Arial" w:hAnsi="Arial" w:cs="Arial"/>
        </w:rPr>
        <w:t xml:space="preserve">, K., </w:t>
      </w:r>
      <w:proofErr w:type="spellStart"/>
      <w:r w:rsidRPr="001764B7">
        <w:rPr>
          <w:rFonts w:ascii="Arial" w:hAnsi="Arial" w:cs="Arial"/>
        </w:rPr>
        <w:t>Micklewright</w:t>
      </w:r>
      <w:proofErr w:type="spellEnd"/>
      <w:r w:rsidRPr="001764B7">
        <w:rPr>
          <w:rFonts w:ascii="Arial" w:hAnsi="Arial" w:cs="Arial"/>
        </w:rPr>
        <w:t xml:space="preserve">, A., </w:t>
      </w:r>
      <w:proofErr w:type="spellStart"/>
      <w:r w:rsidRPr="001764B7">
        <w:rPr>
          <w:rFonts w:ascii="Arial" w:hAnsi="Arial" w:cs="Arial"/>
        </w:rPr>
        <w:t>Zurcher</w:t>
      </w:r>
      <w:proofErr w:type="spellEnd"/>
      <w:r w:rsidRPr="001764B7">
        <w:rPr>
          <w:rFonts w:ascii="Arial" w:hAnsi="Arial" w:cs="Arial"/>
        </w:rPr>
        <w:t xml:space="preserve">, G., </w:t>
      </w:r>
      <w:proofErr w:type="spellStart"/>
      <w:r w:rsidRPr="001764B7">
        <w:rPr>
          <w:rFonts w:ascii="Arial" w:hAnsi="Arial" w:cs="Arial"/>
        </w:rPr>
        <w:t>Muscaritoli</w:t>
      </w:r>
      <w:proofErr w:type="spellEnd"/>
      <w:r w:rsidRPr="001764B7">
        <w:rPr>
          <w:rFonts w:ascii="Arial" w:hAnsi="Arial" w:cs="Arial"/>
        </w:rPr>
        <w:t>, M., &amp; ESPEN (2009). ESPEN Guidelines on Parenteral Nutrition: non-surgical oncology. Clinical nutrition (Edinburgh, Scotland), 28(4), 445–454. https://doi.org/10.1016/j.clnu.2009.04.011</w:t>
      </w:r>
    </w:p>
    <w:p w14:paraId="3272CB9D" w14:textId="77777777" w:rsidR="001764B7" w:rsidRPr="001764B7" w:rsidRDefault="001764B7" w:rsidP="001764B7">
      <w:pPr>
        <w:pStyle w:val="Body"/>
        <w:rPr>
          <w:rFonts w:ascii="Arial" w:hAnsi="Arial" w:cs="Arial"/>
        </w:rPr>
      </w:pPr>
      <w:r w:rsidRPr="001764B7">
        <w:rPr>
          <w:rFonts w:ascii="Arial" w:hAnsi="Arial" w:cs="Arial"/>
        </w:rPr>
        <w:t xml:space="preserve">6.Bozzetti, F., </w:t>
      </w:r>
      <w:proofErr w:type="spellStart"/>
      <w:r w:rsidRPr="001764B7">
        <w:rPr>
          <w:rFonts w:ascii="Arial" w:hAnsi="Arial" w:cs="Arial"/>
        </w:rPr>
        <w:t>Cozzaglio</w:t>
      </w:r>
      <w:proofErr w:type="spellEnd"/>
      <w:r w:rsidRPr="001764B7">
        <w:rPr>
          <w:rFonts w:ascii="Arial" w:hAnsi="Arial" w:cs="Arial"/>
        </w:rPr>
        <w:t xml:space="preserve">, L., </w:t>
      </w:r>
      <w:proofErr w:type="spellStart"/>
      <w:r w:rsidRPr="001764B7">
        <w:rPr>
          <w:rFonts w:ascii="Arial" w:hAnsi="Arial" w:cs="Arial"/>
        </w:rPr>
        <w:t>Biganzoli</w:t>
      </w:r>
      <w:proofErr w:type="spellEnd"/>
      <w:r w:rsidRPr="001764B7">
        <w:rPr>
          <w:rFonts w:ascii="Arial" w:hAnsi="Arial" w:cs="Arial"/>
        </w:rPr>
        <w:t xml:space="preserve">, E., </w:t>
      </w:r>
      <w:proofErr w:type="spellStart"/>
      <w:r w:rsidRPr="001764B7">
        <w:rPr>
          <w:rFonts w:ascii="Arial" w:hAnsi="Arial" w:cs="Arial"/>
        </w:rPr>
        <w:t>Chiavenna</w:t>
      </w:r>
      <w:proofErr w:type="spellEnd"/>
      <w:r w:rsidRPr="001764B7">
        <w:rPr>
          <w:rFonts w:ascii="Arial" w:hAnsi="Arial" w:cs="Arial"/>
        </w:rPr>
        <w:t xml:space="preserve">, G., De </w:t>
      </w:r>
      <w:proofErr w:type="spellStart"/>
      <w:r w:rsidRPr="001764B7">
        <w:rPr>
          <w:rFonts w:ascii="Arial" w:hAnsi="Arial" w:cs="Arial"/>
        </w:rPr>
        <w:t>Cicco</w:t>
      </w:r>
      <w:proofErr w:type="spellEnd"/>
      <w:r w:rsidRPr="001764B7">
        <w:rPr>
          <w:rFonts w:ascii="Arial" w:hAnsi="Arial" w:cs="Arial"/>
        </w:rPr>
        <w:t xml:space="preserve">, M., </w:t>
      </w:r>
      <w:proofErr w:type="spellStart"/>
      <w:r w:rsidRPr="001764B7">
        <w:rPr>
          <w:rFonts w:ascii="Arial" w:hAnsi="Arial" w:cs="Arial"/>
        </w:rPr>
        <w:t>Donati</w:t>
      </w:r>
      <w:proofErr w:type="spellEnd"/>
      <w:r w:rsidRPr="001764B7">
        <w:rPr>
          <w:rFonts w:ascii="Arial" w:hAnsi="Arial" w:cs="Arial"/>
        </w:rPr>
        <w:t xml:space="preserve">, D., </w:t>
      </w:r>
      <w:proofErr w:type="spellStart"/>
      <w:r w:rsidRPr="001764B7">
        <w:rPr>
          <w:rFonts w:ascii="Arial" w:hAnsi="Arial" w:cs="Arial"/>
        </w:rPr>
        <w:t>Gilli</w:t>
      </w:r>
      <w:proofErr w:type="spellEnd"/>
      <w:r w:rsidRPr="001764B7">
        <w:rPr>
          <w:rFonts w:ascii="Arial" w:hAnsi="Arial" w:cs="Arial"/>
        </w:rPr>
        <w:t xml:space="preserve">, G., </w:t>
      </w:r>
      <w:proofErr w:type="spellStart"/>
      <w:r w:rsidRPr="001764B7">
        <w:rPr>
          <w:rFonts w:ascii="Arial" w:hAnsi="Arial" w:cs="Arial"/>
        </w:rPr>
        <w:t>Percolla</w:t>
      </w:r>
      <w:proofErr w:type="spellEnd"/>
      <w:r w:rsidRPr="001764B7">
        <w:rPr>
          <w:rFonts w:ascii="Arial" w:hAnsi="Arial" w:cs="Arial"/>
        </w:rPr>
        <w:t xml:space="preserve">, S., &amp; </w:t>
      </w:r>
      <w:proofErr w:type="spellStart"/>
      <w:r w:rsidRPr="001764B7">
        <w:rPr>
          <w:rFonts w:ascii="Arial" w:hAnsi="Arial" w:cs="Arial"/>
        </w:rPr>
        <w:t>Pironi</w:t>
      </w:r>
      <w:proofErr w:type="spellEnd"/>
      <w:r w:rsidRPr="001764B7">
        <w:rPr>
          <w:rFonts w:ascii="Arial" w:hAnsi="Arial" w:cs="Arial"/>
        </w:rPr>
        <w:t>, L. (2002). Quality of life and length of survival in advanced cancer patients on home parenteral nutrition. Clinical nutrition (Edinburgh, Scotland), 21(4), 281–288. https://doi.org/10.1054/clnu.2002.0560</w:t>
      </w:r>
    </w:p>
    <w:p w14:paraId="78FA0DE3" w14:textId="77777777" w:rsidR="001764B7" w:rsidRPr="001764B7" w:rsidRDefault="001764B7" w:rsidP="001764B7">
      <w:pPr>
        <w:pStyle w:val="Body"/>
        <w:rPr>
          <w:rFonts w:ascii="Arial" w:hAnsi="Arial" w:cs="Arial"/>
        </w:rPr>
      </w:pPr>
      <w:r w:rsidRPr="001764B7">
        <w:rPr>
          <w:rFonts w:ascii="Arial" w:hAnsi="Arial" w:cs="Arial"/>
        </w:rPr>
        <w:t xml:space="preserve">7.Bozzetti, F., </w:t>
      </w:r>
      <w:proofErr w:type="spellStart"/>
      <w:r w:rsidRPr="001764B7">
        <w:rPr>
          <w:rFonts w:ascii="Arial" w:hAnsi="Arial" w:cs="Arial"/>
        </w:rPr>
        <w:t>Mariani</w:t>
      </w:r>
      <w:proofErr w:type="spellEnd"/>
      <w:r w:rsidRPr="001764B7">
        <w:rPr>
          <w:rFonts w:ascii="Arial" w:hAnsi="Arial" w:cs="Arial"/>
        </w:rPr>
        <w:t xml:space="preserve">, L., Lo </w:t>
      </w:r>
      <w:proofErr w:type="spellStart"/>
      <w:r w:rsidRPr="001764B7">
        <w:rPr>
          <w:rFonts w:ascii="Arial" w:hAnsi="Arial" w:cs="Arial"/>
        </w:rPr>
        <w:t>Vullo</w:t>
      </w:r>
      <w:proofErr w:type="spellEnd"/>
      <w:r w:rsidRPr="001764B7">
        <w:rPr>
          <w:rFonts w:ascii="Arial" w:hAnsi="Arial" w:cs="Arial"/>
        </w:rPr>
        <w:t xml:space="preserve">, S., SCRINIO Working Group, </w:t>
      </w:r>
      <w:proofErr w:type="spellStart"/>
      <w:r w:rsidRPr="001764B7">
        <w:rPr>
          <w:rFonts w:ascii="Arial" w:hAnsi="Arial" w:cs="Arial"/>
        </w:rPr>
        <w:t>Amerio</w:t>
      </w:r>
      <w:proofErr w:type="spellEnd"/>
      <w:r w:rsidRPr="001764B7">
        <w:rPr>
          <w:rFonts w:ascii="Arial" w:hAnsi="Arial" w:cs="Arial"/>
        </w:rPr>
        <w:t xml:space="preserve">, M. L., </w:t>
      </w:r>
      <w:proofErr w:type="spellStart"/>
      <w:r w:rsidRPr="001764B7">
        <w:rPr>
          <w:rFonts w:ascii="Arial" w:hAnsi="Arial" w:cs="Arial"/>
        </w:rPr>
        <w:t>Biffi</w:t>
      </w:r>
      <w:proofErr w:type="spellEnd"/>
      <w:r w:rsidRPr="001764B7">
        <w:rPr>
          <w:rFonts w:ascii="Arial" w:hAnsi="Arial" w:cs="Arial"/>
        </w:rPr>
        <w:t xml:space="preserve">, R., </w:t>
      </w:r>
      <w:proofErr w:type="spellStart"/>
      <w:r w:rsidRPr="001764B7">
        <w:rPr>
          <w:rFonts w:ascii="Arial" w:hAnsi="Arial" w:cs="Arial"/>
        </w:rPr>
        <w:t>Caccialanza</w:t>
      </w:r>
      <w:proofErr w:type="spellEnd"/>
      <w:r w:rsidRPr="001764B7">
        <w:rPr>
          <w:rFonts w:ascii="Arial" w:hAnsi="Arial" w:cs="Arial"/>
        </w:rPr>
        <w:t xml:space="preserve">, G., Capuano, G., </w:t>
      </w:r>
      <w:proofErr w:type="spellStart"/>
      <w:r w:rsidRPr="001764B7">
        <w:rPr>
          <w:rFonts w:ascii="Arial" w:hAnsi="Arial" w:cs="Arial"/>
        </w:rPr>
        <w:t>Correja</w:t>
      </w:r>
      <w:proofErr w:type="spellEnd"/>
      <w:r w:rsidRPr="001764B7">
        <w:rPr>
          <w:rFonts w:ascii="Arial" w:hAnsi="Arial" w:cs="Arial"/>
        </w:rPr>
        <w:t xml:space="preserve">, I., </w:t>
      </w:r>
      <w:proofErr w:type="spellStart"/>
      <w:r w:rsidRPr="001764B7">
        <w:rPr>
          <w:rFonts w:ascii="Arial" w:hAnsi="Arial" w:cs="Arial"/>
        </w:rPr>
        <w:t>Cozzaglio</w:t>
      </w:r>
      <w:proofErr w:type="spellEnd"/>
      <w:r w:rsidRPr="001764B7">
        <w:rPr>
          <w:rFonts w:ascii="Arial" w:hAnsi="Arial" w:cs="Arial"/>
        </w:rPr>
        <w:t xml:space="preserve">, L., Di Leo, A., Di Cosmo, L., </w:t>
      </w:r>
      <w:proofErr w:type="spellStart"/>
      <w:r w:rsidRPr="001764B7">
        <w:rPr>
          <w:rFonts w:ascii="Arial" w:hAnsi="Arial" w:cs="Arial"/>
        </w:rPr>
        <w:t>Finocchiaro</w:t>
      </w:r>
      <w:proofErr w:type="spellEnd"/>
      <w:r w:rsidRPr="001764B7">
        <w:rPr>
          <w:rFonts w:ascii="Arial" w:hAnsi="Arial" w:cs="Arial"/>
        </w:rPr>
        <w:t xml:space="preserve">, C., Gavazzi, C., </w:t>
      </w:r>
      <w:proofErr w:type="spellStart"/>
      <w:r w:rsidRPr="001764B7">
        <w:rPr>
          <w:rFonts w:ascii="Arial" w:hAnsi="Arial" w:cs="Arial"/>
        </w:rPr>
        <w:t>Giannoni</w:t>
      </w:r>
      <w:proofErr w:type="spellEnd"/>
      <w:r w:rsidRPr="001764B7">
        <w:rPr>
          <w:rFonts w:ascii="Arial" w:hAnsi="Arial" w:cs="Arial"/>
        </w:rPr>
        <w:t xml:space="preserve">, A., </w:t>
      </w:r>
      <w:proofErr w:type="spellStart"/>
      <w:r w:rsidRPr="001764B7">
        <w:rPr>
          <w:rFonts w:ascii="Arial" w:hAnsi="Arial" w:cs="Arial"/>
        </w:rPr>
        <w:t>Magnanini</w:t>
      </w:r>
      <w:proofErr w:type="spellEnd"/>
      <w:r w:rsidRPr="001764B7">
        <w:rPr>
          <w:rFonts w:ascii="Arial" w:hAnsi="Arial" w:cs="Arial"/>
        </w:rPr>
        <w:t xml:space="preserve">, P., </w:t>
      </w:r>
      <w:proofErr w:type="spellStart"/>
      <w:r w:rsidRPr="001764B7">
        <w:rPr>
          <w:rFonts w:ascii="Arial" w:hAnsi="Arial" w:cs="Arial"/>
        </w:rPr>
        <w:t>Mantovani</w:t>
      </w:r>
      <w:proofErr w:type="spellEnd"/>
      <w:r w:rsidRPr="001764B7">
        <w:rPr>
          <w:rFonts w:ascii="Arial" w:hAnsi="Arial" w:cs="Arial"/>
        </w:rPr>
        <w:t xml:space="preserve">, G., Pellegrini, M., </w:t>
      </w:r>
      <w:proofErr w:type="spellStart"/>
      <w:r w:rsidRPr="001764B7">
        <w:rPr>
          <w:rFonts w:ascii="Arial" w:hAnsi="Arial" w:cs="Arial"/>
        </w:rPr>
        <w:t>Rovera</w:t>
      </w:r>
      <w:proofErr w:type="spellEnd"/>
      <w:r w:rsidRPr="001764B7">
        <w:rPr>
          <w:rFonts w:ascii="Arial" w:hAnsi="Arial" w:cs="Arial"/>
        </w:rPr>
        <w:t xml:space="preserve">, L., Sandri, G., … </w:t>
      </w:r>
      <w:proofErr w:type="spellStart"/>
      <w:r w:rsidRPr="001764B7">
        <w:rPr>
          <w:rFonts w:ascii="Arial" w:hAnsi="Arial" w:cs="Arial"/>
        </w:rPr>
        <w:t>Vigevani</w:t>
      </w:r>
      <w:proofErr w:type="spellEnd"/>
      <w:r w:rsidRPr="001764B7">
        <w:rPr>
          <w:rFonts w:ascii="Arial" w:hAnsi="Arial" w:cs="Arial"/>
        </w:rPr>
        <w:t>, E. (2012). The nutritional risk in oncology: a study of 1,453 cancer outpatients. Supportive care in cancer: official journal of the Multinational Association of Supportive Care in Cancer, 20(8), 1919–1928. https://doi.org/10.1007/s00520-012-1387-x</w:t>
      </w:r>
    </w:p>
    <w:p w14:paraId="2BF3C516" w14:textId="77777777" w:rsidR="001764B7" w:rsidRPr="001764B7" w:rsidRDefault="001764B7" w:rsidP="001764B7">
      <w:pPr>
        <w:pStyle w:val="Body"/>
        <w:rPr>
          <w:rFonts w:ascii="Arial" w:hAnsi="Arial" w:cs="Arial"/>
        </w:rPr>
      </w:pPr>
      <w:r w:rsidRPr="001764B7">
        <w:rPr>
          <w:rFonts w:ascii="Arial" w:hAnsi="Arial" w:cs="Arial"/>
        </w:rPr>
        <w:t>8.Bower J. E. (2014). Cancer-related fatigue--mechanisms, risk factors, and treatments. Nature reviews. Clinical oncology, 11(10), 597–609. https://doi.org/10.1038/nrclinonc.2014.127</w:t>
      </w:r>
    </w:p>
    <w:p w14:paraId="41DCAE24" w14:textId="77777777" w:rsidR="001764B7" w:rsidRPr="001764B7" w:rsidRDefault="001764B7" w:rsidP="001764B7">
      <w:pPr>
        <w:pStyle w:val="Body"/>
        <w:rPr>
          <w:rFonts w:ascii="Arial" w:hAnsi="Arial" w:cs="Arial"/>
        </w:rPr>
      </w:pPr>
      <w:r w:rsidRPr="001764B7">
        <w:rPr>
          <w:rFonts w:ascii="Arial" w:hAnsi="Arial" w:cs="Arial"/>
        </w:rPr>
        <w:lastRenderedPageBreak/>
        <w:t xml:space="preserve">9. </w:t>
      </w:r>
      <w:proofErr w:type="spellStart"/>
      <w:r w:rsidRPr="001764B7">
        <w:rPr>
          <w:rFonts w:ascii="Arial" w:hAnsi="Arial" w:cs="Arial"/>
        </w:rPr>
        <w:t>Nutriflex</w:t>
      </w:r>
      <w:proofErr w:type="spellEnd"/>
      <w:r w:rsidRPr="001764B7">
        <w:rPr>
          <w:rFonts w:ascii="Arial" w:hAnsi="Arial" w:cs="Arial"/>
        </w:rPr>
        <w:t xml:space="preserve"> Package Leaflet. B. Braun. Available from: https://www.hpra.ie/img/uploaded/swedocuments/PIL-nutriflex-peri-ie-pa-736-6-1-2175688-20062017094724-636335488453750000.pdf</w:t>
      </w:r>
    </w:p>
    <w:p w14:paraId="4A116A0D" w14:textId="77777777" w:rsidR="001764B7" w:rsidRPr="001764B7" w:rsidRDefault="001764B7" w:rsidP="001764B7">
      <w:pPr>
        <w:pStyle w:val="Body"/>
        <w:rPr>
          <w:rFonts w:ascii="Arial" w:hAnsi="Arial" w:cs="Arial"/>
        </w:rPr>
      </w:pPr>
      <w:r w:rsidRPr="001764B7">
        <w:rPr>
          <w:rFonts w:ascii="Arial" w:hAnsi="Arial" w:cs="Arial"/>
        </w:rPr>
        <w:t xml:space="preserve">10.Poopady, A., </w:t>
      </w:r>
      <w:proofErr w:type="spellStart"/>
      <w:r w:rsidRPr="001764B7">
        <w:rPr>
          <w:rFonts w:ascii="Arial" w:hAnsi="Arial" w:cs="Arial"/>
        </w:rPr>
        <w:t>Nayak</w:t>
      </w:r>
      <w:proofErr w:type="spellEnd"/>
      <w:r w:rsidRPr="001764B7">
        <w:rPr>
          <w:rFonts w:ascii="Arial" w:hAnsi="Arial" w:cs="Arial"/>
        </w:rPr>
        <w:t xml:space="preserve">, S., </w:t>
      </w:r>
      <w:proofErr w:type="spellStart"/>
      <w:r w:rsidRPr="001764B7">
        <w:rPr>
          <w:rFonts w:ascii="Arial" w:hAnsi="Arial" w:cs="Arial"/>
        </w:rPr>
        <w:t>D'Silva</w:t>
      </w:r>
      <w:proofErr w:type="spellEnd"/>
      <w:r w:rsidRPr="001764B7">
        <w:rPr>
          <w:rFonts w:ascii="Arial" w:hAnsi="Arial" w:cs="Arial"/>
        </w:rPr>
        <w:t>, F., Kamath, N., Suresh, S., &amp; Shetty, J. (2023). Cancer related fatigue measurement scales: A systematic review. Indian journal of public health, 67(3), 448–454. https://doi.org/10.4103/ijph.ijph_1025_22</w:t>
      </w:r>
    </w:p>
    <w:p w14:paraId="191E5FCC" w14:textId="77777777" w:rsidR="001764B7" w:rsidRPr="001764B7" w:rsidRDefault="001764B7" w:rsidP="001764B7">
      <w:pPr>
        <w:pStyle w:val="Body"/>
        <w:rPr>
          <w:rFonts w:ascii="Arial" w:hAnsi="Arial" w:cs="Arial"/>
        </w:rPr>
      </w:pPr>
      <w:r w:rsidRPr="001764B7">
        <w:rPr>
          <w:rFonts w:ascii="Arial" w:hAnsi="Arial" w:cs="Arial"/>
        </w:rPr>
        <w:t xml:space="preserve">11. </w:t>
      </w:r>
      <w:proofErr w:type="spellStart"/>
      <w:r w:rsidRPr="001764B7">
        <w:rPr>
          <w:rFonts w:ascii="Arial" w:hAnsi="Arial" w:cs="Arial"/>
        </w:rPr>
        <w:t>Bozzetti</w:t>
      </w:r>
      <w:proofErr w:type="spellEnd"/>
      <w:r w:rsidRPr="001764B7">
        <w:rPr>
          <w:rFonts w:ascii="Arial" w:hAnsi="Arial" w:cs="Arial"/>
        </w:rPr>
        <w:t xml:space="preserve">, F., </w:t>
      </w:r>
      <w:proofErr w:type="spellStart"/>
      <w:r w:rsidRPr="001764B7">
        <w:rPr>
          <w:rFonts w:ascii="Arial" w:hAnsi="Arial" w:cs="Arial"/>
        </w:rPr>
        <w:t>Arends</w:t>
      </w:r>
      <w:proofErr w:type="spellEnd"/>
      <w:r w:rsidRPr="001764B7">
        <w:rPr>
          <w:rFonts w:ascii="Arial" w:hAnsi="Arial" w:cs="Arial"/>
        </w:rPr>
        <w:t xml:space="preserve">, J., </w:t>
      </w:r>
      <w:proofErr w:type="spellStart"/>
      <w:r w:rsidRPr="001764B7">
        <w:rPr>
          <w:rFonts w:ascii="Arial" w:hAnsi="Arial" w:cs="Arial"/>
        </w:rPr>
        <w:t>Lundholm</w:t>
      </w:r>
      <w:proofErr w:type="spellEnd"/>
      <w:r w:rsidRPr="001764B7">
        <w:rPr>
          <w:rFonts w:ascii="Arial" w:hAnsi="Arial" w:cs="Arial"/>
        </w:rPr>
        <w:t xml:space="preserve">, K., </w:t>
      </w:r>
      <w:proofErr w:type="spellStart"/>
      <w:r w:rsidRPr="001764B7">
        <w:rPr>
          <w:rFonts w:ascii="Arial" w:hAnsi="Arial" w:cs="Arial"/>
        </w:rPr>
        <w:t>Micklewright</w:t>
      </w:r>
      <w:proofErr w:type="spellEnd"/>
      <w:r w:rsidRPr="001764B7">
        <w:rPr>
          <w:rFonts w:ascii="Arial" w:hAnsi="Arial" w:cs="Arial"/>
        </w:rPr>
        <w:t xml:space="preserve">, A., </w:t>
      </w:r>
      <w:proofErr w:type="spellStart"/>
      <w:r w:rsidRPr="001764B7">
        <w:rPr>
          <w:rFonts w:ascii="Arial" w:hAnsi="Arial" w:cs="Arial"/>
        </w:rPr>
        <w:t>Zurcher</w:t>
      </w:r>
      <w:proofErr w:type="spellEnd"/>
      <w:r w:rsidRPr="001764B7">
        <w:rPr>
          <w:rFonts w:ascii="Arial" w:hAnsi="Arial" w:cs="Arial"/>
        </w:rPr>
        <w:t xml:space="preserve">, G., </w:t>
      </w:r>
      <w:proofErr w:type="spellStart"/>
      <w:r w:rsidRPr="001764B7">
        <w:rPr>
          <w:rFonts w:ascii="Arial" w:hAnsi="Arial" w:cs="Arial"/>
        </w:rPr>
        <w:t>Muscaritoli</w:t>
      </w:r>
      <w:proofErr w:type="spellEnd"/>
      <w:r w:rsidRPr="001764B7">
        <w:rPr>
          <w:rFonts w:ascii="Arial" w:hAnsi="Arial" w:cs="Arial"/>
        </w:rPr>
        <w:t>, M., &amp; ESPEN (2009). ESPEN Guidelines on Parenteral Nutrition: non-surgical oncology. Clinical nutrition (Edinburgh, Scotland), 28(4), 445–454. https://doi.org/10.1016/j.clnu.2009.04.011</w:t>
      </w:r>
    </w:p>
    <w:p w14:paraId="3D4DDE3D" w14:textId="77777777" w:rsidR="001764B7" w:rsidRPr="001764B7" w:rsidRDefault="001764B7" w:rsidP="001764B7">
      <w:pPr>
        <w:pStyle w:val="Body"/>
        <w:rPr>
          <w:rFonts w:ascii="Arial" w:hAnsi="Arial" w:cs="Arial"/>
        </w:rPr>
      </w:pPr>
      <w:r w:rsidRPr="001764B7">
        <w:rPr>
          <w:rFonts w:ascii="Arial" w:hAnsi="Arial" w:cs="Arial"/>
        </w:rPr>
        <w:t xml:space="preserve">12. </w:t>
      </w:r>
      <w:proofErr w:type="spellStart"/>
      <w:r w:rsidRPr="001764B7">
        <w:rPr>
          <w:rFonts w:ascii="Arial" w:hAnsi="Arial" w:cs="Arial"/>
        </w:rPr>
        <w:t>Barnish</w:t>
      </w:r>
      <w:proofErr w:type="spellEnd"/>
      <w:r w:rsidRPr="001764B7">
        <w:rPr>
          <w:rFonts w:ascii="Arial" w:hAnsi="Arial" w:cs="Arial"/>
        </w:rPr>
        <w:t xml:space="preserve">, M., Sheikh, M., &amp; </w:t>
      </w:r>
      <w:proofErr w:type="spellStart"/>
      <w:r w:rsidRPr="001764B7">
        <w:rPr>
          <w:rFonts w:ascii="Arial" w:hAnsi="Arial" w:cs="Arial"/>
        </w:rPr>
        <w:t>Scholey</w:t>
      </w:r>
      <w:proofErr w:type="spellEnd"/>
      <w:r w:rsidRPr="001764B7">
        <w:rPr>
          <w:rFonts w:ascii="Arial" w:hAnsi="Arial" w:cs="Arial"/>
        </w:rPr>
        <w:t>, A. (2023). Nutrient Therapy for the Improvement of Fatigue Symptoms. Nutrients, 15(9), 2154. https://doi.org/10.3390/nu15092154</w:t>
      </w:r>
    </w:p>
    <w:p w14:paraId="6F53AEC9" w14:textId="77777777" w:rsidR="001764B7" w:rsidRPr="001764B7" w:rsidRDefault="001764B7" w:rsidP="001764B7">
      <w:pPr>
        <w:pStyle w:val="Body"/>
        <w:rPr>
          <w:rFonts w:ascii="Arial" w:hAnsi="Arial" w:cs="Arial"/>
        </w:rPr>
      </w:pPr>
      <w:r w:rsidRPr="001764B7">
        <w:rPr>
          <w:rFonts w:ascii="Arial" w:hAnsi="Arial" w:cs="Arial"/>
        </w:rPr>
        <w:t xml:space="preserve">13. Tardy, A. L., </w:t>
      </w:r>
      <w:proofErr w:type="spellStart"/>
      <w:r w:rsidRPr="001764B7">
        <w:rPr>
          <w:rFonts w:ascii="Arial" w:hAnsi="Arial" w:cs="Arial"/>
        </w:rPr>
        <w:t>Pouteau</w:t>
      </w:r>
      <w:proofErr w:type="spellEnd"/>
      <w:r w:rsidRPr="001764B7">
        <w:rPr>
          <w:rFonts w:ascii="Arial" w:hAnsi="Arial" w:cs="Arial"/>
        </w:rPr>
        <w:t xml:space="preserve">, E., Marquez, D., Yilmaz, C., &amp; </w:t>
      </w:r>
      <w:proofErr w:type="spellStart"/>
      <w:r w:rsidRPr="001764B7">
        <w:rPr>
          <w:rFonts w:ascii="Arial" w:hAnsi="Arial" w:cs="Arial"/>
        </w:rPr>
        <w:t>Scholey</w:t>
      </w:r>
      <w:proofErr w:type="spellEnd"/>
      <w:r w:rsidRPr="001764B7">
        <w:rPr>
          <w:rFonts w:ascii="Arial" w:hAnsi="Arial" w:cs="Arial"/>
        </w:rPr>
        <w:t>, A. (2020). Vitamins and Minerals for Energy, Fatigue and Cognition: A Narrative Review of the Biochemical and Clinical Evidence. Nutrients, 12(1), 228. https://doi.org/10.3390/nu12010228</w:t>
      </w:r>
    </w:p>
    <w:p w14:paraId="7865530C" w14:textId="77777777" w:rsidR="001764B7" w:rsidRPr="001764B7" w:rsidRDefault="001764B7" w:rsidP="001764B7">
      <w:pPr>
        <w:pStyle w:val="Body"/>
        <w:rPr>
          <w:rFonts w:ascii="Arial" w:hAnsi="Arial" w:cs="Arial"/>
        </w:rPr>
      </w:pPr>
      <w:r w:rsidRPr="001764B7">
        <w:rPr>
          <w:rFonts w:ascii="Arial" w:hAnsi="Arial" w:cs="Arial"/>
        </w:rPr>
        <w:t xml:space="preserve">14. Norman, K., </w:t>
      </w:r>
      <w:proofErr w:type="spellStart"/>
      <w:r w:rsidRPr="001764B7">
        <w:rPr>
          <w:rFonts w:ascii="Arial" w:hAnsi="Arial" w:cs="Arial"/>
        </w:rPr>
        <w:t>Stobäus</w:t>
      </w:r>
      <w:proofErr w:type="spellEnd"/>
      <w:r w:rsidRPr="001764B7">
        <w:rPr>
          <w:rFonts w:ascii="Arial" w:hAnsi="Arial" w:cs="Arial"/>
        </w:rPr>
        <w:t xml:space="preserve">, N., Gonzalez, M. C., </w:t>
      </w:r>
      <w:proofErr w:type="spellStart"/>
      <w:r w:rsidRPr="001764B7">
        <w:rPr>
          <w:rFonts w:ascii="Arial" w:hAnsi="Arial" w:cs="Arial"/>
        </w:rPr>
        <w:t>Schulzke</w:t>
      </w:r>
      <w:proofErr w:type="spellEnd"/>
      <w:r w:rsidRPr="001764B7">
        <w:rPr>
          <w:rFonts w:ascii="Arial" w:hAnsi="Arial" w:cs="Arial"/>
        </w:rPr>
        <w:t xml:space="preserve">, J. D., &amp; </w:t>
      </w:r>
      <w:proofErr w:type="spellStart"/>
      <w:r w:rsidRPr="001764B7">
        <w:rPr>
          <w:rFonts w:ascii="Arial" w:hAnsi="Arial" w:cs="Arial"/>
        </w:rPr>
        <w:t>Pirlich</w:t>
      </w:r>
      <w:proofErr w:type="spellEnd"/>
      <w:r w:rsidRPr="001764B7">
        <w:rPr>
          <w:rFonts w:ascii="Arial" w:hAnsi="Arial" w:cs="Arial"/>
        </w:rPr>
        <w:t>, M. (2011). Hand grip strength: outcome predictor and marker of nutritional status. Clinical nutrition (Edinburgh, Scotland), 30(2), 135–142. https://doi.org/10.1016/j.clnu.2010.09.010</w:t>
      </w:r>
    </w:p>
    <w:p w14:paraId="622FE147" w14:textId="77777777" w:rsidR="001764B7" w:rsidRPr="001764B7" w:rsidRDefault="001764B7" w:rsidP="001764B7">
      <w:pPr>
        <w:pStyle w:val="Body"/>
        <w:rPr>
          <w:rFonts w:ascii="Arial" w:hAnsi="Arial" w:cs="Arial"/>
        </w:rPr>
      </w:pPr>
      <w:r w:rsidRPr="001764B7">
        <w:rPr>
          <w:rFonts w:ascii="Arial" w:hAnsi="Arial" w:cs="Arial"/>
        </w:rPr>
        <w:t xml:space="preserve">15. </w:t>
      </w:r>
      <w:proofErr w:type="spellStart"/>
      <w:r w:rsidRPr="001764B7">
        <w:rPr>
          <w:rFonts w:ascii="Arial" w:hAnsi="Arial" w:cs="Arial"/>
        </w:rPr>
        <w:t>Caccialanza</w:t>
      </w:r>
      <w:proofErr w:type="spellEnd"/>
      <w:r w:rsidRPr="001764B7">
        <w:rPr>
          <w:rFonts w:ascii="Arial" w:hAnsi="Arial" w:cs="Arial"/>
        </w:rPr>
        <w:t xml:space="preserve">, R., </w:t>
      </w:r>
      <w:proofErr w:type="spellStart"/>
      <w:r w:rsidRPr="001764B7">
        <w:rPr>
          <w:rFonts w:ascii="Arial" w:hAnsi="Arial" w:cs="Arial"/>
        </w:rPr>
        <w:t>Cereda</w:t>
      </w:r>
      <w:proofErr w:type="spellEnd"/>
      <w:r w:rsidRPr="001764B7">
        <w:rPr>
          <w:rFonts w:ascii="Arial" w:hAnsi="Arial" w:cs="Arial"/>
        </w:rPr>
        <w:t xml:space="preserve">, E., </w:t>
      </w:r>
      <w:proofErr w:type="spellStart"/>
      <w:r w:rsidRPr="001764B7">
        <w:rPr>
          <w:rFonts w:ascii="Arial" w:hAnsi="Arial" w:cs="Arial"/>
        </w:rPr>
        <w:t>Caraccia</w:t>
      </w:r>
      <w:proofErr w:type="spellEnd"/>
      <w:r w:rsidRPr="001764B7">
        <w:rPr>
          <w:rFonts w:ascii="Arial" w:hAnsi="Arial" w:cs="Arial"/>
        </w:rPr>
        <w:t xml:space="preserve">, M., </w:t>
      </w:r>
      <w:proofErr w:type="spellStart"/>
      <w:r w:rsidRPr="001764B7">
        <w:rPr>
          <w:rFonts w:ascii="Arial" w:hAnsi="Arial" w:cs="Arial"/>
        </w:rPr>
        <w:t>Klersy</w:t>
      </w:r>
      <w:proofErr w:type="spellEnd"/>
      <w:r w:rsidRPr="001764B7">
        <w:rPr>
          <w:rFonts w:ascii="Arial" w:hAnsi="Arial" w:cs="Arial"/>
        </w:rPr>
        <w:t xml:space="preserve">, C., </w:t>
      </w:r>
      <w:proofErr w:type="spellStart"/>
      <w:r w:rsidRPr="001764B7">
        <w:rPr>
          <w:rFonts w:ascii="Arial" w:hAnsi="Arial" w:cs="Arial"/>
        </w:rPr>
        <w:t>Nardi</w:t>
      </w:r>
      <w:proofErr w:type="spellEnd"/>
      <w:r w:rsidRPr="001764B7">
        <w:rPr>
          <w:rFonts w:ascii="Arial" w:hAnsi="Arial" w:cs="Arial"/>
        </w:rPr>
        <w:t xml:space="preserve">, M., </w:t>
      </w:r>
      <w:proofErr w:type="spellStart"/>
      <w:r w:rsidRPr="001764B7">
        <w:rPr>
          <w:rFonts w:ascii="Arial" w:hAnsi="Arial" w:cs="Arial"/>
        </w:rPr>
        <w:t>Cappello</w:t>
      </w:r>
      <w:proofErr w:type="spellEnd"/>
      <w:r w:rsidRPr="001764B7">
        <w:rPr>
          <w:rFonts w:ascii="Arial" w:hAnsi="Arial" w:cs="Arial"/>
        </w:rPr>
        <w:t xml:space="preserve">, S., </w:t>
      </w:r>
      <w:proofErr w:type="spellStart"/>
      <w:r w:rsidRPr="001764B7">
        <w:rPr>
          <w:rFonts w:ascii="Arial" w:hAnsi="Arial" w:cs="Arial"/>
        </w:rPr>
        <w:t>Borioli</w:t>
      </w:r>
      <w:proofErr w:type="spellEnd"/>
      <w:r w:rsidRPr="001764B7">
        <w:rPr>
          <w:rFonts w:ascii="Arial" w:hAnsi="Arial" w:cs="Arial"/>
        </w:rPr>
        <w:t xml:space="preserve">, V., </w:t>
      </w:r>
      <w:proofErr w:type="spellStart"/>
      <w:r w:rsidRPr="001764B7">
        <w:rPr>
          <w:rFonts w:ascii="Arial" w:hAnsi="Arial" w:cs="Arial"/>
        </w:rPr>
        <w:t>Turri</w:t>
      </w:r>
      <w:proofErr w:type="spellEnd"/>
      <w:r w:rsidRPr="001764B7">
        <w:rPr>
          <w:rFonts w:ascii="Arial" w:hAnsi="Arial" w:cs="Arial"/>
        </w:rPr>
        <w:t xml:space="preserve">, A., </w:t>
      </w:r>
      <w:proofErr w:type="spellStart"/>
      <w:r w:rsidRPr="001764B7">
        <w:rPr>
          <w:rFonts w:ascii="Arial" w:hAnsi="Arial" w:cs="Arial"/>
        </w:rPr>
        <w:t>Imarisio</w:t>
      </w:r>
      <w:proofErr w:type="spellEnd"/>
      <w:r w:rsidRPr="001764B7">
        <w:rPr>
          <w:rFonts w:ascii="Arial" w:hAnsi="Arial" w:cs="Arial"/>
        </w:rPr>
        <w:t xml:space="preserve">, I., Lasagna, A., </w:t>
      </w:r>
      <w:proofErr w:type="spellStart"/>
      <w:r w:rsidRPr="001764B7">
        <w:rPr>
          <w:rFonts w:ascii="Arial" w:hAnsi="Arial" w:cs="Arial"/>
        </w:rPr>
        <w:t>Saddi</w:t>
      </w:r>
      <w:proofErr w:type="spellEnd"/>
      <w:r w:rsidRPr="001764B7">
        <w:rPr>
          <w:rFonts w:ascii="Arial" w:hAnsi="Arial" w:cs="Arial"/>
        </w:rPr>
        <w:t xml:space="preserve">, J., </w:t>
      </w:r>
      <w:proofErr w:type="spellStart"/>
      <w:r w:rsidRPr="001764B7">
        <w:rPr>
          <w:rFonts w:ascii="Arial" w:hAnsi="Arial" w:cs="Arial"/>
        </w:rPr>
        <w:t>Arcaini</w:t>
      </w:r>
      <w:proofErr w:type="spellEnd"/>
      <w:r w:rsidRPr="001764B7">
        <w:rPr>
          <w:rFonts w:ascii="Arial" w:hAnsi="Arial" w:cs="Arial"/>
        </w:rPr>
        <w:t xml:space="preserve">, L., </w:t>
      </w:r>
      <w:proofErr w:type="spellStart"/>
      <w:r w:rsidRPr="001764B7">
        <w:rPr>
          <w:rFonts w:ascii="Arial" w:hAnsi="Arial" w:cs="Arial"/>
        </w:rPr>
        <w:t>Benazzo</w:t>
      </w:r>
      <w:proofErr w:type="spellEnd"/>
      <w:r w:rsidRPr="001764B7">
        <w:rPr>
          <w:rFonts w:ascii="Arial" w:hAnsi="Arial" w:cs="Arial"/>
        </w:rPr>
        <w:t xml:space="preserve">, M., </w:t>
      </w:r>
      <w:proofErr w:type="spellStart"/>
      <w:r w:rsidRPr="001764B7">
        <w:rPr>
          <w:rFonts w:ascii="Arial" w:hAnsi="Arial" w:cs="Arial"/>
        </w:rPr>
        <w:t>Stragliotto</w:t>
      </w:r>
      <w:proofErr w:type="spellEnd"/>
      <w:r w:rsidRPr="001764B7">
        <w:rPr>
          <w:rFonts w:ascii="Arial" w:hAnsi="Arial" w:cs="Arial"/>
        </w:rPr>
        <w:t xml:space="preserve">, S., </w:t>
      </w:r>
      <w:proofErr w:type="spellStart"/>
      <w:r w:rsidRPr="001764B7">
        <w:rPr>
          <w:rFonts w:ascii="Arial" w:hAnsi="Arial" w:cs="Arial"/>
        </w:rPr>
        <w:t>Zagonel</w:t>
      </w:r>
      <w:proofErr w:type="spellEnd"/>
      <w:r w:rsidRPr="001764B7">
        <w:rPr>
          <w:rFonts w:ascii="Arial" w:hAnsi="Arial" w:cs="Arial"/>
        </w:rPr>
        <w:t xml:space="preserve">, V., &amp; </w:t>
      </w:r>
      <w:proofErr w:type="spellStart"/>
      <w:r w:rsidRPr="001764B7">
        <w:rPr>
          <w:rFonts w:ascii="Arial" w:hAnsi="Arial" w:cs="Arial"/>
        </w:rPr>
        <w:t>Pedrazzoli</w:t>
      </w:r>
      <w:proofErr w:type="spellEnd"/>
      <w:r w:rsidRPr="001764B7">
        <w:rPr>
          <w:rFonts w:ascii="Arial" w:hAnsi="Arial" w:cs="Arial"/>
        </w:rPr>
        <w:t xml:space="preserve">, P. (2019). Early 7-day supplemental parenteral nutrition improves body composition and muscle strength in </w:t>
      </w:r>
      <w:proofErr w:type="spellStart"/>
      <w:r w:rsidRPr="001764B7">
        <w:rPr>
          <w:rFonts w:ascii="Arial" w:hAnsi="Arial" w:cs="Arial"/>
        </w:rPr>
        <w:t>hypophagic</w:t>
      </w:r>
      <w:proofErr w:type="spellEnd"/>
      <w:r w:rsidRPr="001764B7">
        <w:rPr>
          <w:rFonts w:ascii="Arial" w:hAnsi="Arial" w:cs="Arial"/>
        </w:rPr>
        <w:t xml:space="preserve"> cancer patients at nutritional risk. Supportive care in cancer: official journal of the Multinational Association of Supportive Care in Cancer, 27(7), 2497–2506. https://doi.org/10.1007/s00520-018-4527-0</w:t>
      </w:r>
    </w:p>
    <w:p w14:paraId="61E24C9D" w14:textId="77777777" w:rsidR="001764B7" w:rsidRPr="001764B7" w:rsidRDefault="001764B7" w:rsidP="001764B7">
      <w:pPr>
        <w:pStyle w:val="Body"/>
        <w:rPr>
          <w:rFonts w:ascii="Arial" w:hAnsi="Arial" w:cs="Arial"/>
        </w:rPr>
      </w:pPr>
      <w:r w:rsidRPr="001764B7">
        <w:rPr>
          <w:rFonts w:ascii="Arial" w:hAnsi="Arial" w:cs="Arial"/>
        </w:rPr>
        <w:t xml:space="preserve">16. </w:t>
      </w:r>
      <w:proofErr w:type="spellStart"/>
      <w:r w:rsidRPr="001764B7">
        <w:rPr>
          <w:rFonts w:ascii="Arial" w:hAnsi="Arial" w:cs="Arial"/>
        </w:rPr>
        <w:t>Sheahan</w:t>
      </w:r>
      <w:proofErr w:type="spellEnd"/>
      <w:r w:rsidRPr="001764B7">
        <w:rPr>
          <w:rFonts w:ascii="Arial" w:hAnsi="Arial" w:cs="Arial"/>
        </w:rPr>
        <w:t xml:space="preserve">, M., &amp; Andrews, E. (2020). The positive impact of </w:t>
      </w:r>
      <w:proofErr w:type="spellStart"/>
      <w:r w:rsidRPr="001764B7">
        <w:rPr>
          <w:rFonts w:ascii="Arial" w:hAnsi="Arial" w:cs="Arial"/>
        </w:rPr>
        <w:t>prehabilitative</w:t>
      </w:r>
      <w:proofErr w:type="spellEnd"/>
      <w:r w:rsidRPr="001764B7">
        <w:rPr>
          <w:rFonts w:ascii="Arial" w:hAnsi="Arial" w:cs="Arial"/>
        </w:rPr>
        <w:t xml:space="preserve"> parenteral nutrition (PN) on outcome and functional status in colorectal surgery: A case report. Clinical Nutrition ESPEN, 35, 208–252.</w:t>
      </w:r>
    </w:p>
    <w:p w14:paraId="41A20B7C" w14:textId="77777777" w:rsidR="001764B7" w:rsidRPr="001764B7" w:rsidRDefault="001764B7" w:rsidP="001764B7">
      <w:pPr>
        <w:pStyle w:val="Body"/>
        <w:rPr>
          <w:rFonts w:ascii="Arial" w:hAnsi="Arial" w:cs="Arial"/>
        </w:rPr>
      </w:pPr>
      <w:r w:rsidRPr="001764B7">
        <w:rPr>
          <w:rFonts w:ascii="Arial" w:hAnsi="Arial" w:cs="Arial"/>
        </w:rPr>
        <w:t xml:space="preserve">17. </w:t>
      </w:r>
      <w:proofErr w:type="spellStart"/>
      <w:r w:rsidRPr="001764B7">
        <w:rPr>
          <w:rFonts w:ascii="Arial" w:hAnsi="Arial" w:cs="Arial"/>
        </w:rPr>
        <w:t>Zametkin</w:t>
      </w:r>
      <w:proofErr w:type="spellEnd"/>
      <w:r w:rsidRPr="001764B7">
        <w:rPr>
          <w:rFonts w:ascii="Arial" w:hAnsi="Arial" w:cs="Arial"/>
        </w:rPr>
        <w:t xml:space="preserve">, E., </w:t>
      </w:r>
      <w:proofErr w:type="spellStart"/>
      <w:r w:rsidRPr="001764B7">
        <w:rPr>
          <w:rFonts w:ascii="Arial" w:hAnsi="Arial" w:cs="Arial"/>
        </w:rPr>
        <w:t>Guyer</w:t>
      </w:r>
      <w:proofErr w:type="spellEnd"/>
      <w:r w:rsidRPr="001764B7">
        <w:rPr>
          <w:rFonts w:ascii="Arial" w:hAnsi="Arial" w:cs="Arial"/>
        </w:rPr>
        <w:t xml:space="preserve">, D., </w:t>
      </w:r>
      <w:proofErr w:type="spellStart"/>
      <w:r w:rsidRPr="001764B7">
        <w:rPr>
          <w:rFonts w:ascii="Arial" w:hAnsi="Arial" w:cs="Arial"/>
        </w:rPr>
        <w:t>Tarshish</w:t>
      </w:r>
      <w:proofErr w:type="spellEnd"/>
      <w:r w:rsidRPr="001764B7">
        <w:rPr>
          <w:rFonts w:ascii="Arial" w:hAnsi="Arial" w:cs="Arial"/>
        </w:rPr>
        <w:t xml:space="preserve">, Y., Bash, K., &amp; </w:t>
      </w:r>
      <w:proofErr w:type="spellStart"/>
      <w:r w:rsidRPr="001764B7">
        <w:rPr>
          <w:rFonts w:ascii="Arial" w:hAnsi="Arial" w:cs="Arial"/>
        </w:rPr>
        <w:t>Almhanna</w:t>
      </w:r>
      <w:proofErr w:type="spellEnd"/>
      <w:r w:rsidRPr="001764B7">
        <w:rPr>
          <w:rFonts w:ascii="Arial" w:hAnsi="Arial" w:cs="Arial"/>
        </w:rPr>
        <w:t xml:space="preserve">, K. (2023). Total parenteral nutrition for patients with gastrointestinal cancers: a clinical practice review. Annals of palliative medicine, 12(5), 1072–1080. https://doi.org/10.21037/apm-22-1380 </w:t>
      </w:r>
    </w:p>
    <w:p w14:paraId="009F75D5" w14:textId="77777777" w:rsidR="001764B7" w:rsidRPr="001764B7" w:rsidRDefault="001764B7" w:rsidP="001764B7">
      <w:pPr>
        <w:pStyle w:val="Body"/>
        <w:rPr>
          <w:rFonts w:ascii="Arial" w:hAnsi="Arial" w:cs="Arial"/>
        </w:rPr>
      </w:pPr>
    </w:p>
    <w:p w14:paraId="0A0AA1D9" w14:textId="4121D38B" w:rsidR="001764B7" w:rsidRPr="001764B7" w:rsidRDefault="001764B7" w:rsidP="00CF6899">
      <w:pPr>
        <w:pStyle w:val="Body"/>
        <w:rPr>
          <w:rFonts w:ascii="Arial" w:hAnsi="Arial" w:cs="Arial"/>
          <w:b/>
          <w:bCs/>
        </w:rPr>
      </w:pPr>
    </w:p>
    <w:p w14:paraId="6E2C6454" w14:textId="13956DE5" w:rsidR="00EF48F6" w:rsidRDefault="00EF48F6" w:rsidP="00267E76"/>
    <w:sectPr w:rsidR="00EF48F6" w:rsidSect="006A1FC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08-18T11:49:00Z" w:initials="U">
    <w:p w14:paraId="5AC36850" w14:textId="77777777" w:rsidR="0035144C" w:rsidRDefault="0035144C">
      <w:pPr>
        <w:pStyle w:val="CommentText"/>
      </w:pPr>
      <w:r>
        <w:rPr>
          <w:rStyle w:val="CommentReference"/>
        </w:rPr>
        <w:annotationRef/>
      </w:r>
      <w:r>
        <w:t>Insert full stop at the end of the sentence.</w:t>
      </w:r>
    </w:p>
    <w:p w14:paraId="51EF43B0" w14:textId="70893501" w:rsidR="0035144C" w:rsidRDefault="0035144C">
      <w:pPr>
        <w:pStyle w:val="CommentText"/>
      </w:pPr>
    </w:p>
  </w:comment>
  <w:comment w:id="2" w:author="USER" w:date="2025-08-18T11:51:00Z" w:initials="U">
    <w:p w14:paraId="264CCFB0" w14:textId="60DDC7A2" w:rsidR="0035144C" w:rsidRDefault="0035144C">
      <w:pPr>
        <w:pStyle w:val="CommentText"/>
      </w:pPr>
      <w:r>
        <w:rPr>
          <w:rStyle w:val="CommentReference"/>
        </w:rPr>
        <w:annotationRef/>
      </w:r>
      <w:r>
        <w:t xml:space="preserve">This </w:t>
      </w:r>
      <w:r>
        <w:t>section can be skipped and After Aim; Methodolgy can be given</w:t>
      </w:r>
    </w:p>
  </w:comment>
  <w:comment w:id="3" w:author="USER" w:date="2025-08-18T12:03:00Z" w:initials="U">
    <w:p w14:paraId="021EE064" w14:textId="17D75E38" w:rsidR="00D01CCB" w:rsidRDefault="00D01CCB">
      <w:pPr>
        <w:pStyle w:val="CommentText"/>
      </w:pPr>
      <w:r>
        <w:rPr>
          <w:rStyle w:val="CommentReference"/>
        </w:rPr>
        <w:annotationRef/>
      </w:r>
      <w:r>
        <w:t xml:space="preserve">Statistical </w:t>
      </w:r>
      <w:r>
        <w:t>tools used for the study can be mentioned here</w:t>
      </w:r>
    </w:p>
  </w:comment>
  <w:comment w:id="4" w:author="USER" w:date="2025-08-18T11:52:00Z" w:initials="U">
    <w:p w14:paraId="3740785B" w14:textId="25203117" w:rsidR="0035144C" w:rsidRDefault="0035144C">
      <w:pPr>
        <w:pStyle w:val="CommentText"/>
      </w:pPr>
      <w:r>
        <w:rPr>
          <w:rStyle w:val="CommentReference"/>
        </w:rPr>
        <w:annotationRef/>
      </w:r>
      <w:r>
        <w:t xml:space="preserve">Calorie </w:t>
      </w:r>
      <w:r>
        <w:t>intake can be mentioned</w:t>
      </w:r>
    </w:p>
  </w:comment>
  <w:comment w:id="5" w:author="USER" w:date="2025-08-18T11:54:00Z" w:initials="U">
    <w:p w14:paraId="3330CE66" w14:textId="77777777" w:rsidR="0035144C" w:rsidRDefault="0035144C">
      <w:pPr>
        <w:pStyle w:val="CommentText"/>
      </w:pPr>
      <w:r>
        <w:rPr>
          <w:rStyle w:val="CommentReference"/>
        </w:rPr>
        <w:annotationRef/>
      </w:r>
      <w:r>
        <w:t xml:space="preserve">The </w:t>
      </w:r>
      <w:r>
        <w:t>complications (for eg like Refeeding syndrome) that may arise with PNS – was it observed ?</w:t>
      </w:r>
    </w:p>
    <w:p w14:paraId="5F07F334" w14:textId="6DB4265E" w:rsidR="0035144C" w:rsidRDefault="0035144C">
      <w:pPr>
        <w:pStyle w:val="CommentText"/>
      </w:pPr>
    </w:p>
  </w:comment>
  <w:comment w:id="6" w:author="USER" w:date="2025-08-18T11:56:00Z" w:initials="U">
    <w:p w14:paraId="04651E0C" w14:textId="77777777" w:rsidR="00D01CCB" w:rsidRDefault="00D01CCB">
      <w:pPr>
        <w:pStyle w:val="CommentText"/>
      </w:pPr>
      <w:r>
        <w:rPr>
          <w:rStyle w:val="CommentReference"/>
        </w:rPr>
        <w:annotationRef/>
      </w:r>
      <w:r>
        <w:t xml:space="preserve">The </w:t>
      </w:r>
      <w:r>
        <w:t>statement can be revisited and writted in a more academic appropriate manner.</w:t>
      </w:r>
    </w:p>
    <w:p w14:paraId="3D6BF75E" w14:textId="7F29DF36" w:rsidR="00D01CCB" w:rsidRDefault="00D01CCB">
      <w:pPr>
        <w:pStyle w:val="CommentText"/>
      </w:pPr>
      <w:r>
        <w:t xml:space="preserve"> </w:t>
      </w:r>
    </w:p>
  </w:comment>
  <w:comment w:id="7" w:author="USER" w:date="2025-08-18T11:57:00Z" w:initials="U">
    <w:p w14:paraId="363E568D" w14:textId="34F33338" w:rsidR="00D01CCB" w:rsidRDefault="00D01CCB">
      <w:pPr>
        <w:pStyle w:val="CommentText"/>
      </w:pPr>
      <w:r>
        <w:rPr>
          <w:rStyle w:val="CommentReference"/>
        </w:rPr>
        <w:annotationRef/>
      </w:r>
      <w:r>
        <w:t xml:space="preserve">More </w:t>
      </w:r>
      <w:r>
        <w:t xml:space="preserve">information about the study population – where  the study was conducted , and when (since its an observational study). </w:t>
      </w:r>
    </w:p>
  </w:comment>
  <w:comment w:id="8" w:author="USER" w:date="2025-08-18T11:58:00Z" w:initials="U">
    <w:p w14:paraId="7100B49F" w14:textId="17386E2F" w:rsidR="00D01CCB" w:rsidRDefault="00D01CCB">
      <w:pPr>
        <w:pStyle w:val="CommentText"/>
      </w:pPr>
      <w:r>
        <w:rPr>
          <w:rStyle w:val="CommentReference"/>
        </w:rPr>
        <w:annotationRef/>
      </w:r>
      <w:r>
        <w:t xml:space="preserve">Did </w:t>
      </w:r>
      <w:r>
        <w:t>inclusion criteria include the type  and staging of cancer because that can have an effect o the nutritional status and also with cancer cachexia</w:t>
      </w:r>
    </w:p>
  </w:comment>
  <w:comment w:id="9" w:author="USER" w:date="2025-08-18T12:01:00Z" w:initials="U">
    <w:p w14:paraId="2185B85E" w14:textId="046DC4AD" w:rsidR="00D01CCB" w:rsidRDefault="00D01CCB">
      <w:pPr>
        <w:pStyle w:val="CommentText"/>
      </w:pPr>
      <w:r>
        <w:rPr>
          <w:rStyle w:val="CommentReference"/>
        </w:rPr>
        <w:annotationRef/>
      </w:r>
      <w:r>
        <w:t xml:space="preserve">Why </w:t>
      </w:r>
      <w:r>
        <w:t>was median value considered and not mean value?</w:t>
      </w:r>
    </w:p>
  </w:comment>
  <w:comment w:id="10" w:author="USER" w:date="2025-08-18T12:00:00Z" w:initials="U">
    <w:p w14:paraId="6AE7B11A" w14:textId="6EA3EB45" w:rsidR="00D01CCB" w:rsidRDefault="00D01CCB">
      <w:pPr>
        <w:pStyle w:val="CommentText"/>
      </w:pPr>
      <w:r>
        <w:rPr>
          <w:rStyle w:val="CommentReference"/>
        </w:rPr>
        <w:annotationRef/>
      </w:r>
      <w:r>
        <w:t xml:space="preserve">Full </w:t>
      </w:r>
      <w:r>
        <w:t>stop is missing.</w:t>
      </w:r>
    </w:p>
  </w:comment>
  <w:comment w:id="11" w:author="USER" w:date="2025-08-18T12:04:00Z" w:initials="U">
    <w:p w14:paraId="3C4636B4" w14:textId="548DD82B" w:rsidR="00D01CCB" w:rsidRDefault="00D01CCB">
      <w:pPr>
        <w:pStyle w:val="CommentText"/>
      </w:pPr>
      <w:r>
        <w:rPr>
          <w:rStyle w:val="CommentReference"/>
        </w:rPr>
        <w:annotationRef/>
      </w:r>
      <w:r>
        <w:t xml:space="preserve">Sentence </w:t>
      </w:r>
      <w:r>
        <w:t>reframing</w:t>
      </w:r>
    </w:p>
  </w:comment>
  <w:comment w:id="12" w:author="USER" w:date="2025-08-18T12:05:00Z" w:initials="U">
    <w:p w14:paraId="60AAC329" w14:textId="57045347" w:rsidR="00D01CCB" w:rsidRDefault="00D01CCB">
      <w:pPr>
        <w:pStyle w:val="CommentText"/>
      </w:pPr>
      <w:r>
        <w:rPr>
          <w:rStyle w:val="CommentReference"/>
        </w:rPr>
        <w:annotationRef/>
      </w:r>
      <w:r>
        <w:t xml:space="preserve">The </w:t>
      </w:r>
      <w:r>
        <w:t>sample size is too small to report any concrete findings</w:t>
      </w:r>
    </w:p>
  </w:comment>
  <w:comment w:id="13" w:author="USER" w:date="2025-08-18T12:06:00Z" w:initials="U">
    <w:p w14:paraId="6AE81702" w14:textId="361CB4C5" w:rsidR="003F70E2" w:rsidRDefault="003F70E2">
      <w:pPr>
        <w:pStyle w:val="CommentText"/>
      </w:pPr>
      <w:r>
        <w:rPr>
          <w:rStyle w:val="CommentReference"/>
        </w:rPr>
        <w:annotationRef/>
      </w:r>
      <w:r>
        <w:t xml:space="preserve">Was </w:t>
      </w:r>
      <w:r>
        <w:t>other parameters also looked into- for example with relation with disease progression and not associating only with PNS?</w:t>
      </w:r>
    </w:p>
  </w:comment>
  <w:comment w:id="14" w:author="USER" w:date="2025-08-18T12:08:00Z" w:initials="U">
    <w:p w14:paraId="7646D6BD" w14:textId="16A90B2C" w:rsidR="003F70E2" w:rsidRDefault="003F70E2">
      <w:pPr>
        <w:pStyle w:val="CommentText"/>
      </w:pPr>
      <w:r>
        <w:rPr>
          <w:rStyle w:val="CommentReference"/>
        </w:rPr>
        <w:annotationRef/>
      </w:r>
    </w:p>
  </w:comment>
  <w:comment w:id="15" w:author="USER" w:date="2025-08-18T12:08:00Z" w:initials="U">
    <w:p w14:paraId="6E1E49DC" w14:textId="18E48995" w:rsidR="003F70E2" w:rsidRDefault="003F70E2">
      <w:pPr>
        <w:pStyle w:val="CommentText"/>
      </w:pPr>
      <w:r>
        <w:rPr>
          <w:rStyle w:val="CommentReference"/>
        </w:rPr>
        <w:annotationRef/>
      </w:r>
      <w:r>
        <w:t xml:space="preserve">Mising </w:t>
      </w:r>
      <w:r>
        <w:t>details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EF43B0" w15:done="0"/>
  <w15:commentEx w15:paraId="264CCFB0" w15:done="0"/>
  <w15:commentEx w15:paraId="021EE064" w15:done="0"/>
  <w15:commentEx w15:paraId="3740785B" w15:done="0"/>
  <w15:commentEx w15:paraId="5F07F334" w15:done="0"/>
  <w15:commentEx w15:paraId="3D6BF75E" w15:done="0"/>
  <w15:commentEx w15:paraId="363E568D" w15:done="0"/>
  <w15:commentEx w15:paraId="7100B49F" w15:done="0"/>
  <w15:commentEx w15:paraId="2185B85E" w15:done="0"/>
  <w15:commentEx w15:paraId="6AE7B11A" w15:done="0"/>
  <w15:commentEx w15:paraId="3C4636B4" w15:done="0"/>
  <w15:commentEx w15:paraId="60AAC329" w15:done="0"/>
  <w15:commentEx w15:paraId="6AE81702" w15:done="0"/>
  <w15:commentEx w15:paraId="7646D6BD" w15:done="0"/>
  <w15:commentEx w15:paraId="6E1E49D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93E6" w14:textId="77777777" w:rsidR="004D0523" w:rsidRDefault="004D0523" w:rsidP="00C37E61">
      <w:r>
        <w:separator/>
      </w:r>
    </w:p>
  </w:endnote>
  <w:endnote w:type="continuationSeparator" w:id="0">
    <w:p w14:paraId="02522583" w14:textId="77777777" w:rsidR="004D0523" w:rsidRDefault="004D05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9CC7" w14:textId="77777777" w:rsidR="006A1FC8" w:rsidRDefault="006A1F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034D" w14:textId="77777777" w:rsidR="006A1FC8" w:rsidRDefault="006A1F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FA0B" w14:textId="50D84337" w:rsidR="00754C9A" w:rsidRPr="006A1FC8" w:rsidRDefault="00754C9A" w:rsidP="006A1FC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B6CC" w14:textId="77777777" w:rsidR="002439EC" w:rsidRPr="00C37E61" w:rsidRDefault="002439EC"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4EC81" w14:textId="77777777" w:rsidR="004D0523" w:rsidRDefault="004D0523" w:rsidP="00C37E61">
      <w:r>
        <w:separator/>
      </w:r>
    </w:p>
  </w:footnote>
  <w:footnote w:type="continuationSeparator" w:id="0">
    <w:p w14:paraId="4EA4C9E7" w14:textId="77777777" w:rsidR="004D0523" w:rsidRDefault="004D052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29D12" w14:textId="73BDB173" w:rsidR="006A1FC8" w:rsidRDefault="004D0523">
    <w:pPr>
      <w:pStyle w:val="Header"/>
    </w:pPr>
    <w:r>
      <w:rPr>
        <w:noProof/>
      </w:rPr>
      <w:pict w14:anchorId="6B0D2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1FC7" w14:textId="2C62E580" w:rsidR="006A1FC8" w:rsidRDefault="004D0523">
    <w:pPr>
      <w:pStyle w:val="Header"/>
    </w:pPr>
    <w:r>
      <w:rPr>
        <w:noProof/>
      </w:rPr>
      <w:pict w14:anchorId="5922F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0473" w14:textId="0650EFDB" w:rsidR="00296529" w:rsidRPr="00296529" w:rsidRDefault="004D0523" w:rsidP="00296529">
    <w:pPr>
      <w:ind w:left="2160"/>
      <w:jc w:val="center"/>
      <w:rPr>
        <w:rFonts w:ascii="Times New Roman" w:eastAsia="Calibri" w:hAnsi="Times New Roman"/>
        <w:i/>
        <w:sz w:val="18"/>
        <w:szCs w:val="22"/>
      </w:rPr>
    </w:pPr>
    <w:r>
      <w:rPr>
        <w:noProof/>
      </w:rPr>
      <w:pict w14:anchorId="63DF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FE8E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B89B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4C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77D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E1B1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577C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9701" w14:textId="0E116546" w:rsidR="006A1FC8" w:rsidRDefault="004D0523">
    <w:pPr>
      <w:pStyle w:val="Header"/>
    </w:pPr>
    <w:r>
      <w:rPr>
        <w:noProof/>
      </w:rPr>
      <w:pict w14:anchorId="437F8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85B5" w14:textId="0DF5922D" w:rsidR="006A1FC8" w:rsidRDefault="004D0523">
    <w:pPr>
      <w:pStyle w:val="Header"/>
    </w:pPr>
    <w:r>
      <w:rPr>
        <w:noProof/>
      </w:rPr>
      <w:pict w14:anchorId="1E646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86E8" w14:textId="6C8AB544" w:rsidR="006A1FC8" w:rsidRDefault="004D0523">
    <w:pPr>
      <w:pStyle w:val="Header"/>
    </w:pPr>
    <w:r>
      <w:rPr>
        <w:noProof/>
      </w:rPr>
      <w:pict w14:anchorId="5805A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6835"/>
    <w:rsid w:val="00014233"/>
    <w:rsid w:val="00030174"/>
    <w:rsid w:val="0004579C"/>
    <w:rsid w:val="00071E6B"/>
    <w:rsid w:val="00080C80"/>
    <w:rsid w:val="000A00D2"/>
    <w:rsid w:val="000A47FA"/>
    <w:rsid w:val="000A65D3"/>
    <w:rsid w:val="000B1E33"/>
    <w:rsid w:val="000C70E7"/>
    <w:rsid w:val="000D689F"/>
    <w:rsid w:val="000E7B7B"/>
    <w:rsid w:val="000E7D62"/>
    <w:rsid w:val="000F3953"/>
    <w:rsid w:val="00103357"/>
    <w:rsid w:val="00120D1F"/>
    <w:rsid w:val="00123C9F"/>
    <w:rsid w:val="00126190"/>
    <w:rsid w:val="00130F17"/>
    <w:rsid w:val="001320BF"/>
    <w:rsid w:val="00142FEC"/>
    <w:rsid w:val="00163BC4"/>
    <w:rsid w:val="001764B7"/>
    <w:rsid w:val="00191062"/>
    <w:rsid w:val="00192B72"/>
    <w:rsid w:val="001A29D8"/>
    <w:rsid w:val="001A5CAA"/>
    <w:rsid w:val="001B0427"/>
    <w:rsid w:val="001C36B6"/>
    <w:rsid w:val="001D3A51"/>
    <w:rsid w:val="001E10D2"/>
    <w:rsid w:val="001E25B4"/>
    <w:rsid w:val="001E44FE"/>
    <w:rsid w:val="001F77BF"/>
    <w:rsid w:val="00200595"/>
    <w:rsid w:val="00204835"/>
    <w:rsid w:val="00220786"/>
    <w:rsid w:val="00231920"/>
    <w:rsid w:val="0023195C"/>
    <w:rsid w:val="0024282C"/>
    <w:rsid w:val="002439EC"/>
    <w:rsid w:val="002460DC"/>
    <w:rsid w:val="00250985"/>
    <w:rsid w:val="002556F6"/>
    <w:rsid w:val="00267E76"/>
    <w:rsid w:val="002762BD"/>
    <w:rsid w:val="00283105"/>
    <w:rsid w:val="00284C4C"/>
    <w:rsid w:val="00287E68"/>
    <w:rsid w:val="00296529"/>
    <w:rsid w:val="002B0FDF"/>
    <w:rsid w:val="002B27FB"/>
    <w:rsid w:val="002B685A"/>
    <w:rsid w:val="002C3317"/>
    <w:rsid w:val="002C57D2"/>
    <w:rsid w:val="002E0D56"/>
    <w:rsid w:val="002F4226"/>
    <w:rsid w:val="0030049A"/>
    <w:rsid w:val="00306973"/>
    <w:rsid w:val="00315186"/>
    <w:rsid w:val="00325AF7"/>
    <w:rsid w:val="0033343E"/>
    <w:rsid w:val="003512C2"/>
    <w:rsid w:val="0035144C"/>
    <w:rsid w:val="00371FB6"/>
    <w:rsid w:val="003763C1"/>
    <w:rsid w:val="00376BBE"/>
    <w:rsid w:val="0039224F"/>
    <w:rsid w:val="003A43A4"/>
    <w:rsid w:val="003A7E18"/>
    <w:rsid w:val="003C4C86"/>
    <w:rsid w:val="003C6258"/>
    <w:rsid w:val="003D1E28"/>
    <w:rsid w:val="003D2BA8"/>
    <w:rsid w:val="003E2904"/>
    <w:rsid w:val="003F70E2"/>
    <w:rsid w:val="00401927"/>
    <w:rsid w:val="00402DA7"/>
    <w:rsid w:val="0041027F"/>
    <w:rsid w:val="00412475"/>
    <w:rsid w:val="004203F1"/>
    <w:rsid w:val="00423789"/>
    <w:rsid w:val="00440F43"/>
    <w:rsid w:val="00441B6F"/>
    <w:rsid w:val="00446221"/>
    <w:rsid w:val="00450E62"/>
    <w:rsid w:val="004539DB"/>
    <w:rsid w:val="00471A80"/>
    <w:rsid w:val="00473391"/>
    <w:rsid w:val="004C1FEC"/>
    <w:rsid w:val="004C7F6F"/>
    <w:rsid w:val="004D0523"/>
    <w:rsid w:val="004D305E"/>
    <w:rsid w:val="004D4277"/>
    <w:rsid w:val="004E4C05"/>
    <w:rsid w:val="00502516"/>
    <w:rsid w:val="00502C84"/>
    <w:rsid w:val="00505F06"/>
    <w:rsid w:val="00506828"/>
    <w:rsid w:val="0053056E"/>
    <w:rsid w:val="00554FDA"/>
    <w:rsid w:val="00566E8C"/>
    <w:rsid w:val="00580294"/>
    <w:rsid w:val="00583D4B"/>
    <w:rsid w:val="005B77B8"/>
    <w:rsid w:val="005C66E8"/>
    <w:rsid w:val="005C76AA"/>
    <w:rsid w:val="005C784C"/>
    <w:rsid w:val="005D17F6"/>
    <w:rsid w:val="005E5539"/>
    <w:rsid w:val="005F3D93"/>
    <w:rsid w:val="00602BF5"/>
    <w:rsid w:val="00617FDD"/>
    <w:rsid w:val="00633614"/>
    <w:rsid w:val="00633F68"/>
    <w:rsid w:val="00636EB2"/>
    <w:rsid w:val="006375B8"/>
    <w:rsid w:val="00637E43"/>
    <w:rsid w:val="0066510A"/>
    <w:rsid w:val="00670663"/>
    <w:rsid w:val="00673F9F"/>
    <w:rsid w:val="00686953"/>
    <w:rsid w:val="00687DEA"/>
    <w:rsid w:val="00687E67"/>
    <w:rsid w:val="00695ABC"/>
    <w:rsid w:val="006967F7"/>
    <w:rsid w:val="006A1FC8"/>
    <w:rsid w:val="006A250C"/>
    <w:rsid w:val="006B21D3"/>
    <w:rsid w:val="006B57D0"/>
    <w:rsid w:val="006B7EF7"/>
    <w:rsid w:val="006C1074"/>
    <w:rsid w:val="006C5AB5"/>
    <w:rsid w:val="006C618F"/>
    <w:rsid w:val="006D30FF"/>
    <w:rsid w:val="006D6940"/>
    <w:rsid w:val="006F11EC"/>
    <w:rsid w:val="0070082C"/>
    <w:rsid w:val="00704FC7"/>
    <w:rsid w:val="007369E6"/>
    <w:rsid w:val="00746E59"/>
    <w:rsid w:val="00754C9A"/>
    <w:rsid w:val="0075599A"/>
    <w:rsid w:val="00761D52"/>
    <w:rsid w:val="0077749E"/>
    <w:rsid w:val="00785201"/>
    <w:rsid w:val="00790ADA"/>
    <w:rsid w:val="007976FE"/>
    <w:rsid w:val="007D2288"/>
    <w:rsid w:val="007D7B04"/>
    <w:rsid w:val="007E088F"/>
    <w:rsid w:val="007F7B32"/>
    <w:rsid w:val="00804BC2"/>
    <w:rsid w:val="0081431A"/>
    <w:rsid w:val="0083216F"/>
    <w:rsid w:val="00832555"/>
    <w:rsid w:val="00837254"/>
    <w:rsid w:val="00842947"/>
    <w:rsid w:val="00856883"/>
    <w:rsid w:val="00860000"/>
    <w:rsid w:val="00863BD3"/>
    <w:rsid w:val="008641ED"/>
    <w:rsid w:val="00866D66"/>
    <w:rsid w:val="008671C6"/>
    <w:rsid w:val="00875803"/>
    <w:rsid w:val="0087752A"/>
    <w:rsid w:val="008B459E"/>
    <w:rsid w:val="008D7FEF"/>
    <w:rsid w:val="008E13AE"/>
    <w:rsid w:val="008E1506"/>
    <w:rsid w:val="008E65EA"/>
    <w:rsid w:val="008E710C"/>
    <w:rsid w:val="008F69D6"/>
    <w:rsid w:val="00902823"/>
    <w:rsid w:val="00915CA6"/>
    <w:rsid w:val="00927834"/>
    <w:rsid w:val="00931E6E"/>
    <w:rsid w:val="009500A6"/>
    <w:rsid w:val="00956545"/>
    <w:rsid w:val="00957C18"/>
    <w:rsid w:val="009659BA"/>
    <w:rsid w:val="00983040"/>
    <w:rsid w:val="009841C0"/>
    <w:rsid w:val="009B3FB9"/>
    <w:rsid w:val="009C2465"/>
    <w:rsid w:val="009D35A0"/>
    <w:rsid w:val="009D7EB7"/>
    <w:rsid w:val="009E048A"/>
    <w:rsid w:val="009E08E9"/>
    <w:rsid w:val="009E3DB9"/>
    <w:rsid w:val="009E6E35"/>
    <w:rsid w:val="009F0EDA"/>
    <w:rsid w:val="00A01D26"/>
    <w:rsid w:val="00A02A89"/>
    <w:rsid w:val="00A03B96"/>
    <w:rsid w:val="00A05B19"/>
    <w:rsid w:val="00A1134E"/>
    <w:rsid w:val="00A24E7E"/>
    <w:rsid w:val="00A258C3"/>
    <w:rsid w:val="00A272E9"/>
    <w:rsid w:val="00A347C0"/>
    <w:rsid w:val="00A34E86"/>
    <w:rsid w:val="00A51431"/>
    <w:rsid w:val="00A539AD"/>
    <w:rsid w:val="00A94063"/>
    <w:rsid w:val="00AA6219"/>
    <w:rsid w:val="00AA74E0"/>
    <w:rsid w:val="00AB4FE4"/>
    <w:rsid w:val="00AB703F"/>
    <w:rsid w:val="00AC6BB8"/>
    <w:rsid w:val="00AE008F"/>
    <w:rsid w:val="00B01FCD"/>
    <w:rsid w:val="00B03A6D"/>
    <w:rsid w:val="00B1776C"/>
    <w:rsid w:val="00B501FD"/>
    <w:rsid w:val="00B512B2"/>
    <w:rsid w:val="00B52583"/>
    <w:rsid w:val="00B52896"/>
    <w:rsid w:val="00B95236"/>
    <w:rsid w:val="00B96BD9"/>
    <w:rsid w:val="00BA1B01"/>
    <w:rsid w:val="00BA2641"/>
    <w:rsid w:val="00BA4C84"/>
    <w:rsid w:val="00BB37AA"/>
    <w:rsid w:val="00BC53A0"/>
    <w:rsid w:val="00BD41AA"/>
    <w:rsid w:val="00BD5837"/>
    <w:rsid w:val="00BE62AD"/>
    <w:rsid w:val="00BF121F"/>
    <w:rsid w:val="00BF1F80"/>
    <w:rsid w:val="00C00B90"/>
    <w:rsid w:val="00C166EF"/>
    <w:rsid w:val="00C17EB0"/>
    <w:rsid w:val="00C27F5F"/>
    <w:rsid w:val="00C30A0F"/>
    <w:rsid w:val="00C37E61"/>
    <w:rsid w:val="00C51188"/>
    <w:rsid w:val="00C52458"/>
    <w:rsid w:val="00C70F02"/>
    <w:rsid w:val="00C70F1B"/>
    <w:rsid w:val="00C71A47"/>
    <w:rsid w:val="00C7464C"/>
    <w:rsid w:val="00C85588"/>
    <w:rsid w:val="00C96C80"/>
    <w:rsid w:val="00CA7CD9"/>
    <w:rsid w:val="00CD6755"/>
    <w:rsid w:val="00CD6856"/>
    <w:rsid w:val="00CE0089"/>
    <w:rsid w:val="00CE793C"/>
    <w:rsid w:val="00CF193C"/>
    <w:rsid w:val="00CF6899"/>
    <w:rsid w:val="00D01CCB"/>
    <w:rsid w:val="00D0421C"/>
    <w:rsid w:val="00D061E4"/>
    <w:rsid w:val="00D173F1"/>
    <w:rsid w:val="00D27E2D"/>
    <w:rsid w:val="00D74CB0"/>
    <w:rsid w:val="00D8295D"/>
    <w:rsid w:val="00D860B5"/>
    <w:rsid w:val="00DB46BA"/>
    <w:rsid w:val="00DC2A65"/>
    <w:rsid w:val="00DC614B"/>
    <w:rsid w:val="00DE15F0"/>
    <w:rsid w:val="00DE5663"/>
    <w:rsid w:val="00DE78AA"/>
    <w:rsid w:val="00E053D0"/>
    <w:rsid w:val="00E15994"/>
    <w:rsid w:val="00E3114E"/>
    <w:rsid w:val="00E31A70"/>
    <w:rsid w:val="00E35B02"/>
    <w:rsid w:val="00E43B0B"/>
    <w:rsid w:val="00E66496"/>
    <w:rsid w:val="00E66B35"/>
    <w:rsid w:val="00E66E10"/>
    <w:rsid w:val="00E769F6"/>
    <w:rsid w:val="00E8407C"/>
    <w:rsid w:val="00E84F3C"/>
    <w:rsid w:val="00E86A95"/>
    <w:rsid w:val="00EA012C"/>
    <w:rsid w:val="00EA1812"/>
    <w:rsid w:val="00EC6A55"/>
    <w:rsid w:val="00ED0288"/>
    <w:rsid w:val="00EE04B8"/>
    <w:rsid w:val="00EE52CB"/>
    <w:rsid w:val="00EF26A6"/>
    <w:rsid w:val="00EF48F6"/>
    <w:rsid w:val="00EF581D"/>
    <w:rsid w:val="00EF7FD8"/>
    <w:rsid w:val="00F06F59"/>
    <w:rsid w:val="00F1622A"/>
    <w:rsid w:val="00F17988"/>
    <w:rsid w:val="00F336B5"/>
    <w:rsid w:val="00F45692"/>
    <w:rsid w:val="00F469F0"/>
    <w:rsid w:val="00F52342"/>
    <w:rsid w:val="00F53273"/>
    <w:rsid w:val="00F630D9"/>
    <w:rsid w:val="00F71DE9"/>
    <w:rsid w:val="00F755E4"/>
    <w:rsid w:val="00F77C31"/>
    <w:rsid w:val="00F77D02"/>
    <w:rsid w:val="00FB0AAE"/>
    <w:rsid w:val="00FB3A86"/>
    <w:rsid w:val="00FD36C8"/>
    <w:rsid w:val="00FD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56F2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02D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D41AA"/>
    <w:rPr>
      <w:b/>
      <w:bCs/>
    </w:rPr>
  </w:style>
  <w:style w:type="table" w:styleId="PlainTable2">
    <w:name w:val="Plain Table 2"/>
    <w:basedOn w:val="TableNormal"/>
    <w:uiPriority w:val="42"/>
    <w:rsid w:val="00BD41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841C0"/>
    <w:pPr>
      <w:spacing w:before="100" w:beforeAutospacing="1" w:after="100" w:afterAutospacing="1"/>
    </w:pPr>
    <w:rPr>
      <w:rFonts w:ascii="Times New Roman" w:hAnsi="Times New Roman"/>
      <w:sz w:val="24"/>
      <w:szCs w:val="24"/>
      <w:lang w:val="en-IN" w:eastAsia="en-IN"/>
    </w:rPr>
  </w:style>
  <w:style w:type="character" w:customStyle="1" w:styleId="FooterChar">
    <w:name w:val="Footer Char"/>
    <w:basedOn w:val="DefaultParagraphFont"/>
    <w:link w:val="Footer"/>
    <w:rsid w:val="005C66E8"/>
    <w:rPr>
      <w:rFonts w:ascii="Helvetica" w:hAnsi="Helvetica"/>
    </w:rPr>
  </w:style>
  <w:style w:type="character" w:customStyle="1" w:styleId="Heading3Char">
    <w:name w:val="Heading 3 Char"/>
    <w:basedOn w:val="DefaultParagraphFont"/>
    <w:link w:val="Heading3"/>
    <w:uiPriority w:val="9"/>
    <w:semiHidden/>
    <w:rsid w:val="00402DA7"/>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35144C"/>
    <w:rPr>
      <w:rFonts w:ascii="Helvetica" w:hAnsi="Helvetica"/>
      <w:b/>
      <w:bCs/>
      <w:lang w:val="en-US" w:eastAsia="en-US"/>
    </w:rPr>
  </w:style>
  <w:style w:type="character" w:customStyle="1" w:styleId="CommentSubjectChar">
    <w:name w:val="Comment Subject Char"/>
    <w:basedOn w:val="CommentTextChar"/>
    <w:link w:val="CommentSubject"/>
    <w:semiHidden/>
    <w:rsid w:val="0035144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98913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485056">
      <w:bodyDiv w:val="1"/>
      <w:marLeft w:val="0"/>
      <w:marRight w:val="0"/>
      <w:marTop w:val="0"/>
      <w:marBottom w:val="0"/>
      <w:divBdr>
        <w:top w:val="none" w:sz="0" w:space="0" w:color="auto"/>
        <w:left w:val="none" w:sz="0" w:space="0" w:color="auto"/>
        <w:bottom w:val="none" w:sz="0" w:space="0" w:color="auto"/>
        <w:right w:val="none" w:sz="0" w:space="0" w:color="auto"/>
      </w:divBdr>
    </w:div>
    <w:div w:id="13305212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43F8-7E41-4AA4-B1E3-7EEF1EA0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9</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2025-08-18T06:47:00Z</dcterms:created>
  <dcterms:modified xsi:type="dcterms:W3CDTF">2025-08-18T06:47:00Z</dcterms:modified>
</cp:coreProperties>
</file>