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BADBE" w14:textId="77777777" w:rsidR="00754C9A" w:rsidRPr="000448E6" w:rsidRDefault="00754C9A" w:rsidP="00441B6F">
      <w:pPr>
        <w:pStyle w:val="Title"/>
        <w:spacing w:after="0"/>
        <w:jc w:val="both"/>
        <w:rPr>
          <w:rFonts w:ascii="Arial" w:hAnsi="Arial" w:cs="Arial"/>
        </w:rPr>
      </w:pPr>
    </w:p>
    <w:p w14:paraId="012514CA" w14:textId="77777777" w:rsidR="000448E6" w:rsidRPr="000448E6" w:rsidRDefault="000448E6" w:rsidP="000448E6">
      <w:pPr>
        <w:spacing w:line="480" w:lineRule="auto"/>
        <w:jc w:val="right"/>
        <w:rPr>
          <w:rFonts w:ascii="Arial" w:hAnsi="Arial" w:cs="Arial"/>
          <w:b/>
          <w:sz w:val="32"/>
          <w:szCs w:val="24"/>
        </w:rPr>
      </w:pPr>
      <w:r w:rsidRPr="000448E6">
        <w:rPr>
          <w:rFonts w:ascii="Arial" w:hAnsi="Arial" w:cs="Arial"/>
          <w:b/>
          <w:sz w:val="32"/>
          <w:szCs w:val="24"/>
        </w:rPr>
        <w:t xml:space="preserve">Larvicidal and dengue virus inhibitory potential of </w:t>
      </w:r>
      <w:proofErr w:type="spellStart"/>
      <w:r w:rsidRPr="000448E6">
        <w:rPr>
          <w:rFonts w:ascii="Arial" w:hAnsi="Arial" w:cs="Arial"/>
          <w:b/>
          <w:sz w:val="32"/>
          <w:szCs w:val="24"/>
        </w:rPr>
        <w:t>terpenoids</w:t>
      </w:r>
      <w:proofErr w:type="spellEnd"/>
      <w:r w:rsidRPr="000448E6">
        <w:rPr>
          <w:rFonts w:ascii="Arial" w:hAnsi="Arial" w:cs="Arial"/>
          <w:b/>
          <w:sz w:val="32"/>
          <w:szCs w:val="24"/>
        </w:rPr>
        <w:t xml:space="preserve"> from </w:t>
      </w:r>
      <w:proofErr w:type="spellStart"/>
      <w:r w:rsidRPr="000448E6">
        <w:rPr>
          <w:rFonts w:ascii="Arial" w:hAnsi="Arial" w:cs="Arial"/>
          <w:b/>
          <w:i/>
          <w:sz w:val="32"/>
          <w:szCs w:val="24"/>
        </w:rPr>
        <w:t>Bryophyllum</w:t>
      </w:r>
      <w:proofErr w:type="spellEnd"/>
      <w:r w:rsidRPr="000448E6">
        <w:rPr>
          <w:rFonts w:ascii="Arial" w:hAnsi="Arial" w:cs="Arial"/>
          <w:b/>
          <w:i/>
          <w:sz w:val="32"/>
          <w:szCs w:val="24"/>
        </w:rPr>
        <w:t xml:space="preserve"> </w:t>
      </w:r>
      <w:proofErr w:type="spellStart"/>
      <w:r w:rsidRPr="000448E6">
        <w:rPr>
          <w:rFonts w:ascii="Arial" w:hAnsi="Arial" w:cs="Arial"/>
          <w:b/>
          <w:i/>
          <w:sz w:val="32"/>
          <w:szCs w:val="24"/>
        </w:rPr>
        <w:t>pinnatum</w:t>
      </w:r>
      <w:proofErr w:type="spellEnd"/>
      <w:r w:rsidRPr="000448E6">
        <w:rPr>
          <w:rFonts w:ascii="Arial" w:hAnsi="Arial" w:cs="Arial"/>
          <w:b/>
          <w:sz w:val="32"/>
          <w:szCs w:val="24"/>
        </w:rPr>
        <w:t>: an in silico study</w:t>
      </w:r>
    </w:p>
    <w:p w14:paraId="66D55050" w14:textId="4C3333C9" w:rsidR="002C57D2" w:rsidRDefault="002C57D2" w:rsidP="00441B6F">
      <w:pPr>
        <w:pStyle w:val="Affiliation"/>
        <w:spacing w:after="0" w:line="240" w:lineRule="auto"/>
        <w:jc w:val="both"/>
        <w:rPr>
          <w:rFonts w:ascii="Arial" w:hAnsi="Arial" w:cs="Arial"/>
        </w:rPr>
      </w:pPr>
    </w:p>
    <w:p w14:paraId="635685DA" w14:textId="77777777" w:rsidR="004517E1" w:rsidRPr="00FB3A86" w:rsidRDefault="004517E1" w:rsidP="00441B6F">
      <w:pPr>
        <w:pStyle w:val="Affiliation"/>
        <w:spacing w:after="0" w:line="240" w:lineRule="auto"/>
        <w:jc w:val="both"/>
        <w:rPr>
          <w:rFonts w:ascii="Arial" w:hAnsi="Arial" w:cs="Arial"/>
        </w:rPr>
      </w:pPr>
    </w:p>
    <w:p w14:paraId="2076E8A1" w14:textId="77777777" w:rsidR="00B01FCD" w:rsidRPr="00FB3A86" w:rsidRDefault="00EC5970" w:rsidP="00441B6F">
      <w:pPr>
        <w:pStyle w:val="Copyright"/>
        <w:spacing w:after="0" w:line="240" w:lineRule="auto"/>
        <w:jc w:val="both"/>
        <w:rPr>
          <w:rFonts w:ascii="Arial" w:hAnsi="Arial" w:cs="Arial"/>
        </w:rPr>
        <w:sectPr w:rsidR="00B01FCD" w:rsidRPr="00FB3A86" w:rsidSect="004517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BBF55E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C71A9E"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D54E6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4C890E" w14:textId="77777777" w:rsidTr="001E44FE">
        <w:tc>
          <w:tcPr>
            <w:tcW w:w="9576" w:type="dxa"/>
            <w:shd w:val="clear" w:color="auto" w:fill="F2F2F2"/>
          </w:tcPr>
          <w:p w14:paraId="4D246AC6" w14:textId="77777777" w:rsidR="000448E6" w:rsidRPr="00934AEC" w:rsidRDefault="000448E6" w:rsidP="000448E6">
            <w:pPr>
              <w:tabs>
                <w:tab w:val="left" w:pos="8385"/>
              </w:tabs>
              <w:spacing w:line="276" w:lineRule="auto"/>
              <w:jc w:val="both"/>
              <w:rPr>
                <w:rFonts w:ascii="Arial" w:hAnsi="Arial" w:cs="Arial"/>
                <w:szCs w:val="22"/>
              </w:rPr>
            </w:pPr>
            <w:r w:rsidRPr="00934AEC">
              <w:rPr>
                <w:rFonts w:ascii="Arial" w:hAnsi="Arial" w:cs="Arial"/>
                <w:b/>
                <w:szCs w:val="22"/>
              </w:rPr>
              <w:t>Aim:</w:t>
            </w:r>
            <w:r w:rsidRPr="00934AEC">
              <w:rPr>
                <w:rFonts w:ascii="Arial" w:hAnsi="Arial" w:cs="Arial"/>
                <w:szCs w:val="22"/>
              </w:rPr>
              <w:t xml:space="preserve"> </w:t>
            </w:r>
            <w:proofErr w:type="spellStart"/>
            <w:r w:rsidRPr="00934AEC">
              <w:rPr>
                <w:rFonts w:ascii="Arial" w:hAnsi="Arial" w:cs="Arial"/>
                <w:i/>
                <w:szCs w:val="22"/>
              </w:rPr>
              <w:t>Bryophyllum</w:t>
            </w:r>
            <w:proofErr w:type="spellEnd"/>
            <w:r w:rsidRPr="00934AEC">
              <w:rPr>
                <w:rFonts w:ascii="Arial" w:hAnsi="Arial" w:cs="Arial"/>
                <w:i/>
                <w:szCs w:val="22"/>
              </w:rPr>
              <w:t xml:space="preserve"> </w:t>
            </w:r>
            <w:proofErr w:type="spellStart"/>
            <w:r w:rsidRPr="00934AEC">
              <w:rPr>
                <w:rFonts w:ascii="Arial" w:hAnsi="Arial" w:cs="Arial"/>
                <w:i/>
                <w:szCs w:val="22"/>
              </w:rPr>
              <w:t>pinnatum</w:t>
            </w:r>
            <w:proofErr w:type="spellEnd"/>
            <w:r w:rsidRPr="00934AEC">
              <w:rPr>
                <w:rFonts w:ascii="Arial" w:hAnsi="Arial" w:cs="Arial"/>
                <w:szCs w:val="22"/>
              </w:rPr>
              <w:t xml:space="preserve"> is a medicinal plant used in </w:t>
            </w:r>
            <w:commentRangeStart w:id="0"/>
            <w:r w:rsidRPr="0095534E">
              <w:rPr>
                <w:rFonts w:ascii="Arial" w:hAnsi="Arial" w:cs="Arial"/>
                <w:color w:val="FF0000"/>
                <w:szCs w:val="22"/>
              </w:rPr>
              <w:t>treatment of diseases.</w:t>
            </w:r>
            <w:r w:rsidRPr="00934AEC">
              <w:rPr>
                <w:rFonts w:ascii="Arial" w:hAnsi="Arial" w:cs="Arial"/>
                <w:szCs w:val="22"/>
              </w:rPr>
              <w:t xml:space="preserve"> </w:t>
            </w:r>
            <w:commentRangeEnd w:id="0"/>
            <w:r w:rsidR="0095534E">
              <w:rPr>
                <w:rStyle w:val="CommentReference"/>
                <w:rFonts w:ascii="Times New Roman" w:hAnsi="Times New Roman"/>
                <w:lang w:val="nb-NO" w:eastAsia="nb-NO"/>
              </w:rPr>
              <w:commentReference w:id="0"/>
            </w:r>
            <w:r w:rsidRPr="00934AEC">
              <w:rPr>
                <w:rFonts w:ascii="Arial" w:hAnsi="Arial" w:cs="Arial"/>
                <w:szCs w:val="22"/>
              </w:rPr>
              <w:t xml:space="preserve">This study investigates the larvicidal and dengue virus inhibitory potential of </w:t>
            </w:r>
            <w:r w:rsidRPr="00934AEC">
              <w:rPr>
                <w:rFonts w:ascii="Arial" w:hAnsi="Arial" w:cs="Arial"/>
                <w:i/>
                <w:szCs w:val="22"/>
              </w:rPr>
              <w:t xml:space="preserve">B. </w:t>
            </w:r>
            <w:proofErr w:type="spellStart"/>
            <w:r w:rsidRPr="00934AEC">
              <w:rPr>
                <w:rFonts w:ascii="Arial" w:hAnsi="Arial" w:cs="Arial"/>
                <w:i/>
                <w:szCs w:val="22"/>
              </w:rPr>
              <w:t>pinnatum</w:t>
            </w:r>
            <w:proofErr w:type="spellEnd"/>
            <w:r w:rsidRPr="00934AEC">
              <w:rPr>
                <w:rFonts w:ascii="Arial" w:hAnsi="Arial" w:cs="Arial"/>
                <w:szCs w:val="22"/>
              </w:rPr>
              <w:t xml:space="preserve"> </w:t>
            </w:r>
            <w:proofErr w:type="spellStart"/>
            <w:r w:rsidRPr="00934AEC">
              <w:rPr>
                <w:rFonts w:ascii="Arial" w:hAnsi="Arial" w:cs="Arial"/>
                <w:szCs w:val="22"/>
              </w:rPr>
              <w:t>phytoconstituents</w:t>
            </w:r>
            <w:proofErr w:type="spellEnd"/>
            <w:r w:rsidRPr="00934AEC">
              <w:rPr>
                <w:rFonts w:ascii="Arial" w:hAnsi="Arial" w:cs="Arial"/>
                <w:szCs w:val="22"/>
              </w:rPr>
              <w:t xml:space="preserve"> through computational approaches. </w:t>
            </w:r>
          </w:p>
          <w:p w14:paraId="09211BC7" w14:textId="77777777" w:rsidR="00934AEC" w:rsidRPr="00934AEC" w:rsidRDefault="000448E6" w:rsidP="000448E6">
            <w:pPr>
              <w:tabs>
                <w:tab w:val="left" w:pos="8385"/>
              </w:tabs>
              <w:spacing w:line="276" w:lineRule="auto"/>
              <w:jc w:val="both"/>
              <w:rPr>
                <w:rFonts w:ascii="Arial" w:hAnsi="Arial" w:cs="Arial"/>
                <w:szCs w:val="22"/>
              </w:rPr>
            </w:pPr>
            <w:r w:rsidRPr="00934AEC">
              <w:rPr>
                <w:rFonts w:ascii="Arial" w:hAnsi="Arial" w:cs="Arial"/>
                <w:b/>
                <w:szCs w:val="22"/>
              </w:rPr>
              <w:t>Methodology:</w:t>
            </w:r>
            <w:r w:rsidRPr="00934AEC">
              <w:rPr>
                <w:rFonts w:ascii="Arial" w:hAnsi="Arial" w:cs="Arial"/>
                <w:szCs w:val="22"/>
              </w:rPr>
              <w:t xml:space="preserve"> A library of terpenoids from </w:t>
            </w:r>
            <w:r w:rsidRPr="00934AEC">
              <w:rPr>
                <w:rFonts w:ascii="Arial" w:hAnsi="Arial" w:cs="Arial"/>
                <w:i/>
                <w:szCs w:val="22"/>
              </w:rPr>
              <w:t xml:space="preserve">B. </w:t>
            </w:r>
            <w:proofErr w:type="spellStart"/>
            <w:r w:rsidRPr="00934AEC">
              <w:rPr>
                <w:rFonts w:ascii="Arial" w:hAnsi="Arial" w:cs="Arial"/>
                <w:i/>
                <w:szCs w:val="22"/>
              </w:rPr>
              <w:t>pinnatum</w:t>
            </w:r>
            <w:proofErr w:type="spellEnd"/>
            <w:r w:rsidRPr="00934AEC">
              <w:rPr>
                <w:rFonts w:ascii="Arial" w:hAnsi="Arial" w:cs="Arial"/>
                <w:szCs w:val="22"/>
              </w:rPr>
              <w:t xml:space="preserve"> was constructed. Molecular docking was performed against </w:t>
            </w:r>
            <w:r w:rsidRPr="00934AEC">
              <w:rPr>
                <w:rFonts w:ascii="Arial" w:hAnsi="Arial" w:cs="Arial"/>
                <w:i/>
                <w:szCs w:val="22"/>
              </w:rPr>
              <w:t>Aedes aegypti</w:t>
            </w:r>
            <w:r w:rsidRPr="00934AEC">
              <w:rPr>
                <w:rFonts w:ascii="Arial" w:hAnsi="Arial" w:cs="Arial"/>
                <w:szCs w:val="22"/>
              </w:rPr>
              <w:t>, dengue NS5 polymerase and NS2B/NS3 protease followed by 150 n</w:t>
            </w:r>
            <w:r w:rsidR="006F213F">
              <w:rPr>
                <w:rFonts w:ascii="Arial" w:hAnsi="Arial" w:cs="Arial"/>
                <w:szCs w:val="22"/>
              </w:rPr>
              <w:t>s molecular dynamics simulation.</w:t>
            </w:r>
          </w:p>
          <w:p w14:paraId="56335FB5" w14:textId="77777777" w:rsidR="000448E6" w:rsidRPr="00934AEC" w:rsidRDefault="000448E6" w:rsidP="000448E6">
            <w:pPr>
              <w:tabs>
                <w:tab w:val="left" w:pos="8385"/>
              </w:tabs>
              <w:spacing w:line="276" w:lineRule="auto"/>
              <w:jc w:val="both"/>
              <w:rPr>
                <w:rFonts w:ascii="Arial" w:hAnsi="Arial" w:cs="Arial"/>
                <w:szCs w:val="22"/>
              </w:rPr>
            </w:pPr>
            <w:r w:rsidRPr="00934AEC">
              <w:rPr>
                <w:rFonts w:ascii="Arial" w:hAnsi="Arial" w:cs="Arial"/>
                <w:b/>
                <w:szCs w:val="22"/>
              </w:rPr>
              <w:t>Results:</w:t>
            </w:r>
            <w:r w:rsidRPr="00934AEC">
              <w:rPr>
                <w:rFonts w:ascii="Arial" w:hAnsi="Arial" w:cs="Arial"/>
                <w:szCs w:val="22"/>
              </w:rPr>
              <w:t xml:space="preserve"> 24-ethyl-desmosterol (-10.6 kcal/</w:t>
            </w:r>
            <w:proofErr w:type="spellStart"/>
            <w:r w:rsidRPr="00934AEC">
              <w:rPr>
                <w:rFonts w:ascii="Arial" w:hAnsi="Arial" w:cs="Arial"/>
                <w:szCs w:val="22"/>
              </w:rPr>
              <w:t>mol</w:t>
            </w:r>
            <w:proofErr w:type="spellEnd"/>
            <w:r w:rsidRPr="00934AEC">
              <w:rPr>
                <w:rFonts w:ascii="Arial" w:hAnsi="Arial" w:cs="Arial"/>
                <w:szCs w:val="22"/>
              </w:rPr>
              <w:t xml:space="preserve">) and </w:t>
            </w:r>
            <w:proofErr w:type="spellStart"/>
            <w:r w:rsidRPr="00934AEC">
              <w:rPr>
                <w:rFonts w:ascii="Arial" w:hAnsi="Arial" w:cs="Arial"/>
                <w:szCs w:val="22"/>
              </w:rPr>
              <w:t>clerosterol</w:t>
            </w:r>
            <w:proofErr w:type="spellEnd"/>
            <w:r w:rsidRPr="00934AEC">
              <w:rPr>
                <w:rFonts w:ascii="Arial" w:hAnsi="Arial" w:cs="Arial"/>
                <w:szCs w:val="22"/>
              </w:rPr>
              <w:t xml:space="preserve"> (-10.5 kcal/</w:t>
            </w:r>
            <w:proofErr w:type="spellStart"/>
            <w:r w:rsidRPr="00934AEC">
              <w:rPr>
                <w:rFonts w:ascii="Arial" w:hAnsi="Arial" w:cs="Arial"/>
                <w:szCs w:val="22"/>
              </w:rPr>
              <w:t>mol</w:t>
            </w:r>
            <w:proofErr w:type="spellEnd"/>
            <w:r w:rsidRPr="00934AEC">
              <w:rPr>
                <w:rFonts w:ascii="Arial" w:hAnsi="Arial" w:cs="Arial"/>
                <w:szCs w:val="22"/>
              </w:rPr>
              <w:t xml:space="preserve">) were identified as hit molecule against </w:t>
            </w:r>
            <w:proofErr w:type="spellStart"/>
            <w:r w:rsidRPr="00934AEC">
              <w:rPr>
                <w:rFonts w:ascii="Arial" w:hAnsi="Arial" w:cs="Arial"/>
                <w:i/>
                <w:szCs w:val="22"/>
              </w:rPr>
              <w:t>Aedes</w:t>
            </w:r>
            <w:proofErr w:type="spellEnd"/>
            <w:r w:rsidRPr="00934AEC">
              <w:rPr>
                <w:rFonts w:ascii="Arial" w:hAnsi="Arial" w:cs="Arial"/>
                <w:i/>
                <w:szCs w:val="22"/>
              </w:rPr>
              <w:t xml:space="preserve"> </w:t>
            </w:r>
            <w:proofErr w:type="spellStart"/>
            <w:r w:rsidRPr="00934AEC">
              <w:rPr>
                <w:rFonts w:ascii="Arial" w:hAnsi="Arial" w:cs="Arial"/>
                <w:i/>
                <w:szCs w:val="22"/>
              </w:rPr>
              <w:t>aegypti</w:t>
            </w:r>
            <w:proofErr w:type="spellEnd"/>
            <w:r w:rsidRPr="00934AEC">
              <w:rPr>
                <w:rFonts w:ascii="Arial" w:hAnsi="Arial" w:cs="Arial"/>
                <w:b/>
                <w:szCs w:val="22"/>
              </w:rPr>
              <w:t xml:space="preserve">, </w:t>
            </w:r>
            <w:proofErr w:type="spellStart"/>
            <w:r w:rsidRPr="00934AEC">
              <w:rPr>
                <w:rFonts w:ascii="Arial" w:hAnsi="Arial" w:cs="Arial"/>
                <w:szCs w:val="22"/>
              </w:rPr>
              <w:t>taraxasterol</w:t>
            </w:r>
            <w:proofErr w:type="spellEnd"/>
            <w:r w:rsidRPr="00934AEC">
              <w:rPr>
                <w:rFonts w:ascii="Arial" w:hAnsi="Arial" w:cs="Arial"/>
                <w:szCs w:val="22"/>
              </w:rPr>
              <w:t xml:space="preserve"> (-9.7 kcal/</w:t>
            </w:r>
            <w:proofErr w:type="spellStart"/>
            <w:r w:rsidRPr="00934AEC">
              <w:rPr>
                <w:rFonts w:ascii="Arial" w:hAnsi="Arial" w:cs="Arial"/>
                <w:szCs w:val="22"/>
              </w:rPr>
              <w:t>mol</w:t>
            </w:r>
            <w:proofErr w:type="spellEnd"/>
            <w:r w:rsidRPr="00934AEC">
              <w:rPr>
                <w:rFonts w:ascii="Arial" w:hAnsi="Arial" w:cs="Arial"/>
                <w:szCs w:val="22"/>
              </w:rPr>
              <w:t xml:space="preserve">) and </w:t>
            </w:r>
            <w:proofErr w:type="spellStart"/>
            <w:r w:rsidRPr="00934AEC">
              <w:rPr>
                <w:rFonts w:ascii="Arial" w:hAnsi="Arial" w:cs="Arial"/>
                <w:szCs w:val="22"/>
              </w:rPr>
              <w:t>bryophynol</w:t>
            </w:r>
            <w:proofErr w:type="spellEnd"/>
            <w:r w:rsidRPr="00934AEC">
              <w:rPr>
                <w:rFonts w:ascii="Arial" w:hAnsi="Arial" w:cs="Arial"/>
                <w:szCs w:val="22"/>
              </w:rPr>
              <w:t xml:space="preserve"> (-9.6 kcal/</w:t>
            </w:r>
            <w:proofErr w:type="spellStart"/>
            <w:r w:rsidRPr="00934AEC">
              <w:rPr>
                <w:rFonts w:ascii="Arial" w:hAnsi="Arial" w:cs="Arial"/>
                <w:szCs w:val="22"/>
              </w:rPr>
              <w:t>mol</w:t>
            </w:r>
            <w:proofErr w:type="spellEnd"/>
            <w:r w:rsidRPr="00934AEC">
              <w:rPr>
                <w:rFonts w:ascii="Arial" w:hAnsi="Arial" w:cs="Arial"/>
                <w:szCs w:val="22"/>
              </w:rPr>
              <w:t>), and 25-Methylstigmast-24(28)-enol (-8.9 kcal/</w:t>
            </w:r>
            <w:proofErr w:type="spellStart"/>
            <w:r w:rsidRPr="00934AEC">
              <w:rPr>
                <w:rFonts w:ascii="Arial" w:hAnsi="Arial" w:cs="Arial"/>
                <w:szCs w:val="22"/>
              </w:rPr>
              <w:t>mol</w:t>
            </w:r>
            <w:proofErr w:type="spellEnd"/>
            <w:r w:rsidRPr="00934AEC">
              <w:rPr>
                <w:rFonts w:ascii="Arial" w:hAnsi="Arial" w:cs="Arial"/>
                <w:szCs w:val="22"/>
              </w:rPr>
              <w:t xml:space="preserve">) and </w:t>
            </w:r>
            <w:proofErr w:type="spellStart"/>
            <w:r w:rsidRPr="00934AEC">
              <w:rPr>
                <w:rFonts w:ascii="Arial" w:hAnsi="Arial" w:cs="Arial"/>
                <w:szCs w:val="22"/>
              </w:rPr>
              <w:t>clerosterol</w:t>
            </w:r>
            <w:proofErr w:type="spellEnd"/>
            <w:r w:rsidRPr="00934AEC">
              <w:rPr>
                <w:rFonts w:ascii="Arial" w:hAnsi="Arial" w:cs="Arial"/>
                <w:szCs w:val="22"/>
              </w:rPr>
              <w:t xml:space="preserve"> (-8.9 kcal/</w:t>
            </w:r>
            <w:proofErr w:type="spellStart"/>
            <w:r w:rsidRPr="00934AEC">
              <w:rPr>
                <w:rFonts w:ascii="Arial" w:hAnsi="Arial" w:cs="Arial"/>
                <w:szCs w:val="22"/>
              </w:rPr>
              <w:t>mol</w:t>
            </w:r>
            <w:proofErr w:type="spellEnd"/>
            <w:r w:rsidRPr="00934AEC">
              <w:rPr>
                <w:rFonts w:ascii="Arial" w:hAnsi="Arial" w:cs="Arial"/>
                <w:szCs w:val="22"/>
              </w:rPr>
              <w:t xml:space="preserve">). The 150 ns simulation of the complexes showed that the chemical compounds are considerably stable. The </w:t>
            </w:r>
            <w:commentRangeStart w:id="1"/>
            <w:r w:rsidRPr="00934AEC">
              <w:rPr>
                <w:rFonts w:ascii="Arial" w:hAnsi="Arial" w:cs="Arial"/>
                <w:szCs w:val="22"/>
              </w:rPr>
              <w:t xml:space="preserve">ADMET studies </w:t>
            </w:r>
            <w:commentRangeEnd w:id="1"/>
            <w:r w:rsidR="0095534E">
              <w:rPr>
                <w:rStyle w:val="CommentReference"/>
                <w:rFonts w:ascii="Times New Roman" w:hAnsi="Times New Roman"/>
                <w:lang w:val="nb-NO" w:eastAsia="nb-NO"/>
              </w:rPr>
              <w:commentReference w:id="1"/>
            </w:r>
            <w:r w:rsidRPr="00934AEC">
              <w:rPr>
                <w:rFonts w:ascii="Arial" w:hAnsi="Arial" w:cs="Arial"/>
                <w:szCs w:val="22"/>
              </w:rPr>
              <w:t xml:space="preserve">showed that the compounds exhibit good druggable properties. The binding affinity and interactions established by the 24-ethyl-desmosterol and </w:t>
            </w:r>
            <w:proofErr w:type="spellStart"/>
            <w:r w:rsidRPr="00934AEC">
              <w:rPr>
                <w:rFonts w:ascii="Arial" w:hAnsi="Arial" w:cs="Arial"/>
                <w:szCs w:val="22"/>
              </w:rPr>
              <w:t>clerosterol</w:t>
            </w:r>
            <w:proofErr w:type="spellEnd"/>
            <w:r w:rsidRPr="00934AEC">
              <w:rPr>
                <w:rFonts w:ascii="Arial" w:hAnsi="Arial" w:cs="Arial"/>
                <w:szCs w:val="22"/>
              </w:rPr>
              <w:t xml:space="preserve"> </w:t>
            </w:r>
            <w:proofErr w:type="spellStart"/>
            <w:r w:rsidRPr="00934AEC">
              <w:rPr>
                <w:rFonts w:ascii="Arial" w:hAnsi="Arial" w:cs="Arial"/>
                <w:szCs w:val="22"/>
              </w:rPr>
              <w:t>agaist</w:t>
            </w:r>
            <w:proofErr w:type="spellEnd"/>
            <w:r w:rsidRPr="00934AEC">
              <w:rPr>
                <w:rFonts w:ascii="Arial" w:hAnsi="Arial" w:cs="Arial"/>
                <w:szCs w:val="22"/>
              </w:rPr>
              <w:t xml:space="preserve"> </w:t>
            </w:r>
            <w:proofErr w:type="spellStart"/>
            <w:r w:rsidRPr="00934AEC">
              <w:rPr>
                <w:rFonts w:ascii="Arial" w:hAnsi="Arial" w:cs="Arial"/>
                <w:i/>
                <w:szCs w:val="22"/>
              </w:rPr>
              <w:t>Aedes</w:t>
            </w:r>
            <w:proofErr w:type="spellEnd"/>
            <w:r w:rsidRPr="00934AEC">
              <w:rPr>
                <w:rFonts w:ascii="Arial" w:hAnsi="Arial" w:cs="Arial"/>
                <w:i/>
                <w:szCs w:val="22"/>
              </w:rPr>
              <w:t xml:space="preserve"> </w:t>
            </w:r>
            <w:proofErr w:type="spellStart"/>
            <w:r w:rsidRPr="00934AEC">
              <w:rPr>
                <w:rFonts w:ascii="Arial" w:hAnsi="Arial" w:cs="Arial"/>
                <w:i/>
                <w:szCs w:val="22"/>
              </w:rPr>
              <w:t>aegypti</w:t>
            </w:r>
            <w:proofErr w:type="spellEnd"/>
            <w:r w:rsidRPr="00934AEC">
              <w:rPr>
                <w:rFonts w:ascii="Arial" w:hAnsi="Arial" w:cs="Arial"/>
                <w:szCs w:val="22"/>
              </w:rPr>
              <w:t xml:space="preserve">, </w:t>
            </w:r>
            <w:proofErr w:type="spellStart"/>
            <w:r w:rsidRPr="00934AEC">
              <w:rPr>
                <w:rFonts w:ascii="Arial" w:hAnsi="Arial" w:cs="Arial"/>
                <w:szCs w:val="22"/>
              </w:rPr>
              <w:t>taraxasterol</w:t>
            </w:r>
            <w:proofErr w:type="spellEnd"/>
            <w:r w:rsidRPr="00934AEC">
              <w:rPr>
                <w:rFonts w:ascii="Arial" w:hAnsi="Arial" w:cs="Arial"/>
                <w:szCs w:val="22"/>
              </w:rPr>
              <w:t xml:space="preserve"> and </w:t>
            </w:r>
            <w:proofErr w:type="spellStart"/>
            <w:r w:rsidRPr="00934AEC">
              <w:rPr>
                <w:rFonts w:ascii="Arial" w:hAnsi="Arial" w:cs="Arial"/>
                <w:szCs w:val="22"/>
              </w:rPr>
              <w:t>bryophynol</w:t>
            </w:r>
            <w:proofErr w:type="spellEnd"/>
            <w:r w:rsidRPr="00934AEC">
              <w:rPr>
                <w:rFonts w:ascii="Arial" w:hAnsi="Arial" w:cs="Arial"/>
                <w:szCs w:val="22"/>
              </w:rPr>
              <w:t xml:space="preserve"> against NS5 polymerase, and 25-Methylstigmast-24(28)-</w:t>
            </w:r>
            <w:proofErr w:type="spellStart"/>
            <w:r w:rsidRPr="00934AEC">
              <w:rPr>
                <w:rFonts w:ascii="Arial" w:hAnsi="Arial" w:cs="Arial"/>
                <w:szCs w:val="22"/>
              </w:rPr>
              <w:t>enol</w:t>
            </w:r>
            <w:proofErr w:type="spellEnd"/>
            <w:r w:rsidRPr="00934AEC">
              <w:rPr>
                <w:rFonts w:ascii="Arial" w:hAnsi="Arial" w:cs="Arial"/>
                <w:szCs w:val="22"/>
              </w:rPr>
              <w:t xml:space="preserve"> and </w:t>
            </w:r>
            <w:proofErr w:type="spellStart"/>
            <w:r w:rsidRPr="00934AEC">
              <w:rPr>
                <w:rFonts w:ascii="Arial" w:hAnsi="Arial" w:cs="Arial"/>
                <w:szCs w:val="22"/>
              </w:rPr>
              <w:t>clerosterol</w:t>
            </w:r>
            <w:proofErr w:type="spellEnd"/>
            <w:r w:rsidRPr="00934AEC">
              <w:rPr>
                <w:rFonts w:ascii="Arial" w:hAnsi="Arial" w:cs="Arial"/>
                <w:szCs w:val="22"/>
              </w:rPr>
              <w:t xml:space="preserve"> against NS2B/NS3 protease showed that the chemical constituent possesses promising therapeutic efficacy against the spread of dengue virus. </w:t>
            </w:r>
          </w:p>
          <w:p w14:paraId="0BEB885C" w14:textId="77777777" w:rsidR="000448E6" w:rsidRPr="00934AEC" w:rsidRDefault="000448E6" w:rsidP="000448E6">
            <w:pPr>
              <w:tabs>
                <w:tab w:val="left" w:pos="8385"/>
              </w:tabs>
              <w:spacing w:line="276" w:lineRule="auto"/>
              <w:jc w:val="both"/>
              <w:rPr>
                <w:rFonts w:ascii="Arial" w:eastAsia="Calibri" w:hAnsi="Arial" w:cs="Arial"/>
                <w:szCs w:val="22"/>
              </w:rPr>
            </w:pPr>
            <w:r w:rsidRPr="00934AEC">
              <w:rPr>
                <w:rFonts w:ascii="Arial" w:hAnsi="Arial" w:cs="Arial"/>
                <w:b/>
                <w:szCs w:val="22"/>
              </w:rPr>
              <w:t>Conclusion:</w:t>
            </w:r>
            <w:r w:rsidRPr="00934AEC">
              <w:rPr>
                <w:rFonts w:ascii="Arial" w:hAnsi="Arial" w:cs="Arial"/>
                <w:szCs w:val="22"/>
              </w:rPr>
              <w:t xml:space="preserve"> The </w:t>
            </w:r>
            <w:proofErr w:type="spellStart"/>
            <w:r w:rsidRPr="00934AEC">
              <w:rPr>
                <w:rFonts w:ascii="Arial" w:hAnsi="Arial" w:cs="Arial"/>
                <w:szCs w:val="22"/>
              </w:rPr>
              <w:t>terpenoids</w:t>
            </w:r>
            <w:proofErr w:type="spellEnd"/>
            <w:r w:rsidRPr="00934AEC">
              <w:rPr>
                <w:rFonts w:ascii="Arial" w:hAnsi="Arial" w:cs="Arial"/>
                <w:szCs w:val="22"/>
              </w:rPr>
              <w:t xml:space="preserve"> from </w:t>
            </w:r>
            <w:proofErr w:type="spellStart"/>
            <w:r w:rsidRPr="00934AEC">
              <w:rPr>
                <w:rFonts w:ascii="Arial" w:hAnsi="Arial" w:cs="Arial"/>
                <w:szCs w:val="22"/>
              </w:rPr>
              <w:t>Bryophyllum</w:t>
            </w:r>
            <w:proofErr w:type="spellEnd"/>
            <w:r w:rsidRPr="00934AEC">
              <w:rPr>
                <w:rFonts w:ascii="Arial" w:hAnsi="Arial" w:cs="Arial"/>
                <w:szCs w:val="22"/>
              </w:rPr>
              <w:t xml:space="preserve"> </w:t>
            </w:r>
            <w:proofErr w:type="spellStart"/>
            <w:r w:rsidRPr="00934AEC">
              <w:rPr>
                <w:rFonts w:ascii="Arial" w:hAnsi="Arial" w:cs="Arial"/>
                <w:szCs w:val="22"/>
              </w:rPr>
              <w:t>pinnatum</w:t>
            </w:r>
            <w:proofErr w:type="spellEnd"/>
            <w:r w:rsidRPr="00934AEC">
              <w:rPr>
                <w:rFonts w:ascii="Arial" w:hAnsi="Arial" w:cs="Arial"/>
                <w:szCs w:val="22"/>
              </w:rPr>
              <w:t xml:space="preserve"> possesses </w:t>
            </w:r>
            <w:proofErr w:type="spellStart"/>
            <w:r w:rsidRPr="00934AEC">
              <w:rPr>
                <w:rFonts w:ascii="Arial" w:hAnsi="Arial" w:cs="Arial"/>
                <w:szCs w:val="22"/>
              </w:rPr>
              <w:t>larvicidal</w:t>
            </w:r>
            <w:proofErr w:type="spellEnd"/>
            <w:r w:rsidRPr="00934AEC">
              <w:rPr>
                <w:rFonts w:ascii="Arial" w:hAnsi="Arial" w:cs="Arial"/>
                <w:szCs w:val="22"/>
              </w:rPr>
              <w:t xml:space="preserve"> and dengue virus inhibitory potential.</w:t>
            </w:r>
            <w:bookmarkStart w:id="2" w:name="_GoBack"/>
            <w:bookmarkEnd w:id="2"/>
          </w:p>
          <w:p w14:paraId="65DAF096" w14:textId="77777777" w:rsidR="00505F06" w:rsidRPr="00BA1B01" w:rsidRDefault="00505F06" w:rsidP="00441B6F">
            <w:pPr>
              <w:pStyle w:val="Body"/>
              <w:spacing w:after="0"/>
              <w:rPr>
                <w:rFonts w:ascii="Arial" w:eastAsia="Calibri" w:hAnsi="Arial" w:cs="Arial"/>
                <w:szCs w:val="22"/>
              </w:rPr>
            </w:pPr>
          </w:p>
        </w:tc>
      </w:tr>
    </w:tbl>
    <w:p w14:paraId="62329A67" w14:textId="77777777" w:rsidR="00636EB2" w:rsidRDefault="00636EB2" w:rsidP="00441B6F">
      <w:pPr>
        <w:pStyle w:val="Body"/>
        <w:spacing w:after="0"/>
        <w:rPr>
          <w:rFonts w:ascii="Arial" w:hAnsi="Arial" w:cs="Arial"/>
          <w:i/>
        </w:rPr>
      </w:pPr>
    </w:p>
    <w:p w14:paraId="4A5A43B9" w14:textId="77777777" w:rsidR="00C11954" w:rsidRPr="00C11954" w:rsidRDefault="00C11954" w:rsidP="00C11954">
      <w:pPr>
        <w:tabs>
          <w:tab w:val="left" w:pos="8385"/>
        </w:tabs>
        <w:jc w:val="both"/>
        <w:rPr>
          <w:rFonts w:ascii="Arial" w:hAnsi="Arial" w:cs="Arial"/>
          <w:sz w:val="22"/>
          <w:szCs w:val="24"/>
        </w:rPr>
      </w:pPr>
      <w:r w:rsidRPr="00C11954">
        <w:rPr>
          <w:rFonts w:ascii="Arial" w:hAnsi="Arial" w:cs="Arial"/>
          <w:sz w:val="22"/>
          <w:szCs w:val="24"/>
        </w:rPr>
        <w:t xml:space="preserve">Keywords: </w:t>
      </w:r>
      <w:proofErr w:type="spellStart"/>
      <w:r w:rsidRPr="00C11954">
        <w:rPr>
          <w:rFonts w:ascii="Arial" w:hAnsi="Arial" w:cs="Arial"/>
          <w:i/>
          <w:sz w:val="22"/>
          <w:szCs w:val="24"/>
        </w:rPr>
        <w:t>Bryophyllum</w:t>
      </w:r>
      <w:proofErr w:type="spellEnd"/>
      <w:r w:rsidRPr="00C11954">
        <w:rPr>
          <w:rFonts w:ascii="Arial" w:hAnsi="Arial" w:cs="Arial"/>
          <w:i/>
          <w:sz w:val="22"/>
          <w:szCs w:val="24"/>
        </w:rPr>
        <w:t xml:space="preserve"> </w:t>
      </w:r>
      <w:proofErr w:type="spellStart"/>
      <w:r w:rsidRPr="00C11954">
        <w:rPr>
          <w:rFonts w:ascii="Arial" w:hAnsi="Arial" w:cs="Arial"/>
          <w:i/>
          <w:sz w:val="22"/>
          <w:szCs w:val="24"/>
        </w:rPr>
        <w:t>pinnatum</w:t>
      </w:r>
      <w:proofErr w:type="spellEnd"/>
      <w:r w:rsidRPr="00C11954">
        <w:rPr>
          <w:rFonts w:ascii="Arial" w:hAnsi="Arial" w:cs="Arial"/>
          <w:sz w:val="22"/>
          <w:szCs w:val="24"/>
        </w:rPr>
        <w:t xml:space="preserve">; dengue virus; </w:t>
      </w:r>
      <w:r w:rsidRPr="00C11954">
        <w:rPr>
          <w:rFonts w:ascii="Arial" w:hAnsi="Arial" w:cs="Arial"/>
          <w:i/>
          <w:sz w:val="22"/>
          <w:szCs w:val="24"/>
        </w:rPr>
        <w:t>Aedes aegypti</w:t>
      </w:r>
      <w:r w:rsidRPr="00C11954">
        <w:rPr>
          <w:rFonts w:ascii="Arial" w:hAnsi="Arial" w:cs="Arial"/>
          <w:sz w:val="22"/>
          <w:szCs w:val="24"/>
        </w:rPr>
        <w:t>; molecular docking; molecular dynamics simulation; ADMET</w:t>
      </w:r>
    </w:p>
    <w:p w14:paraId="03E4F60A" w14:textId="77777777" w:rsidR="00790ADA" w:rsidRDefault="00790ADA" w:rsidP="00441B6F">
      <w:pPr>
        <w:pStyle w:val="Body"/>
        <w:spacing w:after="0"/>
        <w:rPr>
          <w:rFonts w:ascii="Arial" w:hAnsi="Arial" w:cs="Arial"/>
          <w:i/>
        </w:rPr>
      </w:pPr>
    </w:p>
    <w:p w14:paraId="01BF8B5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C515ACE" w14:textId="77777777" w:rsidR="00790ADA" w:rsidRPr="00FB3A86" w:rsidRDefault="00790ADA" w:rsidP="00441B6F">
      <w:pPr>
        <w:pStyle w:val="AbstHead"/>
        <w:spacing w:after="0"/>
        <w:jc w:val="both"/>
        <w:rPr>
          <w:rFonts w:ascii="Arial" w:hAnsi="Arial" w:cs="Arial"/>
        </w:rPr>
      </w:pPr>
    </w:p>
    <w:p w14:paraId="48154E48" w14:textId="77777777" w:rsidR="00C11954" w:rsidRPr="00C11954" w:rsidRDefault="00C11954" w:rsidP="00C11954">
      <w:pPr>
        <w:spacing w:line="276" w:lineRule="auto"/>
        <w:jc w:val="both"/>
        <w:rPr>
          <w:rFonts w:ascii="Arial" w:hAnsi="Arial" w:cs="Arial"/>
          <w:szCs w:val="24"/>
        </w:rPr>
      </w:pPr>
      <w:commentRangeStart w:id="3"/>
      <w:r w:rsidRPr="00F9383E">
        <w:rPr>
          <w:rFonts w:ascii="Arial" w:hAnsi="Arial" w:cs="Arial"/>
          <w:color w:val="FF0000"/>
          <w:szCs w:val="24"/>
        </w:rPr>
        <w:t xml:space="preserve">Parasitic diseases still pose a great threat to human health and life (Cholewinski et al., 2015). </w:t>
      </w:r>
      <w:commentRangeEnd w:id="3"/>
      <w:r w:rsidR="00F9383E">
        <w:rPr>
          <w:rStyle w:val="CommentReference"/>
          <w:rFonts w:ascii="Times New Roman" w:hAnsi="Times New Roman"/>
          <w:lang w:val="nb-NO" w:eastAsia="nb-NO"/>
        </w:rPr>
        <w:commentReference w:id="3"/>
      </w:r>
      <w:r w:rsidRPr="00C11954">
        <w:rPr>
          <w:rFonts w:ascii="Arial" w:hAnsi="Arial" w:cs="Arial"/>
          <w:szCs w:val="24"/>
        </w:rPr>
        <w:t xml:space="preserve">Some parasitic diseases are vector-borne with certain vectors identified in their transmission. </w:t>
      </w:r>
      <w:r w:rsidRPr="00C11954">
        <w:rPr>
          <w:rFonts w:ascii="Arial" w:hAnsi="Arial" w:cs="Arial"/>
          <w:i/>
          <w:szCs w:val="24"/>
        </w:rPr>
        <w:t>Aedes aegypti</w:t>
      </w:r>
      <w:r w:rsidRPr="00C11954">
        <w:rPr>
          <w:rFonts w:ascii="Arial" w:hAnsi="Arial" w:cs="Arial"/>
          <w:szCs w:val="24"/>
        </w:rPr>
        <w:t xml:space="preserve"> is among the mosquitoes that are identified as major vector of viral diseases (</w:t>
      </w:r>
      <w:proofErr w:type="spellStart"/>
      <w:r w:rsidRPr="00C11954">
        <w:rPr>
          <w:rFonts w:ascii="Arial" w:hAnsi="Arial" w:cs="Arial"/>
          <w:color w:val="222222"/>
          <w:szCs w:val="24"/>
          <w:shd w:val="clear" w:color="auto" w:fill="FFFFFF"/>
        </w:rPr>
        <w:t>Näslund</w:t>
      </w:r>
      <w:proofErr w:type="spellEnd"/>
      <w:r w:rsidRPr="00C11954">
        <w:rPr>
          <w:rFonts w:ascii="Arial" w:hAnsi="Arial" w:cs="Arial"/>
          <w:color w:val="222222"/>
          <w:szCs w:val="24"/>
          <w:shd w:val="clear" w:color="auto" w:fill="FFFFFF"/>
        </w:rPr>
        <w:t xml:space="preserve"> et al., 2021)</w:t>
      </w:r>
      <w:r w:rsidRPr="00C11954">
        <w:rPr>
          <w:rFonts w:ascii="Arial" w:hAnsi="Arial" w:cs="Arial"/>
          <w:szCs w:val="24"/>
        </w:rPr>
        <w:t xml:space="preserve">. The mosquito is found in the tropical countries of the world and its female specie has been identified as one of the highest carrier of transmissible deadly diseases, notably dengue, chikungunya and </w:t>
      </w:r>
      <w:proofErr w:type="spellStart"/>
      <w:r w:rsidRPr="00C11954">
        <w:rPr>
          <w:rFonts w:ascii="Arial" w:hAnsi="Arial" w:cs="Arial"/>
          <w:szCs w:val="24"/>
        </w:rPr>
        <w:t>zika</w:t>
      </w:r>
      <w:proofErr w:type="spellEnd"/>
      <w:r w:rsidRPr="00C11954">
        <w:rPr>
          <w:rFonts w:ascii="Arial" w:hAnsi="Arial" w:cs="Arial"/>
          <w:szCs w:val="24"/>
        </w:rPr>
        <w:t xml:space="preserve"> (</w:t>
      </w:r>
      <w:proofErr w:type="spellStart"/>
      <w:r w:rsidRPr="00C11954">
        <w:rPr>
          <w:rFonts w:ascii="Arial" w:hAnsi="Arial" w:cs="Arial"/>
          <w:color w:val="222222"/>
          <w:szCs w:val="24"/>
          <w:shd w:val="clear" w:color="auto" w:fill="FFFFFF"/>
        </w:rPr>
        <w:t>Sukhralia</w:t>
      </w:r>
      <w:proofErr w:type="spellEnd"/>
      <w:r w:rsidRPr="00C11954">
        <w:rPr>
          <w:rFonts w:ascii="Arial" w:hAnsi="Arial" w:cs="Arial"/>
          <w:color w:val="222222"/>
          <w:szCs w:val="24"/>
          <w:shd w:val="clear" w:color="auto" w:fill="FFFFFF"/>
        </w:rPr>
        <w:t xml:space="preserve"> et al</w:t>
      </w:r>
      <w:r w:rsidRPr="00C11954">
        <w:rPr>
          <w:rFonts w:ascii="Arial" w:hAnsi="Arial" w:cs="Arial"/>
          <w:szCs w:val="24"/>
        </w:rPr>
        <w:t>., 2019).</w:t>
      </w:r>
    </w:p>
    <w:p w14:paraId="7468E889"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 xml:space="preserve">Dengue fever is categorized among the neglected tropical disease and has become a major health concern </w:t>
      </w:r>
      <w:proofErr w:type="gramStart"/>
      <w:r w:rsidRPr="00C11954">
        <w:rPr>
          <w:rFonts w:ascii="Arial" w:hAnsi="Arial" w:cs="Arial"/>
          <w:szCs w:val="24"/>
        </w:rPr>
        <w:t>globally(</w:t>
      </w:r>
      <w:proofErr w:type="gramEnd"/>
      <w:r w:rsidRPr="00C11954">
        <w:rPr>
          <w:rFonts w:ascii="Arial" w:hAnsi="Arial" w:cs="Arial"/>
          <w:color w:val="222222"/>
          <w:szCs w:val="24"/>
          <w:shd w:val="clear" w:color="auto" w:fill="FFFFFF"/>
        </w:rPr>
        <w:t>Lin et al., 2019)</w:t>
      </w:r>
      <w:r w:rsidRPr="00C11954">
        <w:rPr>
          <w:rFonts w:ascii="Arial" w:hAnsi="Arial" w:cs="Arial"/>
          <w:szCs w:val="24"/>
        </w:rPr>
        <w:t xml:space="preserve">. The mosquito-borne viral infection transmitted by </w:t>
      </w:r>
      <w:r w:rsidRPr="00C11954">
        <w:rPr>
          <w:rFonts w:ascii="Arial" w:hAnsi="Arial" w:cs="Arial"/>
          <w:szCs w:val="24"/>
        </w:rPr>
        <w:lastRenderedPageBreak/>
        <w:t xml:space="preserve">mosquito of the genus aedes specifically </w:t>
      </w:r>
      <w:proofErr w:type="spellStart"/>
      <w:r w:rsidRPr="00C11954">
        <w:rPr>
          <w:rFonts w:ascii="Arial" w:hAnsi="Arial" w:cs="Arial"/>
          <w:i/>
          <w:szCs w:val="24"/>
        </w:rPr>
        <w:t>Aedes</w:t>
      </w:r>
      <w:proofErr w:type="spellEnd"/>
      <w:r w:rsidRPr="00C11954">
        <w:rPr>
          <w:rFonts w:ascii="Arial" w:hAnsi="Arial" w:cs="Arial"/>
          <w:i/>
          <w:szCs w:val="24"/>
        </w:rPr>
        <w:t xml:space="preserve"> </w:t>
      </w:r>
      <w:proofErr w:type="spellStart"/>
      <w:r w:rsidRPr="00C11954">
        <w:rPr>
          <w:rFonts w:ascii="Arial" w:hAnsi="Arial" w:cs="Arial"/>
          <w:i/>
          <w:szCs w:val="24"/>
        </w:rPr>
        <w:t>aegypti</w:t>
      </w:r>
      <w:proofErr w:type="spellEnd"/>
      <w:r w:rsidRPr="00C11954">
        <w:rPr>
          <w:rFonts w:ascii="Arial" w:hAnsi="Arial" w:cs="Arial"/>
          <w:szCs w:val="24"/>
        </w:rPr>
        <w:t xml:space="preserve"> (</w:t>
      </w:r>
      <w:proofErr w:type="spellStart"/>
      <w:r w:rsidRPr="00C11954">
        <w:rPr>
          <w:rFonts w:ascii="Arial" w:hAnsi="Arial" w:cs="Arial"/>
          <w:color w:val="222222"/>
          <w:szCs w:val="24"/>
          <w:shd w:val="clear" w:color="auto" w:fill="FFFFFF"/>
        </w:rPr>
        <w:t>Näslund</w:t>
      </w:r>
      <w:proofErr w:type="spellEnd"/>
      <w:r w:rsidRPr="00C11954">
        <w:rPr>
          <w:rFonts w:ascii="Arial" w:hAnsi="Arial" w:cs="Arial"/>
          <w:color w:val="222222"/>
          <w:szCs w:val="24"/>
          <w:shd w:val="clear" w:color="auto" w:fill="FFFFFF"/>
        </w:rPr>
        <w:t xml:space="preserve"> et al., 2021)</w:t>
      </w:r>
      <w:r w:rsidRPr="00C11954">
        <w:rPr>
          <w:rFonts w:ascii="Arial" w:hAnsi="Arial" w:cs="Arial"/>
          <w:szCs w:val="24"/>
        </w:rPr>
        <w:t>. Currently, over 40% of the total world populace are at risk of getting infected with dengue, while more than 390 million cases are reported yearly (</w:t>
      </w:r>
      <w:proofErr w:type="spellStart"/>
      <w:r w:rsidRPr="00C11954">
        <w:rPr>
          <w:rFonts w:ascii="Arial" w:hAnsi="Arial" w:cs="Arial"/>
          <w:color w:val="222222"/>
          <w:szCs w:val="24"/>
          <w:shd w:val="clear" w:color="auto" w:fill="FFFFFF"/>
        </w:rPr>
        <w:t>Dehghani</w:t>
      </w:r>
      <w:proofErr w:type="spellEnd"/>
      <w:r w:rsidRPr="00C11954">
        <w:rPr>
          <w:rFonts w:ascii="Arial" w:hAnsi="Arial" w:cs="Arial"/>
          <w:color w:val="222222"/>
          <w:szCs w:val="24"/>
          <w:shd w:val="clear" w:color="auto" w:fill="FFFFFF"/>
        </w:rPr>
        <w:t xml:space="preserve"> and </w:t>
      </w:r>
      <w:proofErr w:type="spellStart"/>
      <w:r w:rsidRPr="00C11954">
        <w:rPr>
          <w:rFonts w:ascii="Arial" w:hAnsi="Arial" w:cs="Arial"/>
          <w:color w:val="222222"/>
          <w:szCs w:val="24"/>
          <w:shd w:val="clear" w:color="auto" w:fill="FFFFFF"/>
        </w:rPr>
        <w:t>Kassiri</w:t>
      </w:r>
      <w:proofErr w:type="spellEnd"/>
      <w:r w:rsidRPr="00C11954">
        <w:rPr>
          <w:rFonts w:ascii="Arial" w:hAnsi="Arial" w:cs="Arial"/>
          <w:color w:val="222222"/>
          <w:szCs w:val="24"/>
          <w:shd w:val="clear" w:color="auto" w:fill="FFFFFF"/>
        </w:rPr>
        <w:t>, 2021; Haider et al., 2025</w:t>
      </w:r>
      <w:r w:rsidRPr="00C11954">
        <w:rPr>
          <w:rFonts w:ascii="Arial" w:hAnsi="Arial" w:cs="Arial"/>
          <w:szCs w:val="24"/>
        </w:rPr>
        <w:t>). The infection also known as break bone fever occurs in 3 phases which include the febrile, critical, and recovery stages (</w:t>
      </w:r>
      <w:r w:rsidRPr="00C11954">
        <w:rPr>
          <w:rFonts w:ascii="Arial" w:hAnsi="Arial" w:cs="Arial"/>
          <w:color w:val="222222"/>
          <w:szCs w:val="24"/>
          <w:shd w:val="clear" w:color="auto" w:fill="FFFFFF"/>
        </w:rPr>
        <w:t>Ng et al., 2016)</w:t>
      </w:r>
      <w:r w:rsidRPr="00C11954">
        <w:rPr>
          <w:rFonts w:ascii="Arial" w:hAnsi="Arial" w:cs="Arial"/>
          <w:szCs w:val="24"/>
        </w:rPr>
        <w:t>.</w:t>
      </w:r>
      <w:r w:rsidRPr="00C11954">
        <w:rPr>
          <w:rFonts w:ascii="Arial" w:hAnsi="Arial" w:cs="Arial"/>
          <w:szCs w:val="24"/>
          <w:shd w:val="clear" w:color="auto" w:fill="FFFFFF"/>
        </w:rPr>
        <w:t xml:space="preserve"> </w:t>
      </w:r>
      <w:r w:rsidRPr="00C11954">
        <w:rPr>
          <w:rFonts w:ascii="Arial" w:hAnsi="Arial" w:cs="Arial"/>
          <w:szCs w:val="24"/>
        </w:rPr>
        <w:t>Dengue fever is caused by any of the 4 distinct serotypes (DENV-1 to DENV-4) of single-stranded RNA viruses belonging to the genus </w:t>
      </w:r>
      <w:r w:rsidRPr="00C11954">
        <w:rPr>
          <w:rFonts w:ascii="Arial" w:hAnsi="Arial" w:cs="Arial"/>
          <w:i/>
          <w:iCs/>
          <w:szCs w:val="24"/>
        </w:rPr>
        <w:t>Flavivirus</w:t>
      </w:r>
      <w:r w:rsidRPr="00C11954">
        <w:rPr>
          <w:rFonts w:ascii="Arial" w:hAnsi="Arial" w:cs="Arial"/>
          <w:szCs w:val="24"/>
        </w:rPr>
        <w:t xml:space="preserve"> such that infection by one serotype confers lifelong immunity to that serotype but not to others (</w:t>
      </w:r>
      <w:proofErr w:type="spellStart"/>
      <w:r w:rsidRPr="00C11954">
        <w:rPr>
          <w:rFonts w:ascii="Arial" w:hAnsi="Arial" w:cs="Arial"/>
          <w:color w:val="222222"/>
          <w:szCs w:val="24"/>
          <w:shd w:val="clear" w:color="auto" w:fill="FFFFFF"/>
        </w:rPr>
        <w:t>Zerfu</w:t>
      </w:r>
      <w:proofErr w:type="spellEnd"/>
      <w:r w:rsidRPr="00C11954">
        <w:rPr>
          <w:rFonts w:ascii="Arial" w:hAnsi="Arial" w:cs="Arial"/>
          <w:szCs w:val="24"/>
        </w:rPr>
        <w:t xml:space="preserve"> et al., 2023; </w:t>
      </w:r>
      <w:r w:rsidRPr="00C11954">
        <w:rPr>
          <w:rFonts w:ascii="Arial" w:hAnsi="Arial" w:cs="Arial"/>
          <w:color w:val="222222"/>
          <w:szCs w:val="24"/>
          <w:shd w:val="clear" w:color="auto" w:fill="FFFFFF"/>
        </w:rPr>
        <w:t>Maia et al., 2019</w:t>
      </w:r>
      <w:r w:rsidRPr="00C11954">
        <w:rPr>
          <w:rFonts w:ascii="Arial" w:hAnsi="Arial" w:cs="Arial"/>
          <w:szCs w:val="24"/>
        </w:rPr>
        <w:t>).</w:t>
      </w:r>
    </w:p>
    <w:p w14:paraId="77ADBB70"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The genetic make-up of the dengue virus encodes a poly-protein precursor which can be divided into several segments by host peptidases and viral proteases (</w:t>
      </w:r>
      <w:r w:rsidRPr="00C11954">
        <w:rPr>
          <w:rFonts w:ascii="Arial" w:hAnsi="Arial" w:cs="Arial"/>
          <w:color w:val="222222"/>
          <w:szCs w:val="24"/>
          <w:shd w:val="clear" w:color="auto" w:fill="FFFFFF"/>
        </w:rPr>
        <w:t>Chappell et al., 2008)</w:t>
      </w:r>
      <w:r w:rsidRPr="00C11954">
        <w:rPr>
          <w:rFonts w:ascii="Arial" w:hAnsi="Arial" w:cs="Arial"/>
          <w:szCs w:val="24"/>
        </w:rPr>
        <w:t>. A trypsin-like protease makes up the N-terminal segment of the non-structural protein 3 called the NS3 and this NS3 has its proteolytic activity increased up to 3300-6600 folds by the NS2B cofactor (</w:t>
      </w:r>
      <w:r w:rsidRPr="00C11954">
        <w:rPr>
          <w:rFonts w:ascii="Arial" w:hAnsi="Arial" w:cs="Arial"/>
          <w:color w:val="222222"/>
          <w:szCs w:val="24"/>
          <w:shd w:val="clear" w:color="auto" w:fill="FFFFFF"/>
        </w:rPr>
        <w:t>Li et al.2014; Chen et al., 2014</w:t>
      </w:r>
      <w:r w:rsidRPr="00C11954">
        <w:rPr>
          <w:rFonts w:ascii="Arial" w:hAnsi="Arial" w:cs="Arial"/>
          <w:szCs w:val="24"/>
        </w:rPr>
        <w:t>). The combination of these two components is integral to the viral lifecycle capacity to process protein precursor and thus viral survival (</w:t>
      </w:r>
      <w:r w:rsidRPr="00C11954">
        <w:rPr>
          <w:rFonts w:ascii="Arial" w:hAnsi="Arial" w:cs="Arial"/>
          <w:color w:val="222222"/>
          <w:szCs w:val="24"/>
          <w:shd w:val="clear" w:color="auto" w:fill="FFFFFF"/>
        </w:rPr>
        <w:t>Singh et al., 2025)</w:t>
      </w:r>
      <w:r w:rsidRPr="00C11954">
        <w:rPr>
          <w:rFonts w:ascii="Arial" w:hAnsi="Arial" w:cs="Arial"/>
          <w:szCs w:val="24"/>
        </w:rPr>
        <w:t>. An approach to treating the dengue virus infection is to inhibit its NS2B-NS3 protease. In the infected cell, DENV2 NS5 is known to interact with NS3 and also to shuttle between the cytoplasm and nucleus (</w:t>
      </w:r>
      <w:proofErr w:type="spellStart"/>
      <w:r w:rsidRPr="00C11954">
        <w:rPr>
          <w:rFonts w:ascii="Arial" w:hAnsi="Arial" w:cs="Arial"/>
          <w:color w:val="222222"/>
          <w:szCs w:val="24"/>
          <w:shd w:val="clear" w:color="auto" w:fill="FFFFFF"/>
        </w:rPr>
        <w:t>Norshidah</w:t>
      </w:r>
      <w:proofErr w:type="spellEnd"/>
      <w:r w:rsidRPr="00C11954">
        <w:rPr>
          <w:rFonts w:ascii="Arial" w:hAnsi="Arial" w:cs="Arial"/>
          <w:color w:val="222222"/>
          <w:szCs w:val="24"/>
          <w:shd w:val="clear" w:color="auto" w:fill="FFFFFF"/>
        </w:rPr>
        <w:t xml:space="preserve"> et al., 2023; </w:t>
      </w:r>
      <w:proofErr w:type="spellStart"/>
      <w:r w:rsidRPr="00C11954">
        <w:rPr>
          <w:rFonts w:ascii="Arial" w:hAnsi="Arial" w:cs="Arial"/>
          <w:color w:val="222222"/>
          <w:szCs w:val="24"/>
          <w:shd w:val="clear" w:color="auto" w:fill="FFFFFF"/>
        </w:rPr>
        <w:t>Starvaggi</w:t>
      </w:r>
      <w:proofErr w:type="spellEnd"/>
      <w:r w:rsidRPr="00C11954">
        <w:rPr>
          <w:rFonts w:ascii="Arial" w:hAnsi="Arial" w:cs="Arial"/>
          <w:color w:val="222222"/>
          <w:szCs w:val="24"/>
          <w:shd w:val="clear" w:color="auto" w:fill="FFFFFF"/>
        </w:rPr>
        <w:t xml:space="preserve"> et al., 2024</w:t>
      </w:r>
      <w:r w:rsidRPr="00C11954">
        <w:rPr>
          <w:rFonts w:ascii="Arial" w:hAnsi="Arial" w:cs="Arial"/>
          <w:szCs w:val="24"/>
        </w:rPr>
        <w:t xml:space="preserve">). </w:t>
      </w:r>
    </w:p>
    <w:p w14:paraId="5EFCB8A3"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Medicinal plants have played a huge role in the drug discovery as natural sources of lead compounds (</w:t>
      </w:r>
      <w:proofErr w:type="spellStart"/>
      <w:r w:rsidRPr="00C11954">
        <w:rPr>
          <w:rFonts w:ascii="Arial" w:hAnsi="Arial" w:cs="Arial"/>
          <w:color w:val="222222"/>
          <w:szCs w:val="24"/>
          <w:shd w:val="clear" w:color="auto" w:fill="FFFFFF"/>
        </w:rPr>
        <w:t>Süntar</w:t>
      </w:r>
      <w:proofErr w:type="spellEnd"/>
      <w:r w:rsidRPr="00C11954">
        <w:rPr>
          <w:rFonts w:ascii="Arial" w:hAnsi="Arial" w:cs="Arial"/>
          <w:color w:val="222222"/>
          <w:szCs w:val="24"/>
          <w:shd w:val="clear" w:color="auto" w:fill="FFFFFF"/>
        </w:rPr>
        <w:t>, 2020)</w:t>
      </w:r>
      <w:r w:rsidRPr="00C11954">
        <w:rPr>
          <w:rFonts w:ascii="Arial" w:hAnsi="Arial" w:cs="Arial"/>
          <w:szCs w:val="24"/>
        </w:rPr>
        <w:t>. The vast majority of the therapeutic compounds are classified as terpenoids, flavonoids, essential oil, alkaloids and tannins (</w:t>
      </w:r>
      <w:r w:rsidRPr="00C11954">
        <w:rPr>
          <w:rFonts w:ascii="Arial" w:hAnsi="Arial" w:cs="Arial"/>
          <w:color w:val="222222"/>
          <w:szCs w:val="24"/>
          <w:shd w:val="clear" w:color="auto" w:fill="FFFFFF"/>
        </w:rPr>
        <w:t>Roaa, 2020)</w:t>
      </w:r>
      <w:r w:rsidRPr="00C11954">
        <w:rPr>
          <w:rFonts w:ascii="Arial" w:hAnsi="Arial" w:cs="Arial"/>
          <w:szCs w:val="24"/>
        </w:rPr>
        <w:t>. Terpenoids are a class of phytochemicals with excellent therapeutic properties (</w:t>
      </w:r>
      <w:r w:rsidRPr="00C11954">
        <w:rPr>
          <w:rFonts w:ascii="Arial" w:hAnsi="Arial" w:cs="Arial"/>
          <w:color w:val="222222"/>
          <w:szCs w:val="24"/>
          <w:shd w:val="clear" w:color="auto" w:fill="FFFFFF"/>
        </w:rPr>
        <w:t>Yang et al., 2020)</w:t>
      </w:r>
      <w:r w:rsidRPr="00C11954">
        <w:rPr>
          <w:rFonts w:ascii="Arial" w:hAnsi="Arial" w:cs="Arial"/>
          <w:szCs w:val="24"/>
        </w:rPr>
        <w:t>. The class is made of isoprene unit (C</w:t>
      </w:r>
      <w:r w:rsidRPr="00C11954">
        <w:rPr>
          <w:rFonts w:ascii="Arial" w:hAnsi="Arial" w:cs="Arial"/>
          <w:szCs w:val="24"/>
          <w:vertAlign w:val="subscript"/>
        </w:rPr>
        <w:t>5</w:t>
      </w:r>
      <w:r w:rsidRPr="00C11954">
        <w:rPr>
          <w:rFonts w:ascii="Arial" w:hAnsi="Arial" w:cs="Arial"/>
          <w:szCs w:val="24"/>
        </w:rPr>
        <w:t>H</w:t>
      </w:r>
      <w:r w:rsidRPr="00C11954">
        <w:rPr>
          <w:rFonts w:ascii="Arial" w:hAnsi="Arial" w:cs="Arial"/>
          <w:szCs w:val="24"/>
          <w:vertAlign w:val="subscript"/>
        </w:rPr>
        <w:t>8</w:t>
      </w:r>
      <w:proofErr w:type="gramStart"/>
      <w:r w:rsidRPr="00C11954">
        <w:rPr>
          <w:rFonts w:ascii="Arial" w:hAnsi="Arial" w:cs="Arial"/>
          <w:szCs w:val="24"/>
        </w:rPr>
        <w:t>)</w:t>
      </w:r>
      <w:r w:rsidRPr="00C11954">
        <w:rPr>
          <w:rFonts w:ascii="Arial" w:hAnsi="Arial" w:cs="Arial"/>
          <w:szCs w:val="24"/>
          <w:vertAlign w:val="subscript"/>
        </w:rPr>
        <w:t>n</w:t>
      </w:r>
      <w:proofErr w:type="gramEnd"/>
      <w:r w:rsidRPr="00C11954">
        <w:rPr>
          <w:rFonts w:ascii="Arial" w:hAnsi="Arial" w:cs="Arial"/>
          <w:szCs w:val="24"/>
        </w:rPr>
        <w:t xml:space="preserve"> (</w:t>
      </w:r>
      <w:r w:rsidRPr="00C11954">
        <w:rPr>
          <w:rFonts w:ascii="Arial" w:hAnsi="Arial" w:cs="Arial"/>
          <w:color w:val="222222"/>
          <w:szCs w:val="24"/>
          <w:shd w:val="clear" w:color="auto" w:fill="FFFFFF"/>
        </w:rPr>
        <w:t>Mabou and Yossa, 2021)</w:t>
      </w:r>
      <w:r w:rsidRPr="00C11954">
        <w:rPr>
          <w:rFonts w:ascii="Arial" w:hAnsi="Arial" w:cs="Arial"/>
          <w:szCs w:val="24"/>
          <w:vertAlign w:val="subscript"/>
        </w:rPr>
        <w:t>.</w:t>
      </w:r>
      <w:r w:rsidRPr="00C11954">
        <w:rPr>
          <w:rFonts w:ascii="Arial" w:hAnsi="Arial" w:cs="Arial"/>
          <w:szCs w:val="24"/>
        </w:rPr>
        <w:t xml:space="preserve"> </w:t>
      </w:r>
      <w:proofErr w:type="spellStart"/>
      <w:r w:rsidRPr="00C11954">
        <w:rPr>
          <w:rFonts w:ascii="Arial" w:hAnsi="Arial" w:cs="Arial"/>
          <w:i/>
          <w:szCs w:val="24"/>
        </w:rPr>
        <w:t>Bryophyllum</w:t>
      </w:r>
      <w:proofErr w:type="spellEnd"/>
      <w:r w:rsidRPr="00C11954">
        <w:rPr>
          <w:rFonts w:ascii="Arial" w:hAnsi="Arial" w:cs="Arial"/>
          <w:i/>
          <w:szCs w:val="24"/>
        </w:rPr>
        <w:t xml:space="preserve"> </w:t>
      </w:r>
      <w:proofErr w:type="spellStart"/>
      <w:r w:rsidRPr="00C11954">
        <w:rPr>
          <w:rFonts w:ascii="Arial" w:hAnsi="Arial" w:cs="Arial"/>
          <w:i/>
          <w:szCs w:val="24"/>
        </w:rPr>
        <w:t>pinnatum</w:t>
      </w:r>
      <w:proofErr w:type="spellEnd"/>
      <w:r w:rsidRPr="00C11954">
        <w:rPr>
          <w:rFonts w:ascii="Arial" w:hAnsi="Arial" w:cs="Arial"/>
          <w:szCs w:val="24"/>
        </w:rPr>
        <w:t xml:space="preserve"> (Lam.) Kurz (Crassulaceae), also known as miracle leaf, a medicinal plant is a perennial herb growing widely and used in folkloric medicine in tropical Africa, tropical America, India, China and Australia (</w:t>
      </w:r>
      <w:proofErr w:type="spellStart"/>
      <w:r w:rsidRPr="00C11954">
        <w:rPr>
          <w:rFonts w:ascii="Arial" w:hAnsi="Arial" w:cs="Arial"/>
          <w:color w:val="222222"/>
          <w:szCs w:val="24"/>
          <w:shd w:val="clear" w:color="auto" w:fill="FFFFFF"/>
        </w:rPr>
        <w:t>Elufioye</w:t>
      </w:r>
      <w:proofErr w:type="spellEnd"/>
      <w:r w:rsidRPr="00C11954">
        <w:rPr>
          <w:rFonts w:ascii="Arial" w:hAnsi="Arial" w:cs="Arial"/>
          <w:color w:val="222222"/>
          <w:szCs w:val="24"/>
          <w:shd w:val="clear" w:color="auto" w:fill="FFFFFF"/>
        </w:rPr>
        <w:t xml:space="preserve"> et al., 2022)</w:t>
      </w:r>
      <w:r w:rsidRPr="00C11954">
        <w:rPr>
          <w:rFonts w:ascii="Arial" w:hAnsi="Arial" w:cs="Arial"/>
          <w:szCs w:val="24"/>
        </w:rPr>
        <w:t xml:space="preserve">. In China, the plant is called da bus i, and it is majorly used among the Red-headed Yao inhabitants in Jinping area of Yunnan Province of the country (Long and Li, 2004; Sadhana et al., 2018). Traditionally,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is used to treat rheumatoid </w:t>
      </w:r>
      <w:proofErr w:type="spellStart"/>
      <w:r w:rsidRPr="00C11954">
        <w:rPr>
          <w:rFonts w:ascii="Arial" w:hAnsi="Arial" w:cs="Arial"/>
          <w:szCs w:val="24"/>
        </w:rPr>
        <w:t>atritis</w:t>
      </w:r>
      <w:proofErr w:type="spellEnd"/>
      <w:r w:rsidRPr="00C11954">
        <w:rPr>
          <w:rFonts w:ascii="Arial" w:hAnsi="Arial" w:cs="Arial"/>
          <w:szCs w:val="24"/>
        </w:rPr>
        <w:t xml:space="preserve">, bruises, ulcer, tummy bug and numbness of the limbs (Bassey et al., 2021). Also, the plant flourishes throughout the Southern part of Nigeria and majorly used in the management of metabolic and cardiovascular diseases like diabetes mellitus and hypertension (Ibitoye et al., 2018). Pharmacologically, the antidiabetic, antihypertensive, anti-inflammatory, antioxidant and antimicrobial activities of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have been studied (Ibitoye et al., 2018; </w:t>
      </w:r>
      <w:proofErr w:type="spellStart"/>
      <w:r w:rsidRPr="00C11954">
        <w:rPr>
          <w:rFonts w:ascii="Arial" w:hAnsi="Arial" w:cs="Arial"/>
          <w:szCs w:val="24"/>
        </w:rPr>
        <w:t>Ojewole</w:t>
      </w:r>
      <w:proofErr w:type="spellEnd"/>
      <w:r w:rsidRPr="00C11954">
        <w:rPr>
          <w:rFonts w:ascii="Arial" w:hAnsi="Arial" w:cs="Arial"/>
          <w:szCs w:val="24"/>
        </w:rPr>
        <w:t xml:space="preserve">, 2002; Daniel et al., 2020; </w:t>
      </w:r>
      <w:proofErr w:type="spellStart"/>
      <w:r w:rsidRPr="00C11954">
        <w:rPr>
          <w:rFonts w:ascii="Arial" w:hAnsi="Arial" w:cs="Arial"/>
          <w:szCs w:val="24"/>
        </w:rPr>
        <w:t>Akinsulire</w:t>
      </w:r>
      <w:proofErr w:type="spellEnd"/>
      <w:r w:rsidRPr="00C11954">
        <w:rPr>
          <w:rFonts w:ascii="Arial" w:hAnsi="Arial" w:cs="Arial"/>
          <w:szCs w:val="24"/>
        </w:rPr>
        <w:t xml:space="preserve"> et al., 2007). The presence of terpenoids has been attributed to the rich pharmacological potentials of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w:t>
      </w:r>
      <w:proofErr w:type="spellStart"/>
      <w:r w:rsidRPr="00C11954">
        <w:rPr>
          <w:rFonts w:ascii="Arial" w:hAnsi="Arial" w:cs="Arial"/>
          <w:szCs w:val="24"/>
        </w:rPr>
        <w:t>Kamboj</w:t>
      </w:r>
      <w:proofErr w:type="spellEnd"/>
      <w:r w:rsidRPr="00C11954">
        <w:rPr>
          <w:rFonts w:ascii="Arial" w:hAnsi="Arial" w:cs="Arial"/>
          <w:szCs w:val="24"/>
        </w:rPr>
        <w:t xml:space="preserve"> and </w:t>
      </w:r>
      <w:proofErr w:type="spellStart"/>
      <w:r w:rsidRPr="00C11954">
        <w:rPr>
          <w:rFonts w:ascii="Arial" w:hAnsi="Arial" w:cs="Arial"/>
          <w:szCs w:val="24"/>
        </w:rPr>
        <w:t>Saluja</w:t>
      </w:r>
      <w:proofErr w:type="spellEnd"/>
      <w:r w:rsidRPr="00C11954">
        <w:rPr>
          <w:rFonts w:ascii="Arial" w:hAnsi="Arial" w:cs="Arial"/>
          <w:szCs w:val="24"/>
        </w:rPr>
        <w:t xml:space="preserve"> 2009; Selvakumar, 2002).</w:t>
      </w:r>
    </w:p>
    <w:p w14:paraId="20443649"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 xml:space="preserve">Computer aided drug design has recently been utilized for effective identification and </w:t>
      </w:r>
      <w:proofErr w:type="spellStart"/>
      <w:r w:rsidRPr="00C11954">
        <w:rPr>
          <w:rFonts w:ascii="Arial" w:hAnsi="Arial" w:cs="Arial"/>
          <w:szCs w:val="24"/>
        </w:rPr>
        <w:t>optimisation</w:t>
      </w:r>
      <w:proofErr w:type="spellEnd"/>
      <w:r w:rsidRPr="00C11954">
        <w:rPr>
          <w:rFonts w:ascii="Arial" w:hAnsi="Arial" w:cs="Arial"/>
          <w:szCs w:val="24"/>
        </w:rPr>
        <w:t xml:space="preserve"> of lead compounds in drug discovery and development, reducing cost and time (Niazi and Mariam, 2023). Molecular docking is a kind of computational modelling used in computer aided drug design to facilitate the prediction of preferred binding orientation of one molecule to another, particularly when both interact with each other to form a stable complex (Tiwari and Singh, 2022; Bhagat et al., 2021). It can predict different binding modes of ligand in the groove of target molecule and knowledge gained from such type of investigations may be employed to develop more potent, selective and efficient analogues (Bhagat et al., 2021; Jakhar et al., 2020).</w:t>
      </w:r>
      <w:r w:rsidRPr="00C11954">
        <w:rPr>
          <w:rFonts w:ascii="Arial" w:hAnsi="Arial" w:cs="Arial"/>
          <w:szCs w:val="24"/>
          <w:shd w:val="clear" w:color="auto" w:fill="FFFFFF"/>
        </w:rPr>
        <w:t xml:space="preserve"> </w:t>
      </w:r>
      <w:r w:rsidRPr="00C11954">
        <w:rPr>
          <w:rFonts w:ascii="Arial" w:hAnsi="Arial" w:cs="Arial"/>
          <w:szCs w:val="24"/>
        </w:rPr>
        <w:t xml:space="preserve">Molecular dynamics simulations predict the physics basis for the movement of every atom in a protein or as well as the structure and function of biological </w:t>
      </w:r>
      <w:r w:rsidRPr="00C11954">
        <w:rPr>
          <w:rFonts w:ascii="Arial" w:hAnsi="Arial" w:cs="Arial"/>
          <w:szCs w:val="24"/>
        </w:rPr>
        <w:lastRenderedPageBreak/>
        <w:t xml:space="preserve">macromolecules (Shukla and Tripathi, 2020). These simulations could include a wide range of important biomolecular processes, including conformational change, ligand binding, and protein folding, revealing the positions of all atoms (Badar et al., 2022). </w:t>
      </w:r>
    </w:p>
    <w:p w14:paraId="73E345AA" w14:textId="77777777" w:rsidR="00C11954" w:rsidRPr="00C11954" w:rsidRDefault="00C11954" w:rsidP="00C11954">
      <w:pPr>
        <w:spacing w:line="276" w:lineRule="auto"/>
        <w:jc w:val="both"/>
        <w:rPr>
          <w:rFonts w:ascii="Arial" w:hAnsi="Arial" w:cs="Arial"/>
          <w:szCs w:val="24"/>
        </w:rPr>
      </w:pPr>
      <w:r w:rsidRPr="00C11954">
        <w:rPr>
          <w:rFonts w:ascii="Arial" w:hAnsi="Arial" w:cs="Arial"/>
          <w:szCs w:val="24"/>
        </w:rPr>
        <w:t xml:space="preserve">Synthetic compounds have been explored as larvicidal agent while there is no approved drug for dengue virus (Obi et al., 2021). However, most of the larvicides are presented with episodes of side effects when human subjects are exposed to them for a prolonged time (Zhou et al., 2020; Vieira et al., 2017). Despite the rich pharmacological studies on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the potential </w:t>
      </w:r>
      <w:proofErr w:type="spellStart"/>
      <w:r w:rsidRPr="00C11954">
        <w:rPr>
          <w:rFonts w:ascii="Arial" w:hAnsi="Arial" w:cs="Arial"/>
          <w:szCs w:val="24"/>
        </w:rPr>
        <w:t>larvicidal</w:t>
      </w:r>
      <w:proofErr w:type="spellEnd"/>
      <w:r w:rsidRPr="00C11954">
        <w:rPr>
          <w:rFonts w:ascii="Arial" w:hAnsi="Arial" w:cs="Arial"/>
          <w:szCs w:val="24"/>
        </w:rPr>
        <w:t xml:space="preserve"> compounds against </w:t>
      </w:r>
      <w:r w:rsidRPr="00C11954">
        <w:rPr>
          <w:rFonts w:ascii="Arial" w:hAnsi="Arial" w:cs="Arial"/>
          <w:i/>
          <w:szCs w:val="24"/>
        </w:rPr>
        <w:t>Aedes aegypti</w:t>
      </w:r>
      <w:r w:rsidRPr="00C11954">
        <w:rPr>
          <w:rFonts w:ascii="Arial" w:hAnsi="Arial" w:cs="Arial"/>
          <w:szCs w:val="24"/>
        </w:rPr>
        <w:t xml:space="preserve"> and dengue virus is yet to be identified. Herein, this study investigates the potential larvicidal efficacy of </w:t>
      </w:r>
      <w:r w:rsidRPr="00C11954">
        <w:rPr>
          <w:rFonts w:ascii="Arial" w:hAnsi="Arial" w:cs="Arial"/>
          <w:i/>
          <w:szCs w:val="24"/>
        </w:rPr>
        <w:t xml:space="preserve">B. </w:t>
      </w:r>
      <w:proofErr w:type="spellStart"/>
      <w:r w:rsidRPr="00C11954">
        <w:rPr>
          <w:rFonts w:ascii="Arial" w:hAnsi="Arial" w:cs="Arial"/>
          <w:i/>
          <w:szCs w:val="24"/>
        </w:rPr>
        <w:t>pinnatum</w:t>
      </w:r>
      <w:proofErr w:type="spellEnd"/>
      <w:r w:rsidRPr="00C11954">
        <w:rPr>
          <w:rFonts w:ascii="Arial" w:hAnsi="Arial" w:cs="Arial"/>
          <w:szCs w:val="24"/>
        </w:rPr>
        <w:t xml:space="preserve"> compounds against </w:t>
      </w:r>
      <w:proofErr w:type="spellStart"/>
      <w:r w:rsidRPr="00C11954">
        <w:rPr>
          <w:rFonts w:ascii="Arial" w:hAnsi="Arial" w:cs="Arial"/>
          <w:i/>
          <w:szCs w:val="24"/>
        </w:rPr>
        <w:t>Aedes</w:t>
      </w:r>
      <w:proofErr w:type="spellEnd"/>
      <w:r w:rsidRPr="00C11954">
        <w:rPr>
          <w:rFonts w:ascii="Arial" w:hAnsi="Arial" w:cs="Arial"/>
          <w:i/>
          <w:szCs w:val="24"/>
        </w:rPr>
        <w:t xml:space="preserve"> aegypti</w:t>
      </w:r>
      <w:r w:rsidRPr="00C11954">
        <w:rPr>
          <w:rFonts w:ascii="Arial" w:hAnsi="Arial" w:cs="Arial"/>
          <w:szCs w:val="24"/>
        </w:rPr>
        <w:t xml:space="preserve"> as well as their inhibitory effect against dengue virus using extensive computational approaches.</w:t>
      </w:r>
    </w:p>
    <w:p w14:paraId="70F47EF8" w14:textId="77777777" w:rsidR="00790ADA" w:rsidRPr="00FB3A86" w:rsidRDefault="00790ADA" w:rsidP="00441B6F">
      <w:pPr>
        <w:pStyle w:val="Body"/>
        <w:spacing w:after="0"/>
        <w:rPr>
          <w:rFonts w:ascii="Arial" w:hAnsi="Arial" w:cs="Arial"/>
        </w:rPr>
      </w:pPr>
    </w:p>
    <w:p w14:paraId="6EB7E5CE" w14:textId="77777777" w:rsidR="00790ADA" w:rsidRPr="00FB3A86" w:rsidRDefault="00902823" w:rsidP="00441B6F">
      <w:pPr>
        <w:pStyle w:val="AbstHead"/>
        <w:spacing w:after="0"/>
        <w:jc w:val="both"/>
        <w:rPr>
          <w:rFonts w:ascii="Arial" w:hAnsi="Arial" w:cs="Arial"/>
        </w:rPr>
      </w:pPr>
      <w:r>
        <w:rPr>
          <w:rFonts w:ascii="Arial" w:hAnsi="Arial" w:cs="Arial"/>
        </w:rPr>
        <w:t>2.</w:t>
      </w:r>
      <w:r w:rsidR="00934AEC">
        <w:rPr>
          <w:rFonts w:ascii="Arial" w:hAnsi="Arial" w:cs="Arial"/>
        </w:rPr>
        <w:t>0</w:t>
      </w:r>
      <w:r w:rsidR="00934AEC">
        <w:rPr>
          <w:rFonts w:ascii="Arial" w:hAnsi="Arial" w:cs="Arial"/>
        </w:rPr>
        <w:tab/>
      </w:r>
      <w:r>
        <w:rPr>
          <w:rFonts w:ascii="Arial" w:hAnsi="Arial" w:cs="Arial"/>
        </w:rPr>
        <w:t>material and method</w:t>
      </w:r>
      <w:r w:rsidR="00934AEC">
        <w:rPr>
          <w:rFonts w:ascii="Arial" w:hAnsi="Arial" w:cs="Arial"/>
        </w:rPr>
        <w:t xml:space="preserve">s </w:t>
      </w:r>
    </w:p>
    <w:p w14:paraId="1FF7F777" w14:textId="77777777" w:rsidR="00934AEC" w:rsidRPr="00934AEC" w:rsidRDefault="00934AEC" w:rsidP="00934AEC">
      <w:pPr>
        <w:spacing w:line="276" w:lineRule="auto"/>
        <w:jc w:val="both"/>
        <w:rPr>
          <w:rFonts w:ascii="Arial" w:hAnsi="Arial" w:cs="Arial"/>
          <w:b/>
          <w:sz w:val="22"/>
        </w:rPr>
      </w:pPr>
      <w:r>
        <w:rPr>
          <w:rFonts w:ascii="Arial" w:hAnsi="Arial" w:cs="Arial"/>
          <w:b/>
          <w:sz w:val="22"/>
        </w:rPr>
        <w:t>2.1</w:t>
      </w:r>
      <w:r>
        <w:rPr>
          <w:rFonts w:ascii="Arial" w:hAnsi="Arial" w:cs="Arial"/>
          <w:b/>
          <w:sz w:val="22"/>
        </w:rPr>
        <w:tab/>
      </w:r>
      <w:r w:rsidRPr="00934AEC">
        <w:rPr>
          <w:rFonts w:ascii="Arial" w:hAnsi="Arial" w:cs="Arial"/>
          <w:b/>
          <w:sz w:val="22"/>
        </w:rPr>
        <w:t xml:space="preserve">Molecular docking </w:t>
      </w:r>
    </w:p>
    <w:p w14:paraId="06DD4BCD" w14:textId="77777777" w:rsidR="00934AEC" w:rsidRPr="00DF72AE" w:rsidRDefault="00934AEC" w:rsidP="00934AEC">
      <w:pPr>
        <w:spacing w:line="276" w:lineRule="auto"/>
        <w:jc w:val="both"/>
        <w:rPr>
          <w:rFonts w:ascii="Arial" w:hAnsi="Arial" w:cs="Arial"/>
          <w:b/>
        </w:rPr>
      </w:pPr>
      <w:r>
        <w:rPr>
          <w:rFonts w:ascii="Arial" w:hAnsi="Arial" w:cs="Arial"/>
          <w:b/>
        </w:rPr>
        <w:t>2.1.1</w:t>
      </w:r>
      <w:r>
        <w:rPr>
          <w:rFonts w:ascii="Arial" w:hAnsi="Arial" w:cs="Arial"/>
          <w:b/>
        </w:rPr>
        <w:tab/>
      </w:r>
      <w:r w:rsidRPr="00DF72AE">
        <w:rPr>
          <w:rFonts w:ascii="Arial" w:hAnsi="Arial" w:cs="Arial"/>
          <w:b/>
        </w:rPr>
        <w:t>Protein and ligand preparation</w:t>
      </w:r>
    </w:p>
    <w:p w14:paraId="72B1BA75" w14:textId="77777777" w:rsidR="00934AEC" w:rsidRPr="00DF72AE" w:rsidRDefault="00934AEC" w:rsidP="00934AEC">
      <w:pPr>
        <w:spacing w:line="276" w:lineRule="auto"/>
        <w:jc w:val="both"/>
        <w:rPr>
          <w:rFonts w:ascii="Arial" w:hAnsi="Arial" w:cs="Arial"/>
        </w:rPr>
      </w:pPr>
      <w:r w:rsidRPr="00DF72AE">
        <w:rPr>
          <w:rFonts w:ascii="Arial" w:hAnsi="Arial" w:cs="Arial"/>
        </w:rPr>
        <w:t>The three-dimensional crystallographic structure of sterol carrier protein-2 of Aedes aegypti L. larvae (PDB ID: 1PZ4), dengue NS5 polymerase (PDB ID: 2J7U) and NS2B/NS3 protease (PDB ID: 2FOM) was downloaded from the protein database (</w:t>
      </w:r>
      <w:hyperlink r:id="rId16" w:history="1">
        <w:r w:rsidRPr="00DF72AE">
          <w:rPr>
            <w:rStyle w:val="Hyperlink"/>
            <w:rFonts w:ascii="Arial" w:hAnsi="Arial" w:cs="Arial"/>
          </w:rPr>
          <w:t>www.rcsb.org</w:t>
        </w:r>
      </w:hyperlink>
      <w:r w:rsidRPr="00DF72AE">
        <w:rPr>
          <w:rFonts w:ascii="Arial" w:hAnsi="Arial" w:cs="Arial"/>
        </w:rPr>
        <w:t>). The protein was prepared by removing the water molecules, co-factors and ions, retaining the native ligand to predict the amino acid residues resident in the receptor’s active site within 5 Å. Later on, the co-crystallized ligand was removed and the resulting bare protein was saved in PDB format for docking purpose.</w:t>
      </w:r>
    </w:p>
    <w:p w14:paraId="274B032E" w14:textId="77777777" w:rsidR="00934AEC" w:rsidRPr="00DF72AE" w:rsidRDefault="00934AEC" w:rsidP="00934AEC">
      <w:pPr>
        <w:spacing w:line="276" w:lineRule="auto"/>
        <w:jc w:val="both"/>
        <w:rPr>
          <w:rFonts w:ascii="Arial" w:hAnsi="Arial" w:cs="Arial"/>
        </w:rPr>
      </w:pPr>
      <w:r w:rsidRPr="00DF72AE">
        <w:rPr>
          <w:rFonts w:ascii="Arial" w:hAnsi="Arial" w:cs="Arial"/>
        </w:rPr>
        <w:t xml:space="preserve">A library of 55 compounds from </w:t>
      </w:r>
      <w:proofErr w:type="spellStart"/>
      <w:r w:rsidRPr="00DF72AE">
        <w:rPr>
          <w:rFonts w:ascii="Arial" w:hAnsi="Arial" w:cs="Arial"/>
          <w:i/>
        </w:rPr>
        <w:t>Bryophyllum</w:t>
      </w:r>
      <w:proofErr w:type="spellEnd"/>
      <w:r w:rsidRPr="00DF72AE">
        <w:rPr>
          <w:rFonts w:ascii="Arial" w:hAnsi="Arial" w:cs="Arial"/>
          <w:i/>
        </w:rPr>
        <w:t xml:space="preserve"> </w:t>
      </w:r>
      <w:proofErr w:type="spellStart"/>
      <w:r w:rsidRPr="00DF72AE">
        <w:rPr>
          <w:rFonts w:ascii="Arial" w:hAnsi="Arial" w:cs="Arial"/>
          <w:i/>
        </w:rPr>
        <w:t>pinnatum</w:t>
      </w:r>
      <w:proofErr w:type="spellEnd"/>
      <w:r w:rsidRPr="00DF72AE">
        <w:rPr>
          <w:rFonts w:ascii="Arial" w:hAnsi="Arial" w:cs="Arial"/>
        </w:rPr>
        <w:t xml:space="preserve"> was constructed. The chemical structures of the compounds were built with </w:t>
      </w:r>
      <w:proofErr w:type="spellStart"/>
      <w:r w:rsidRPr="00DF72AE">
        <w:rPr>
          <w:rFonts w:ascii="Arial" w:hAnsi="Arial" w:cs="Arial"/>
        </w:rPr>
        <w:t>ChemDraw</w:t>
      </w:r>
      <w:proofErr w:type="spellEnd"/>
      <w:r w:rsidRPr="00DF72AE">
        <w:rPr>
          <w:rFonts w:ascii="Arial" w:hAnsi="Arial" w:cs="Arial"/>
        </w:rPr>
        <w:t xml:space="preserve"> 12.0 software. Then their energy was minimized and structure was saved in PDB format.</w:t>
      </w:r>
    </w:p>
    <w:p w14:paraId="03C5CC1D" w14:textId="77777777" w:rsidR="00934AEC" w:rsidRPr="00DF72AE" w:rsidRDefault="00934AEC" w:rsidP="00934AEC">
      <w:pPr>
        <w:spacing w:line="276" w:lineRule="auto"/>
        <w:jc w:val="both"/>
        <w:rPr>
          <w:rFonts w:ascii="Arial" w:hAnsi="Arial" w:cs="Arial"/>
          <w:b/>
        </w:rPr>
      </w:pPr>
      <w:r>
        <w:rPr>
          <w:rFonts w:ascii="Arial" w:hAnsi="Arial" w:cs="Arial"/>
          <w:b/>
        </w:rPr>
        <w:t>2.1.2</w:t>
      </w:r>
      <w:r>
        <w:rPr>
          <w:rFonts w:ascii="Arial" w:hAnsi="Arial" w:cs="Arial"/>
          <w:b/>
        </w:rPr>
        <w:tab/>
      </w:r>
      <w:r w:rsidRPr="00DF72AE">
        <w:rPr>
          <w:rFonts w:ascii="Arial" w:hAnsi="Arial" w:cs="Arial"/>
          <w:b/>
        </w:rPr>
        <w:t>Molecular docking studies</w:t>
      </w:r>
    </w:p>
    <w:p w14:paraId="56342430" w14:textId="77777777" w:rsidR="00934AEC" w:rsidRPr="00DF72AE" w:rsidRDefault="00934AEC" w:rsidP="00934AEC">
      <w:pPr>
        <w:spacing w:line="276" w:lineRule="auto"/>
        <w:jc w:val="both"/>
        <w:rPr>
          <w:rFonts w:ascii="Arial" w:hAnsi="Arial" w:cs="Arial"/>
        </w:rPr>
      </w:pPr>
      <w:r w:rsidRPr="00DF72AE">
        <w:rPr>
          <w:rFonts w:ascii="Arial" w:hAnsi="Arial" w:cs="Arial"/>
        </w:rPr>
        <w:t xml:space="preserve">To study how ligands bind to </w:t>
      </w:r>
      <w:r w:rsidRPr="00DF72AE">
        <w:rPr>
          <w:rFonts w:ascii="Arial" w:hAnsi="Arial" w:cs="Arial"/>
          <w:i/>
          <w:iCs/>
        </w:rPr>
        <w:t>Aedes aegypti</w:t>
      </w:r>
      <w:r w:rsidRPr="00DF72AE">
        <w:rPr>
          <w:rFonts w:ascii="Arial" w:hAnsi="Arial" w:cs="Arial"/>
        </w:rPr>
        <w:t xml:space="preserve"> sterol carrier protein-2 (PDB ID: 1PZ4), dengue NS5 polymerase (PDB ID: 2J7U), and NS2B/NS3 protease (PDB ID: 2FOM), we conducted a molecular docking analysis. First, we prepared the proteins using MGL Tools by adding polar hydrogens and saving them in PDBQT format. Simultaneously, the ligands were converted to PDBQT files with the Open Babel interface in </w:t>
      </w:r>
      <w:proofErr w:type="spellStart"/>
      <w:r w:rsidRPr="00DF72AE">
        <w:rPr>
          <w:rFonts w:ascii="Arial" w:hAnsi="Arial" w:cs="Arial"/>
        </w:rPr>
        <w:t>PyRx</w:t>
      </w:r>
      <w:proofErr w:type="spellEnd"/>
      <w:r w:rsidRPr="00DF72AE">
        <w:rPr>
          <w:rFonts w:ascii="Arial" w:hAnsi="Arial" w:cs="Arial"/>
        </w:rPr>
        <w:t xml:space="preserve"> 0.8. Then, both the protein and ligand files were loaded into the </w:t>
      </w:r>
      <w:proofErr w:type="spellStart"/>
      <w:r w:rsidRPr="00DF72AE">
        <w:rPr>
          <w:rFonts w:ascii="Arial" w:hAnsi="Arial" w:cs="Arial"/>
        </w:rPr>
        <w:t>Autodock</w:t>
      </w:r>
      <w:proofErr w:type="spellEnd"/>
      <w:r w:rsidRPr="00DF72AE">
        <w:rPr>
          <w:rFonts w:ascii="Arial" w:hAnsi="Arial" w:cs="Arial"/>
        </w:rPr>
        <w:t xml:space="preserve"> interface (</w:t>
      </w:r>
      <w:proofErr w:type="spellStart"/>
      <w:r w:rsidRPr="00DF72AE">
        <w:rPr>
          <w:rFonts w:ascii="Arial" w:hAnsi="Arial" w:cs="Arial"/>
        </w:rPr>
        <w:t>Trott</w:t>
      </w:r>
      <w:proofErr w:type="spellEnd"/>
      <w:r w:rsidRPr="00DF72AE">
        <w:rPr>
          <w:rFonts w:ascii="Arial" w:hAnsi="Arial" w:cs="Arial"/>
        </w:rPr>
        <w:t xml:space="preserve"> and Olson, 2010) of </w:t>
      </w:r>
      <w:proofErr w:type="spellStart"/>
      <w:r w:rsidRPr="00DF72AE">
        <w:rPr>
          <w:rFonts w:ascii="Arial" w:hAnsi="Arial" w:cs="Arial"/>
        </w:rPr>
        <w:t>PyRx</w:t>
      </w:r>
      <w:proofErr w:type="spellEnd"/>
      <w:r w:rsidRPr="00DF72AE">
        <w:rPr>
          <w:rFonts w:ascii="Arial" w:hAnsi="Arial" w:cs="Arial"/>
        </w:rPr>
        <w:t xml:space="preserve"> 0.8. The docking site was defined by selecting amino acids within a 5 Å radius, and the grid box was set as appropriate. After running the docking simulation with an exhaustiveness of 50, the ligands were sorted based on their binding affinity. Only those with a stronger affinity than the reference drugs were chosen for a more detailed analysis using Discovery Studio Visualizer.</w:t>
      </w:r>
    </w:p>
    <w:p w14:paraId="295D335C" w14:textId="77777777" w:rsidR="00934AEC" w:rsidRPr="00DF72AE" w:rsidRDefault="00934AEC" w:rsidP="00934AEC">
      <w:pPr>
        <w:spacing w:line="276" w:lineRule="auto"/>
        <w:jc w:val="both"/>
        <w:rPr>
          <w:rFonts w:ascii="Arial" w:hAnsi="Arial" w:cs="Arial"/>
          <w:b/>
        </w:rPr>
      </w:pPr>
      <w:r>
        <w:rPr>
          <w:rFonts w:ascii="Arial" w:hAnsi="Arial" w:cs="Arial"/>
          <w:b/>
        </w:rPr>
        <w:t>2.1.3</w:t>
      </w:r>
      <w:r>
        <w:rPr>
          <w:rFonts w:ascii="Arial" w:hAnsi="Arial" w:cs="Arial"/>
          <w:b/>
        </w:rPr>
        <w:tab/>
      </w:r>
      <w:r w:rsidRPr="00DF72AE">
        <w:rPr>
          <w:rFonts w:ascii="Arial" w:hAnsi="Arial" w:cs="Arial"/>
          <w:b/>
        </w:rPr>
        <w:t>Molecular dynamics simulation</w:t>
      </w:r>
    </w:p>
    <w:p w14:paraId="778815CD" w14:textId="77777777" w:rsidR="00934AEC" w:rsidRPr="00DF72AE" w:rsidRDefault="00934AEC" w:rsidP="00934AEC">
      <w:pPr>
        <w:spacing w:before="100" w:beforeAutospacing="1" w:after="100" w:afterAutospacing="1" w:line="276" w:lineRule="auto"/>
        <w:jc w:val="both"/>
        <w:rPr>
          <w:rFonts w:ascii="Arial" w:hAnsi="Arial" w:cs="Arial"/>
        </w:rPr>
      </w:pPr>
      <w:r w:rsidRPr="00DF72AE">
        <w:rPr>
          <w:rFonts w:ascii="Arial" w:hAnsi="Arial" w:cs="Arial"/>
        </w:rPr>
        <w:t xml:space="preserve">Molecular dynamics (MD) simulations of the docked complexes were conducted using the academic version of Desmond, developed by D.E. Shaw Research (Schrödinger Release 2022-4, 2023b). The </w:t>
      </w:r>
      <w:r w:rsidRPr="00DF72AE">
        <w:rPr>
          <w:rFonts w:ascii="Arial" w:hAnsi="Arial" w:cs="Arial"/>
          <w:bCs/>
        </w:rPr>
        <w:t>System Builder</w:t>
      </w:r>
      <w:r w:rsidRPr="00DF72AE">
        <w:rPr>
          <w:rFonts w:ascii="Arial" w:hAnsi="Arial" w:cs="Arial"/>
        </w:rPr>
        <w:t xml:space="preserve"> tool facilitated system preparation, employing the </w:t>
      </w:r>
      <w:r w:rsidRPr="00DF72AE">
        <w:rPr>
          <w:rFonts w:ascii="Arial" w:hAnsi="Arial" w:cs="Arial"/>
          <w:bCs/>
        </w:rPr>
        <w:t>TIP3 water model</w:t>
      </w:r>
      <w:r w:rsidRPr="00DF72AE">
        <w:rPr>
          <w:rFonts w:ascii="Arial" w:hAnsi="Arial" w:cs="Arial"/>
        </w:rPr>
        <w:t xml:space="preserve"> in an </w:t>
      </w:r>
      <w:r w:rsidRPr="00DF72AE">
        <w:rPr>
          <w:rFonts w:ascii="Arial" w:hAnsi="Arial" w:cs="Arial"/>
          <w:bCs/>
        </w:rPr>
        <w:t>orthorhombic box</w:t>
      </w:r>
      <w:r w:rsidRPr="00DF72AE">
        <w:rPr>
          <w:rFonts w:ascii="Arial" w:hAnsi="Arial" w:cs="Arial"/>
        </w:rPr>
        <w:t xml:space="preserve"> with a </w:t>
      </w:r>
      <w:r w:rsidRPr="00DF72AE">
        <w:rPr>
          <w:rFonts w:ascii="Arial" w:hAnsi="Arial" w:cs="Arial"/>
          <w:bCs/>
        </w:rPr>
        <w:t>10 × 10 × 10 Å buffer region</w:t>
      </w:r>
      <w:r w:rsidRPr="00DF72AE">
        <w:rPr>
          <w:rFonts w:ascii="Arial" w:hAnsi="Arial" w:cs="Arial"/>
        </w:rPr>
        <w:t xml:space="preserve">. To achieve system neutrality, </w:t>
      </w:r>
      <w:r w:rsidRPr="00DF72AE">
        <w:rPr>
          <w:rFonts w:ascii="Arial" w:hAnsi="Arial" w:cs="Arial"/>
          <w:bCs/>
        </w:rPr>
        <w:t>ions were added</w:t>
      </w:r>
      <w:r w:rsidRPr="00DF72AE">
        <w:rPr>
          <w:rFonts w:ascii="Arial" w:hAnsi="Arial" w:cs="Arial"/>
        </w:rPr>
        <w:t xml:space="preserve">, followed by </w:t>
      </w:r>
      <w:r w:rsidRPr="00DF72AE">
        <w:rPr>
          <w:rFonts w:ascii="Arial" w:hAnsi="Arial" w:cs="Arial"/>
          <w:bCs/>
        </w:rPr>
        <w:t>salt placement and volume minimization</w:t>
      </w:r>
      <w:r w:rsidRPr="00DF72AE">
        <w:rPr>
          <w:rFonts w:ascii="Arial" w:hAnsi="Arial" w:cs="Arial"/>
        </w:rPr>
        <w:t xml:space="preserve">. The </w:t>
      </w:r>
      <w:r w:rsidRPr="00DF72AE">
        <w:rPr>
          <w:rFonts w:ascii="Arial" w:hAnsi="Arial" w:cs="Arial"/>
          <w:bCs/>
        </w:rPr>
        <w:t>OPLS4 force field</w:t>
      </w:r>
      <w:r w:rsidRPr="00DF72AE">
        <w:rPr>
          <w:rFonts w:ascii="Arial" w:hAnsi="Arial" w:cs="Arial"/>
        </w:rPr>
        <w:t xml:space="preserve"> was utilized for energy minimization of the complete system. The MD simulation was run for </w:t>
      </w:r>
      <w:r w:rsidRPr="00DF72AE">
        <w:rPr>
          <w:rFonts w:ascii="Arial" w:hAnsi="Arial" w:cs="Arial"/>
          <w:bCs/>
        </w:rPr>
        <w:t>150 ns</w:t>
      </w:r>
      <w:r w:rsidRPr="00DF72AE">
        <w:rPr>
          <w:rFonts w:ascii="Arial" w:hAnsi="Arial" w:cs="Arial"/>
        </w:rPr>
        <w:t xml:space="preserve">, capturing </w:t>
      </w:r>
      <w:r w:rsidRPr="00DF72AE">
        <w:rPr>
          <w:rFonts w:ascii="Arial" w:hAnsi="Arial" w:cs="Arial"/>
          <w:bCs/>
        </w:rPr>
        <w:t>1,000 frames</w:t>
      </w:r>
      <w:r w:rsidRPr="00DF72AE">
        <w:rPr>
          <w:rFonts w:ascii="Arial" w:hAnsi="Arial" w:cs="Arial"/>
        </w:rPr>
        <w:t xml:space="preserve"> at </w:t>
      </w:r>
      <w:r w:rsidRPr="00DF72AE">
        <w:rPr>
          <w:rFonts w:ascii="Arial" w:hAnsi="Arial" w:cs="Arial"/>
          <w:bCs/>
        </w:rPr>
        <w:t xml:space="preserve">100 </w:t>
      </w:r>
      <w:proofErr w:type="spellStart"/>
      <w:r w:rsidRPr="00DF72AE">
        <w:rPr>
          <w:rFonts w:ascii="Arial" w:hAnsi="Arial" w:cs="Arial"/>
          <w:bCs/>
        </w:rPr>
        <w:t>ps</w:t>
      </w:r>
      <w:proofErr w:type="spellEnd"/>
      <w:r w:rsidRPr="00DF72AE">
        <w:rPr>
          <w:rFonts w:ascii="Arial" w:hAnsi="Arial" w:cs="Arial"/>
          <w:bCs/>
        </w:rPr>
        <w:t xml:space="preserve"> intervals</w:t>
      </w:r>
      <w:r w:rsidRPr="00DF72AE">
        <w:rPr>
          <w:rFonts w:ascii="Arial" w:hAnsi="Arial" w:cs="Arial"/>
        </w:rPr>
        <w:t xml:space="preserve">. The system was </w:t>
      </w:r>
      <w:r w:rsidRPr="00DF72AE">
        <w:rPr>
          <w:rFonts w:ascii="Arial" w:hAnsi="Arial" w:cs="Arial"/>
        </w:rPr>
        <w:lastRenderedPageBreak/>
        <w:t xml:space="preserve">maintained at </w:t>
      </w:r>
      <w:r w:rsidRPr="00DF72AE">
        <w:rPr>
          <w:rFonts w:ascii="Arial" w:hAnsi="Arial" w:cs="Arial"/>
          <w:bCs/>
        </w:rPr>
        <w:t>300 K</w:t>
      </w:r>
      <w:r w:rsidRPr="00DF72AE">
        <w:rPr>
          <w:rFonts w:ascii="Arial" w:hAnsi="Arial" w:cs="Arial"/>
        </w:rPr>
        <w:t xml:space="preserve"> and </w:t>
      </w:r>
      <w:r w:rsidRPr="00DF72AE">
        <w:rPr>
          <w:rFonts w:ascii="Arial" w:hAnsi="Arial" w:cs="Arial"/>
          <w:bCs/>
        </w:rPr>
        <w:t>1.01325 bar</w:t>
      </w:r>
      <w:r w:rsidRPr="00DF72AE">
        <w:rPr>
          <w:rFonts w:ascii="Arial" w:hAnsi="Arial" w:cs="Arial"/>
        </w:rPr>
        <w:t xml:space="preserve"> within the </w:t>
      </w:r>
      <w:r w:rsidRPr="00DF72AE">
        <w:rPr>
          <w:rFonts w:ascii="Arial" w:hAnsi="Arial" w:cs="Arial"/>
          <w:bCs/>
        </w:rPr>
        <w:t>NPT ensemble</w:t>
      </w:r>
      <w:r w:rsidRPr="00DF72AE">
        <w:rPr>
          <w:rFonts w:ascii="Arial" w:hAnsi="Arial" w:cs="Arial"/>
        </w:rPr>
        <w:t xml:space="preserve"> to ensure equilibrium conditions. The resulting </w:t>
      </w:r>
      <w:r w:rsidRPr="00DF72AE">
        <w:rPr>
          <w:rFonts w:ascii="Arial" w:hAnsi="Arial" w:cs="Arial"/>
          <w:bCs/>
        </w:rPr>
        <w:t>trajectories</w:t>
      </w:r>
      <w:r w:rsidRPr="00DF72AE">
        <w:rPr>
          <w:rFonts w:ascii="Arial" w:hAnsi="Arial" w:cs="Arial"/>
        </w:rPr>
        <w:t xml:space="preserve"> were analyzed using the </w:t>
      </w:r>
      <w:r w:rsidRPr="00DF72AE">
        <w:rPr>
          <w:rFonts w:ascii="Arial" w:hAnsi="Arial" w:cs="Arial"/>
          <w:bCs/>
        </w:rPr>
        <w:t>Simulation Interaction Diagram</w:t>
      </w:r>
      <w:r w:rsidRPr="00DF72AE">
        <w:rPr>
          <w:rFonts w:ascii="Arial" w:hAnsi="Arial" w:cs="Arial"/>
        </w:rPr>
        <w:t xml:space="preserve"> tool </w:t>
      </w:r>
      <w:r>
        <w:rPr>
          <w:rFonts w:ascii="Arial" w:hAnsi="Arial" w:cs="Arial"/>
        </w:rPr>
        <w:t>(</w:t>
      </w:r>
      <w:proofErr w:type="spellStart"/>
      <w:r w:rsidRPr="00DF72AE">
        <w:rPr>
          <w:rFonts w:ascii="Arial" w:hAnsi="Arial" w:cs="Arial"/>
        </w:rPr>
        <w:t>Famuyiwa</w:t>
      </w:r>
      <w:proofErr w:type="spellEnd"/>
      <w:r w:rsidRPr="00DF72AE">
        <w:rPr>
          <w:rFonts w:ascii="Arial" w:hAnsi="Arial" w:cs="Arial"/>
        </w:rPr>
        <w:t xml:space="preserve"> et al., 2023; </w:t>
      </w:r>
      <w:proofErr w:type="spellStart"/>
      <w:r w:rsidRPr="00DF72AE">
        <w:rPr>
          <w:rFonts w:ascii="Arial" w:hAnsi="Arial" w:cs="Arial"/>
        </w:rPr>
        <w:t>Famuyiwa</w:t>
      </w:r>
      <w:proofErr w:type="spellEnd"/>
      <w:r w:rsidRPr="00DF72AE">
        <w:rPr>
          <w:rFonts w:ascii="Arial" w:hAnsi="Arial" w:cs="Arial"/>
        </w:rPr>
        <w:t xml:space="preserve"> et al., 2025).</w:t>
      </w:r>
    </w:p>
    <w:p w14:paraId="3AB96151" w14:textId="77777777" w:rsidR="00790ADA" w:rsidRPr="00FB3A86" w:rsidRDefault="00790ADA" w:rsidP="00441B6F">
      <w:pPr>
        <w:pStyle w:val="Body"/>
        <w:spacing w:after="0"/>
        <w:rPr>
          <w:rFonts w:ascii="Arial" w:hAnsi="Arial" w:cs="Arial"/>
        </w:rPr>
      </w:pPr>
    </w:p>
    <w:p w14:paraId="74D74666" w14:textId="77777777" w:rsidR="00790ADA" w:rsidRPr="00FB3A86" w:rsidRDefault="00000F8F" w:rsidP="00934AEC">
      <w:pPr>
        <w:pStyle w:val="Head1"/>
        <w:spacing w:after="0" w:line="276" w:lineRule="auto"/>
        <w:jc w:val="both"/>
        <w:rPr>
          <w:rFonts w:ascii="Arial" w:hAnsi="Arial" w:cs="Arial"/>
        </w:rPr>
      </w:pPr>
      <w:r>
        <w:rPr>
          <w:rFonts w:ascii="Arial" w:hAnsi="Arial" w:cs="Arial"/>
        </w:rPr>
        <w:t>3</w:t>
      </w:r>
      <w:r w:rsidR="00902823">
        <w:rPr>
          <w:rFonts w:ascii="Arial" w:hAnsi="Arial" w:cs="Arial"/>
        </w:rPr>
        <w:t>.</w:t>
      </w:r>
      <w:r w:rsidR="00934AEC">
        <w:rPr>
          <w:rFonts w:ascii="Arial" w:hAnsi="Arial" w:cs="Arial"/>
        </w:rPr>
        <w:t>0</w:t>
      </w:r>
      <w:r w:rsidR="00934AEC">
        <w:rPr>
          <w:rFonts w:ascii="Arial" w:hAnsi="Arial" w:cs="Arial"/>
        </w:rPr>
        <w:tab/>
      </w:r>
      <w:r>
        <w:rPr>
          <w:rFonts w:ascii="Arial" w:hAnsi="Arial" w:cs="Arial"/>
        </w:rPr>
        <w:t xml:space="preserve">results </w:t>
      </w:r>
    </w:p>
    <w:p w14:paraId="01B4BF6E" w14:textId="77777777" w:rsidR="00934AEC" w:rsidRPr="00934AEC" w:rsidRDefault="00934AEC" w:rsidP="00934AEC">
      <w:pPr>
        <w:spacing w:line="276" w:lineRule="auto"/>
        <w:jc w:val="both"/>
        <w:rPr>
          <w:rFonts w:ascii="Arial" w:hAnsi="Arial" w:cs="Arial"/>
          <w:b/>
        </w:rPr>
      </w:pPr>
      <w:r>
        <w:rPr>
          <w:rFonts w:ascii="Arial" w:hAnsi="Arial" w:cs="Arial"/>
          <w:b/>
        </w:rPr>
        <w:t>3.1</w:t>
      </w:r>
      <w:r>
        <w:rPr>
          <w:rFonts w:ascii="Arial" w:hAnsi="Arial" w:cs="Arial"/>
          <w:b/>
        </w:rPr>
        <w:tab/>
      </w:r>
      <w:r w:rsidRPr="00934AEC">
        <w:rPr>
          <w:rFonts w:ascii="Arial" w:hAnsi="Arial" w:cs="Arial"/>
          <w:b/>
        </w:rPr>
        <w:t>Molecular docking analysis</w:t>
      </w:r>
    </w:p>
    <w:p w14:paraId="0E20828E"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In this study, molecular docking was performed on phytochemicals previously isolated from </w:t>
      </w:r>
      <w:proofErr w:type="spellStart"/>
      <w:r w:rsidRPr="00934AEC">
        <w:rPr>
          <w:rFonts w:ascii="Arial" w:hAnsi="Arial" w:cs="Arial"/>
          <w:i/>
        </w:rPr>
        <w:t>Bryophyllum</w:t>
      </w:r>
      <w:proofErr w:type="spellEnd"/>
      <w:r w:rsidRPr="00934AEC">
        <w:rPr>
          <w:rFonts w:ascii="Arial" w:hAnsi="Arial" w:cs="Arial"/>
          <w:i/>
        </w:rPr>
        <w:t xml:space="preserve"> </w:t>
      </w:r>
      <w:proofErr w:type="spellStart"/>
      <w:r w:rsidRPr="00934AEC">
        <w:rPr>
          <w:rFonts w:ascii="Arial" w:hAnsi="Arial" w:cs="Arial"/>
          <w:i/>
        </w:rPr>
        <w:t>pinnatum</w:t>
      </w:r>
      <w:proofErr w:type="spellEnd"/>
      <w:r w:rsidRPr="00934AEC">
        <w:rPr>
          <w:rFonts w:ascii="Arial" w:hAnsi="Arial" w:cs="Arial"/>
        </w:rPr>
        <w:t xml:space="preserve">. This chemical compounds were previously screened with Lipinski’s rule adherence before subjecting to molecular docking. The results obtained from the molecular docking studies </w:t>
      </w:r>
      <w:commentRangeStart w:id="4"/>
      <w:r w:rsidRPr="003F4ACB">
        <w:rPr>
          <w:rFonts w:ascii="Arial" w:hAnsi="Arial" w:cs="Arial"/>
          <w:color w:val="FF0000"/>
        </w:rPr>
        <w:t>are presented in Table 1.</w:t>
      </w:r>
      <w:commentRangeEnd w:id="4"/>
      <w:r w:rsidR="003F4ACB">
        <w:rPr>
          <w:rStyle w:val="CommentReference"/>
          <w:rFonts w:ascii="Times New Roman" w:hAnsi="Times New Roman"/>
          <w:lang w:val="nb-NO" w:eastAsia="nb-NO"/>
        </w:rPr>
        <w:commentReference w:id="4"/>
      </w:r>
    </w:p>
    <w:p w14:paraId="103D3FC8"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24-ethyl-desmosterol emerged as the best binder against the odorant enzyme with a binding affinity of -10.6 kcal/mol. The triterpene formed hydrophobic and pi interactions with Ala10, Ala13 and Lys14, while no hydrogen bond interaction was established between the phytochemical and the receptor (Figure 1a). Also, </w:t>
      </w:r>
      <w:proofErr w:type="spellStart"/>
      <w:r w:rsidRPr="00934AEC">
        <w:rPr>
          <w:rFonts w:ascii="Arial" w:hAnsi="Arial" w:cs="Arial"/>
        </w:rPr>
        <w:t>clerosterol</w:t>
      </w:r>
      <w:proofErr w:type="spellEnd"/>
      <w:r w:rsidRPr="00934AEC">
        <w:rPr>
          <w:rFonts w:ascii="Arial" w:hAnsi="Arial" w:cs="Arial"/>
        </w:rPr>
        <w:t xml:space="preserve"> was selected as the second best inhibitor based on its high binding affinity of -10.5 kcal/mol. The terpenoid participated in hydrogen bond interaction with Glu17 at 1.99 Å. However, no hydrophobic and pi-interactions were formed between the ligand and the receptor (Figure 1b).</w:t>
      </w:r>
    </w:p>
    <w:p w14:paraId="18C49CFF"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In the molecular docking of the phytochemicals against the dengue NS5 polymerase, </w:t>
      </w:r>
      <w:proofErr w:type="spellStart"/>
      <w:r w:rsidRPr="00934AEC">
        <w:rPr>
          <w:rFonts w:ascii="Arial" w:hAnsi="Arial" w:cs="Arial"/>
        </w:rPr>
        <w:t>taraxasterol</w:t>
      </w:r>
      <w:proofErr w:type="spellEnd"/>
      <w:r w:rsidRPr="00934AEC">
        <w:rPr>
          <w:rFonts w:ascii="Arial" w:hAnsi="Arial" w:cs="Arial"/>
        </w:rPr>
        <w:t xml:space="preserve"> were selected as the best inhibitor of the enzyme with a binding affinity of -9.7 kcal/mol. One of the hydrogen atoms of phytochemical established strong hydrogen bond interaction with Glu834. No hydrophobic and pi interactions were observed between the enzyme and the ligand (Figure 1c). </w:t>
      </w:r>
      <w:proofErr w:type="spellStart"/>
      <w:r w:rsidRPr="00934AEC">
        <w:rPr>
          <w:rFonts w:ascii="Arial" w:hAnsi="Arial" w:cs="Arial"/>
        </w:rPr>
        <w:t>Bryophynol</w:t>
      </w:r>
      <w:proofErr w:type="spellEnd"/>
      <w:r w:rsidRPr="00934AEC">
        <w:rPr>
          <w:rFonts w:ascii="Arial" w:hAnsi="Arial" w:cs="Arial"/>
        </w:rPr>
        <w:t xml:space="preserve"> was selected as the second best inhibitor against the dengue NS5 polymerase with a binding affinity of -9.6 kcal/mol. The phytochemical established only hydrogen bond interaction with Glu834 at 2.77 and 2.90 Å, and Arg856 at 2.18 Å (Figure 1d).</w:t>
      </w:r>
    </w:p>
    <w:p w14:paraId="49C7A519"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The inhibition potential of </w:t>
      </w:r>
      <w:r w:rsidRPr="00934AEC">
        <w:rPr>
          <w:rFonts w:ascii="Arial" w:hAnsi="Arial" w:cs="Arial"/>
          <w:i/>
        </w:rPr>
        <w:t xml:space="preserve">B. </w:t>
      </w:r>
      <w:proofErr w:type="spellStart"/>
      <w:r w:rsidRPr="00934AEC">
        <w:rPr>
          <w:rFonts w:ascii="Arial" w:hAnsi="Arial" w:cs="Arial"/>
          <w:i/>
        </w:rPr>
        <w:t>pinnatum</w:t>
      </w:r>
      <w:proofErr w:type="spellEnd"/>
      <w:r w:rsidRPr="00934AEC">
        <w:rPr>
          <w:rFonts w:ascii="Arial" w:hAnsi="Arial" w:cs="Arial"/>
        </w:rPr>
        <w:t xml:space="preserve"> phytochemicals was predicted with molecular docking against NS2B/NS3 protease. 25-Methylstigmast-24(28)-</w:t>
      </w:r>
      <w:proofErr w:type="spellStart"/>
      <w:r w:rsidRPr="00934AEC">
        <w:rPr>
          <w:rFonts w:ascii="Arial" w:hAnsi="Arial" w:cs="Arial"/>
        </w:rPr>
        <w:t>enol</w:t>
      </w:r>
      <w:proofErr w:type="spellEnd"/>
      <w:r w:rsidRPr="00934AEC">
        <w:rPr>
          <w:rFonts w:ascii="Arial" w:hAnsi="Arial" w:cs="Arial"/>
        </w:rPr>
        <w:t xml:space="preserve"> and </w:t>
      </w:r>
      <w:proofErr w:type="spellStart"/>
      <w:r w:rsidRPr="00934AEC">
        <w:rPr>
          <w:rFonts w:ascii="Arial" w:hAnsi="Arial" w:cs="Arial"/>
        </w:rPr>
        <w:t>clerosterol</w:t>
      </w:r>
      <w:proofErr w:type="spellEnd"/>
      <w:r w:rsidRPr="00934AEC">
        <w:rPr>
          <w:rFonts w:ascii="Arial" w:hAnsi="Arial" w:cs="Arial"/>
        </w:rPr>
        <w:t xml:space="preserve"> was identified as the best binders against the enzyme with a binding affinity of -8.9 kcal/mol. The hydrogen atom of </w:t>
      </w:r>
      <w:proofErr w:type="spellStart"/>
      <w:r w:rsidRPr="00934AEC">
        <w:rPr>
          <w:rFonts w:ascii="Arial" w:hAnsi="Arial" w:cs="Arial"/>
        </w:rPr>
        <w:t>clerosterol</w:t>
      </w:r>
      <w:proofErr w:type="spellEnd"/>
      <w:r w:rsidRPr="00934AEC">
        <w:rPr>
          <w:rFonts w:ascii="Arial" w:hAnsi="Arial" w:cs="Arial"/>
        </w:rPr>
        <w:t xml:space="preserve"> formed hydrogen bond interaction with Trp89 at 1.85 Å, while </w:t>
      </w:r>
      <w:proofErr w:type="spellStart"/>
      <w:r w:rsidRPr="00934AEC">
        <w:rPr>
          <w:rFonts w:ascii="Arial" w:hAnsi="Arial" w:cs="Arial"/>
        </w:rPr>
        <w:t>clerosterol</w:t>
      </w:r>
      <w:proofErr w:type="spellEnd"/>
      <w:r w:rsidRPr="00934AEC">
        <w:rPr>
          <w:rFonts w:ascii="Arial" w:hAnsi="Arial" w:cs="Arial"/>
        </w:rPr>
        <w:t xml:space="preserve"> formed hydrogen bond interaction with Glu88 at 1.86 Å. Also, 25-Methylstigmast-24(28)-enol formed hydrophobic interactions with Trp69, Lys74, Leu76, Trp83 and Ala166, while </w:t>
      </w:r>
      <w:proofErr w:type="spellStart"/>
      <w:r w:rsidRPr="00934AEC">
        <w:rPr>
          <w:rFonts w:ascii="Arial" w:hAnsi="Arial" w:cs="Arial"/>
        </w:rPr>
        <w:t>clerosterol</w:t>
      </w:r>
      <w:proofErr w:type="spellEnd"/>
      <w:r w:rsidRPr="00934AEC">
        <w:rPr>
          <w:rFonts w:ascii="Arial" w:hAnsi="Arial" w:cs="Arial"/>
        </w:rPr>
        <w:t xml:space="preserve"> formed hydrophobic and pi interactions with Lys74, Ile123, Val154 and Ala164 (Figure 1e and 1f).</w:t>
      </w:r>
    </w:p>
    <w:p w14:paraId="0B158E58" w14:textId="77777777" w:rsidR="00934AEC" w:rsidRPr="00934AEC" w:rsidRDefault="00934AEC" w:rsidP="00934AEC">
      <w:pPr>
        <w:spacing w:line="276" w:lineRule="auto"/>
        <w:jc w:val="both"/>
        <w:rPr>
          <w:rFonts w:ascii="Arial" w:hAnsi="Arial" w:cs="Arial"/>
        </w:rPr>
      </w:pPr>
      <w:r w:rsidRPr="00934AEC">
        <w:rPr>
          <w:rFonts w:ascii="Arial" w:hAnsi="Arial" w:cs="Arial"/>
          <w:noProof/>
          <w:lang w:val="en-IN" w:eastAsia="en-IN" w:bidi="ta-IN"/>
        </w:rPr>
        <w:lastRenderedPageBreak/>
        <w:drawing>
          <wp:inline distT="0" distB="0" distL="0" distR="0" wp14:anchorId="764FC58D" wp14:editId="6D5AA071">
            <wp:extent cx="2247900" cy="232409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48214" cy="2324424"/>
                    </a:xfrm>
                    <a:prstGeom prst="rect">
                      <a:avLst/>
                    </a:prstGeom>
                  </pic:spPr>
                </pic:pic>
              </a:graphicData>
            </a:graphic>
          </wp:inline>
        </w:drawing>
      </w:r>
      <w:r w:rsidRPr="00934AEC">
        <w:rPr>
          <w:rFonts w:ascii="Arial" w:hAnsi="Arial" w:cs="Arial"/>
        </w:rPr>
        <w:tab/>
      </w:r>
      <w:r w:rsidRPr="00934AEC">
        <w:rPr>
          <w:rFonts w:ascii="Arial" w:hAnsi="Arial" w:cs="Arial"/>
        </w:rPr>
        <w:tab/>
      </w:r>
      <w:r w:rsidRPr="00934AEC">
        <w:rPr>
          <w:rFonts w:ascii="Arial" w:hAnsi="Arial" w:cs="Arial"/>
        </w:rPr>
        <w:tab/>
      </w:r>
      <w:r w:rsidRPr="00934AEC">
        <w:rPr>
          <w:rFonts w:ascii="Arial" w:hAnsi="Arial" w:cs="Arial"/>
          <w:noProof/>
          <w:lang w:val="en-IN" w:eastAsia="en-IN" w:bidi="ta-IN"/>
        </w:rPr>
        <w:drawing>
          <wp:inline distT="0" distB="0" distL="0" distR="0" wp14:anchorId="48C9F062" wp14:editId="0617B7A5">
            <wp:extent cx="2113521" cy="2190307"/>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114845" cy="2191679"/>
                    </a:xfrm>
                    <a:prstGeom prst="rect">
                      <a:avLst/>
                    </a:prstGeom>
                  </pic:spPr>
                </pic:pic>
              </a:graphicData>
            </a:graphic>
          </wp:inline>
        </w:drawing>
      </w:r>
    </w:p>
    <w:p w14:paraId="55028CC6" w14:textId="77777777" w:rsidR="00934AEC" w:rsidRPr="00934AEC" w:rsidRDefault="00934AEC" w:rsidP="00934AEC">
      <w:pPr>
        <w:spacing w:line="276" w:lineRule="auto"/>
        <w:jc w:val="both"/>
        <w:rPr>
          <w:rFonts w:ascii="Arial" w:hAnsi="Arial" w:cs="Arial"/>
        </w:rPr>
      </w:pPr>
      <w:r w:rsidRPr="00934AEC">
        <w:rPr>
          <w:rFonts w:ascii="Arial" w:hAnsi="Arial" w:cs="Arial"/>
          <w:noProof/>
          <w:lang w:val="en-IN" w:eastAsia="en-IN" w:bidi="ta-IN"/>
        </w:rPr>
        <w:lastRenderedPageBreak/>
        <w:drawing>
          <wp:inline distT="0" distB="0" distL="0" distR="0" wp14:anchorId="56ECF8D3" wp14:editId="5C12A638">
            <wp:extent cx="1828800" cy="2105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29055" cy="2105319"/>
                    </a:xfrm>
                    <a:prstGeom prst="rect">
                      <a:avLst/>
                    </a:prstGeom>
                  </pic:spPr>
                </pic:pic>
              </a:graphicData>
            </a:graphic>
          </wp:inline>
        </w:drawing>
      </w:r>
      <w:r w:rsidRPr="00934AEC">
        <w:rPr>
          <w:rFonts w:ascii="Arial" w:hAnsi="Arial" w:cs="Arial"/>
        </w:rPr>
        <w:tab/>
      </w:r>
      <w:r w:rsidRPr="00934AEC">
        <w:rPr>
          <w:rFonts w:ascii="Arial" w:hAnsi="Arial" w:cs="Arial"/>
        </w:rPr>
        <w:tab/>
      </w:r>
      <w:r w:rsidRPr="00934AEC">
        <w:rPr>
          <w:rFonts w:ascii="Arial" w:hAnsi="Arial" w:cs="Arial"/>
        </w:rPr>
        <w:tab/>
      </w:r>
      <w:r w:rsidRPr="00934AEC">
        <w:rPr>
          <w:rFonts w:ascii="Arial" w:hAnsi="Arial" w:cs="Arial"/>
          <w:noProof/>
          <w:lang w:val="en-IN" w:eastAsia="en-IN" w:bidi="ta-IN"/>
        </w:rPr>
        <w:drawing>
          <wp:inline distT="0" distB="0" distL="0" distR="0" wp14:anchorId="527F9DF1" wp14:editId="04DAFA1A">
            <wp:extent cx="2571750" cy="2333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572109" cy="2333951"/>
                    </a:xfrm>
                    <a:prstGeom prst="rect">
                      <a:avLst/>
                    </a:prstGeom>
                  </pic:spPr>
                </pic:pic>
              </a:graphicData>
            </a:graphic>
          </wp:inline>
        </w:drawing>
      </w:r>
      <w:r w:rsidRPr="00934AEC">
        <w:rPr>
          <w:rFonts w:ascii="Arial" w:hAnsi="Arial" w:cs="Arial"/>
        </w:rPr>
        <w:tab/>
      </w:r>
    </w:p>
    <w:p w14:paraId="5DDF7AB8" w14:textId="77777777" w:rsidR="00934AEC" w:rsidRPr="00934AEC" w:rsidRDefault="00934AEC" w:rsidP="00934AEC">
      <w:pPr>
        <w:spacing w:line="276" w:lineRule="auto"/>
        <w:jc w:val="both"/>
        <w:rPr>
          <w:rFonts w:ascii="Arial" w:hAnsi="Arial" w:cs="Arial"/>
          <w:noProof/>
        </w:rPr>
      </w:pPr>
      <w:r w:rsidRPr="00934AEC">
        <w:rPr>
          <w:rFonts w:ascii="Arial" w:hAnsi="Arial" w:cs="Arial"/>
          <w:noProof/>
          <w:lang w:val="en-IN" w:eastAsia="en-IN" w:bidi="ta-IN"/>
        </w:rPr>
        <w:lastRenderedPageBreak/>
        <w:drawing>
          <wp:inline distT="0" distB="0" distL="0" distR="0" wp14:anchorId="5FB958DD" wp14:editId="6492F092">
            <wp:extent cx="2581106" cy="271130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581635" cy="2711857"/>
                    </a:xfrm>
                    <a:prstGeom prst="rect">
                      <a:avLst/>
                    </a:prstGeom>
                  </pic:spPr>
                </pic:pic>
              </a:graphicData>
            </a:graphic>
          </wp:inline>
        </w:drawing>
      </w:r>
      <w:r w:rsidRPr="00934AEC">
        <w:rPr>
          <w:rFonts w:ascii="Arial" w:hAnsi="Arial" w:cs="Arial"/>
          <w:noProof/>
        </w:rPr>
        <w:tab/>
      </w:r>
      <w:r w:rsidRPr="00934AEC">
        <w:rPr>
          <w:rFonts w:ascii="Arial" w:hAnsi="Arial" w:cs="Arial"/>
          <w:noProof/>
        </w:rPr>
        <w:tab/>
      </w:r>
      <w:r w:rsidRPr="00934AEC">
        <w:rPr>
          <w:rFonts w:ascii="Arial" w:hAnsi="Arial" w:cs="Arial"/>
          <w:noProof/>
        </w:rPr>
        <w:tab/>
      </w:r>
      <w:r w:rsidRPr="00934AEC">
        <w:rPr>
          <w:rFonts w:ascii="Arial" w:hAnsi="Arial" w:cs="Arial"/>
          <w:noProof/>
          <w:lang w:val="en-IN" w:eastAsia="en-IN" w:bidi="ta-IN"/>
        </w:rPr>
        <w:drawing>
          <wp:inline distT="0" distB="0" distL="0" distR="0" wp14:anchorId="74240C85" wp14:editId="26013158">
            <wp:extent cx="2158409" cy="265162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162477" cy="2656627"/>
                    </a:xfrm>
                    <a:prstGeom prst="rect">
                      <a:avLst/>
                    </a:prstGeom>
                  </pic:spPr>
                </pic:pic>
              </a:graphicData>
            </a:graphic>
          </wp:inline>
        </w:drawing>
      </w:r>
    </w:p>
    <w:p w14:paraId="6173C92C" w14:textId="77777777" w:rsidR="00934AEC" w:rsidRPr="00934AEC" w:rsidRDefault="00934AEC" w:rsidP="00934AEC">
      <w:pPr>
        <w:spacing w:line="276" w:lineRule="auto"/>
        <w:jc w:val="both"/>
        <w:rPr>
          <w:rFonts w:ascii="Arial" w:hAnsi="Arial" w:cs="Arial"/>
          <w:noProof/>
        </w:rPr>
      </w:pPr>
      <w:r>
        <w:rPr>
          <w:rFonts w:ascii="Arial" w:hAnsi="Arial" w:cs="Arial"/>
          <w:noProof/>
        </w:rPr>
        <w:t>Fig</w:t>
      </w:r>
      <w:r w:rsidRPr="00934AEC">
        <w:rPr>
          <w:rFonts w:ascii="Arial" w:hAnsi="Arial" w:cs="Arial"/>
          <w:noProof/>
        </w:rPr>
        <w:t xml:space="preserve"> 1: Interaction diagram of </w:t>
      </w:r>
      <w:r w:rsidRPr="00934AEC">
        <w:rPr>
          <w:rFonts w:ascii="Arial" w:hAnsi="Arial" w:cs="Arial"/>
        </w:rPr>
        <w:t>clerosterol-1PZ4 (a), 24-ethyl-desmosterol-1PZ4 (b), 25-Methylstigmast-24(28)-enol-2FOM (c), clerosterol-2FOM (d), taraxasterol-2J7U (e), and bryophynol-2J7U (f)</w:t>
      </w:r>
    </w:p>
    <w:p w14:paraId="31F97F24" w14:textId="77777777" w:rsidR="00934AEC" w:rsidRPr="00934AEC" w:rsidRDefault="00934AEC" w:rsidP="00934AEC">
      <w:pPr>
        <w:spacing w:line="276" w:lineRule="auto"/>
        <w:jc w:val="both"/>
        <w:rPr>
          <w:rFonts w:ascii="Arial" w:hAnsi="Arial" w:cs="Arial"/>
          <w:b/>
        </w:rPr>
      </w:pPr>
      <w:r w:rsidRPr="00934AEC">
        <w:rPr>
          <w:rFonts w:ascii="Arial" w:hAnsi="Arial" w:cs="Arial"/>
          <w:b/>
          <w:noProof/>
        </w:rPr>
        <w:t>Analysis of Molecular Dynamics Simulation</w:t>
      </w:r>
    </w:p>
    <w:p w14:paraId="4B8F5FF8"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The molecular dynamics simulation of the protein-ligand complexes was performed to understand their stability at the receptor’s binding pocket. In the MD simulation of clerosterol-1PZ4 complex, the root mean square deviation (RMSD) plot showed that the ligand was largely stable throughout the 150 ns with slight deviation observed at 38 and 42 ns (Figure 2a). The root mean square fluctuation plot showed that the receptor was stable and ranged from 0.6 – 1.8 Å (Figure 2a). Also, the interaction plot showed the formation of hydrogen bonds with Ala22 and Asn23 as well as hydrophobic interaction with Ile19 and Phe105 (Figure 2a). Similarly, RMSD plot of 24-ethyl-desmosterol-1PZ4 showed that the phytochemical was fairly stable for the 150 ns with slight deviation at 60 and 80 ns (Figure 2b). Also, the RMSF plot showed stability and ranged from 0.5 – 2.8 Å (Figure 2b). </w:t>
      </w:r>
      <w:r w:rsidRPr="00934AEC">
        <w:rPr>
          <w:rFonts w:ascii="Arial" w:hAnsi="Arial" w:cs="Arial"/>
        </w:rPr>
        <w:lastRenderedPageBreak/>
        <w:t>Furthermore, the interaction plot showed that hydrogen bonds exist between Arg15, Ser108 and Lys110, hydrophobic interaction with Ile19 and Leu109, and water bridge interaction with Lys11, Lys14, Arg15, Ser108 and Lys110 (Figure 2b).</w:t>
      </w:r>
    </w:p>
    <w:p w14:paraId="56618968" w14:textId="77777777" w:rsidR="00934AEC" w:rsidRPr="00934AEC" w:rsidRDefault="00934AEC" w:rsidP="00934AEC">
      <w:pPr>
        <w:spacing w:line="276" w:lineRule="auto"/>
        <w:jc w:val="both"/>
        <w:rPr>
          <w:rFonts w:ascii="Arial" w:hAnsi="Arial" w:cs="Arial"/>
        </w:rPr>
      </w:pPr>
      <w:r w:rsidRPr="00934AEC">
        <w:rPr>
          <w:rFonts w:ascii="Arial" w:hAnsi="Arial" w:cs="Arial"/>
          <w:noProof/>
          <w:lang w:val="en-IN" w:eastAsia="en-IN" w:bidi="ta-IN"/>
        </w:rPr>
        <w:drawing>
          <wp:inline distT="0" distB="0" distL="0" distR="0" wp14:anchorId="16CECD85" wp14:editId="16AF24E9">
            <wp:extent cx="2733675" cy="217102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738979" cy="2175233"/>
                    </a:xfrm>
                    <a:prstGeom prst="rect">
                      <a:avLst/>
                    </a:prstGeom>
                  </pic:spPr>
                </pic:pic>
              </a:graphicData>
            </a:graphic>
          </wp:inline>
        </w:drawing>
      </w:r>
      <w:r w:rsidRPr="00934AEC">
        <w:rPr>
          <w:rFonts w:ascii="Arial" w:hAnsi="Arial" w:cs="Arial"/>
        </w:rPr>
        <w:t xml:space="preserve">          </w:t>
      </w:r>
      <w:r w:rsidRPr="00934AEC">
        <w:rPr>
          <w:rFonts w:ascii="Arial" w:hAnsi="Arial" w:cs="Arial"/>
          <w:noProof/>
          <w:lang w:val="en-IN" w:eastAsia="en-IN" w:bidi="ta-IN"/>
        </w:rPr>
        <w:drawing>
          <wp:inline distT="0" distB="0" distL="0" distR="0" wp14:anchorId="5827BDF5" wp14:editId="07AF4C81">
            <wp:extent cx="2686050" cy="2171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686425" cy="2172003"/>
                    </a:xfrm>
                    <a:prstGeom prst="rect">
                      <a:avLst/>
                    </a:prstGeom>
                  </pic:spPr>
                </pic:pic>
              </a:graphicData>
            </a:graphic>
          </wp:inline>
        </w:drawing>
      </w:r>
    </w:p>
    <w:p w14:paraId="76E12C3A" w14:textId="77777777" w:rsidR="00934AEC" w:rsidRPr="00934AEC" w:rsidRDefault="00934AEC" w:rsidP="00934AEC">
      <w:pPr>
        <w:spacing w:line="276" w:lineRule="auto"/>
        <w:jc w:val="both"/>
        <w:rPr>
          <w:rFonts w:ascii="Arial" w:hAnsi="Arial" w:cs="Arial"/>
        </w:rPr>
      </w:pPr>
      <w:r w:rsidRPr="00934AEC">
        <w:rPr>
          <w:rFonts w:ascii="Arial" w:hAnsi="Arial" w:cs="Arial"/>
          <w:noProof/>
          <w:lang w:val="en-IN" w:eastAsia="en-IN" w:bidi="ta-IN"/>
        </w:rPr>
        <w:lastRenderedPageBreak/>
        <w:drawing>
          <wp:inline distT="0" distB="0" distL="0" distR="0" wp14:anchorId="6B16A4F0" wp14:editId="5EC26E3E">
            <wp:extent cx="2609850" cy="2257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610215" cy="2257741"/>
                    </a:xfrm>
                    <a:prstGeom prst="rect">
                      <a:avLst/>
                    </a:prstGeom>
                  </pic:spPr>
                </pic:pic>
              </a:graphicData>
            </a:graphic>
          </wp:inline>
        </w:drawing>
      </w:r>
      <w:r w:rsidRPr="00934AEC">
        <w:rPr>
          <w:rFonts w:ascii="Arial" w:hAnsi="Arial" w:cs="Arial"/>
        </w:rPr>
        <w:t xml:space="preserve">    </w:t>
      </w:r>
      <w:r w:rsidRPr="00934AEC">
        <w:rPr>
          <w:rFonts w:ascii="Arial" w:hAnsi="Arial" w:cs="Arial"/>
          <w:noProof/>
          <w:lang w:val="en-IN" w:eastAsia="en-IN" w:bidi="ta-IN"/>
        </w:rPr>
        <w:drawing>
          <wp:inline distT="0" distB="0" distL="0" distR="0" wp14:anchorId="640C1F75" wp14:editId="401FAAAA">
            <wp:extent cx="2752725" cy="2200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753109" cy="2200582"/>
                    </a:xfrm>
                    <a:prstGeom prst="rect">
                      <a:avLst/>
                    </a:prstGeom>
                  </pic:spPr>
                </pic:pic>
              </a:graphicData>
            </a:graphic>
          </wp:inline>
        </w:drawing>
      </w:r>
    </w:p>
    <w:p w14:paraId="376A97EB" w14:textId="77777777" w:rsidR="00934AEC" w:rsidRPr="00934AEC" w:rsidRDefault="00934AEC" w:rsidP="00934AEC">
      <w:pPr>
        <w:spacing w:line="276" w:lineRule="auto"/>
        <w:jc w:val="both"/>
        <w:rPr>
          <w:rFonts w:ascii="Arial" w:hAnsi="Arial" w:cs="Arial"/>
        </w:rPr>
      </w:pPr>
      <w:r w:rsidRPr="00934AEC">
        <w:rPr>
          <w:rFonts w:ascii="Arial" w:hAnsi="Arial" w:cs="Arial"/>
          <w:noProof/>
          <w:lang w:val="en-IN" w:eastAsia="en-IN" w:bidi="ta-IN"/>
        </w:rPr>
        <w:lastRenderedPageBreak/>
        <w:drawing>
          <wp:inline distT="0" distB="0" distL="0" distR="0" wp14:anchorId="19E30976" wp14:editId="35EEB535">
            <wp:extent cx="2867025" cy="22574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867425" cy="2257740"/>
                    </a:xfrm>
                    <a:prstGeom prst="rect">
                      <a:avLst/>
                    </a:prstGeom>
                  </pic:spPr>
                </pic:pic>
              </a:graphicData>
            </a:graphic>
          </wp:inline>
        </w:drawing>
      </w:r>
      <w:r w:rsidRPr="00934AEC">
        <w:rPr>
          <w:rFonts w:ascii="Arial" w:hAnsi="Arial" w:cs="Arial"/>
        </w:rPr>
        <w:t xml:space="preserve">  </w:t>
      </w:r>
      <w:r w:rsidRPr="00934AEC">
        <w:rPr>
          <w:rFonts w:ascii="Arial" w:hAnsi="Arial" w:cs="Arial"/>
          <w:noProof/>
          <w:lang w:val="en-IN" w:eastAsia="en-IN" w:bidi="ta-IN"/>
        </w:rPr>
        <w:drawing>
          <wp:inline distT="0" distB="0" distL="0" distR="0" wp14:anchorId="21AA74B8" wp14:editId="234C6EBE">
            <wp:extent cx="2962275" cy="22669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688" cy="2267266"/>
                    </a:xfrm>
                    <a:prstGeom prst="rect">
                      <a:avLst/>
                    </a:prstGeom>
                  </pic:spPr>
                </pic:pic>
              </a:graphicData>
            </a:graphic>
          </wp:inline>
        </w:drawing>
      </w:r>
    </w:p>
    <w:p w14:paraId="0F52ED1D" w14:textId="77777777" w:rsidR="00934AEC" w:rsidRPr="00934AEC" w:rsidRDefault="00934AEC" w:rsidP="00934AEC">
      <w:pPr>
        <w:spacing w:line="276" w:lineRule="auto"/>
        <w:jc w:val="both"/>
        <w:rPr>
          <w:rFonts w:ascii="Arial" w:hAnsi="Arial" w:cs="Arial"/>
        </w:rPr>
      </w:pPr>
      <w:commentRangeStart w:id="5"/>
      <w:r>
        <w:rPr>
          <w:rFonts w:ascii="Arial" w:hAnsi="Arial" w:cs="Arial"/>
          <w:noProof/>
        </w:rPr>
        <w:t>Fig</w:t>
      </w:r>
      <w:r w:rsidRPr="00934AEC">
        <w:rPr>
          <w:rFonts w:ascii="Arial" w:hAnsi="Arial" w:cs="Arial"/>
          <w:noProof/>
        </w:rPr>
        <w:t xml:space="preserve"> 2: RMSD </w:t>
      </w:r>
      <w:commentRangeEnd w:id="5"/>
      <w:r w:rsidR="007636CF">
        <w:rPr>
          <w:rStyle w:val="CommentReference"/>
          <w:rFonts w:ascii="Times New Roman" w:hAnsi="Times New Roman"/>
          <w:lang w:val="nb-NO" w:eastAsia="nb-NO"/>
        </w:rPr>
        <w:commentReference w:id="5"/>
      </w:r>
      <w:r w:rsidRPr="00934AEC">
        <w:rPr>
          <w:rFonts w:ascii="Arial" w:hAnsi="Arial" w:cs="Arial"/>
          <w:noProof/>
        </w:rPr>
        <w:t xml:space="preserve">plot of </w:t>
      </w:r>
      <w:r w:rsidRPr="00934AEC">
        <w:rPr>
          <w:rFonts w:ascii="Arial" w:hAnsi="Arial" w:cs="Arial"/>
        </w:rPr>
        <w:t xml:space="preserve">clerosterol-1PZ4 (a), RMSD plot of 24-ethyl-desmosterol-1PZ4 (b), </w:t>
      </w:r>
      <w:r w:rsidRPr="00934AEC">
        <w:rPr>
          <w:rFonts w:ascii="Arial" w:hAnsi="Arial" w:cs="Arial"/>
          <w:noProof/>
        </w:rPr>
        <w:t xml:space="preserve">RMSF plot of </w:t>
      </w:r>
      <w:r w:rsidRPr="00934AEC">
        <w:rPr>
          <w:rFonts w:ascii="Arial" w:hAnsi="Arial" w:cs="Arial"/>
        </w:rPr>
        <w:t>clerosterol-1PZ4 (a), RMSF plot of 24-ethyl-desmosterol-1PZ4 (b), interaction plot of clerosterol-1PZ4 (a), interaction plot of 24-ethyl-desmosterol-1PZ4 (b)</w:t>
      </w:r>
    </w:p>
    <w:p w14:paraId="7B5F23BC"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The RMSD plot generated from the molecular dynamics simulation of the docked complex of 25-Methylstigmast-24(28)-enol-2FOM showed that the terpenoid was stable from 1-59 ns followed by a deviation from 60 – 70 ns and became stable with slight fluctuation 80 – 150 ns (Figure 3a). The RMSF plot generated from the 25-Methylstigmast-24(28)-enol-2FOM MD simulation showed that the protein was fairly stable and its value ranged between 0.5 – 3.8 Å (Figure 3a). In the interaction plot obtained for the complexes, hydrogen bond interactions were observed between the ligand and Asn119, Asn152, Gly153, hydrophobic interaction with Trp69, Leu76, Trp83, Ile123, Val154, Ala164, and Ala166, and water bridge interaction with Asp75, Asn119, Thr120, Asn152, Gly153 and Val155 (Figure 3a). The MD simulation of clerosterol-2FOM was performed and the RMSD plot showed that the phytochemical was stable from 0 – 44 ns followed by a slight deviation at 55 ns, then became stable up to 100 ns. The plot also showed a slight deviation from 101 to 105 ns and eventually became stable till 150 ns (Figure 3b). The RMSF plot showed that the protein was stable and ranged between 0.6 – 3.5 Å (Figure 3b). The interaction plot of the complex showed that the ligand formed hydrogen bond interaction with Trp83 and Leu149, hydrophobic interaction with </w:t>
      </w:r>
      <w:r w:rsidRPr="00934AEC">
        <w:rPr>
          <w:rFonts w:ascii="Arial" w:hAnsi="Arial" w:cs="Arial"/>
        </w:rPr>
        <w:lastRenderedPageBreak/>
        <w:t>Leu76, Ile123, Val154 and Ile1Bryophynol, and water bridge Leu85, Glu86, Val146, Val147 and Ile1Bryophynol (Figure 3b).</w:t>
      </w:r>
    </w:p>
    <w:p w14:paraId="0BEAD7F7" w14:textId="77777777" w:rsidR="00934AEC" w:rsidRPr="00934AEC" w:rsidRDefault="00934AEC" w:rsidP="00934AEC">
      <w:pPr>
        <w:spacing w:line="276" w:lineRule="auto"/>
        <w:jc w:val="both"/>
        <w:rPr>
          <w:rFonts w:ascii="Arial" w:hAnsi="Arial" w:cs="Arial"/>
        </w:rPr>
      </w:pPr>
      <w:r w:rsidRPr="00934AEC">
        <w:rPr>
          <w:rFonts w:ascii="Arial" w:hAnsi="Arial" w:cs="Arial"/>
          <w:noProof/>
          <w:lang w:val="en-IN" w:eastAsia="en-IN" w:bidi="ta-IN"/>
        </w:rPr>
        <w:drawing>
          <wp:inline distT="0" distB="0" distL="0" distR="0" wp14:anchorId="464135D5" wp14:editId="4EBAF8CE">
            <wp:extent cx="2819400" cy="19526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819795" cy="1952899"/>
                    </a:xfrm>
                    <a:prstGeom prst="rect">
                      <a:avLst/>
                    </a:prstGeom>
                  </pic:spPr>
                </pic:pic>
              </a:graphicData>
            </a:graphic>
          </wp:inline>
        </w:drawing>
      </w:r>
      <w:r w:rsidRPr="00934AEC">
        <w:rPr>
          <w:rFonts w:ascii="Arial" w:hAnsi="Arial" w:cs="Arial"/>
        </w:rPr>
        <w:t xml:space="preserve">      </w:t>
      </w:r>
      <w:r w:rsidRPr="00934AEC">
        <w:rPr>
          <w:rFonts w:ascii="Arial" w:hAnsi="Arial" w:cs="Arial"/>
          <w:noProof/>
          <w:lang w:val="en-IN" w:eastAsia="en-IN" w:bidi="ta-IN"/>
        </w:rPr>
        <w:drawing>
          <wp:inline distT="0" distB="0" distL="0" distR="0" wp14:anchorId="75E7DB29" wp14:editId="5ACFBC6A">
            <wp:extent cx="2886075" cy="20383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886477" cy="2038634"/>
                    </a:xfrm>
                    <a:prstGeom prst="rect">
                      <a:avLst/>
                    </a:prstGeom>
                  </pic:spPr>
                </pic:pic>
              </a:graphicData>
            </a:graphic>
          </wp:inline>
        </w:drawing>
      </w:r>
    </w:p>
    <w:p w14:paraId="4B6BCB2A" w14:textId="77777777" w:rsidR="00934AEC" w:rsidRPr="00934AEC" w:rsidRDefault="00934AEC" w:rsidP="00934AEC">
      <w:pPr>
        <w:spacing w:line="276" w:lineRule="auto"/>
        <w:jc w:val="both"/>
        <w:rPr>
          <w:rFonts w:ascii="Arial" w:hAnsi="Arial" w:cs="Arial"/>
        </w:rPr>
      </w:pPr>
      <w:r w:rsidRPr="00934AEC">
        <w:rPr>
          <w:rFonts w:ascii="Arial" w:hAnsi="Arial" w:cs="Arial"/>
          <w:noProof/>
          <w:lang w:val="en-IN" w:eastAsia="en-IN" w:bidi="ta-IN"/>
        </w:rPr>
        <w:lastRenderedPageBreak/>
        <w:drawing>
          <wp:inline distT="0" distB="0" distL="0" distR="0" wp14:anchorId="6E7C068C" wp14:editId="2714131C">
            <wp:extent cx="2733675" cy="2171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734056" cy="2172003"/>
                    </a:xfrm>
                    <a:prstGeom prst="rect">
                      <a:avLst/>
                    </a:prstGeom>
                  </pic:spPr>
                </pic:pic>
              </a:graphicData>
            </a:graphic>
          </wp:inline>
        </w:drawing>
      </w:r>
      <w:r w:rsidRPr="00934AEC">
        <w:rPr>
          <w:rFonts w:ascii="Arial" w:hAnsi="Arial" w:cs="Arial"/>
        </w:rPr>
        <w:t xml:space="preserve">        </w:t>
      </w:r>
      <w:r w:rsidRPr="00934AEC">
        <w:rPr>
          <w:rFonts w:ascii="Arial" w:hAnsi="Arial" w:cs="Arial"/>
          <w:noProof/>
          <w:lang w:val="en-IN" w:eastAsia="en-IN" w:bidi="ta-IN"/>
        </w:rPr>
        <w:drawing>
          <wp:inline distT="0" distB="0" distL="0" distR="0" wp14:anchorId="482DE287" wp14:editId="23582837">
            <wp:extent cx="2867025" cy="22574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867425" cy="2257740"/>
                    </a:xfrm>
                    <a:prstGeom prst="rect">
                      <a:avLst/>
                    </a:prstGeom>
                  </pic:spPr>
                </pic:pic>
              </a:graphicData>
            </a:graphic>
          </wp:inline>
        </w:drawing>
      </w:r>
    </w:p>
    <w:p w14:paraId="015DD916" w14:textId="77777777" w:rsidR="00934AEC" w:rsidRPr="00934AEC" w:rsidRDefault="00934AEC" w:rsidP="00934AEC">
      <w:pPr>
        <w:spacing w:line="276" w:lineRule="auto"/>
        <w:jc w:val="both"/>
        <w:rPr>
          <w:rFonts w:ascii="Arial" w:hAnsi="Arial" w:cs="Arial"/>
        </w:rPr>
      </w:pPr>
      <w:r w:rsidRPr="00934AEC">
        <w:rPr>
          <w:rFonts w:ascii="Arial" w:hAnsi="Arial" w:cs="Arial"/>
          <w:noProof/>
          <w:lang w:val="en-IN" w:eastAsia="en-IN" w:bidi="ta-IN"/>
        </w:rPr>
        <w:lastRenderedPageBreak/>
        <w:drawing>
          <wp:inline distT="0" distB="0" distL="0" distR="0" wp14:anchorId="080B914A" wp14:editId="3ED1660D">
            <wp:extent cx="2695575" cy="22669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695952" cy="2267267"/>
                    </a:xfrm>
                    <a:prstGeom prst="rect">
                      <a:avLst/>
                    </a:prstGeom>
                  </pic:spPr>
                </pic:pic>
              </a:graphicData>
            </a:graphic>
          </wp:inline>
        </w:drawing>
      </w:r>
      <w:r w:rsidRPr="00934AEC">
        <w:rPr>
          <w:rFonts w:ascii="Arial" w:hAnsi="Arial" w:cs="Arial"/>
        </w:rPr>
        <w:t xml:space="preserve">           </w:t>
      </w:r>
      <w:r w:rsidRPr="00934AEC">
        <w:rPr>
          <w:rFonts w:ascii="Arial" w:hAnsi="Arial" w:cs="Arial"/>
          <w:noProof/>
          <w:lang w:val="en-IN" w:eastAsia="en-IN" w:bidi="ta-IN"/>
        </w:rPr>
        <w:drawing>
          <wp:inline distT="0" distB="0" distL="0" distR="0" wp14:anchorId="0244D3F9" wp14:editId="2584A35E">
            <wp:extent cx="2762250" cy="21812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762636" cy="2181530"/>
                    </a:xfrm>
                    <a:prstGeom prst="rect">
                      <a:avLst/>
                    </a:prstGeom>
                  </pic:spPr>
                </pic:pic>
              </a:graphicData>
            </a:graphic>
          </wp:inline>
        </w:drawing>
      </w:r>
    </w:p>
    <w:p w14:paraId="085DD7C5" w14:textId="77777777" w:rsidR="00934AEC" w:rsidRPr="00934AEC" w:rsidRDefault="00934AEC" w:rsidP="00934AEC">
      <w:pPr>
        <w:spacing w:line="276" w:lineRule="auto"/>
        <w:jc w:val="both"/>
        <w:rPr>
          <w:rFonts w:ascii="Arial" w:hAnsi="Arial" w:cs="Arial"/>
        </w:rPr>
      </w:pPr>
      <w:r>
        <w:rPr>
          <w:rFonts w:ascii="Arial" w:hAnsi="Arial" w:cs="Arial"/>
          <w:noProof/>
        </w:rPr>
        <w:t>Fig</w:t>
      </w:r>
      <w:r w:rsidRPr="00934AEC">
        <w:rPr>
          <w:rFonts w:ascii="Arial" w:hAnsi="Arial" w:cs="Arial"/>
          <w:noProof/>
        </w:rPr>
        <w:t xml:space="preserve"> 3: RMSD plot of </w:t>
      </w:r>
      <w:r w:rsidRPr="00934AEC">
        <w:rPr>
          <w:rFonts w:ascii="Arial" w:hAnsi="Arial" w:cs="Arial"/>
        </w:rPr>
        <w:t>taraxasterol-2J7U (a), RMSD plot of bryophynol-2J7U (b), taraxasterol-2J7U (a), RMSF plot of bryophynol-2J7U (b), taraxasterol-2J7U (a), interaction plot of bryophynol-2J7U (b)</w:t>
      </w:r>
    </w:p>
    <w:p w14:paraId="132B4B94" w14:textId="77777777" w:rsidR="00934AEC" w:rsidRPr="00934AEC" w:rsidRDefault="00934AEC" w:rsidP="00934AEC">
      <w:pPr>
        <w:spacing w:line="276" w:lineRule="auto"/>
        <w:jc w:val="both"/>
        <w:rPr>
          <w:rFonts w:ascii="Arial" w:hAnsi="Arial" w:cs="Arial"/>
        </w:rPr>
      </w:pPr>
      <w:r w:rsidRPr="00934AEC">
        <w:rPr>
          <w:rFonts w:ascii="Arial" w:hAnsi="Arial" w:cs="Arial"/>
        </w:rPr>
        <w:t>In the MD simulation of taraxasterol-2J7U complex, the RMSD plot showed that a conspicuous deviation between 0-18 ns followed by a consistent stability up to 150 ns (</w:t>
      </w:r>
      <w:r w:rsidRPr="00934AEC">
        <w:rPr>
          <w:rFonts w:ascii="Arial" w:hAnsi="Arial" w:cs="Arial"/>
          <w:noProof/>
        </w:rPr>
        <w:t xml:space="preserve">Figure </w:t>
      </w:r>
      <w:r w:rsidRPr="00934AEC">
        <w:rPr>
          <w:rFonts w:ascii="Arial" w:hAnsi="Arial" w:cs="Arial"/>
        </w:rPr>
        <w:t>4a). The RMSF plot showed the protein was stable with slight fluctuation and ranged between 0.5 – 5.0 Å (</w:t>
      </w:r>
      <w:r w:rsidRPr="00934AEC">
        <w:rPr>
          <w:rFonts w:ascii="Arial" w:hAnsi="Arial" w:cs="Arial"/>
          <w:noProof/>
        </w:rPr>
        <w:t xml:space="preserve">Figure </w:t>
      </w:r>
      <w:r w:rsidRPr="00934AEC">
        <w:rPr>
          <w:rFonts w:ascii="Arial" w:hAnsi="Arial" w:cs="Arial"/>
        </w:rPr>
        <w:t>4a). The interaction diagram showed that appreciable hydrophobic interactions were observed between the phytochemical and Ile320, Val337, Ala341, Met342, Pro347, Phe324-ethyl-desmosterol, and Pro582, hydrogen bond interaction with Gly586, and water bridge Ser317, Ser318, Ala341, Gln580, Arg581, Thr583, Gly586, Thr587 and Val588 (</w:t>
      </w:r>
      <w:r w:rsidRPr="00934AEC">
        <w:rPr>
          <w:rFonts w:ascii="Arial" w:hAnsi="Arial" w:cs="Arial"/>
          <w:noProof/>
        </w:rPr>
        <w:t xml:space="preserve">Figure </w:t>
      </w:r>
      <w:r w:rsidRPr="00934AEC">
        <w:rPr>
          <w:rFonts w:ascii="Arial" w:hAnsi="Arial" w:cs="Arial"/>
        </w:rPr>
        <w:t>4a). Also, the RMSD plot obtained from the 150 ns MD simulation of bryophynol-2J7U complex showed that the ligand initially deviated from 0 – 18 ns and became stable up to 90 ns. However, fluctuations were observed between 91 – 103 ns and 138 to 150 ns (</w:t>
      </w:r>
      <w:r w:rsidRPr="00934AEC">
        <w:rPr>
          <w:rFonts w:ascii="Arial" w:hAnsi="Arial" w:cs="Arial"/>
          <w:noProof/>
        </w:rPr>
        <w:t xml:space="preserve">Figure </w:t>
      </w:r>
      <w:r w:rsidRPr="00934AEC">
        <w:rPr>
          <w:rFonts w:ascii="Arial" w:hAnsi="Arial" w:cs="Arial"/>
        </w:rPr>
        <w:t>4b). The RMSF plot showed that the protein was stable and its value ranged between 0.8 to 5.4 Å (</w:t>
      </w:r>
      <w:r w:rsidRPr="00934AEC">
        <w:rPr>
          <w:rFonts w:ascii="Arial" w:hAnsi="Arial" w:cs="Arial"/>
          <w:noProof/>
        </w:rPr>
        <w:t xml:space="preserve">Figure </w:t>
      </w:r>
      <w:r w:rsidRPr="00934AEC">
        <w:rPr>
          <w:rFonts w:ascii="Arial" w:hAnsi="Arial" w:cs="Arial"/>
        </w:rPr>
        <w:t>4b). In the interaction plot, hydrogen bond interactions were observed between the ligand and Arg770, Arg773, Trp833 and Tyr838, hydrophobic interactions with Leu774, Ile867 and Met883, and water bridge interactions with Arg770, Arg773, Trp833, Glu834, Tyr838, and Arg856 (</w:t>
      </w:r>
      <w:r w:rsidRPr="00934AEC">
        <w:rPr>
          <w:rFonts w:ascii="Arial" w:hAnsi="Arial" w:cs="Arial"/>
          <w:noProof/>
        </w:rPr>
        <w:t xml:space="preserve">Figure </w:t>
      </w:r>
      <w:r w:rsidRPr="00934AEC">
        <w:rPr>
          <w:rFonts w:ascii="Arial" w:hAnsi="Arial" w:cs="Arial"/>
        </w:rPr>
        <w:t xml:space="preserve">4b). </w:t>
      </w:r>
    </w:p>
    <w:p w14:paraId="7EFF35C8" w14:textId="77777777" w:rsidR="00934AEC" w:rsidRPr="00934AEC" w:rsidRDefault="00934AEC" w:rsidP="00934AEC">
      <w:pPr>
        <w:spacing w:line="276" w:lineRule="auto"/>
        <w:jc w:val="both"/>
        <w:rPr>
          <w:rFonts w:ascii="Arial" w:hAnsi="Arial" w:cs="Arial"/>
        </w:rPr>
      </w:pPr>
    </w:p>
    <w:p w14:paraId="1FBF2704" w14:textId="77777777" w:rsidR="00934AEC" w:rsidRPr="00934AEC" w:rsidRDefault="00934AEC" w:rsidP="00934AEC">
      <w:pPr>
        <w:spacing w:line="276" w:lineRule="auto"/>
        <w:jc w:val="both"/>
        <w:rPr>
          <w:rFonts w:ascii="Arial" w:hAnsi="Arial" w:cs="Arial"/>
        </w:rPr>
      </w:pPr>
      <w:r w:rsidRPr="00934AEC">
        <w:rPr>
          <w:rFonts w:ascii="Arial" w:hAnsi="Arial" w:cs="Arial"/>
          <w:noProof/>
          <w:lang w:val="en-IN" w:eastAsia="en-IN" w:bidi="ta-IN"/>
        </w:rPr>
        <w:lastRenderedPageBreak/>
        <w:drawing>
          <wp:inline distT="0" distB="0" distL="0" distR="0" wp14:anchorId="6C7C118F" wp14:editId="6EBA8592">
            <wp:extent cx="2809875" cy="21621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810267" cy="2162477"/>
                    </a:xfrm>
                    <a:prstGeom prst="rect">
                      <a:avLst/>
                    </a:prstGeom>
                  </pic:spPr>
                </pic:pic>
              </a:graphicData>
            </a:graphic>
          </wp:inline>
        </w:drawing>
      </w:r>
      <w:r w:rsidRPr="00934AEC">
        <w:rPr>
          <w:rFonts w:ascii="Arial" w:hAnsi="Arial" w:cs="Arial"/>
        </w:rPr>
        <w:t xml:space="preserve">      </w:t>
      </w:r>
      <w:r w:rsidRPr="00934AEC">
        <w:rPr>
          <w:rFonts w:ascii="Arial" w:hAnsi="Arial" w:cs="Arial"/>
          <w:noProof/>
          <w:lang w:val="en-IN" w:eastAsia="en-IN" w:bidi="ta-IN"/>
        </w:rPr>
        <w:drawing>
          <wp:inline distT="0" distB="0" distL="0" distR="0" wp14:anchorId="04A31E2A" wp14:editId="00C8E8EF">
            <wp:extent cx="2886075" cy="21717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886478" cy="2172003"/>
                    </a:xfrm>
                    <a:prstGeom prst="rect">
                      <a:avLst/>
                    </a:prstGeom>
                  </pic:spPr>
                </pic:pic>
              </a:graphicData>
            </a:graphic>
          </wp:inline>
        </w:drawing>
      </w:r>
    </w:p>
    <w:p w14:paraId="03488F29" w14:textId="77777777" w:rsidR="00934AEC" w:rsidRPr="00934AEC" w:rsidRDefault="00934AEC" w:rsidP="00934AEC">
      <w:pPr>
        <w:spacing w:line="276" w:lineRule="auto"/>
        <w:jc w:val="both"/>
        <w:rPr>
          <w:rFonts w:ascii="Arial" w:hAnsi="Arial" w:cs="Arial"/>
        </w:rPr>
      </w:pPr>
      <w:r w:rsidRPr="00934AEC">
        <w:rPr>
          <w:rFonts w:ascii="Arial" w:hAnsi="Arial" w:cs="Arial"/>
          <w:noProof/>
          <w:lang w:val="en-IN" w:eastAsia="en-IN" w:bidi="ta-IN"/>
        </w:rPr>
        <w:lastRenderedPageBreak/>
        <w:drawing>
          <wp:inline distT="0" distB="0" distL="0" distR="0" wp14:anchorId="369CCABA" wp14:editId="381A1A5D">
            <wp:extent cx="2752725" cy="24860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753109" cy="2486372"/>
                    </a:xfrm>
                    <a:prstGeom prst="rect">
                      <a:avLst/>
                    </a:prstGeom>
                  </pic:spPr>
                </pic:pic>
              </a:graphicData>
            </a:graphic>
          </wp:inline>
        </w:drawing>
      </w:r>
      <w:r w:rsidRPr="00934AEC">
        <w:rPr>
          <w:rFonts w:ascii="Arial" w:hAnsi="Arial" w:cs="Arial"/>
        </w:rPr>
        <w:t xml:space="preserve">       </w:t>
      </w:r>
      <w:r w:rsidRPr="00934AEC">
        <w:rPr>
          <w:rFonts w:ascii="Arial" w:hAnsi="Arial" w:cs="Arial"/>
          <w:noProof/>
          <w:lang w:val="en-IN" w:eastAsia="en-IN" w:bidi="ta-IN"/>
        </w:rPr>
        <w:drawing>
          <wp:inline distT="0" distB="0" distL="0" distR="0" wp14:anchorId="5C722A17" wp14:editId="22C59910">
            <wp:extent cx="2895600" cy="2428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896004" cy="2429214"/>
                    </a:xfrm>
                    <a:prstGeom prst="rect">
                      <a:avLst/>
                    </a:prstGeom>
                  </pic:spPr>
                </pic:pic>
              </a:graphicData>
            </a:graphic>
          </wp:inline>
        </w:drawing>
      </w:r>
    </w:p>
    <w:p w14:paraId="11A8CF0B" w14:textId="77777777" w:rsidR="00934AEC" w:rsidRPr="00934AEC" w:rsidRDefault="00934AEC" w:rsidP="00934AEC">
      <w:pPr>
        <w:spacing w:line="276" w:lineRule="auto"/>
        <w:jc w:val="both"/>
        <w:rPr>
          <w:rFonts w:ascii="Arial" w:hAnsi="Arial" w:cs="Arial"/>
        </w:rPr>
      </w:pPr>
      <w:r w:rsidRPr="00934AEC">
        <w:rPr>
          <w:rFonts w:ascii="Arial" w:hAnsi="Arial" w:cs="Arial"/>
          <w:noProof/>
          <w:lang w:val="en-IN" w:eastAsia="en-IN" w:bidi="ta-IN"/>
        </w:rPr>
        <w:lastRenderedPageBreak/>
        <w:drawing>
          <wp:inline distT="0" distB="0" distL="0" distR="0" wp14:anchorId="118DB316" wp14:editId="041C1648">
            <wp:extent cx="2781300" cy="2247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781689" cy="2248214"/>
                    </a:xfrm>
                    <a:prstGeom prst="rect">
                      <a:avLst/>
                    </a:prstGeom>
                  </pic:spPr>
                </pic:pic>
              </a:graphicData>
            </a:graphic>
          </wp:inline>
        </w:drawing>
      </w:r>
      <w:r w:rsidRPr="00934AEC">
        <w:rPr>
          <w:rFonts w:ascii="Arial" w:hAnsi="Arial" w:cs="Arial"/>
        </w:rPr>
        <w:t xml:space="preserve">       </w:t>
      </w:r>
      <w:r w:rsidRPr="00934AEC">
        <w:rPr>
          <w:rFonts w:ascii="Arial" w:hAnsi="Arial" w:cs="Arial"/>
          <w:noProof/>
          <w:lang w:val="en-IN" w:eastAsia="en-IN" w:bidi="ta-IN"/>
        </w:rPr>
        <w:drawing>
          <wp:inline distT="0" distB="0" distL="0" distR="0" wp14:anchorId="448F7FFA" wp14:editId="502D8006">
            <wp:extent cx="2895600" cy="2247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896004" cy="2248214"/>
                    </a:xfrm>
                    <a:prstGeom prst="rect">
                      <a:avLst/>
                    </a:prstGeom>
                  </pic:spPr>
                </pic:pic>
              </a:graphicData>
            </a:graphic>
          </wp:inline>
        </w:drawing>
      </w:r>
    </w:p>
    <w:p w14:paraId="141BA6DA" w14:textId="77777777" w:rsidR="00934AEC" w:rsidRPr="00934AEC" w:rsidRDefault="00934AEC" w:rsidP="00934AEC">
      <w:pPr>
        <w:spacing w:line="276" w:lineRule="auto"/>
        <w:jc w:val="both"/>
        <w:rPr>
          <w:rFonts w:ascii="Arial" w:hAnsi="Arial" w:cs="Arial"/>
        </w:rPr>
      </w:pPr>
      <w:r>
        <w:rPr>
          <w:rFonts w:ascii="Arial" w:hAnsi="Arial" w:cs="Arial"/>
          <w:noProof/>
        </w:rPr>
        <w:t>Fig</w:t>
      </w:r>
      <w:r w:rsidRPr="00934AEC">
        <w:rPr>
          <w:rFonts w:ascii="Arial" w:hAnsi="Arial" w:cs="Arial"/>
          <w:noProof/>
        </w:rPr>
        <w:t xml:space="preserve"> </w:t>
      </w:r>
      <w:r w:rsidRPr="00934AEC">
        <w:rPr>
          <w:rFonts w:ascii="Arial" w:hAnsi="Arial" w:cs="Arial"/>
        </w:rPr>
        <w:t>4</w:t>
      </w:r>
      <w:r w:rsidRPr="00934AEC">
        <w:rPr>
          <w:rFonts w:ascii="Arial" w:hAnsi="Arial" w:cs="Arial"/>
          <w:noProof/>
        </w:rPr>
        <w:t xml:space="preserve">: RMSD plot of </w:t>
      </w:r>
      <w:r w:rsidRPr="00934AEC">
        <w:rPr>
          <w:rFonts w:ascii="Arial" w:hAnsi="Arial" w:cs="Arial"/>
        </w:rPr>
        <w:t>25-Methylstigmast-24(28)-enol-2FOM (a), RMSD plot of clerosterol-2FOM (b), 25-Methylstigmast-24(28)-enol-2FOM (a), RMSF plot of clerosterol-2FOM (b), 25-Methylstigmast-24(28)-enol-2FOM (a), interaction plot of clerosterol-2FOM (b)</w:t>
      </w:r>
    </w:p>
    <w:p w14:paraId="03DCB91D" w14:textId="77777777" w:rsidR="00505F06" w:rsidRDefault="00505F06" w:rsidP="00934AEC">
      <w:pPr>
        <w:pStyle w:val="Body"/>
        <w:spacing w:after="0" w:line="276" w:lineRule="auto"/>
        <w:rPr>
          <w:rFonts w:ascii="Arial" w:hAnsi="Arial" w:cs="Arial"/>
        </w:rPr>
      </w:pPr>
    </w:p>
    <w:p w14:paraId="45B63EB0" w14:textId="77777777" w:rsidR="00E053D0" w:rsidRDefault="00E053D0" w:rsidP="00441B6F">
      <w:pPr>
        <w:pStyle w:val="Body"/>
        <w:spacing w:after="0"/>
        <w:rPr>
          <w:rFonts w:ascii="Arial" w:hAnsi="Arial" w:cs="Arial"/>
        </w:rPr>
      </w:pPr>
    </w:p>
    <w:p w14:paraId="7B8FC5C4" w14:textId="77777777" w:rsidR="00790ADA" w:rsidRPr="00FB3A86" w:rsidRDefault="00790ADA" w:rsidP="00441B6F">
      <w:pPr>
        <w:pStyle w:val="Body"/>
        <w:spacing w:after="0"/>
        <w:rPr>
          <w:rFonts w:ascii="Arial" w:hAnsi="Arial" w:cs="Arial"/>
        </w:rPr>
      </w:pPr>
    </w:p>
    <w:p w14:paraId="55A2FC9E" w14:textId="77777777" w:rsidR="00934AEC" w:rsidRDefault="00000F8F" w:rsidP="00441B6F">
      <w:pPr>
        <w:pStyle w:val="ConcHead"/>
        <w:spacing w:after="0"/>
        <w:jc w:val="both"/>
        <w:rPr>
          <w:rFonts w:ascii="Arial" w:hAnsi="Arial" w:cs="Arial"/>
        </w:rPr>
      </w:pPr>
      <w:r>
        <w:rPr>
          <w:rFonts w:ascii="Arial" w:hAnsi="Arial" w:cs="Arial"/>
        </w:rPr>
        <w:t>4.</w:t>
      </w:r>
      <w:r w:rsidR="00934AEC">
        <w:rPr>
          <w:rFonts w:ascii="Arial" w:hAnsi="Arial" w:cs="Arial"/>
        </w:rPr>
        <w:t>0 Discussion</w:t>
      </w:r>
    </w:p>
    <w:p w14:paraId="68C22285" w14:textId="77777777" w:rsidR="00934AEC" w:rsidRPr="00934AEC" w:rsidRDefault="00934AEC" w:rsidP="00934AEC">
      <w:pPr>
        <w:spacing w:before="240" w:line="276" w:lineRule="auto"/>
        <w:jc w:val="both"/>
        <w:rPr>
          <w:rFonts w:ascii="Arial" w:hAnsi="Arial" w:cs="Arial"/>
          <w:szCs w:val="24"/>
        </w:rPr>
      </w:pPr>
      <w:commentRangeStart w:id="6"/>
      <w:r w:rsidRPr="00327A8A">
        <w:rPr>
          <w:rFonts w:ascii="Arial" w:hAnsi="Arial" w:cs="Arial"/>
          <w:color w:val="FF0000"/>
          <w:szCs w:val="24"/>
        </w:rPr>
        <w:t xml:space="preserve">Parasitic disease is a major health burden particularly in the developing countries </w:t>
      </w:r>
      <w:proofErr w:type="gramStart"/>
      <w:r w:rsidRPr="00327A8A">
        <w:rPr>
          <w:rFonts w:ascii="Arial" w:hAnsi="Arial" w:cs="Arial"/>
          <w:color w:val="FF0000"/>
          <w:szCs w:val="24"/>
        </w:rPr>
        <w:t>(</w:t>
      </w:r>
      <w:r w:rsidRPr="00934AEC">
        <w:rPr>
          <w:rFonts w:ascii="Arial" w:hAnsi="Arial" w:cs="Arial"/>
          <w:szCs w:val="24"/>
        </w:rPr>
        <w:t xml:space="preserve"> Torgerson</w:t>
      </w:r>
      <w:proofErr w:type="gramEnd"/>
      <w:r w:rsidRPr="00934AEC">
        <w:rPr>
          <w:rFonts w:ascii="Arial" w:hAnsi="Arial" w:cs="Arial"/>
          <w:szCs w:val="24"/>
        </w:rPr>
        <w:t xml:space="preserve"> et al., 2015). </w:t>
      </w:r>
      <w:commentRangeEnd w:id="6"/>
      <w:r w:rsidR="00327A8A">
        <w:rPr>
          <w:rStyle w:val="CommentReference"/>
          <w:rFonts w:ascii="Times New Roman" w:hAnsi="Times New Roman"/>
          <w:lang w:val="nb-NO" w:eastAsia="nb-NO"/>
        </w:rPr>
        <w:commentReference w:id="6"/>
      </w:r>
      <w:r w:rsidRPr="00934AEC">
        <w:rPr>
          <w:rFonts w:ascii="Arial" w:hAnsi="Arial" w:cs="Arial"/>
          <w:szCs w:val="24"/>
        </w:rPr>
        <w:t>While some of them are categorized as neglected tropical diseases, others have received considerable attention from researchers across the globe (</w:t>
      </w:r>
      <w:proofErr w:type="spellStart"/>
      <w:r w:rsidRPr="00934AEC">
        <w:rPr>
          <w:rFonts w:ascii="Arial" w:hAnsi="Arial" w:cs="Arial"/>
          <w:szCs w:val="24"/>
        </w:rPr>
        <w:t>Miltra</w:t>
      </w:r>
      <w:proofErr w:type="spellEnd"/>
      <w:r w:rsidRPr="00934AEC">
        <w:rPr>
          <w:rFonts w:ascii="Arial" w:hAnsi="Arial" w:cs="Arial"/>
          <w:szCs w:val="24"/>
        </w:rPr>
        <w:t xml:space="preserve"> and </w:t>
      </w:r>
      <w:proofErr w:type="spellStart"/>
      <w:r w:rsidRPr="00934AEC">
        <w:rPr>
          <w:rFonts w:ascii="Arial" w:hAnsi="Arial" w:cs="Arial"/>
          <w:szCs w:val="24"/>
        </w:rPr>
        <w:t>Mawson</w:t>
      </w:r>
      <w:proofErr w:type="spellEnd"/>
      <w:r w:rsidRPr="00934AEC">
        <w:rPr>
          <w:rFonts w:ascii="Arial" w:hAnsi="Arial" w:cs="Arial"/>
          <w:szCs w:val="24"/>
        </w:rPr>
        <w:t xml:space="preserve">, 2017). Currently, most of the health challenges recorded all over the world arises from vector borne diseases. Of the over 7 million deaths are caused by vector borne diseases, mosquito borne diseases has been identified as the most dangerous and they have been identified as both carrier and transmitter of the diseases (Socha et al., 2022; </w:t>
      </w:r>
      <w:proofErr w:type="spellStart"/>
      <w:r w:rsidRPr="00934AEC">
        <w:rPr>
          <w:rFonts w:ascii="Arial" w:hAnsi="Arial" w:cs="Arial"/>
          <w:szCs w:val="24"/>
        </w:rPr>
        <w:t>Anoopkumae</w:t>
      </w:r>
      <w:proofErr w:type="spellEnd"/>
      <w:r w:rsidRPr="00934AEC">
        <w:rPr>
          <w:rFonts w:ascii="Arial" w:hAnsi="Arial" w:cs="Arial"/>
          <w:szCs w:val="24"/>
        </w:rPr>
        <w:t xml:space="preserve"> and </w:t>
      </w:r>
      <w:proofErr w:type="spellStart"/>
      <w:r w:rsidRPr="00934AEC">
        <w:rPr>
          <w:rFonts w:ascii="Arial" w:hAnsi="Arial" w:cs="Arial"/>
          <w:szCs w:val="24"/>
        </w:rPr>
        <w:t>Aneesh</w:t>
      </w:r>
      <w:proofErr w:type="spellEnd"/>
      <w:r w:rsidRPr="00934AEC">
        <w:rPr>
          <w:rFonts w:ascii="Arial" w:hAnsi="Arial" w:cs="Arial"/>
          <w:szCs w:val="24"/>
        </w:rPr>
        <w:t xml:space="preserve">, 2022). Dengue virus is one of the diseases majorly transmitted by </w:t>
      </w:r>
      <w:r w:rsidRPr="00934AEC">
        <w:rPr>
          <w:rFonts w:ascii="Arial" w:hAnsi="Arial" w:cs="Arial"/>
          <w:i/>
          <w:szCs w:val="24"/>
        </w:rPr>
        <w:t>Aedes aegypti</w:t>
      </w:r>
      <w:r w:rsidRPr="00934AEC">
        <w:rPr>
          <w:rFonts w:ascii="Arial" w:hAnsi="Arial" w:cs="Arial"/>
          <w:szCs w:val="24"/>
        </w:rPr>
        <w:t xml:space="preserve"> (Powell et al., 2018).  Currently, a lot of the world’s inhabitants are infected by dengue fever and this disease is transmitted by both </w:t>
      </w:r>
      <w:r w:rsidRPr="00934AEC">
        <w:rPr>
          <w:rFonts w:ascii="Arial" w:hAnsi="Arial" w:cs="Arial"/>
          <w:i/>
          <w:szCs w:val="24"/>
        </w:rPr>
        <w:t>Aedes albopictus</w:t>
      </w:r>
      <w:r w:rsidRPr="00934AEC">
        <w:rPr>
          <w:rFonts w:ascii="Arial" w:hAnsi="Arial" w:cs="Arial"/>
          <w:szCs w:val="24"/>
        </w:rPr>
        <w:t xml:space="preserve"> and </w:t>
      </w:r>
      <w:r w:rsidRPr="00934AEC">
        <w:rPr>
          <w:rFonts w:ascii="Arial" w:hAnsi="Arial" w:cs="Arial"/>
          <w:i/>
          <w:szCs w:val="24"/>
        </w:rPr>
        <w:t xml:space="preserve">Aedes </w:t>
      </w:r>
      <w:proofErr w:type="spellStart"/>
      <w:r w:rsidRPr="00934AEC">
        <w:rPr>
          <w:rFonts w:ascii="Arial" w:hAnsi="Arial" w:cs="Arial"/>
          <w:i/>
          <w:szCs w:val="24"/>
        </w:rPr>
        <w:t>aegypti</w:t>
      </w:r>
      <w:proofErr w:type="spellEnd"/>
      <w:r w:rsidRPr="00934AEC">
        <w:rPr>
          <w:rFonts w:ascii="Arial" w:hAnsi="Arial" w:cs="Arial"/>
          <w:szCs w:val="24"/>
        </w:rPr>
        <w:t xml:space="preserve"> mosquitoes (</w:t>
      </w:r>
      <w:proofErr w:type="spellStart"/>
      <w:r w:rsidRPr="00934AEC">
        <w:rPr>
          <w:rFonts w:ascii="Arial" w:hAnsi="Arial" w:cs="Arial"/>
          <w:color w:val="222222"/>
          <w:szCs w:val="24"/>
          <w:shd w:val="clear" w:color="auto" w:fill="FFFFFF"/>
        </w:rPr>
        <w:t>Näslund</w:t>
      </w:r>
      <w:proofErr w:type="spellEnd"/>
      <w:r w:rsidRPr="00934AEC">
        <w:rPr>
          <w:rFonts w:ascii="Arial" w:hAnsi="Arial" w:cs="Arial"/>
          <w:color w:val="222222"/>
          <w:szCs w:val="24"/>
          <w:shd w:val="clear" w:color="auto" w:fill="FFFFFF"/>
        </w:rPr>
        <w:t xml:space="preserve"> et al.,2021)</w:t>
      </w:r>
      <w:r w:rsidRPr="00934AEC">
        <w:rPr>
          <w:rFonts w:ascii="Arial" w:hAnsi="Arial" w:cs="Arial"/>
          <w:szCs w:val="24"/>
        </w:rPr>
        <w:t xml:space="preserve">. Dengue fever can lead to death of any carrier due to </w:t>
      </w:r>
      <w:proofErr w:type="gramStart"/>
      <w:r w:rsidRPr="00934AEC">
        <w:rPr>
          <w:rFonts w:ascii="Arial" w:hAnsi="Arial" w:cs="Arial"/>
          <w:szCs w:val="24"/>
        </w:rPr>
        <w:t>its</w:t>
      </w:r>
      <w:proofErr w:type="gramEnd"/>
      <w:r w:rsidRPr="00934AEC">
        <w:rPr>
          <w:rFonts w:ascii="Arial" w:hAnsi="Arial" w:cs="Arial"/>
          <w:szCs w:val="24"/>
        </w:rPr>
        <w:t xml:space="preserve"> prolong existence in the host (Khetarpal and Khanna, 2016). The treatment of dengue fever </w:t>
      </w:r>
      <w:r w:rsidRPr="00934AEC">
        <w:rPr>
          <w:rFonts w:ascii="Arial" w:hAnsi="Arial" w:cs="Arial"/>
          <w:szCs w:val="24"/>
        </w:rPr>
        <w:lastRenderedPageBreak/>
        <w:t>has been challenging due to non-availability of reliable vaccine or efficient therapeutic agent administered for the treatment of the disease (</w:t>
      </w:r>
      <w:proofErr w:type="spellStart"/>
      <w:r w:rsidRPr="00934AEC">
        <w:rPr>
          <w:rFonts w:ascii="Arial" w:hAnsi="Arial" w:cs="Arial"/>
          <w:color w:val="222222"/>
          <w:szCs w:val="24"/>
          <w:shd w:val="clear" w:color="auto" w:fill="FFFFFF"/>
        </w:rPr>
        <w:t>Shridhar</w:t>
      </w:r>
      <w:proofErr w:type="spellEnd"/>
      <w:r w:rsidRPr="00934AEC">
        <w:rPr>
          <w:rFonts w:ascii="Arial" w:hAnsi="Arial" w:cs="Arial"/>
          <w:color w:val="222222"/>
          <w:szCs w:val="24"/>
          <w:shd w:val="clear" w:color="auto" w:fill="FFFFFF"/>
        </w:rPr>
        <w:t xml:space="preserve"> </w:t>
      </w:r>
      <w:proofErr w:type="spellStart"/>
      <w:r w:rsidRPr="00934AEC">
        <w:rPr>
          <w:rFonts w:ascii="Arial" w:hAnsi="Arial" w:cs="Arial"/>
          <w:color w:val="222222"/>
          <w:szCs w:val="24"/>
          <w:shd w:val="clear" w:color="auto" w:fill="FFFFFF"/>
        </w:rPr>
        <w:t>Pattar</w:t>
      </w:r>
      <w:proofErr w:type="spellEnd"/>
      <w:r w:rsidRPr="00934AEC">
        <w:rPr>
          <w:rFonts w:ascii="Arial" w:hAnsi="Arial" w:cs="Arial"/>
          <w:color w:val="222222"/>
          <w:szCs w:val="24"/>
          <w:shd w:val="clear" w:color="auto" w:fill="FFFFFF"/>
        </w:rPr>
        <w:t xml:space="preserve"> et al., 2024)</w:t>
      </w:r>
      <w:r w:rsidRPr="00934AEC">
        <w:rPr>
          <w:rFonts w:ascii="Arial" w:hAnsi="Arial" w:cs="Arial"/>
          <w:szCs w:val="24"/>
        </w:rPr>
        <w:t xml:space="preserve">. Therefore, there has been consistent effort to identify new drug lead that can both terminate the growth of </w:t>
      </w:r>
      <w:r w:rsidRPr="00934AEC">
        <w:rPr>
          <w:rFonts w:ascii="Arial" w:hAnsi="Arial" w:cs="Arial"/>
          <w:i/>
          <w:szCs w:val="24"/>
        </w:rPr>
        <w:t>Aedes aegypti</w:t>
      </w:r>
      <w:r w:rsidRPr="00934AEC">
        <w:rPr>
          <w:rFonts w:ascii="Arial" w:hAnsi="Arial" w:cs="Arial"/>
          <w:szCs w:val="24"/>
        </w:rPr>
        <w:t xml:space="preserve"> mosquitoes from larva to pupa and to adult as well as the treatment of dengue fever. Hence, this study focuses extensively on the identification of new drug candidate that can inhibit the growth of </w:t>
      </w:r>
      <w:r w:rsidRPr="00934AEC">
        <w:rPr>
          <w:rFonts w:ascii="Arial" w:hAnsi="Arial" w:cs="Arial"/>
          <w:i/>
          <w:szCs w:val="24"/>
        </w:rPr>
        <w:t>Aedes aegypti</w:t>
      </w:r>
      <w:r w:rsidRPr="00934AEC">
        <w:rPr>
          <w:rFonts w:ascii="Arial" w:hAnsi="Arial" w:cs="Arial"/>
          <w:szCs w:val="24"/>
        </w:rPr>
        <w:t xml:space="preserve"> larva and effectively treat dengue fever.</w:t>
      </w:r>
    </w:p>
    <w:p w14:paraId="7AB34272" w14:textId="77777777" w:rsidR="00934AEC" w:rsidRPr="00934AEC" w:rsidRDefault="00934AEC" w:rsidP="00934AEC">
      <w:pPr>
        <w:spacing w:line="276" w:lineRule="auto"/>
        <w:jc w:val="both"/>
        <w:rPr>
          <w:rFonts w:ascii="Arial" w:hAnsi="Arial" w:cs="Arial"/>
          <w:szCs w:val="24"/>
        </w:rPr>
      </w:pPr>
      <w:r w:rsidRPr="00934AEC">
        <w:rPr>
          <w:rFonts w:ascii="Arial" w:hAnsi="Arial" w:cs="Arial"/>
          <w:szCs w:val="24"/>
        </w:rPr>
        <w:t>Medicinal plants have proven its effectiveness in the treatment of diseases. One of the major businesses of these plants is to synthesize phytochemicals which are not only beneficial to their existence and adaptation to environmental pressure, but also vital for the overall wellbeing of humans (Sharma, 2024;</w:t>
      </w:r>
      <w:r w:rsidRPr="00934AEC">
        <w:rPr>
          <w:rFonts w:ascii="Arial" w:hAnsi="Arial" w:cs="Arial"/>
          <w:color w:val="222222"/>
          <w:szCs w:val="24"/>
          <w:shd w:val="clear" w:color="auto" w:fill="FFFFFF"/>
        </w:rPr>
        <w:t xml:space="preserve"> </w:t>
      </w:r>
      <w:proofErr w:type="spellStart"/>
      <w:r w:rsidRPr="00934AEC">
        <w:rPr>
          <w:rFonts w:ascii="Arial" w:hAnsi="Arial" w:cs="Arial"/>
          <w:color w:val="222222"/>
          <w:szCs w:val="24"/>
          <w:shd w:val="clear" w:color="auto" w:fill="FFFFFF"/>
        </w:rPr>
        <w:t>Santhirave</w:t>
      </w:r>
      <w:proofErr w:type="spellEnd"/>
      <w:r w:rsidRPr="00934AEC">
        <w:rPr>
          <w:rFonts w:ascii="Arial" w:hAnsi="Arial" w:cs="Arial"/>
          <w:color w:val="222222"/>
          <w:szCs w:val="24"/>
          <w:shd w:val="clear" w:color="auto" w:fill="FFFFFF"/>
        </w:rPr>
        <w:t xml:space="preserve"> et al., 2022).</w:t>
      </w:r>
      <w:r w:rsidRPr="00934AEC">
        <w:rPr>
          <w:rFonts w:ascii="Arial" w:hAnsi="Arial" w:cs="Arial"/>
          <w:szCs w:val="24"/>
        </w:rPr>
        <w:t xml:space="preserve"> Notably, medicinal plant and their compounds have been identified as potential candidate as larvicides and the treatment of parasitic diseases. So far, several successes have been recorded in the treatment of plant derived drugs in the treatment of parasitic disease like malaria. However, considerable attention has not been placed on other parasitic disease like dengue fever and the control of its carrier (</w:t>
      </w:r>
      <w:r w:rsidRPr="00934AEC">
        <w:rPr>
          <w:rFonts w:ascii="Arial" w:hAnsi="Arial" w:cs="Arial"/>
          <w:i/>
          <w:szCs w:val="24"/>
        </w:rPr>
        <w:t>Aedes aegypti</w:t>
      </w:r>
      <w:r w:rsidRPr="00934AEC">
        <w:rPr>
          <w:rFonts w:ascii="Arial" w:hAnsi="Arial" w:cs="Arial"/>
          <w:szCs w:val="24"/>
        </w:rPr>
        <w:t xml:space="preserve">) due to the fact that they are mostly prevalent in developing or poor countries (Benelli and Mehlhorn, 2016; Segura et al., 2021). Furthermore, pharmaceutical industries have also invested little resources in the discovery of therapeutic agents against these neglected tropical diseases because majority of the inhabitants of the developing countries cannot afford the drugs (Weng et al., 2018; Mukherjee, 2023). Hence, most of the patients of dengue fever depend on the use of medicinal plants as remedy for the disease (Saleh and </w:t>
      </w:r>
      <w:proofErr w:type="spellStart"/>
      <w:r w:rsidRPr="00934AEC">
        <w:rPr>
          <w:rFonts w:ascii="Arial" w:hAnsi="Arial" w:cs="Arial"/>
          <w:szCs w:val="24"/>
        </w:rPr>
        <w:t>Kamisah</w:t>
      </w:r>
      <w:proofErr w:type="spellEnd"/>
      <w:r w:rsidRPr="00934AEC">
        <w:rPr>
          <w:rFonts w:ascii="Arial" w:hAnsi="Arial" w:cs="Arial"/>
          <w:szCs w:val="24"/>
        </w:rPr>
        <w:t xml:space="preserve">, 2021). While some of these plants and their compounds have been assayed for their effectiveness as larvicides, only little has been done to explore their ability to perform dual action as larvicide and anti-dengue fever agent. Therefore, this study identified the chemical constituents that can effectively act as larvicide and also inhibit dengue virus majorly transmitted by </w:t>
      </w:r>
      <w:r w:rsidRPr="00934AEC">
        <w:rPr>
          <w:rFonts w:ascii="Arial" w:hAnsi="Arial" w:cs="Arial"/>
          <w:i/>
          <w:szCs w:val="24"/>
        </w:rPr>
        <w:t>Aedes aegypti</w:t>
      </w:r>
      <w:r w:rsidRPr="00934AEC">
        <w:rPr>
          <w:rFonts w:ascii="Arial" w:hAnsi="Arial" w:cs="Arial"/>
          <w:szCs w:val="24"/>
        </w:rPr>
        <w:t>.</w:t>
      </w:r>
    </w:p>
    <w:p w14:paraId="4A091277" w14:textId="77777777" w:rsidR="00934AEC" w:rsidRPr="00934AEC" w:rsidRDefault="00934AEC" w:rsidP="00934AEC">
      <w:pPr>
        <w:spacing w:line="276" w:lineRule="auto"/>
        <w:jc w:val="both"/>
        <w:rPr>
          <w:rFonts w:ascii="Arial" w:hAnsi="Arial" w:cs="Arial"/>
          <w:szCs w:val="24"/>
        </w:rPr>
      </w:pPr>
      <w:r w:rsidRPr="00934AEC">
        <w:rPr>
          <w:rFonts w:ascii="Arial" w:hAnsi="Arial" w:cs="Arial"/>
          <w:szCs w:val="24"/>
        </w:rPr>
        <w:t>Molecular docking has become a unique strategy for identifying potent drug candidates that can effectively treat various life-threatening diseases (</w:t>
      </w:r>
      <w:proofErr w:type="spellStart"/>
      <w:r w:rsidRPr="00934AEC">
        <w:rPr>
          <w:rFonts w:ascii="Arial" w:hAnsi="Arial" w:cs="Arial"/>
          <w:szCs w:val="24"/>
        </w:rPr>
        <w:t>Famuyiwa</w:t>
      </w:r>
      <w:proofErr w:type="spellEnd"/>
      <w:r w:rsidRPr="00934AEC">
        <w:rPr>
          <w:rFonts w:ascii="Arial" w:hAnsi="Arial" w:cs="Arial"/>
          <w:szCs w:val="24"/>
        </w:rPr>
        <w:t xml:space="preserve"> et al., 2023). This method is not only useful in identifying therapeutic agents but also helps in drug repurposing and elucidating the mechanism of action of potential drug candidates (</w:t>
      </w:r>
      <w:proofErr w:type="spellStart"/>
      <w:r w:rsidRPr="00934AEC">
        <w:rPr>
          <w:rFonts w:ascii="Arial" w:hAnsi="Arial" w:cs="Arial"/>
          <w:szCs w:val="24"/>
        </w:rPr>
        <w:t>Famuyiwa</w:t>
      </w:r>
      <w:proofErr w:type="spellEnd"/>
      <w:r w:rsidRPr="00934AEC">
        <w:rPr>
          <w:rFonts w:ascii="Arial" w:hAnsi="Arial" w:cs="Arial"/>
          <w:szCs w:val="24"/>
        </w:rPr>
        <w:t xml:space="preserve"> et al., 2025). In this study, molecular docking studies were performed on </w:t>
      </w:r>
      <w:r w:rsidRPr="00934AEC">
        <w:rPr>
          <w:rFonts w:ascii="Arial" w:hAnsi="Arial" w:cs="Arial"/>
          <w:i/>
          <w:szCs w:val="24"/>
        </w:rPr>
        <w:t>Aedes aegypti</w:t>
      </w:r>
      <w:r w:rsidRPr="00934AEC">
        <w:rPr>
          <w:rFonts w:ascii="Arial" w:hAnsi="Arial" w:cs="Arial"/>
          <w:szCs w:val="24"/>
        </w:rPr>
        <w:t xml:space="preserve"> receptor as well as two isoforms of dengue virus. In the docking studies of the phytochemicals against </w:t>
      </w:r>
      <w:proofErr w:type="spellStart"/>
      <w:r w:rsidRPr="00934AEC">
        <w:rPr>
          <w:rFonts w:ascii="Arial" w:hAnsi="Arial" w:cs="Arial"/>
          <w:i/>
          <w:szCs w:val="24"/>
        </w:rPr>
        <w:t>Aedes</w:t>
      </w:r>
      <w:proofErr w:type="spellEnd"/>
      <w:r w:rsidRPr="00934AEC">
        <w:rPr>
          <w:rFonts w:ascii="Arial" w:hAnsi="Arial" w:cs="Arial"/>
          <w:i/>
          <w:szCs w:val="24"/>
        </w:rPr>
        <w:t xml:space="preserve"> </w:t>
      </w:r>
      <w:proofErr w:type="spellStart"/>
      <w:r w:rsidRPr="00934AEC">
        <w:rPr>
          <w:rFonts w:ascii="Arial" w:hAnsi="Arial" w:cs="Arial"/>
          <w:i/>
          <w:szCs w:val="24"/>
        </w:rPr>
        <w:t>aegypti</w:t>
      </w:r>
      <w:proofErr w:type="spellEnd"/>
      <w:r w:rsidRPr="00934AEC">
        <w:rPr>
          <w:rFonts w:ascii="Arial" w:hAnsi="Arial" w:cs="Arial"/>
          <w:szCs w:val="24"/>
        </w:rPr>
        <w:t xml:space="preserve">, </w:t>
      </w:r>
      <w:proofErr w:type="spellStart"/>
      <w:r w:rsidRPr="00934AEC">
        <w:rPr>
          <w:rFonts w:ascii="Arial" w:hAnsi="Arial" w:cs="Arial"/>
          <w:szCs w:val="24"/>
        </w:rPr>
        <w:t>Clerosterol</w:t>
      </w:r>
      <w:proofErr w:type="spellEnd"/>
      <w:r w:rsidRPr="00934AEC">
        <w:rPr>
          <w:rFonts w:ascii="Arial" w:hAnsi="Arial" w:cs="Arial"/>
          <w:szCs w:val="24"/>
        </w:rPr>
        <w:t xml:space="preserve"> and 24-ethyl-desmosterol elicited the best inhibitory potential with high binding affinity compared to other phytochemicals of </w:t>
      </w:r>
      <w:r w:rsidRPr="00934AEC">
        <w:rPr>
          <w:rFonts w:ascii="Arial" w:hAnsi="Arial" w:cs="Arial"/>
          <w:i/>
          <w:szCs w:val="24"/>
        </w:rPr>
        <w:t xml:space="preserve">B. </w:t>
      </w:r>
      <w:proofErr w:type="spellStart"/>
      <w:r w:rsidRPr="00934AEC">
        <w:rPr>
          <w:rFonts w:ascii="Arial" w:hAnsi="Arial" w:cs="Arial"/>
          <w:i/>
          <w:szCs w:val="24"/>
        </w:rPr>
        <w:t>pinnatum</w:t>
      </w:r>
      <w:proofErr w:type="spellEnd"/>
      <w:r w:rsidRPr="00934AEC">
        <w:rPr>
          <w:rFonts w:ascii="Arial" w:hAnsi="Arial" w:cs="Arial"/>
          <w:szCs w:val="24"/>
        </w:rPr>
        <w:t xml:space="preserve"> and the reference drug. Also, hydrophobic and pi interactions were observed with the amino acid residues at the receptor’s active site. For dengue NS5 polymerase, </w:t>
      </w:r>
      <w:proofErr w:type="spellStart"/>
      <w:r w:rsidRPr="00934AEC">
        <w:rPr>
          <w:rFonts w:ascii="Arial" w:hAnsi="Arial" w:cs="Arial"/>
          <w:szCs w:val="24"/>
        </w:rPr>
        <w:t>taraxasterol</w:t>
      </w:r>
      <w:proofErr w:type="spellEnd"/>
      <w:r w:rsidRPr="00934AEC">
        <w:rPr>
          <w:rFonts w:ascii="Arial" w:hAnsi="Arial" w:cs="Arial"/>
          <w:szCs w:val="24"/>
        </w:rPr>
        <w:t xml:space="preserve"> and </w:t>
      </w:r>
      <w:proofErr w:type="spellStart"/>
      <w:r w:rsidRPr="00934AEC">
        <w:rPr>
          <w:rFonts w:ascii="Arial" w:hAnsi="Arial" w:cs="Arial"/>
          <w:szCs w:val="24"/>
        </w:rPr>
        <w:t>bryophynol</w:t>
      </w:r>
      <w:proofErr w:type="spellEnd"/>
      <w:r w:rsidRPr="00934AEC">
        <w:rPr>
          <w:rFonts w:ascii="Arial" w:hAnsi="Arial" w:cs="Arial"/>
          <w:szCs w:val="24"/>
        </w:rPr>
        <w:t xml:space="preserve"> were identified as the best inhibitor with binding affinity of -9.7 and -9.6 kcal/mol. Furthermore, the two terpenoids formed common hydrogen bond interactions with the Glu834, while </w:t>
      </w:r>
      <w:proofErr w:type="spellStart"/>
      <w:r w:rsidRPr="00934AEC">
        <w:rPr>
          <w:rFonts w:ascii="Arial" w:hAnsi="Arial" w:cs="Arial"/>
          <w:szCs w:val="24"/>
        </w:rPr>
        <w:t>bryophynol</w:t>
      </w:r>
      <w:proofErr w:type="spellEnd"/>
      <w:r w:rsidRPr="00934AEC">
        <w:rPr>
          <w:rFonts w:ascii="Arial" w:hAnsi="Arial" w:cs="Arial"/>
          <w:szCs w:val="24"/>
        </w:rPr>
        <w:t xml:space="preserve"> was stabilized at dengue NS5 polymerase binding site by participating in hydrophobic and pi-interactions. In the molecular docking studies of the phytoconstituents against dengue NS2B/NS3 protease, 25-Methylstigmast-24(28)-</w:t>
      </w:r>
      <w:proofErr w:type="spellStart"/>
      <w:r w:rsidRPr="00934AEC">
        <w:rPr>
          <w:rFonts w:ascii="Arial" w:hAnsi="Arial" w:cs="Arial"/>
          <w:szCs w:val="24"/>
        </w:rPr>
        <w:t>enol</w:t>
      </w:r>
      <w:proofErr w:type="spellEnd"/>
      <w:r w:rsidRPr="00934AEC">
        <w:rPr>
          <w:rFonts w:ascii="Arial" w:hAnsi="Arial" w:cs="Arial"/>
          <w:szCs w:val="24"/>
        </w:rPr>
        <w:t xml:space="preserve"> and </w:t>
      </w:r>
      <w:proofErr w:type="spellStart"/>
      <w:r w:rsidRPr="00934AEC">
        <w:rPr>
          <w:rFonts w:ascii="Arial" w:hAnsi="Arial" w:cs="Arial"/>
          <w:szCs w:val="24"/>
        </w:rPr>
        <w:t>clerosterol</w:t>
      </w:r>
      <w:proofErr w:type="spellEnd"/>
      <w:r w:rsidRPr="00934AEC">
        <w:rPr>
          <w:rFonts w:ascii="Arial" w:hAnsi="Arial" w:cs="Arial"/>
          <w:szCs w:val="24"/>
        </w:rPr>
        <w:t xml:space="preserve"> gave the highest binding affinity of -8.9 kcal/mol. Both compounds interacted with the residues of the dengue NS2B/NS3 through pi, hydrophobic and hydrogen bond. The binding affinity obtained for 25-Methylstigmast-24(28)-</w:t>
      </w:r>
      <w:proofErr w:type="spellStart"/>
      <w:r w:rsidRPr="00934AEC">
        <w:rPr>
          <w:rFonts w:ascii="Arial" w:hAnsi="Arial" w:cs="Arial"/>
          <w:szCs w:val="24"/>
        </w:rPr>
        <w:t>enol</w:t>
      </w:r>
      <w:proofErr w:type="spellEnd"/>
      <w:r w:rsidRPr="00934AEC">
        <w:rPr>
          <w:rFonts w:ascii="Arial" w:hAnsi="Arial" w:cs="Arial"/>
          <w:szCs w:val="24"/>
        </w:rPr>
        <w:t xml:space="preserve"> and </w:t>
      </w:r>
      <w:proofErr w:type="spellStart"/>
      <w:r w:rsidRPr="00934AEC">
        <w:rPr>
          <w:rFonts w:ascii="Arial" w:hAnsi="Arial" w:cs="Arial"/>
          <w:szCs w:val="24"/>
        </w:rPr>
        <w:t>clerosterol</w:t>
      </w:r>
      <w:proofErr w:type="spellEnd"/>
      <w:r w:rsidRPr="00934AEC">
        <w:rPr>
          <w:rFonts w:ascii="Arial" w:hAnsi="Arial" w:cs="Arial"/>
          <w:szCs w:val="24"/>
        </w:rPr>
        <w:t xml:space="preserve"> is higher than those of </w:t>
      </w:r>
      <w:proofErr w:type="spellStart"/>
      <w:r w:rsidRPr="00934AEC">
        <w:rPr>
          <w:rFonts w:ascii="Arial" w:hAnsi="Arial" w:cs="Arial"/>
          <w:szCs w:val="24"/>
        </w:rPr>
        <w:t>pinostrobin</w:t>
      </w:r>
      <w:proofErr w:type="spellEnd"/>
      <w:r w:rsidRPr="00934AEC">
        <w:rPr>
          <w:rFonts w:ascii="Arial" w:hAnsi="Arial" w:cs="Arial"/>
          <w:szCs w:val="24"/>
        </w:rPr>
        <w:t xml:space="preserve">, </w:t>
      </w:r>
      <w:proofErr w:type="spellStart"/>
      <w:r w:rsidRPr="00934AEC">
        <w:rPr>
          <w:rFonts w:ascii="Arial" w:hAnsi="Arial" w:cs="Arial"/>
          <w:szCs w:val="24"/>
        </w:rPr>
        <w:t>panduratin</w:t>
      </w:r>
      <w:proofErr w:type="spellEnd"/>
      <w:r w:rsidRPr="00934AEC">
        <w:rPr>
          <w:rFonts w:ascii="Arial" w:hAnsi="Arial" w:cs="Arial"/>
          <w:szCs w:val="24"/>
        </w:rPr>
        <w:t xml:space="preserve"> A, </w:t>
      </w:r>
      <w:proofErr w:type="spellStart"/>
      <w:r w:rsidRPr="00934AEC">
        <w:rPr>
          <w:rFonts w:ascii="Arial" w:hAnsi="Arial" w:cs="Arial"/>
          <w:szCs w:val="24"/>
        </w:rPr>
        <w:t>agathisflavone</w:t>
      </w:r>
      <w:proofErr w:type="spellEnd"/>
      <w:r w:rsidRPr="00934AEC">
        <w:rPr>
          <w:rFonts w:ascii="Arial" w:hAnsi="Arial" w:cs="Arial"/>
          <w:szCs w:val="24"/>
        </w:rPr>
        <w:t xml:space="preserve"> (Bhattarai et al., 2022). Terpenoids has been identified as good larvicidal agents due to their non-polar nature which enhance their ability </w:t>
      </w:r>
      <w:r w:rsidRPr="00934AEC">
        <w:rPr>
          <w:rFonts w:ascii="Arial" w:hAnsi="Arial" w:cs="Arial"/>
          <w:szCs w:val="24"/>
        </w:rPr>
        <w:lastRenderedPageBreak/>
        <w:t xml:space="preserve">to penetrate into the exoskeleton of the larva (Mandal and Chandra, 2024). In this study, the hit molecules selected against </w:t>
      </w:r>
      <w:r w:rsidRPr="00934AEC">
        <w:rPr>
          <w:rFonts w:ascii="Arial" w:hAnsi="Arial" w:cs="Arial"/>
          <w:i/>
          <w:szCs w:val="24"/>
        </w:rPr>
        <w:t>Aedes aegypti</w:t>
      </w:r>
      <w:r w:rsidRPr="00934AEC">
        <w:rPr>
          <w:rFonts w:ascii="Arial" w:hAnsi="Arial" w:cs="Arial"/>
          <w:szCs w:val="24"/>
        </w:rPr>
        <w:t xml:space="preserve"> are terpenoids and could effectively terminate the metamorphosis of the larva to pupa. Similarly, terpenoids has demonstrated excellent pharmacological potential due to their unique scaffold. In this study, the potential dengue virus inhibitors identified are typically terpenoids. Also, their </w:t>
      </w:r>
      <w:proofErr w:type="spellStart"/>
      <w:r w:rsidRPr="00934AEC">
        <w:rPr>
          <w:rFonts w:ascii="Arial" w:hAnsi="Arial" w:cs="Arial"/>
          <w:szCs w:val="24"/>
        </w:rPr>
        <w:t>clerosterol</w:t>
      </w:r>
      <w:proofErr w:type="spellEnd"/>
      <w:r w:rsidRPr="00934AEC">
        <w:rPr>
          <w:rFonts w:ascii="Arial" w:hAnsi="Arial" w:cs="Arial"/>
          <w:szCs w:val="24"/>
        </w:rPr>
        <w:t xml:space="preserve"> was identified as potential therapeutic agent that can perform dual action as a larvicide and dengue virus inhibitor. </w:t>
      </w:r>
    </w:p>
    <w:p w14:paraId="59162D3B" w14:textId="77777777" w:rsidR="00934AEC" w:rsidRPr="00934AEC" w:rsidRDefault="00934AEC" w:rsidP="00934AEC">
      <w:pPr>
        <w:spacing w:line="276" w:lineRule="auto"/>
        <w:jc w:val="both"/>
        <w:rPr>
          <w:rFonts w:ascii="Arial" w:hAnsi="Arial" w:cs="Arial"/>
          <w:szCs w:val="24"/>
        </w:rPr>
      </w:pPr>
      <w:r w:rsidRPr="00934AEC">
        <w:rPr>
          <w:rFonts w:ascii="Arial" w:hAnsi="Arial" w:cs="Arial"/>
          <w:szCs w:val="24"/>
        </w:rPr>
        <w:t xml:space="preserve">Molecular dynamics simulation is a well-established computational method of studying the binding mode and interactions of phytoconstituents in the receptor’s binding pocket (Stany et al., 2024). In this study, the selected hit molecules were simulated for 150ns in order to understand their stability and interactions. The RMSD plot is acquired from a typical simulated system to understand the ligand’s stability at the receptor’s binding pocket. In this study, the ligands exhibited good stability at the receptor’s binding pocket thereby indicating that they could effectively bind to the receptor in order to perform their therapeutic actions. Similarly, the RMSF plot is used in studying the changes that occurs in protein chain during simulation. Generally, the proteins were stable with slight fluctuation throughout the entire 150 ns simulation period. Important interactions like hydrogen bond, hydrophobic and water bridge are crucial to ligand’s binding and therapeutic properties. Hydrogen bond plays crucial role in ligand binding to protein’s active site, drug specificity, absorption and metabolism.  Similarly, hydrophobic interaction and water bridge contributes significantly to the binding affinity and drug candidacy of phytochemicals. </w:t>
      </w:r>
    </w:p>
    <w:p w14:paraId="42D20DA5" w14:textId="77777777" w:rsidR="00934AEC" w:rsidRDefault="00934AEC" w:rsidP="00441B6F">
      <w:pPr>
        <w:pStyle w:val="ConcHead"/>
        <w:spacing w:after="0"/>
        <w:jc w:val="both"/>
        <w:rPr>
          <w:rFonts w:ascii="Arial" w:hAnsi="Arial" w:cs="Arial"/>
        </w:rPr>
      </w:pPr>
    </w:p>
    <w:p w14:paraId="0F624B49" w14:textId="77777777" w:rsidR="00B01FCD" w:rsidRDefault="00000F8F" w:rsidP="00441B6F">
      <w:pPr>
        <w:pStyle w:val="ConcHead"/>
        <w:spacing w:after="0"/>
        <w:jc w:val="both"/>
        <w:rPr>
          <w:rFonts w:ascii="Arial" w:hAnsi="Arial" w:cs="Arial"/>
        </w:rPr>
      </w:pPr>
      <w:r>
        <w:rPr>
          <w:rFonts w:ascii="Arial" w:hAnsi="Arial" w:cs="Arial"/>
        </w:rPr>
        <w:t xml:space="preserve"> </w:t>
      </w:r>
      <w:r w:rsidR="00B01FCD" w:rsidRPr="00FB3A86">
        <w:rPr>
          <w:rFonts w:ascii="Arial" w:hAnsi="Arial" w:cs="Arial"/>
        </w:rPr>
        <w:t>Conclusion</w:t>
      </w:r>
    </w:p>
    <w:p w14:paraId="48EEE8EA" w14:textId="77777777" w:rsidR="00790ADA" w:rsidRPr="00FB3A86" w:rsidRDefault="00790ADA" w:rsidP="00441B6F">
      <w:pPr>
        <w:pStyle w:val="ConcHead"/>
        <w:spacing w:after="0"/>
        <w:jc w:val="both"/>
        <w:rPr>
          <w:rFonts w:ascii="Arial" w:hAnsi="Arial" w:cs="Arial"/>
        </w:rPr>
      </w:pPr>
    </w:p>
    <w:p w14:paraId="106A3818" w14:textId="77777777" w:rsidR="00934AEC" w:rsidRPr="00934AEC" w:rsidRDefault="00934AEC" w:rsidP="00934AEC">
      <w:pPr>
        <w:spacing w:line="276" w:lineRule="auto"/>
        <w:jc w:val="both"/>
        <w:rPr>
          <w:rFonts w:ascii="Arial" w:hAnsi="Arial" w:cs="Arial"/>
        </w:rPr>
      </w:pPr>
      <w:r w:rsidRPr="00934AEC">
        <w:rPr>
          <w:rFonts w:ascii="Arial" w:hAnsi="Arial" w:cs="Arial"/>
        </w:rPr>
        <w:t xml:space="preserve">The study examined the </w:t>
      </w:r>
      <w:proofErr w:type="spellStart"/>
      <w:r w:rsidRPr="00934AEC">
        <w:rPr>
          <w:rFonts w:ascii="Arial" w:hAnsi="Arial" w:cs="Arial"/>
        </w:rPr>
        <w:t>larvicidal</w:t>
      </w:r>
      <w:proofErr w:type="spellEnd"/>
      <w:r w:rsidRPr="00934AEC">
        <w:rPr>
          <w:rFonts w:ascii="Arial" w:hAnsi="Arial" w:cs="Arial"/>
        </w:rPr>
        <w:t xml:space="preserve"> property of </w:t>
      </w:r>
      <w:proofErr w:type="spellStart"/>
      <w:r w:rsidRPr="00785FE7">
        <w:rPr>
          <w:rFonts w:ascii="Arial" w:hAnsi="Arial" w:cs="Arial"/>
          <w:i/>
        </w:rPr>
        <w:t>Bryophyllum</w:t>
      </w:r>
      <w:proofErr w:type="spellEnd"/>
      <w:r w:rsidRPr="00785FE7">
        <w:rPr>
          <w:rFonts w:ascii="Arial" w:hAnsi="Arial" w:cs="Arial"/>
          <w:i/>
        </w:rPr>
        <w:t xml:space="preserve"> </w:t>
      </w:r>
      <w:proofErr w:type="spellStart"/>
      <w:r w:rsidRPr="00785FE7">
        <w:rPr>
          <w:rFonts w:ascii="Arial" w:hAnsi="Arial" w:cs="Arial"/>
          <w:i/>
        </w:rPr>
        <w:t>pinnatum</w:t>
      </w:r>
      <w:proofErr w:type="spellEnd"/>
      <w:r w:rsidRPr="00934AEC">
        <w:rPr>
          <w:rFonts w:ascii="Arial" w:hAnsi="Arial" w:cs="Arial"/>
        </w:rPr>
        <w:t xml:space="preserve"> as well as its dengue virus inhibitory property targeting the dengue NS2B/NS3 protease and NS5 polymerase. </w:t>
      </w:r>
      <w:proofErr w:type="spellStart"/>
      <w:r w:rsidRPr="00934AEC">
        <w:rPr>
          <w:rFonts w:ascii="Arial" w:hAnsi="Arial" w:cs="Arial"/>
        </w:rPr>
        <w:t>Clerosterol</w:t>
      </w:r>
      <w:proofErr w:type="spellEnd"/>
      <w:r w:rsidRPr="00934AEC">
        <w:rPr>
          <w:rFonts w:ascii="Arial" w:hAnsi="Arial" w:cs="Arial"/>
        </w:rPr>
        <w:t xml:space="preserve"> and 24-ethyl-desmosterol were identified as the potential </w:t>
      </w:r>
      <w:proofErr w:type="spellStart"/>
      <w:r w:rsidRPr="00934AEC">
        <w:rPr>
          <w:rFonts w:ascii="Arial" w:hAnsi="Arial" w:cs="Arial"/>
        </w:rPr>
        <w:t>larvicidal</w:t>
      </w:r>
      <w:proofErr w:type="spellEnd"/>
      <w:r w:rsidRPr="00934AEC">
        <w:rPr>
          <w:rFonts w:ascii="Arial" w:hAnsi="Arial" w:cs="Arial"/>
        </w:rPr>
        <w:t xml:space="preserve"> agent, while </w:t>
      </w:r>
      <w:proofErr w:type="spellStart"/>
      <w:r w:rsidRPr="00934AEC">
        <w:rPr>
          <w:rFonts w:ascii="Arial" w:hAnsi="Arial" w:cs="Arial"/>
        </w:rPr>
        <w:t>taraxasterol</w:t>
      </w:r>
      <w:proofErr w:type="spellEnd"/>
      <w:r w:rsidRPr="00934AEC">
        <w:rPr>
          <w:rFonts w:ascii="Arial" w:hAnsi="Arial" w:cs="Arial"/>
        </w:rPr>
        <w:t xml:space="preserve"> and </w:t>
      </w:r>
      <w:proofErr w:type="spellStart"/>
      <w:r w:rsidRPr="00934AEC">
        <w:rPr>
          <w:rFonts w:ascii="Arial" w:hAnsi="Arial" w:cs="Arial"/>
        </w:rPr>
        <w:t>bryophynol</w:t>
      </w:r>
      <w:proofErr w:type="spellEnd"/>
      <w:r w:rsidRPr="00934AEC">
        <w:rPr>
          <w:rFonts w:ascii="Arial" w:hAnsi="Arial" w:cs="Arial"/>
        </w:rPr>
        <w:t xml:space="preserve"> were selected as potential inhibitor against dengue NS2B/NS3 protease, and 25-Methylstigmast-24(28)-</w:t>
      </w:r>
      <w:proofErr w:type="spellStart"/>
      <w:r w:rsidRPr="00934AEC">
        <w:rPr>
          <w:rFonts w:ascii="Arial" w:hAnsi="Arial" w:cs="Arial"/>
        </w:rPr>
        <w:t>enol</w:t>
      </w:r>
      <w:proofErr w:type="spellEnd"/>
      <w:r w:rsidRPr="00934AEC">
        <w:rPr>
          <w:rFonts w:ascii="Arial" w:hAnsi="Arial" w:cs="Arial"/>
        </w:rPr>
        <w:t xml:space="preserve"> and </w:t>
      </w:r>
      <w:proofErr w:type="spellStart"/>
      <w:r w:rsidRPr="00934AEC">
        <w:rPr>
          <w:rFonts w:ascii="Arial" w:hAnsi="Arial" w:cs="Arial"/>
        </w:rPr>
        <w:t>clerosterol</w:t>
      </w:r>
      <w:proofErr w:type="spellEnd"/>
      <w:r w:rsidRPr="00934AEC">
        <w:rPr>
          <w:rFonts w:ascii="Arial" w:hAnsi="Arial" w:cs="Arial"/>
        </w:rPr>
        <w:t xml:space="preserve"> as good inhibitors of dengue NS5 polymerase. </w:t>
      </w:r>
      <w:r w:rsidRPr="00327A8A">
        <w:rPr>
          <w:rFonts w:ascii="Arial" w:hAnsi="Arial" w:cs="Arial"/>
          <w:color w:val="FF0000"/>
        </w:rPr>
        <w:t>The 150 ns MD simulation showed that the chemical compounds were considerably stable at the receptor’s binding pocket.</w:t>
      </w:r>
      <w:r w:rsidRPr="00934AEC">
        <w:rPr>
          <w:rFonts w:ascii="Arial" w:hAnsi="Arial" w:cs="Arial"/>
        </w:rPr>
        <w:t xml:space="preserve"> Therefore, </w:t>
      </w:r>
      <w:proofErr w:type="spellStart"/>
      <w:r w:rsidRPr="00934AEC">
        <w:rPr>
          <w:rFonts w:ascii="Arial" w:hAnsi="Arial" w:cs="Arial"/>
        </w:rPr>
        <w:t>clerosterol</w:t>
      </w:r>
      <w:proofErr w:type="spellEnd"/>
      <w:r w:rsidRPr="00934AEC">
        <w:rPr>
          <w:rFonts w:ascii="Arial" w:hAnsi="Arial" w:cs="Arial"/>
        </w:rPr>
        <w:t xml:space="preserve"> and 24-ethyl-desmosterol may be responsible for larvicidal property of </w:t>
      </w:r>
      <w:r w:rsidRPr="00934AEC">
        <w:rPr>
          <w:rFonts w:ascii="Arial" w:hAnsi="Arial" w:cs="Arial"/>
          <w:i/>
        </w:rPr>
        <w:t xml:space="preserve">B. </w:t>
      </w:r>
      <w:proofErr w:type="spellStart"/>
      <w:r w:rsidRPr="00934AEC">
        <w:rPr>
          <w:rFonts w:ascii="Arial" w:hAnsi="Arial" w:cs="Arial"/>
          <w:i/>
        </w:rPr>
        <w:t>pinnatum</w:t>
      </w:r>
      <w:proofErr w:type="spellEnd"/>
      <w:r w:rsidRPr="00934AEC">
        <w:rPr>
          <w:rFonts w:ascii="Arial" w:hAnsi="Arial" w:cs="Arial"/>
        </w:rPr>
        <w:t xml:space="preserve"> when assayed in vitro. Also, </w:t>
      </w:r>
      <w:proofErr w:type="spellStart"/>
      <w:r w:rsidRPr="00934AEC">
        <w:rPr>
          <w:rFonts w:ascii="Arial" w:hAnsi="Arial" w:cs="Arial"/>
        </w:rPr>
        <w:t>taraxasterol</w:t>
      </w:r>
      <w:proofErr w:type="spellEnd"/>
      <w:r w:rsidRPr="00934AEC">
        <w:rPr>
          <w:rFonts w:ascii="Arial" w:hAnsi="Arial" w:cs="Arial"/>
        </w:rPr>
        <w:t xml:space="preserve">, </w:t>
      </w:r>
      <w:proofErr w:type="spellStart"/>
      <w:r w:rsidRPr="00934AEC">
        <w:rPr>
          <w:rFonts w:ascii="Arial" w:hAnsi="Arial" w:cs="Arial"/>
        </w:rPr>
        <w:t>bryophynol</w:t>
      </w:r>
      <w:proofErr w:type="spellEnd"/>
      <w:r w:rsidRPr="00934AEC">
        <w:rPr>
          <w:rFonts w:ascii="Arial" w:hAnsi="Arial" w:cs="Arial"/>
        </w:rPr>
        <w:t>, 25-Methylstigmast-24(28)-</w:t>
      </w:r>
      <w:proofErr w:type="spellStart"/>
      <w:r w:rsidRPr="00934AEC">
        <w:rPr>
          <w:rFonts w:ascii="Arial" w:hAnsi="Arial" w:cs="Arial"/>
        </w:rPr>
        <w:t>enol</w:t>
      </w:r>
      <w:proofErr w:type="spellEnd"/>
      <w:r w:rsidRPr="00934AEC">
        <w:rPr>
          <w:rFonts w:ascii="Arial" w:hAnsi="Arial" w:cs="Arial"/>
        </w:rPr>
        <w:t xml:space="preserve"> and </w:t>
      </w:r>
      <w:proofErr w:type="spellStart"/>
      <w:r w:rsidRPr="00934AEC">
        <w:rPr>
          <w:rFonts w:ascii="Arial" w:hAnsi="Arial" w:cs="Arial"/>
        </w:rPr>
        <w:t>clerosterol</w:t>
      </w:r>
      <w:proofErr w:type="spellEnd"/>
      <w:r w:rsidRPr="00934AEC">
        <w:rPr>
          <w:rFonts w:ascii="Arial" w:hAnsi="Arial" w:cs="Arial"/>
        </w:rPr>
        <w:t xml:space="preserve"> may be a good inhibitor of dengue virus. Generally, the identification of these phytochemical as larvicides and inhibitors indicated that </w:t>
      </w:r>
      <w:r w:rsidRPr="00D75D05">
        <w:rPr>
          <w:rFonts w:ascii="Arial" w:hAnsi="Arial" w:cs="Arial"/>
          <w:i/>
        </w:rPr>
        <w:t xml:space="preserve">B. </w:t>
      </w:r>
      <w:proofErr w:type="spellStart"/>
      <w:r w:rsidRPr="00D75D05">
        <w:rPr>
          <w:rFonts w:ascii="Arial" w:hAnsi="Arial" w:cs="Arial"/>
          <w:i/>
        </w:rPr>
        <w:t>pinnatum</w:t>
      </w:r>
      <w:proofErr w:type="spellEnd"/>
      <w:r w:rsidRPr="00934AEC">
        <w:rPr>
          <w:rFonts w:ascii="Arial" w:hAnsi="Arial" w:cs="Arial"/>
        </w:rPr>
        <w:t xml:space="preserve"> may be a good larvicide against </w:t>
      </w:r>
      <w:r w:rsidRPr="00785FE7">
        <w:rPr>
          <w:rFonts w:ascii="Arial" w:hAnsi="Arial" w:cs="Arial"/>
          <w:i/>
        </w:rPr>
        <w:t>Aedes aegypti</w:t>
      </w:r>
      <w:r w:rsidRPr="00934AEC">
        <w:rPr>
          <w:rFonts w:ascii="Arial" w:hAnsi="Arial" w:cs="Arial"/>
        </w:rPr>
        <w:t xml:space="preserve"> as well as good inhibitor of dengue virus. Comprehensive in vitro and in vivo are recommended for further validation.</w:t>
      </w:r>
    </w:p>
    <w:p w14:paraId="55F6B773" w14:textId="77777777" w:rsidR="00B01FCD" w:rsidRDefault="00B01FCD" w:rsidP="00441B6F">
      <w:pPr>
        <w:pStyle w:val="Body"/>
        <w:spacing w:after="0"/>
        <w:rPr>
          <w:rFonts w:ascii="Arial" w:hAnsi="Arial" w:cs="Arial"/>
        </w:rPr>
      </w:pPr>
    </w:p>
    <w:p w14:paraId="74E8A299" w14:textId="77777777" w:rsidR="00790ADA" w:rsidRPr="00FB3A86" w:rsidRDefault="00790ADA" w:rsidP="00441B6F">
      <w:pPr>
        <w:pStyle w:val="Body"/>
        <w:spacing w:after="0"/>
        <w:rPr>
          <w:rFonts w:ascii="Arial" w:hAnsi="Arial" w:cs="Arial"/>
        </w:rPr>
      </w:pPr>
    </w:p>
    <w:p w14:paraId="06D566F3" w14:textId="77777777" w:rsidR="00315186" w:rsidRPr="00315186" w:rsidRDefault="00315186" w:rsidP="00441B6F"/>
    <w:p w14:paraId="43DB3BF0" w14:textId="77777777" w:rsidR="00315186" w:rsidRPr="00315186" w:rsidRDefault="00315186" w:rsidP="00441B6F"/>
    <w:p w14:paraId="2B49E502" w14:textId="77777777" w:rsidR="002B685A" w:rsidRDefault="002B685A" w:rsidP="00441B6F">
      <w:pPr>
        <w:pStyle w:val="ReferHead"/>
        <w:spacing w:after="0"/>
        <w:jc w:val="both"/>
        <w:rPr>
          <w:rFonts w:ascii="Arial" w:hAnsi="Arial" w:cs="Arial"/>
          <w:b w:val="0"/>
          <w:caps w:val="0"/>
          <w:sz w:val="20"/>
        </w:rPr>
      </w:pPr>
    </w:p>
    <w:p w14:paraId="4CE33A7E"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447D987" w14:textId="77777777" w:rsidR="001A29D8" w:rsidRPr="00F469F0" w:rsidRDefault="00934AEC"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1370DD26" w14:textId="77777777" w:rsidR="001A29D8" w:rsidRDefault="001A29D8" w:rsidP="00441B6F">
      <w:pPr>
        <w:pStyle w:val="ReferHead"/>
        <w:spacing w:after="0"/>
        <w:jc w:val="both"/>
        <w:rPr>
          <w:rFonts w:ascii="Arial" w:hAnsi="Arial" w:cs="Arial"/>
          <w:b w:val="0"/>
          <w:caps w:val="0"/>
          <w:sz w:val="20"/>
        </w:rPr>
      </w:pPr>
    </w:p>
    <w:p w14:paraId="6BE0AAC2" w14:textId="77777777" w:rsidR="005C784C" w:rsidRDefault="005C784C" w:rsidP="00441B6F">
      <w:pPr>
        <w:pStyle w:val="ReferHead"/>
        <w:spacing w:after="0"/>
        <w:jc w:val="both"/>
        <w:rPr>
          <w:rFonts w:ascii="Arial" w:hAnsi="Arial" w:cs="Arial"/>
          <w:b w:val="0"/>
          <w:caps w:val="0"/>
          <w:sz w:val="20"/>
        </w:rPr>
      </w:pPr>
    </w:p>
    <w:p w14:paraId="2503B7E9"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AB31A9F" w14:textId="77777777" w:rsidR="005C784C" w:rsidRPr="002B685A" w:rsidRDefault="005C784C" w:rsidP="00441B6F">
      <w:pPr>
        <w:pStyle w:val="ReferHead"/>
        <w:spacing w:after="0"/>
        <w:jc w:val="both"/>
        <w:rPr>
          <w:rFonts w:ascii="Arial" w:hAnsi="Arial" w:cs="Arial"/>
          <w:bCs/>
        </w:rPr>
      </w:pPr>
    </w:p>
    <w:p w14:paraId="64110958" w14:textId="77777777" w:rsidR="0041027F" w:rsidRPr="00F469F0" w:rsidRDefault="00934AEC"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7CA06F06" w14:textId="77777777" w:rsidR="00860000" w:rsidRDefault="00860000" w:rsidP="00441B6F">
      <w:pPr>
        <w:pStyle w:val="ReferHead"/>
        <w:spacing w:after="0"/>
        <w:jc w:val="both"/>
        <w:rPr>
          <w:rFonts w:ascii="Arial" w:hAnsi="Arial" w:cs="Arial"/>
        </w:rPr>
      </w:pPr>
    </w:p>
    <w:p w14:paraId="31D0354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981D64" w14:textId="77777777" w:rsidR="00790ADA" w:rsidRPr="00FB3A86" w:rsidRDefault="00790ADA" w:rsidP="00441B6F">
      <w:pPr>
        <w:pStyle w:val="ReferHead"/>
        <w:spacing w:after="0"/>
        <w:jc w:val="both"/>
        <w:rPr>
          <w:rFonts w:ascii="Arial" w:hAnsi="Arial" w:cs="Arial"/>
        </w:rPr>
      </w:pPr>
    </w:p>
    <w:p w14:paraId="35AC34D5"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sz w:val="20"/>
          <w:szCs w:val="20"/>
        </w:rPr>
        <w:t>Cholewinski, M., Derda, M., &amp; Hadas, E. (2015). Parasitic diseases in humans transmitted by vectors. </w:t>
      </w:r>
      <w:r w:rsidRPr="00DF72AE">
        <w:rPr>
          <w:rFonts w:ascii="Arial" w:hAnsi="Arial" w:cs="Arial"/>
          <w:i/>
          <w:iCs/>
          <w:sz w:val="20"/>
          <w:szCs w:val="20"/>
        </w:rPr>
        <w:t>Annals of parasitology</w:t>
      </w:r>
      <w:r w:rsidRPr="00DF72AE">
        <w:rPr>
          <w:rFonts w:ascii="Arial" w:hAnsi="Arial" w:cs="Arial"/>
          <w:sz w:val="20"/>
          <w:szCs w:val="20"/>
        </w:rPr>
        <w:t>, </w:t>
      </w:r>
      <w:r w:rsidRPr="00DF72AE">
        <w:rPr>
          <w:rFonts w:ascii="Arial" w:hAnsi="Arial" w:cs="Arial"/>
          <w:i/>
          <w:iCs/>
          <w:sz w:val="20"/>
          <w:szCs w:val="20"/>
        </w:rPr>
        <w:t>61</w:t>
      </w:r>
      <w:r w:rsidRPr="00DF72AE">
        <w:rPr>
          <w:rFonts w:ascii="Arial" w:hAnsi="Arial" w:cs="Arial"/>
          <w:sz w:val="20"/>
          <w:szCs w:val="20"/>
        </w:rPr>
        <w:t>(3).</w:t>
      </w:r>
    </w:p>
    <w:p w14:paraId="2A73AF5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Näslund</w:t>
      </w:r>
      <w:proofErr w:type="spellEnd"/>
      <w:r w:rsidRPr="00DF72AE">
        <w:rPr>
          <w:rFonts w:ascii="Arial" w:hAnsi="Arial" w:cs="Arial"/>
          <w:color w:val="222222"/>
          <w:sz w:val="20"/>
          <w:szCs w:val="20"/>
          <w:shd w:val="clear" w:color="auto" w:fill="FFFFFF"/>
        </w:rPr>
        <w:t xml:space="preserve">, J., Ahlm, C., Islam, K., Evander, M., </w:t>
      </w:r>
      <w:proofErr w:type="spellStart"/>
      <w:r w:rsidRPr="00DF72AE">
        <w:rPr>
          <w:rFonts w:ascii="Arial" w:hAnsi="Arial" w:cs="Arial"/>
          <w:color w:val="222222"/>
          <w:sz w:val="20"/>
          <w:szCs w:val="20"/>
          <w:shd w:val="clear" w:color="auto" w:fill="FFFFFF"/>
        </w:rPr>
        <w:t>Bucht</w:t>
      </w:r>
      <w:proofErr w:type="spellEnd"/>
      <w:r w:rsidRPr="00DF72AE">
        <w:rPr>
          <w:rFonts w:ascii="Arial" w:hAnsi="Arial" w:cs="Arial"/>
          <w:color w:val="222222"/>
          <w:sz w:val="20"/>
          <w:szCs w:val="20"/>
          <w:shd w:val="clear" w:color="auto" w:fill="FFFFFF"/>
        </w:rPr>
        <w:t>, G., &amp; Lwande, O. W. (2021). Emerging mosquito-borne viruses linked to Aedes aegypti and Aedes albopictus: global status and preventive strategies. </w:t>
      </w:r>
      <w:r w:rsidRPr="00DF72AE">
        <w:rPr>
          <w:rFonts w:ascii="Arial" w:hAnsi="Arial" w:cs="Arial"/>
          <w:i/>
          <w:iCs/>
          <w:color w:val="222222"/>
          <w:sz w:val="20"/>
          <w:szCs w:val="20"/>
          <w:shd w:val="clear" w:color="auto" w:fill="FFFFFF"/>
        </w:rPr>
        <w:t>Vector-Borne and Zoonotic Diseases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21</w:t>
      </w:r>
      <w:r w:rsidRPr="00DF72AE">
        <w:rPr>
          <w:rFonts w:ascii="Arial" w:hAnsi="Arial" w:cs="Arial"/>
          <w:color w:val="222222"/>
          <w:sz w:val="20"/>
          <w:szCs w:val="20"/>
          <w:shd w:val="clear" w:color="auto" w:fill="FFFFFF"/>
        </w:rPr>
        <w:t>(10), 731-746.</w:t>
      </w:r>
    </w:p>
    <w:p w14:paraId="331B5069"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Sukhralia</w:t>
      </w:r>
      <w:proofErr w:type="spellEnd"/>
      <w:r w:rsidRPr="00DF72AE">
        <w:rPr>
          <w:rFonts w:ascii="Arial" w:hAnsi="Arial" w:cs="Arial"/>
          <w:color w:val="222222"/>
          <w:sz w:val="20"/>
          <w:szCs w:val="20"/>
          <w:shd w:val="clear" w:color="auto" w:fill="FFFFFF"/>
        </w:rPr>
        <w:t xml:space="preserve">, S., Verma, M., </w:t>
      </w:r>
      <w:proofErr w:type="spellStart"/>
      <w:r w:rsidRPr="00DF72AE">
        <w:rPr>
          <w:rFonts w:ascii="Arial" w:hAnsi="Arial" w:cs="Arial"/>
          <w:color w:val="222222"/>
          <w:sz w:val="20"/>
          <w:szCs w:val="20"/>
          <w:shd w:val="clear" w:color="auto" w:fill="FFFFFF"/>
        </w:rPr>
        <w:t>Gopirajan</w:t>
      </w:r>
      <w:proofErr w:type="spellEnd"/>
      <w:r w:rsidRPr="00DF72AE">
        <w:rPr>
          <w:rFonts w:ascii="Arial" w:hAnsi="Arial" w:cs="Arial"/>
          <w:color w:val="222222"/>
          <w:sz w:val="20"/>
          <w:szCs w:val="20"/>
          <w:shd w:val="clear" w:color="auto" w:fill="FFFFFF"/>
        </w:rPr>
        <w:t xml:space="preserve">, S., Dhanaraj, P. S., Lal, R., </w:t>
      </w:r>
      <w:proofErr w:type="spellStart"/>
      <w:r w:rsidRPr="00DF72AE">
        <w:rPr>
          <w:rFonts w:ascii="Arial" w:hAnsi="Arial" w:cs="Arial"/>
          <w:color w:val="222222"/>
          <w:sz w:val="20"/>
          <w:szCs w:val="20"/>
          <w:shd w:val="clear" w:color="auto" w:fill="FFFFFF"/>
        </w:rPr>
        <w:t>Mehla</w:t>
      </w:r>
      <w:proofErr w:type="spellEnd"/>
      <w:r w:rsidRPr="00DF72AE">
        <w:rPr>
          <w:rFonts w:ascii="Arial" w:hAnsi="Arial" w:cs="Arial"/>
          <w:color w:val="222222"/>
          <w:sz w:val="20"/>
          <w:szCs w:val="20"/>
          <w:shd w:val="clear" w:color="auto" w:fill="FFFFFF"/>
        </w:rPr>
        <w:t>, N., &amp; Kant, C. R. (2019). From dengue to Zika: the wide spread of mosquito-borne arboviruses. </w:t>
      </w:r>
      <w:r w:rsidRPr="00DF72AE">
        <w:rPr>
          <w:rFonts w:ascii="Arial" w:hAnsi="Arial" w:cs="Arial"/>
          <w:i/>
          <w:iCs/>
          <w:color w:val="222222"/>
          <w:sz w:val="20"/>
          <w:szCs w:val="20"/>
          <w:shd w:val="clear" w:color="auto" w:fill="FFFFFF"/>
        </w:rPr>
        <w:t>European Journal of Clinical Microbiology &amp; Infectious Diseases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38</w:t>
      </w:r>
      <w:r w:rsidRPr="00DF72AE">
        <w:rPr>
          <w:rFonts w:ascii="Arial" w:hAnsi="Arial" w:cs="Arial"/>
          <w:color w:val="222222"/>
          <w:sz w:val="20"/>
          <w:szCs w:val="20"/>
          <w:shd w:val="clear" w:color="auto" w:fill="FFFFFF"/>
        </w:rPr>
        <w:t>(1), 3-14.</w:t>
      </w:r>
    </w:p>
    <w:p w14:paraId="39E8ACE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Lin, Y., Fang, K., Zheng, Y., Wang, H. L., &amp; Wu, J. (2022). Global burden and trends of neglected tropical diseases from 1990 to 2019. </w:t>
      </w:r>
      <w:r w:rsidRPr="00DF72AE">
        <w:rPr>
          <w:rFonts w:ascii="Arial" w:hAnsi="Arial" w:cs="Arial"/>
          <w:i/>
          <w:iCs/>
          <w:color w:val="222222"/>
          <w:sz w:val="20"/>
          <w:szCs w:val="20"/>
          <w:shd w:val="clear" w:color="auto" w:fill="FFFFFF"/>
        </w:rPr>
        <w:t>Journal of Travel Medicine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29</w:t>
      </w:r>
      <w:r w:rsidRPr="00DF72AE">
        <w:rPr>
          <w:rFonts w:ascii="Arial" w:hAnsi="Arial" w:cs="Arial"/>
          <w:color w:val="222222"/>
          <w:sz w:val="20"/>
          <w:szCs w:val="20"/>
          <w:shd w:val="clear" w:color="auto" w:fill="FFFFFF"/>
        </w:rPr>
        <w:t>(3), taac031.</w:t>
      </w:r>
    </w:p>
    <w:p w14:paraId="2E3CFA5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Dehghani, R., &amp; </w:t>
      </w:r>
      <w:proofErr w:type="spellStart"/>
      <w:r w:rsidRPr="00DF72AE">
        <w:rPr>
          <w:rFonts w:ascii="Arial" w:hAnsi="Arial" w:cs="Arial"/>
          <w:color w:val="222222"/>
          <w:sz w:val="20"/>
          <w:szCs w:val="20"/>
          <w:shd w:val="clear" w:color="auto" w:fill="FFFFFF"/>
        </w:rPr>
        <w:t>Kassiri</w:t>
      </w:r>
      <w:proofErr w:type="spellEnd"/>
      <w:r w:rsidRPr="00DF72AE">
        <w:rPr>
          <w:rFonts w:ascii="Arial" w:hAnsi="Arial" w:cs="Arial"/>
          <w:color w:val="222222"/>
          <w:sz w:val="20"/>
          <w:szCs w:val="20"/>
          <w:shd w:val="clear" w:color="auto" w:fill="FFFFFF"/>
        </w:rPr>
        <w:t>, H. (2021). A review on epidemiology of dengue viral infection as an emerging disease. </w:t>
      </w:r>
      <w:r w:rsidRPr="00DF72AE">
        <w:rPr>
          <w:rFonts w:ascii="Arial" w:hAnsi="Arial" w:cs="Arial"/>
          <w:i/>
          <w:iCs/>
          <w:color w:val="222222"/>
          <w:sz w:val="20"/>
          <w:szCs w:val="20"/>
          <w:shd w:val="clear" w:color="auto" w:fill="FFFFFF"/>
        </w:rPr>
        <w:t>Research Journal of Pharmacy and Technology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14</w:t>
      </w:r>
      <w:r w:rsidRPr="00DF72AE">
        <w:rPr>
          <w:rFonts w:ascii="Arial" w:hAnsi="Arial" w:cs="Arial"/>
          <w:color w:val="222222"/>
          <w:sz w:val="20"/>
          <w:szCs w:val="20"/>
          <w:shd w:val="clear" w:color="auto" w:fill="FFFFFF"/>
        </w:rPr>
        <w:t>(4), 2296-2301.</w:t>
      </w:r>
    </w:p>
    <w:p w14:paraId="745BF9AC"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Haider, N., Hasan, M.N., Onyango, J., Billah, M., Khan, S., Papakonstantinou, D., Paudyal, P. and </w:t>
      </w:r>
      <w:proofErr w:type="spellStart"/>
      <w:r w:rsidRPr="00DF72AE">
        <w:rPr>
          <w:rFonts w:ascii="Arial" w:hAnsi="Arial" w:cs="Arial"/>
          <w:color w:val="222222"/>
          <w:sz w:val="20"/>
          <w:szCs w:val="20"/>
          <w:shd w:val="clear" w:color="auto" w:fill="FFFFFF"/>
        </w:rPr>
        <w:t>Asaduzzaman</w:t>
      </w:r>
      <w:proofErr w:type="spellEnd"/>
      <w:r w:rsidRPr="00DF72AE">
        <w:rPr>
          <w:rFonts w:ascii="Arial" w:hAnsi="Arial" w:cs="Arial"/>
          <w:color w:val="222222"/>
          <w:sz w:val="20"/>
          <w:szCs w:val="20"/>
          <w:shd w:val="clear" w:color="auto" w:fill="FFFFFF"/>
        </w:rPr>
        <w:t>, M., 2025. Global Dengue Epidemic Worsens with Record 14 Million Cases and 9,000 Deaths Reported in 2024. </w:t>
      </w:r>
      <w:r w:rsidRPr="00DF72AE">
        <w:rPr>
          <w:rFonts w:ascii="Arial" w:hAnsi="Arial" w:cs="Arial"/>
          <w:i/>
          <w:iCs/>
          <w:color w:val="222222"/>
          <w:sz w:val="20"/>
          <w:szCs w:val="20"/>
          <w:shd w:val="clear" w:color="auto" w:fill="FFFFFF"/>
        </w:rPr>
        <w:t>International Journal of Infectious Diseases</w:t>
      </w:r>
      <w:r w:rsidRPr="00DF72AE">
        <w:rPr>
          <w:rFonts w:ascii="Arial" w:hAnsi="Arial" w:cs="Arial"/>
          <w:color w:val="222222"/>
          <w:sz w:val="20"/>
          <w:szCs w:val="20"/>
          <w:shd w:val="clear" w:color="auto" w:fill="FFFFFF"/>
        </w:rPr>
        <w:t>, p.107940.</w:t>
      </w:r>
    </w:p>
    <w:p w14:paraId="07862C2E"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Ng, D. H., Wong, J. G., Thein, T. L., Leo, Y. S., &amp; Lye, D. C. (2016). The significance of prolonged and saddleback fever in </w:t>
      </w:r>
      <w:proofErr w:type="spellStart"/>
      <w:r w:rsidRPr="00DF72AE">
        <w:rPr>
          <w:rFonts w:ascii="Arial" w:hAnsi="Arial" w:cs="Arial"/>
          <w:color w:val="222222"/>
          <w:sz w:val="20"/>
          <w:szCs w:val="20"/>
          <w:shd w:val="clear" w:color="auto" w:fill="FFFFFF"/>
        </w:rPr>
        <w:t>hospitalised</w:t>
      </w:r>
      <w:proofErr w:type="spellEnd"/>
      <w:r w:rsidRPr="00DF72AE">
        <w:rPr>
          <w:rFonts w:ascii="Arial" w:hAnsi="Arial" w:cs="Arial"/>
          <w:color w:val="222222"/>
          <w:sz w:val="20"/>
          <w:szCs w:val="20"/>
          <w:shd w:val="clear" w:color="auto" w:fill="FFFFFF"/>
        </w:rPr>
        <w:t xml:space="preserve"> adult dengue. </w:t>
      </w:r>
      <w:proofErr w:type="spellStart"/>
      <w:r w:rsidRPr="00DF72AE">
        <w:rPr>
          <w:rFonts w:ascii="Arial" w:hAnsi="Arial" w:cs="Arial"/>
          <w:i/>
          <w:iCs/>
          <w:color w:val="222222"/>
          <w:sz w:val="20"/>
          <w:szCs w:val="20"/>
          <w:shd w:val="clear" w:color="auto" w:fill="FFFFFF"/>
        </w:rPr>
        <w:t>PLoS</w:t>
      </w:r>
      <w:proofErr w:type="spellEnd"/>
      <w:r w:rsidRPr="00DF72AE">
        <w:rPr>
          <w:rFonts w:ascii="Arial" w:hAnsi="Arial" w:cs="Arial"/>
          <w:i/>
          <w:iCs/>
          <w:color w:val="222222"/>
          <w:sz w:val="20"/>
          <w:szCs w:val="20"/>
          <w:shd w:val="clear" w:color="auto" w:fill="FFFFFF"/>
        </w:rPr>
        <w:t xml:space="preserve"> One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w:t>
      </w:r>
      <w:r w:rsidRPr="00DF72AE">
        <w:rPr>
          <w:rFonts w:ascii="Arial" w:hAnsi="Arial" w:cs="Arial"/>
          <w:color w:val="222222"/>
          <w:sz w:val="20"/>
          <w:szCs w:val="20"/>
          <w:shd w:val="clear" w:color="auto" w:fill="FFFFFF"/>
        </w:rPr>
        <w:t>(12), e0167025.</w:t>
      </w:r>
      <w:r w:rsidRPr="00DF72AE">
        <w:rPr>
          <w:rFonts w:ascii="Arial" w:hAnsi="Arial" w:cs="Arial"/>
          <w:sz w:val="20"/>
          <w:szCs w:val="20"/>
        </w:rPr>
        <w:t xml:space="preserve"> </w:t>
      </w:r>
    </w:p>
    <w:p w14:paraId="41599B6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Zerfu</w:t>
      </w:r>
      <w:proofErr w:type="spellEnd"/>
      <w:r w:rsidRPr="00DF72AE">
        <w:rPr>
          <w:rFonts w:ascii="Arial" w:hAnsi="Arial" w:cs="Arial"/>
          <w:color w:val="222222"/>
          <w:sz w:val="20"/>
          <w:szCs w:val="20"/>
          <w:shd w:val="clear" w:color="auto" w:fill="FFFFFF"/>
        </w:rPr>
        <w:t>, B., Kassa, T., &amp; Legesse, M. (2023). Epidemiology, biology, pathogenesis, clinical manifestations, and diagnosis of dengue virus infection, and its trend in Ethiopia: a comprehensive literature review. </w:t>
      </w:r>
      <w:r w:rsidRPr="00DF72AE">
        <w:rPr>
          <w:rFonts w:ascii="Arial" w:hAnsi="Arial" w:cs="Arial"/>
          <w:i/>
          <w:iCs/>
          <w:color w:val="222222"/>
          <w:sz w:val="20"/>
          <w:szCs w:val="20"/>
          <w:shd w:val="clear" w:color="auto" w:fill="FFFFFF"/>
        </w:rPr>
        <w:t>Tropical Medicine and Health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51</w:t>
      </w:r>
      <w:r w:rsidRPr="00DF72AE">
        <w:rPr>
          <w:rFonts w:ascii="Arial" w:hAnsi="Arial" w:cs="Arial"/>
          <w:color w:val="222222"/>
          <w:sz w:val="20"/>
          <w:szCs w:val="20"/>
          <w:shd w:val="clear" w:color="auto" w:fill="FFFFFF"/>
        </w:rPr>
        <w:t>(1), 11.</w:t>
      </w:r>
    </w:p>
    <w:p w14:paraId="25AABAB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Maia, L.M.S., Bezerra, M.C.F., Costa, M.C.S., Souza, E.M., Oliveira, M.E.B., Ribeiro, A.L.M., Miyazaki, R.D. and </w:t>
      </w:r>
      <w:proofErr w:type="spellStart"/>
      <w:r w:rsidRPr="00DF72AE">
        <w:rPr>
          <w:rFonts w:ascii="Arial" w:hAnsi="Arial" w:cs="Arial"/>
          <w:color w:val="222222"/>
          <w:sz w:val="20"/>
          <w:szCs w:val="20"/>
          <w:shd w:val="clear" w:color="auto" w:fill="FFFFFF"/>
        </w:rPr>
        <w:t>Slhessarenko</w:t>
      </w:r>
      <w:proofErr w:type="spellEnd"/>
      <w:r w:rsidRPr="00DF72AE">
        <w:rPr>
          <w:rFonts w:ascii="Arial" w:hAnsi="Arial" w:cs="Arial"/>
          <w:color w:val="222222"/>
          <w:sz w:val="20"/>
          <w:szCs w:val="20"/>
          <w:shd w:val="clear" w:color="auto" w:fill="FFFFFF"/>
        </w:rPr>
        <w:t xml:space="preserve">, R.D., 2019. Natural vertical infection by dengue virus serotype 4, Zika virus and Mayaro virus in </w:t>
      </w:r>
      <w:proofErr w:type="spellStart"/>
      <w:r w:rsidRPr="00DF72AE">
        <w:rPr>
          <w:rFonts w:ascii="Arial" w:hAnsi="Arial" w:cs="Arial"/>
          <w:color w:val="222222"/>
          <w:sz w:val="20"/>
          <w:szCs w:val="20"/>
          <w:shd w:val="clear" w:color="auto" w:fill="FFFFFF"/>
        </w:rPr>
        <w:t>Aedes</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Stegomyia</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aegypti</w:t>
      </w:r>
      <w:proofErr w:type="spellEnd"/>
      <w:r w:rsidRPr="00DF72AE">
        <w:rPr>
          <w:rFonts w:ascii="Arial" w:hAnsi="Arial" w:cs="Arial"/>
          <w:color w:val="222222"/>
          <w:sz w:val="20"/>
          <w:szCs w:val="20"/>
          <w:shd w:val="clear" w:color="auto" w:fill="FFFFFF"/>
        </w:rPr>
        <w:t xml:space="preserve"> and </w:t>
      </w:r>
      <w:proofErr w:type="spellStart"/>
      <w:r w:rsidRPr="00DF72AE">
        <w:rPr>
          <w:rFonts w:ascii="Arial" w:hAnsi="Arial" w:cs="Arial"/>
          <w:color w:val="222222"/>
          <w:sz w:val="20"/>
          <w:szCs w:val="20"/>
          <w:shd w:val="clear" w:color="auto" w:fill="FFFFFF"/>
        </w:rPr>
        <w:t>Aedes</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Stegomyia</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albopictus</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Medical and veterinary entomology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33</w:t>
      </w:r>
      <w:r w:rsidRPr="00DF72AE">
        <w:rPr>
          <w:rFonts w:ascii="Arial" w:hAnsi="Arial" w:cs="Arial"/>
          <w:color w:val="222222"/>
          <w:sz w:val="20"/>
          <w:szCs w:val="20"/>
          <w:shd w:val="clear" w:color="auto" w:fill="FFFFFF"/>
        </w:rPr>
        <w:t>(3), pp.437-442.</w:t>
      </w:r>
      <w:r w:rsidRPr="00DF72AE">
        <w:rPr>
          <w:rFonts w:ascii="Arial" w:hAnsi="Arial" w:cs="Arial"/>
          <w:sz w:val="20"/>
          <w:szCs w:val="20"/>
        </w:rPr>
        <w:t xml:space="preserve"> </w:t>
      </w:r>
    </w:p>
    <w:p w14:paraId="21C90C1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Chappell, K. J., Stoermer, M. J., Fairlie, D. P., &amp; Young, P. R. (2008). West Nile Virus NS2B/NS3 protease as an antiviral target. </w:t>
      </w:r>
      <w:r w:rsidRPr="00DF72AE">
        <w:rPr>
          <w:rFonts w:ascii="Arial" w:hAnsi="Arial" w:cs="Arial"/>
          <w:i/>
          <w:iCs/>
          <w:color w:val="222222"/>
          <w:sz w:val="20"/>
          <w:szCs w:val="20"/>
          <w:shd w:val="clear" w:color="auto" w:fill="FFFFFF"/>
        </w:rPr>
        <w:t>Current medicinal 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(27), 2771-2784.</w:t>
      </w:r>
    </w:p>
    <w:p w14:paraId="38E0B40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lastRenderedPageBreak/>
        <w:t>Li, H., Zhu, L., Hou, S., Yang, J., Wang, J., &amp; Liu, J. (2014). An inhibition model of BPTI to unlinked dengue virus NS2B-NS3 protease. </w:t>
      </w:r>
      <w:r w:rsidRPr="00DF72AE">
        <w:rPr>
          <w:rFonts w:ascii="Arial" w:hAnsi="Arial" w:cs="Arial"/>
          <w:i/>
          <w:iCs/>
          <w:color w:val="222222"/>
          <w:sz w:val="20"/>
          <w:szCs w:val="20"/>
          <w:shd w:val="clear" w:color="auto" w:fill="FFFFFF"/>
        </w:rPr>
        <w:t>FEBS letters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588</w:t>
      </w:r>
      <w:r w:rsidRPr="00DF72AE">
        <w:rPr>
          <w:rFonts w:ascii="Arial" w:hAnsi="Arial" w:cs="Arial"/>
          <w:color w:val="222222"/>
          <w:sz w:val="20"/>
          <w:szCs w:val="20"/>
          <w:shd w:val="clear" w:color="auto" w:fill="FFFFFF"/>
        </w:rPr>
        <w:t>(17), 2794-2799.</w:t>
      </w:r>
    </w:p>
    <w:p w14:paraId="1F665D50"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Chen, W. N., </w:t>
      </w:r>
      <w:proofErr w:type="spellStart"/>
      <w:r w:rsidRPr="00DF72AE">
        <w:rPr>
          <w:rFonts w:ascii="Arial" w:hAnsi="Arial" w:cs="Arial"/>
          <w:color w:val="222222"/>
          <w:sz w:val="20"/>
          <w:szCs w:val="20"/>
          <w:shd w:val="clear" w:color="auto" w:fill="FFFFFF"/>
        </w:rPr>
        <w:t>Loscha</w:t>
      </w:r>
      <w:proofErr w:type="spellEnd"/>
      <w:r w:rsidRPr="00DF72AE">
        <w:rPr>
          <w:rFonts w:ascii="Arial" w:hAnsi="Arial" w:cs="Arial"/>
          <w:color w:val="222222"/>
          <w:sz w:val="20"/>
          <w:szCs w:val="20"/>
          <w:shd w:val="clear" w:color="auto" w:fill="FFFFFF"/>
        </w:rPr>
        <w:t>, K. V., Nitsche, C., Graham, B., &amp; Otting, G. (2014). The dengue virus NS2B–NS3 protease retains the closed conformation in the complex with BPTI. </w:t>
      </w:r>
      <w:r w:rsidRPr="00DF72AE">
        <w:rPr>
          <w:rFonts w:ascii="Arial" w:hAnsi="Arial" w:cs="Arial"/>
          <w:i/>
          <w:iCs/>
          <w:color w:val="222222"/>
          <w:sz w:val="20"/>
          <w:szCs w:val="20"/>
          <w:shd w:val="clear" w:color="auto" w:fill="FFFFFF"/>
        </w:rPr>
        <w:t>FEBS letters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588</w:t>
      </w:r>
      <w:r w:rsidRPr="00DF72AE">
        <w:rPr>
          <w:rFonts w:ascii="Arial" w:hAnsi="Arial" w:cs="Arial"/>
          <w:color w:val="222222"/>
          <w:sz w:val="20"/>
          <w:szCs w:val="20"/>
          <w:shd w:val="clear" w:color="auto" w:fill="FFFFFF"/>
        </w:rPr>
        <w:t>(14), 2206-2211.</w:t>
      </w:r>
    </w:p>
    <w:p w14:paraId="35167C76"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Singh, A., Roy, R., Singh, K., </w:t>
      </w:r>
      <w:proofErr w:type="spellStart"/>
      <w:r w:rsidRPr="00DF72AE">
        <w:rPr>
          <w:rFonts w:ascii="Arial" w:hAnsi="Arial" w:cs="Arial"/>
          <w:color w:val="222222"/>
          <w:sz w:val="20"/>
          <w:szCs w:val="20"/>
          <w:shd w:val="clear" w:color="auto" w:fill="FFFFFF"/>
        </w:rPr>
        <w:t>Sokhal</w:t>
      </w:r>
      <w:proofErr w:type="spellEnd"/>
      <w:r w:rsidRPr="00DF72AE">
        <w:rPr>
          <w:rFonts w:ascii="Arial" w:hAnsi="Arial" w:cs="Arial"/>
          <w:color w:val="222222"/>
          <w:sz w:val="20"/>
          <w:szCs w:val="20"/>
          <w:shd w:val="clear" w:color="auto" w:fill="FFFFFF"/>
        </w:rPr>
        <w:t xml:space="preserve">, P., </w:t>
      </w:r>
      <w:proofErr w:type="spellStart"/>
      <w:r w:rsidRPr="00DF72AE">
        <w:rPr>
          <w:rFonts w:ascii="Arial" w:hAnsi="Arial" w:cs="Arial"/>
          <w:color w:val="222222"/>
          <w:sz w:val="20"/>
          <w:szCs w:val="20"/>
          <w:shd w:val="clear" w:color="auto" w:fill="FFFFFF"/>
        </w:rPr>
        <w:t>Afroj</w:t>
      </w:r>
      <w:proofErr w:type="spellEnd"/>
      <w:r w:rsidRPr="00DF72AE">
        <w:rPr>
          <w:rFonts w:ascii="Arial" w:hAnsi="Arial" w:cs="Arial"/>
          <w:color w:val="222222"/>
          <w:sz w:val="20"/>
          <w:szCs w:val="20"/>
          <w:shd w:val="clear" w:color="auto" w:fill="FFFFFF"/>
        </w:rPr>
        <w:t>, S., Phadnis, S., YS, R.K. and Verma, B., 2025. Dengue virus life cycle and host protein interactions: focus on RNA binding proteins and therapeutic advances. </w:t>
      </w:r>
      <w:r w:rsidRPr="00DF72AE">
        <w:rPr>
          <w:rFonts w:ascii="Arial" w:hAnsi="Arial" w:cs="Arial"/>
          <w:i/>
          <w:iCs/>
          <w:color w:val="222222"/>
          <w:sz w:val="20"/>
          <w:szCs w:val="20"/>
          <w:shd w:val="clear" w:color="auto" w:fill="FFFFFF"/>
        </w:rPr>
        <w:t>Reviews in Medical Virology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35</w:t>
      </w:r>
      <w:r w:rsidRPr="00DF72AE">
        <w:rPr>
          <w:rFonts w:ascii="Arial" w:hAnsi="Arial" w:cs="Arial"/>
          <w:color w:val="222222"/>
          <w:sz w:val="20"/>
          <w:szCs w:val="20"/>
          <w:shd w:val="clear" w:color="auto" w:fill="FFFFFF"/>
        </w:rPr>
        <w:t>(2), p.e70025.</w:t>
      </w:r>
    </w:p>
    <w:p w14:paraId="3AB18FC3"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Norshidah</w:t>
      </w:r>
      <w:proofErr w:type="spellEnd"/>
      <w:r w:rsidRPr="00DF72AE">
        <w:rPr>
          <w:rFonts w:ascii="Arial" w:hAnsi="Arial" w:cs="Arial"/>
          <w:color w:val="222222"/>
          <w:sz w:val="20"/>
          <w:szCs w:val="20"/>
          <w:shd w:val="clear" w:color="auto" w:fill="FFFFFF"/>
        </w:rPr>
        <w:t xml:space="preserve">, H., Leow, C. H., </w:t>
      </w:r>
      <w:proofErr w:type="spellStart"/>
      <w:r w:rsidRPr="00DF72AE">
        <w:rPr>
          <w:rFonts w:ascii="Arial" w:hAnsi="Arial" w:cs="Arial"/>
          <w:color w:val="222222"/>
          <w:sz w:val="20"/>
          <w:szCs w:val="20"/>
          <w:shd w:val="clear" w:color="auto" w:fill="FFFFFF"/>
        </w:rPr>
        <w:t>Ezleen</w:t>
      </w:r>
      <w:proofErr w:type="spellEnd"/>
      <w:r w:rsidRPr="00DF72AE">
        <w:rPr>
          <w:rFonts w:ascii="Arial" w:hAnsi="Arial" w:cs="Arial"/>
          <w:color w:val="222222"/>
          <w:sz w:val="20"/>
          <w:szCs w:val="20"/>
          <w:shd w:val="clear" w:color="auto" w:fill="FFFFFF"/>
        </w:rPr>
        <w:t>, K. E., Wahab, H. A., Vignesh, R., Rasul, A., &amp; Lai, N. S. (2023). Assessing the potential of NS2B/NS3 protease inhibitors biomarker in curbing dengue virus infections: in silico vs. in vitro approach. </w:t>
      </w:r>
      <w:r w:rsidRPr="00DF72AE">
        <w:rPr>
          <w:rFonts w:ascii="Arial" w:hAnsi="Arial" w:cs="Arial"/>
          <w:i/>
          <w:iCs/>
          <w:color w:val="222222"/>
          <w:sz w:val="20"/>
          <w:szCs w:val="20"/>
          <w:shd w:val="clear" w:color="auto" w:fill="FFFFFF"/>
        </w:rPr>
        <w:t>Frontiers in cellular and infection microbiology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13</w:t>
      </w:r>
      <w:r w:rsidRPr="00DF72AE">
        <w:rPr>
          <w:rFonts w:ascii="Arial" w:hAnsi="Arial" w:cs="Arial"/>
          <w:color w:val="222222"/>
          <w:sz w:val="20"/>
          <w:szCs w:val="20"/>
          <w:shd w:val="clear" w:color="auto" w:fill="FFFFFF"/>
        </w:rPr>
        <w:t>, 1061937.</w:t>
      </w:r>
    </w:p>
    <w:p w14:paraId="48E4FDF6"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Starvaggi</w:t>
      </w:r>
      <w:proofErr w:type="spellEnd"/>
      <w:r w:rsidRPr="00DF72AE">
        <w:rPr>
          <w:rFonts w:ascii="Arial" w:hAnsi="Arial" w:cs="Arial"/>
          <w:color w:val="222222"/>
          <w:sz w:val="20"/>
          <w:szCs w:val="20"/>
          <w:shd w:val="clear" w:color="auto" w:fill="FFFFFF"/>
        </w:rPr>
        <w:t xml:space="preserve">, J., Previti, S., </w:t>
      </w:r>
      <w:proofErr w:type="spellStart"/>
      <w:r w:rsidRPr="00DF72AE">
        <w:rPr>
          <w:rFonts w:ascii="Arial" w:hAnsi="Arial" w:cs="Arial"/>
          <w:color w:val="222222"/>
          <w:sz w:val="20"/>
          <w:szCs w:val="20"/>
          <w:shd w:val="clear" w:color="auto" w:fill="FFFFFF"/>
        </w:rPr>
        <w:t>Zappalà</w:t>
      </w:r>
      <w:proofErr w:type="spellEnd"/>
      <w:r w:rsidRPr="00DF72AE">
        <w:rPr>
          <w:rFonts w:ascii="Arial" w:hAnsi="Arial" w:cs="Arial"/>
          <w:color w:val="222222"/>
          <w:sz w:val="20"/>
          <w:szCs w:val="20"/>
          <w:shd w:val="clear" w:color="auto" w:fill="FFFFFF"/>
        </w:rPr>
        <w:t xml:space="preserve">, M., &amp; </w:t>
      </w:r>
      <w:proofErr w:type="spellStart"/>
      <w:r w:rsidRPr="00DF72AE">
        <w:rPr>
          <w:rFonts w:ascii="Arial" w:hAnsi="Arial" w:cs="Arial"/>
          <w:color w:val="222222"/>
          <w:sz w:val="20"/>
          <w:szCs w:val="20"/>
          <w:shd w:val="clear" w:color="auto" w:fill="FFFFFF"/>
        </w:rPr>
        <w:t>Ettari</w:t>
      </w:r>
      <w:proofErr w:type="spellEnd"/>
      <w:r w:rsidRPr="00DF72AE">
        <w:rPr>
          <w:rFonts w:ascii="Arial" w:hAnsi="Arial" w:cs="Arial"/>
          <w:color w:val="222222"/>
          <w:sz w:val="20"/>
          <w:szCs w:val="20"/>
          <w:shd w:val="clear" w:color="auto" w:fill="FFFFFF"/>
        </w:rPr>
        <w:t>, R. (2024). The inhibition of NS2B/NS3 protease: A new therapeutic opportunity to treat dengue and Zika virus infection. </w:t>
      </w:r>
      <w:r w:rsidRPr="00DF72AE">
        <w:rPr>
          <w:rFonts w:ascii="Arial" w:hAnsi="Arial" w:cs="Arial"/>
          <w:i/>
          <w:iCs/>
          <w:color w:val="222222"/>
          <w:sz w:val="20"/>
          <w:szCs w:val="20"/>
          <w:shd w:val="clear" w:color="auto" w:fill="FFFFFF"/>
        </w:rPr>
        <w:t>International Journal of Molecular Sciences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25</w:t>
      </w:r>
      <w:r w:rsidRPr="00DF72AE">
        <w:rPr>
          <w:rFonts w:ascii="Arial" w:hAnsi="Arial" w:cs="Arial"/>
          <w:color w:val="222222"/>
          <w:sz w:val="20"/>
          <w:szCs w:val="20"/>
          <w:shd w:val="clear" w:color="auto" w:fill="FFFFFF"/>
        </w:rPr>
        <w:t>(8), 4376.</w:t>
      </w:r>
    </w:p>
    <w:p w14:paraId="13EFA335"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Süntar</w:t>
      </w:r>
      <w:proofErr w:type="spellEnd"/>
      <w:r w:rsidRPr="00DF72AE">
        <w:rPr>
          <w:rFonts w:ascii="Arial" w:hAnsi="Arial" w:cs="Arial"/>
          <w:color w:val="222222"/>
          <w:sz w:val="20"/>
          <w:szCs w:val="20"/>
          <w:shd w:val="clear" w:color="auto" w:fill="FFFFFF"/>
        </w:rPr>
        <w:t>, I. (2020). Importance of ethnopharmacological studies in drug discovery: role of medicinal plants. </w:t>
      </w:r>
      <w:r w:rsidRPr="00DF72AE">
        <w:rPr>
          <w:rFonts w:ascii="Arial" w:hAnsi="Arial" w:cs="Arial"/>
          <w:i/>
          <w:iCs/>
          <w:color w:val="222222"/>
          <w:sz w:val="20"/>
          <w:szCs w:val="20"/>
          <w:shd w:val="clear" w:color="auto" w:fill="FFFFFF"/>
        </w:rPr>
        <w:t>Phytochemistry Reviews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19</w:t>
      </w:r>
      <w:r w:rsidRPr="00DF72AE">
        <w:rPr>
          <w:rFonts w:ascii="Arial" w:hAnsi="Arial" w:cs="Arial"/>
          <w:color w:val="222222"/>
          <w:sz w:val="20"/>
          <w:szCs w:val="20"/>
          <w:shd w:val="clear" w:color="auto" w:fill="FFFFFF"/>
        </w:rPr>
        <w:t>(5), 1199-1209.</w:t>
      </w:r>
    </w:p>
    <w:p w14:paraId="6B54DDC0"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Roaa, M. H. (2020). A review article: The importance of the major groups of plants secondary metabolism phenols, alkaloids, and terpenes. </w:t>
      </w:r>
      <w:r w:rsidRPr="00DF72AE">
        <w:rPr>
          <w:rFonts w:ascii="Arial" w:hAnsi="Arial" w:cs="Arial"/>
          <w:i/>
          <w:iCs/>
          <w:color w:val="222222"/>
          <w:sz w:val="20"/>
          <w:szCs w:val="20"/>
          <w:shd w:val="clear" w:color="auto" w:fill="FFFFFF"/>
        </w:rPr>
        <w:t>International Journal for Research in Applied Sciences and Biotechnology (IJRASB)</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7</w:t>
      </w:r>
      <w:r w:rsidRPr="00DF72AE">
        <w:rPr>
          <w:rFonts w:ascii="Arial" w:hAnsi="Arial" w:cs="Arial"/>
          <w:color w:val="222222"/>
          <w:sz w:val="20"/>
          <w:szCs w:val="20"/>
          <w:shd w:val="clear" w:color="auto" w:fill="FFFFFF"/>
        </w:rPr>
        <w:t>(5), 354-358.</w:t>
      </w:r>
    </w:p>
    <w:p w14:paraId="31CC031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Yang, W., Chen, X., Li, Y., Guo, S., Wang, Z., &amp; Yu, X. (2020). Advances in pharmacological activities of terpenoids. </w:t>
      </w:r>
      <w:r w:rsidRPr="00DF72AE">
        <w:rPr>
          <w:rFonts w:ascii="Arial" w:hAnsi="Arial" w:cs="Arial"/>
          <w:i/>
          <w:iCs/>
          <w:color w:val="222222"/>
          <w:sz w:val="20"/>
          <w:szCs w:val="20"/>
          <w:shd w:val="clear" w:color="auto" w:fill="FFFFFF"/>
        </w:rPr>
        <w:t>Natural Product Communications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(3), 1934578X20903555.</w:t>
      </w:r>
    </w:p>
    <w:p w14:paraId="7AA04CD1"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Mabou, F. D., &amp; Yossa, I. B. N. (2021). TERPENES: Structural classification and biological activities. </w:t>
      </w:r>
      <w:r w:rsidRPr="00DF72AE">
        <w:rPr>
          <w:rFonts w:ascii="Arial" w:hAnsi="Arial" w:cs="Arial"/>
          <w:i/>
          <w:iCs/>
          <w:color w:val="222222"/>
          <w:sz w:val="20"/>
          <w:szCs w:val="20"/>
          <w:shd w:val="clear" w:color="auto" w:fill="FFFFFF"/>
        </w:rPr>
        <w:t>IOSR J Pharm Biol Sci</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16</w:t>
      </w:r>
      <w:r w:rsidRPr="00DF72AE">
        <w:rPr>
          <w:rFonts w:ascii="Arial" w:hAnsi="Arial" w:cs="Arial"/>
          <w:color w:val="222222"/>
          <w:sz w:val="20"/>
          <w:szCs w:val="20"/>
          <w:shd w:val="clear" w:color="auto" w:fill="FFFFFF"/>
        </w:rPr>
        <w:t>, 25-40.</w:t>
      </w:r>
    </w:p>
    <w:p w14:paraId="72AFF39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Elufioye</w:t>
      </w:r>
      <w:proofErr w:type="spellEnd"/>
      <w:r w:rsidRPr="00DF72AE">
        <w:rPr>
          <w:rFonts w:ascii="Arial" w:hAnsi="Arial" w:cs="Arial"/>
          <w:color w:val="222222"/>
          <w:sz w:val="20"/>
          <w:szCs w:val="20"/>
          <w:shd w:val="clear" w:color="auto" w:fill="FFFFFF"/>
        </w:rPr>
        <w:t xml:space="preserve">, T. O., Oyedeji, A. O., &amp; Habtemariam, S. (2022). A review of the traditional uses, phytochemistry and pharmacology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(Lam.</w:t>
      </w:r>
      <w:proofErr w:type="gramStart"/>
      <w:r w:rsidRPr="00DF72AE">
        <w:rPr>
          <w:rFonts w:ascii="Arial" w:hAnsi="Arial" w:cs="Arial"/>
          <w:color w:val="222222"/>
          <w:sz w:val="20"/>
          <w:szCs w:val="20"/>
          <w:shd w:val="clear" w:color="auto" w:fill="FFFFFF"/>
        </w:rPr>
        <w:t>)(</w:t>
      </w:r>
      <w:proofErr w:type="spellStart"/>
      <w:proofErr w:type="gramEnd"/>
      <w:r w:rsidRPr="00DF72AE">
        <w:rPr>
          <w:rFonts w:ascii="Arial" w:hAnsi="Arial" w:cs="Arial"/>
          <w:color w:val="222222"/>
          <w:sz w:val="20"/>
          <w:szCs w:val="20"/>
          <w:shd w:val="clear" w:color="auto" w:fill="FFFFFF"/>
        </w:rPr>
        <w:t>Crassulaceae</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Journal of Biologically Active Products from Nature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12</w:t>
      </w:r>
      <w:r w:rsidRPr="00DF72AE">
        <w:rPr>
          <w:rFonts w:ascii="Arial" w:hAnsi="Arial" w:cs="Arial"/>
          <w:color w:val="222222"/>
          <w:sz w:val="20"/>
          <w:szCs w:val="20"/>
          <w:shd w:val="clear" w:color="auto" w:fill="FFFFFF"/>
        </w:rPr>
        <w:t>(3), 190-222.</w:t>
      </w:r>
    </w:p>
    <w:p w14:paraId="6321103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Long, C. L., &amp; Li, R. (2004). Ethnobotanical studies on medicinal plants used by the Red-headed Yao People in Jinping, Yunnan Province, China. </w:t>
      </w:r>
      <w:r w:rsidRPr="00DF72AE">
        <w:rPr>
          <w:rFonts w:ascii="Arial" w:hAnsi="Arial" w:cs="Arial"/>
          <w:i/>
          <w:iCs/>
          <w:color w:val="222222"/>
          <w:sz w:val="20"/>
          <w:szCs w:val="20"/>
          <w:shd w:val="clear" w:color="auto" w:fill="FFFFFF"/>
        </w:rPr>
        <w:t>Journal of ethnopharmacology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90</w:t>
      </w:r>
      <w:r w:rsidRPr="00DF72AE">
        <w:rPr>
          <w:rFonts w:ascii="Arial" w:hAnsi="Arial" w:cs="Arial"/>
          <w:color w:val="222222"/>
          <w:sz w:val="20"/>
          <w:szCs w:val="20"/>
          <w:shd w:val="clear" w:color="auto" w:fill="FFFFFF"/>
        </w:rPr>
        <w:t>(2-3), 389-395.</w:t>
      </w:r>
    </w:p>
    <w:p w14:paraId="067813E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Sadhana, D., Parveen, S., Bukhari, N.I., Shehzadi, N., Qamar, S., Ijaz, A., Niazi, S.U., Naheed, S. and Latif, A., 2018.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botanical description, vernacular names, parts used, traditional uses, phytochemical and </w:t>
      </w:r>
      <w:proofErr w:type="spellStart"/>
      <w:r w:rsidRPr="00DF72AE">
        <w:rPr>
          <w:rFonts w:ascii="Arial" w:hAnsi="Arial" w:cs="Arial"/>
          <w:color w:val="222222"/>
          <w:sz w:val="20"/>
          <w:szCs w:val="20"/>
          <w:shd w:val="clear" w:color="auto" w:fill="FFFFFF"/>
        </w:rPr>
        <w:t>phrmacological</w:t>
      </w:r>
      <w:proofErr w:type="spellEnd"/>
      <w:r w:rsidRPr="00DF72AE">
        <w:rPr>
          <w:rFonts w:ascii="Arial" w:hAnsi="Arial" w:cs="Arial"/>
          <w:color w:val="222222"/>
          <w:sz w:val="20"/>
          <w:szCs w:val="20"/>
          <w:shd w:val="clear" w:color="auto" w:fill="FFFFFF"/>
        </w:rPr>
        <w:t xml:space="preserve"> activities. </w:t>
      </w:r>
      <w:r w:rsidRPr="00DF72AE">
        <w:rPr>
          <w:rFonts w:ascii="Arial" w:hAnsi="Arial" w:cs="Arial"/>
          <w:i/>
          <w:iCs/>
          <w:color w:val="222222"/>
          <w:sz w:val="20"/>
          <w:szCs w:val="20"/>
          <w:shd w:val="clear" w:color="auto" w:fill="FFFFFF"/>
        </w:rPr>
        <w:t>Pakistan Journal of Pharmacy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30</w:t>
      </w:r>
      <w:r w:rsidRPr="00DF72AE">
        <w:rPr>
          <w:rFonts w:ascii="Arial" w:hAnsi="Arial" w:cs="Arial"/>
          <w:color w:val="222222"/>
          <w:sz w:val="20"/>
          <w:szCs w:val="20"/>
          <w:shd w:val="clear" w:color="auto" w:fill="FFFFFF"/>
        </w:rPr>
        <w:t>(1).</w:t>
      </w:r>
    </w:p>
    <w:p w14:paraId="479F68EB"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Bassey, I. E., Udo, E. F., &amp; </w:t>
      </w:r>
      <w:proofErr w:type="spellStart"/>
      <w:r w:rsidRPr="00DF72AE">
        <w:rPr>
          <w:rFonts w:ascii="Arial" w:hAnsi="Arial" w:cs="Arial"/>
          <w:color w:val="222222"/>
          <w:sz w:val="20"/>
          <w:szCs w:val="20"/>
          <w:shd w:val="clear" w:color="auto" w:fill="FFFFFF"/>
        </w:rPr>
        <w:t>Adesite</w:t>
      </w:r>
      <w:proofErr w:type="spellEnd"/>
      <w:r w:rsidRPr="00DF72AE">
        <w:rPr>
          <w:rFonts w:ascii="Arial" w:hAnsi="Arial" w:cs="Arial"/>
          <w:color w:val="222222"/>
          <w:sz w:val="20"/>
          <w:szCs w:val="20"/>
          <w:shd w:val="clear" w:color="auto" w:fill="FFFFFF"/>
        </w:rPr>
        <w:t xml:space="preserve">, S. O. (2021). Effect of crude aqueous leaves extract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on antioxidant status, blood glucose, lipid profile, liver and renal function indices in albino rats. </w:t>
      </w:r>
      <w:r w:rsidRPr="00DF72AE">
        <w:rPr>
          <w:rFonts w:ascii="Arial" w:hAnsi="Arial" w:cs="Arial"/>
          <w:i/>
          <w:iCs/>
          <w:color w:val="222222"/>
          <w:sz w:val="20"/>
          <w:szCs w:val="20"/>
          <w:shd w:val="clear" w:color="auto" w:fill="FFFFFF"/>
        </w:rPr>
        <w:t>Global Journal of Pure and Applied Sciences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27</w:t>
      </w:r>
      <w:r w:rsidRPr="00DF72AE">
        <w:rPr>
          <w:rFonts w:ascii="Arial" w:hAnsi="Arial" w:cs="Arial"/>
          <w:color w:val="222222"/>
          <w:sz w:val="20"/>
          <w:szCs w:val="20"/>
          <w:shd w:val="clear" w:color="auto" w:fill="FFFFFF"/>
        </w:rPr>
        <w:t>(2), 231-241.</w:t>
      </w:r>
    </w:p>
    <w:p w14:paraId="4988D277"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Ibitoye, O. B., </w:t>
      </w:r>
      <w:proofErr w:type="spellStart"/>
      <w:r w:rsidRPr="00DF72AE">
        <w:rPr>
          <w:rFonts w:ascii="Arial" w:hAnsi="Arial" w:cs="Arial"/>
          <w:color w:val="222222"/>
          <w:sz w:val="20"/>
          <w:szCs w:val="20"/>
          <w:shd w:val="clear" w:color="auto" w:fill="FFFFFF"/>
        </w:rPr>
        <w:t>Olofinsan</w:t>
      </w:r>
      <w:proofErr w:type="spellEnd"/>
      <w:r w:rsidRPr="00DF72AE">
        <w:rPr>
          <w:rFonts w:ascii="Arial" w:hAnsi="Arial" w:cs="Arial"/>
          <w:color w:val="222222"/>
          <w:sz w:val="20"/>
          <w:szCs w:val="20"/>
          <w:shd w:val="clear" w:color="auto" w:fill="FFFFFF"/>
        </w:rPr>
        <w:t xml:space="preserve">, K. A., </w:t>
      </w:r>
      <w:proofErr w:type="spellStart"/>
      <w:r w:rsidRPr="00DF72AE">
        <w:rPr>
          <w:rFonts w:ascii="Arial" w:hAnsi="Arial" w:cs="Arial"/>
          <w:color w:val="222222"/>
          <w:sz w:val="20"/>
          <w:szCs w:val="20"/>
          <w:shd w:val="clear" w:color="auto" w:fill="FFFFFF"/>
        </w:rPr>
        <w:t>Teralı</w:t>
      </w:r>
      <w:proofErr w:type="spellEnd"/>
      <w:r w:rsidRPr="00DF72AE">
        <w:rPr>
          <w:rFonts w:ascii="Arial" w:hAnsi="Arial" w:cs="Arial"/>
          <w:color w:val="222222"/>
          <w:sz w:val="20"/>
          <w:szCs w:val="20"/>
          <w:shd w:val="clear" w:color="auto" w:fill="FFFFFF"/>
        </w:rPr>
        <w:t>, K., Ghali, U. M., &amp; Ajiboye, T. O. (2018). Bioactivity</w:t>
      </w:r>
      <w:r w:rsidRPr="00DF72AE">
        <w:rPr>
          <w:rFonts w:ascii="Cambria Math" w:hAnsi="Cambria Math" w:cs="Cambria Math"/>
          <w:color w:val="222222"/>
          <w:sz w:val="20"/>
          <w:szCs w:val="20"/>
          <w:shd w:val="clear" w:color="auto" w:fill="FFFFFF"/>
        </w:rPr>
        <w:t>‐</w:t>
      </w:r>
      <w:r w:rsidRPr="00DF72AE">
        <w:rPr>
          <w:rFonts w:ascii="Arial" w:hAnsi="Arial" w:cs="Arial"/>
          <w:color w:val="222222"/>
          <w:sz w:val="20"/>
          <w:szCs w:val="20"/>
          <w:shd w:val="clear" w:color="auto" w:fill="FFFFFF"/>
        </w:rPr>
        <w:t xml:space="preserve">guided isolation of antidiabetic principles from the methanolic leaf extract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Journal of Food Biochemistry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42</w:t>
      </w:r>
      <w:r w:rsidRPr="00DF72AE">
        <w:rPr>
          <w:rFonts w:ascii="Arial" w:hAnsi="Arial" w:cs="Arial"/>
          <w:color w:val="222222"/>
          <w:sz w:val="20"/>
          <w:szCs w:val="20"/>
          <w:shd w:val="clear" w:color="auto" w:fill="FFFFFF"/>
        </w:rPr>
        <w:t>(5), e12627.</w:t>
      </w:r>
    </w:p>
    <w:p w14:paraId="20FF09EE"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lastRenderedPageBreak/>
        <w:t>Ojewole</w:t>
      </w:r>
      <w:proofErr w:type="spellEnd"/>
      <w:r w:rsidRPr="00DF72AE">
        <w:rPr>
          <w:rFonts w:ascii="Arial" w:hAnsi="Arial" w:cs="Arial"/>
          <w:color w:val="222222"/>
          <w:sz w:val="20"/>
          <w:szCs w:val="20"/>
          <w:shd w:val="clear" w:color="auto" w:fill="FFFFFF"/>
        </w:rPr>
        <w:t xml:space="preserve">, J. A. (2002). P-2: Antihypertensive properties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{(Lam) </w:t>
      </w:r>
      <w:proofErr w:type="spellStart"/>
      <w:r w:rsidRPr="00DF72AE">
        <w:rPr>
          <w:rFonts w:ascii="Arial" w:hAnsi="Arial" w:cs="Arial"/>
          <w:color w:val="222222"/>
          <w:sz w:val="20"/>
          <w:szCs w:val="20"/>
          <w:shd w:val="clear" w:color="auto" w:fill="FFFFFF"/>
        </w:rPr>
        <w:t>Oken</w:t>
      </w:r>
      <w:proofErr w:type="spellEnd"/>
      <w:r w:rsidRPr="00DF72AE">
        <w:rPr>
          <w:rFonts w:ascii="Arial" w:hAnsi="Arial" w:cs="Arial"/>
          <w:color w:val="222222"/>
          <w:sz w:val="20"/>
          <w:szCs w:val="20"/>
          <w:shd w:val="clear" w:color="auto" w:fill="FFFFFF"/>
        </w:rPr>
        <w:t>} leaf extracts. </w:t>
      </w:r>
      <w:r w:rsidRPr="00DF72AE">
        <w:rPr>
          <w:rFonts w:ascii="Arial" w:hAnsi="Arial" w:cs="Arial"/>
          <w:i/>
          <w:iCs/>
          <w:color w:val="222222"/>
          <w:sz w:val="20"/>
          <w:szCs w:val="20"/>
          <w:shd w:val="clear" w:color="auto" w:fill="FFFFFF"/>
        </w:rPr>
        <w:t>American Journal of Hypertension</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(S3), 34A.</w:t>
      </w:r>
    </w:p>
    <w:p w14:paraId="732CBC1C"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Daniel, I. E., Akpan, E. I., &amp; Utam, E. C. (2020). Phytochemical evaluation, antioxidant and antimicrobial activities of various extracts from leaves and stems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Nepal Journal of Biotechnology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8</w:t>
      </w:r>
      <w:r w:rsidRPr="00DF72AE">
        <w:rPr>
          <w:rFonts w:ascii="Arial" w:hAnsi="Arial" w:cs="Arial"/>
          <w:color w:val="222222"/>
          <w:sz w:val="20"/>
          <w:szCs w:val="20"/>
          <w:shd w:val="clear" w:color="auto" w:fill="FFFFFF"/>
        </w:rPr>
        <w:t>(1), 17-28.</w:t>
      </w:r>
    </w:p>
    <w:p w14:paraId="16397769"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Akinsulire</w:t>
      </w:r>
      <w:proofErr w:type="spellEnd"/>
      <w:r w:rsidRPr="00DF72AE">
        <w:rPr>
          <w:rFonts w:ascii="Arial" w:hAnsi="Arial" w:cs="Arial"/>
          <w:color w:val="222222"/>
          <w:sz w:val="20"/>
          <w:szCs w:val="20"/>
          <w:shd w:val="clear" w:color="auto" w:fill="FFFFFF"/>
        </w:rPr>
        <w:t xml:space="preserve">, O. R., </w:t>
      </w:r>
      <w:proofErr w:type="spellStart"/>
      <w:r w:rsidRPr="00DF72AE">
        <w:rPr>
          <w:rFonts w:ascii="Arial" w:hAnsi="Arial" w:cs="Arial"/>
          <w:color w:val="222222"/>
          <w:sz w:val="20"/>
          <w:szCs w:val="20"/>
          <w:shd w:val="clear" w:color="auto" w:fill="FFFFFF"/>
        </w:rPr>
        <w:t>Aibin</w:t>
      </w:r>
      <w:proofErr w:type="spellEnd"/>
      <w:r w:rsidRPr="00DF72AE">
        <w:rPr>
          <w:rFonts w:ascii="Arial" w:hAnsi="Arial" w:cs="Arial"/>
          <w:color w:val="222222"/>
          <w:sz w:val="20"/>
          <w:szCs w:val="20"/>
          <w:shd w:val="clear" w:color="auto" w:fill="FFFFFF"/>
        </w:rPr>
        <w:t xml:space="preserve">, I. E., </w:t>
      </w:r>
      <w:proofErr w:type="spellStart"/>
      <w:r w:rsidRPr="00DF72AE">
        <w:rPr>
          <w:rFonts w:ascii="Arial" w:hAnsi="Arial" w:cs="Arial"/>
          <w:color w:val="222222"/>
          <w:sz w:val="20"/>
          <w:szCs w:val="20"/>
          <w:shd w:val="clear" w:color="auto" w:fill="FFFFFF"/>
        </w:rPr>
        <w:t>Adenipekun</w:t>
      </w:r>
      <w:proofErr w:type="spellEnd"/>
      <w:r w:rsidRPr="00DF72AE">
        <w:rPr>
          <w:rFonts w:ascii="Arial" w:hAnsi="Arial" w:cs="Arial"/>
          <w:color w:val="222222"/>
          <w:sz w:val="20"/>
          <w:szCs w:val="20"/>
          <w:shd w:val="clear" w:color="auto" w:fill="FFFFFF"/>
        </w:rPr>
        <w:t xml:space="preserve">, T., </w:t>
      </w:r>
      <w:proofErr w:type="spellStart"/>
      <w:r w:rsidRPr="00DF72AE">
        <w:rPr>
          <w:rFonts w:ascii="Arial" w:hAnsi="Arial" w:cs="Arial"/>
          <w:color w:val="222222"/>
          <w:sz w:val="20"/>
          <w:szCs w:val="20"/>
          <w:shd w:val="clear" w:color="auto" w:fill="FFFFFF"/>
        </w:rPr>
        <w:t>Adelowotan</w:t>
      </w:r>
      <w:proofErr w:type="spellEnd"/>
      <w:r w:rsidRPr="00DF72AE">
        <w:rPr>
          <w:rFonts w:ascii="Arial" w:hAnsi="Arial" w:cs="Arial"/>
          <w:color w:val="222222"/>
          <w:sz w:val="20"/>
          <w:szCs w:val="20"/>
          <w:shd w:val="clear" w:color="auto" w:fill="FFFFFF"/>
        </w:rPr>
        <w:t xml:space="preserve">, T., &amp; </w:t>
      </w:r>
      <w:proofErr w:type="spellStart"/>
      <w:r w:rsidRPr="00DF72AE">
        <w:rPr>
          <w:rFonts w:ascii="Arial" w:hAnsi="Arial" w:cs="Arial"/>
          <w:color w:val="222222"/>
          <w:sz w:val="20"/>
          <w:szCs w:val="20"/>
          <w:shd w:val="clear" w:color="auto" w:fill="FFFFFF"/>
        </w:rPr>
        <w:t>Odugbemi</w:t>
      </w:r>
      <w:proofErr w:type="spellEnd"/>
      <w:r w:rsidRPr="00DF72AE">
        <w:rPr>
          <w:rFonts w:ascii="Arial" w:hAnsi="Arial" w:cs="Arial"/>
          <w:color w:val="222222"/>
          <w:sz w:val="20"/>
          <w:szCs w:val="20"/>
          <w:shd w:val="clear" w:color="auto" w:fill="FFFFFF"/>
        </w:rPr>
        <w:t xml:space="preserve">, T. (2007). In vitro antimicrobial activity of crude extracts from plants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and </w:t>
      </w:r>
      <w:proofErr w:type="spellStart"/>
      <w:r w:rsidRPr="00DF72AE">
        <w:rPr>
          <w:rFonts w:ascii="Arial" w:hAnsi="Arial" w:cs="Arial"/>
          <w:color w:val="222222"/>
          <w:sz w:val="20"/>
          <w:szCs w:val="20"/>
          <w:shd w:val="clear" w:color="auto" w:fill="FFFFFF"/>
        </w:rPr>
        <w:t>Kalanchoe</w:t>
      </w:r>
      <w:proofErr w:type="spellEnd"/>
      <w:r w:rsidRPr="00DF72AE">
        <w:rPr>
          <w:rFonts w:ascii="Arial" w:hAnsi="Arial" w:cs="Arial"/>
          <w:color w:val="222222"/>
          <w:sz w:val="20"/>
          <w:szCs w:val="20"/>
          <w:shd w:val="clear" w:color="auto" w:fill="FFFFFF"/>
        </w:rPr>
        <w:t xml:space="preserve"> crenata. </w:t>
      </w:r>
      <w:r w:rsidRPr="00DF72AE">
        <w:rPr>
          <w:rFonts w:ascii="Arial" w:hAnsi="Arial" w:cs="Arial"/>
          <w:i/>
          <w:iCs/>
          <w:color w:val="222222"/>
          <w:sz w:val="20"/>
          <w:szCs w:val="20"/>
          <w:shd w:val="clear" w:color="auto" w:fill="FFFFFF"/>
        </w:rPr>
        <w:t>African Journal of Traditional, Complementary and Alternative Medicines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w:t>
      </w:r>
      <w:r w:rsidRPr="00DF72AE">
        <w:rPr>
          <w:rFonts w:ascii="Arial" w:hAnsi="Arial" w:cs="Arial"/>
          <w:color w:val="222222"/>
          <w:sz w:val="20"/>
          <w:szCs w:val="20"/>
          <w:shd w:val="clear" w:color="auto" w:fill="FFFFFF"/>
        </w:rPr>
        <w:t>(3), 338-344.</w:t>
      </w:r>
    </w:p>
    <w:p w14:paraId="35A6A6BA"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Kamboj, A., &amp; Saluja, A. (2009).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xml:space="preserve"> (Lam.) Kurz.: phytochemical and pharmacological profile: a review. </w:t>
      </w:r>
      <w:r w:rsidRPr="00DF72AE">
        <w:rPr>
          <w:rFonts w:ascii="Arial" w:hAnsi="Arial" w:cs="Arial"/>
          <w:i/>
          <w:iCs/>
          <w:color w:val="222222"/>
          <w:sz w:val="20"/>
          <w:szCs w:val="20"/>
          <w:shd w:val="clear" w:color="auto" w:fill="FFFFFF"/>
        </w:rPr>
        <w:t>Pharmacognosy Reviews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w:t>
      </w:r>
      <w:r w:rsidRPr="00DF72AE">
        <w:rPr>
          <w:rFonts w:ascii="Arial" w:hAnsi="Arial" w:cs="Arial"/>
          <w:color w:val="222222"/>
          <w:sz w:val="20"/>
          <w:szCs w:val="20"/>
          <w:shd w:val="clear" w:color="auto" w:fill="FFFFFF"/>
        </w:rPr>
        <w:t>(6), 364.</w:t>
      </w:r>
    </w:p>
    <w:p w14:paraId="5556EE2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Selvakumar, P. (2022). Phytochemical and pharmacological profile review of </w:t>
      </w:r>
      <w:proofErr w:type="spellStart"/>
      <w:r w:rsidRPr="00DF72AE">
        <w:rPr>
          <w:rFonts w:ascii="Arial" w:hAnsi="Arial" w:cs="Arial"/>
          <w:color w:val="222222"/>
          <w:sz w:val="20"/>
          <w:szCs w:val="20"/>
          <w:shd w:val="clear" w:color="auto" w:fill="FFFFFF"/>
        </w:rPr>
        <w:t>Bryophyllum</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pinnatum</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Biomedical and Biotechnology Research Journal (BBRJ)</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6</w:t>
      </w:r>
      <w:r w:rsidRPr="00DF72AE">
        <w:rPr>
          <w:rFonts w:ascii="Arial" w:hAnsi="Arial" w:cs="Arial"/>
          <w:color w:val="222222"/>
          <w:sz w:val="20"/>
          <w:szCs w:val="20"/>
          <w:shd w:val="clear" w:color="auto" w:fill="FFFFFF"/>
        </w:rPr>
        <w:t>(3), 295-301.</w:t>
      </w:r>
    </w:p>
    <w:p w14:paraId="02FB6467"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Niazi, S. K., &amp; Mariam, Z. (2023). Computer-aided drug design and drug discovery: a prospective analysis. </w:t>
      </w:r>
      <w:r w:rsidRPr="00DF72AE">
        <w:rPr>
          <w:rFonts w:ascii="Arial" w:hAnsi="Arial" w:cs="Arial"/>
          <w:i/>
          <w:iCs/>
          <w:color w:val="222222"/>
          <w:sz w:val="20"/>
          <w:szCs w:val="20"/>
          <w:shd w:val="clear" w:color="auto" w:fill="FFFFFF"/>
        </w:rPr>
        <w:t>Pharmaceuticals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17</w:t>
      </w:r>
      <w:r w:rsidRPr="00DF72AE">
        <w:rPr>
          <w:rFonts w:ascii="Arial" w:hAnsi="Arial" w:cs="Arial"/>
          <w:color w:val="222222"/>
          <w:sz w:val="20"/>
          <w:szCs w:val="20"/>
          <w:shd w:val="clear" w:color="auto" w:fill="FFFFFF"/>
        </w:rPr>
        <w:t>(1), 22.</w:t>
      </w:r>
    </w:p>
    <w:p w14:paraId="01477E2A"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Tiwari, A., &amp; Singh, S. (2022). Computational approaches in drug designing. In </w:t>
      </w:r>
      <w:r w:rsidRPr="00DF72AE">
        <w:rPr>
          <w:rFonts w:ascii="Arial" w:hAnsi="Arial" w:cs="Arial"/>
          <w:i/>
          <w:iCs/>
          <w:color w:val="222222"/>
          <w:sz w:val="20"/>
          <w:szCs w:val="20"/>
          <w:shd w:val="clear" w:color="auto" w:fill="FFFFFF"/>
        </w:rPr>
        <w:t>Bioinformatics</w:t>
      </w:r>
      <w:r w:rsidRPr="00DF72AE">
        <w:rPr>
          <w:rFonts w:ascii="Arial" w:hAnsi="Arial" w:cs="Arial"/>
          <w:color w:val="222222"/>
          <w:sz w:val="20"/>
          <w:szCs w:val="20"/>
          <w:shd w:val="clear" w:color="auto" w:fill="FFFFFF"/>
        </w:rPr>
        <w:t> (pp. 207-217). Academic Press.</w:t>
      </w:r>
    </w:p>
    <w:p w14:paraId="2EBFD453"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Bhagat, R. T., </w:t>
      </w:r>
      <w:proofErr w:type="spellStart"/>
      <w:r w:rsidRPr="00DF72AE">
        <w:rPr>
          <w:rFonts w:ascii="Arial" w:hAnsi="Arial" w:cs="Arial"/>
          <w:color w:val="222222"/>
          <w:sz w:val="20"/>
          <w:szCs w:val="20"/>
          <w:shd w:val="clear" w:color="auto" w:fill="FFFFFF"/>
        </w:rPr>
        <w:t>Butle</w:t>
      </w:r>
      <w:proofErr w:type="spellEnd"/>
      <w:r w:rsidRPr="00DF72AE">
        <w:rPr>
          <w:rFonts w:ascii="Arial" w:hAnsi="Arial" w:cs="Arial"/>
          <w:color w:val="222222"/>
          <w:sz w:val="20"/>
          <w:szCs w:val="20"/>
          <w:shd w:val="clear" w:color="auto" w:fill="FFFFFF"/>
        </w:rPr>
        <w:t xml:space="preserve">, S. R., Khobragade, D. S., Wankhede, S. B., Prasad, C. C., </w:t>
      </w:r>
      <w:proofErr w:type="spellStart"/>
      <w:r w:rsidRPr="00DF72AE">
        <w:rPr>
          <w:rFonts w:ascii="Arial" w:hAnsi="Arial" w:cs="Arial"/>
          <w:color w:val="222222"/>
          <w:sz w:val="20"/>
          <w:szCs w:val="20"/>
          <w:shd w:val="clear" w:color="auto" w:fill="FFFFFF"/>
        </w:rPr>
        <w:t>Mahure</w:t>
      </w:r>
      <w:proofErr w:type="spellEnd"/>
      <w:r w:rsidRPr="00DF72AE">
        <w:rPr>
          <w:rFonts w:ascii="Arial" w:hAnsi="Arial" w:cs="Arial"/>
          <w:color w:val="222222"/>
          <w:sz w:val="20"/>
          <w:szCs w:val="20"/>
          <w:shd w:val="clear" w:color="auto" w:fill="FFFFFF"/>
        </w:rPr>
        <w:t xml:space="preserve">, D. S., &amp; </w:t>
      </w:r>
      <w:proofErr w:type="spellStart"/>
      <w:r w:rsidRPr="00DF72AE">
        <w:rPr>
          <w:rFonts w:ascii="Arial" w:hAnsi="Arial" w:cs="Arial"/>
          <w:color w:val="222222"/>
          <w:sz w:val="20"/>
          <w:szCs w:val="20"/>
          <w:shd w:val="clear" w:color="auto" w:fill="FFFFFF"/>
        </w:rPr>
        <w:t>Armarkar</w:t>
      </w:r>
      <w:proofErr w:type="spellEnd"/>
      <w:r w:rsidRPr="00DF72AE">
        <w:rPr>
          <w:rFonts w:ascii="Arial" w:hAnsi="Arial" w:cs="Arial"/>
          <w:color w:val="222222"/>
          <w:sz w:val="20"/>
          <w:szCs w:val="20"/>
          <w:shd w:val="clear" w:color="auto" w:fill="FFFFFF"/>
        </w:rPr>
        <w:t>, A. V. (2021). Molecular docking in drug discovery. </w:t>
      </w:r>
      <w:r w:rsidRPr="00DF72AE">
        <w:rPr>
          <w:rFonts w:ascii="Arial" w:hAnsi="Arial" w:cs="Arial"/>
          <w:i/>
          <w:iCs/>
          <w:color w:val="222222"/>
          <w:sz w:val="20"/>
          <w:szCs w:val="20"/>
          <w:shd w:val="clear" w:color="auto" w:fill="FFFFFF"/>
        </w:rPr>
        <w:t>J Pharm Res Int</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33</w:t>
      </w:r>
      <w:r w:rsidRPr="00DF72AE">
        <w:rPr>
          <w:rFonts w:ascii="Arial" w:hAnsi="Arial" w:cs="Arial"/>
          <w:color w:val="222222"/>
          <w:sz w:val="20"/>
          <w:szCs w:val="20"/>
          <w:shd w:val="clear" w:color="auto" w:fill="FFFFFF"/>
        </w:rPr>
        <w:t>(30B), 46-58.</w:t>
      </w:r>
    </w:p>
    <w:p w14:paraId="10412E1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Jakhar, R., Dangi, M., </w:t>
      </w:r>
      <w:proofErr w:type="spellStart"/>
      <w:r w:rsidRPr="00DF72AE">
        <w:rPr>
          <w:rFonts w:ascii="Arial" w:hAnsi="Arial" w:cs="Arial"/>
          <w:color w:val="222222"/>
          <w:sz w:val="20"/>
          <w:szCs w:val="20"/>
          <w:shd w:val="clear" w:color="auto" w:fill="FFFFFF"/>
        </w:rPr>
        <w:t>Khichi</w:t>
      </w:r>
      <w:proofErr w:type="spellEnd"/>
      <w:r w:rsidRPr="00DF72AE">
        <w:rPr>
          <w:rFonts w:ascii="Arial" w:hAnsi="Arial" w:cs="Arial"/>
          <w:color w:val="222222"/>
          <w:sz w:val="20"/>
          <w:szCs w:val="20"/>
          <w:shd w:val="clear" w:color="auto" w:fill="FFFFFF"/>
        </w:rPr>
        <w:t xml:space="preserve">, A., &amp; </w:t>
      </w:r>
      <w:proofErr w:type="spellStart"/>
      <w:r w:rsidRPr="00DF72AE">
        <w:rPr>
          <w:rFonts w:ascii="Arial" w:hAnsi="Arial" w:cs="Arial"/>
          <w:color w:val="222222"/>
          <w:sz w:val="20"/>
          <w:szCs w:val="20"/>
          <w:shd w:val="clear" w:color="auto" w:fill="FFFFFF"/>
        </w:rPr>
        <w:t>Chhillar</w:t>
      </w:r>
      <w:proofErr w:type="spellEnd"/>
      <w:r w:rsidRPr="00DF72AE">
        <w:rPr>
          <w:rFonts w:ascii="Arial" w:hAnsi="Arial" w:cs="Arial"/>
          <w:color w:val="222222"/>
          <w:sz w:val="20"/>
          <w:szCs w:val="20"/>
          <w:shd w:val="clear" w:color="auto" w:fill="FFFFFF"/>
        </w:rPr>
        <w:t>, A. K. (2020). Relevance of molecular docking studies in drug designing. </w:t>
      </w:r>
      <w:r w:rsidRPr="00DF72AE">
        <w:rPr>
          <w:rFonts w:ascii="Arial" w:hAnsi="Arial" w:cs="Arial"/>
          <w:i/>
          <w:iCs/>
          <w:color w:val="222222"/>
          <w:sz w:val="20"/>
          <w:szCs w:val="20"/>
          <w:shd w:val="clear" w:color="auto" w:fill="FFFFFF"/>
        </w:rPr>
        <w:t>Current Bioinformatics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15</w:t>
      </w:r>
      <w:r w:rsidRPr="00DF72AE">
        <w:rPr>
          <w:rFonts w:ascii="Arial" w:hAnsi="Arial" w:cs="Arial"/>
          <w:color w:val="222222"/>
          <w:sz w:val="20"/>
          <w:szCs w:val="20"/>
          <w:shd w:val="clear" w:color="auto" w:fill="FFFFFF"/>
        </w:rPr>
        <w:t>(4), 270-278.</w:t>
      </w:r>
    </w:p>
    <w:p w14:paraId="2F911888"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Shukla, R., &amp; Tripathi, T. (2020). Molecular dynamics simulation of protein and protein–ligand complexes. In </w:t>
      </w:r>
      <w:r w:rsidRPr="00DF72AE">
        <w:rPr>
          <w:rFonts w:ascii="Arial" w:hAnsi="Arial" w:cs="Arial"/>
          <w:i/>
          <w:iCs/>
          <w:color w:val="222222"/>
          <w:sz w:val="20"/>
          <w:szCs w:val="20"/>
          <w:shd w:val="clear" w:color="auto" w:fill="FFFFFF"/>
        </w:rPr>
        <w:t>Computer-aided drug design</w:t>
      </w:r>
      <w:r w:rsidRPr="00DF72AE">
        <w:rPr>
          <w:rFonts w:ascii="Arial" w:hAnsi="Arial" w:cs="Arial"/>
          <w:color w:val="222222"/>
          <w:sz w:val="20"/>
          <w:szCs w:val="20"/>
          <w:shd w:val="clear" w:color="auto" w:fill="FFFFFF"/>
        </w:rPr>
        <w:t> (pp. 133-161). Singapore: Springer Singapore.</w:t>
      </w:r>
    </w:p>
    <w:p w14:paraId="6C66ED23"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Badar, M. S., Shamsi, S., Ahmed, J., &amp; Alam, M. A. (2022). Molecular dynamics simulations: concept, methods, and applications. In </w:t>
      </w:r>
      <w:proofErr w:type="spellStart"/>
      <w:r w:rsidRPr="00DF72AE">
        <w:rPr>
          <w:rFonts w:ascii="Arial" w:hAnsi="Arial" w:cs="Arial"/>
          <w:i/>
          <w:iCs/>
          <w:color w:val="222222"/>
          <w:sz w:val="20"/>
          <w:szCs w:val="20"/>
          <w:shd w:val="clear" w:color="auto" w:fill="FFFFFF"/>
        </w:rPr>
        <w:t>Transdisciplinarity</w:t>
      </w:r>
      <w:proofErr w:type="spellEnd"/>
      <w:r w:rsidRPr="00DF72AE">
        <w:rPr>
          <w:rFonts w:ascii="Arial" w:hAnsi="Arial" w:cs="Arial"/>
          <w:color w:val="222222"/>
          <w:sz w:val="20"/>
          <w:szCs w:val="20"/>
          <w:shd w:val="clear" w:color="auto" w:fill="FFFFFF"/>
        </w:rPr>
        <w:t> (pp. 131-151). Cham: Springer International Publishing.</w:t>
      </w:r>
    </w:p>
    <w:p w14:paraId="43A44419"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Obi, J. O., Gutierrez-Barbosa, H., Chua, J. V., &amp; </w:t>
      </w:r>
      <w:proofErr w:type="spellStart"/>
      <w:r w:rsidRPr="00DF72AE">
        <w:rPr>
          <w:rFonts w:ascii="Arial" w:hAnsi="Arial" w:cs="Arial"/>
          <w:color w:val="222222"/>
          <w:sz w:val="20"/>
          <w:szCs w:val="20"/>
          <w:shd w:val="clear" w:color="auto" w:fill="FFFFFF"/>
        </w:rPr>
        <w:t>Deredge</w:t>
      </w:r>
      <w:proofErr w:type="spellEnd"/>
      <w:r w:rsidRPr="00DF72AE">
        <w:rPr>
          <w:rFonts w:ascii="Arial" w:hAnsi="Arial" w:cs="Arial"/>
          <w:color w:val="222222"/>
          <w:sz w:val="20"/>
          <w:szCs w:val="20"/>
          <w:shd w:val="clear" w:color="auto" w:fill="FFFFFF"/>
        </w:rPr>
        <w:t>, D. J. (2021). Current trends and limitations in dengue antiviral research. </w:t>
      </w:r>
      <w:r w:rsidRPr="00DF72AE">
        <w:rPr>
          <w:rFonts w:ascii="Arial" w:hAnsi="Arial" w:cs="Arial"/>
          <w:i/>
          <w:iCs/>
          <w:color w:val="222222"/>
          <w:sz w:val="20"/>
          <w:szCs w:val="20"/>
          <w:shd w:val="clear" w:color="auto" w:fill="FFFFFF"/>
        </w:rPr>
        <w:t>Tropical Medicine and Infectious Disease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6</w:t>
      </w:r>
      <w:r w:rsidRPr="00DF72AE">
        <w:rPr>
          <w:rFonts w:ascii="Arial" w:hAnsi="Arial" w:cs="Arial"/>
          <w:color w:val="222222"/>
          <w:sz w:val="20"/>
          <w:szCs w:val="20"/>
          <w:shd w:val="clear" w:color="auto" w:fill="FFFFFF"/>
        </w:rPr>
        <w:t>(4), 180.</w:t>
      </w:r>
    </w:p>
    <w:p w14:paraId="0FD5565E"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Zhou, G., Lo, E., </w:t>
      </w:r>
      <w:proofErr w:type="spellStart"/>
      <w:r w:rsidRPr="00DF72AE">
        <w:rPr>
          <w:rFonts w:ascii="Arial" w:hAnsi="Arial" w:cs="Arial"/>
          <w:color w:val="222222"/>
          <w:sz w:val="20"/>
          <w:szCs w:val="20"/>
          <w:shd w:val="clear" w:color="auto" w:fill="FFFFFF"/>
        </w:rPr>
        <w:t>Githeko</w:t>
      </w:r>
      <w:proofErr w:type="spellEnd"/>
      <w:r w:rsidRPr="00DF72AE">
        <w:rPr>
          <w:rFonts w:ascii="Arial" w:hAnsi="Arial" w:cs="Arial"/>
          <w:color w:val="222222"/>
          <w:sz w:val="20"/>
          <w:szCs w:val="20"/>
          <w:shd w:val="clear" w:color="auto" w:fill="FFFFFF"/>
        </w:rPr>
        <w:t xml:space="preserve">, A. K., </w:t>
      </w:r>
      <w:proofErr w:type="spellStart"/>
      <w:r w:rsidRPr="00DF72AE">
        <w:rPr>
          <w:rFonts w:ascii="Arial" w:hAnsi="Arial" w:cs="Arial"/>
          <w:color w:val="222222"/>
          <w:sz w:val="20"/>
          <w:szCs w:val="20"/>
          <w:shd w:val="clear" w:color="auto" w:fill="FFFFFF"/>
        </w:rPr>
        <w:t>Afrane</w:t>
      </w:r>
      <w:proofErr w:type="spellEnd"/>
      <w:r w:rsidRPr="00DF72AE">
        <w:rPr>
          <w:rFonts w:ascii="Arial" w:hAnsi="Arial" w:cs="Arial"/>
          <w:color w:val="222222"/>
          <w:sz w:val="20"/>
          <w:szCs w:val="20"/>
          <w:shd w:val="clear" w:color="auto" w:fill="FFFFFF"/>
        </w:rPr>
        <w:t>, Y. A., &amp; Yan, G. (2020). Long-lasting microbial larvicides for controlling insecticide resistant and outdoor transmitting vectors: a cost-effective supplement for malaria interventions. </w:t>
      </w:r>
      <w:r w:rsidRPr="00DF72AE">
        <w:rPr>
          <w:rFonts w:ascii="Arial" w:hAnsi="Arial" w:cs="Arial"/>
          <w:i/>
          <w:iCs/>
          <w:color w:val="222222"/>
          <w:sz w:val="20"/>
          <w:szCs w:val="20"/>
          <w:shd w:val="clear" w:color="auto" w:fill="FFFFFF"/>
        </w:rPr>
        <w:t>Infectious diseases of poverty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9</w:t>
      </w:r>
      <w:r w:rsidRPr="00DF72AE">
        <w:rPr>
          <w:rFonts w:ascii="Arial" w:hAnsi="Arial" w:cs="Arial"/>
          <w:color w:val="222222"/>
          <w:sz w:val="20"/>
          <w:szCs w:val="20"/>
          <w:shd w:val="clear" w:color="auto" w:fill="FFFFFF"/>
        </w:rPr>
        <w:t>(06), 83-90.</w:t>
      </w:r>
    </w:p>
    <w:p w14:paraId="065EFB1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Vieira Santos, V. S., Caixeta, E. S., Campos Júnior, E. O. D., &amp; Pereira, B. B. (2017). Ecotoxicological effects of larvicide used in the control of Aedes aegypti on nontarget organisms: Redefining the use of pyriproxyfen. </w:t>
      </w:r>
      <w:r w:rsidRPr="00DF72AE">
        <w:rPr>
          <w:rFonts w:ascii="Arial" w:hAnsi="Arial" w:cs="Arial"/>
          <w:i/>
          <w:iCs/>
          <w:color w:val="222222"/>
          <w:sz w:val="20"/>
          <w:szCs w:val="20"/>
          <w:shd w:val="clear" w:color="auto" w:fill="FFFFFF"/>
        </w:rPr>
        <w:t>Journal of Toxicology and Environmental Health, Part A</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80</w:t>
      </w:r>
      <w:r w:rsidRPr="00DF72AE">
        <w:rPr>
          <w:rFonts w:ascii="Arial" w:hAnsi="Arial" w:cs="Arial"/>
          <w:color w:val="222222"/>
          <w:sz w:val="20"/>
          <w:szCs w:val="20"/>
          <w:shd w:val="clear" w:color="auto" w:fill="FFFFFF"/>
        </w:rPr>
        <w:t>(3), 155-160.</w:t>
      </w:r>
    </w:p>
    <w:p w14:paraId="04D44C66"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 xml:space="preserve">Trott, O., &amp; Olson, A. J. (2010). </w:t>
      </w:r>
      <w:proofErr w:type="spellStart"/>
      <w:r w:rsidRPr="00DF72AE">
        <w:rPr>
          <w:rFonts w:ascii="Arial" w:hAnsi="Arial" w:cs="Arial"/>
          <w:color w:val="222222"/>
          <w:sz w:val="20"/>
          <w:szCs w:val="20"/>
          <w:shd w:val="clear" w:color="auto" w:fill="FFFFFF"/>
        </w:rPr>
        <w:t>AutoDock</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Vina</w:t>
      </w:r>
      <w:proofErr w:type="spellEnd"/>
      <w:r w:rsidRPr="00DF72AE">
        <w:rPr>
          <w:rFonts w:ascii="Arial" w:hAnsi="Arial" w:cs="Arial"/>
          <w:color w:val="222222"/>
          <w:sz w:val="20"/>
          <w:szCs w:val="20"/>
          <w:shd w:val="clear" w:color="auto" w:fill="FFFFFF"/>
        </w:rPr>
        <w:t>: improving the speed and accuracy of docking with a new scoring function, efficient optimization, and multithreading. </w:t>
      </w:r>
      <w:r w:rsidRPr="00DF72AE">
        <w:rPr>
          <w:rFonts w:ascii="Arial" w:hAnsi="Arial" w:cs="Arial"/>
          <w:i/>
          <w:iCs/>
          <w:color w:val="222222"/>
          <w:sz w:val="20"/>
          <w:szCs w:val="20"/>
          <w:shd w:val="clear" w:color="auto" w:fill="FFFFFF"/>
        </w:rPr>
        <w:t>Journal of computational 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31</w:t>
      </w:r>
      <w:r w:rsidRPr="00DF72AE">
        <w:rPr>
          <w:rFonts w:ascii="Arial" w:hAnsi="Arial" w:cs="Arial"/>
          <w:color w:val="222222"/>
          <w:sz w:val="20"/>
          <w:szCs w:val="20"/>
          <w:shd w:val="clear" w:color="auto" w:fill="FFFFFF"/>
        </w:rPr>
        <w:t>(2), 455-461.</w:t>
      </w:r>
    </w:p>
    <w:p w14:paraId="5F8395C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lastRenderedPageBreak/>
        <w:t>Famuyiwa</w:t>
      </w:r>
      <w:proofErr w:type="spellEnd"/>
      <w:r w:rsidRPr="00DF72AE">
        <w:rPr>
          <w:rFonts w:ascii="Arial" w:hAnsi="Arial" w:cs="Arial"/>
          <w:color w:val="222222"/>
          <w:sz w:val="20"/>
          <w:szCs w:val="20"/>
          <w:shd w:val="clear" w:color="auto" w:fill="FFFFFF"/>
        </w:rPr>
        <w:t xml:space="preserve">, S.O., Ahmad, S., </w:t>
      </w:r>
      <w:proofErr w:type="spellStart"/>
      <w:r w:rsidRPr="00DF72AE">
        <w:rPr>
          <w:rFonts w:ascii="Arial" w:hAnsi="Arial" w:cs="Arial"/>
          <w:color w:val="222222"/>
          <w:sz w:val="20"/>
          <w:szCs w:val="20"/>
          <w:shd w:val="clear" w:color="auto" w:fill="FFFFFF"/>
        </w:rPr>
        <w:t>Fakola</w:t>
      </w:r>
      <w:proofErr w:type="spellEnd"/>
      <w:r w:rsidRPr="00DF72AE">
        <w:rPr>
          <w:rFonts w:ascii="Arial" w:hAnsi="Arial" w:cs="Arial"/>
          <w:color w:val="222222"/>
          <w:sz w:val="20"/>
          <w:szCs w:val="20"/>
          <w:shd w:val="clear" w:color="auto" w:fill="FFFFFF"/>
        </w:rPr>
        <w:t xml:space="preserve">, E.G., </w:t>
      </w:r>
      <w:proofErr w:type="spellStart"/>
      <w:r w:rsidRPr="00DF72AE">
        <w:rPr>
          <w:rFonts w:ascii="Arial" w:hAnsi="Arial" w:cs="Arial"/>
          <w:color w:val="222222"/>
          <w:sz w:val="20"/>
          <w:szCs w:val="20"/>
          <w:shd w:val="clear" w:color="auto" w:fill="FFFFFF"/>
        </w:rPr>
        <w:t>Olusola</w:t>
      </w:r>
      <w:proofErr w:type="spellEnd"/>
      <w:r w:rsidRPr="00DF72AE">
        <w:rPr>
          <w:rFonts w:ascii="Arial" w:hAnsi="Arial" w:cs="Arial"/>
          <w:color w:val="222222"/>
          <w:sz w:val="20"/>
          <w:szCs w:val="20"/>
          <w:shd w:val="clear" w:color="auto" w:fill="FFFFFF"/>
        </w:rPr>
        <w:t xml:space="preserve">, A.J., </w:t>
      </w:r>
      <w:proofErr w:type="spellStart"/>
      <w:r w:rsidRPr="00DF72AE">
        <w:rPr>
          <w:rFonts w:ascii="Arial" w:hAnsi="Arial" w:cs="Arial"/>
          <w:color w:val="222222"/>
          <w:sz w:val="20"/>
          <w:szCs w:val="20"/>
          <w:shd w:val="clear" w:color="auto" w:fill="FFFFFF"/>
        </w:rPr>
        <w:t>Adesida</w:t>
      </w:r>
      <w:proofErr w:type="spellEnd"/>
      <w:r w:rsidRPr="00DF72AE">
        <w:rPr>
          <w:rFonts w:ascii="Arial" w:hAnsi="Arial" w:cs="Arial"/>
          <w:color w:val="222222"/>
          <w:sz w:val="20"/>
          <w:szCs w:val="20"/>
          <w:shd w:val="clear" w:color="auto" w:fill="FFFFFF"/>
        </w:rPr>
        <w:t xml:space="preserve">, S.A., </w:t>
      </w:r>
      <w:proofErr w:type="spellStart"/>
      <w:r w:rsidRPr="00DF72AE">
        <w:rPr>
          <w:rFonts w:ascii="Arial" w:hAnsi="Arial" w:cs="Arial"/>
          <w:color w:val="222222"/>
          <w:sz w:val="20"/>
          <w:szCs w:val="20"/>
          <w:shd w:val="clear" w:color="auto" w:fill="FFFFFF"/>
        </w:rPr>
        <w:t>Obagunle</w:t>
      </w:r>
      <w:proofErr w:type="spellEnd"/>
      <w:r w:rsidRPr="00DF72AE">
        <w:rPr>
          <w:rFonts w:ascii="Arial" w:hAnsi="Arial" w:cs="Arial"/>
          <w:color w:val="222222"/>
          <w:sz w:val="20"/>
          <w:szCs w:val="20"/>
          <w:shd w:val="clear" w:color="auto" w:fill="FFFFFF"/>
        </w:rPr>
        <w:t xml:space="preserve">, F.O., Raza, K., </w:t>
      </w:r>
      <w:proofErr w:type="spellStart"/>
      <w:r w:rsidRPr="00DF72AE">
        <w:rPr>
          <w:rFonts w:ascii="Arial" w:hAnsi="Arial" w:cs="Arial"/>
          <w:color w:val="222222"/>
          <w:sz w:val="20"/>
          <w:szCs w:val="20"/>
          <w:shd w:val="clear" w:color="auto" w:fill="FFFFFF"/>
        </w:rPr>
        <w:t>Ugwo</w:t>
      </w:r>
      <w:proofErr w:type="spellEnd"/>
      <w:r w:rsidRPr="00DF72AE">
        <w:rPr>
          <w:rFonts w:ascii="Arial" w:hAnsi="Arial" w:cs="Arial"/>
          <w:color w:val="222222"/>
          <w:sz w:val="20"/>
          <w:szCs w:val="20"/>
          <w:shd w:val="clear" w:color="auto" w:fill="FFFFFF"/>
        </w:rPr>
        <w:t xml:space="preserve">, J.P., </w:t>
      </w:r>
      <w:proofErr w:type="spellStart"/>
      <w:r w:rsidRPr="00DF72AE">
        <w:rPr>
          <w:rFonts w:ascii="Arial" w:hAnsi="Arial" w:cs="Arial"/>
          <w:color w:val="222222"/>
          <w:sz w:val="20"/>
          <w:szCs w:val="20"/>
          <w:shd w:val="clear" w:color="auto" w:fill="FFFFFF"/>
        </w:rPr>
        <w:t>Oyelekan</w:t>
      </w:r>
      <w:proofErr w:type="spellEnd"/>
      <w:r w:rsidRPr="00DF72AE">
        <w:rPr>
          <w:rFonts w:ascii="Arial" w:hAnsi="Arial" w:cs="Arial"/>
          <w:color w:val="222222"/>
          <w:sz w:val="20"/>
          <w:szCs w:val="20"/>
          <w:shd w:val="clear" w:color="auto" w:fill="FFFFFF"/>
        </w:rPr>
        <w:t xml:space="preserve">, E.I. and </w:t>
      </w:r>
      <w:proofErr w:type="spellStart"/>
      <w:r w:rsidRPr="00DF72AE">
        <w:rPr>
          <w:rFonts w:ascii="Arial" w:hAnsi="Arial" w:cs="Arial"/>
          <w:color w:val="222222"/>
          <w:sz w:val="20"/>
          <w:szCs w:val="20"/>
          <w:shd w:val="clear" w:color="auto" w:fill="FFFFFF"/>
        </w:rPr>
        <w:t>Faloye</w:t>
      </w:r>
      <w:proofErr w:type="spellEnd"/>
      <w:r w:rsidRPr="00DF72AE">
        <w:rPr>
          <w:rFonts w:ascii="Arial" w:hAnsi="Arial" w:cs="Arial"/>
          <w:color w:val="222222"/>
          <w:sz w:val="20"/>
          <w:szCs w:val="20"/>
          <w:shd w:val="clear" w:color="auto" w:fill="FFFFFF"/>
        </w:rPr>
        <w:t xml:space="preserve">, K.O., 2023. Comprehensive computational studies of naturally occurring </w:t>
      </w:r>
      <w:proofErr w:type="spellStart"/>
      <w:r w:rsidRPr="00DF72AE">
        <w:rPr>
          <w:rFonts w:ascii="Arial" w:hAnsi="Arial" w:cs="Arial"/>
          <w:color w:val="222222"/>
          <w:sz w:val="20"/>
          <w:szCs w:val="20"/>
          <w:shd w:val="clear" w:color="auto" w:fill="FFFFFF"/>
        </w:rPr>
        <w:t>kuguacins</w:t>
      </w:r>
      <w:proofErr w:type="spellEnd"/>
      <w:r w:rsidRPr="00DF72AE">
        <w:rPr>
          <w:rFonts w:ascii="Arial" w:hAnsi="Arial" w:cs="Arial"/>
          <w:color w:val="222222"/>
          <w:sz w:val="20"/>
          <w:szCs w:val="20"/>
          <w:shd w:val="clear" w:color="auto" w:fill="FFFFFF"/>
        </w:rPr>
        <w:t xml:space="preserve"> as </w:t>
      </w:r>
      <w:proofErr w:type="spellStart"/>
      <w:r w:rsidRPr="00DF72AE">
        <w:rPr>
          <w:rFonts w:ascii="Arial" w:hAnsi="Arial" w:cs="Arial"/>
          <w:color w:val="222222"/>
          <w:sz w:val="20"/>
          <w:szCs w:val="20"/>
          <w:shd w:val="clear" w:color="auto" w:fill="FFFFFF"/>
        </w:rPr>
        <w:t>antidiabetic</w:t>
      </w:r>
      <w:proofErr w:type="spellEnd"/>
      <w:r w:rsidRPr="00DF72AE">
        <w:rPr>
          <w:rFonts w:ascii="Arial" w:hAnsi="Arial" w:cs="Arial"/>
          <w:color w:val="222222"/>
          <w:sz w:val="20"/>
          <w:szCs w:val="20"/>
          <w:shd w:val="clear" w:color="auto" w:fill="FFFFFF"/>
        </w:rPr>
        <w:t xml:space="preserve"> agents by targeting </w:t>
      </w:r>
      <w:proofErr w:type="spellStart"/>
      <w:r w:rsidRPr="00DF72AE">
        <w:rPr>
          <w:rFonts w:ascii="Arial" w:hAnsi="Arial" w:cs="Arial"/>
          <w:color w:val="222222"/>
          <w:sz w:val="20"/>
          <w:szCs w:val="20"/>
          <w:shd w:val="clear" w:color="auto" w:fill="FFFFFF"/>
        </w:rPr>
        <w:t>visfatin</w:t>
      </w:r>
      <w:proofErr w:type="spell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Chemistry Africa</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6</w:t>
      </w:r>
      <w:r w:rsidRPr="00DF72AE">
        <w:rPr>
          <w:rFonts w:ascii="Arial" w:hAnsi="Arial" w:cs="Arial"/>
          <w:color w:val="222222"/>
          <w:sz w:val="20"/>
          <w:szCs w:val="20"/>
          <w:shd w:val="clear" w:color="auto" w:fill="FFFFFF"/>
        </w:rPr>
        <w:t>(3),1415-1427.</w:t>
      </w:r>
    </w:p>
    <w:p w14:paraId="56150FDD"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Famuyiwa</w:t>
      </w:r>
      <w:proofErr w:type="spellEnd"/>
      <w:r w:rsidRPr="00DF72AE">
        <w:rPr>
          <w:rFonts w:ascii="Arial" w:hAnsi="Arial" w:cs="Arial"/>
          <w:color w:val="222222"/>
          <w:sz w:val="20"/>
          <w:szCs w:val="20"/>
          <w:shd w:val="clear" w:color="auto" w:fill="FFFFFF"/>
        </w:rPr>
        <w:t xml:space="preserve">, S.O., Ahmad, S., </w:t>
      </w:r>
      <w:proofErr w:type="spellStart"/>
      <w:r w:rsidRPr="00DF72AE">
        <w:rPr>
          <w:rFonts w:ascii="Arial" w:hAnsi="Arial" w:cs="Arial"/>
          <w:color w:val="222222"/>
          <w:sz w:val="20"/>
          <w:szCs w:val="20"/>
          <w:shd w:val="clear" w:color="auto" w:fill="FFFFFF"/>
        </w:rPr>
        <w:t>Olufolabo</w:t>
      </w:r>
      <w:proofErr w:type="spellEnd"/>
      <w:r w:rsidRPr="00DF72AE">
        <w:rPr>
          <w:rFonts w:ascii="Arial" w:hAnsi="Arial" w:cs="Arial"/>
          <w:color w:val="222222"/>
          <w:sz w:val="20"/>
          <w:szCs w:val="20"/>
          <w:shd w:val="clear" w:color="auto" w:fill="FFFFFF"/>
        </w:rPr>
        <w:t xml:space="preserve">, K.O., </w:t>
      </w:r>
      <w:proofErr w:type="spellStart"/>
      <w:r w:rsidRPr="00DF72AE">
        <w:rPr>
          <w:rFonts w:ascii="Arial" w:hAnsi="Arial" w:cs="Arial"/>
          <w:color w:val="222222"/>
          <w:sz w:val="20"/>
          <w:szCs w:val="20"/>
          <w:shd w:val="clear" w:color="auto" w:fill="FFFFFF"/>
        </w:rPr>
        <w:t>Olanudun</w:t>
      </w:r>
      <w:proofErr w:type="spellEnd"/>
      <w:r w:rsidRPr="00DF72AE">
        <w:rPr>
          <w:rFonts w:ascii="Arial" w:hAnsi="Arial" w:cs="Arial"/>
          <w:color w:val="222222"/>
          <w:sz w:val="20"/>
          <w:szCs w:val="20"/>
          <w:shd w:val="clear" w:color="auto" w:fill="FFFFFF"/>
        </w:rPr>
        <w:t xml:space="preserve">, E.A., Bano, N., </w:t>
      </w:r>
      <w:proofErr w:type="spellStart"/>
      <w:r w:rsidRPr="00DF72AE">
        <w:rPr>
          <w:rFonts w:ascii="Arial" w:hAnsi="Arial" w:cs="Arial"/>
          <w:color w:val="222222"/>
          <w:sz w:val="20"/>
          <w:szCs w:val="20"/>
          <w:shd w:val="clear" w:color="auto" w:fill="FFFFFF"/>
        </w:rPr>
        <w:t>Oguntimehin</w:t>
      </w:r>
      <w:proofErr w:type="spellEnd"/>
      <w:r w:rsidRPr="00DF72AE">
        <w:rPr>
          <w:rFonts w:ascii="Arial" w:hAnsi="Arial" w:cs="Arial"/>
          <w:color w:val="222222"/>
          <w:sz w:val="20"/>
          <w:szCs w:val="20"/>
          <w:shd w:val="clear" w:color="auto" w:fill="FFFFFF"/>
        </w:rPr>
        <w:t xml:space="preserve">, S.A., </w:t>
      </w:r>
      <w:proofErr w:type="spellStart"/>
      <w:r w:rsidRPr="00DF72AE">
        <w:rPr>
          <w:rFonts w:ascii="Arial" w:hAnsi="Arial" w:cs="Arial"/>
          <w:color w:val="222222"/>
          <w:sz w:val="20"/>
          <w:szCs w:val="20"/>
          <w:shd w:val="clear" w:color="auto" w:fill="FFFFFF"/>
        </w:rPr>
        <w:t>Adesida</w:t>
      </w:r>
      <w:proofErr w:type="spellEnd"/>
      <w:r w:rsidRPr="00DF72AE">
        <w:rPr>
          <w:rFonts w:ascii="Arial" w:hAnsi="Arial" w:cs="Arial"/>
          <w:color w:val="222222"/>
          <w:sz w:val="20"/>
          <w:szCs w:val="20"/>
          <w:shd w:val="clear" w:color="auto" w:fill="FFFFFF"/>
        </w:rPr>
        <w:t xml:space="preserve">, S.A., </w:t>
      </w:r>
      <w:proofErr w:type="spellStart"/>
      <w:r w:rsidRPr="00DF72AE">
        <w:rPr>
          <w:rFonts w:ascii="Arial" w:hAnsi="Arial" w:cs="Arial"/>
          <w:color w:val="222222"/>
          <w:sz w:val="20"/>
          <w:szCs w:val="20"/>
          <w:shd w:val="clear" w:color="auto" w:fill="FFFFFF"/>
        </w:rPr>
        <w:t>Oyelekan</w:t>
      </w:r>
      <w:proofErr w:type="spellEnd"/>
      <w:r w:rsidRPr="00DF72AE">
        <w:rPr>
          <w:rFonts w:ascii="Arial" w:hAnsi="Arial" w:cs="Arial"/>
          <w:color w:val="222222"/>
          <w:sz w:val="20"/>
          <w:szCs w:val="20"/>
          <w:shd w:val="clear" w:color="auto" w:fill="FFFFFF"/>
        </w:rPr>
        <w:t xml:space="preserve">, E.I., Raza, K. and </w:t>
      </w:r>
      <w:proofErr w:type="spellStart"/>
      <w:r w:rsidRPr="00DF72AE">
        <w:rPr>
          <w:rFonts w:ascii="Arial" w:hAnsi="Arial" w:cs="Arial"/>
          <w:color w:val="222222"/>
          <w:sz w:val="20"/>
          <w:szCs w:val="20"/>
          <w:shd w:val="clear" w:color="auto" w:fill="FFFFFF"/>
        </w:rPr>
        <w:t>Faloye</w:t>
      </w:r>
      <w:proofErr w:type="spellEnd"/>
      <w:r w:rsidRPr="00DF72AE">
        <w:rPr>
          <w:rFonts w:ascii="Arial" w:hAnsi="Arial" w:cs="Arial"/>
          <w:color w:val="222222"/>
          <w:sz w:val="20"/>
          <w:szCs w:val="20"/>
          <w:shd w:val="clear" w:color="auto" w:fill="FFFFFF"/>
        </w:rPr>
        <w:t xml:space="preserve">, K.O., 2025. Investigating the multitargeted anti-diabetic potential of </w:t>
      </w:r>
      <w:proofErr w:type="spellStart"/>
      <w:r w:rsidRPr="00DF72AE">
        <w:rPr>
          <w:rFonts w:ascii="Arial" w:hAnsi="Arial" w:cs="Arial"/>
          <w:color w:val="222222"/>
          <w:sz w:val="20"/>
          <w:szCs w:val="20"/>
          <w:shd w:val="clear" w:color="auto" w:fill="FFFFFF"/>
        </w:rPr>
        <w:t>cucurbitane</w:t>
      </w:r>
      <w:proofErr w:type="spellEnd"/>
      <w:r w:rsidRPr="00DF72AE">
        <w:rPr>
          <w:rFonts w:ascii="Arial" w:hAnsi="Arial" w:cs="Arial"/>
          <w:color w:val="222222"/>
          <w:sz w:val="20"/>
          <w:szCs w:val="20"/>
          <w:shd w:val="clear" w:color="auto" w:fill="FFFFFF"/>
        </w:rPr>
        <w:t xml:space="preserve">-type </w:t>
      </w:r>
      <w:proofErr w:type="spellStart"/>
      <w:r w:rsidRPr="00DF72AE">
        <w:rPr>
          <w:rFonts w:ascii="Arial" w:hAnsi="Arial" w:cs="Arial"/>
          <w:color w:val="222222"/>
          <w:sz w:val="20"/>
          <w:szCs w:val="20"/>
          <w:shd w:val="clear" w:color="auto" w:fill="FFFFFF"/>
        </w:rPr>
        <w:t>triterpenoid</w:t>
      </w:r>
      <w:proofErr w:type="spellEnd"/>
      <w:r w:rsidRPr="00DF72AE">
        <w:rPr>
          <w:rFonts w:ascii="Arial" w:hAnsi="Arial" w:cs="Arial"/>
          <w:color w:val="222222"/>
          <w:sz w:val="20"/>
          <w:szCs w:val="20"/>
          <w:shd w:val="clear" w:color="auto" w:fill="FFFFFF"/>
        </w:rPr>
        <w:t xml:space="preserve"> from </w:t>
      </w:r>
      <w:proofErr w:type="spellStart"/>
      <w:r w:rsidRPr="00DF72AE">
        <w:rPr>
          <w:rFonts w:ascii="Arial" w:hAnsi="Arial" w:cs="Arial"/>
          <w:color w:val="222222"/>
          <w:sz w:val="20"/>
          <w:szCs w:val="20"/>
          <w:shd w:val="clear" w:color="auto" w:fill="FFFFFF"/>
        </w:rPr>
        <w:t>Momordica</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charantia</w:t>
      </w:r>
      <w:proofErr w:type="spellEnd"/>
      <w:r w:rsidRPr="00DF72AE">
        <w:rPr>
          <w:rFonts w:ascii="Arial" w:hAnsi="Arial" w:cs="Arial"/>
          <w:color w:val="222222"/>
          <w:sz w:val="20"/>
          <w:szCs w:val="20"/>
          <w:shd w:val="clear" w:color="auto" w:fill="FFFFFF"/>
        </w:rPr>
        <w:t>: An LC-MS, docking-based MM\GBSA and MD simulation study. </w:t>
      </w:r>
      <w:r w:rsidRPr="00DF72AE">
        <w:rPr>
          <w:rFonts w:ascii="Arial" w:hAnsi="Arial" w:cs="Arial"/>
          <w:i/>
          <w:iCs/>
          <w:color w:val="222222"/>
          <w:sz w:val="20"/>
          <w:szCs w:val="20"/>
          <w:shd w:val="clear" w:color="auto" w:fill="FFFFFF"/>
        </w:rPr>
        <w:t>Journal of Biomolecular Structure and Dynamics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43</w:t>
      </w:r>
      <w:r w:rsidRPr="00DF72AE">
        <w:rPr>
          <w:rFonts w:ascii="Arial" w:hAnsi="Arial" w:cs="Arial"/>
          <w:color w:val="222222"/>
          <w:sz w:val="20"/>
          <w:szCs w:val="20"/>
          <w:shd w:val="clear" w:color="auto" w:fill="FFFFFF"/>
        </w:rPr>
        <w:t>(3),1159-1170.</w:t>
      </w:r>
    </w:p>
    <w:p w14:paraId="010E69B4"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proofErr w:type="spellStart"/>
      <w:r w:rsidRPr="00DF72AE">
        <w:rPr>
          <w:rFonts w:ascii="Arial" w:hAnsi="Arial" w:cs="Arial"/>
          <w:color w:val="222222"/>
          <w:sz w:val="20"/>
          <w:szCs w:val="20"/>
          <w:shd w:val="clear" w:color="auto" w:fill="FFFFFF"/>
        </w:rPr>
        <w:t>Torgerson</w:t>
      </w:r>
      <w:proofErr w:type="spellEnd"/>
      <w:r w:rsidRPr="00DF72AE">
        <w:rPr>
          <w:rFonts w:ascii="Arial" w:hAnsi="Arial" w:cs="Arial"/>
          <w:color w:val="222222"/>
          <w:sz w:val="20"/>
          <w:szCs w:val="20"/>
          <w:shd w:val="clear" w:color="auto" w:fill="FFFFFF"/>
        </w:rPr>
        <w:t xml:space="preserve">, P.R., </w:t>
      </w:r>
      <w:proofErr w:type="spellStart"/>
      <w:r w:rsidRPr="00DF72AE">
        <w:rPr>
          <w:rFonts w:ascii="Arial" w:hAnsi="Arial" w:cs="Arial"/>
          <w:color w:val="222222"/>
          <w:sz w:val="20"/>
          <w:szCs w:val="20"/>
          <w:shd w:val="clear" w:color="auto" w:fill="FFFFFF"/>
        </w:rPr>
        <w:t>Devleesschauwer</w:t>
      </w:r>
      <w:proofErr w:type="spellEnd"/>
      <w:r w:rsidRPr="00DF72AE">
        <w:rPr>
          <w:rFonts w:ascii="Arial" w:hAnsi="Arial" w:cs="Arial"/>
          <w:color w:val="222222"/>
          <w:sz w:val="20"/>
          <w:szCs w:val="20"/>
          <w:shd w:val="clear" w:color="auto" w:fill="FFFFFF"/>
        </w:rPr>
        <w:t xml:space="preserve">, B., Praet, N., </w:t>
      </w:r>
      <w:proofErr w:type="spellStart"/>
      <w:r w:rsidRPr="00DF72AE">
        <w:rPr>
          <w:rFonts w:ascii="Arial" w:hAnsi="Arial" w:cs="Arial"/>
          <w:color w:val="222222"/>
          <w:sz w:val="20"/>
          <w:szCs w:val="20"/>
          <w:shd w:val="clear" w:color="auto" w:fill="FFFFFF"/>
        </w:rPr>
        <w:t>Speybroeck</w:t>
      </w:r>
      <w:proofErr w:type="spellEnd"/>
      <w:r w:rsidRPr="00DF72AE">
        <w:rPr>
          <w:rFonts w:ascii="Arial" w:hAnsi="Arial" w:cs="Arial"/>
          <w:color w:val="222222"/>
          <w:sz w:val="20"/>
          <w:szCs w:val="20"/>
          <w:shd w:val="clear" w:color="auto" w:fill="FFFFFF"/>
        </w:rPr>
        <w:t xml:space="preserve">, N., Willingham, A.L., Kasuga, F., </w:t>
      </w:r>
      <w:proofErr w:type="spellStart"/>
      <w:r w:rsidRPr="00DF72AE">
        <w:rPr>
          <w:rFonts w:ascii="Arial" w:hAnsi="Arial" w:cs="Arial"/>
          <w:color w:val="222222"/>
          <w:sz w:val="20"/>
          <w:szCs w:val="20"/>
          <w:shd w:val="clear" w:color="auto" w:fill="FFFFFF"/>
        </w:rPr>
        <w:t>Rokni</w:t>
      </w:r>
      <w:proofErr w:type="spellEnd"/>
      <w:r w:rsidRPr="00DF72AE">
        <w:rPr>
          <w:rFonts w:ascii="Arial" w:hAnsi="Arial" w:cs="Arial"/>
          <w:color w:val="222222"/>
          <w:sz w:val="20"/>
          <w:szCs w:val="20"/>
          <w:shd w:val="clear" w:color="auto" w:fill="FFFFFF"/>
        </w:rPr>
        <w:t>, M.B., Zhou, X.N., Fèvre, E.M., Sripa, B. and Gargouri, N., 2015. World Health Organization estimates of the global and regional disease burden of 11 foodborne parasitic diseases, 2010: a data synthesis. </w:t>
      </w:r>
      <w:proofErr w:type="spellStart"/>
      <w:r w:rsidRPr="00DF72AE">
        <w:rPr>
          <w:rFonts w:ascii="Arial" w:hAnsi="Arial" w:cs="Arial"/>
          <w:i/>
          <w:iCs/>
          <w:color w:val="222222"/>
          <w:sz w:val="20"/>
          <w:szCs w:val="20"/>
          <w:shd w:val="clear" w:color="auto" w:fill="FFFFFF"/>
        </w:rPr>
        <w:t>PLoS</w:t>
      </w:r>
      <w:proofErr w:type="spellEnd"/>
      <w:r w:rsidRPr="00DF72AE">
        <w:rPr>
          <w:rFonts w:ascii="Arial" w:hAnsi="Arial" w:cs="Arial"/>
          <w:i/>
          <w:iCs/>
          <w:color w:val="222222"/>
          <w:sz w:val="20"/>
          <w:szCs w:val="20"/>
          <w:shd w:val="clear" w:color="auto" w:fill="FFFFFF"/>
        </w:rPr>
        <w:t xml:space="preserve"> medicine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12</w:t>
      </w:r>
      <w:r w:rsidRPr="00DF72AE">
        <w:rPr>
          <w:rFonts w:ascii="Arial" w:hAnsi="Arial" w:cs="Arial"/>
          <w:color w:val="222222"/>
          <w:sz w:val="20"/>
          <w:szCs w:val="20"/>
          <w:shd w:val="clear" w:color="auto" w:fill="FFFFFF"/>
        </w:rPr>
        <w:t>(12), p.e1001920.</w:t>
      </w:r>
    </w:p>
    <w:p w14:paraId="20F9DEC2" w14:textId="77777777" w:rsidR="00934AEC" w:rsidRPr="00DF72AE" w:rsidRDefault="00934AEC" w:rsidP="00934AEC">
      <w:pPr>
        <w:pStyle w:val="ListParagraph"/>
        <w:numPr>
          <w:ilvl w:val="0"/>
          <w:numId w:val="31"/>
        </w:numPr>
        <w:spacing w:line="276" w:lineRule="auto"/>
        <w:jc w:val="both"/>
        <w:rPr>
          <w:rFonts w:ascii="Arial" w:hAnsi="Arial" w:cs="Arial"/>
          <w:sz w:val="20"/>
          <w:szCs w:val="20"/>
        </w:rPr>
      </w:pPr>
      <w:r w:rsidRPr="00DF72AE">
        <w:rPr>
          <w:rFonts w:ascii="Arial" w:hAnsi="Arial" w:cs="Arial"/>
          <w:color w:val="222222"/>
          <w:sz w:val="20"/>
          <w:szCs w:val="20"/>
          <w:shd w:val="clear" w:color="auto" w:fill="FFFFFF"/>
        </w:rPr>
        <w:t>Mitra, A. K., &amp; Mawson, A. R. (2017). Neglected tropical diseases: epidemiology and global burden. </w:t>
      </w:r>
      <w:r w:rsidRPr="00DF72AE">
        <w:rPr>
          <w:rFonts w:ascii="Arial" w:hAnsi="Arial" w:cs="Arial"/>
          <w:i/>
          <w:iCs/>
          <w:color w:val="222222"/>
          <w:sz w:val="20"/>
          <w:szCs w:val="20"/>
          <w:shd w:val="clear" w:color="auto" w:fill="FFFFFF"/>
        </w:rPr>
        <w:t>Tropical medicine and infectious disease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w:t>
      </w:r>
      <w:r w:rsidRPr="00DF72AE">
        <w:rPr>
          <w:rFonts w:ascii="Arial" w:hAnsi="Arial" w:cs="Arial"/>
          <w:color w:val="222222"/>
          <w:sz w:val="20"/>
          <w:szCs w:val="20"/>
          <w:shd w:val="clear" w:color="auto" w:fill="FFFFFF"/>
        </w:rPr>
        <w:t>(3), 36.</w:t>
      </w:r>
    </w:p>
    <w:p w14:paraId="2CE36D14"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Socha, W., Kwasnik, M., </w:t>
      </w:r>
      <w:proofErr w:type="spellStart"/>
      <w:r w:rsidRPr="00DF72AE">
        <w:rPr>
          <w:rFonts w:ascii="Arial" w:hAnsi="Arial" w:cs="Arial"/>
          <w:color w:val="222222"/>
          <w:sz w:val="20"/>
          <w:szCs w:val="20"/>
          <w:shd w:val="clear" w:color="auto" w:fill="FFFFFF"/>
        </w:rPr>
        <w:t>Larska</w:t>
      </w:r>
      <w:proofErr w:type="spellEnd"/>
      <w:r w:rsidRPr="00DF72AE">
        <w:rPr>
          <w:rFonts w:ascii="Arial" w:hAnsi="Arial" w:cs="Arial"/>
          <w:color w:val="222222"/>
          <w:sz w:val="20"/>
          <w:szCs w:val="20"/>
          <w:shd w:val="clear" w:color="auto" w:fill="FFFFFF"/>
        </w:rPr>
        <w:t>, M., Rola, J., &amp; Rozek, W. (2022). Vector-borne viral diseases as a current threat for human and animal health—One Health perspective. </w:t>
      </w:r>
      <w:r w:rsidRPr="00DF72AE">
        <w:rPr>
          <w:rFonts w:ascii="Arial" w:hAnsi="Arial" w:cs="Arial"/>
          <w:i/>
          <w:iCs/>
          <w:color w:val="222222"/>
          <w:sz w:val="20"/>
          <w:szCs w:val="20"/>
          <w:shd w:val="clear" w:color="auto" w:fill="FFFFFF"/>
        </w:rPr>
        <w:t>Journal of Clinical Medicine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w:t>
      </w:r>
      <w:r w:rsidRPr="00DF72AE">
        <w:rPr>
          <w:rFonts w:ascii="Arial" w:hAnsi="Arial" w:cs="Arial"/>
          <w:color w:val="222222"/>
          <w:sz w:val="20"/>
          <w:szCs w:val="20"/>
          <w:shd w:val="clear" w:color="auto" w:fill="FFFFFF"/>
        </w:rPr>
        <w:t>(11), 3026.</w:t>
      </w:r>
    </w:p>
    <w:p w14:paraId="2BDC6AE0"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Anoopkumar, A. N., &amp; Aneesh, E. M. (2022). A critical assessment of mosquito control and the influence of climate change on mosquito-borne disease epidemics. </w:t>
      </w:r>
      <w:r w:rsidRPr="00DF72AE">
        <w:rPr>
          <w:rFonts w:ascii="Arial" w:hAnsi="Arial" w:cs="Arial"/>
          <w:i/>
          <w:iCs/>
          <w:color w:val="222222"/>
          <w:sz w:val="20"/>
          <w:szCs w:val="20"/>
          <w:shd w:val="clear" w:color="auto" w:fill="FFFFFF"/>
        </w:rPr>
        <w:t>Environment, Development and Sustainability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24</w:t>
      </w:r>
      <w:r w:rsidRPr="00DF72AE">
        <w:rPr>
          <w:rFonts w:ascii="Arial" w:hAnsi="Arial" w:cs="Arial"/>
          <w:color w:val="222222"/>
          <w:sz w:val="20"/>
          <w:szCs w:val="20"/>
          <w:shd w:val="clear" w:color="auto" w:fill="FFFFFF"/>
        </w:rPr>
        <w:t>(6), 8900-8929.</w:t>
      </w:r>
    </w:p>
    <w:p w14:paraId="41FCE3F6"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Powell, J. R. (2018). Mosquito-borne human viral diseases: why Aedes aegypti</w:t>
      </w:r>
      <w:proofErr w:type="gramStart"/>
      <w:r w:rsidRPr="00DF72AE">
        <w:rPr>
          <w:rFonts w:ascii="Arial" w:hAnsi="Arial" w:cs="Arial"/>
          <w:color w:val="222222"/>
          <w:sz w:val="20"/>
          <w:szCs w:val="20"/>
          <w:shd w:val="clear" w:color="auto" w:fill="FFFFFF"/>
        </w:rPr>
        <w:t>?.</w:t>
      </w:r>
      <w:proofErr w:type="gramEnd"/>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The American journal of tropical medicine and hygiene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98</w:t>
      </w:r>
      <w:r w:rsidRPr="00DF72AE">
        <w:rPr>
          <w:rFonts w:ascii="Arial" w:hAnsi="Arial" w:cs="Arial"/>
          <w:color w:val="222222"/>
          <w:sz w:val="20"/>
          <w:szCs w:val="20"/>
          <w:shd w:val="clear" w:color="auto" w:fill="FFFFFF"/>
        </w:rPr>
        <w:t>(6), 1563.</w:t>
      </w:r>
    </w:p>
    <w:p w14:paraId="1DC228A0"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Khetarpal, N., &amp; Khanna, I. (2016). Dengue fever: causes, complications, and vaccine strategies. </w:t>
      </w:r>
      <w:r w:rsidRPr="00DF72AE">
        <w:rPr>
          <w:rFonts w:ascii="Arial" w:hAnsi="Arial" w:cs="Arial"/>
          <w:i/>
          <w:iCs/>
          <w:color w:val="222222"/>
          <w:sz w:val="20"/>
          <w:szCs w:val="20"/>
          <w:shd w:val="clear" w:color="auto" w:fill="FFFFFF"/>
        </w:rPr>
        <w:t>Journal of immunology research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2016</w:t>
      </w:r>
      <w:r w:rsidRPr="00DF72AE">
        <w:rPr>
          <w:rFonts w:ascii="Arial" w:hAnsi="Arial" w:cs="Arial"/>
          <w:color w:val="222222"/>
          <w:sz w:val="20"/>
          <w:szCs w:val="20"/>
          <w:shd w:val="clear" w:color="auto" w:fill="FFFFFF"/>
        </w:rPr>
        <w:t>(1), 6803098.</w:t>
      </w:r>
    </w:p>
    <w:p w14:paraId="3C9D5299"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proofErr w:type="spellStart"/>
      <w:r w:rsidRPr="00DF72AE">
        <w:rPr>
          <w:rFonts w:ascii="Arial" w:hAnsi="Arial" w:cs="Arial"/>
          <w:color w:val="222222"/>
          <w:sz w:val="20"/>
          <w:szCs w:val="20"/>
          <w:shd w:val="clear" w:color="auto" w:fill="FFFFFF"/>
        </w:rPr>
        <w:t>Shridhar</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Pattar</w:t>
      </w:r>
      <w:proofErr w:type="spellEnd"/>
      <w:r w:rsidRPr="00DF72AE">
        <w:rPr>
          <w:rFonts w:ascii="Arial" w:hAnsi="Arial" w:cs="Arial"/>
          <w:color w:val="222222"/>
          <w:sz w:val="20"/>
          <w:szCs w:val="20"/>
          <w:shd w:val="clear" w:color="auto" w:fill="FFFFFF"/>
        </w:rPr>
        <w:t>, S. S., Panda, P. K., &amp; Rijal, P. (2023). Dengue as an emerging infection and co-infections: An update. </w:t>
      </w:r>
      <w:r w:rsidRPr="00DF72AE">
        <w:rPr>
          <w:rFonts w:ascii="Arial" w:hAnsi="Arial" w:cs="Arial"/>
          <w:i/>
          <w:iCs/>
          <w:color w:val="222222"/>
          <w:sz w:val="20"/>
          <w:szCs w:val="20"/>
          <w:shd w:val="clear" w:color="auto" w:fill="FFFFFF"/>
        </w:rPr>
        <w:t>Biomedical Research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34</w:t>
      </w:r>
      <w:r w:rsidRPr="00DF72AE">
        <w:rPr>
          <w:rFonts w:ascii="Arial" w:hAnsi="Arial" w:cs="Arial"/>
          <w:color w:val="222222"/>
          <w:sz w:val="20"/>
          <w:szCs w:val="20"/>
          <w:shd w:val="clear" w:color="auto" w:fill="FFFFFF"/>
        </w:rPr>
        <w:t>(3), 1-15.</w:t>
      </w:r>
    </w:p>
    <w:p w14:paraId="7A769491"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Sharma, M. K. (2024). Exploring the biochemical profiles of medicinal plants cultivated under stressful environmental conditions. </w:t>
      </w:r>
      <w:r w:rsidRPr="00DF72AE">
        <w:rPr>
          <w:rFonts w:ascii="Arial" w:hAnsi="Arial" w:cs="Arial"/>
          <w:i/>
          <w:iCs/>
          <w:color w:val="222222"/>
          <w:sz w:val="20"/>
          <w:szCs w:val="20"/>
          <w:shd w:val="clear" w:color="auto" w:fill="FFFFFF"/>
        </w:rPr>
        <w:t>Current Agriculture Research Journal</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12</w:t>
      </w:r>
      <w:r w:rsidRPr="00DF72AE">
        <w:rPr>
          <w:rFonts w:ascii="Arial" w:hAnsi="Arial" w:cs="Arial"/>
          <w:color w:val="222222"/>
          <w:sz w:val="20"/>
          <w:szCs w:val="20"/>
          <w:shd w:val="clear" w:color="auto" w:fill="FFFFFF"/>
        </w:rPr>
        <w:t>(1), 81-103.</w:t>
      </w:r>
    </w:p>
    <w:p w14:paraId="322E687A"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proofErr w:type="spellStart"/>
      <w:r w:rsidRPr="00DF72AE">
        <w:rPr>
          <w:rFonts w:ascii="Arial" w:hAnsi="Arial" w:cs="Arial"/>
          <w:color w:val="222222"/>
          <w:sz w:val="20"/>
          <w:szCs w:val="20"/>
          <w:shd w:val="clear" w:color="auto" w:fill="FFFFFF"/>
        </w:rPr>
        <w:t>Santhiravel</w:t>
      </w:r>
      <w:proofErr w:type="spellEnd"/>
      <w:r w:rsidRPr="00DF72AE">
        <w:rPr>
          <w:rFonts w:ascii="Arial" w:hAnsi="Arial" w:cs="Arial"/>
          <w:color w:val="222222"/>
          <w:sz w:val="20"/>
          <w:szCs w:val="20"/>
          <w:shd w:val="clear" w:color="auto" w:fill="FFFFFF"/>
        </w:rPr>
        <w:t xml:space="preserve">, S., Bekhit, A. E. D. A., Mendis, E., Jacobs, J. L., </w:t>
      </w:r>
      <w:proofErr w:type="spellStart"/>
      <w:r w:rsidRPr="00DF72AE">
        <w:rPr>
          <w:rFonts w:ascii="Arial" w:hAnsi="Arial" w:cs="Arial"/>
          <w:color w:val="222222"/>
          <w:sz w:val="20"/>
          <w:szCs w:val="20"/>
          <w:shd w:val="clear" w:color="auto" w:fill="FFFFFF"/>
        </w:rPr>
        <w:t>Dunshea</w:t>
      </w:r>
      <w:proofErr w:type="spellEnd"/>
      <w:r w:rsidRPr="00DF72AE">
        <w:rPr>
          <w:rFonts w:ascii="Arial" w:hAnsi="Arial" w:cs="Arial"/>
          <w:color w:val="222222"/>
          <w:sz w:val="20"/>
          <w:szCs w:val="20"/>
          <w:shd w:val="clear" w:color="auto" w:fill="FFFFFF"/>
        </w:rPr>
        <w:t xml:space="preserve">, F. R., Rajapakse, N., &amp; </w:t>
      </w:r>
      <w:proofErr w:type="spellStart"/>
      <w:r w:rsidRPr="00DF72AE">
        <w:rPr>
          <w:rFonts w:ascii="Arial" w:hAnsi="Arial" w:cs="Arial"/>
          <w:color w:val="222222"/>
          <w:sz w:val="20"/>
          <w:szCs w:val="20"/>
          <w:shd w:val="clear" w:color="auto" w:fill="FFFFFF"/>
        </w:rPr>
        <w:t>Ponnampalam</w:t>
      </w:r>
      <w:proofErr w:type="spellEnd"/>
      <w:r w:rsidRPr="00DF72AE">
        <w:rPr>
          <w:rFonts w:ascii="Arial" w:hAnsi="Arial" w:cs="Arial"/>
          <w:color w:val="222222"/>
          <w:sz w:val="20"/>
          <w:szCs w:val="20"/>
          <w:shd w:val="clear" w:color="auto" w:fill="FFFFFF"/>
        </w:rPr>
        <w:t>, E. N. (2022). The impact of plant phytochemicals on the gut microbiota of humans for a balanced life. </w:t>
      </w:r>
      <w:r w:rsidRPr="00DF72AE">
        <w:rPr>
          <w:rFonts w:ascii="Arial" w:hAnsi="Arial" w:cs="Arial"/>
          <w:i/>
          <w:iCs/>
          <w:color w:val="222222"/>
          <w:sz w:val="20"/>
          <w:szCs w:val="20"/>
          <w:shd w:val="clear" w:color="auto" w:fill="FFFFFF"/>
        </w:rPr>
        <w:t>International journal of molecular sciences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23</w:t>
      </w:r>
      <w:r w:rsidRPr="00DF72AE">
        <w:rPr>
          <w:rFonts w:ascii="Arial" w:hAnsi="Arial" w:cs="Arial"/>
          <w:color w:val="222222"/>
          <w:sz w:val="20"/>
          <w:szCs w:val="20"/>
          <w:shd w:val="clear" w:color="auto" w:fill="FFFFFF"/>
        </w:rPr>
        <w:t>(15), 8124.</w:t>
      </w:r>
    </w:p>
    <w:p w14:paraId="396AD614"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Benelli, G., &amp; Mehlhorn, H. (2016). Declining malaria, rising of dengue and Zika virus: insights for mosquito vector control. </w:t>
      </w:r>
      <w:r w:rsidRPr="00DF72AE">
        <w:rPr>
          <w:rFonts w:ascii="Arial" w:hAnsi="Arial" w:cs="Arial"/>
          <w:i/>
          <w:iCs/>
          <w:color w:val="222222"/>
          <w:sz w:val="20"/>
          <w:szCs w:val="20"/>
          <w:shd w:val="clear" w:color="auto" w:fill="FFFFFF"/>
        </w:rPr>
        <w:t>Parasitology research</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115</w:t>
      </w:r>
      <w:r w:rsidRPr="00DF72AE">
        <w:rPr>
          <w:rFonts w:ascii="Arial" w:hAnsi="Arial" w:cs="Arial"/>
          <w:color w:val="222222"/>
          <w:sz w:val="20"/>
          <w:szCs w:val="20"/>
          <w:shd w:val="clear" w:color="auto" w:fill="FFFFFF"/>
        </w:rPr>
        <w:t>(5), 1747-1754.</w:t>
      </w:r>
    </w:p>
    <w:p w14:paraId="52A39B3A"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Segura, N. A., Muñoz, A. L., Losada-Barragán, M., Torres, O., Rodríguez, A. K., Rangel, H., &amp; Bello, F. (2021). Minireview: Epidemiological impact of arboviral diseases in Latin American countries, arbovirus-vector interactions and control strategies. </w:t>
      </w:r>
      <w:r w:rsidRPr="00DF72AE">
        <w:rPr>
          <w:rFonts w:ascii="Arial" w:hAnsi="Arial" w:cs="Arial"/>
          <w:i/>
          <w:iCs/>
          <w:color w:val="222222"/>
          <w:sz w:val="20"/>
          <w:szCs w:val="20"/>
          <w:shd w:val="clear" w:color="auto" w:fill="FFFFFF"/>
        </w:rPr>
        <w:t>Pathogens and disease</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79</w:t>
      </w:r>
      <w:r w:rsidRPr="00DF72AE">
        <w:rPr>
          <w:rFonts w:ascii="Arial" w:hAnsi="Arial" w:cs="Arial"/>
          <w:color w:val="222222"/>
          <w:sz w:val="20"/>
          <w:szCs w:val="20"/>
          <w:shd w:val="clear" w:color="auto" w:fill="FFFFFF"/>
        </w:rPr>
        <w:t>(7), ftab043.</w:t>
      </w:r>
    </w:p>
    <w:p w14:paraId="6986D15E"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Weng, H. B., Chen, H. X., &amp; Wang, M. W. (2018). Innovation in neglected tropical disease drug discovery and development. </w:t>
      </w:r>
      <w:r w:rsidRPr="00DF72AE">
        <w:rPr>
          <w:rFonts w:ascii="Arial" w:hAnsi="Arial" w:cs="Arial"/>
          <w:i/>
          <w:iCs/>
          <w:color w:val="222222"/>
          <w:sz w:val="20"/>
          <w:szCs w:val="20"/>
          <w:shd w:val="clear" w:color="auto" w:fill="FFFFFF"/>
        </w:rPr>
        <w:t>Infectious diseases of poverty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7</w:t>
      </w:r>
      <w:r w:rsidRPr="00DF72AE">
        <w:rPr>
          <w:rFonts w:ascii="Arial" w:hAnsi="Arial" w:cs="Arial"/>
          <w:color w:val="222222"/>
          <w:sz w:val="20"/>
          <w:szCs w:val="20"/>
          <w:shd w:val="clear" w:color="auto" w:fill="FFFFFF"/>
        </w:rPr>
        <w:t>(03), 1-9.</w:t>
      </w:r>
    </w:p>
    <w:p w14:paraId="741AE00F"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lastRenderedPageBreak/>
        <w:t>Mukherjee, S. (2023). The United States Food and Drug Administration (FDA) regulatory response to combat neglected tropical diseases (NTDs): A review. </w:t>
      </w:r>
      <w:r w:rsidRPr="00DF72AE">
        <w:rPr>
          <w:rFonts w:ascii="Arial" w:hAnsi="Arial" w:cs="Arial"/>
          <w:i/>
          <w:iCs/>
          <w:color w:val="222222"/>
          <w:sz w:val="20"/>
          <w:szCs w:val="20"/>
          <w:shd w:val="clear" w:color="auto" w:fill="FFFFFF"/>
        </w:rPr>
        <w:t>PLOS Neglected Tropical Diseases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17</w:t>
      </w:r>
      <w:r w:rsidRPr="00DF72AE">
        <w:rPr>
          <w:rFonts w:ascii="Arial" w:hAnsi="Arial" w:cs="Arial"/>
          <w:color w:val="222222"/>
          <w:sz w:val="20"/>
          <w:szCs w:val="20"/>
          <w:shd w:val="clear" w:color="auto" w:fill="FFFFFF"/>
        </w:rPr>
        <w:t>(1), e0011010.</w:t>
      </w:r>
    </w:p>
    <w:p w14:paraId="46128248"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Saleh, M. S., &amp; </w:t>
      </w:r>
      <w:proofErr w:type="spellStart"/>
      <w:r w:rsidRPr="00DF72AE">
        <w:rPr>
          <w:rFonts w:ascii="Arial" w:hAnsi="Arial" w:cs="Arial"/>
          <w:color w:val="222222"/>
          <w:sz w:val="20"/>
          <w:szCs w:val="20"/>
          <w:shd w:val="clear" w:color="auto" w:fill="FFFFFF"/>
        </w:rPr>
        <w:t>Kamisah</w:t>
      </w:r>
      <w:proofErr w:type="spellEnd"/>
      <w:r w:rsidRPr="00DF72AE">
        <w:rPr>
          <w:rFonts w:ascii="Arial" w:hAnsi="Arial" w:cs="Arial"/>
          <w:color w:val="222222"/>
          <w:sz w:val="20"/>
          <w:szCs w:val="20"/>
          <w:shd w:val="clear" w:color="auto" w:fill="FFFFFF"/>
        </w:rPr>
        <w:t>, Y. (2021). Potential medicinal plants for the treatment of dengue fever and severe acute respiratory syndrome-coronavirus. </w:t>
      </w:r>
      <w:r w:rsidRPr="00DF72AE">
        <w:rPr>
          <w:rFonts w:ascii="Arial" w:hAnsi="Arial" w:cs="Arial"/>
          <w:i/>
          <w:iCs/>
          <w:color w:val="222222"/>
          <w:sz w:val="20"/>
          <w:szCs w:val="20"/>
          <w:shd w:val="clear" w:color="auto" w:fill="FFFFFF"/>
        </w:rPr>
        <w:t>Biomolecules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11</w:t>
      </w:r>
      <w:r w:rsidRPr="00DF72AE">
        <w:rPr>
          <w:rFonts w:ascii="Arial" w:hAnsi="Arial" w:cs="Arial"/>
          <w:color w:val="222222"/>
          <w:sz w:val="20"/>
          <w:szCs w:val="20"/>
          <w:shd w:val="clear" w:color="auto" w:fill="FFFFFF"/>
        </w:rPr>
        <w:t>(1), 42.</w:t>
      </w:r>
    </w:p>
    <w:p w14:paraId="4F1CCE1C"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Bhattarai, B.R., Adhikari, B., Basnet, S., Shrestha, A., </w:t>
      </w:r>
      <w:proofErr w:type="spellStart"/>
      <w:r w:rsidRPr="00DF72AE">
        <w:rPr>
          <w:rFonts w:ascii="Arial" w:hAnsi="Arial" w:cs="Arial"/>
          <w:color w:val="222222"/>
          <w:sz w:val="20"/>
          <w:szCs w:val="20"/>
          <w:shd w:val="clear" w:color="auto" w:fill="FFFFFF"/>
        </w:rPr>
        <w:t>Marahatha</w:t>
      </w:r>
      <w:proofErr w:type="spellEnd"/>
      <w:r w:rsidRPr="00DF72AE">
        <w:rPr>
          <w:rFonts w:ascii="Arial" w:hAnsi="Arial" w:cs="Arial"/>
          <w:color w:val="222222"/>
          <w:sz w:val="20"/>
          <w:szCs w:val="20"/>
          <w:shd w:val="clear" w:color="auto" w:fill="FFFFFF"/>
        </w:rPr>
        <w:t xml:space="preserve">, R., Aryal, B., </w:t>
      </w:r>
      <w:proofErr w:type="spellStart"/>
      <w:r w:rsidRPr="00DF72AE">
        <w:rPr>
          <w:rFonts w:ascii="Arial" w:hAnsi="Arial" w:cs="Arial"/>
          <w:color w:val="222222"/>
          <w:sz w:val="20"/>
          <w:szCs w:val="20"/>
          <w:shd w:val="clear" w:color="auto" w:fill="FFFFFF"/>
        </w:rPr>
        <w:t>Rayamajhee</w:t>
      </w:r>
      <w:proofErr w:type="spellEnd"/>
      <w:r w:rsidRPr="00DF72AE">
        <w:rPr>
          <w:rFonts w:ascii="Arial" w:hAnsi="Arial" w:cs="Arial"/>
          <w:color w:val="222222"/>
          <w:sz w:val="20"/>
          <w:szCs w:val="20"/>
          <w:shd w:val="clear" w:color="auto" w:fill="FFFFFF"/>
        </w:rPr>
        <w:t>, B., Poudel, P. and Parajuli, N., 2022. In silico elucidation of potent inhibitors from natural products for nonstructural proteins of dengue virus. </w:t>
      </w:r>
      <w:r w:rsidRPr="00DF72AE">
        <w:rPr>
          <w:rFonts w:ascii="Arial" w:hAnsi="Arial" w:cs="Arial"/>
          <w:i/>
          <w:iCs/>
          <w:color w:val="222222"/>
          <w:sz w:val="20"/>
          <w:szCs w:val="20"/>
          <w:shd w:val="clear" w:color="auto" w:fill="FFFFFF"/>
        </w:rPr>
        <w:t>Journal of Chemistry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2022</w:t>
      </w:r>
      <w:r w:rsidRPr="00DF72AE">
        <w:rPr>
          <w:rFonts w:ascii="Arial" w:hAnsi="Arial" w:cs="Arial"/>
          <w:color w:val="222222"/>
          <w:sz w:val="20"/>
          <w:szCs w:val="20"/>
          <w:shd w:val="clear" w:color="auto" w:fill="FFFFFF"/>
        </w:rPr>
        <w:t>(1), p.5398239.</w:t>
      </w:r>
    </w:p>
    <w:p w14:paraId="1F1BECBA"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 xml:space="preserve">Mandal, P., &amp; Chandra, G. (2024). Casearia tomentosa fruit extracts exposed larvicidal activity and morphological alterations in </w:t>
      </w:r>
      <w:proofErr w:type="spellStart"/>
      <w:r w:rsidRPr="00DF72AE">
        <w:rPr>
          <w:rFonts w:ascii="Arial" w:hAnsi="Arial" w:cs="Arial"/>
          <w:color w:val="222222"/>
          <w:sz w:val="20"/>
          <w:szCs w:val="20"/>
          <w:shd w:val="clear" w:color="auto" w:fill="FFFFFF"/>
        </w:rPr>
        <w:t>Culex</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quinquefasciatus</w:t>
      </w:r>
      <w:proofErr w:type="spellEnd"/>
      <w:r w:rsidRPr="00DF72AE">
        <w:rPr>
          <w:rFonts w:ascii="Arial" w:hAnsi="Arial" w:cs="Arial"/>
          <w:color w:val="222222"/>
          <w:sz w:val="20"/>
          <w:szCs w:val="20"/>
          <w:shd w:val="clear" w:color="auto" w:fill="FFFFFF"/>
        </w:rPr>
        <w:t xml:space="preserve"> and </w:t>
      </w:r>
      <w:proofErr w:type="spellStart"/>
      <w:r w:rsidRPr="00DF72AE">
        <w:rPr>
          <w:rFonts w:ascii="Arial" w:hAnsi="Arial" w:cs="Arial"/>
          <w:color w:val="222222"/>
          <w:sz w:val="20"/>
          <w:szCs w:val="20"/>
          <w:shd w:val="clear" w:color="auto" w:fill="FFFFFF"/>
        </w:rPr>
        <w:t>Aedes</w:t>
      </w:r>
      <w:proofErr w:type="spellEnd"/>
      <w:r w:rsidRPr="00DF72AE">
        <w:rPr>
          <w:rFonts w:ascii="Arial" w:hAnsi="Arial" w:cs="Arial"/>
          <w:color w:val="222222"/>
          <w:sz w:val="20"/>
          <w:szCs w:val="20"/>
          <w:shd w:val="clear" w:color="auto" w:fill="FFFFFF"/>
        </w:rPr>
        <w:t xml:space="preserve"> </w:t>
      </w:r>
      <w:proofErr w:type="spellStart"/>
      <w:r w:rsidRPr="00DF72AE">
        <w:rPr>
          <w:rFonts w:ascii="Arial" w:hAnsi="Arial" w:cs="Arial"/>
          <w:color w:val="222222"/>
          <w:sz w:val="20"/>
          <w:szCs w:val="20"/>
          <w:shd w:val="clear" w:color="auto" w:fill="FFFFFF"/>
        </w:rPr>
        <w:t>albopictus</w:t>
      </w:r>
      <w:proofErr w:type="spellEnd"/>
      <w:r w:rsidRPr="00DF72AE">
        <w:rPr>
          <w:rFonts w:ascii="Arial" w:hAnsi="Arial" w:cs="Arial"/>
          <w:color w:val="222222"/>
          <w:sz w:val="20"/>
          <w:szCs w:val="20"/>
          <w:shd w:val="clear" w:color="auto" w:fill="FFFFFF"/>
        </w:rPr>
        <w:t xml:space="preserve"> under in vitro and semi field conditions. </w:t>
      </w:r>
      <w:r w:rsidRPr="00DF72AE">
        <w:rPr>
          <w:rFonts w:ascii="Arial" w:hAnsi="Arial" w:cs="Arial"/>
          <w:i/>
          <w:iCs/>
          <w:color w:val="222222"/>
          <w:sz w:val="20"/>
          <w:szCs w:val="20"/>
          <w:shd w:val="clear" w:color="auto" w:fill="FFFFFF"/>
        </w:rPr>
        <w:t>BMC Research Notes</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17</w:t>
      </w:r>
      <w:r w:rsidRPr="00DF72AE">
        <w:rPr>
          <w:rFonts w:ascii="Arial" w:hAnsi="Arial" w:cs="Arial"/>
          <w:color w:val="222222"/>
          <w:sz w:val="20"/>
          <w:szCs w:val="20"/>
          <w:shd w:val="clear" w:color="auto" w:fill="FFFFFF"/>
        </w:rPr>
        <w:t>(1), 6.</w:t>
      </w:r>
    </w:p>
    <w:p w14:paraId="0D556C46" w14:textId="77777777" w:rsidR="00934AEC" w:rsidRPr="00DF72AE" w:rsidRDefault="00934AEC" w:rsidP="00934AEC">
      <w:pPr>
        <w:pStyle w:val="ListParagraph"/>
        <w:numPr>
          <w:ilvl w:val="0"/>
          <w:numId w:val="31"/>
        </w:numPr>
        <w:shd w:val="clear" w:color="auto" w:fill="FFFFFF"/>
        <w:spacing w:after="0" w:line="276" w:lineRule="auto"/>
        <w:rPr>
          <w:rFonts w:ascii="Arial" w:eastAsia="Times New Roman" w:hAnsi="Arial" w:cs="Arial"/>
          <w:kern w:val="0"/>
          <w:sz w:val="20"/>
          <w:szCs w:val="20"/>
        </w:rPr>
      </w:pPr>
      <w:r w:rsidRPr="00DF72AE">
        <w:rPr>
          <w:rFonts w:ascii="Arial" w:hAnsi="Arial" w:cs="Arial"/>
          <w:color w:val="222222"/>
          <w:sz w:val="20"/>
          <w:szCs w:val="20"/>
          <w:shd w:val="clear" w:color="auto" w:fill="FFFFFF"/>
        </w:rPr>
        <w:t>Stany, B., Mishra, S., &amp; Rao, K. B. (2024). Pharmacokinetic studies, molecular docking, and molecular dynamics simulations of phytochemicals from Morus alba: a multi receptor approach for potential therapeutic agents in colorectal cancer. </w:t>
      </w:r>
      <w:r w:rsidRPr="00DF72AE">
        <w:rPr>
          <w:rFonts w:ascii="Arial" w:hAnsi="Arial" w:cs="Arial"/>
          <w:i/>
          <w:iCs/>
          <w:color w:val="222222"/>
          <w:sz w:val="20"/>
          <w:szCs w:val="20"/>
          <w:shd w:val="clear" w:color="auto" w:fill="FFFFFF"/>
        </w:rPr>
        <w:t>Medical Oncology</w:t>
      </w:r>
      <w:r w:rsidRPr="00DF72AE">
        <w:rPr>
          <w:rFonts w:ascii="Arial" w:hAnsi="Arial" w:cs="Arial"/>
          <w:color w:val="222222"/>
          <w:sz w:val="20"/>
          <w:szCs w:val="20"/>
          <w:shd w:val="clear" w:color="auto" w:fill="FFFFFF"/>
        </w:rPr>
        <w:t>, </w:t>
      </w:r>
      <w:r w:rsidRPr="00DF72AE">
        <w:rPr>
          <w:rFonts w:ascii="Arial" w:hAnsi="Arial" w:cs="Arial"/>
          <w:i/>
          <w:iCs/>
          <w:color w:val="222222"/>
          <w:sz w:val="20"/>
          <w:szCs w:val="20"/>
          <w:shd w:val="clear" w:color="auto" w:fill="FFFFFF"/>
        </w:rPr>
        <w:t>41</w:t>
      </w:r>
      <w:r w:rsidRPr="00DF72AE">
        <w:rPr>
          <w:rFonts w:ascii="Arial" w:hAnsi="Arial" w:cs="Arial"/>
          <w:color w:val="222222"/>
          <w:sz w:val="20"/>
          <w:szCs w:val="20"/>
          <w:shd w:val="clear" w:color="auto" w:fill="FFFFFF"/>
        </w:rPr>
        <w:t>(6), 156.</w:t>
      </w:r>
    </w:p>
    <w:p w14:paraId="21275E99" w14:textId="77777777" w:rsidR="00B01FCD" w:rsidRPr="00FB3A86" w:rsidRDefault="00B01FCD" w:rsidP="00934AEC">
      <w:pPr>
        <w:pStyle w:val="Body"/>
        <w:spacing w:after="0"/>
        <w:rPr>
          <w:rFonts w:ascii="Arial" w:hAnsi="Arial" w:cs="Arial"/>
          <w:b/>
        </w:rPr>
      </w:pPr>
    </w:p>
    <w:sectPr w:rsidR="00B01FCD" w:rsidRPr="00FB3A86" w:rsidSect="004517E1">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8-21T20:54:00Z" w:initials="Ma">
    <w:p w14:paraId="4A2B0656" w14:textId="1BBE439E" w:rsidR="0095534E" w:rsidRDefault="0095534E">
      <w:pPr>
        <w:pStyle w:val="CommentText"/>
      </w:pPr>
      <w:r>
        <w:rPr>
          <w:rStyle w:val="CommentReference"/>
        </w:rPr>
        <w:annotationRef/>
      </w:r>
      <w:r>
        <w:t>Specify the diseases</w:t>
      </w:r>
    </w:p>
  </w:comment>
  <w:comment w:id="1" w:author="Microsoft account" w:date="2025-08-21T21:02:00Z" w:initials="Ma">
    <w:p w14:paraId="5C5651DB" w14:textId="1DA81A66" w:rsidR="0095534E" w:rsidRDefault="0095534E" w:rsidP="0095534E">
      <w:pPr>
        <w:rPr>
          <w:rFonts w:ascii="Times New Roman" w:hAnsi="Times New Roman"/>
          <w:sz w:val="24"/>
          <w:szCs w:val="24"/>
          <w:lang w:val="en-IN" w:eastAsia="en-IN" w:bidi="ta-IN"/>
        </w:rPr>
      </w:pPr>
      <w:r>
        <w:rPr>
          <w:rStyle w:val="CommentReference"/>
        </w:rPr>
        <w:annotationRef/>
      </w:r>
      <w:r>
        <w:rPr>
          <w:rFonts w:ascii="Times New Roman" w:hAnsi="Times New Roman"/>
          <w:sz w:val="24"/>
          <w:szCs w:val="24"/>
          <w:lang w:val="en-IN" w:eastAsia="en-IN" w:bidi="ta-IN"/>
        </w:rPr>
        <w:t>ADMET Studies are not given anywhere in the article.</w:t>
      </w:r>
    </w:p>
    <w:p w14:paraId="08244D0C" w14:textId="77777777" w:rsidR="0095534E" w:rsidRPr="0095534E" w:rsidRDefault="0095534E" w:rsidP="0095534E">
      <w:pPr>
        <w:ind w:left="720"/>
        <w:rPr>
          <w:rFonts w:ascii="Times New Roman" w:hAnsi="Times New Roman"/>
          <w:sz w:val="24"/>
          <w:szCs w:val="24"/>
          <w:lang w:val="en-IN" w:eastAsia="en-IN" w:bidi="ta-IN"/>
        </w:rPr>
      </w:pPr>
    </w:p>
    <w:p w14:paraId="3A6EB7AB" w14:textId="4488FB68" w:rsidR="0095534E" w:rsidRDefault="0095534E">
      <w:pPr>
        <w:pStyle w:val="CommentText"/>
      </w:pPr>
    </w:p>
  </w:comment>
  <w:comment w:id="3" w:author="Microsoft account" w:date="2025-08-21T20:37:00Z" w:initials="Ma">
    <w:p w14:paraId="2DBFCFAA" w14:textId="6DEAF01F" w:rsidR="00F9383E" w:rsidRDefault="00F9383E">
      <w:pPr>
        <w:pStyle w:val="CommentText"/>
      </w:pPr>
      <w:r>
        <w:rPr>
          <w:rStyle w:val="CommentReference"/>
        </w:rPr>
        <w:annotationRef/>
      </w:r>
      <w:r>
        <w:t>DENGUE Virus and Aedes are not parasite, Revise</w:t>
      </w:r>
    </w:p>
  </w:comment>
  <w:comment w:id="4" w:author="Microsoft account" w:date="2025-08-21T19:12:00Z" w:initials="Ma">
    <w:p w14:paraId="4CD091DB" w14:textId="77777777" w:rsidR="00B929FD" w:rsidRDefault="003F4ACB" w:rsidP="00B929FD">
      <w:pPr>
        <w:ind w:left="720"/>
        <w:rPr>
          <w:rFonts w:ascii="Times New Roman" w:hAnsi="Times New Roman"/>
          <w:b/>
          <w:bCs/>
          <w:sz w:val="24"/>
          <w:szCs w:val="24"/>
          <w:lang w:val="en-IN" w:eastAsia="en-IN" w:bidi="ta-IN"/>
        </w:rPr>
      </w:pPr>
      <w:r>
        <w:rPr>
          <w:rStyle w:val="CommentReference"/>
        </w:rPr>
        <w:annotationRef/>
      </w:r>
      <w:r>
        <w:t>No table presented in the text</w:t>
      </w:r>
      <w:r w:rsidR="00F9383E">
        <w:t xml:space="preserve">. </w:t>
      </w:r>
      <w:r w:rsidR="00F9383E" w:rsidRPr="00F9383E">
        <w:rPr>
          <w:rFonts w:ascii="Times New Roman" w:hAnsi="Times New Roman"/>
          <w:b/>
          <w:bCs/>
          <w:sz w:val="24"/>
          <w:szCs w:val="24"/>
          <w:lang w:val="en-IN" w:eastAsia="en-IN" w:bidi="ta-IN"/>
        </w:rPr>
        <w:t xml:space="preserve">  </w:t>
      </w:r>
    </w:p>
    <w:p w14:paraId="0E7E1203" w14:textId="78784A15" w:rsidR="003F4ACB" w:rsidRPr="00F9383E" w:rsidRDefault="00F9383E" w:rsidP="00B929FD">
      <w:pPr>
        <w:ind w:left="720"/>
        <w:rPr>
          <w:rFonts w:ascii="Times New Roman" w:hAnsi="Times New Roman"/>
          <w:sz w:val="24"/>
          <w:szCs w:val="24"/>
          <w:lang w:val="en-IN" w:eastAsia="en-IN" w:bidi="ta-IN"/>
        </w:rPr>
      </w:pPr>
      <w:r w:rsidRPr="00F9383E">
        <w:rPr>
          <w:rFonts w:ascii="Times New Roman" w:hAnsi="Times New Roman"/>
          <w:sz w:val="24"/>
          <w:szCs w:val="24"/>
          <w:lang w:val="en-IN" w:eastAsia="en-IN" w:bidi="ta-IN"/>
        </w:rPr>
        <w:t>Ensure Table 1 includes compound structures, binding affinities, and interaction types in a clean forma</w:t>
      </w:r>
      <w:r w:rsidR="00B929FD">
        <w:rPr>
          <w:rFonts w:ascii="Times New Roman" w:hAnsi="Times New Roman"/>
          <w:sz w:val="24"/>
          <w:szCs w:val="24"/>
          <w:lang w:val="en-IN" w:eastAsia="en-IN" w:bidi="ta-IN"/>
        </w:rPr>
        <w:t>t</w:t>
      </w:r>
    </w:p>
  </w:comment>
  <w:comment w:id="5" w:author="Microsoft account" w:date="2025-08-21T20:45:00Z" w:initials="Ma">
    <w:p w14:paraId="4BDB9CC8" w14:textId="7A87501E" w:rsidR="007636CF" w:rsidRPr="007636CF" w:rsidRDefault="007636CF" w:rsidP="007636CF">
      <w:pPr>
        <w:ind w:left="720"/>
        <w:rPr>
          <w:rFonts w:ascii="Times New Roman" w:hAnsi="Times New Roman"/>
          <w:sz w:val="24"/>
          <w:szCs w:val="24"/>
          <w:lang w:val="en-IN" w:eastAsia="en-IN" w:bidi="ta-IN"/>
        </w:rPr>
      </w:pPr>
      <w:r>
        <w:rPr>
          <w:rStyle w:val="CommentReference"/>
        </w:rPr>
        <w:annotationRef/>
      </w:r>
      <w:r w:rsidRPr="007636CF">
        <w:rPr>
          <w:rFonts w:ascii="Times New Roman" w:hAnsi="Times New Roman"/>
          <w:b/>
          <w:bCs/>
          <w:sz w:val="24"/>
          <w:szCs w:val="24"/>
          <w:lang w:val="en-IN" w:eastAsia="en-IN" w:bidi="ta-IN"/>
        </w:rPr>
        <w:t>Figure Legends</w:t>
      </w:r>
      <w:r w:rsidRPr="007636CF">
        <w:rPr>
          <w:rFonts w:ascii="Times New Roman" w:hAnsi="Times New Roman"/>
          <w:sz w:val="24"/>
          <w:szCs w:val="24"/>
          <w:lang w:val="en-IN" w:eastAsia="en-IN" w:bidi="ta-IN"/>
        </w:rPr>
        <w:t>: Expand legends to explain what each figure shows (e.g., interaction types, RMSD trends) for standalone clarity.</w:t>
      </w:r>
    </w:p>
    <w:p w14:paraId="6E7988AD" w14:textId="477D5054" w:rsidR="007636CF" w:rsidRDefault="007636CF">
      <w:pPr>
        <w:pStyle w:val="CommentText"/>
      </w:pPr>
    </w:p>
  </w:comment>
  <w:comment w:id="6" w:author="Microsoft account" w:date="2025-08-21T19:05:00Z" w:initials="Ma">
    <w:p w14:paraId="70F06397" w14:textId="77AC881D" w:rsidR="00327A8A" w:rsidRDefault="00327A8A">
      <w:pPr>
        <w:pStyle w:val="CommentText"/>
      </w:pPr>
      <w:r>
        <w:rPr>
          <w:rStyle w:val="CommentReference"/>
        </w:rPr>
        <w:annotationRef/>
      </w:r>
      <w:r>
        <w:t>NOT relevent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2B0656" w15:done="0"/>
  <w15:commentEx w15:paraId="3A6EB7AB" w15:done="0"/>
  <w15:commentEx w15:paraId="2DBFCFAA" w15:done="0"/>
  <w15:commentEx w15:paraId="0E7E1203" w15:done="0"/>
  <w15:commentEx w15:paraId="6E7988AD" w15:done="0"/>
  <w15:commentEx w15:paraId="70F063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751F6" w14:textId="77777777" w:rsidR="00EC5970" w:rsidRDefault="00EC5970" w:rsidP="00C37E61">
      <w:r>
        <w:separator/>
      </w:r>
    </w:p>
  </w:endnote>
  <w:endnote w:type="continuationSeparator" w:id="0">
    <w:p w14:paraId="2B837B99" w14:textId="77777777" w:rsidR="00EC5970" w:rsidRDefault="00EC59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03E19" w14:textId="77777777" w:rsidR="004517E1" w:rsidRDefault="00451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64D72" w14:textId="77777777" w:rsidR="004517E1" w:rsidRDefault="004517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CDE87" w14:textId="5619E78E" w:rsidR="00754C9A" w:rsidRPr="004517E1" w:rsidRDefault="00754C9A" w:rsidP="004517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DEBBB"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94F4" w14:textId="77777777" w:rsidR="00EC5970" w:rsidRDefault="00EC5970" w:rsidP="00C37E61">
      <w:r>
        <w:separator/>
      </w:r>
    </w:p>
  </w:footnote>
  <w:footnote w:type="continuationSeparator" w:id="0">
    <w:p w14:paraId="4253A9BD" w14:textId="77777777" w:rsidR="00EC5970" w:rsidRDefault="00EC597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44BDC" w14:textId="0DC33BCD" w:rsidR="004517E1" w:rsidRDefault="00EC5970">
    <w:pPr>
      <w:pStyle w:val="Header"/>
    </w:pPr>
    <w:r>
      <w:rPr>
        <w:noProof/>
      </w:rPr>
      <w:pict w14:anchorId="2E5F0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B63E" w14:textId="2358D4A8" w:rsidR="004517E1" w:rsidRDefault="00EC5970">
    <w:pPr>
      <w:pStyle w:val="Header"/>
    </w:pPr>
    <w:r>
      <w:rPr>
        <w:noProof/>
      </w:rPr>
      <w:pict w14:anchorId="090BC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245C6" w14:textId="13EA5CD1" w:rsidR="00296529" w:rsidRPr="00296529" w:rsidRDefault="00EC5970" w:rsidP="00296529">
    <w:pPr>
      <w:ind w:left="2160"/>
      <w:jc w:val="center"/>
      <w:rPr>
        <w:rFonts w:ascii="Times New Roman" w:eastAsia="Calibri" w:hAnsi="Times New Roman"/>
        <w:i/>
        <w:sz w:val="18"/>
        <w:szCs w:val="22"/>
      </w:rPr>
    </w:pPr>
    <w:r>
      <w:rPr>
        <w:noProof/>
      </w:rPr>
      <w:pict w14:anchorId="491DB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4B956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B017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84EC8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7271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8483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C48111"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6DD59" w14:textId="6CAF6EEC" w:rsidR="004517E1" w:rsidRDefault="00EC5970">
    <w:pPr>
      <w:pStyle w:val="Header"/>
    </w:pPr>
    <w:r>
      <w:rPr>
        <w:noProof/>
      </w:rPr>
      <w:pict w14:anchorId="68144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D6919" w14:textId="320EB7FF" w:rsidR="004517E1" w:rsidRDefault="00EC5970">
    <w:pPr>
      <w:pStyle w:val="Header"/>
    </w:pPr>
    <w:r>
      <w:rPr>
        <w:noProof/>
      </w:rPr>
      <w:pict w14:anchorId="3ECBF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56137" w14:textId="599B6297" w:rsidR="004517E1" w:rsidRDefault="00EC5970">
    <w:pPr>
      <w:pStyle w:val="Header"/>
    </w:pPr>
    <w:r>
      <w:rPr>
        <w:noProof/>
      </w:rPr>
      <w:pict w14:anchorId="1CED6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6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EB40B17"/>
    <w:multiLevelType w:val="multilevel"/>
    <w:tmpl w:val="43741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5F3737E"/>
    <w:multiLevelType w:val="multilevel"/>
    <w:tmpl w:val="0C0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46E15F5"/>
    <w:multiLevelType w:val="multilevel"/>
    <w:tmpl w:val="2DBA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8726EA3"/>
    <w:multiLevelType w:val="hybridMultilevel"/>
    <w:tmpl w:val="7C20339E"/>
    <w:lvl w:ilvl="0" w:tplc="BB006FDE">
      <w:start w:val="1"/>
      <w:numFmt w:val="decimal"/>
      <w:lvlText w:val="%1."/>
      <w:lvlJc w:val="left"/>
      <w:pPr>
        <w:ind w:left="720" w:hanging="360"/>
      </w:pPr>
      <w:rPr>
        <w:rFonts w:ascii="Times New Roman" w:hAnsi="Times New Roman" w:cs="Times New Roman" w:hint="default"/>
        <w:sz w:val="24"/>
        <w:szCs w:val="24"/>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0">
    <w:nsid w:val="794F11ED"/>
    <w:multiLevelType w:val="multilevel"/>
    <w:tmpl w:val="BC2C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3"/>
  </w:num>
  <w:num w:numId="20">
    <w:abstractNumId w:val="12"/>
  </w:num>
  <w:num w:numId="21">
    <w:abstractNumId w:val="10"/>
  </w:num>
  <w:num w:numId="22">
    <w:abstractNumId w:val="14"/>
  </w:num>
  <w:num w:numId="23">
    <w:abstractNumId w:val="22"/>
  </w:num>
  <w:num w:numId="24">
    <w:abstractNumId w:val="31"/>
  </w:num>
  <w:num w:numId="25">
    <w:abstractNumId w:val="4"/>
  </w:num>
  <w:num w:numId="26">
    <w:abstractNumId w:val="18"/>
  </w:num>
  <w:num w:numId="27">
    <w:abstractNumId w:val="23"/>
  </w:num>
  <w:num w:numId="28">
    <w:abstractNumId w:val="32"/>
  </w:num>
  <w:num w:numId="29">
    <w:abstractNumId w:val="27"/>
  </w:num>
  <w:num w:numId="30">
    <w:abstractNumId w:val="11"/>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9"/>
  </w:num>
  <w:num w:numId="34">
    <w:abstractNumId w:val="20"/>
  </w:num>
  <w:num w:numId="35">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77493f2eea7926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48E6"/>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41A6"/>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7A8A"/>
    <w:rsid w:val="0033343E"/>
    <w:rsid w:val="003512C2"/>
    <w:rsid w:val="00371FB6"/>
    <w:rsid w:val="003763C1"/>
    <w:rsid w:val="00376BBE"/>
    <w:rsid w:val="0039224F"/>
    <w:rsid w:val="003A43A4"/>
    <w:rsid w:val="003A7E18"/>
    <w:rsid w:val="003C4C86"/>
    <w:rsid w:val="003C6258"/>
    <w:rsid w:val="003E2904"/>
    <w:rsid w:val="003F4ACB"/>
    <w:rsid w:val="00401927"/>
    <w:rsid w:val="0041027F"/>
    <w:rsid w:val="00412475"/>
    <w:rsid w:val="00423789"/>
    <w:rsid w:val="00440F43"/>
    <w:rsid w:val="00441B6F"/>
    <w:rsid w:val="00446221"/>
    <w:rsid w:val="00450E62"/>
    <w:rsid w:val="004517E1"/>
    <w:rsid w:val="004539DB"/>
    <w:rsid w:val="00471A80"/>
    <w:rsid w:val="004C33FE"/>
    <w:rsid w:val="004D305E"/>
    <w:rsid w:val="004D4277"/>
    <w:rsid w:val="00502516"/>
    <w:rsid w:val="00505F06"/>
    <w:rsid w:val="00506828"/>
    <w:rsid w:val="0053056E"/>
    <w:rsid w:val="00554FDA"/>
    <w:rsid w:val="0059703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D0C"/>
    <w:rsid w:val="006F11EC"/>
    <w:rsid w:val="006F213F"/>
    <w:rsid w:val="0070082C"/>
    <w:rsid w:val="007369E6"/>
    <w:rsid w:val="00746E59"/>
    <w:rsid w:val="00754C9A"/>
    <w:rsid w:val="0075599A"/>
    <w:rsid w:val="00761D52"/>
    <w:rsid w:val="007636CF"/>
    <w:rsid w:val="0077749E"/>
    <w:rsid w:val="00785FE7"/>
    <w:rsid w:val="00790ADA"/>
    <w:rsid w:val="007D2288"/>
    <w:rsid w:val="007E088F"/>
    <w:rsid w:val="007F7B32"/>
    <w:rsid w:val="00804BC2"/>
    <w:rsid w:val="0081431A"/>
    <w:rsid w:val="0083216F"/>
    <w:rsid w:val="00860000"/>
    <w:rsid w:val="00863BD3"/>
    <w:rsid w:val="008641ED"/>
    <w:rsid w:val="00866D66"/>
    <w:rsid w:val="008671C6"/>
    <w:rsid w:val="00875803"/>
    <w:rsid w:val="008A4F6A"/>
    <w:rsid w:val="008B459E"/>
    <w:rsid w:val="008E13AE"/>
    <w:rsid w:val="008E1506"/>
    <w:rsid w:val="008E710C"/>
    <w:rsid w:val="008F69D6"/>
    <w:rsid w:val="00902823"/>
    <w:rsid w:val="00915CA6"/>
    <w:rsid w:val="00927834"/>
    <w:rsid w:val="00934AEC"/>
    <w:rsid w:val="009500A6"/>
    <w:rsid w:val="0095534E"/>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29FD"/>
    <w:rsid w:val="00B95236"/>
    <w:rsid w:val="00B96BD9"/>
    <w:rsid w:val="00BA1B01"/>
    <w:rsid w:val="00BA2641"/>
    <w:rsid w:val="00BB37AA"/>
    <w:rsid w:val="00BC53A0"/>
    <w:rsid w:val="00BE62AD"/>
    <w:rsid w:val="00BF121F"/>
    <w:rsid w:val="00BF1F80"/>
    <w:rsid w:val="00C11954"/>
    <w:rsid w:val="00C166EF"/>
    <w:rsid w:val="00C17EB0"/>
    <w:rsid w:val="00C27F5F"/>
    <w:rsid w:val="00C30A0F"/>
    <w:rsid w:val="00C37E61"/>
    <w:rsid w:val="00C546AE"/>
    <w:rsid w:val="00C70F1B"/>
    <w:rsid w:val="00C71A47"/>
    <w:rsid w:val="00C7464C"/>
    <w:rsid w:val="00C85588"/>
    <w:rsid w:val="00CD6755"/>
    <w:rsid w:val="00CD6856"/>
    <w:rsid w:val="00CE0089"/>
    <w:rsid w:val="00CE793C"/>
    <w:rsid w:val="00CF193C"/>
    <w:rsid w:val="00D0609C"/>
    <w:rsid w:val="00D173F1"/>
    <w:rsid w:val="00D74CB0"/>
    <w:rsid w:val="00D75D05"/>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5970"/>
    <w:rsid w:val="00EC6A55"/>
    <w:rsid w:val="00ED0288"/>
    <w:rsid w:val="00EE52CB"/>
    <w:rsid w:val="00EF581D"/>
    <w:rsid w:val="00EF7FD8"/>
    <w:rsid w:val="00F06F59"/>
    <w:rsid w:val="00F16F70"/>
    <w:rsid w:val="00F17988"/>
    <w:rsid w:val="00F469F0"/>
    <w:rsid w:val="00F53273"/>
    <w:rsid w:val="00F755E4"/>
    <w:rsid w:val="00F77D02"/>
    <w:rsid w:val="00F9383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95DD070"/>
  <w15:docId w15:val="{4B39DB91-36D1-41AB-8AE3-358930E8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448E6"/>
    <w:pPr>
      <w:spacing w:after="160" w:line="256" w:lineRule="auto"/>
      <w:ind w:left="720"/>
      <w:contextualSpacing/>
    </w:pPr>
    <w:rPr>
      <w:rFonts w:asciiTheme="minorHAnsi" w:eastAsiaTheme="minorHAnsi" w:hAnsiTheme="minorHAnsi" w:cstheme="minorBidi"/>
      <w:kern w:val="2"/>
      <w:sz w:val="22"/>
      <w:szCs w:val="22"/>
    </w:rPr>
  </w:style>
  <w:style w:type="paragraph" w:styleId="CommentSubject">
    <w:name w:val="annotation subject"/>
    <w:basedOn w:val="CommentText"/>
    <w:next w:val="CommentText"/>
    <w:link w:val="CommentSubjectChar"/>
    <w:semiHidden/>
    <w:unhideWhenUsed/>
    <w:rsid w:val="00327A8A"/>
    <w:rPr>
      <w:rFonts w:ascii="Helvetica" w:hAnsi="Helvetica"/>
      <w:b/>
      <w:bCs/>
      <w:lang w:val="en-US" w:eastAsia="en-US"/>
    </w:rPr>
  </w:style>
  <w:style w:type="character" w:customStyle="1" w:styleId="CommentSubjectChar">
    <w:name w:val="Comment Subject Char"/>
    <w:basedOn w:val="CommentTextChar"/>
    <w:link w:val="CommentSubject"/>
    <w:semiHidden/>
    <w:rsid w:val="00327A8A"/>
    <w:rPr>
      <w:rFonts w:ascii="Helvetica" w:hAnsi="Helvetica"/>
      <w:b/>
      <w:bCs/>
      <w:lang w:val="nb-NO" w:eastAsia="nb-NO"/>
    </w:rPr>
  </w:style>
  <w:style w:type="character" w:styleId="Strong">
    <w:name w:val="Strong"/>
    <w:basedOn w:val="DefaultParagraphFont"/>
    <w:uiPriority w:val="22"/>
    <w:qFormat/>
    <w:rsid w:val="00F9383E"/>
    <w:rPr>
      <w:b/>
      <w:bCs/>
    </w:rPr>
  </w:style>
  <w:style w:type="paragraph" w:styleId="NormalWeb">
    <w:name w:val="Normal (Web)"/>
    <w:basedOn w:val="Normal"/>
    <w:uiPriority w:val="99"/>
    <w:semiHidden/>
    <w:unhideWhenUsed/>
    <w:rsid w:val="0095534E"/>
    <w:pPr>
      <w:spacing w:before="100" w:beforeAutospacing="1" w:after="100" w:afterAutospacing="1"/>
    </w:pPr>
    <w:rPr>
      <w:rFonts w:ascii="Times New Roman" w:hAnsi="Times New Roman"/>
      <w:sz w:val="24"/>
      <w:szCs w:val="24"/>
      <w:lang w:val="en-IN" w:eastAsia="en-IN"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922874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137091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89989770">
      <w:bodyDiv w:val="1"/>
      <w:marLeft w:val="0"/>
      <w:marRight w:val="0"/>
      <w:marTop w:val="0"/>
      <w:marBottom w:val="0"/>
      <w:divBdr>
        <w:top w:val="none" w:sz="0" w:space="0" w:color="auto"/>
        <w:left w:val="none" w:sz="0" w:space="0" w:color="auto"/>
        <w:bottom w:val="none" w:sz="0" w:space="0" w:color="auto"/>
        <w:right w:val="none" w:sz="0" w:space="0" w:color="auto"/>
      </w:divBdr>
    </w:div>
    <w:div w:id="170173706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csb.org" TargetMode="Externa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microsoft.com/office/2011/relationships/people" Target="people.xml"/><Relationship Id="rId20" Type="http://schemas.openxmlformats.org/officeDocument/2006/relationships/image" Target="media/image4.png"/><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C5D8D-43D9-4526-A674-0B62597A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170</TotalTime>
  <Pages>23</Pages>
  <Words>5663</Words>
  <Characters>32280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37868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17</cp:revision>
  <cp:lastPrinted>1999-07-06T11:00:00Z</cp:lastPrinted>
  <dcterms:created xsi:type="dcterms:W3CDTF">2014-10-25T14:34:00Z</dcterms:created>
  <dcterms:modified xsi:type="dcterms:W3CDTF">2025-08-21T15:37:00Z</dcterms:modified>
</cp:coreProperties>
</file>