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90F0" w14:textId="77777777" w:rsidR="00EA76BE" w:rsidRPr="00EA76BE" w:rsidRDefault="00EA76BE" w:rsidP="00EA76BE">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u w:val="single"/>
          <w:lang w:val="en-US" w:eastAsia="en-IN" w:bidi="ml-IN"/>
          <w14:ligatures w14:val="none"/>
        </w:rPr>
      </w:pPr>
      <w:r w:rsidRPr="00EA76BE">
        <w:rPr>
          <w:rFonts w:ascii="Times New Roman" w:eastAsia="Times New Roman" w:hAnsi="Times New Roman" w:cs="Times New Roman"/>
          <w:b/>
          <w:bCs/>
          <w:i/>
          <w:iCs/>
          <w:kern w:val="0"/>
          <w:sz w:val="24"/>
          <w:szCs w:val="24"/>
          <w:u w:val="single"/>
          <w:lang w:val="en-US" w:eastAsia="en-IN" w:bidi="ml-IN"/>
          <w14:ligatures w14:val="none"/>
        </w:rPr>
        <w:t>Review Article</w:t>
      </w:r>
    </w:p>
    <w:p w14:paraId="0910505D" w14:textId="2F16D087" w:rsidR="00A14CF7" w:rsidRPr="00314098" w:rsidRDefault="00A14CF7" w:rsidP="00FB6329">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Metabarcoding and eDNA for Insect Biodiversity Assessment in Indian Ecosystems: </w:t>
      </w:r>
      <w:r w:rsidRPr="00314098">
        <w:rPr>
          <w:rFonts w:ascii="Times New Roman" w:eastAsia="Times New Roman" w:hAnsi="Times New Roman" w:cs="Times New Roman"/>
          <w:b/>
          <w:bCs/>
          <w:i/>
          <w:iCs/>
          <w:kern w:val="0"/>
          <w:sz w:val="24"/>
          <w:szCs w:val="24"/>
          <w:lang w:eastAsia="en-IN" w:bidi="ml-IN"/>
          <w14:ligatures w14:val="none"/>
        </w:rPr>
        <w:t>Moving Beyond Traditional Nets</w:t>
      </w:r>
      <w:r w:rsidR="002B450F" w:rsidRPr="00314098">
        <w:rPr>
          <w:rFonts w:ascii="Times New Roman" w:eastAsia="Times New Roman" w:hAnsi="Times New Roman" w:cs="Times New Roman"/>
          <w:b/>
          <w:bCs/>
          <w:i/>
          <w:iCs/>
          <w:kern w:val="0"/>
          <w:sz w:val="24"/>
          <w:szCs w:val="24"/>
          <w:lang w:eastAsia="en-IN" w:bidi="ml-IN"/>
          <w14:ligatures w14:val="none"/>
        </w:rPr>
        <w:t>- An Urgent Review</w:t>
      </w:r>
    </w:p>
    <w:p w14:paraId="0B4BD78A"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648A562B" w14:textId="4A070B5D"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Abstract</w:t>
      </w:r>
    </w:p>
    <w:p w14:paraId="0A5E458B" w14:textId="14859BF2" w:rsidR="00FB6329" w:rsidRPr="00314098" w:rsidRDefault="00305A5B" w:rsidP="00B5533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Insects are the most species-rich and ecologically critical animal clade, but detailed taxonomic and biodiversity expertise is partial in many groups and regions. Morphology-based taxonomy using particular characters, such as wing venation, genitalia, and pilosity, has always been the basis; however, it is continually restricted by various constraints including cryptic species, damaged specimens, and immature life stages. </w:t>
      </w:r>
      <w:r w:rsidR="00B55339" w:rsidRPr="00314098">
        <w:rPr>
          <w:rFonts w:ascii="Times New Roman" w:eastAsia="Times New Roman" w:hAnsi="Times New Roman" w:cs="Times New Roman"/>
          <w:kern w:val="0"/>
          <w:sz w:val="24"/>
          <w:szCs w:val="24"/>
          <w:lang w:eastAsia="en-IN" w:bidi="ml-IN"/>
          <w14:ligatures w14:val="none"/>
        </w:rPr>
        <w:t xml:space="preserve">In the past two decades, DNA-based approaches, including DNA barcoding, metabarcoding, genome skimming, and whole-genome sequencing have transformed entomological studies by enabling the high-throughput delimitation of species and the profiling of insect diversity both on a voucher specimen level and on environmental DNA (eDNA). The recent loss of insect abundance is a danger to </w:t>
      </w:r>
      <w:r w:rsidR="00983124" w:rsidRPr="00314098">
        <w:rPr>
          <w:rFonts w:ascii="Times New Roman" w:eastAsia="Times New Roman" w:hAnsi="Times New Roman" w:cs="Times New Roman"/>
          <w:kern w:val="0"/>
          <w:sz w:val="24"/>
          <w:szCs w:val="24"/>
          <w:lang w:eastAsia="en-IN" w:bidi="ml-IN"/>
          <w14:ligatures w14:val="none"/>
        </w:rPr>
        <w:t xml:space="preserve">various </w:t>
      </w:r>
      <w:r w:rsidR="00B55339" w:rsidRPr="00314098">
        <w:rPr>
          <w:rFonts w:ascii="Times New Roman" w:eastAsia="Times New Roman" w:hAnsi="Times New Roman" w:cs="Times New Roman"/>
          <w:kern w:val="0"/>
          <w:sz w:val="24"/>
          <w:szCs w:val="24"/>
          <w:lang w:eastAsia="en-IN" w:bidi="ml-IN"/>
          <w14:ligatures w14:val="none"/>
        </w:rPr>
        <w:t>ecosystem service</w:t>
      </w:r>
      <w:r w:rsidR="00983124" w:rsidRPr="00314098">
        <w:rPr>
          <w:rFonts w:ascii="Times New Roman" w:eastAsia="Times New Roman" w:hAnsi="Times New Roman" w:cs="Times New Roman"/>
          <w:kern w:val="0"/>
          <w:sz w:val="24"/>
          <w:szCs w:val="24"/>
          <w:lang w:eastAsia="en-IN" w:bidi="ml-IN"/>
          <w14:ligatures w14:val="none"/>
        </w:rPr>
        <w:t>s</w:t>
      </w:r>
      <w:r w:rsidR="00B55339" w:rsidRPr="00314098">
        <w:rPr>
          <w:rFonts w:ascii="Times New Roman" w:eastAsia="Times New Roman" w:hAnsi="Times New Roman" w:cs="Times New Roman"/>
          <w:kern w:val="0"/>
          <w:sz w:val="24"/>
          <w:szCs w:val="24"/>
          <w:lang w:eastAsia="en-IN" w:bidi="ml-IN"/>
          <w14:ligatures w14:val="none"/>
        </w:rPr>
        <w:t>, crop productivity</w:t>
      </w:r>
      <w:r w:rsidR="00983124" w:rsidRPr="00314098">
        <w:rPr>
          <w:rFonts w:ascii="Times New Roman" w:eastAsia="Times New Roman" w:hAnsi="Times New Roman" w:cs="Times New Roman"/>
          <w:kern w:val="0"/>
          <w:sz w:val="24"/>
          <w:szCs w:val="24"/>
          <w:lang w:eastAsia="en-IN" w:bidi="ml-IN"/>
          <w14:ligatures w14:val="none"/>
        </w:rPr>
        <w:t xml:space="preserve">, </w:t>
      </w:r>
      <w:r w:rsidR="00B55339" w:rsidRPr="00314098">
        <w:rPr>
          <w:rFonts w:ascii="Times New Roman" w:eastAsia="Times New Roman" w:hAnsi="Times New Roman" w:cs="Times New Roman"/>
          <w:kern w:val="0"/>
          <w:sz w:val="24"/>
          <w:szCs w:val="24"/>
          <w:lang w:eastAsia="en-IN" w:bidi="ml-IN"/>
          <w14:ligatures w14:val="none"/>
        </w:rPr>
        <w:t>sustainable food security</w:t>
      </w:r>
      <w:r w:rsidR="00983124" w:rsidRPr="00314098">
        <w:rPr>
          <w:rFonts w:ascii="Times New Roman" w:eastAsia="Times New Roman" w:hAnsi="Times New Roman" w:cs="Times New Roman"/>
          <w:kern w:val="0"/>
          <w:sz w:val="24"/>
          <w:szCs w:val="24"/>
          <w:lang w:eastAsia="en-IN" w:bidi="ml-IN"/>
          <w14:ligatures w14:val="none"/>
        </w:rPr>
        <w:t xml:space="preserve"> </w:t>
      </w:r>
      <w:r w:rsidR="00AD442C" w:rsidRPr="00314098">
        <w:rPr>
          <w:rFonts w:ascii="Times New Roman" w:eastAsia="Times New Roman" w:hAnsi="Times New Roman" w:cs="Times New Roman"/>
          <w:kern w:val="0"/>
          <w:sz w:val="24"/>
          <w:szCs w:val="24"/>
          <w:lang w:eastAsia="en-IN" w:bidi="ml-IN"/>
          <w14:ligatures w14:val="none"/>
        </w:rPr>
        <w:t>particularly</w:t>
      </w:r>
      <w:r w:rsidR="00B55339" w:rsidRPr="00314098">
        <w:rPr>
          <w:rFonts w:ascii="Times New Roman" w:eastAsia="Times New Roman" w:hAnsi="Times New Roman" w:cs="Times New Roman"/>
          <w:kern w:val="0"/>
          <w:sz w:val="24"/>
          <w:szCs w:val="24"/>
          <w:lang w:eastAsia="en-IN" w:bidi="ml-IN"/>
          <w14:ligatures w14:val="none"/>
        </w:rPr>
        <w:t xml:space="preserve"> in Indian agroecosystems. Morphology-based monitoring is usually </w:t>
      </w:r>
      <w:r w:rsidR="00AD442C" w:rsidRPr="00314098">
        <w:rPr>
          <w:rFonts w:ascii="Times New Roman" w:eastAsia="Times New Roman" w:hAnsi="Times New Roman" w:cs="Times New Roman"/>
          <w:kern w:val="0"/>
          <w:sz w:val="24"/>
          <w:szCs w:val="24"/>
          <w:lang w:eastAsia="en-IN" w:bidi="ml-IN"/>
          <w14:ligatures w14:val="none"/>
        </w:rPr>
        <w:t>difficult</w:t>
      </w:r>
      <w:r w:rsidR="00B55339" w:rsidRPr="00314098">
        <w:rPr>
          <w:rFonts w:ascii="Times New Roman" w:eastAsia="Times New Roman" w:hAnsi="Times New Roman" w:cs="Times New Roman"/>
          <w:kern w:val="0"/>
          <w:sz w:val="24"/>
          <w:szCs w:val="24"/>
          <w:lang w:eastAsia="en-IN" w:bidi="ml-IN"/>
          <w14:ligatures w14:val="none"/>
        </w:rPr>
        <w:t xml:space="preserve">, expertise-constrained and not usually sufficient to capture taxonomic richness in insect communities, since they have the most dramatic biodiversity of any taxa. </w:t>
      </w:r>
      <w:r w:rsidRPr="00314098">
        <w:rPr>
          <w:rFonts w:ascii="Times New Roman" w:eastAsia="Times New Roman" w:hAnsi="Times New Roman" w:cs="Times New Roman"/>
          <w:kern w:val="0"/>
          <w:sz w:val="24"/>
          <w:szCs w:val="24"/>
          <w:lang w:eastAsia="en-IN" w:bidi="ml-IN"/>
          <w14:ligatures w14:val="none"/>
        </w:rPr>
        <w:t xml:space="preserve">In comparison, molecular methodologies, including metabarcoding and eDNA delivery, are efficient, non-destructive, non-invasive, and high-throughput approaches to detecting species of all habitats and life-stages, including elusive or cryptic species. </w:t>
      </w:r>
      <w:r w:rsidR="00FB6329" w:rsidRPr="00314098">
        <w:rPr>
          <w:rFonts w:ascii="Times New Roman" w:eastAsia="Times New Roman" w:hAnsi="Times New Roman" w:cs="Times New Roman"/>
          <w:kern w:val="0"/>
          <w:sz w:val="24"/>
          <w:szCs w:val="24"/>
          <w:lang w:eastAsia="en-IN" w:bidi="ml-IN"/>
          <w14:ligatures w14:val="none"/>
        </w:rPr>
        <w:t xml:space="preserve">This review critically examines how these methods can transform insect biodiversity monitoring in India’s </w:t>
      </w:r>
      <w:r w:rsidR="008109CE" w:rsidRPr="00314098">
        <w:rPr>
          <w:rFonts w:ascii="Times New Roman" w:eastAsia="Times New Roman" w:hAnsi="Times New Roman" w:cs="Times New Roman"/>
          <w:kern w:val="0"/>
          <w:sz w:val="24"/>
          <w:szCs w:val="24"/>
          <w:lang w:eastAsia="en-IN" w:bidi="ml-IN"/>
          <w14:ligatures w14:val="none"/>
        </w:rPr>
        <w:t xml:space="preserve">various </w:t>
      </w:r>
      <w:r w:rsidR="00FB6329" w:rsidRPr="00314098">
        <w:rPr>
          <w:rFonts w:ascii="Times New Roman" w:eastAsia="Times New Roman" w:hAnsi="Times New Roman" w:cs="Times New Roman"/>
          <w:kern w:val="0"/>
          <w:sz w:val="24"/>
          <w:szCs w:val="24"/>
          <w:lang w:eastAsia="en-IN" w:bidi="ml-IN"/>
          <w14:ligatures w14:val="none"/>
        </w:rPr>
        <w:t xml:space="preserve">ecosystems, surveys integrated workflows combining morphology and molecular data </w:t>
      </w:r>
      <w:commentRangeStart w:id="0"/>
      <w:r w:rsidR="00FB6329" w:rsidRPr="00314098">
        <w:rPr>
          <w:rFonts w:ascii="Times New Roman" w:eastAsia="Times New Roman" w:hAnsi="Times New Roman" w:cs="Times New Roman"/>
          <w:kern w:val="0"/>
          <w:sz w:val="24"/>
          <w:szCs w:val="24"/>
          <w:lang w:eastAsia="en-IN" w:bidi="ml-IN"/>
          <w14:ligatures w14:val="none"/>
        </w:rPr>
        <w:t>(</w:t>
      </w:r>
      <w:proofErr w:type="spellStart"/>
      <w:r w:rsidR="00FB6329" w:rsidRPr="00314098">
        <w:rPr>
          <w:rFonts w:ascii="Times New Roman" w:eastAsia="Times New Roman" w:hAnsi="Times New Roman" w:cs="Times New Roman"/>
          <w:kern w:val="0"/>
          <w:sz w:val="24"/>
          <w:szCs w:val="24"/>
          <w:lang w:eastAsia="en-IN" w:bidi="ml-IN"/>
          <w14:ligatures w14:val="none"/>
        </w:rPr>
        <w:t>cybertaxonomy</w:t>
      </w:r>
      <w:commentRangeEnd w:id="0"/>
      <w:proofErr w:type="spellEnd"/>
      <w:r w:rsidR="0072734F">
        <w:rPr>
          <w:rStyle w:val="CommentReference"/>
        </w:rPr>
        <w:commentReference w:id="0"/>
      </w:r>
      <w:r w:rsidR="00FB6329" w:rsidRPr="00314098">
        <w:rPr>
          <w:rFonts w:ascii="Times New Roman" w:eastAsia="Times New Roman" w:hAnsi="Times New Roman" w:cs="Times New Roman"/>
          <w:kern w:val="0"/>
          <w:sz w:val="24"/>
          <w:szCs w:val="24"/>
          <w:lang w:eastAsia="en-IN" w:bidi="ml-IN"/>
          <w14:ligatures w14:val="none"/>
        </w:rPr>
        <w:t>), outlines methodological best practices from field sampling to bioinformatics, identifies limitations, and proposes priorities for expanding regional barcode reference libraries, metadata standardization, and equitable capacity building</w:t>
      </w:r>
      <w:r w:rsidR="00E93FED"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a “</w:t>
      </w:r>
      <w:r w:rsidR="00963CAA" w:rsidRPr="00314098">
        <w:rPr>
          <w:rFonts w:ascii="Times New Roman" w:eastAsia="Times New Roman" w:hAnsi="Times New Roman" w:cs="Times New Roman"/>
          <w:i/>
          <w:iCs/>
          <w:kern w:val="0"/>
          <w:sz w:val="24"/>
          <w:szCs w:val="24"/>
          <w:lang w:eastAsia="en-IN" w:bidi="ml-IN"/>
          <w14:ligatures w14:val="none"/>
        </w:rPr>
        <w:t>Beyond the Net</w:t>
      </w:r>
      <w:r w:rsidR="00FB6329" w:rsidRPr="00314098">
        <w:rPr>
          <w:rFonts w:ascii="Times New Roman" w:eastAsia="Times New Roman" w:hAnsi="Times New Roman" w:cs="Times New Roman"/>
          <w:kern w:val="0"/>
          <w:sz w:val="24"/>
          <w:szCs w:val="24"/>
          <w:lang w:eastAsia="en-IN" w:bidi="ml-IN"/>
          <w14:ligatures w14:val="none"/>
        </w:rPr>
        <w:t>” framework supporting both biodiversity science</w:t>
      </w:r>
      <w:r w:rsidR="007E3EC9"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applied conservation, biosecurity</w:t>
      </w:r>
      <w:commentRangeStart w:id="1"/>
      <w:r w:rsidR="00FB6329" w:rsidRPr="00314098">
        <w:rPr>
          <w:rFonts w:ascii="Times New Roman" w:eastAsia="Times New Roman" w:hAnsi="Times New Roman" w:cs="Times New Roman"/>
          <w:kern w:val="0"/>
          <w:sz w:val="24"/>
          <w:szCs w:val="24"/>
          <w:lang w:eastAsia="en-IN" w:bidi="ml-IN"/>
          <w14:ligatures w14:val="none"/>
        </w:rPr>
        <w:t xml:space="preserve">,  </w:t>
      </w:r>
      <w:proofErr w:type="spellStart"/>
      <w:r w:rsidR="00426E43" w:rsidRPr="00314098">
        <w:rPr>
          <w:rFonts w:ascii="Times New Roman" w:eastAsia="Times New Roman" w:hAnsi="Times New Roman" w:cs="Times New Roman"/>
          <w:kern w:val="0"/>
          <w:sz w:val="24"/>
          <w:szCs w:val="24"/>
          <w:lang w:eastAsia="en-IN" w:bidi="ml-IN"/>
          <w14:ligatures w14:val="none"/>
        </w:rPr>
        <w:t>agroeconomy</w:t>
      </w:r>
      <w:proofErr w:type="spellEnd"/>
      <w:r w:rsidR="00426E43" w:rsidRPr="00314098">
        <w:rPr>
          <w:rFonts w:ascii="Times New Roman" w:eastAsia="Times New Roman" w:hAnsi="Times New Roman" w:cs="Times New Roman"/>
          <w:kern w:val="0"/>
          <w:sz w:val="24"/>
          <w:szCs w:val="24"/>
          <w:lang w:eastAsia="en-IN" w:bidi="ml-IN"/>
          <w14:ligatures w14:val="none"/>
        </w:rPr>
        <w:t xml:space="preserve"> </w:t>
      </w:r>
      <w:commentRangeEnd w:id="1"/>
      <w:r w:rsidR="0072734F">
        <w:rPr>
          <w:rStyle w:val="CommentReference"/>
        </w:rPr>
        <w:commentReference w:id="1"/>
      </w:r>
      <w:r w:rsidR="007E3EC9" w:rsidRPr="00314098">
        <w:rPr>
          <w:rFonts w:ascii="Times New Roman" w:eastAsia="Times New Roman" w:hAnsi="Times New Roman" w:cs="Times New Roman"/>
          <w:kern w:val="0"/>
          <w:sz w:val="24"/>
          <w:szCs w:val="24"/>
          <w:lang w:eastAsia="en-IN" w:bidi="ml-IN"/>
          <w14:ligatures w14:val="none"/>
        </w:rPr>
        <w:t xml:space="preserve">and </w:t>
      </w:r>
      <w:r w:rsidR="00426E43" w:rsidRPr="00314098">
        <w:rPr>
          <w:rFonts w:ascii="Times New Roman" w:eastAsia="Times New Roman" w:hAnsi="Times New Roman" w:cs="Times New Roman"/>
          <w:kern w:val="0"/>
          <w:sz w:val="24"/>
          <w:szCs w:val="24"/>
          <w:lang w:eastAsia="en-IN" w:bidi="ml-IN"/>
          <w14:ligatures w14:val="none"/>
        </w:rPr>
        <w:t>insect forensics.</w:t>
      </w:r>
    </w:p>
    <w:p w14:paraId="5D9E9885" w14:textId="4D45E628" w:rsidR="00FB6329" w:rsidRPr="00314098" w:rsidRDefault="00FB6329"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Keywords:</w:t>
      </w:r>
      <w:r w:rsidRPr="00314098">
        <w:rPr>
          <w:rFonts w:ascii="Times New Roman" w:eastAsia="Times New Roman" w:hAnsi="Times New Roman" w:cs="Times New Roman"/>
          <w:kern w:val="0"/>
          <w:sz w:val="24"/>
          <w:szCs w:val="24"/>
          <w:lang w:eastAsia="en-IN" w:bidi="ml-IN"/>
          <w14:ligatures w14:val="none"/>
        </w:rPr>
        <w:t xml:space="preserve"> </w:t>
      </w:r>
      <w:commentRangeStart w:id="2"/>
      <w:r w:rsidRPr="00314098">
        <w:rPr>
          <w:rFonts w:ascii="Times New Roman" w:eastAsia="Times New Roman" w:hAnsi="Times New Roman" w:cs="Times New Roman"/>
          <w:kern w:val="0"/>
          <w:sz w:val="24"/>
          <w:szCs w:val="24"/>
          <w:lang w:eastAsia="en-IN" w:bidi="ml-IN"/>
          <w14:ligatures w14:val="none"/>
        </w:rPr>
        <w:t xml:space="preserve">DNA barcoding, metabarcoding, </w:t>
      </w:r>
      <w:proofErr w:type="spellStart"/>
      <w:r w:rsidRPr="00314098">
        <w:rPr>
          <w:rFonts w:ascii="Times New Roman" w:eastAsia="Times New Roman" w:hAnsi="Times New Roman" w:cs="Times New Roman"/>
          <w:kern w:val="0"/>
          <w:sz w:val="24"/>
          <w:szCs w:val="24"/>
          <w:lang w:eastAsia="en-IN" w:bidi="ml-IN"/>
          <w14:ligatures w14:val="none"/>
        </w:rPr>
        <w:t>cybertaxonomy</w:t>
      </w:r>
      <w:proofErr w:type="spellEnd"/>
      <w:r w:rsidRPr="00314098">
        <w:rPr>
          <w:rFonts w:ascii="Times New Roman" w:eastAsia="Times New Roman" w:hAnsi="Times New Roman" w:cs="Times New Roman"/>
          <w:kern w:val="0"/>
          <w:sz w:val="24"/>
          <w:szCs w:val="24"/>
          <w:lang w:eastAsia="en-IN" w:bidi="ml-IN"/>
          <w14:ligatures w14:val="none"/>
        </w:rPr>
        <w:t>, insect biodiversity, COI, eDNA, India, ecosystems</w:t>
      </w:r>
      <w:r w:rsidR="0097423F" w:rsidRPr="00314098">
        <w:rPr>
          <w:rFonts w:ascii="Times New Roman" w:eastAsia="Times New Roman" w:hAnsi="Times New Roman" w:cs="Times New Roman"/>
          <w:kern w:val="0"/>
          <w:sz w:val="24"/>
          <w:szCs w:val="24"/>
          <w:lang w:eastAsia="en-IN" w:bidi="ml-IN"/>
          <w14:ligatures w14:val="none"/>
        </w:rPr>
        <w:t>.</w:t>
      </w:r>
      <w:commentRangeEnd w:id="2"/>
      <w:r w:rsidR="0072734F">
        <w:rPr>
          <w:rStyle w:val="CommentReference"/>
        </w:rPr>
        <w:commentReference w:id="2"/>
      </w:r>
    </w:p>
    <w:p w14:paraId="576B0208"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 Introduction</w:t>
      </w:r>
    </w:p>
    <w:p w14:paraId="3F39DF3F"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1.1 Insect Biodiversity: Importance and Understudied Reality</w:t>
      </w:r>
    </w:p>
    <w:p w14:paraId="7376E56E" w14:textId="7A125398" w:rsidR="00A04914" w:rsidRPr="00314098" w:rsidRDefault="00F74443" w:rsidP="00A04914">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Inse</w:t>
      </w:r>
      <w:r w:rsidR="00A04914" w:rsidRPr="00314098">
        <w:rPr>
          <w:rFonts w:ascii="Times New Roman" w:eastAsia="Times New Roman" w:hAnsi="Times New Roman" w:cs="Times New Roman"/>
          <w:kern w:val="0"/>
          <w:sz w:val="24"/>
          <w:szCs w:val="24"/>
          <w:lang w:eastAsia="en-IN" w:bidi="ml-IN"/>
          <w14:ligatures w14:val="none"/>
        </w:rPr>
        <w:t xml:space="preserve">cts constitute </w:t>
      </w:r>
      <w:r w:rsidRPr="00314098">
        <w:rPr>
          <w:rFonts w:ascii="Times New Roman" w:eastAsia="Times New Roman" w:hAnsi="Times New Roman" w:cs="Times New Roman"/>
          <w:kern w:val="0"/>
          <w:sz w:val="24"/>
          <w:szCs w:val="24"/>
          <w:lang w:eastAsia="en-IN" w:bidi="ml-IN"/>
          <w14:ligatures w14:val="none"/>
        </w:rPr>
        <w:t>the foundation</w:t>
      </w:r>
      <w:r w:rsidR="00A04914" w:rsidRPr="00314098">
        <w:rPr>
          <w:rFonts w:ascii="Times New Roman" w:eastAsia="Times New Roman" w:hAnsi="Times New Roman" w:cs="Times New Roman"/>
          <w:kern w:val="0"/>
          <w:sz w:val="24"/>
          <w:szCs w:val="24"/>
          <w:lang w:eastAsia="en-IN" w:bidi="ml-IN"/>
          <w14:ligatures w14:val="none"/>
        </w:rPr>
        <w:t xml:space="preserve"> of ecosystem </w:t>
      </w:r>
      <w:r w:rsidRPr="00314098">
        <w:rPr>
          <w:rFonts w:ascii="Times New Roman" w:eastAsia="Times New Roman" w:hAnsi="Times New Roman" w:cs="Times New Roman"/>
          <w:kern w:val="0"/>
          <w:sz w:val="24"/>
          <w:szCs w:val="24"/>
          <w:lang w:eastAsia="en-IN" w:bidi="ml-IN"/>
          <w14:ligatures w14:val="none"/>
        </w:rPr>
        <w:t>health</w:t>
      </w:r>
      <w:r w:rsidR="00A04914" w:rsidRPr="00314098">
        <w:rPr>
          <w:rFonts w:ascii="Times New Roman" w:eastAsia="Times New Roman" w:hAnsi="Times New Roman" w:cs="Times New Roman"/>
          <w:kern w:val="0"/>
          <w:sz w:val="24"/>
          <w:szCs w:val="24"/>
          <w:lang w:eastAsia="en-IN" w:bidi="ml-IN"/>
          <w14:ligatures w14:val="none"/>
        </w:rPr>
        <w:t xml:space="preserve">: they </w:t>
      </w:r>
      <w:r w:rsidRPr="00314098">
        <w:rPr>
          <w:rFonts w:ascii="Times New Roman" w:eastAsia="Times New Roman" w:hAnsi="Times New Roman" w:cs="Times New Roman"/>
          <w:kern w:val="0"/>
          <w:sz w:val="24"/>
          <w:szCs w:val="24"/>
          <w:lang w:eastAsia="en-IN" w:bidi="ml-IN"/>
          <w14:ligatures w14:val="none"/>
        </w:rPr>
        <w:t>facilitate</w:t>
      </w:r>
      <w:r w:rsidR="00A04914" w:rsidRPr="00314098">
        <w:rPr>
          <w:rFonts w:ascii="Times New Roman" w:eastAsia="Times New Roman" w:hAnsi="Times New Roman" w:cs="Times New Roman"/>
          <w:kern w:val="0"/>
          <w:sz w:val="24"/>
          <w:szCs w:val="24"/>
          <w:lang w:eastAsia="en-IN" w:bidi="ml-IN"/>
          <w14:ligatures w14:val="none"/>
        </w:rPr>
        <w:t xml:space="preserve"> pollination of plants and crops, drive decomposition and nutrient cycling and have central positions within food webs as prey and predators thus helping to maintain ecosystem resilience and functioning in all biomes [Basset et al. 2012]. However, we still have a cripplingly poor understanding of the taxonomy and distribution of insects. Estimates of the total number of insect species on Earth have been estimated in the millions (with the mid-range approximation being between 5-6 million), of which only 1.0-1.2 million have been given formal species names in existing catalogues, and therefore most species are either un-named or poorly known [Stork 2018; Chapman 2009]. Adding to that, there are several reports of significant losses of insect abundance and biomass in recent decades including a pronounced decrease in flying-insect assemblages according to long-term Malaise trap records and broad meta-analyses that attribute </w:t>
      </w:r>
      <w:r w:rsidR="00A04914" w:rsidRPr="00314098">
        <w:rPr>
          <w:rFonts w:ascii="Times New Roman" w:eastAsia="Times New Roman" w:hAnsi="Times New Roman" w:cs="Times New Roman"/>
          <w:kern w:val="0"/>
          <w:sz w:val="24"/>
          <w:szCs w:val="24"/>
          <w:lang w:eastAsia="en-IN" w:bidi="ml-IN"/>
          <w14:ligatures w14:val="none"/>
        </w:rPr>
        <w:lastRenderedPageBreak/>
        <w:t>this decline to habitat loss, pesticide use, invasive species, and climate change [Hallmann et al. 2017</w:t>
      </w:r>
      <w:commentRangeStart w:id="3"/>
      <w:r w:rsidR="00A04914" w:rsidRPr="00314098">
        <w:rPr>
          <w:rFonts w:ascii="Times New Roman" w:eastAsia="Times New Roman" w:hAnsi="Times New Roman" w:cs="Times New Roman"/>
          <w:color w:val="388600"/>
          <w:kern w:val="0"/>
          <w:sz w:val="24"/>
          <w:szCs w:val="24"/>
          <w:lang w:eastAsia="en-IN" w:bidi="ml-IN"/>
          <w14:ligatures w14:val="none"/>
        </w:rPr>
        <w:t xml:space="preserve">; </w:t>
      </w:r>
      <w:commentRangeEnd w:id="3"/>
      <w:r w:rsidR="0072734F">
        <w:rPr>
          <w:rStyle w:val="CommentReference"/>
        </w:rPr>
        <w:commentReference w:id="3"/>
      </w:r>
      <w:proofErr w:type="spellStart"/>
      <w:r w:rsidR="00A04914" w:rsidRPr="00314098">
        <w:rPr>
          <w:rFonts w:ascii="Times New Roman" w:eastAsia="Times New Roman" w:hAnsi="Times New Roman" w:cs="Times New Roman"/>
          <w:kern w:val="0"/>
          <w:sz w:val="24"/>
          <w:szCs w:val="24"/>
          <w:lang w:eastAsia="en-IN" w:bidi="ml-IN"/>
          <w14:ligatures w14:val="none"/>
        </w:rPr>
        <w:t>Szanchez</w:t>
      </w:r>
      <w:proofErr w:type="spellEnd"/>
      <w:r w:rsidR="00A04914" w:rsidRPr="00314098">
        <w:rPr>
          <w:rFonts w:ascii="Times New Roman" w:eastAsia="Times New Roman" w:hAnsi="Times New Roman" w:cs="Times New Roman"/>
          <w:kern w:val="0"/>
          <w:sz w:val="24"/>
          <w:szCs w:val="24"/>
          <w:lang w:eastAsia="en-IN" w:bidi="ml-IN"/>
          <w14:ligatures w14:val="none"/>
        </w:rPr>
        <w:t xml:space="preserve">-Bayo </w:t>
      </w:r>
      <w:r w:rsidR="00FD4F5E" w:rsidRPr="00314098">
        <w:rPr>
          <w:rFonts w:ascii="Times New Roman" w:eastAsia="Times New Roman" w:hAnsi="Times New Roman" w:cs="Times New Roman"/>
          <w:kern w:val="0"/>
          <w:sz w:val="24"/>
          <w:szCs w:val="24"/>
          <w:lang w:eastAsia="en-IN" w:bidi="ml-IN"/>
          <w14:ligatures w14:val="none"/>
        </w:rPr>
        <w:t xml:space="preserve">et al. </w:t>
      </w:r>
      <w:r w:rsidR="00A04914" w:rsidRPr="00314098">
        <w:rPr>
          <w:rFonts w:ascii="Times New Roman" w:eastAsia="Times New Roman" w:hAnsi="Times New Roman" w:cs="Times New Roman"/>
          <w:kern w:val="0"/>
          <w:sz w:val="24"/>
          <w:szCs w:val="24"/>
          <w:lang w:eastAsia="en-IN" w:bidi="ml-IN"/>
          <w14:ligatures w14:val="none"/>
        </w:rPr>
        <w:t>2019</w:t>
      </w:r>
      <w:r w:rsidR="00A04914" w:rsidRPr="00314098">
        <w:rPr>
          <w:rFonts w:ascii="Times New Roman" w:eastAsia="Times New Roman" w:hAnsi="Times New Roman" w:cs="Times New Roman"/>
          <w:color w:val="388600"/>
          <w:kern w:val="0"/>
          <w:sz w:val="24"/>
          <w:szCs w:val="24"/>
          <w:lang w:eastAsia="en-IN" w:bidi="ml-IN"/>
          <w14:ligatures w14:val="none"/>
        </w:rPr>
        <w:t xml:space="preserve">; </w:t>
      </w:r>
      <w:r w:rsidR="00A04914" w:rsidRPr="00314098">
        <w:rPr>
          <w:rFonts w:ascii="Times New Roman" w:eastAsia="Times New Roman" w:hAnsi="Times New Roman" w:cs="Times New Roman"/>
          <w:kern w:val="0"/>
          <w:sz w:val="24"/>
          <w:szCs w:val="24"/>
          <w:lang w:eastAsia="en-IN" w:bidi="ml-IN"/>
          <w14:ligatures w14:val="none"/>
        </w:rPr>
        <w:t>Dirzo et al. 2014].</w:t>
      </w:r>
    </w:p>
    <w:p w14:paraId="4567EEDC" w14:textId="78B8555E" w:rsidR="00C53636" w:rsidRPr="00314098" w:rsidRDefault="00A04914"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is a megadiverse nation with large insect diversity, but its taxonomic lists are far from complete. Recent reviews consider Indian insects in the thousands, with </w:t>
      </w:r>
      <w:r w:rsidR="00B7649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Shashank et al. 2022</w:t>
      </w:r>
      <w:r w:rsidR="00B7649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summarising around 62,000 documented species in many families. The </w:t>
      </w:r>
      <w:r w:rsidR="00D8588C" w:rsidRPr="00314098">
        <w:rPr>
          <w:rFonts w:ascii="Times New Roman" w:eastAsia="Times New Roman" w:hAnsi="Times New Roman" w:cs="Times New Roman"/>
          <w:kern w:val="0"/>
          <w:sz w:val="24"/>
          <w:szCs w:val="24"/>
          <w:lang w:eastAsia="en-IN" w:bidi="ml-IN"/>
          <w14:ligatures w14:val="none"/>
        </w:rPr>
        <w:t xml:space="preserve">pioneer taxonomic organization, </w:t>
      </w:r>
      <w:r w:rsidRPr="00314098">
        <w:rPr>
          <w:rFonts w:ascii="Times New Roman" w:eastAsia="Times New Roman" w:hAnsi="Times New Roman" w:cs="Times New Roman"/>
          <w:kern w:val="0"/>
          <w:sz w:val="24"/>
          <w:szCs w:val="24"/>
          <w:lang w:eastAsia="en-IN" w:bidi="ml-IN"/>
          <w14:ligatures w14:val="none"/>
        </w:rPr>
        <w:t xml:space="preserve">Zoological Survey of India </w:t>
      </w:r>
      <w:r w:rsidR="004A07F7" w:rsidRPr="00314098">
        <w:rPr>
          <w:rFonts w:ascii="Times New Roman" w:eastAsia="Times New Roman" w:hAnsi="Times New Roman" w:cs="Times New Roman"/>
          <w:kern w:val="0"/>
          <w:sz w:val="24"/>
          <w:szCs w:val="24"/>
          <w:lang w:eastAsia="en-IN" w:bidi="ml-IN"/>
          <w14:ligatures w14:val="none"/>
        </w:rPr>
        <w:t xml:space="preserve">by conducting tireless faunal surveys and </w:t>
      </w:r>
      <w:r w:rsidRPr="00314098">
        <w:rPr>
          <w:rFonts w:ascii="Times New Roman" w:eastAsia="Times New Roman" w:hAnsi="Times New Roman" w:cs="Times New Roman"/>
          <w:kern w:val="0"/>
          <w:sz w:val="24"/>
          <w:szCs w:val="24"/>
          <w:lang w:eastAsia="en-IN" w:bidi="ml-IN"/>
          <w14:ligatures w14:val="none"/>
        </w:rPr>
        <w:t>reports new species and records each year, highlighting both the extraordinary insect diversity in the country, and the significant taxonomic gaps that still exist.</w:t>
      </w:r>
      <w:r w:rsidR="00A80176" w:rsidRPr="00314098">
        <w:rPr>
          <w:rFonts w:ascii="Times New Roman" w:eastAsia="Times New Roman" w:hAnsi="Times New Roman" w:cs="Times New Roman"/>
          <w:kern w:val="0"/>
          <w:sz w:val="24"/>
          <w:szCs w:val="24"/>
          <w:lang w:eastAsia="en-IN" w:bidi="ml-IN"/>
          <w14:ligatures w14:val="none"/>
        </w:rPr>
        <w:t xml:space="preserve"> </w:t>
      </w:r>
      <w:r w:rsidR="005D7134" w:rsidRPr="00314098">
        <w:rPr>
          <w:rFonts w:ascii="Times New Roman" w:eastAsia="Times New Roman" w:hAnsi="Times New Roman" w:cs="Times New Roman"/>
          <w:kern w:val="0"/>
          <w:sz w:val="24"/>
          <w:szCs w:val="24"/>
          <w:lang w:eastAsia="en-IN" w:bidi="ml-IN"/>
          <w14:ligatures w14:val="none"/>
        </w:rPr>
        <w:t xml:space="preserve">These gaps are compounded by the logistical challenges of surveying India’s heterogeneous and often inaccessible terrains, as well as by the </w:t>
      </w:r>
      <w:proofErr w:type="spellStart"/>
      <w:r w:rsidR="005D7134" w:rsidRPr="00314098">
        <w:rPr>
          <w:rFonts w:ascii="Times New Roman" w:eastAsia="Times New Roman" w:hAnsi="Times New Roman" w:cs="Times New Roman"/>
          <w:kern w:val="0"/>
          <w:sz w:val="24"/>
          <w:szCs w:val="24"/>
          <w:lang w:eastAsia="en-IN" w:bidi="ml-IN"/>
          <w14:ligatures w14:val="none"/>
        </w:rPr>
        <w:t>hyperdiversity</w:t>
      </w:r>
      <w:proofErr w:type="spellEnd"/>
      <w:r w:rsidR="005D7134" w:rsidRPr="00314098">
        <w:rPr>
          <w:rFonts w:ascii="Times New Roman" w:eastAsia="Times New Roman" w:hAnsi="Times New Roman" w:cs="Times New Roman"/>
          <w:kern w:val="0"/>
          <w:sz w:val="24"/>
          <w:szCs w:val="24"/>
          <w:lang w:eastAsia="en-IN" w:bidi="ml-IN"/>
          <w14:ligatures w14:val="none"/>
        </w:rPr>
        <w:t xml:space="preserve"> of several insect groups, which collectively hinder comprehensive species inventories.</w:t>
      </w:r>
      <w:r w:rsidR="00C53636" w:rsidRPr="00314098">
        <w:rPr>
          <w:rFonts w:ascii="Times New Roman" w:eastAsia="Times New Roman" w:hAnsi="Times New Roman" w:cs="Times New Roman"/>
          <w:kern w:val="0"/>
          <w:sz w:val="24"/>
          <w:szCs w:val="24"/>
          <w:lang w:eastAsia="en-IN" w:bidi="ml-IN"/>
          <w14:ligatures w14:val="none"/>
        </w:rPr>
        <w:t xml:space="preserve"> [Shashank et al. 2022; </w:t>
      </w:r>
      <w:r w:rsidR="00192162" w:rsidRPr="00314098">
        <w:rPr>
          <w:rFonts w:ascii="Times New Roman" w:eastAsia="Times New Roman" w:hAnsi="Times New Roman" w:cs="Times New Roman"/>
          <w:kern w:val="0"/>
          <w:sz w:val="24"/>
          <w:szCs w:val="24"/>
          <w:lang w:eastAsia="en-IN" w:bidi="ml-IN"/>
          <w14:ligatures w14:val="none"/>
        </w:rPr>
        <w:t>Banerjee, D et al</w:t>
      </w:r>
      <w:r w:rsidR="0003437C" w:rsidRPr="00314098">
        <w:rPr>
          <w:rFonts w:ascii="Times New Roman" w:eastAsia="Times New Roman" w:hAnsi="Times New Roman" w:cs="Times New Roman"/>
          <w:kern w:val="0"/>
          <w:sz w:val="24"/>
          <w:szCs w:val="24"/>
          <w:lang w:eastAsia="en-IN" w:bidi="ml-IN"/>
          <w14:ligatures w14:val="none"/>
        </w:rPr>
        <w:t>.</w:t>
      </w:r>
      <w:r w:rsidR="00C53636" w:rsidRPr="00314098">
        <w:rPr>
          <w:rFonts w:ascii="Times New Roman" w:eastAsia="Times New Roman" w:hAnsi="Times New Roman" w:cs="Times New Roman"/>
          <w:kern w:val="0"/>
          <w:sz w:val="24"/>
          <w:szCs w:val="24"/>
          <w:lang w:eastAsia="en-IN" w:bidi="ml-IN"/>
          <w14:ligatures w14:val="none"/>
        </w:rPr>
        <w:t xml:space="preserve"> 202</w:t>
      </w:r>
      <w:r w:rsidR="00192162" w:rsidRPr="00314098">
        <w:rPr>
          <w:rFonts w:ascii="Times New Roman" w:eastAsia="Times New Roman" w:hAnsi="Times New Roman" w:cs="Times New Roman"/>
          <w:kern w:val="0"/>
          <w:sz w:val="24"/>
          <w:szCs w:val="24"/>
          <w:lang w:eastAsia="en-IN" w:bidi="ml-IN"/>
          <w14:ligatures w14:val="none"/>
        </w:rPr>
        <w:t>5</w:t>
      </w:r>
      <w:r w:rsidR="00C53636" w:rsidRPr="00314098">
        <w:rPr>
          <w:rFonts w:ascii="Times New Roman" w:eastAsia="Times New Roman" w:hAnsi="Times New Roman" w:cs="Times New Roman"/>
          <w:kern w:val="0"/>
          <w:sz w:val="24"/>
          <w:szCs w:val="24"/>
          <w:lang w:eastAsia="en-IN" w:bidi="ml-IN"/>
          <w14:ligatures w14:val="none"/>
        </w:rPr>
        <w:t xml:space="preserve">]. These large undiscovered components of insect diversity are particularly concentrated in tropical and montane regions and among </w:t>
      </w:r>
      <w:proofErr w:type="spellStart"/>
      <w:r w:rsidR="00C53636" w:rsidRPr="00314098">
        <w:rPr>
          <w:rFonts w:ascii="Times New Roman" w:eastAsia="Times New Roman" w:hAnsi="Times New Roman" w:cs="Times New Roman"/>
          <w:kern w:val="0"/>
          <w:sz w:val="24"/>
          <w:szCs w:val="24"/>
          <w:lang w:eastAsia="en-IN" w:bidi="ml-IN"/>
          <w14:ligatures w14:val="none"/>
        </w:rPr>
        <w:t>hyperdiverse</w:t>
      </w:r>
      <w:proofErr w:type="spellEnd"/>
      <w:r w:rsidR="00C53636" w:rsidRPr="00314098">
        <w:rPr>
          <w:rFonts w:ascii="Times New Roman" w:eastAsia="Times New Roman" w:hAnsi="Times New Roman" w:cs="Times New Roman"/>
          <w:kern w:val="0"/>
          <w:sz w:val="24"/>
          <w:szCs w:val="24"/>
          <w:lang w:eastAsia="en-IN" w:bidi="ml-IN"/>
          <w14:ligatures w14:val="none"/>
        </w:rPr>
        <w:t xml:space="preserve"> groups (e.g., Coleoptera, Diptera, Hymenoptera and micro-Lepidoptera), which amplifies the challenge of producing complete distribution maps and time-series monitoring data for India’s agroecosystems and natural habitats.</w:t>
      </w:r>
    </w:p>
    <w:p w14:paraId="3F435A32" w14:textId="23A09C3E" w:rsidR="00C53636" w:rsidRPr="00314098" w:rsidRDefault="00C53636"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Classical morphology-based taxonomy remains indispensable for diagnosing and describing species, but it is inherently time-consuming and relies on specialised expert knowledge; this “taxonomic impediment” constrains the rate at which biodiversity can be documented relative to the rate of environmental change [Wheeler et al. 2004; Packer et al. 2009]. Morphology alone is particularly prone to fail or be ambiguous when: </w:t>
      </w:r>
      <w:commentRangeStart w:id="4"/>
      <w:r w:rsidRPr="00314098">
        <w:rPr>
          <w:rFonts w:ascii="Times New Roman" w:eastAsia="Times New Roman" w:hAnsi="Times New Roman" w:cs="Times New Roman"/>
          <w:kern w:val="0"/>
          <w:sz w:val="24"/>
          <w:szCs w:val="24"/>
          <w:lang w:eastAsia="en-IN" w:bidi="ml-IN"/>
          <w14:ligatures w14:val="none"/>
        </w:rPr>
        <w:t>(</w:t>
      </w:r>
      <w:proofErr w:type="spellStart"/>
      <w:r w:rsidRPr="00314098">
        <w:rPr>
          <w:rFonts w:ascii="Times New Roman" w:eastAsia="Times New Roman" w:hAnsi="Times New Roman" w:cs="Times New Roman"/>
          <w:kern w:val="0"/>
          <w:sz w:val="24"/>
          <w:szCs w:val="24"/>
          <w:lang w:eastAsia="en-IN" w:bidi="ml-IN"/>
          <w14:ligatures w14:val="none"/>
        </w:rPr>
        <w:t>i</w:t>
      </w:r>
      <w:proofErr w:type="spellEnd"/>
      <w:r w:rsidRPr="00314098">
        <w:rPr>
          <w:rFonts w:ascii="Times New Roman" w:eastAsia="Times New Roman" w:hAnsi="Times New Roman" w:cs="Times New Roman"/>
          <w:kern w:val="0"/>
          <w:sz w:val="24"/>
          <w:szCs w:val="24"/>
          <w:lang w:eastAsia="en-IN" w:bidi="ml-IN"/>
          <w14:ligatures w14:val="none"/>
        </w:rPr>
        <w:t xml:space="preserve">) </w:t>
      </w:r>
      <w:commentRangeEnd w:id="4"/>
      <w:r w:rsidR="0072734F">
        <w:rPr>
          <w:rStyle w:val="CommentReference"/>
        </w:rPr>
        <w:commentReference w:id="4"/>
      </w:r>
      <w:r w:rsidRPr="00314098">
        <w:rPr>
          <w:rFonts w:ascii="Times New Roman" w:eastAsia="Times New Roman" w:hAnsi="Times New Roman" w:cs="Times New Roman"/>
          <w:kern w:val="0"/>
          <w:sz w:val="24"/>
          <w:szCs w:val="24"/>
          <w:lang w:eastAsia="en-IN" w:bidi="ml-IN"/>
          <w14:ligatures w14:val="none"/>
        </w:rPr>
        <w:t>cryptic species complexes exist</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genetically distinct lineages with little or no consistent external morphology</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which molecular tools routinely reveal; (ii) specimens are immature, mutilated, or fragmentary (for example, larval stages or damaged trap catches lacking adult diagnostic characters); and (iii) monitoring requires the rapid processing of bulk samples containing thousands of individuals (where per-specimen morphological identification is often impractical) [Bickford et al. 2007; Hebert et al. 2003; Meier et al. 2006]. For these reasons, DNA-based methods (e.g., COI barcoding, metabarcoding, genome skimming) are increasingly used to complement </w:t>
      </w:r>
      <w:r w:rsidR="00C66F17" w:rsidRPr="00314098">
        <w:rPr>
          <w:rFonts w:ascii="Times New Roman" w:eastAsia="Times New Roman" w:hAnsi="Times New Roman" w:cs="Times New Roman"/>
          <w:kern w:val="0"/>
          <w:sz w:val="24"/>
          <w:szCs w:val="24"/>
          <w:lang w:eastAsia="en-IN" w:bidi="ml-IN"/>
          <w14:ligatures w14:val="none"/>
        </w:rPr>
        <w:t>morphology, accelerating</w:t>
      </w:r>
      <w:r w:rsidRPr="00314098">
        <w:rPr>
          <w:rFonts w:ascii="Times New Roman" w:eastAsia="Times New Roman" w:hAnsi="Times New Roman" w:cs="Times New Roman"/>
          <w:kern w:val="0"/>
          <w:sz w:val="24"/>
          <w:szCs w:val="24"/>
          <w:lang w:eastAsia="en-IN" w:bidi="ml-IN"/>
          <w14:ligatures w14:val="none"/>
        </w:rPr>
        <w:t xml:space="preserve"> specimen identification, revealing cryptic lineages, linking life stages, and enabling scalable community-level surveys</w:t>
      </w:r>
      <w:r w:rsidR="007055C8" w:rsidRPr="00314098">
        <w:rPr>
          <w:rFonts w:ascii="Times New Roman" w:eastAsia="Times New Roman" w:hAnsi="Times New Roman" w:cs="Times New Roman"/>
          <w:kern w:val="0"/>
          <w:sz w:val="24"/>
          <w:szCs w:val="24"/>
          <w:lang w:eastAsia="en-IN" w:bidi="ml-IN"/>
          <w14:ligatures w14:val="none"/>
        </w:rPr>
        <w:t>,</w:t>
      </w:r>
      <w:r w:rsidR="00C66F17"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while still depending on well-curated voucher specimens and expert curation to validate and anchor molecular inferences [Hebert et al. 2003; Srivathsan &amp; Meier 20</w:t>
      </w:r>
      <w:r w:rsidR="00C66F17" w:rsidRPr="00314098">
        <w:rPr>
          <w:rFonts w:ascii="Times New Roman" w:eastAsia="Times New Roman" w:hAnsi="Times New Roman" w:cs="Times New Roman"/>
          <w:kern w:val="0"/>
          <w:sz w:val="24"/>
          <w:szCs w:val="24"/>
          <w:lang w:eastAsia="en-IN" w:bidi="ml-IN"/>
          <w14:ligatures w14:val="none"/>
        </w:rPr>
        <w:t>21</w:t>
      </w:r>
      <w:r w:rsidRPr="00314098">
        <w:rPr>
          <w:rFonts w:ascii="Times New Roman" w:eastAsia="Times New Roman" w:hAnsi="Times New Roman" w:cs="Times New Roman"/>
          <w:kern w:val="0"/>
          <w:sz w:val="24"/>
          <w:szCs w:val="24"/>
          <w:lang w:eastAsia="en-IN" w:bidi="ml-IN"/>
          <w14:ligatures w14:val="none"/>
        </w:rPr>
        <w:t>; Stork 2018].</w:t>
      </w:r>
    </w:p>
    <w:p w14:paraId="015EDE17"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1.2 DNA-Based Tools: Transformative Technologies</w:t>
      </w:r>
    </w:p>
    <w:p w14:paraId="10F70766" w14:textId="09FFB1EA"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Mitochondrial cytochrome c oxidase subunit I (COI) gene DNA barcoding has transformed the way in which species are identified since the beginning of the 2000</w:t>
      </w:r>
      <w:r w:rsidRPr="00314098">
        <w:rPr>
          <w:rFonts w:ascii="Times New Roman" w:eastAsia="Times New Roman" w:hAnsi="Times New Roman" w:cs="Times New Roman"/>
          <w:kern w:val="0"/>
          <w:sz w:val="24"/>
          <w:szCs w:val="24"/>
          <w:vertAlign w:val="superscript"/>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by enabling a fast and standardized comparison of query sequences to curated reference databases of species [Hebert et al. 2003; </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2007]. This framework allows the rapid mapping of unknown specimens onto known taxa and the identification of possible new taxa when the sequences fail to match. The applications of COI barcoding are widespread, and it is especially common in invertebrate biodiversity studies due to universal mitochondrial primers and the high level of discriminatory power of the locus to most animal groups [</w:t>
      </w:r>
      <w:proofErr w:type="spellStart"/>
      <w:r w:rsidRPr="00314098">
        <w:rPr>
          <w:rFonts w:ascii="Times New Roman" w:eastAsia="Times New Roman" w:hAnsi="Times New Roman" w:cs="Times New Roman"/>
          <w:kern w:val="0"/>
          <w:sz w:val="24"/>
          <w:szCs w:val="24"/>
          <w:lang w:eastAsia="en-IN" w:bidi="ml-IN"/>
          <w14:ligatures w14:val="none"/>
        </w:rPr>
        <w:t>Hajibabaei</w:t>
      </w:r>
      <w:proofErr w:type="spellEnd"/>
      <w:r w:rsidRPr="00314098">
        <w:rPr>
          <w:rFonts w:ascii="Times New Roman" w:eastAsia="Times New Roman" w:hAnsi="Times New Roman" w:cs="Times New Roman"/>
          <w:kern w:val="0"/>
          <w:sz w:val="24"/>
          <w:szCs w:val="24"/>
          <w:lang w:eastAsia="en-IN" w:bidi="ml-IN"/>
          <w14:ligatures w14:val="none"/>
        </w:rPr>
        <w:t xml:space="preserve"> et al. 2007; Bucklin et al. 2011].</w:t>
      </w:r>
    </w:p>
    <w:p w14:paraId="059DE295" w14:textId="08F285A4"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Metabarcoding is the next step in DNA barcoding because it uses taxon-specific or universal primers in conjunction with high-throughput sequencing (HTS) technologies to detect and identify multiple taxa in a single bulk sample or environmental matrix [</w:t>
      </w:r>
      <w:proofErr w:type="spellStart"/>
      <w:r w:rsidRPr="00314098">
        <w:rPr>
          <w:rFonts w:ascii="Times New Roman" w:eastAsia="Times New Roman" w:hAnsi="Times New Roman" w:cs="Times New Roman"/>
          <w:kern w:val="0"/>
          <w:sz w:val="24"/>
          <w:szCs w:val="24"/>
          <w:lang w:eastAsia="en-IN" w:bidi="ml-IN"/>
          <w14:ligatures w14:val="none"/>
        </w:rPr>
        <w:t>Taberlet</w:t>
      </w:r>
      <w:proofErr w:type="spellEnd"/>
      <w:r w:rsidRPr="00314098">
        <w:rPr>
          <w:rFonts w:ascii="Times New Roman" w:eastAsia="Times New Roman" w:hAnsi="Times New Roman" w:cs="Times New Roman"/>
          <w:kern w:val="0"/>
          <w:sz w:val="24"/>
          <w:szCs w:val="24"/>
          <w:lang w:eastAsia="en-IN" w:bidi="ml-IN"/>
          <w14:ligatures w14:val="none"/>
        </w:rPr>
        <w:t xml:space="preserve"> et al. 2012; Ji et al. 2013]. This scalable approach has revolutionized biodiversity tracking by allowing the </w:t>
      </w:r>
      <w:r w:rsidRPr="00314098">
        <w:rPr>
          <w:rFonts w:ascii="Times New Roman" w:eastAsia="Times New Roman" w:hAnsi="Times New Roman" w:cs="Times New Roman"/>
          <w:kern w:val="0"/>
          <w:sz w:val="24"/>
          <w:szCs w:val="24"/>
          <w:lang w:eastAsia="en-IN" w:bidi="ml-IN"/>
          <w14:ligatures w14:val="none"/>
        </w:rPr>
        <w:lastRenderedPageBreak/>
        <w:t>processing of large sample sizes at a new level of taxonomic resolution and breadth. It has been effective in community profiling of Malaise-trap collections, gut-content analysis, and reconstructing historical communities in sediment cores [Creer et al. 2016; Deiner et al. 2017].</w:t>
      </w:r>
    </w:p>
    <w:p w14:paraId="0435ED89" w14:textId="341FD475" w:rsidR="00C22942" w:rsidRPr="00314098" w:rsidRDefault="00085869" w:rsidP="00FB6329">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Among the most striking trends in the modern ecological investigation, the use of environmental DNA (eDNA) metabarcoding, which allows species to be detected across various matrices (soil, freshwater, marine sediments, and even air) without the need to study organisms directly [Bohmann et al. 2014; Lynggaard et al. 2022] deserves to be mentioned. Through this strategy, eDNA has the potential to detect cryptic, or otherwise hard-to-detect taxa, enable the evaluation of community composition and track biodiversity changes with minimal disruption. Recent evidence has also proven air-borne eDNA can be used to characterize terrestrial arthropod assemblages as well as vertebrate communities, extending the repertoire of non-invasive biomonitoring into new environments that were previously intractable [Lynggaard et al. 2022</w:t>
      </w:r>
      <w:r w:rsidR="002C2BCE" w:rsidRPr="00314098">
        <w:rPr>
          <w:rFonts w:ascii="Times New Roman" w:eastAsia="Times New Roman" w:hAnsi="Times New Roman" w:cs="Times New Roman"/>
          <w:kern w:val="0"/>
          <w:sz w:val="24"/>
          <w:szCs w:val="24"/>
          <w:lang w:eastAsia="en-IN" w:bidi="ml-IN"/>
          <w14:ligatures w14:val="none"/>
        </w:rPr>
        <w:t>;</w:t>
      </w:r>
      <w:r w:rsidR="002C2BCE" w:rsidRPr="00314098">
        <w:rPr>
          <w:rFonts w:ascii="Times New Roman" w:hAnsi="Times New Roman" w:cs="Times New Roman"/>
          <w:sz w:val="24"/>
          <w:szCs w:val="24"/>
        </w:rPr>
        <w:t xml:space="preserve"> </w:t>
      </w:r>
      <w:r w:rsidR="002C2BCE" w:rsidRPr="00314098">
        <w:rPr>
          <w:rFonts w:ascii="Times New Roman" w:eastAsia="Times New Roman" w:hAnsi="Times New Roman" w:cs="Times New Roman"/>
          <w:kern w:val="0"/>
          <w:sz w:val="24"/>
          <w:szCs w:val="24"/>
          <w:lang w:eastAsia="en-IN" w:bidi="ml-IN"/>
          <w14:ligatures w14:val="none"/>
        </w:rPr>
        <w:t>Clare, et al. 2022</w:t>
      </w:r>
      <w:r w:rsidR="00285717" w:rsidRPr="00314098">
        <w:rPr>
          <w:rFonts w:ascii="Times New Roman" w:eastAsia="Times New Roman" w:hAnsi="Times New Roman" w:cs="Times New Roman"/>
          <w:kern w:val="0"/>
          <w:sz w:val="24"/>
          <w:szCs w:val="24"/>
          <w:lang w:eastAsia="en-IN" w:bidi="ml-IN"/>
          <w14:ligatures w14:val="none"/>
        </w:rPr>
        <w:t>]</w:t>
      </w:r>
      <w:r w:rsidR="002C2BCE" w:rsidRPr="00314098">
        <w:rPr>
          <w:rFonts w:ascii="Times New Roman" w:eastAsia="Times New Roman" w:hAnsi="Times New Roman" w:cs="Times New Roman"/>
          <w:kern w:val="0"/>
          <w:sz w:val="24"/>
          <w:szCs w:val="24"/>
          <w:lang w:eastAsia="en-IN" w:bidi="ml-IN"/>
          <w14:ligatures w14:val="none"/>
        </w:rPr>
        <w:t>.</w:t>
      </w:r>
    </w:p>
    <w:p w14:paraId="1449834C" w14:textId="51CD79B4"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1.3 Focus on Indian Agroecosystems: The Urgency</w:t>
      </w:r>
    </w:p>
    <w:p w14:paraId="522F70C0" w14:textId="5F5A7877" w:rsidR="007849D5" w:rsidRPr="00314098" w:rsidRDefault="00195A53"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has a remarkable share of people and farms sustained by agroecosystems. Approximately two-thirds of the nation relies on agriculture and over half the </w:t>
      </w:r>
      <w:r w:rsidR="005C6DBB" w:rsidRPr="00314098">
        <w:rPr>
          <w:rFonts w:ascii="Times New Roman" w:eastAsia="Times New Roman" w:hAnsi="Times New Roman" w:cs="Times New Roman"/>
          <w:kern w:val="0"/>
          <w:sz w:val="24"/>
          <w:szCs w:val="24"/>
          <w:lang w:eastAsia="en-IN" w:bidi="ml-IN"/>
          <w14:ligatures w14:val="none"/>
        </w:rPr>
        <w:t>land area</w:t>
      </w:r>
      <w:r w:rsidRPr="00314098">
        <w:rPr>
          <w:rFonts w:ascii="Times New Roman" w:eastAsia="Times New Roman" w:hAnsi="Times New Roman" w:cs="Times New Roman"/>
          <w:kern w:val="0"/>
          <w:sz w:val="24"/>
          <w:szCs w:val="24"/>
          <w:lang w:eastAsia="en-IN" w:bidi="ml-IN"/>
          <w14:ligatures w14:val="none"/>
        </w:rPr>
        <w:t xml:space="preserve"> is under cultivation, </w:t>
      </w:r>
      <w:r w:rsidR="001958C3" w:rsidRPr="00314098">
        <w:rPr>
          <w:rFonts w:ascii="Times New Roman" w:eastAsia="Times New Roman" w:hAnsi="Times New Roman" w:cs="Times New Roman"/>
          <w:kern w:val="0"/>
          <w:sz w:val="24"/>
          <w:szCs w:val="24"/>
          <w:lang w:eastAsia="en-IN" w:bidi="ml-IN"/>
          <w14:ligatures w14:val="none"/>
        </w:rPr>
        <w:t>consequently</w:t>
      </w:r>
      <w:r w:rsidRPr="00314098">
        <w:rPr>
          <w:rFonts w:ascii="Times New Roman" w:eastAsia="Times New Roman" w:hAnsi="Times New Roman" w:cs="Times New Roman"/>
          <w:kern w:val="0"/>
          <w:sz w:val="24"/>
          <w:szCs w:val="24"/>
          <w:lang w:eastAsia="en-IN" w:bidi="ml-IN"/>
          <w14:ligatures w14:val="none"/>
        </w:rPr>
        <w:t xml:space="preserve"> insect biodiversity is not a niche conservation concern, but the </w:t>
      </w:r>
      <w:r w:rsidR="000D5CC3" w:rsidRPr="00314098">
        <w:rPr>
          <w:rFonts w:ascii="Times New Roman" w:eastAsia="Times New Roman" w:hAnsi="Times New Roman" w:cs="Times New Roman"/>
          <w:kern w:val="0"/>
          <w:sz w:val="24"/>
          <w:szCs w:val="24"/>
          <w:lang w:eastAsia="en-IN" w:bidi="ml-IN"/>
          <w14:ligatures w14:val="none"/>
        </w:rPr>
        <w:t>foundation</w:t>
      </w:r>
      <w:r w:rsidRPr="00314098">
        <w:rPr>
          <w:rFonts w:ascii="Times New Roman" w:eastAsia="Times New Roman" w:hAnsi="Times New Roman" w:cs="Times New Roman"/>
          <w:kern w:val="0"/>
          <w:sz w:val="24"/>
          <w:szCs w:val="24"/>
          <w:lang w:eastAsia="en-IN" w:bidi="ml-IN"/>
          <w14:ligatures w14:val="none"/>
        </w:rPr>
        <w:t xml:space="preserve"> of food security and rural livelihoods </w:t>
      </w:r>
      <w:r w:rsidR="004961B2"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World Bank 2025, Brandt et al.2024</w:t>
      </w:r>
      <w:r w:rsidR="004961B2"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Conventional, specimen-based surveillance and univariate surveys routinely overlook cryptic species, immature life stages and most temporal ephemeral associations, leaving enormous gaps in our perception of pest-benefit balances and ecosystem services in croplands (Sanchez-Bayo, et al. 2024).</w:t>
      </w:r>
      <w:r w:rsidR="00F565D9" w:rsidRPr="00314098">
        <w:rPr>
          <w:rFonts w:ascii="Times New Roman" w:eastAsia="Times New Roman" w:hAnsi="Times New Roman" w:cs="Times New Roman"/>
          <w:kern w:val="0"/>
          <w:sz w:val="24"/>
          <w:szCs w:val="24"/>
          <w:lang w:eastAsia="en-IN" w:bidi="ml-IN"/>
          <w14:ligatures w14:val="none"/>
        </w:rPr>
        <w:t xml:space="preserve"> </w:t>
      </w:r>
    </w:p>
    <w:p w14:paraId="3C966493" w14:textId="11FABC15" w:rsidR="0010110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India currently has ~62,400 described insect species reported in the primary literature (≈62,429 species) [Shashank et al. 2022]. A recent review emphasized that &lt;3.73% of India’s known insect taxa have been DNA-barcoded overall, with Lepidoptera and Hemiptera most represented in barcode data, followed by Diptera and Coleoptera</w:t>
      </w:r>
      <w:r w:rsidR="008D27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underscoring the need to expand barcode coverage and to strengthen collaboration between morphologists and molecular biologists [Shashank et al. 2022]. </w:t>
      </w:r>
      <w:r w:rsidR="00FF4DE7" w:rsidRPr="00314098">
        <w:rPr>
          <w:rFonts w:ascii="Times New Roman" w:eastAsia="Times New Roman" w:hAnsi="Times New Roman" w:cs="Times New Roman"/>
          <w:kern w:val="0"/>
          <w:sz w:val="24"/>
          <w:szCs w:val="24"/>
          <w:lang w:eastAsia="en-IN" w:bidi="ml-IN"/>
          <w14:ligatures w14:val="none"/>
        </w:rPr>
        <w:t>Following this literature baseline, the Animal Discoveries-2024 published by the Zoological Survey of India recorded 683 new entries to the national faunal list (459 new species, 224 new records), the largest portion of which were insects</w:t>
      </w:r>
      <w:r w:rsidRPr="00314098">
        <w:rPr>
          <w:rFonts w:ascii="Times New Roman" w:eastAsia="Times New Roman" w:hAnsi="Times New Roman" w:cs="Times New Roman"/>
          <w:kern w:val="0"/>
          <w:sz w:val="24"/>
          <w:szCs w:val="24"/>
          <w:lang w:eastAsia="en-IN" w:bidi="ml-IN"/>
          <w14:ligatures w14:val="none"/>
        </w:rPr>
        <w:t>, across orders such as Coleoptera, Lepidoptera, Diptera and Hymenoptera [</w:t>
      </w:r>
      <w:r w:rsidR="00F001B6" w:rsidRPr="00314098">
        <w:rPr>
          <w:rFonts w:ascii="Times New Roman" w:eastAsia="Times New Roman" w:hAnsi="Times New Roman" w:cs="Times New Roman"/>
          <w:kern w:val="0"/>
          <w:sz w:val="24"/>
          <w:szCs w:val="24"/>
          <w:lang w:eastAsia="en-IN" w:bidi="ml-IN"/>
          <w14:ligatures w14:val="none"/>
        </w:rPr>
        <w:t>Banerjee, D et al. 2025</w:t>
      </w:r>
      <w:r w:rsidRPr="00314098">
        <w:rPr>
          <w:rFonts w:ascii="Times New Roman" w:eastAsia="Times New Roman" w:hAnsi="Times New Roman" w:cs="Times New Roman"/>
          <w:kern w:val="0"/>
          <w:sz w:val="24"/>
          <w:szCs w:val="24"/>
          <w:lang w:eastAsia="en-IN" w:bidi="ml-IN"/>
          <w14:ligatures w14:val="none"/>
        </w:rPr>
        <w:t xml:space="preserve">]. </w:t>
      </w:r>
    </w:p>
    <w:p w14:paraId="5CD8A9AA" w14:textId="29D1A898" w:rsidR="00172BD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These national-scale tallies are mirrored by original taxonomic articles that continue to add Indian insect species annually</w:t>
      </w:r>
      <w:r w:rsidR="00E01D71"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these lines of evidence indicate that while India’s described insect fauna stands at ~62.4k species in the literature, the pace of discovery recorded by ZSI and in primary journals signals rapid growth and a pressing need for integrative (morphology + molecules) workflows to keep national inventories current [Shashank et al. 2022; Gupta et al. 2025; Sushama et al. 2025].</w:t>
      </w:r>
      <w:r w:rsidR="00172BD8" w:rsidRPr="00314098">
        <w:rPr>
          <w:rFonts w:ascii="Times New Roman" w:eastAsia="Times New Roman" w:hAnsi="Times New Roman" w:cs="Times New Roman"/>
          <w:kern w:val="0"/>
          <w:sz w:val="24"/>
          <w:szCs w:val="24"/>
          <w:lang w:eastAsia="en-IN" w:bidi="ml-IN"/>
          <w14:ligatures w14:val="none"/>
        </w:rPr>
        <w:t xml:space="preserve"> The ~62,429 figure is the most recent peer-reviewed national total explicitly reported for India’s described insect species [Shashank et al. 2022]. </w:t>
      </w:r>
      <w:r w:rsidR="00690A71" w:rsidRPr="00314098">
        <w:rPr>
          <w:rFonts w:ascii="Times New Roman" w:eastAsia="Times New Roman" w:hAnsi="Times New Roman" w:cs="Times New Roman"/>
          <w:kern w:val="0"/>
          <w:sz w:val="24"/>
          <w:szCs w:val="24"/>
          <w:lang w:eastAsia="en-IN" w:bidi="ml-IN"/>
          <w14:ligatures w14:val="none"/>
        </w:rPr>
        <w:t xml:space="preserve">In faunal diversity, the country has 1,05,244 species and subspecies of all forms of faunal from protists to mammals </w:t>
      </w:r>
      <w:r w:rsidR="00064469" w:rsidRPr="00314098">
        <w:rPr>
          <w:rFonts w:ascii="Times New Roman" w:hAnsi="Times New Roman" w:cs="Times New Roman"/>
          <w:sz w:val="24"/>
          <w:szCs w:val="24"/>
        </w:rPr>
        <w:t>(</w:t>
      </w:r>
      <w:r w:rsidR="00064469" w:rsidRPr="00314098">
        <w:rPr>
          <w:rFonts w:ascii="Times New Roman" w:eastAsia="Times New Roman" w:hAnsi="Times New Roman" w:cs="Times New Roman"/>
          <w:kern w:val="0"/>
          <w:sz w:val="24"/>
          <w:szCs w:val="24"/>
          <w:lang w:eastAsia="en-IN" w:bidi="ml-IN"/>
          <w14:ligatures w14:val="none"/>
        </w:rPr>
        <w:t>Banerjee, D. et al., 2025)</w:t>
      </w:r>
      <w:r w:rsidR="00172BD8" w:rsidRPr="00314098">
        <w:rPr>
          <w:rFonts w:ascii="Times New Roman" w:eastAsia="Times New Roman" w:hAnsi="Times New Roman" w:cs="Times New Roman"/>
          <w:kern w:val="0"/>
          <w:sz w:val="24"/>
          <w:szCs w:val="24"/>
          <w:lang w:eastAsia="en-IN" w:bidi="ml-IN"/>
          <w14:ligatures w14:val="none"/>
        </w:rPr>
        <w:t xml:space="preserve">. </w:t>
      </w:r>
      <w:r w:rsidR="00413FC9" w:rsidRPr="00314098">
        <w:rPr>
          <w:rFonts w:ascii="Times New Roman" w:eastAsia="Times New Roman" w:hAnsi="Times New Roman" w:cs="Times New Roman"/>
          <w:kern w:val="0"/>
          <w:sz w:val="24"/>
          <w:szCs w:val="24"/>
          <w:lang w:eastAsia="en-IN" w:bidi="ml-IN"/>
          <w14:ligatures w14:val="none"/>
        </w:rPr>
        <w:t xml:space="preserve">ZSI’s Animal Discoveries series reports the continued upward trajectory with annual faunal additions (showing insects as the most represented group in 2024). </w:t>
      </w:r>
      <w:r w:rsidR="00480B54" w:rsidRPr="00314098">
        <w:rPr>
          <w:rFonts w:ascii="Times New Roman" w:eastAsia="Times New Roman" w:hAnsi="Times New Roman" w:cs="Times New Roman"/>
          <w:kern w:val="0"/>
          <w:sz w:val="24"/>
          <w:szCs w:val="24"/>
          <w:lang w:eastAsia="en-IN" w:bidi="ml-IN"/>
          <w14:ligatures w14:val="none"/>
        </w:rPr>
        <w:t xml:space="preserve">The information about recent discoveries and new records was announced by Bhupender Yadav, the Union Minister of Environment </w:t>
      </w:r>
      <w:proofErr w:type="gramStart"/>
      <w:r w:rsidR="00480B54" w:rsidRPr="00314098">
        <w:rPr>
          <w:rFonts w:ascii="Times New Roman" w:eastAsia="Times New Roman" w:hAnsi="Times New Roman" w:cs="Times New Roman"/>
          <w:kern w:val="0"/>
          <w:sz w:val="24"/>
          <w:szCs w:val="24"/>
          <w:lang w:eastAsia="en-IN" w:bidi="ml-IN"/>
          <w14:ligatures w14:val="none"/>
        </w:rPr>
        <w:t>Forest</w:t>
      </w:r>
      <w:proofErr w:type="gramEnd"/>
      <w:r w:rsidR="00480B54" w:rsidRPr="00314098">
        <w:rPr>
          <w:rFonts w:ascii="Times New Roman" w:eastAsia="Times New Roman" w:hAnsi="Times New Roman" w:cs="Times New Roman"/>
          <w:kern w:val="0"/>
          <w:sz w:val="24"/>
          <w:szCs w:val="24"/>
          <w:lang w:eastAsia="en-IN" w:bidi="ml-IN"/>
          <w14:ligatures w14:val="none"/>
        </w:rPr>
        <w:t xml:space="preserve"> and Climate Change on 30</w:t>
      </w:r>
      <w:proofErr w:type="gramStart"/>
      <w:r w:rsidR="00480B54" w:rsidRPr="00314098">
        <w:rPr>
          <w:rFonts w:ascii="Times New Roman" w:eastAsia="Times New Roman" w:hAnsi="Times New Roman" w:cs="Times New Roman"/>
          <w:kern w:val="0"/>
          <w:sz w:val="24"/>
          <w:szCs w:val="24"/>
          <w:vertAlign w:val="superscript"/>
          <w:lang w:eastAsia="en-IN" w:bidi="ml-IN"/>
          <w14:ligatures w14:val="none"/>
        </w:rPr>
        <w:t>th</w:t>
      </w:r>
      <w:r w:rsidR="00480B54" w:rsidRPr="00314098">
        <w:rPr>
          <w:rFonts w:ascii="Times New Roman" w:eastAsia="Times New Roman" w:hAnsi="Times New Roman" w:cs="Times New Roman"/>
          <w:kern w:val="0"/>
          <w:sz w:val="24"/>
          <w:szCs w:val="24"/>
          <w:lang w:eastAsia="en-IN" w:bidi="ml-IN"/>
          <w14:ligatures w14:val="none"/>
        </w:rPr>
        <w:t xml:space="preserve">  June</w:t>
      </w:r>
      <w:proofErr w:type="gramEnd"/>
      <w:r w:rsidR="00480B54" w:rsidRPr="00314098">
        <w:rPr>
          <w:rFonts w:ascii="Times New Roman" w:eastAsia="Times New Roman" w:hAnsi="Times New Roman" w:cs="Times New Roman"/>
          <w:kern w:val="0"/>
          <w:sz w:val="24"/>
          <w:szCs w:val="24"/>
          <w:lang w:eastAsia="en-IN" w:bidi="ml-IN"/>
          <w14:ligatures w14:val="none"/>
        </w:rPr>
        <w:t xml:space="preserve">, 2025 in Kolkata </w:t>
      </w:r>
      <w:r w:rsidR="00006086" w:rsidRPr="00314098">
        <w:rPr>
          <w:rFonts w:ascii="Times New Roman" w:eastAsia="Times New Roman" w:hAnsi="Times New Roman" w:cs="Times New Roman"/>
          <w:kern w:val="0"/>
          <w:sz w:val="24"/>
          <w:szCs w:val="24"/>
          <w:lang w:eastAsia="en-IN" w:bidi="ml-IN"/>
          <w14:ligatures w14:val="none"/>
        </w:rPr>
        <w:t>(</w:t>
      </w:r>
      <w:r w:rsidR="00C83CE1" w:rsidRPr="00314098">
        <w:rPr>
          <w:rFonts w:ascii="Times New Roman" w:eastAsia="Times New Roman" w:hAnsi="Times New Roman" w:cs="Times New Roman"/>
          <w:kern w:val="0"/>
          <w:sz w:val="24"/>
          <w:szCs w:val="24"/>
          <w:lang w:eastAsia="en-IN" w:bidi="ml-IN"/>
          <w14:ligatures w14:val="none"/>
        </w:rPr>
        <w:t>Sahay S. S., 2025).</w:t>
      </w:r>
    </w:p>
    <w:p w14:paraId="45E841B3" w14:textId="3BB265FF" w:rsidR="00FB7215"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lastRenderedPageBreak/>
        <w:t xml:space="preserve">2. </w:t>
      </w:r>
      <w:r w:rsidR="00FB7215" w:rsidRPr="00314098">
        <w:rPr>
          <w:rFonts w:ascii="Times New Roman" w:eastAsia="Times New Roman" w:hAnsi="Times New Roman" w:cs="Times New Roman"/>
          <w:b/>
          <w:bCs/>
          <w:kern w:val="0"/>
          <w:sz w:val="24"/>
          <w:szCs w:val="24"/>
          <w:lang w:eastAsia="en-IN" w:bidi="ml-IN"/>
          <w14:ligatures w14:val="none"/>
        </w:rPr>
        <w:t>Insect DNA-Based Tools in India: Current Status</w:t>
      </w:r>
    </w:p>
    <w:p w14:paraId="76BF5DAB" w14:textId="215182A6" w:rsidR="00774204" w:rsidRPr="00314098" w:rsidRDefault="00E2665D" w:rsidP="00B42947">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w:t>
      </w:r>
      <w:r w:rsidR="00EB7AE0" w:rsidRPr="00314098">
        <w:rPr>
          <w:rFonts w:ascii="Times New Roman" w:eastAsia="Times New Roman" w:hAnsi="Times New Roman" w:cs="Times New Roman"/>
          <w:kern w:val="0"/>
          <w:sz w:val="24"/>
          <w:szCs w:val="24"/>
          <w:lang w:eastAsia="en-IN" w:bidi="ml-IN"/>
          <w14:ligatures w14:val="none"/>
        </w:rPr>
        <w:t xml:space="preserve">olecular approaches such as, DNA barcoding, eDNA and DNA </w:t>
      </w:r>
      <w:r w:rsidR="00E24C74" w:rsidRPr="00314098">
        <w:rPr>
          <w:rFonts w:ascii="Times New Roman" w:eastAsia="Times New Roman" w:hAnsi="Times New Roman" w:cs="Times New Roman"/>
          <w:kern w:val="0"/>
          <w:sz w:val="24"/>
          <w:szCs w:val="24"/>
          <w:lang w:eastAsia="en-IN" w:bidi="ml-IN"/>
          <w14:ligatures w14:val="none"/>
        </w:rPr>
        <w:t>metabarcoding, offer</w:t>
      </w:r>
      <w:r w:rsidR="00EB7AE0" w:rsidRPr="00314098">
        <w:rPr>
          <w:rFonts w:ascii="Times New Roman" w:eastAsia="Times New Roman" w:hAnsi="Times New Roman" w:cs="Times New Roman"/>
          <w:kern w:val="0"/>
          <w:sz w:val="24"/>
          <w:szCs w:val="24"/>
          <w:lang w:eastAsia="en-IN" w:bidi="ml-IN"/>
          <w14:ligatures w14:val="none"/>
        </w:rPr>
        <w:t xml:space="preserve"> a rapid, scalable way to detect multi-taxon communities from bulk samples and environmental substrates, overcome life-stage bias, and reveal hidden trophic links that rearing or visual surveys alone often fail to recover (Li M., et al. 2023). </w:t>
      </w:r>
      <w:r w:rsidR="00774204" w:rsidRPr="00314098">
        <w:rPr>
          <w:rFonts w:ascii="Times New Roman" w:eastAsia="Times New Roman" w:hAnsi="Times New Roman" w:cs="Times New Roman"/>
          <w:kern w:val="0"/>
          <w:sz w:val="24"/>
          <w:szCs w:val="24"/>
          <w:lang w:eastAsia="en-IN" w:bidi="ml-IN"/>
          <w14:ligatures w14:val="none"/>
        </w:rPr>
        <w:t xml:space="preserve">A recent analysis of India’s barcode holdings indeed found that &lt;3.73% of the country’s described insect taxa have a barcode on record, with Lepidoptera and Hemiptera contributing the largest shares, followed by Diptera and Coleoptera; the authors explicitly call for accelerating barcode generation via closer collaboration between traditional morphologists and molecular labs [Shashank et al., 2022]. Independent, order-level studies echo this pattern: Indian butterflies remain under-represented in BOLD despite several regional datasets, and work from </w:t>
      </w:r>
      <w:r w:rsidR="0032301A" w:rsidRPr="00314098">
        <w:rPr>
          <w:rFonts w:ascii="Times New Roman" w:eastAsia="Times New Roman" w:hAnsi="Times New Roman" w:cs="Times New Roman"/>
          <w:kern w:val="0"/>
          <w:sz w:val="24"/>
          <w:szCs w:val="24"/>
          <w:lang w:eastAsia="en-IN" w:bidi="ml-IN"/>
          <w14:ligatures w14:val="none"/>
        </w:rPr>
        <w:t>Western Ghats</w:t>
      </w:r>
      <w:r w:rsidR="00774204" w:rsidRPr="00314098">
        <w:rPr>
          <w:rFonts w:ascii="Times New Roman" w:eastAsia="Times New Roman" w:hAnsi="Times New Roman" w:cs="Times New Roman"/>
          <w:kern w:val="0"/>
          <w:sz w:val="24"/>
          <w:szCs w:val="24"/>
          <w:lang w:eastAsia="en-IN" w:bidi="ml-IN"/>
          <w14:ligatures w14:val="none"/>
        </w:rPr>
        <w:t xml:space="preserve"> reiterates the need for integrative (morphology + COI) workflows to close gaps and stabilize identifications</w:t>
      </w:r>
      <w:r w:rsidR="0032301A" w:rsidRPr="00314098">
        <w:rPr>
          <w:rFonts w:ascii="Times New Roman" w:eastAsia="Times New Roman" w:hAnsi="Times New Roman" w:cs="Times New Roman"/>
          <w:kern w:val="0"/>
          <w:sz w:val="24"/>
          <w:szCs w:val="24"/>
          <w:lang w:eastAsia="en-IN" w:bidi="ml-IN"/>
          <w14:ligatures w14:val="none"/>
        </w:rPr>
        <w:t>, as observed cases of deep intraspecies nucleotide divergences certainly warrant further study</w:t>
      </w:r>
      <w:r w:rsidR="00774204" w:rsidRPr="00314098">
        <w:rPr>
          <w:rFonts w:ascii="Times New Roman" w:eastAsia="Times New Roman" w:hAnsi="Times New Roman" w:cs="Times New Roman"/>
          <w:kern w:val="0"/>
          <w:sz w:val="24"/>
          <w:szCs w:val="24"/>
          <w:lang w:eastAsia="en-IN" w:bidi="ml-IN"/>
          <w14:ligatures w14:val="none"/>
        </w:rPr>
        <w:t xml:space="preserve"> [Gaikwad et al., 2012]. In Hemiptera, early Indian barcoding efforts on </w:t>
      </w:r>
      <w:commentRangeStart w:id="5"/>
      <w:proofErr w:type="spellStart"/>
      <w:r w:rsidR="00774204" w:rsidRPr="00314098">
        <w:rPr>
          <w:rFonts w:ascii="Times New Roman" w:eastAsia="Times New Roman" w:hAnsi="Times New Roman" w:cs="Times New Roman"/>
          <w:kern w:val="0"/>
          <w:sz w:val="24"/>
          <w:szCs w:val="24"/>
          <w:lang w:eastAsia="en-IN" w:bidi="ml-IN"/>
          <w14:ligatures w14:val="none"/>
        </w:rPr>
        <w:t>Pentatomomorpha</w:t>
      </w:r>
      <w:commentRangeEnd w:id="5"/>
      <w:proofErr w:type="spellEnd"/>
      <w:r w:rsidR="0072734F">
        <w:rPr>
          <w:rStyle w:val="CommentReference"/>
        </w:rPr>
        <w:commentReference w:id="5"/>
      </w:r>
      <w:r w:rsidR="00774204" w:rsidRPr="00314098">
        <w:rPr>
          <w:rFonts w:ascii="Times New Roman" w:eastAsia="Times New Roman" w:hAnsi="Times New Roman" w:cs="Times New Roman"/>
          <w:kern w:val="0"/>
          <w:sz w:val="24"/>
          <w:szCs w:val="24"/>
          <w:lang w:eastAsia="en-IN" w:bidi="ml-IN"/>
          <w14:ligatures w14:val="none"/>
        </w:rPr>
        <w:t xml:space="preserve"> and Pentatomidae showed COI’s utility for rapid, specimen-linked identification but also highlighted taxonomic impediments and the need for richer voucher metadata</w:t>
      </w:r>
      <w:r w:rsidR="00761171" w:rsidRPr="00314098">
        <w:rPr>
          <w:rFonts w:ascii="Times New Roman" w:eastAsia="Times New Roman" w:hAnsi="Times New Roman" w:cs="Times New Roman"/>
          <w:kern w:val="0"/>
          <w:sz w:val="24"/>
          <w:szCs w:val="24"/>
          <w:lang w:eastAsia="en-IN" w:bidi="ml-IN"/>
          <w14:ligatures w14:val="none"/>
        </w:rPr>
        <w:t xml:space="preserve">, therefore </w:t>
      </w:r>
      <w:r w:rsidR="00774204" w:rsidRPr="00314098">
        <w:rPr>
          <w:rFonts w:ascii="Times New Roman" w:eastAsia="Times New Roman" w:hAnsi="Times New Roman" w:cs="Times New Roman"/>
          <w:kern w:val="0"/>
          <w:sz w:val="24"/>
          <w:szCs w:val="24"/>
          <w:lang w:eastAsia="en-IN" w:bidi="ml-IN"/>
          <w14:ligatures w14:val="none"/>
        </w:rPr>
        <w:t>challenges best addressed through coordinated programs with museum taxonomists [Tembe et al., 2014; Kaur &amp; Sharma, 2016]. Comparable signals appear in Diptera, where mosquito barcoding across India has clarified species complexes and aided vector surveillance, again underscoring the value of joint morphological validation and curated reference libraries [</w:t>
      </w:r>
      <w:r w:rsidR="00C96FE6" w:rsidRPr="00314098">
        <w:rPr>
          <w:rFonts w:ascii="Times New Roman" w:eastAsia="Times New Roman" w:hAnsi="Times New Roman" w:cs="Times New Roman"/>
          <w:kern w:val="0"/>
          <w:sz w:val="24"/>
          <w:szCs w:val="24"/>
          <w:lang w:eastAsia="en-IN" w:bidi="ml-IN"/>
          <w14:ligatures w14:val="none"/>
        </w:rPr>
        <w:t>Kumar, N. P</w:t>
      </w:r>
      <w:r w:rsidR="00774204" w:rsidRPr="00314098">
        <w:rPr>
          <w:rFonts w:ascii="Times New Roman" w:eastAsia="Times New Roman" w:hAnsi="Times New Roman" w:cs="Times New Roman"/>
          <w:kern w:val="0"/>
          <w:sz w:val="24"/>
          <w:szCs w:val="24"/>
          <w:lang w:eastAsia="en-IN" w:bidi="ml-IN"/>
          <w14:ligatures w14:val="none"/>
        </w:rPr>
        <w:t xml:space="preserve"> et al., 20</w:t>
      </w:r>
      <w:r w:rsidR="00C96FE6" w:rsidRPr="00314098">
        <w:rPr>
          <w:rFonts w:ascii="Times New Roman" w:eastAsia="Times New Roman" w:hAnsi="Times New Roman" w:cs="Times New Roman"/>
          <w:kern w:val="0"/>
          <w:sz w:val="24"/>
          <w:szCs w:val="24"/>
          <w:lang w:eastAsia="en-IN" w:bidi="ml-IN"/>
          <w14:ligatures w14:val="none"/>
        </w:rPr>
        <w:t>07</w:t>
      </w:r>
      <w:r w:rsidR="00774204" w:rsidRPr="00314098">
        <w:rPr>
          <w:rFonts w:ascii="Times New Roman" w:eastAsia="Times New Roman" w:hAnsi="Times New Roman" w:cs="Times New Roman"/>
          <w:kern w:val="0"/>
          <w:sz w:val="24"/>
          <w:szCs w:val="24"/>
          <w:lang w:eastAsia="en-IN" w:bidi="ml-IN"/>
          <w14:ligatures w14:val="none"/>
        </w:rPr>
        <w:t>]. Coleoptera studies (e.g., ladybird beetles) similarly demonstrate that COI can cleanly separate many species while revealing cryptic diversity that requires morpho-molecular reconciliation</w:t>
      </w:r>
      <w:r w:rsidR="00432833" w:rsidRPr="00314098">
        <w:rPr>
          <w:rFonts w:ascii="Times New Roman" w:eastAsia="Times New Roman" w:hAnsi="Times New Roman" w:cs="Times New Roman"/>
          <w:kern w:val="0"/>
          <w:sz w:val="24"/>
          <w:szCs w:val="24"/>
          <w:lang w:eastAsia="en-IN" w:bidi="ml-IN"/>
          <w14:ligatures w14:val="none"/>
        </w:rPr>
        <w:t xml:space="preserve">, </w:t>
      </w:r>
      <w:r w:rsidR="00774204" w:rsidRPr="00314098">
        <w:rPr>
          <w:rFonts w:ascii="Times New Roman" w:eastAsia="Times New Roman" w:hAnsi="Times New Roman" w:cs="Times New Roman"/>
          <w:kern w:val="0"/>
          <w:sz w:val="24"/>
          <w:szCs w:val="24"/>
          <w:lang w:eastAsia="en-IN" w:bidi="ml-IN"/>
          <w14:ligatures w14:val="none"/>
        </w:rPr>
        <w:t>precisely the collaborative model urged by the national-scale review [</w:t>
      </w:r>
      <w:r w:rsidR="006F3E81" w:rsidRPr="00314098">
        <w:rPr>
          <w:rFonts w:ascii="Times New Roman" w:eastAsia="Times New Roman" w:hAnsi="Times New Roman" w:cs="Times New Roman"/>
          <w:kern w:val="0"/>
          <w:sz w:val="24"/>
          <w:szCs w:val="24"/>
          <w:lang w:eastAsia="en-IN" w:bidi="ml-IN"/>
          <w14:ligatures w14:val="none"/>
        </w:rPr>
        <w:t xml:space="preserve">Vidya, C.V </w:t>
      </w:r>
      <w:r w:rsidR="00774204" w:rsidRPr="00314098">
        <w:rPr>
          <w:rFonts w:ascii="Times New Roman" w:eastAsia="Times New Roman" w:hAnsi="Times New Roman" w:cs="Times New Roman"/>
          <w:kern w:val="0"/>
          <w:sz w:val="24"/>
          <w:szCs w:val="24"/>
          <w:lang w:eastAsia="en-IN" w:bidi="ml-IN"/>
          <w14:ligatures w14:val="none"/>
        </w:rPr>
        <w:t>et al., 2022; Shashank et al., 2022].</w:t>
      </w:r>
    </w:p>
    <w:p w14:paraId="5A040DB1" w14:textId="5BDE6833" w:rsidR="00516A49" w:rsidRPr="00314098" w:rsidRDefault="00516A49" w:rsidP="00FB6329">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Recently published case studies have shown that molecular monitoring methods, especially DNA metabarcoding of spider egg sacs can provide insights into host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interactions at a resolution unprecedented </w:t>
      </w:r>
      <w:r w:rsidR="009C29CB"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Debnath et al. 2025) and find that the molecular techniques identify a broader range of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species. Collectively, the data highlights the urgent need to use molecular surveillance in mainstream agroecology: such measures enhance our understanding of functional biodiversity, inform management choices, and ultimately strengthen the ecosystem processes on which long-term farm sustainability depends, a goal at the core of sustainable agriculture (Sanchez</w:t>
      </w:r>
      <w:r w:rsidR="006B3491"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H et al. 2024).</w:t>
      </w:r>
    </w:p>
    <w:p w14:paraId="67A6C338" w14:textId="466DA0D1"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 Methodological Frameworks for Integrated Monitoring</w:t>
      </w:r>
    </w:p>
    <w:p w14:paraId="039C34BB"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3.1 Field Sampling and Specimen Preservation Strategies</w:t>
      </w:r>
    </w:p>
    <w:p w14:paraId="2B848D1C" w14:textId="14F9B975" w:rsidR="00903560" w:rsidRPr="00314098" w:rsidRDefault="00903560" w:rsidP="00615E52">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Combined multi-method field sampling designs that integrate traditional insect traps and environmental DNA (eDNA) techniques have been demonstrated to dramatically improve biodiversity surveys. Malaise traps, e.g. have been found particularly effective when sampling flying insects like Diptera or Hymenoptera, especially when used in conjunction with DNA barcoding protocols. A high throughput sequencing approach to a large-scale Malaise trap survey in a national park successfully processed over 21,000 specimens and identified more than 2,200 species, providing evidence of the power of morphological voucher data in the context of molecular data on biodiversity monitoring (</w:t>
      </w:r>
      <w:proofErr w:type="spellStart"/>
      <w:r w:rsidRPr="00314098">
        <w:rPr>
          <w:rFonts w:ascii="Times New Roman" w:eastAsia="Times New Roman" w:hAnsi="Times New Roman" w:cs="Times New Roman"/>
          <w:kern w:val="0"/>
          <w:sz w:val="24"/>
          <w:szCs w:val="24"/>
          <w:lang w:eastAsia="en-IN" w:bidi="ml-IN"/>
          <w14:ligatures w14:val="none"/>
        </w:rPr>
        <w:t>deWaard</w:t>
      </w:r>
      <w:proofErr w:type="spellEnd"/>
      <w:r w:rsidRPr="00314098">
        <w:rPr>
          <w:rFonts w:ascii="Times New Roman" w:eastAsia="Times New Roman" w:hAnsi="Times New Roman" w:cs="Times New Roman"/>
          <w:kern w:val="0"/>
          <w:sz w:val="24"/>
          <w:szCs w:val="24"/>
          <w:lang w:eastAsia="en-IN" w:bidi="ml-IN"/>
          <w14:ligatures w14:val="none"/>
        </w:rPr>
        <w:t xml:space="preserve"> et al., 2019). Likewise, Malaise trap-based surveys of tropical forests in Thailand over 68 trap-weeks yielded 15,000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wasp sequences, which resolved into almost 5,000 unique BINs (Barcode Index Numbers) across 46 families, demonstrating the taxonomic diversity possible with standardized trapping </w:t>
      </w:r>
      <w:r w:rsidRPr="00314098">
        <w:rPr>
          <w:rFonts w:ascii="Times New Roman" w:eastAsia="Times New Roman" w:hAnsi="Times New Roman" w:cs="Times New Roman"/>
          <w:kern w:val="0"/>
          <w:sz w:val="24"/>
          <w:szCs w:val="24"/>
          <w:lang w:eastAsia="en-IN" w:bidi="ml-IN"/>
          <w14:ligatures w14:val="none"/>
        </w:rPr>
        <w:lastRenderedPageBreak/>
        <w:t>and DNA-based identification (Quicke et al., 2023). These results emphasize the value of uniform trap set-ups and replication between habitats to obtain complementary coverage of insect assemblages.</w:t>
      </w:r>
    </w:p>
    <w:p w14:paraId="6CCE90C8" w14:textId="21885B47" w:rsidR="0045631B" w:rsidRPr="00314098" w:rsidRDefault="0045631B" w:rsidP="0045631B">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addition to aerial traps, soil eDNA has become a powerful method to record soil arthropod assemblages. Comparative studies that examined both bulk specimens and soil samples showed that most of the overlap was found at the species level, but congruent patterns of diversity were identified at higher taxonomic levels showing structured spatial diversity patterns across habitats (Young &amp; Hebert, 2022). </w:t>
      </w:r>
      <w:r w:rsidR="004830D2" w:rsidRPr="00314098">
        <w:rPr>
          <w:rFonts w:ascii="Times New Roman" w:eastAsia="Times New Roman" w:hAnsi="Times New Roman" w:cs="Times New Roman"/>
          <w:kern w:val="0"/>
          <w:sz w:val="24"/>
          <w:szCs w:val="24"/>
          <w:lang w:eastAsia="en-IN" w:bidi="ml-IN"/>
          <w14:ligatures w14:val="none"/>
        </w:rPr>
        <w:t xml:space="preserve">In extreme environments such as caves, soil eDNA can also be used to obtain profiles of arthropods, including </w:t>
      </w:r>
      <w:proofErr w:type="spellStart"/>
      <w:r w:rsidR="004830D2" w:rsidRPr="00314098">
        <w:rPr>
          <w:rFonts w:ascii="Times New Roman" w:eastAsia="Times New Roman" w:hAnsi="Times New Roman" w:cs="Times New Roman"/>
          <w:kern w:val="0"/>
          <w:sz w:val="24"/>
          <w:szCs w:val="24"/>
          <w:lang w:eastAsia="en-IN" w:bidi="ml-IN"/>
          <w14:ligatures w14:val="none"/>
        </w:rPr>
        <w:t>hypogean</w:t>
      </w:r>
      <w:proofErr w:type="spellEnd"/>
      <w:r w:rsidR="004830D2" w:rsidRPr="00314098">
        <w:rPr>
          <w:rFonts w:ascii="Times New Roman" w:eastAsia="Times New Roman" w:hAnsi="Times New Roman" w:cs="Times New Roman"/>
          <w:kern w:val="0"/>
          <w:sz w:val="24"/>
          <w:szCs w:val="24"/>
          <w:lang w:eastAsia="en-IN" w:bidi="ml-IN"/>
          <w14:ligatures w14:val="none"/>
        </w:rPr>
        <w:t xml:space="preserve"> species such as springtails, but these assemblages rely on both above-ground and underground sources and demonstrate the complexity of DNA transport in soils (Lunghi, </w:t>
      </w:r>
      <w:commentRangeStart w:id="6"/>
      <w:r w:rsidR="004830D2" w:rsidRPr="00314098">
        <w:rPr>
          <w:rFonts w:ascii="Times New Roman" w:eastAsia="Times New Roman" w:hAnsi="Times New Roman" w:cs="Times New Roman"/>
          <w:kern w:val="0"/>
          <w:sz w:val="24"/>
          <w:szCs w:val="24"/>
          <w:lang w:eastAsia="en-IN" w:bidi="ml-IN"/>
          <w14:ligatures w14:val="none"/>
        </w:rPr>
        <w:t xml:space="preserve">E et al, 2022). </w:t>
      </w:r>
      <w:commentRangeEnd w:id="6"/>
      <w:r w:rsidR="0086764F">
        <w:rPr>
          <w:rStyle w:val="CommentReference"/>
        </w:rPr>
        <w:commentReference w:id="6"/>
      </w:r>
      <w:r w:rsidR="004830D2" w:rsidRPr="00314098">
        <w:rPr>
          <w:rFonts w:ascii="Times New Roman" w:eastAsia="Times New Roman" w:hAnsi="Times New Roman" w:cs="Times New Roman"/>
          <w:kern w:val="0"/>
          <w:sz w:val="24"/>
          <w:szCs w:val="24"/>
          <w:lang w:eastAsia="en-IN" w:bidi="ml-IN"/>
          <w14:ligatures w14:val="none"/>
        </w:rPr>
        <w:t>These results suggest a combination of soil eDNA and trapping based sampling will provide a more detailed picture of insect diversity,</w:t>
      </w:r>
      <w:r w:rsidRPr="00314098">
        <w:rPr>
          <w:rFonts w:ascii="Times New Roman" w:eastAsia="Times New Roman" w:hAnsi="Times New Roman" w:cs="Times New Roman"/>
          <w:kern w:val="0"/>
          <w:sz w:val="24"/>
          <w:szCs w:val="24"/>
          <w:lang w:eastAsia="en-IN" w:bidi="ml-IN"/>
          <w14:ligatures w14:val="none"/>
        </w:rPr>
        <w:t xml:space="preserve"> with surface-active insects as well as cryptic microarthropods.</w:t>
      </w:r>
    </w:p>
    <w:p w14:paraId="05AC1131" w14:textId="5AE96A51" w:rsidR="00EA352C" w:rsidRPr="00314098" w:rsidRDefault="00EA352C"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Plant-derived eDNA also increases insect </w:t>
      </w:r>
      <w:r w:rsidR="006A454D" w:rsidRPr="00314098">
        <w:rPr>
          <w:rFonts w:ascii="Times New Roman" w:eastAsia="Times New Roman" w:hAnsi="Times New Roman" w:cs="Times New Roman"/>
          <w:kern w:val="0"/>
          <w:sz w:val="24"/>
          <w:szCs w:val="24"/>
          <w:lang w:eastAsia="en-IN" w:bidi="ml-IN"/>
          <w14:ligatures w14:val="none"/>
        </w:rPr>
        <w:t>inventories</w:t>
      </w:r>
      <w:r w:rsidRPr="00314098">
        <w:rPr>
          <w:rFonts w:ascii="Times New Roman" w:eastAsia="Times New Roman" w:hAnsi="Times New Roman" w:cs="Times New Roman"/>
          <w:kern w:val="0"/>
          <w:sz w:val="24"/>
          <w:szCs w:val="24"/>
          <w:lang w:eastAsia="en-IN" w:bidi="ml-IN"/>
          <w14:ligatures w14:val="none"/>
        </w:rPr>
        <w:t xml:space="preserve">, by </w:t>
      </w:r>
      <w:r w:rsidR="006A454D" w:rsidRPr="00314098">
        <w:rPr>
          <w:rFonts w:ascii="Times New Roman" w:eastAsia="Times New Roman" w:hAnsi="Times New Roman" w:cs="Times New Roman"/>
          <w:kern w:val="0"/>
          <w:sz w:val="24"/>
          <w:szCs w:val="24"/>
          <w:lang w:eastAsia="en-IN" w:bidi="ml-IN"/>
          <w14:ligatures w14:val="none"/>
        </w:rPr>
        <w:t>capturing</w:t>
      </w:r>
      <w:r w:rsidRPr="00314098">
        <w:rPr>
          <w:rFonts w:ascii="Times New Roman" w:eastAsia="Times New Roman" w:hAnsi="Times New Roman" w:cs="Times New Roman"/>
          <w:kern w:val="0"/>
          <w:sz w:val="24"/>
          <w:szCs w:val="24"/>
          <w:lang w:eastAsia="en-IN" w:bidi="ml-IN"/>
          <w14:ligatures w14:val="none"/>
        </w:rPr>
        <w:t xml:space="preserve"> insects that have physical contact with vegetation. Different arthropod communities were found in washes of various plant tissues of </w:t>
      </w:r>
      <w:r w:rsidRPr="00314098">
        <w:rPr>
          <w:rFonts w:ascii="Times New Roman" w:eastAsia="Times New Roman" w:hAnsi="Times New Roman" w:cs="Times New Roman"/>
          <w:i/>
          <w:iCs/>
          <w:kern w:val="0"/>
          <w:sz w:val="24"/>
          <w:szCs w:val="24"/>
          <w:lang w:eastAsia="en-IN" w:bidi="ml-IN"/>
          <w14:ligatures w14:val="none"/>
        </w:rPr>
        <w:t>Campanula rapunculus</w:t>
      </w:r>
      <w:r w:rsidRPr="00314098">
        <w:rPr>
          <w:rFonts w:ascii="Times New Roman" w:eastAsia="Times New Roman" w:hAnsi="Times New Roman" w:cs="Times New Roman"/>
          <w:kern w:val="0"/>
          <w:sz w:val="24"/>
          <w:szCs w:val="24"/>
          <w:lang w:eastAsia="en-IN" w:bidi="ml-IN"/>
          <w14:ligatures w14:val="none"/>
        </w:rPr>
        <w:t xml:space="preserve">: Diptera, Hymenoptera, and Coleoptera were associated with floral tissue, whereas Acari and Collembola were more common in roots and stems, </w:t>
      </w:r>
      <w:r w:rsidR="00575614" w:rsidRPr="00314098">
        <w:rPr>
          <w:rFonts w:ascii="Times New Roman" w:eastAsia="Times New Roman" w:hAnsi="Times New Roman" w:cs="Times New Roman"/>
          <w:kern w:val="0"/>
          <w:sz w:val="24"/>
          <w:szCs w:val="24"/>
          <w:lang w:eastAsia="en-IN" w:bidi="ml-IN"/>
          <w14:ligatures w14:val="none"/>
        </w:rPr>
        <w:t xml:space="preserve">reflecting niche-specific associations detectable only through plant-surface eDNA </w:t>
      </w:r>
      <w:r w:rsidRPr="00314098">
        <w:rPr>
          <w:rFonts w:ascii="Times New Roman" w:eastAsia="Times New Roman" w:hAnsi="Times New Roman" w:cs="Times New Roman"/>
          <w:kern w:val="0"/>
          <w:sz w:val="24"/>
          <w:szCs w:val="24"/>
          <w:lang w:eastAsia="en-IN" w:bidi="ml-IN"/>
          <w14:ligatures w14:val="none"/>
        </w:rPr>
        <w:t xml:space="preserve">(Weber et al., 2024). </w:t>
      </w:r>
      <w:r w:rsidR="000A5F80" w:rsidRPr="00314098">
        <w:rPr>
          <w:rFonts w:ascii="Times New Roman" w:eastAsia="Times New Roman" w:hAnsi="Times New Roman" w:cs="Times New Roman"/>
          <w:kern w:val="0"/>
          <w:sz w:val="24"/>
          <w:szCs w:val="24"/>
          <w:lang w:eastAsia="en-IN" w:bidi="ml-IN"/>
          <w14:ligatures w14:val="none"/>
        </w:rPr>
        <w:t xml:space="preserve">More broadly, comparative assessments show that plant-derived eDNA complements traditional sweep netting, with eDNA outperforming conventional methods in detecting plant-specialist arthropods and in resolving fine-scale patterns of β-diversity across plant species </w:t>
      </w:r>
      <w:r w:rsidRPr="00314098">
        <w:rPr>
          <w:rFonts w:ascii="Times New Roman" w:eastAsia="Times New Roman" w:hAnsi="Times New Roman" w:cs="Times New Roman"/>
          <w:kern w:val="0"/>
          <w:sz w:val="24"/>
          <w:szCs w:val="24"/>
          <w:lang w:eastAsia="en-IN" w:bidi="ml-IN"/>
          <w14:ligatures w14:val="none"/>
        </w:rPr>
        <w:t>(Weber et al., 2023). These results suggest that plant-surface eDNA is an important addition to standardized procedures, especially when investigating insect-plant interactions.</w:t>
      </w:r>
      <w:r w:rsidR="00C76142"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Such integrated sampling requires not only collection methods but also specimen preservation to be effective. It is always standard practice to preserve vouchers in 95-100% ethanol to maintain morphological and molecular integrity to enable long-term usability in taxonomic and genomic studies. When it comes to eDNA, the fast degradation of the sample by microorganisms and UV light necessitates cold and dark storage and prompt sample processing following fieldwork since delays significantly reduce the quality of DNA and its detection success (Young and Hebert, 2022). Reliability of downstream analyses is therefore supported by the use of standardized preservation protocols.</w:t>
      </w:r>
    </w:p>
    <w:p w14:paraId="0F725036" w14:textId="7B69E2C2" w:rsidR="00EA352C" w:rsidRPr="00314098" w:rsidRDefault="00087353"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w:t>
      </w:r>
      <w:r w:rsidR="00EA352C" w:rsidRPr="00314098">
        <w:rPr>
          <w:rFonts w:ascii="Times New Roman" w:eastAsia="Times New Roman" w:hAnsi="Times New Roman" w:cs="Times New Roman"/>
          <w:kern w:val="0"/>
          <w:sz w:val="24"/>
          <w:szCs w:val="24"/>
          <w:lang w:eastAsia="en-IN" w:bidi="ml-IN"/>
          <w14:ligatures w14:val="none"/>
        </w:rPr>
        <w:t xml:space="preserve">he utility of insect biodiversity data is optimized when the metadata are stored in formal formats like Darwin Core, which includes fields of sampling protocol, effort, georeferencing, preservation method, and stable identifiers between specimen, sequence data, and occurrence records. These kinds of structured metadata have allowed easy integration of massive Malaise trap metabarcoding data into biodiversity infrastructures such as GBIF to allow reuse across projects and </w:t>
      </w:r>
      <w:commentRangeStart w:id="7"/>
      <w:r w:rsidR="00EA352C" w:rsidRPr="00314098">
        <w:rPr>
          <w:rFonts w:ascii="Times New Roman" w:eastAsia="Times New Roman" w:hAnsi="Times New Roman" w:cs="Times New Roman"/>
          <w:kern w:val="0"/>
          <w:sz w:val="24"/>
          <w:szCs w:val="24"/>
          <w:lang w:eastAsia="en-IN" w:bidi="ml-IN"/>
          <w14:ligatures w14:val="none"/>
        </w:rPr>
        <w:t>locations (</w:t>
      </w:r>
      <w:proofErr w:type="spellStart"/>
      <w:r w:rsidR="00EA352C" w:rsidRPr="00314098">
        <w:rPr>
          <w:rFonts w:ascii="Times New Roman" w:eastAsia="Times New Roman" w:hAnsi="Times New Roman" w:cs="Times New Roman"/>
          <w:kern w:val="0"/>
          <w:sz w:val="24"/>
          <w:szCs w:val="24"/>
          <w:lang w:eastAsia="en-IN" w:bidi="ml-IN"/>
          <w14:ligatures w14:val="none"/>
        </w:rPr>
        <w:t>deWaard</w:t>
      </w:r>
      <w:proofErr w:type="spellEnd"/>
      <w:r w:rsidR="00EA352C" w:rsidRPr="00314098">
        <w:rPr>
          <w:rFonts w:ascii="Times New Roman" w:eastAsia="Times New Roman" w:hAnsi="Times New Roman" w:cs="Times New Roman"/>
          <w:kern w:val="0"/>
          <w:sz w:val="24"/>
          <w:szCs w:val="24"/>
          <w:lang w:eastAsia="en-IN" w:bidi="ml-IN"/>
          <w14:ligatures w14:val="none"/>
        </w:rPr>
        <w:t xml:space="preserve"> et al., 2019). </w:t>
      </w:r>
      <w:commentRangeEnd w:id="7"/>
      <w:r w:rsidR="0086764F">
        <w:rPr>
          <w:rStyle w:val="CommentReference"/>
        </w:rPr>
        <w:commentReference w:id="7"/>
      </w:r>
      <w:r w:rsidR="00EA352C" w:rsidRPr="00314098">
        <w:rPr>
          <w:rFonts w:ascii="Times New Roman" w:eastAsia="Times New Roman" w:hAnsi="Times New Roman" w:cs="Times New Roman"/>
          <w:kern w:val="0"/>
          <w:sz w:val="24"/>
          <w:szCs w:val="24"/>
          <w:lang w:eastAsia="en-IN" w:bidi="ml-IN"/>
          <w14:ligatures w14:val="none"/>
        </w:rPr>
        <w:t xml:space="preserve">Combined, integrated implementation of traps, </w:t>
      </w:r>
      <w:proofErr w:type="gramStart"/>
      <w:r w:rsidR="00EA352C" w:rsidRPr="00314098">
        <w:rPr>
          <w:rFonts w:ascii="Times New Roman" w:eastAsia="Times New Roman" w:hAnsi="Times New Roman" w:cs="Times New Roman"/>
          <w:kern w:val="0"/>
          <w:sz w:val="24"/>
          <w:szCs w:val="24"/>
          <w:lang w:eastAsia="en-IN" w:bidi="ml-IN"/>
          <w14:ligatures w14:val="none"/>
        </w:rPr>
        <w:t>soil</w:t>
      </w:r>
      <w:proofErr w:type="gramEnd"/>
      <w:r w:rsidR="00EA352C" w:rsidRPr="00314098">
        <w:rPr>
          <w:rFonts w:ascii="Times New Roman" w:eastAsia="Times New Roman" w:hAnsi="Times New Roman" w:cs="Times New Roman"/>
          <w:kern w:val="0"/>
          <w:sz w:val="24"/>
          <w:szCs w:val="24"/>
          <w:lang w:eastAsia="en-IN" w:bidi="ml-IN"/>
          <w14:ligatures w14:val="none"/>
        </w:rPr>
        <w:t xml:space="preserve"> and plant-surface eDNA, specimen conservation, and Darwin Core-conformant metadata enables a scalable, reproducible insect biodiversity assessment framework across space and time.</w:t>
      </w:r>
    </w:p>
    <w:p w14:paraId="79E205BE" w14:textId="025572AE" w:rsidR="00FB6329" w:rsidRPr="00314098" w:rsidRDefault="00FB6329" w:rsidP="00615E5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3.2 Laboratory and Sequencing Workflow</w:t>
      </w:r>
    </w:p>
    <w:p w14:paraId="1C01560C" w14:textId="04BC6B6E" w:rsidR="00F83417" w:rsidRPr="00314098" w:rsidRDefault="00F83417" w:rsidP="00F83417">
      <w:pPr>
        <w:pStyle w:val="NormalWeb"/>
        <w:jc w:val="both"/>
      </w:pPr>
      <w:r w:rsidRPr="00314098">
        <w:t xml:space="preserve">DNA barcoding of animals conventionally targets a </w:t>
      </w:r>
      <w:r w:rsidRPr="00314098">
        <w:rPr>
          <w:rFonts w:ascii="Cambria Math" w:hAnsi="Cambria Math" w:cs="Cambria Math"/>
        </w:rPr>
        <w:t>∼</w:t>
      </w:r>
      <w:r w:rsidRPr="00314098">
        <w:t>650 bp segment near the 5′ end of mitochondrial cytochrome c oxidase subunit I (COI)</w:t>
      </w:r>
      <w:r w:rsidR="00082B46" w:rsidRPr="00314098">
        <w:t xml:space="preserve">, </w:t>
      </w:r>
      <w:r w:rsidRPr="00314098">
        <w:t>the “Folmer region”</w:t>
      </w:r>
      <w:r w:rsidR="00082B46" w:rsidRPr="00314098">
        <w:t xml:space="preserve"> </w:t>
      </w:r>
      <w:r w:rsidRPr="00314098">
        <w:t xml:space="preserve">amplified by the LCO1490/HCO2198 primer pair described and broadly established for species identification by [Folmer et al., 1994; Hebert et al., 2003]. Despite its wide adoption, subsequent surveys </w:t>
      </w:r>
      <w:r w:rsidRPr="00314098">
        <w:lastRenderedPageBreak/>
        <w:t>revealed primer</w:t>
      </w:r>
      <w:r w:rsidR="005F7AB3" w:rsidRPr="00314098">
        <w:t>-</w:t>
      </w:r>
      <w:r w:rsidRPr="00314098">
        <w:t>template mismatches for many metazoan lineages that can depress amplification efficiency and bias community profiles, motivating redesigns and taxon-tuned primer cocktails [Geller et al., 2013]. Mini-barcodes (</w:t>
      </w:r>
      <w:r w:rsidRPr="00314098">
        <w:rPr>
          <w:rFonts w:ascii="Cambria Math" w:hAnsi="Cambria Math" w:cs="Cambria Math"/>
        </w:rPr>
        <w:t>∼</w:t>
      </w:r>
      <w:r w:rsidRPr="00314098">
        <w:t xml:space="preserve">100–300 bp) have gained prominence when DNA is degraded (e.g., environmental samples, museum material), because shorter amplicons exhibit higher recovery from fragmented templates while retaining taxonomic signal for many groups [Meusnier et al., 2008; </w:t>
      </w:r>
      <w:proofErr w:type="spellStart"/>
      <w:r w:rsidRPr="00314098">
        <w:t>Shokralla</w:t>
      </w:r>
      <w:proofErr w:type="spellEnd"/>
      <w:r w:rsidRPr="00314098">
        <w:t xml:space="preserve"> et al., 2011]. Empirical work demonstrates successful species assignments from archival and formalin-affected material using short COI fragments, expanding barcoding to challenging [Meusnier et al., 2008; Baird et al., 2011; </w:t>
      </w:r>
      <w:proofErr w:type="spellStart"/>
      <w:r w:rsidRPr="00314098">
        <w:t>Shokralla</w:t>
      </w:r>
      <w:proofErr w:type="spellEnd"/>
      <w:r w:rsidRPr="00314098">
        <w:t xml:space="preserve"> et al., 2011]. </w:t>
      </w:r>
    </w:p>
    <w:p w14:paraId="7A4EDD01" w14:textId="2C9BD8AB" w:rsidR="00F83417" w:rsidRPr="00314098" w:rsidRDefault="00F83417" w:rsidP="00F83417">
      <w:pPr>
        <w:pStyle w:val="NormalWeb"/>
        <w:jc w:val="both"/>
      </w:pPr>
      <w:r w:rsidRPr="00314098">
        <w:t xml:space="preserve">For metabarcoding profiling, primer sets targeting short COI regions are now standard. The </w:t>
      </w:r>
      <w:proofErr w:type="spellStart"/>
      <w:r w:rsidR="00AC5E1B" w:rsidRPr="00314098">
        <w:t>mlCOIintF</w:t>
      </w:r>
      <w:proofErr w:type="spellEnd"/>
      <w:r w:rsidR="00AC5E1B" w:rsidRPr="00314098">
        <w:t xml:space="preserve"> primer in combination with the jgHCO2198 primer </w:t>
      </w:r>
      <w:r w:rsidRPr="00314098">
        <w:t xml:space="preserve">(313 bp) improves metazoan coverage across diverse taxa and has been widely used for bulk and diet/eDNA applications [Leray et al., 2013]. In freshwater bioassessment, newly designed COI primer combinations and BF/BR short-amplicon markers increase detection breadth and performance on mixed and degraded DNA [Elbrecht &amp; Leese, 2017; Elbrecht et al., 2017]. These choices mitigate amplification biases that otherwise distort richness and relative read abundance. </w:t>
      </w:r>
    </w:p>
    <w:p w14:paraId="724D982A" w14:textId="5A35D41B" w:rsidR="000767B0" w:rsidRPr="00314098" w:rsidRDefault="00F83417" w:rsidP="00F83417">
      <w:pPr>
        <w:pStyle w:val="NormalWeb"/>
        <w:jc w:val="both"/>
      </w:pPr>
      <w:r w:rsidRPr="00314098">
        <w:t>High-throughput sequencing (HTS) platforms</w:t>
      </w:r>
      <w:r w:rsidR="00857B2D" w:rsidRPr="00314098">
        <w:t xml:space="preserve">, </w:t>
      </w:r>
      <w:r w:rsidRPr="00314098">
        <w:t>especially Illumina instruments</w:t>
      </w:r>
      <w:r w:rsidR="00857B2D" w:rsidRPr="00314098">
        <w:t xml:space="preserve"> </w:t>
      </w:r>
      <w:r w:rsidRPr="00314098">
        <w:t xml:space="preserve">are central to metabarcoding workflows because they deliver millions of indexed </w:t>
      </w:r>
      <w:proofErr w:type="gramStart"/>
      <w:r w:rsidRPr="00314098">
        <w:t>amplicon</w:t>
      </w:r>
      <w:proofErr w:type="gramEnd"/>
      <w:r w:rsidRPr="00314098">
        <w:t xml:space="preserve"> reads per run with low error rates suitable for community analysis. </w:t>
      </w:r>
      <w:r w:rsidR="000767B0" w:rsidRPr="00314098">
        <w:t xml:space="preserve">Illumina </w:t>
      </w:r>
      <w:proofErr w:type="spellStart"/>
      <w:r w:rsidR="000767B0" w:rsidRPr="00314098">
        <w:t>MiSeq</w:t>
      </w:r>
      <w:proofErr w:type="spellEnd"/>
      <w:r w:rsidR="000767B0" w:rsidRPr="00314098">
        <w:t xml:space="preserve"> library strategies with double indices have made it possible to multiplex COI barcodes and mini-barcodes on a large scale, making it practical to perform specimen and community-scale analyses [</w:t>
      </w:r>
      <w:proofErr w:type="spellStart"/>
      <w:r w:rsidR="000767B0" w:rsidRPr="00314098">
        <w:t>Shokralla</w:t>
      </w:r>
      <w:proofErr w:type="spellEnd"/>
      <w:r w:rsidR="000767B0" w:rsidRPr="00314098">
        <w:t xml:space="preserve"> et al., 2015]. Initial biodiversity analyses with HTS revealed strong recovery of arthropod and eDNA community composition, demonstrating the utility of the method to survey and assessment [Ji et al., 2013; Thomsen et al., 2012; </w:t>
      </w:r>
      <w:proofErr w:type="spellStart"/>
      <w:r w:rsidR="000767B0" w:rsidRPr="00314098">
        <w:t>Taberlet</w:t>
      </w:r>
      <w:proofErr w:type="spellEnd"/>
      <w:r w:rsidR="000767B0" w:rsidRPr="00314098">
        <w:t xml:space="preserve"> et al., 2012].</w:t>
      </w:r>
    </w:p>
    <w:p w14:paraId="6B29B17D"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bookmarkStart w:id="8" w:name="_Hlk207668737"/>
      <w:r w:rsidRPr="00314098">
        <w:rPr>
          <w:rFonts w:ascii="Times New Roman" w:eastAsia="Times New Roman" w:hAnsi="Times New Roman" w:cs="Times New Roman"/>
          <w:b/>
          <w:bCs/>
          <w:kern w:val="0"/>
          <w:sz w:val="24"/>
          <w:szCs w:val="24"/>
          <w:lang w:eastAsia="en-IN" w:bidi="ml-IN"/>
          <w14:ligatures w14:val="none"/>
        </w:rPr>
        <w:t>3.3 Bioinformatics and Taxonomic Assignment</w:t>
      </w:r>
    </w:p>
    <w:bookmarkEnd w:id="8"/>
    <w:p w14:paraId="4E852888" w14:textId="189E3D0B" w:rsidR="004462E5"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Metabarcoding pipelines for environmental DNA (eDNA) studies </w:t>
      </w:r>
      <w:r w:rsidR="00BB48D3" w:rsidRPr="00314098">
        <w:rPr>
          <w:rFonts w:ascii="Times New Roman" w:eastAsia="Times New Roman" w:hAnsi="Times New Roman" w:cs="Times New Roman"/>
          <w:kern w:val="0"/>
          <w:sz w:val="24"/>
          <w:szCs w:val="24"/>
          <w:lang w:eastAsia="en-IN" w:bidi="ml-IN"/>
          <w14:ligatures w14:val="none"/>
        </w:rPr>
        <w:t>involves</w:t>
      </w:r>
      <w:r w:rsidRPr="00314098">
        <w:rPr>
          <w:rFonts w:ascii="Times New Roman" w:eastAsia="Times New Roman" w:hAnsi="Times New Roman" w:cs="Times New Roman"/>
          <w:kern w:val="0"/>
          <w:sz w:val="24"/>
          <w:szCs w:val="24"/>
          <w:lang w:eastAsia="en-IN" w:bidi="ml-IN"/>
          <w14:ligatures w14:val="none"/>
        </w:rPr>
        <w:t xml:space="preserve"> a series of steps, each aimed to ensure maximum accuracy and reproducibility. In the first phase, raw sequence reads are usually quality trimmed to eliminate low-quality bases and contamination with adapters that may be present in the sequencing library (Callahan et al., 2016) to ensure robust downstream analyses. This is followed by chimera removal, which eliminates </w:t>
      </w:r>
      <w:proofErr w:type="spellStart"/>
      <w:r w:rsidRPr="00314098">
        <w:rPr>
          <w:rFonts w:ascii="Times New Roman" w:eastAsia="Times New Roman" w:hAnsi="Times New Roman" w:cs="Times New Roman"/>
          <w:kern w:val="0"/>
          <w:sz w:val="24"/>
          <w:szCs w:val="24"/>
          <w:lang w:eastAsia="en-IN" w:bidi="ml-IN"/>
          <w14:ligatures w14:val="none"/>
        </w:rPr>
        <w:t>artifactual</w:t>
      </w:r>
      <w:proofErr w:type="spellEnd"/>
      <w:r w:rsidRPr="00314098">
        <w:rPr>
          <w:rFonts w:ascii="Times New Roman" w:eastAsia="Times New Roman" w:hAnsi="Times New Roman" w:cs="Times New Roman"/>
          <w:kern w:val="0"/>
          <w:sz w:val="24"/>
          <w:szCs w:val="24"/>
          <w:lang w:eastAsia="en-IN" w:bidi="ml-IN"/>
          <w14:ligatures w14:val="none"/>
        </w:rPr>
        <w:t xml:space="preserve"> sequences that could inflate diversity (Edgar et al. 2011). </w:t>
      </w:r>
      <w:r w:rsidR="004462E5" w:rsidRPr="00314098">
        <w:rPr>
          <w:rFonts w:ascii="Times New Roman" w:eastAsia="Times New Roman" w:hAnsi="Times New Roman" w:cs="Times New Roman"/>
          <w:kern w:val="0"/>
          <w:sz w:val="24"/>
          <w:szCs w:val="24"/>
          <w:lang w:eastAsia="en-IN" w:bidi="ml-IN"/>
          <w14:ligatures w14:val="none"/>
        </w:rPr>
        <w:t>This is followed by the processing of sequence reads into amplicon sequence variants (ASVs) or groups of sequencing operational taxonomic units (OTUs) using algorithms such as DADA2 that outperform classical OTU clustering (Callahan et al. 2016). The resulting representative sequences are taxonomically identified by comparison with curated reference databases (e.g., the Barcode of Life Data System (BOLD) or GenBank that are trusted repositories of DNA barcodes of most taxa (</w:t>
      </w:r>
      <w:proofErr w:type="spellStart"/>
      <w:r w:rsidR="004462E5" w:rsidRPr="00314098">
        <w:rPr>
          <w:rFonts w:ascii="Times New Roman" w:eastAsia="Times New Roman" w:hAnsi="Times New Roman" w:cs="Times New Roman"/>
          <w:kern w:val="0"/>
          <w:sz w:val="24"/>
          <w:szCs w:val="24"/>
          <w:lang w:eastAsia="en-IN" w:bidi="ml-IN"/>
          <w14:ligatures w14:val="none"/>
        </w:rPr>
        <w:t>Ratnasingham</w:t>
      </w:r>
      <w:proofErr w:type="spellEnd"/>
      <w:r w:rsidR="004462E5" w:rsidRPr="00314098">
        <w:rPr>
          <w:rFonts w:ascii="Times New Roman" w:eastAsia="Times New Roman" w:hAnsi="Times New Roman" w:cs="Times New Roman"/>
          <w:kern w:val="0"/>
          <w:sz w:val="24"/>
          <w:szCs w:val="24"/>
          <w:lang w:eastAsia="en-IN" w:bidi="ml-IN"/>
          <w14:ligatures w14:val="none"/>
        </w:rPr>
        <w:t xml:space="preserve"> and Hebert, 2007; Benson et al., 2018).</w:t>
      </w:r>
    </w:p>
    <w:p w14:paraId="45BA93F5" w14:textId="46B0C178" w:rsidR="00BD6B01"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the context of biodiversity research and in particular in insect monitoring, eDNA metabarcoding has repeatedly been shown to be able to capture higher taxonomic richness and finer resolution than morphological identification. For example </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Ji et al. 2013</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showed that metabarcoding recovered more species than conventional morpho</w:t>
      </w:r>
      <w:r w:rsidR="00E234CC"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taxonomic methods from surveys of arthropod communities. Similarly </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Deiner et al. 2017</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reported that eDNA-based surveys are more efficient than conventional sampling for rare or cryptic taxa, and can therefore provide a more complete picture of ecosystem diversity. These advantages reveal the </w:t>
      </w:r>
      <w:r w:rsidRPr="00314098">
        <w:rPr>
          <w:rFonts w:ascii="Times New Roman" w:eastAsia="Times New Roman" w:hAnsi="Times New Roman" w:cs="Times New Roman"/>
          <w:kern w:val="0"/>
          <w:sz w:val="24"/>
          <w:szCs w:val="24"/>
          <w:lang w:eastAsia="en-IN" w:bidi="ml-IN"/>
          <w14:ligatures w14:val="none"/>
        </w:rPr>
        <w:lastRenderedPageBreak/>
        <w:t>transformative power of eDNA</w:t>
      </w:r>
      <w:r w:rsidR="00F403E9" w:rsidRPr="00314098">
        <w:rPr>
          <w:rFonts w:ascii="Times New Roman" w:eastAsia="Times New Roman" w:hAnsi="Times New Roman" w:cs="Times New Roman"/>
          <w:kern w:val="0"/>
          <w:sz w:val="24"/>
          <w:szCs w:val="24"/>
          <w:lang w:eastAsia="en-IN" w:bidi="ml-IN"/>
          <w14:ligatures w14:val="none"/>
        </w:rPr>
        <w:t xml:space="preserve"> and</w:t>
      </w:r>
      <w:r w:rsidRPr="00314098">
        <w:rPr>
          <w:rFonts w:ascii="Times New Roman" w:eastAsia="Times New Roman" w:hAnsi="Times New Roman" w:cs="Times New Roman"/>
          <w:kern w:val="0"/>
          <w:sz w:val="24"/>
          <w:szCs w:val="24"/>
          <w:lang w:eastAsia="en-IN" w:bidi="ml-IN"/>
          <w14:ligatures w14:val="none"/>
        </w:rPr>
        <w:t xml:space="preserve"> metabarcoding for accelerating biodiversity discovery and monitoring for Indian ecosystems where insect diversity remains grossly under-recorded.</w:t>
      </w:r>
    </w:p>
    <w:p w14:paraId="0EDE1032" w14:textId="389738EE" w:rsidR="00976172" w:rsidRPr="00314098" w:rsidRDefault="00976172" w:rsidP="00BD6B0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3.4 </w:t>
      </w:r>
      <w:r w:rsidR="00706249" w:rsidRPr="00314098">
        <w:rPr>
          <w:rFonts w:ascii="Times New Roman" w:eastAsia="Times New Roman" w:hAnsi="Times New Roman" w:cs="Times New Roman"/>
          <w:b/>
          <w:bCs/>
          <w:kern w:val="0"/>
          <w:sz w:val="24"/>
          <w:szCs w:val="24"/>
          <w:lang w:eastAsia="en-IN" w:bidi="ml-IN"/>
          <w14:ligatures w14:val="none"/>
        </w:rPr>
        <w:t>Why Novel DNA Sequences in BOLD and GenBank Still Require Taxonomic Expertise</w:t>
      </w:r>
    </w:p>
    <w:p w14:paraId="066115D1" w14:textId="21220B19" w:rsidR="00706249" w:rsidRPr="00314098" w:rsidRDefault="003A6A70"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When a DNA barcode or other marker appears for the first time in public repositories such as BOLD or GenBank, the presence of a novel sequence cluster alone does not constitute a formally named species; formal species assignment requires expert taxonomic judgment supported by specimen-based evidence and an explicit diagnosis. Sequence clusters (for example Barcode Index Numbers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BINs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in BOLD) are extremely useful provisional units for flagging candidate taxa and guiding subsequent work, but they should be treated as hypotheses of taxonomic distinctness rather than as definitive species names until corroborated by integrative evidence (morphology, ecology, geography, and where possible additional molecular markers) and a valid type designation under the relevant nomenclatural code [</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2013; Padial et al. 2010]. The International Code of Zoological Nomenclature (ICZN) recognizes name-bearing types (holotypes, syntypes) and, except in narrowly defined and debated cases, requires deposition of voucher specimens or clear type material that allows future verification; descriptions that rely solely on sequence data or photographs remain controversial and are more likely to be considered unstable or </w:t>
      </w:r>
      <w:proofErr w:type="spellStart"/>
      <w:r w:rsidRPr="00314098">
        <w:rPr>
          <w:rFonts w:ascii="Times New Roman" w:eastAsia="Times New Roman" w:hAnsi="Times New Roman" w:cs="Times New Roman"/>
          <w:kern w:val="0"/>
          <w:sz w:val="24"/>
          <w:szCs w:val="24"/>
          <w:lang w:eastAsia="en-IN" w:bidi="ml-IN"/>
          <w14:ligatures w14:val="none"/>
        </w:rPr>
        <w:t>nomenclaturally</w:t>
      </w:r>
      <w:proofErr w:type="spellEnd"/>
      <w:r w:rsidRPr="00314098">
        <w:rPr>
          <w:rFonts w:ascii="Times New Roman" w:eastAsia="Times New Roman" w:hAnsi="Times New Roman" w:cs="Times New Roman"/>
          <w:kern w:val="0"/>
          <w:sz w:val="24"/>
          <w:szCs w:val="24"/>
          <w:lang w:eastAsia="en-IN" w:bidi="ml-IN"/>
          <w14:ligatures w14:val="none"/>
        </w:rPr>
        <w:t xml:space="preserve"> problematic without accompanying physical vouchers and diagnostic characters [</w:t>
      </w:r>
      <w:proofErr w:type="spellStart"/>
      <w:r w:rsidRPr="00314098">
        <w:rPr>
          <w:rFonts w:ascii="Times New Roman" w:eastAsia="Times New Roman" w:hAnsi="Times New Roman" w:cs="Times New Roman"/>
          <w:kern w:val="0"/>
          <w:sz w:val="24"/>
          <w:szCs w:val="24"/>
          <w:lang w:eastAsia="en-IN" w:bidi="ml-IN"/>
          <w14:ligatures w14:val="none"/>
        </w:rPr>
        <w:t>Dayrat</w:t>
      </w:r>
      <w:proofErr w:type="spellEnd"/>
      <w:r w:rsidRPr="00314098">
        <w:rPr>
          <w:rFonts w:ascii="Times New Roman" w:eastAsia="Times New Roman" w:hAnsi="Times New Roman" w:cs="Times New Roman"/>
          <w:kern w:val="0"/>
          <w:sz w:val="24"/>
          <w:szCs w:val="24"/>
          <w:lang w:eastAsia="en-IN" w:bidi="ml-IN"/>
          <w14:ligatures w14:val="none"/>
        </w:rPr>
        <w:t xml:space="preserve"> 2005; Pante et al. 2015]. Best practice therefore couples sequence data with vouchered specimens (ideally with sequence data from the type specimen itself, following </w:t>
      </w:r>
      <w:proofErr w:type="spellStart"/>
      <w:r w:rsidRPr="00314098">
        <w:rPr>
          <w:rFonts w:ascii="Times New Roman" w:eastAsia="Times New Roman" w:hAnsi="Times New Roman" w:cs="Times New Roman"/>
          <w:kern w:val="0"/>
          <w:sz w:val="24"/>
          <w:szCs w:val="24"/>
          <w:lang w:eastAsia="en-IN" w:bidi="ml-IN"/>
          <w14:ligatures w14:val="none"/>
        </w:rPr>
        <w:t>GenSeq</w:t>
      </w:r>
      <w:proofErr w:type="spellEnd"/>
      <w:r w:rsidRPr="00314098">
        <w:rPr>
          <w:rFonts w:ascii="Times New Roman" w:eastAsia="Times New Roman" w:hAnsi="Times New Roman" w:cs="Times New Roman"/>
          <w:kern w:val="0"/>
          <w:sz w:val="24"/>
          <w:szCs w:val="24"/>
          <w:lang w:eastAsia="en-IN" w:bidi="ml-IN"/>
          <w14:ligatures w14:val="none"/>
        </w:rPr>
        <w:t xml:space="preserve"> ranking for sequence reliability), explicit differential diagnoses, and expert comparison with related taxa so that names are stable, repeatable and verifiable by future researchers [Monckton et al. 2020]. Finally, because public sequence databases are not immune to misidentifications or annotation errors, taxonomic assignments based on single best BLAST hits should be corroborated phylogenetically and by taxonomic expertise before formal naming is proposed [</w:t>
      </w:r>
      <w:r w:rsidR="00584226" w:rsidRPr="00314098">
        <w:rPr>
          <w:rFonts w:ascii="Times New Roman" w:eastAsia="Times New Roman" w:hAnsi="Times New Roman" w:cs="Times New Roman"/>
          <w:kern w:val="0"/>
          <w:sz w:val="24"/>
          <w:szCs w:val="24"/>
          <w:lang w:eastAsia="en-IN" w:bidi="ml-IN"/>
          <w14:ligatures w14:val="none"/>
        </w:rPr>
        <w:t>Dennis A</w:t>
      </w:r>
      <w:r w:rsidRPr="00314098">
        <w:rPr>
          <w:rFonts w:ascii="Times New Roman" w:eastAsia="Times New Roman" w:hAnsi="Times New Roman" w:cs="Times New Roman"/>
          <w:kern w:val="0"/>
          <w:sz w:val="24"/>
          <w:szCs w:val="24"/>
          <w:lang w:eastAsia="en-IN" w:bidi="ml-IN"/>
          <w14:ligatures w14:val="none"/>
        </w:rPr>
        <w:t xml:space="preserve"> et al.</w:t>
      </w:r>
      <w:r w:rsidR="00584226" w:rsidRPr="00314098">
        <w:rPr>
          <w:rFonts w:ascii="Times New Roman" w:eastAsia="Times New Roman" w:hAnsi="Times New Roman" w:cs="Times New Roman"/>
          <w:kern w:val="0"/>
          <w:sz w:val="24"/>
          <w:szCs w:val="24"/>
          <w:lang w:eastAsia="en-IN" w:bidi="ml-IN"/>
          <w14:ligatures w14:val="none"/>
        </w:rPr>
        <w:t xml:space="preserve"> 2018]. </w:t>
      </w:r>
    </w:p>
    <w:p w14:paraId="29B7E684" w14:textId="2293D592" w:rsidR="002D51B3" w:rsidRPr="00314098" w:rsidRDefault="00973033" w:rsidP="002D51B3">
      <w:pPr>
        <w:spacing w:after="0" w:line="240" w:lineRule="auto"/>
        <w:jc w:val="both"/>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3.5 </w:t>
      </w:r>
      <w:r w:rsidR="002D51B3" w:rsidRPr="00314098">
        <w:rPr>
          <w:rFonts w:ascii="Times New Roman" w:eastAsia="Times New Roman" w:hAnsi="Times New Roman" w:cs="Times New Roman"/>
          <w:b/>
          <w:bCs/>
          <w:kern w:val="0"/>
          <w:sz w:val="24"/>
          <w:szCs w:val="24"/>
          <w:lang w:eastAsia="en-IN" w:bidi="ml-IN"/>
          <w14:ligatures w14:val="none"/>
        </w:rPr>
        <w:t>Metabarcoding Applications in Arthropod Monitoring, Agricultural Systems, and Ecosystem Services</w:t>
      </w:r>
    </w:p>
    <w:p w14:paraId="0F130F20" w14:textId="77777777" w:rsidR="002D51B3" w:rsidRPr="00314098" w:rsidRDefault="002D51B3" w:rsidP="002D51B3">
      <w:pPr>
        <w:spacing w:after="0" w:line="240" w:lineRule="auto"/>
        <w:jc w:val="both"/>
        <w:rPr>
          <w:rFonts w:ascii="Times New Roman" w:eastAsia="Times New Roman" w:hAnsi="Times New Roman" w:cs="Times New Roman"/>
          <w:kern w:val="0"/>
          <w:sz w:val="24"/>
          <w:szCs w:val="24"/>
          <w:lang w:eastAsia="en-IN" w:bidi="ml-IN"/>
          <w14:ligatures w14:val="none"/>
        </w:rPr>
      </w:pPr>
    </w:p>
    <w:p w14:paraId="581F3E79" w14:textId="445D14B9" w:rsidR="004B7E82" w:rsidRPr="00314098" w:rsidRDefault="002D51B3"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Recent work using DNA metabarcoding has revealed that soil-derived environmental DNA (eDNA) and Malaise trap bulk samples each capture distinct and complementary assemblages of arthropod taxa. In a temperate forest study, only ~11.8% of species overlapped between these sampling methods. </w:t>
      </w:r>
      <w:r w:rsidR="004B7E82" w:rsidRPr="00314098">
        <w:rPr>
          <w:rFonts w:ascii="Times New Roman" w:eastAsia="Times New Roman" w:hAnsi="Times New Roman" w:cs="Times New Roman"/>
          <w:kern w:val="0"/>
          <w:sz w:val="24"/>
          <w:szCs w:val="24"/>
          <w:lang w:eastAsia="en-IN" w:bidi="ml-IN"/>
          <w14:ligatures w14:val="none"/>
        </w:rPr>
        <w:t>Importantly, arthropod diversity peaked differently across habitats and seasons: Malaise trap catches were highest in summer, while soil eDNA detection peaked in winter, demonstrating seasonal life-cycle dynamics and habitat partitioning. This dual sampling provides a more precise approach to biodiversity and phenological shifts of forest ecosystems tracking [Kirse et al. 2021].</w:t>
      </w:r>
    </w:p>
    <w:p w14:paraId="41AC992D"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157D186F" w14:textId="117B59F8"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DNA metabarcoding of bulk arthropod or predator samples in agroecosystems has proven highly effective as an alternative to morphological surveys that are </w:t>
      </w:r>
      <w:r w:rsidR="00E41E73" w:rsidRPr="00314098">
        <w:rPr>
          <w:rFonts w:ascii="Times New Roman" w:eastAsia="Times New Roman" w:hAnsi="Times New Roman" w:cs="Times New Roman"/>
          <w:kern w:val="0"/>
          <w:sz w:val="24"/>
          <w:szCs w:val="24"/>
          <w:lang w:eastAsia="en-IN" w:bidi="ml-IN"/>
          <w14:ligatures w14:val="none"/>
        </w:rPr>
        <w:t>labour</w:t>
      </w:r>
      <w:r w:rsidRPr="00314098">
        <w:rPr>
          <w:rFonts w:ascii="Times New Roman" w:eastAsia="Times New Roman" w:hAnsi="Times New Roman" w:cs="Times New Roman"/>
          <w:kern w:val="0"/>
          <w:sz w:val="24"/>
          <w:szCs w:val="24"/>
          <w:lang w:eastAsia="en-IN" w:bidi="ml-IN"/>
          <w14:ligatures w14:val="none"/>
        </w:rPr>
        <w:t xml:space="preserve"> intensive. Bulk-marker sequencing workflows have shown that a large fraction of arthropods (~91) can be correctly identified and classified taxonomically at a much lower cost and processing time. This utility allows scalable high-speed biodiversity measurements to guide agricultural management and ecosystem service research [Gibson et al. 2014; Ji et al. 2013].</w:t>
      </w:r>
    </w:p>
    <w:p w14:paraId="7B1F1FEE"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89B107D" w14:textId="7418E3D8"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lastRenderedPageBreak/>
        <w:t>In addition to tracking presence and abundance, metabarcoding can also be used to understand trophic interactions and ecosystem services. DNA metabarcoding of guano has been used in dietary studies of insectivorous bats and has yielded strong evidence of their involvement in the control of agricultural pests. In a multi-species study, bats were observed to feed on a broad array of pest species-over 130 different crop pests were found in bat diets-and many of these crop pests are very destructive to crops. These results demonstrate why bats offer essential ecosystem services in agricultural landscapes, and why metabarcoding-based trophic network analyses can be valuable in sustainable pest management planning [Flanders et al. 2022].</w:t>
      </w:r>
    </w:p>
    <w:p w14:paraId="381A1C0C" w14:textId="64A7DF1F" w:rsidR="0069611A" w:rsidRPr="00314098" w:rsidRDefault="00FB6329" w:rsidP="0069611A">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4. </w:t>
      </w:r>
      <w:proofErr w:type="spellStart"/>
      <w:r w:rsidR="0069611A" w:rsidRPr="00314098">
        <w:rPr>
          <w:rFonts w:ascii="Times New Roman" w:eastAsia="Times New Roman" w:hAnsi="Times New Roman" w:cs="Times New Roman"/>
          <w:b/>
          <w:bCs/>
          <w:kern w:val="0"/>
          <w:sz w:val="24"/>
          <w:szCs w:val="24"/>
          <w:lang w:eastAsia="en-IN" w:bidi="ml-IN"/>
          <w14:ligatures w14:val="none"/>
        </w:rPr>
        <w:t>Cybertaxonomy</w:t>
      </w:r>
      <w:proofErr w:type="spellEnd"/>
      <w:r w:rsidR="0069611A" w:rsidRPr="00314098">
        <w:rPr>
          <w:rFonts w:ascii="Times New Roman" w:eastAsia="Times New Roman" w:hAnsi="Times New Roman" w:cs="Times New Roman"/>
          <w:b/>
          <w:bCs/>
          <w:kern w:val="0"/>
          <w:sz w:val="24"/>
          <w:szCs w:val="24"/>
          <w:lang w:eastAsia="en-IN" w:bidi="ml-IN"/>
          <w14:ligatures w14:val="none"/>
        </w:rPr>
        <w:t>: Integrating Morphology and Molecules</w:t>
      </w:r>
      <w:r w:rsidR="00CC6283" w:rsidRPr="00314098">
        <w:rPr>
          <w:rFonts w:ascii="Times New Roman" w:eastAsia="Times New Roman" w:hAnsi="Times New Roman" w:cs="Times New Roman"/>
          <w:b/>
          <w:bCs/>
          <w:kern w:val="0"/>
          <w:sz w:val="24"/>
          <w:szCs w:val="24"/>
          <w:lang w:eastAsia="en-IN" w:bidi="ml-IN"/>
          <w14:ligatures w14:val="none"/>
        </w:rPr>
        <w:t xml:space="preserve"> - </w:t>
      </w:r>
      <w:r w:rsidR="0069611A" w:rsidRPr="00314098">
        <w:rPr>
          <w:rFonts w:ascii="Times New Roman" w:eastAsia="Times New Roman" w:hAnsi="Times New Roman" w:cs="Times New Roman"/>
          <w:b/>
          <w:bCs/>
          <w:kern w:val="0"/>
          <w:sz w:val="24"/>
          <w:szCs w:val="24"/>
          <w:lang w:eastAsia="en-IN" w:bidi="ml-IN"/>
          <w14:ligatures w14:val="none"/>
        </w:rPr>
        <w:t xml:space="preserve">Challenges, Limitations, and Transformative Potential </w:t>
      </w:r>
    </w:p>
    <w:p w14:paraId="3E58BE42" w14:textId="398E58A8"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proofErr w:type="spellStart"/>
      <w:r w:rsidRPr="00314098">
        <w:rPr>
          <w:rFonts w:ascii="Times New Roman" w:eastAsia="Times New Roman" w:hAnsi="Times New Roman" w:cs="Times New Roman"/>
          <w:kern w:val="0"/>
          <w:sz w:val="24"/>
          <w:szCs w:val="24"/>
          <w:lang w:eastAsia="en-IN" w:bidi="ml-IN"/>
          <w14:ligatures w14:val="none"/>
        </w:rPr>
        <w:t>Cypertaxonomy</w:t>
      </w:r>
      <w:proofErr w:type="spellEnd"/>
      <w:r w:rsidRPr="00314098">
        <w:rPr>
          <w:rFonts w:ascii="Times New Roman" w:eastAsia="Times New Roman" w:hAnsi="Times New Roman" w:cs="Times New Roman"/>
          <w:kern w:val="0"/>
          <w:sz w:val="24"/>
          <w:szCs w:val="24"/>
          <w:lang w:eastAsia="en-IN" w:bidi="ml-IN"/>
          <w14:ligatures w14:val="none"/>
        </w:rPr>
        <w:t xml:space="preserve"> is a synthesizing framework that brings together classical morphology, molecular data, high-resolution imaging, georeferenced metadata and open-access databases to both speed up the process of species discovery and to refine the understanding of taxonomy. </w:t>
      </w:r>
      <w:proofErr w:type="spellStart"/>
      <w:r w:rsidRPr="00314098">
        <w:rPr>
          <w:rFonts w:ascii="Times New Roman" w:eastAsia="Times New Roman" w:hAnsi="Times New Roman" w:cs="Times New Roman"/>
          <w:kern w:val="0"/>
          <w:sz w:val="24"/>
          <w:szCs w:val="24"/>
          <w:lang w:eastAsia="en-IN" w:bidi="ml-IN"/>
          <w14:ligatures w14:val="none"/>
        </w:rPr>
        <w:t>Cybertaxonomy</w:t>
      </w:r>
      <w:proofErr w:type="spellEnd"/>
      <w:r w:rsidRPr="00314098">
        <w:rPr>
          <w:rFonts w:ascii="Times New Roman" w:eastAsia="Times New Roman" w:hAnsi="Times New Roman" w:cs="Times New Roman"/>
          <w:kern w:val="0"/>
          <w:sz w:val="24"/>
          <w:szCs w:val="24"/>
          <w:lang w:eastAsia="en-IN" w:bidi="ml-IN"/>
          <w14:ligatures w14:val="none"/>
        </w:rPr>
        <w:t xml:space="preserve"> allows reproducible identifications by matching voucher specimens with the DNA barcodes and digital databases Barcode of Life Data System (BOLD) and the Global Biodiversity Information Facility (GBIF), and allows monitoring of biodiversity at various levels (Hebert et al., 2003; Pyle, 2016). Such integrative techniques are especially disruptive in megadiverse regions such as India where conventional taxonomy has often been constrained by the parochialism of expertise and reference collections.</w:t>
      </w:r>
      <w:r w:rsidR="00143B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The advantages and transformational power of molecular methods and especially DNA barcoding and metabarcoding have been well reported. These techniques offer scalable biodiversity profiling and allow detection of cryptic, immature, or fragmentary taxa that cannot be detected morphologically in other ways (Ji et al., 2013; Leray et al., 2013). They have applications not only in biodiversity surveys, but also in practice, e.g. in pest surveillance in agriculture, early detection of invasive species, or forensic entomology, where high quality species-level identifications may be needed </w:t>
      </w:r>
      <w:r w:rsidR="00143B1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Meusnier et al., 2008</w:t>
      </w:r>
      <w:r w:rsidR="00143B1D" w:rsidRPr="00314098">
        <w:rPr>
          <w:rFonts w:ascii="Times New Roman" w:eastAsia="Times New Roman" w:hAnsi="Times New Roman" w:cs="Times New Roman"/>
          <w:kern w:val="0"/>
          <w:sz w:val="24"/>
          <w:szCs w:val="24"/>
          <w:lang w:eastAsia="en-IN" w:bidi="ml-IN"/>
          <w14:ligatures w14:val="none"/>
        </w:rPr>
        <w:t>].</w:t>
      </w:r>
    </w:p>
    <w:p w14:paraId="6D87B73A"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A8D1054" w14:textId="7FF09D29"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However, there are still major constraints and issues. The reference sequence databases remain imperfect and are geographically biased particularly in tropical and subtropical regions where species richness is most concentrated and taxonomic assignment is inaccurate (Collins and Cruickshank, 2013). Diversity estimates can be biased by technical artifacts (e.g., primer-template mismatches, amplification of nuclear mitochondrial pseudogenes, contamination during library preparation (e.g., index hopping)) and may be difficult to interpret (Carlsen et al., 2012; Schnell et al., 2015). In addition, molecular biodiversity research also incorporates ethical considerations. The global conventions such as Nagoya Protocol are aimed at equal and fair allocation of benefits and thus, it is important to incorporate all the local researchers and stakeholders in the countries that have the abundance of biodiversity (</w:t>
      </w:r>
      <w:proofErr w:type="spellStart"/>
      <w:r w:rsidRPr="00314098">
        <w:rPr>
          <w:rFonts w:ascii="Times New Roman" w:eastAsia="Times New Roman" w:hAnsi="Times New Roman" w:cs="Times New Roman"/>
          <w:kern w:val="0"/>
          <w:sz w:val="24"/>
          <w:szCs w:val="24"/>
          <w:lang w:eastAsia="en-IN" w:bidi="ml-IN"/>
          <w14:ligatures w14:val="none"/>
        </w:rPr>
        <w:t>Prathapan</w:t>
      </w:r>
      <w:proofErr w:type="spellEnd"/>
      <w:r w:rsidRPr="00314098">
        <w:rPr>
          <w:rFonts w:ascii="Times New Roman" w:eastAsia="Times New Roman" w:hAnsi="Times New Roman" w:cs="Times New Roman"/>
          <w:kern w:val="0"/>
          <w:sz w:val="24"/>
          <w:szCs w:val="24"/>
          <w:lang w:eastAsia="en-IN" w:bidi="ml-IN"/>
          <w14:ligatures w14:val="none"/>
        </w:rPr>
        <w:t xml:space="preserve"> et al., 2018).</w:t>
      </w:r>
    </w:p>
    <w:p w14:paraId="60B81B7D"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7F539E0A" w14:textId="1C30D679"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Best practices have been developed to overcome such challenges. Voucher specimens should be kept directly linked to the DNA records so that they can be taxonomically validated and reproducible (Mutanen et al., 2016). Standards such as Darwin Core can be used to provide interoperability and interconnect with international repositories such as GenBank, BOLD and GBIF (Wieczorek et al., 2012). Before use in large-scale monitoring projects, primer sets must be tested on mock communities to measure both amplification biases and taxonomic coverage (Elbrecht and Leese, 2017). Finally, there needs to be general capacity building through training and investment in molecular infrastructure, particularly in resource-constrained but biodiversity-rich regions, to ensure the competent and equitable application of molecular tools to advance the assessment of insect biodiversity (Wilson et al., 2017).</w:t>
      </w:r>
    </w:p>
    <w:p w14:paraId="443D06A5"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lastRenderedPageBreak/>
        <w:t>5. Conclusions</w:t>
      </w:r>
    </w:p>
    <w:p w14:paraId="158448C4" w14:textId="082A29B3" w:rsidR="007E3AAD" w:rsidRPr="00314098" w:rsidRDefault="0070791D"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As a pioneering taxonomic institute, the Zoological Survey of India has been tirelessly contributing to the comprehensive assessment and documentation of </w:t>
      </w:r>
      <w:r w:rsidR="00704577" w:rsidRPr="00314098">
        <w:rPr>
          <w:rFonts w:ascii="Times New Roman" w:eastAsia="Times New Roman" w:hAnsi="Times New Roman" w:cs="Times New Roman"/>
          <w:kern w:val="0"/>
          <w:sz w:val="24"/>
          <w:szCs w:val="24"/>
          <w:lang w:eastAsia="en-IN" w:bidi="ml-IN"/>
          <w14:ligatures w14:val="none"/>
        </w:rPr>
        <w:t xml:space="preserve">faunal </w:t>
      </w:r>
      <w:r w:rsidRPr="00314098">
        <w:rPr>
          <w:rFonts w:ascii="Times New Roman" w:eastAsia="Times New Roman" w:hAnsi="Times New Roman" w:cs="Times New Roman"/>
          <w:kern w:val="0"/>
          <w:sz w:val="24"/>
          <w:szCs w:val="24"/>
          <w:lang w:eastAsia="en-IN" w:bidi="ml-IN"/>
          <w14:ligatures w14:val="none"/>
        </w:rPr>
        <w:t xml:space="preserve">diversity in </w:t>
      </w:r>
      <w:r w:rsidR="00704577" w:rsidRPr="00314098">
        <w:rPr>
          <w:rFonts w:ascii="Times New Roman" w:eastAsia="Times New Roman" w:hAnsi="Times New Roman" w:cs="Times New Roman"/>
          <w:kern w:val="0"/>
          <w:sz w:val="24"/>
          <w:szCs w:val="24"/>
          <w:lang w:eastAsia="en-IN" w:bidi="ml-IN"/>
          <w14:ligatures w14:val="none"/>
        </w:rPr>
        <w:t>the Indian context</w:t>
      </w:r>
      <w:r w:rsidRPr="00314098">
        <w:rPr>
          <w:rFonts w:ascii="Times New Roman" w:eastAsia="Times New Roman" w:hAnsi="Times New Roman" w:cs="Times New Roman"/>
          <w:kern w:val="0"/>
          <w:sz w:val="24"/>
          <w:szCs w:val="24"/>
          <w:lang w:eastAsia="en-IN" w:bidi="ml-IN"/>
          <w14:ligatures w14:val="none"/>
        </w:rPr>
        <w:t xml:space="preserve">. </w:t>
      </w:r>
      <w:r w:rsidR="00E56137">
        <w:rPr>
          <w:rFonts w:ascii="Times New Roman" w:eastAsia="Times New Roman" w:hAnsi="Times New Roman" w:cs="Times New Roman"/>
          <w:kern w:val="0"/>
          <w:sz w:val="24"/>
          <w:szCs w:val="24"/>
          <w:lang w:eastAsia="en-IN" w:bidi="ml-IN"/>
          <w14:ligatures w14:val="none"/>
        </w:rPr>
        <w:t xml:space="preserve">However, </w:t>
      </w:r>
      <w:r w:rsidR="003A29B6" w:rsidRPr="00314098">
        <w:rPr>
          <w:rFonts w:ascii="Times New Roman" w:eastAsia="Times New Roman" w:hAnsi="Times New Roman" w:cs="Times New Roman"/>
          <w:kern w:val="0"/>
          <w:sz w:val="24"/>
          <w:szCs w:val="24"/>
          <w:lang w:eastAsia="en-IN" w:bidi="ml-IN"/>
          <w14:ligatures w14:val="none"/>
        </w:rPr>
        <w:t xml:space="preserve">DNA based methods are transforming entomology because they are complementing the conventional morphology through fast, dependable and extensive biodiversity measurements in agricultural and forested ecosystems, their impact needs to be maximized by expanding reference libraries, following strict laboratory and bioinformatics standards, and continued emphasis on specimen-based documentation. </w:t>
      </w:r>
      <w:r w:rsidR="007E3AAD" w:rsidRPr="00314098">
        <w:rPr>
          <w:rFonts w:ascii="Times New Roman" w:eastAsia="Times New Roman" w:hAnsi="Times New Roman" w:cs="Times New Roman"/>
          <w:kern w:val="0"/>
          <w:sz w:val="24"/>
          <w:szCs w:val="24"/>
          <w:lang w:eastAsia="en-IN" w:bidi="ml-IN"/>
          <w14:ligatures w14:val="none"/>
        </w:rPr>
        <w:t>Such measures will help operationalize the “</w:t>
      </w:r>
      <w:r w:rsidR="00B5643A" w:rsidRPr="00314098">
        <w:rPr>
          <w:rFonts w:ascii="Times New Roman" w:eastAsia="Times New Roman" w:hAnsi="Times New Roman" w:cs="Times New Roman"/>
          <w:kern w:val="0"/>
          <w:sz w:val="24"/>
          <w:szCs w:val="24"/>
          <w:lang w:eastAsia="en-IN" w:bidi="ml-IN"/>
          <w14:ligatures w14:val="none"/>
        </w:rPr>
        <w:t>Moving Beyond Traditional Nets</w:t>
      </w:r>
      <w:r w:rsidR="007E3AAD" w:rsidRPr="00314098">
        <w:rPr>
          <w:rFonts w:ascii="Times New Roman" w:eastAsia="Times New Roman" w:hAnsi="Times New Roman" w:cs="Times New Roman"/>
          <w:kern w:val="0"/>
          <w:sz w:val="24"/>
          <w:szCs w:val="24"/>
          <w:lang w:eastAsia="en-IN" w:bidi="ml-IN"/>
          <w14:ligatures w14:val="none"/>
        </w:rPr>
        <w:t>” paradigm</w:t>
      </w:r>
      <w:r w:rsidR="00B5643A" w:rsidRPr="00314098">
        <w:rPr>
          <w:rFonts w:ascii="Times New Roman" w:eastAsia="Times New Roman" w:hAnsi="Times New Roman" w:cs="Times New Roman"/>
          <w:kern w:val="0"/>
          <w:sz w:val="24"/>
          <w:szCs w:val="24"/>
          <w:lang w:eastAsia="en-IN" w:bidi="ml-IN"/>
          <w14:ligatures w14:val="none"/>
        </w:rPr>
        <w:t xml:space="preserve"> - </w:t>
      </w:r>
      <w:r w:rsidR="007E3AAD" w:rsidRPr="00314098">
        <w:rPr>
          <w:rFonts w:ascii="Times New Roman" w:eastAsia="Times New Roman" w:hAnsi="Times New Roman" w:cs="Times New Roman"/>
          <w:kern w:val="0"/>
          <w:sz w:val="24"/>
          <w:szCs w:val="24"/>
          <w:lang w:eastAsia="en-IN" w:bidi="ml-IN"/>
          <w14:ligatures w14:val="none"/>
        </w:rPr>
        <w:t xml:space="preserve">an integrative, open, and collaborative framework critical for conservation, agriculture, public health, and forensic applications in an era of unprecedented environmental change. </w:t>
      </w:r>
    </w:p>
    <w:p w14:paraId="57E9D174" w14:textId="5830B3AF" w:rsidR="00B41130" w:rsidRDefault="00B41130"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this context, COI barcoding remains the standard of reference in animal identification, and mini-barcodes and refined sets of COI primers have become essential in the analysis of degraded DNA as is common with eDNA and bulk-sample metabarcoding. Combined with Illumina-based HTS and judicious choice of primers, they allow reproducible, </w:t>
      </w:r>
      <w:proofErr w:type="spellStart"/>
      <w:r w:rsidRPr="00314098">
        <w:rPr>
          <w:rFonts w:ascii="Times New Roman" w:eastAsia="Times New Roman" w:hAnsi="Times New Roman" w:cs="Times New Roman"/>
          <w:kern w:val="0"/>
          <w:sz w:val="24"/>
          <w:szCs w:val="24"/>
          <w:lang w:eastAsia="en-IN" w:bidi="ml-IN"/>
          <w14:ligatures w14:val="none"/>
        </w:rPr>
        <w:t>scaleable</w:t>
      </w:r>
      <w:proofErr w:type="spellEnd"/>
      <w:r w:rsidRPr="00314098">
        <w:rPr>
          <w:rFonts w:ascii="Times New Roman" w:eastAsia="Times New Roman" w:hAnsi="Times New Roman" w:cs="Times New Roman"/>
          <w:kern w:val="0"/>
          <w:sz w:val="24"/>
          <w:szCs w:val="24"/>
          <w:lang w:eastAsia="en-IN" w:bidi="ml-IN"/>
          <w14:ligatures w14:val="none"/>
        </w:rPr>
        <w:t xml:space="preserve"> survey of insect biodiversity in complex agricultural and other </w:t>
      </w:r>
      <w:r w:rsidR="00742FCC" w:rsidRPr="00314098">
        <w:rPr>
          <w:rFonts w:ascii="Times New Roman" w:eastAsia="Times New Roman" w:hAnsi="Times New Roman" w:cs="Times New Roman"/>
          <w:kern w:val="0"/>
          <w:sz w:val="24"/>
          <w:szCs w:val="24"/>
          <w:lang w:eastAsia="en-IN" w:bidi="ml-IN"/>
          <w14:ligatures w14:val="none"/>
        </w:rPr>
        <w:t>e</w:t>
      </w:r>
      <w:r w:rsidRPr="00314098">
        <w:rPr>
          <w:rFonts w:ascii="Times New Roman" w:eastAsia="Times New Roman" w:hAnsi="Times New Roman" w:cs="Times New Roman"/>
          <w:kern w:val="0"/>
          <w:sz w:val="24"/>
          <w:szCs w:val="24"/>
          <w:lang w:eastAsia="en-IN" w:bidi="ml-IN"/>
          <w14:ligatures w14:val="none"/>
        </w:rPr>
        <w:t>cosystems. All these reflect the changing nature of</w:t>
      </w:r>
      <w:r w:rsidR="007B36FA" w:rsidRPr="00314098">
        <w:rPr>
          <w:rFonts w:ascii="Times New Roman" w:eastAsia="Times New Roman" w:hAnsi="Times New Roman" w:cs="Times New Roman"/>
          <w:kern w:val="0"/>
          <w:sz w:val="24"/>
          <w:szCs w:val="24"/>
          <w:lang w:eastAsia="en-IN" w:bidi="ml-IN"/>
          <w14:ligatures w14:val="none"/>
        </w:rPr>
        <w:t xml:space="preserve"> insect diversity assessment with</w:t>
      </w:r>
      <w:r w:rsidRPr="00314098">
        <w:rPr>
          <w:rFonts w:ascii="Times New Roman" w:eastAsia="Times New Roman" w:hAnsi="Times New Roman" w:cs="Times New Roman"/>
          <w:kern w:val="0"/>
          <w:sz w:val="24"/>
          <w:szCs w:val="24"/>
          <w:lang w:eastAsia="en-IN" w:bidi="ml-IN"/>
          <w14:ligatures w14:val="none"/>
        </w:rPr>
        <w:t xml:space="preserve"> metabarcoding and eDNA practices in India that is no longer bound to the same paradigm of nets, but rather attempts to comprehend the diversity of insects more holistically and urgently.</w:t>
      </w:r>
    </w:p>
    <w:p w14:paraId="592FC555"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n-IN" w:bidi="ml-IN"/>
          <w14:ligatures w14:val="none"/>
        </w:rPr>
      </w:pPr>
      <w:r w:rsidRPr="00AF2287">
        <w:rPr>
          <w:rFonts w:ascii="Times New Roman" w:eastAsia="Times New Roman" w:hAnsi="Times New Roman" w:cs="Times New Roman"/>
          <w:b/>
          <w:bCs/>
          <w:kern w:val="0"/>
          <w:sz w:val="24"/>
          <w:szCs w:val="24"/>
          <w:lang w:val="en-US" w:eastAsia="en-IN" w:bidi="ml-IN"/>
          <w14:ligatures w14:val="none"/>
        </w:rPr>
        <w:t>DISCLAIMER (ARTIFICIAL INTELLIGENCE)</w:t>
      </w:r>
    </w:p>
    <w:p w14:paraId="067F45F3"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kern w:val="0"/>
          <w:sz w:val="24"/>
          <w:szCs w:val="24"/>
          <w:lang w:val="en-US" w:eastAsia="en-IN" w:bidi="ml-IN"/>
          <w14:ligatures w14:val="none"/>
        </w:rPr>
      </w:pPr>
      <w:r w:rsidRPr="00AF2287">
        <w:rPr>
          <w:rFonts w:ascii="Times New Roman" w:eastAsia="Times New Roman" w:hAnsi="Times New Roman" w:cs="Times New Roman"/>
          <w:kern w:val="0"/>
          <w:sz w:val="24"/>
          <w:szCs w:val="24"/>
          <w:lang w:val="en-US" w:eastAsia="en-IN" w:bidi="ml-IN"/>
          <w14:ligatures w14:val="none"/>
        </w:rPr>
        <w:t xml:space="preserve">Author(s) hereby declare that NO generative AI technologies such as Large Language Models (ChatGPT, COPILOT, etc.) and text-to-image generators have been used during the writing or editing of this manuscript. </w:t>
      </w:r>
    </w:p>
    <w:p w14:paraId="2F8F82BE"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285FDF9E" w14:textId="77987A0F"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References</w:t>
      </w:r>
    </w:p>
    <w:p w14:paraId="622E677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Baird, D. J., Pascoe, T. J., Zhou, X.,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Building freshwater macroinvertebrate DNA barcode libraries from reference collection material: formalin preservation versus specimen age. </w:t>
      </w:r>
      <w:r w:rsidRPr="00314098">
        <w:rPr>
          <w:rFonts w:ascii="Times New Roman" w:hAnsi="Times New Roman" w:cs="Times New Roman"/>
          <w:i/>
          <w:iCs/>
          <w:sz w:val="24"/>
          <w:szCs w:val="24"/>
        </w:rPr>
        <w:t xml:space="preserve">Journal of the North American </w:t>
      </w:r>
      <w:proofErr w:type="spellStart"/>
      <w:r w:rsidRPr="00314098">
        <w:rPr>
          <w:rFonts w:ascii="Times New Roman" w:hAnsi="Times New Roman" w:cs="Times New Roman"/>
          <w:i/>
          <w:iCs/>
          <w:sz w:val="24"/>
          <w:szCs w:val="24"/>
        </w:rPr>
        <w:t>Benthological</w:t>
      </w:r>
      <w:proofErr w:type="spellEnd"/>
      <w:r w:rsidRPr="00314098">
        <w:rPr>
          <w:rFonts w:ascii="Times New Roman" w:hAnsi="Times New Roman" w:cs="Times New Roman"/>
          <w:i/>
          <w:iCs/>
          <w:sz w:val="24"/>
          <w:szCs w:val="24"/>
        </w:rPr>
        <w:t xml:space="preserve"> Society</w:t>
      </w:r>
      <w:r w:rsidRPr="00314098">
        <w:rPr>
          <w:rFonts w:ascii="Times New Roman" w:hAnsi="Times New Roman" w:cs="Times New Roman"/>
          <w:sz w:val="24"/>
          <w:szCs w:val="24"/>
        </w:rPr>
        <w:t>, 30(1), 125-130.</w:t>
      </w:r>
    </w:p>
    <w:p w14:paraId="2944C6E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Banerjee, D. Raghunathan, C., Rizvi, A. N.  and Sengupta, J. (2025). Animal Discoveries 2024: New Species and New Records, 1-396 (Published by the Director, Zool. </w:t>
      </w:r>
      <w:proofErr w:type="spellStart"/>
      <w:r w:rsidRPr="00314098">
        <w:rPr>
          <w:rFonts w:ascii="Times New Roman" w:hAnsi="Times New Roman" w:cs="Times New Roman"/>
          <w:sz w:val="24"/>
          <w:szCs w:val="24"/>
        </w:rPr>
        <w:t>Surv</w:t>
      </w:r>
      <w:proofErr w:type="spellEnd"/>
      <w:r w:rsidRPr="00314098">
        <w:rPr>
          <w:rFonts w:ascii="Times New Roman" w:hAnsi="Times New Roman" w:cs="Times New Roman"/>
          <w:sz w:val="24"/>
          <w:szCs w:val="24"/>
        </w:rPr>
        <w:t>. India, Kolkata).</w:t>
      </w:r>
    </w:p>
    <w:p w14:paraId="4E906BDB"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Basset, Y., Cizek, L., </w:t>
      </w:r>
      <w:proofErr w:type="spellStart"/>
      <w:r w:rsidRPr="00314098">
        <w:rPr>
          <w:rFonts w:ascii="Times New Roman" w:hAnsi="Times New Roman" w:cs="Times New Roman"/>
          <w:sz w:val="24"/>
          <w:szCs w:val="24"/>
        </w:rPr>
        <w:t>Cuénoud</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Didham</w:t>
      </w:r>
      <w:proofErr w:type="spellEnd"/>
      <w:r w:rsidRPr="00314098">
        <w:rPr>
          <w:rFonts w:ascii="Times New Roman" w:hAnsi="Times New Roman" w:cs="Times New Roman"/>
          <w:sz w:val="24"/>
          <w:szCs w:val="24"/>
        </w:rPr>
        <w:t xml:space="preserve">, R. K., </w:t>
      </w:r>
      <w:proofErr w:type="spellStart"/>
      <w:r w:rsidRPr="00314098">
        <w:rPr>
          <w:rFonts w:ascii="Times New Roman" w:hAnsi="Times New Roman" w:cs="Times New Roman"/>
          <w:sz w:val="24"/>
          <w:szCs w:val="24"/>
        </w:rPr>
        <w:t>Guilhaumon</w:t>
      </w:r>
      <w:proofErr w:type="spellEnd"/>
      <w:r w:rsidRPr="00314098">
        <w:rPr>
          <w:rFonts w:ascii="Times New Roman" w:hAnsi="Times New Roman" w:cs="Times New Roman"/>
          <w:sz w:val="24"/>
          <w:szCs w:val="24"/>
        </w:rPr>
        <w:t xml:space="preserve">, F., Missa, O., Novotny, V., Ødegaard, F., Roslin, T., Schmidl, J., </w:t>
      </w:r>
      <w:proofErr w:type="spellStart"/>
      <w:r w:rsidRPr="00314098">
        <w:rPr>
          <w:rFonts w:ascii="Times New Roman" w:hAnsi="Times New Roman" w:cs="Times New Roman"/>
          <w:sz w:val="24"/>
          <w:szCs w:val="24"/>
        </w:rPr>
        <w:t>Tishechkin</w:t>
      </w:r>
      <w:proofErr w:type="spellEnd"/>
      <w:r w:rsidRPr="00314098">
        <w:rPr>
          <w:rFonts w:ascii="Times New Roman" w:hAnsi="Times New Roman" w:cs="Times New Roman"/>
          <w:sz w:val="24"/>
          <w:szCs w:val="24"/>
        </w:rPr>
        <w:t xml:space="preserve">, A. K., Winchester, N. N., Roubik, D. W., </w:t>
      </w:r>
      <w:proofErr w:type="spellStart"/>
      <w:r w:rsidRPr="00314098">
        <w:rPr>
          <w:rFonts w:ascii="Times New Roman" w:hAnsi="Times New Roman" w:cs="Times New Roman"/>
          <w:sz w:val="24"/>
          <w:szCs w:val="24"/>
        </w:rPr>
        <w:t>Aberlenc</w:t>
      </w:r>
      <w:proofErr w:type="spellEnd"/>
      <w:r w:rsidRPr="00314098">
        <w:rPr>
          <w:rFonts w:ascii="Times New Roman" w:hAnsi="Times New Roman" w:cs="Times New Roman"/>
          <w:sz w:val="24"/>
          <w:szCs w:val="24"/>
        </w:rPr>
        <w:t xml:space="preserve">, H. P., Bail, J., Barrios, H., Bridle, J. R., Castaño-Meneses, G., </w:t>
      </w:r>
      <w:proofErr w:type="spellStart"/>
      <w:r w:rsidRPr="00314098">
        <w:rPr>
          <w:rFonts w:ascii="Times New Roman" w:hAnsi="Times New Roman" w:cs="Times New Roman"/>
          <w:sz w:val="24"/>
          <w:szCs w:val="24"/>
        </w:rPr>
        <w:t>Corbara</w:t>
      </w:r>
      <w:proofErr w:type="spellEnd"/>
      <w:r w:rsidRPr="00314098">
        <w:rPr>
          <w:rFonts w:ascii="Times New Roman" w:hAnsi="Times New Roman" w:cs="Times New Roman"/>
          <w:sz w:val="24"/>
          <w:szCs w:val="24"/>
        </w:rPr>
        <w:t xml:space="preserve">, B., </w:t>
      </w:r>
      <w:proofErr w:type="spellStart"/>
      <w:r w:rsidRPr="00314098">
        <w:rPr>
          <w:rFonts w:ascii="Times New Roman" w:hAnsi="Times New Roman" w:cs="Times New Roman"/>
          <w:sz w:val="24"/>
          <w:szCs w:val="24"/>
        </w:rPr>
        <w:t>Curletti</w:t>
      </w:r>
      <w:proofErr w:type="spellEnd"/>
      <w:r w:rsidRPr="00314098">
        <w:rPr>
          <w:rFonts w:ascii="Times New Roman" w:hAnsi="Times New Roman" w:cs="Times New Roman"/>
          <w:sz w:val="24"/>
          <w:szCs w:val="24"/>
        </w:rPr>
        <w:t xml:space="preserve">, G., … </w:t>
      </w:r>
      <w:proofErr w:type="spellStart"/>
      <w:r w:rsidRPr="00314098">
        <w:rPr>
          <w:rFonts w:ascii="Times New Roman" w:hAnsi="Times New Roman" w:cs="Times New Roman"/>
          <w:sz w:val="24"/>
          <w:szCs w:val="24"/>
        </w:rPr>
        <w:t>Leponce</w:t>
      </w:r>
      <w:proofErr w:type="spellEnd"/>
      <w:r w:rsidRPr="00314098">
        <w:rPr>
          <w:rFonts w:ascii="Times New Roman" w:hAnsi="Times New Roman" w:cs="Times New Roman"/>
          <w:sz w:val="24"/>
          <w:szCs w:val="24"/>
        </w:rPr>
        <w:t>, M. (2012). Arthropod diversity in a tropical forest. Science (New York, N.Y.), 338(6113), 1481–1484. https://doi.org/10.1126/science.1226727</w:t>
      </w:r>
    </w:p>
    <w:p w14:paraId="158690C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Benson, D. A., Cavanaugh, M., Clark, K., Karsch-Mizrachi, I., Lipman, D. J., Ostell, J., &amp; Sayers, E. W.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46(D1), D41–D47. https://doi.org/10.1093/nar/gkx1094</w:t>
      </w:r>
    </w:p>
    <w:p w14:paraId="666C91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Bickford, D., Lohman, D.J., Sodhi, N.S., Ng, P.K.L., Meier, R., Winker, K., Ingram, K.K., &amp; Das, I. (2007). Cryptic species as a window on diversity and conservation.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22</w:t>
      </w:r>
      <w:r w:rsidRPr="00314098">
        <w:rPr>
          <w:rFonts w:ascii="Times New Roman" w:hAnsi="Times New Roman" w:cs="Times New Roman"/>
          <w:sz w:val="24"/>
          <w:szCs w:val="24"/>
        </w:rPr>
        <w:t xml:space="preserve">(3), 148–155. </w:t>
      </w:r>
      <w:proofErr w:type="gramStart"/>
      <w:r w:rsidRPr="00314098">
        <w:rPr>
          <w:rFonts w:ascii="Times New Roman" w:hAnsi="Times New Roman" w:cs="Times New Roman"/>
          <w:sz w:val="24"/>
          <w:szCs w:val="24"/>
        </w:rPr>
        <w:t>doi:10.1016/j.tree</w:t>
      </w:r>
      <w:proofErr w:type="gramEnd"/>
      <w:r w:rsidRPr="00314098">
        <w:rPr>
          <w:rFonts w:ascii="Times New Roman" w:hAnsi="Times New Roman" w:cs="Times New Roman"/>
          <w:sz w:val="24"/>
          <w:szCs w:val="24"/>
        </w:rPr>
        <w:t>.2006.11.004</w:t>
      </w:r>
    </w:p>
    <w:p w14:paraId="6E1FADA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Bohmann, K., Evans, A., Gilbert, M.T.P., Carvalho, G.R., Creer, S., Knapp, M., ... &amp; de Bruyn, M. (2014). Environmental DNA for wildlife biology and biodiversity monitoring.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29</w:t>
      </w:r>
      <w:r w:rsidRPr="00314098">
        <w:rPr>
          <w:rFonts w:ascii="Times New Roman" w:hAnsi="Times New Roman" w:cs="Times New Roman"/>
          <w:sz w:val="24"/>
          <w:szCs w:val="24"/>
        </w:rPr>
        <w:t xml:space="preserve">(6), 358–367. </w:t>
      </w:r>
      <w:proofErr w:type="gramStart"/>
      <w:r w:rsidRPr="00314098">
        <w:rPr>
          <w:rFonts w:ascii="Times New Roman" w:hAnsi="Times New Roman" w:cs="Times New Roman"/>
          <w:sz w:val="24"/>
          <w:szCs w:val="24"/>
        </w:rPr>
        <w:t>doi:10.1016/j.tree</w:t>
      </w:r>
      <w:proofErr w:type="gramEnd"/>
      <w:r w:rsidRPr="00314098">
        <w:rPr>
          <w:rFonts w:ascii="Times New Roman" w:hAnsi="Times New Roman" w:cs="Times New Roman"/>
          <w:sz w:val="24"/>
          <w:szCs w:val="24"/>
        </w:rPr>
        <w:t>.2014.04.003</w:t>
      </w:r>
    </w:p>
    <w:p w14:paraId="505640D4"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Brandt, M., Gominski, D., Reiner, F. et al. Severe decline in large farmland trees in India over the past decade. Nat Sustain 7, 860–868. https://doi.org/10.1038/s41893-024-01356-0</w:t>
      </w:r>
    </w:p>
    <w:p w14:paraId="1801D86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Bucklin, A., Steinke, D., &amp; Blanco-</w:t>
      </w:r>
      <w:proofErr w:type="spellStart"/>
      <w:r w:rsidRPr="00314098">
        <w:rPr>
          <w:rFonts w:ascii="Times New Roman" w:hAnsi="Times New Roman" w:cs="Times New Roman"/>
          <w:sz w:val="24"/>
          <w:szCs w:val="24"/>
        </w:rPr>
        <w:t>Bercial</w:t>
      </w:r>
      <w:proofErr w:type="spellEnd"/>
      <w:r w:rsidRPr="00314098">
        <w:rPr>
          <w:rFonts w:ascii="Times New Roman" w:hAnsi="Times New Roman" w:cs="Times New Roman"/>
          <w:sz w:val="24"/>
          <w:szCs w:val="24"/>
        </w:rPr>
        <w:t xml:space="preserve">, L. (2011). DNA barcoding of marine </w:t>
      </w:r>
      <w:proofErr w:type="spellStart"/>
      <w:r w:rsidRPr="00314098">
        <w:rPr>
          <w:rFonts w:ascii="Times New Roman" w:hAnsi="Times New Roman" w:cs="Times New Roman"/>
          <w:sz w:val="24"/>
          <w:szCs w:val="24"/>
        </w:rPr>
        <w:t>metazoa</w:t>
      </w:r>
      <w:proofErr w:type="spellEnd"/>
      <w:r w:rsidRPr="00314098">
        <w:rPr>
          <w:rFonts w:ascii="Times New Roman" w:hAnsi="Times New Roman" w:cs="Times New Roman"/>
          <w:sz w:val="24"/>
          <w:szCs w:val="24"/>
        </w:rPr>
        <w:t xml:space="preserve">. </w:t>
      </w:r>
      <w:r w:rsidRPr="00314098">
        <w:rPr>
          <w:rFonts w:ascii="Times New Roman" w:hAnsi="Times New Roman" w:cs="Times New Roman"/>
          <w:i/>
          <w:iCs/>
          <w:sz w:val="24"/>
          <w:szCs w:val="24"/>
        </w:rPr>
        <w:t>Annual Review of Marine 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w:t>
      </w:r>
      <w:r w:rsidRPr="00314098">
        <w:rPr>
          <w:rFonts w:ascii="Times New Roman" w:hAnsi="Times New Roman" w:cs="Times New Roman"/>
          <w:sz w:val="24"/>
          <w:szCs w:val="24"/>
        </w:rPr>
        <w:t>, 471–508. doi:10.1146/annurev-marine-120308-080950</w:t>
      </w:r>
    </w:p>
    <w:p w14:paraId="19D8145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Callahan, B. J., McMurdie, P. J., Rosen, M. J., Han, A. W., Johnson, A. J. A., &amp; Holmes, S. P. (2016). DADA2: High-resolution sample inference from Illumina amplicon data. Nature Methods, 13(7), 581-583. </w:t>
      </w:r>
      <w:hyperlink r:id="rId12" w:history="1">
        <w:r w:rsidRPr="00314098">
          <w:rPr>
            <w:rStyle w:val="Hyperlink"/>
            <w:rFonts w:ascii="Times New Roman" w:hAnsi="Times New Roman" w:cs="Times New Roman"/>
            <w:color w:val="auto"/>
            <w:sz w:val="24"/>
            <w:szCs w:val="24"/>
          </w:rPr>
          <w:t>https://doi.org/10.1038/nmeth.3869</w:t>
        </w:r>
      </w:hyperlink>
    </w:p>
    <w:p w14:paraId="1191A33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Carlson, T., Aas, B. A., Lindner, D., </w:t>
      </w:r>
      <w:proofErr w:type="spellStart"/>
      <w:r w:rsidRPr="00314098">
        <w:rPr>
          <w:rFonts w:ascii="Times New Roman" w:hAnsi="Times New Roman" w:cs="Times New Roman"/>
          <w:sz w:val="24"/>
          <w:szCs w:val="24"/>
        </w:rPr>
        <w:t>Vrἀlstad</w:t>
      </w:r>
      <w:proofErr w:type="spellEnd"/>
      <w:r w:rsidRPr="00314098">
        <w:rPr>
          <w:rFonts w:ascii="Times New Roman" w:hAnsi="Times New Roman" w:cs="Times New Roman"/>
          <w:sz w:val="24"/>
          <w:szCs w:val="24"/>
        </w:rPr>
        <w:t xml:space="preserve">, A., Schumacher, T., &amp; </w:t>
      </w:r>
      <w:proofErr w:type="spellStart"/>
      <w:r w:rsidRPr="00314098">
        <w:rPr>
          <w:rFonts w:ascii="Times New Roman" w:hAnsi="Times New Roman" w:cs="Times New Roman"/>
          <w:sz w:val="24"/>
          <w:szCs w:val="24"/>
        </w:rPr>
        <w:t>Kauserud</w:t>
      </w:r>
      <w:proofErr w:type="spellEnd"/>
      <w:r w:rsidRPr="00314098">
        <w:rPr>
          <w:rFonts w:ascii="Times New Roman" w:hAnsi="Times New Roman" w:cs="Times New Roman"/>
          <w:sz w:val="24"/>
          <w:szCs w:val="24"/>
        </w:rPr>
        <w:t xml:space="preserve">, H. (2012). Don't make a </w:t>
      </w:r>
      <w:proofErr w:type="spellStart"/>
      <w:r w:rsidRPr="00314098">
        <w:rPr>
          <w:rFonts w:ascii="Times New Roman" w:hAnsi="Times New Roman" w:cs="Times New Roman"/>
          <w:sz w:val="24"/>
          <w:szCs w:val="24"/>
        </w:rPr>
        <w:t>mista</w:t>
      </w:r>
      <w:proofErr w:type="spellEnd"/>
      <w:r w:rsidRPr="00314098">
        <w:rPr>
          <w:rFonts w:ascii="Times New Roman" w:hAnsi="Times New Roman" w:cs="Times New Roman"/>
          <w:sz w:val="24"/>
          <w:szCs w:val="24"/>
        </w:rPr>
        <w:t>(g)</w:t>
      </w:r>
      <w:proofErr w:type="spellStart"/>
      <w:r w:rsidRPr="00314098">
        <w:rPr>
          <w:rFonts w:ascii="Times New Roman" w:hAnsi="Times New Roman" w:cs="Times New Roman"/>
          <w:sz w:val="24"/>
          <w:szCs w:val="24"/>
        </w:rPr>
        <w:t>ke</w:t>
      </w:r>
      <w:proofErr w:type="spellEnd"/>
      <w:r w:rsidRPr="00314098">
        <w:rPr>
          <w:rFonts w:ascii="Times New Roman" w:hAnsi="Times New Roman" w:cs="Times New Roman"/>
          <w:sz w:val="24"/>
          <w:szCs w:val="24"/>
        </w:rPr>
        <w:t>: Is tag switching an overlooked source of error in amplicon pyrosequencing studies? Fungal Ecology, 5, 747–749. https://doi.org/10.1016/j.funeco.2012.06.003</w:t>
      </w:r>
    </w:p>
    <w:p w14:paraId="1B2FBC71" w14:textId="77777777" w:rsidR="0028008F" w:rsidRPr="00314098" w:rsidRDefault="0028008F" w:rsidP="0060042B">
      <w:pPr>
        <w:pStyle w:val="ListParagraph"/>
        <w:numPr>
          <w:ilvl w:val="0"/>
          <w:numId w:val="4"/>
        </w:numPr>
        <w:tabs>
          <w:tab w:val="clear" w:pos="720"/>
        </w:tabs>
        <w:ind w:left="426" w:hanging="426"/>
        <w:rPr>
          <w:rFonts w:ascii="Times New Roman" w:hAnsi="Times New Roman" w:cs="Times New Roman"/>
          <w:sz w:val="24"/>
          <w:szCs w:val="24"/>
        </w:rPr>
      </w:pPr>
      <w:r w:rsidRPr="00314098">
        <w:rPr>
          <w:rFonts w:ascii="Times New Roman" w:hAnsi="Times New Roman" w:cs="Times New Roman"/>
          <w:sz w:val="24"/>
          <w:szCs w:val="24"/>
        </w:rPr>
        <w:t xml:space="preserve">Chapman, A.D. (2006). Numbers of Living Species in Australia and the World. 61pp. Canberra: Australian Biological Resources Study. ISBN (printed): 978 0 642 56849 6l ISBN (online): 978 0 642 56850 2. </w:t>
      </w:r>
    </w:p>
    <w:p w14:paraId="115D02C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bookmarkStart w:id="9" w:name="_Hlk207725456"/>
      <w:r w:rsidRPr="00314098">
        <w:rPr>
          <w:rFonts w:ascii="Times New Roman" w:hAnsi="Times New Roman" w:cs="Times New Roman"/>
          <w:sz w:val="24"/>
          <w:szCs w:val="24"/>
        </w:rPr>
        <w:t>Clare, E.L.,</w:t>
      </w:r>
      <w:bookmarkEnd w:id="9"/>
      <w:r w:rsidRPr="00314098">
        <w:rPr>
          <w:rFonts w:ascii="Times New Roman" w:hAnsi="Times New Roman" w:cs="Times New Roman"/>
          <w:sz w:val="24"/>
          <w:szCs w:val="24"/>
        </w:rPr>
        <w:t xml:space="preserve"> Economou, C.K., Faulkes, C.G., Gilbert, J.D., Bennett, F., Drinkwater, R., &amp; Littlefair, J.E. (2022). Measuring biodiversity from DNA in the air.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(3), 693–700.e5. </w:t>
      </w:r>
      <w:proofErr w:type="gramStart"/>
      <w:r w:rsidRPr="00314098">
        <w:rPr>
          <w:rFonts w:ascii="Times New Roman" w:hAnsi="Times New Roman" w:cs="Times New Roman"/>
          <w:sz w:val="24"/>
          <w:szCs w:val="24"/>
        </w:rPr>
        <w:t>doi:10.1016/j.cub</w:t>
      </w:r>
      <w:proofErr w:type="gramEnd"/>
      <w:r w:rsidRPr="00314098">
        <w:rPr>
          <w:rFonts w:ascii="Times New Roman" w:hAnsi="Times New Roman" w:cs="Times New Roman"/>
          <w:sz w:val="24"/>
          <w:szCs w:val="24"/>
        </w:rPr>
        <w:t>.2021.12.014</w:t>
      </w:r>
    </w:p>
    <w:p w14:paraId="383F9FCC"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Collins, R. A., &amp; Cruickshank, R. H. (2013). The seven deadly sins of DNA barcoding. Molecular ecology resources, 13(6), 969–975. https://doi.org/10.1111/1755-0998.12046</w:t>
      </w:r>
    </w:p>
    <w:p w14:paraId="7BE22E5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Creer, S., Deiner, K., Frey, S., </w:t>
      </w:r>
      <w:proofErr w:type="spellStart"/>
      <w:r w:rsidRPr="00314098">
        <w:rPr>
          <w:rFonts w:ascii="Times New Roman" w:hAnsi="Times New Roman" w:cs="Times New Roman"/>
          <w:sz w:val="24"/>
          <w:szCs w:val="24"/>
        </w:rPr>
        <w:t>Porazinska</w:t>
      </w:r>
      <w:proofErr w:type="spellEnd"/>
      <w:r w:rsidRPr="00314098">
        <w:rPr>
          <w:rFonts w:ascii="Times New Roman" w:hAnsi="Times New Roman" w:cs="Times New Roman"/>
          <w:sz w:val="24"/>
          <w:szCs w:val="24"/>
        </w:rPr>
        <w:t xml:space="preserve">, D.L., </w:t>
      </w: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Thomas, W.K., ... &amp; Bik, H.M. (2016). The ecologist’s field guide to sequence-based identification of biodiversity. </w:t>
      </w:r>
      <w:r w:rsidRPr="00314098">
        <w:rPr>
          <w:rFonts w:ascii="Times New Roman" w:hAnsi="Times New Roman" w:cs="Times New Roman"/>
          <w:i/>
          <w:iCs/>
          <w:sz w:val="24"/>
          <w:szCs w:val="24"/>
        </w:rPr>
        <w:t>Methods in Ecology and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7</w:t>
      </w:r>
      <w:r w:rsidRPr="00314098">
        <w:rPr>
          <w:rFonts w:ascii="Times New Roman" w:hAnsi="Times New Roman" w:cs="Times New Roman"/>
          <w:sz w:val="24"/>
          <w:szCs w:val="24"/>
        </w:rPr>
        <w:t>(9), 1008–1018. doi:10.1111/2041-210X.12574</w:t>
      </w:r>
    </w:p>
    <w:p w14:paraId="2F18F2F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Dayrat</w:t>
      </w:r>
      <w:proofErr w:type="spellEnd"/>
      <w:r w:rsidRPr="00314098">
        <w:rPr>
          <w:rFonts w:ascii="Times New Roman" w:hAnsi="Times New Roman" w:cs="Times New Roman"/>
          <w:sz w:val="24"/>
          <w:szCs w:val="24"/>
        </w:rPr>
        <w:t xml:space="preserve">, B. (2005). Towards integrative taxonomy. </w:t>
      </w:r>
      <w:r w:rsidRPr="00314098">
        <w:rPr>
          <w:rFonts w:ascii="Times New Roman" w:hAnsi="Times New Roman" w:cs="Times New Roman"/>
          <w:i/>
          <w:iCs/>
          <w:sz w:val="24"/>
          <w:szCs w:val="24"/>
        </w:rPr>
        <w:t>Biological Journal of the Linnean Society</w:t>
      </w:r>
      <w:r w:rsidRPr="00314098">
        <w:rPr>
          <w:rFonts w:ascii="Times New Roman" w:hAnsi="Times New Roman" w:cs="Times New Roman"/>
          <w:sz w:val="24"/>
          <w:szCs w:val="24"/>
        </w:rPr>
        <w:t>, 85(3), 407–415. https://doi.org/10.1111/j.1095-8312.2005.00503.x</w:t>
      </w:r>
    </w:p>
    <w:p w14:paraId="6B2E81B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Sushama, V. et al. DNA metabarcoding of spider egg sacs uncovers novel insights into host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complexes and trophic networks. Sci Rep 15, 13608 (2025). </w:t>
      </w:r>
      <w:hyperlink r:id="rId13" w:history="1">
        <w:r w:rsidRPr="00314098">
          <w:rPr>
            <w:rStyle w:val="Hyperlink"/>
            <w:rFonts w:ascii="Times New Roman" w:hAnsi="Times New Roman" w:cs="Times New Roman"/>
            <w:color w:val="auto"/>
            <w:sz w:val="24"/>
            <w:szCs w:val="24"/>
          </w:rPr>
          <w:t>https://doi.org/10.1038/s41598-025-97799-2</w:t>
        </w:r>
      </w:hyperlink>
      <w:r w:rsidRPr="00314098">
        <w:rPr>
          <w:rFonts w:ascii="Times New Roman" w:hAnsi="Times New Roman" w:cs="Times New Roman"/>
          <w:sz w:val="24"/>
          <w:szCs w:val="24"/>
        </w:rPr>
        <w:t>.</w:t>
      </w:r>
    </w:p>
    <w:p w14:paraId="72323C76"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Deiner, K., Bik, H.M., </w:t>
      </w:r>
      <w:proofErr w:type="spellStart"/>
      <w:r w:rsidRPr="00314098">
        <w:rPr>
          <w:rFonts w:ascii="Times New Roman" w:hAnsi="Times New Roman" w:cs="Times New Roman"/>
          <w:sz w:val="24"/>
          <w:szCs w:val="24"/>
        </w:rPr>
        <w:t>Mächler</w:t>
      </w:r>
      <w:proofErr w:type="spellEnd"/>
      <w:r w:rsidRPr="00314098">
        <w:rPr>
          <w:rFonts w:ascii="Times New Roman" w:hAnsi="Times New Roman" w:cs="Times New Roman"/>
          <w:sz w:val="24"/>
          <w:szCs w:val="24"/>
        </w:rPr>
        <w:t xml:space="preserve">, E., Seymour, M., </w:t>
      </w:r>
      <w:proofErr w:type="spellStart"/>
      <w:r w:rsidRPr="00314098">
        <w:rPr>
          <w:rFonts w:ascii="Times New Roman" w:hAnsi="Times New Roman" w:cs="Times New Roman"/>
          <w:sz w:val="24"/>
          <w:szCs w:val="24"/>
        </w:rPr>
        <w:t>Lacoursière</w:t>
      </w:r>
      <w:proofErr w:type="spellEnd"/>
      <w:r w:rsidRPr="00314098">
        <w:rPr>
          <w:rFonts w:ascii="Times New Roman" w:hAnsi="Times New Roman" w:cs="Times New Roman"/>
          <w:sz w:val="24"/>
          <w:szCs w:val="24"/>
        </w:rPr>
        <w:t xml:space="preserve">-Roussel, A., Altermatt, F., &amp; Bernatchez, L. (2017). Environmental DNA metabarcoding: Transforming how we survey animal and plant communities.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26</w:t>
      </w:r>
      <w:r w:rsidRPr="00314098">
        <w:rPr>
          <w:rFonts w:ascii="Times New Roman" w:hAnsi="Times New Roman" w:cs="Times New Roman"/>
          <w:sz w:val="24"/>
          <w:szCs w:val="24"/>
        </w:rPr>
        <w:t>(21), 5872–5895. doi:10.1111/mec.14350</w:t>
      </w:r>
    </w:p>
    <w:p w14:paraId="0C468111"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Dennis A Benson, Mark Cavanaugh, Karen Clark, Ilene Karsch-Mizrachi, James Ostell, Kim D Pruitt, Eric W Sayers,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Volume 46, Issue D1, 4 January 2018, Pages D41–D47, https://doi.org/10.1093/nar/gkx1094</w:t>
      </w:r>
    </w:p>
    <w:p w14:paraId="07D228F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J. R., Levesque-Beaudin, V.,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S. L., Ivanova, N. V., McKeown, J. T., </w:t>
      </w:r>
      <w:proofErr w:type="spellStart"/>
      <w:r w:rsidRPr="00314098">
        <w:rPr>
          <w:rFonts w:ascii="Times New Roman" w:hAnsi="Times New Roman" w:cs="Times New Roman"/>
          <w:sz w:val="24"/>
          <w:szCs w:val="24"/>
        </w:rPr>
        <w:t>Miskie</w:t>
      </w:r>
      <w:proofErr w:type="spellEnd"/>
      <w:r w:rsidRPr="00314098">
        <w:rPr>
          <w:rFonts w:ascii="Times New Roman" w:hAnsi="Times New Roman" w:cs="Times New Roman"/>
          <w:sz w:val="24"/>
          <w:szCs w:val="24"/>
        </w:rPr>
        <w:t xml:space="preserve">, R., Naik, S., Perez, K. H.,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Sobel, C. N., Sones, J. E., Steinke, C., Telfer, A. C., Young, A. D., Young, M. R., Zakharov, E. V., &amp; Hebert, P. D. N. (2019). </w:t>
      </w:r>
      <w:r w:rsidRPr="00314098">
        <w:rPr>
          <w:rFonts w:ascii="Times New Roman" w:hAnsi="Times New Roman" w:cs="Times New Roman"/>
          <w:sz w:val="24"/>
          <w:szCs w:val="24"/>
        </w:rPr>
        <w:lastRenderedPageBreak/>
        <w:t>Expedited assessment of terrestrial arthropod diversity by coupling Malaise traps with DNA barcoding. Genome, 62(3), 85–95. https://doi.org/10.1139/gen-2018-0093</w:t>
      </w:r>
    </w:p>
    <w:p w14:paraId="24796F22"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Dirzo, R., Young, H.S., Galetti, M., Ceballos, G., Isaac, N.J.B., &amp; Collen, B. (2014). Defaunation in the Anthropocene.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345</w:t>
      </w:r>
      <w:r w:rsidRPr="00314098">
        <w:rPr>
          <w:rFonts w:ascii="Times New Roman" w:hAnsi="Times New Roman" w:cs="Times New Roman"/>
          <w:sz w:val="24"/>
          <w:szCs w:val="24"/>
        </w:rPr>
        <w:t>(6195), 401–406. doi:10.1126/science.1251817</w:t>
      </w:r>
    </w:p>
    <w:p w14:paraId="61A92D1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Edgar, R. C., Haas, B. J., Clemente, J. C., Quince, C., &amp; Knight, R. (2011). UCHIME improves sensitivity and speed of chimera detection. </w:t>
      </w:r>
      <w:r w:rsidRPr="00314098">
        <w:rPr>
          <w:rFonts w:ascii="Times New Roman" w:hAnsi="Times New Roman" w:cs="Times New Roman"/>
          <w:i/>
          <w:iCs/>
          <w:sz w:val="24"/>
          <w:szCs w:val="24"/>
        </w:rPr>
        <w:t>Bioinformatics</w:t>
      </w:r>
      <w:r w:rsidRPr="00314098">
        <w:rPr>
          <w:rFonts w:ascii="Times New Roman" w:hAnsi="Times New Roman" w:cs="Times New Roman"/>
          <w:sz w:val="24"/>
          <w:szCs w:val="24"/>
        </w:rPr>
        <w:t>, 27(16), 2194–2200. https://doi.org/10.1093/bioinformatics/btr381</w:t>
      </w:r>
    </w:p>
    <w:p w14:paraId="3232A41E"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Elbrecht, V., &amp; Leese, F. (2017). Validation and development of COI metabarcoding primers for freshwater macroinvertebrate bioassessment. Frontiers in Environmental Science, 5, 11. https://doi.org/10.3389/fenvs.2017.00011</w:t>
      </w:r>
    </w:p>
    <w:p w14:paraId="5BCEDC8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Flanders, J. R., Furey, N. B., Sheffield, S. R., et al. (2022). DNA metabarcoding reveals bats consume diverse agricultural pests across landscapes, highlighting their pest suppression services.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31</w:t>
      </w:r>
      <w:r w:rsidRPr="00314098">
        <w:rPr>
          <w:rFonts w:ascii="Times New Roman" w:hAnsi="Times New Roman" w:cs="Times New Roman"/>
          <w:sz w:val="24"/>
          <w:szCs w:val="24"/>
        </w:rPr>
        <w:t>(8), 2321–2335. doi:10.1111/mec.16438.</w:t>
      </w:r>
    </w:p>
    <w:p w14:paraId="29EFFC4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Folmer, O., Black, M., Hoeh, W., Lutz, R., &amp; </w:t>
      </w:r>
      <w:proofErr w:type="spellStart"/>
      <w:r w:rsidRPr="00314098">
        <w:rPr>
          <w:rFonts w:ascii="Times New Roman" w:hAnsi="Times New Roman" w:cs="Times New Roman"/>
          <w:sz w:val="24"/>
          <w:szCs w:val="24"/>
        </w:rPr>
        <w:t>Vrijenhoek</w:t>
      </w:r>
      <w:proofErr w:type="spellEnd"/>
      <w:r w:rsidRPr="00314098">
        <w:rPr>
          <w:rFonts w:ascii="Times New Roman" w:hAnsi="Times New Roman" w:cs="Times New Roman"/>
          <w:sz w:val="24"/>
          <w:szCs w:val="24"/>
        </w:rPr>
        <w:t xml:space="preserve">, R. (1994). DNA primers for amplification of mitochondrial cytochrome c oxidase subunit I from diverse metazoan invertebrates. </w:t>
      </w:r>
      <w:proofErr w:type="spellStart"/>
      <w:r w:rsidRPr="00314098">
        <w:rPr>
          <w:rFonts w:ascii="Times New Roman" w:hAnsi="Times New Roman" w:cs="Times New Roman"/>
          <w:i/>
          <w:iCs/>
          <w:sz w:val="24"/>
          <w:szCs w:val="24"/>
        </w:rPr>
        <w:t>Moleelcular</w:t>
      </w:r>
      <w:proofErr w:type="spellEnd"/>
      <w:r w:rsidRPr="00314098">
        <w:rPr>
          <w:rFonts w:ascii="Times New Roman" w:hAnsi="Times New Roman" w:cs="Times New Roman"/>
          <w:i/>
          <w:iCs/>
          <w:sz w:val="24"/>
          <w:szCs w:val="24"/>
        </w:rPr>
        <w:t xml:space="preserve"> Marine Biology and Biotechnology</w:t>
      </w:r>
      <w:r w:rsidRPr="00314098">
        <w:rPr>
          <w:rFonts w:ascii="Times New Roman" w:hAnsi="Times New Roman" w:cs="Times New Roman"/>
          <w:sz w:val="24"/>
          <w:szCs w:val="24"/>
        </w:rPr>
        <w:t>, 3(5), 294-299.</w:t>
      </w:r>
    </w:p>
    <w:p w14:paraId="76AD9DE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Gaikwad, S. S., Ghate, H. V., Ghaskadbi, S. S., Patole, M. S., &amp;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Y. S. (2012). DNA barcoding of nymphalid butterflies (</w:t>
      </w:r>
      <w:proofErr w:type="spellStart"/>
      <w:r w:rsidRPr="00314098">
        <w:rPr>
          <w:rFonts w:ascii="Times New Roman" w:hAnsi="Times New Roman" w:cs="Times New Roman"/>
          <w:sz w:val="24"/>
          <w:szCs w:val="24"/>
        </w:rPr>
        <w:t>Nymphalidae</w:t>
      </w:r>
      <w:proofErr w:type="spellEnd"/>
      <w:r w:rsidRPr="00314098">
        <w:rPr>
          <w:rFonts w:ascii="Times New Roman" w:hAnsi="Times New Roman" w:cs="Times New Roman"/>
          <w:sz w:val="24"/>
          <w:szCs w:val="24"/>
        </w:rPr>
        <w:t xml:space="preserve">: Lepidoptera) from Western Ghats of India. </w:t>
      </w:r>
      <w:r w:rsidRPr="00314098">
        <w:rPr>
          <w:rStyle w:val="Emphasis"/>
          <w:rFonts w:ascii="Times New Roman" w:hAnsi="Times New Roman" w:cs="Times New Roman"/>
          <w:sz w:val="24"/>
          <w:szCs w:val="24"/>
        </w:rPr>
        <w:t>Molecular Biology Reports</w:t>
      </w:r>
      <w:r w:rsidRPr="00314098">
        <w:rPr>
          <w:rFonts w:ascii="Times New Roman" w:hAnsi="Times New Roman" w:cs="Times New Roman"/>
          <w:sz w:val="24"/>
          <w:szCs w:val="24"/>
        </w:rPr>
        <w:t xml:space="preserve">, 39, 2375–2383. </w:t>
      </w:r>
      <w:hyperlink r:id="rId14" w:history="1">
        <w:r w:rsidRPr="00314098">
          <w:rPr>
            <w:rStyle w:val="Hyperlink"/>
            <w:rFonts w:ascii="Times New Roman" w:hAnsi="Times New Roman" w:cs="Times New Roman"/>
            <w:color w:val="auto"/>
            <w:sz w:val="24"/>
            <w:szCs w:val="24"/>
          </w:rPr>
          <w:t>https://doi.org/10.1007/s11033-011-0988-7</w:t>
        </w:r>
      </w:hyperlink>
      <w:r w:rsidRPr="00314098">
        <w:rPr>
          <w:rFonts w:ascii="Times New Roman" w:hAnsi="Times New Roman" w:cs="Times New Roman"/>
          <w:sz w:val="24"/>
          <w:szCs w:val="24"/>
        </w:rPr>
        <w:t>.</w:t>
      </w:r>
    </w:p>
    <w:p w14:paraId="7D8ED77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Geller, J., Meyer, C., Parker, M., &amp; Hawk, H. (2013). Redesign of PCR primers for mitochondrial COI of marine invertebrates and application in all-taxa biotic surveys.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13(5), 851-861.</w:t>
      </w:r>
    </w:p>
    <w:p w14:paraId="6BEDE84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Gibson, J. F., </w:t>
      </w: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Porter, T. M., et al. (2014). Simultaneous assessment of the </w:t>
      </w:r>
      <w:proofErr w:type="spellStart"/>
      <w:r w:rsidRPr="00314098">
        <w:rPr>
          <w:rFonts w:ascii="Times New Roman" w:hAnsi="Times New Roman" w:cs="Times New Roman"/>
          <w:sz w:val="24"/>
          <w:szCs w:val="24"/>
        </w:rPr>
        <w:t>macrobiome</w:t>
      </w:r>
      <w:proofErr w:type="spellEnd"/>
      <w:r w:rsidRPr="00314098">
        <w:rPr>
          <w:rFonts w:ascii="Times New Roman" w:hAnsi="Times New Roman" w:cs="Times New Roman"/>
          <w:sz w:val="24"/>
          <w:szCs w:val="24"/>
        </w:rPr>
        <w:t xml:space="preserve"> and microbiome in a bulk arthropod sample: The value of metabarcoding. </w:t>
      </w:r>
      <w:proofErr w:type="spellStart"/>
      <w:r w:rsidRPr="00314098">
        <w:rPr>
          <w:rFonts w:ascii="Times New Roman" w:hAnsi="Times New Roman" w:cs="Times New Roman"/>
          <w:i/>
          <w:iCs/>
          <w:sz w:val="24"/>
          <w:szCs w:val="24"/>
        </w:rPr>
        <w:t>PeerJ</w:t>
      </w:r>
      <w:proofErr w:type="spellEnd"/>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w:t>
      </w:r>
      <w:r w:rsidRPr="00314098">
        <w:rPr>
          <w:rFonts w:ascii="Times New Roman" w:hAnsi="Times New Roman" w:cs="Times New Roman"/>
          <w:sz w:val="24"/>
          <w:szCs w:val="24"/>
        </w:rPr>
        <w:t>, e616. doi:10.7717/peerj.616</w:t>
      </w:r>
    </w:p>
    <w:p w14:paraId="20F5784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Gupta, D., Bhunia, D., Ahrens, D., &amp; Chandra, K. (2025). New species and records of </w:t>
      </w:r>
      <w:proofErr w:type="spellStart"/>
      <w:r w:rsidRPr="00314098">
        <w:rPr>
          <w:rFonts w:ascii="Times New Roman" w:hAnsi="Times New Roman" w:cs="Times New Roman"/>
          <w:sz w:val="24"/>
          <w:szCs w:val="24"/>
        </w:rPr>
        <w:t>Sericinae</w:t>
      </w:r>
      <w:proofErr w:type="spellEnd"/>
      <w:r w:rsidRPr="00314098">
        <w:rPr>
          <w:rFonts w:ascii="Times New Roman" w:hAnsi="Times New Roman" w:cs="Times New Roman"/>
          <w:sz w:val="24"/>
          <w:szCs w:val="24"/>
        </w:rPr>
        <w:t xml:space="preserve"> from India and Nepal (Coleoptera: </w:t>
      </w:r>
      <w:proofErr w:type="spellStart"/>
      <w:r w:rsidRPr="00314098">
        <w:rPr>
          <w:rFonts w:ascii="Times New Roman" w:hAnsi="Times New Roman" w:cs="Times New Roman"/>
          <w:sz w:val="24"/>
          <w:szCs w:val="24"/>
        </w:rPr>
        <w:t>Scarabaeidae</w:t>
      </w:r>
      <w:proofErr w:type="spellEnd"/>
      <w:r w:rsidRPr="00314098">
        <w:rPr>
          <w:rFonts w:ascii="Times New Roman" w:hAnsi="Times New Roman" w:cs="Times New Roman"/>
          <w:sz w:val="24"/>
          <w:szCs w:val="24"/>
        </w:rPr>
        <w:t xml:space="preserve">). </w:t>
      </w:r>
      <w:proofErr w:type="spellStart"/>
      <w:r w:rsidRPr="00314098">
        <w:rPr>
          <w:rFonts w:ascii="Times New Roman" w:hAnsi="Times New Roman" w:cs="Times New Roman"/>
          <w:i/>
          <w:iCs/>
          <w:sz w:val="24"/>
          <w:szCs w:val="24"/>
        </w:rPr>
        <w:t>Zootaxa</w:t>
      </w:r>
      <w:proofErr w:type="spellEnd"/>
      <w:r w:rsidRPr="00314098">
        <w:rPr>
          <w:rFonts w:ascii="Times New Roman" w:hAnsi="Times New Roman" w:cs="Times New Roman"/>
          <w:sz w:val="24"/>
          <w:szCs w:val="24"/>
        </w:rPr>
        <w:t xml:space="preserve">, 5613(2), 371–385. </w:t>
      </w:r>
      <w:hyperlink r:id="rId15" w:history="1">
        <w:r w:rsidRPr="00314098">
          <w:rPr>
            <w:rStyle w:val="Hyperlink"/>
            <w:rFonts w:ascii="Times New Roman" w:hAnsi="Times New Roman" w:cs="Times New Roman"/>
            <w:color w:val="auto"/>
            <w:sz w:val="24"/>
            <w:szCs w:val="24"/>
          </w:rPr>
          <w:t>https://doi.org/10.11646/zootaxa.5613.2.11</w:t>
        </w:r>
      </w:hyperlink>
      <w:r w:rsidRPr="00314098">
        <w:rPr>
          <w:rFonts w:ascii="Times New Roman" w:hAnsi="Times New Roman" w:cs="Times New Roman"/>
          <w:sz w:val="24"/>
          <w:szCs w:val="24"/>
        </w:rPr>
        <w:t>.</w:t>
      </w:r>
    </w:p>
    <w:p w14:paraId="0413754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Hajibabaei, M., Singer, G.A., Hebert, P.D., &amp; Hickey, D.A. (2007). DNA barcoding: how it complements taxonomy, molecular phylogenetics and population genetics. </w:t>
      </w:r>
      <w:r w:rsidRPr="00314098">
        <w:rPr>
          <w:rFonts w:ascii="Times New Roman" w:hAnsi="Times New Roman" w:cs="Times New Roman"/>
          <w:i/>
          <w:iCs/>
          <w:sz w:val="24"/>
          <w:szCs w:val="24"/>
        </w:rPr>
        <w:t>Trends in Genetics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23</w:t>
      </w:r>
      <w:r w:rsidRPr="00314098">
        <w:rPr>
          <w:rFonts w:ascii="Times New Roman" w:hAnsi="Times New Roman" w:cs="Times New Roman"/>
          <w:sz w:val="24"/>
          <w:szCs w:val="24"/>
        </w:rPr>
        <w:t xml:space="preserve">(4), 167–172. </w:t>
      </w:r>
      <w:proofErr w:type="gramStart"/>
      <w:r w:rsidRPr="00314098">
        <w:rPr>
          <w:rFonts w:ascii="Times New Roman" w:hAnsi="Times New Roman" w:cs="Times New Roman"/>
          <w:sz w:val="24"/>
          <w:szCs w:val="24"/>
        </w:rPr>
        <w:t>doi:10.1016/j.tig</w:t>
      </w:r>
      <w:proofErr w:type="gramEnd"/>
      <w:r w:rsidRPr="00314098">
        <w:rPr>
          <w:rFonts w:ascii="Times New Roman" w:hAnsi="Times New Roman" w:cs="Times New Roman"/>
          <w:sz w:val="24"/>
          <w:szCs w:val="24"/>
        </w:rPr>
        <w:t>.2007.02.001</w:t>
      </w:r>
    </w:p>
    <w:p w14:paraId="79874E47"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Hallmann, C.A., Sorg, M., </w:t>
      </w:r>
      <w:proofErr w:type="spellStart"/>
      <w:r w:rsidRPr="00314098">
        <w:rPr>
          <w:rFonts w:ascii="Times New Roman" w:hAnsi="Times New Roman" w:cs="Times New Roman"/>
          <w:sz w:val="24"/>
          <w:szCs w:val="24"/>
        </w:rPr>
        <w:t>Jongejans</w:t>
      </w:r>
      <w:proofErr w:type="spellEnd"/>
      <w:r w:rsidRPr="00314098">
        <w:rPr>
          <w:rFonts w:ascii="Times New Roman" w:hAnsi="Times New Roman" w:cs="Times New Roman"/>
          <w:sz w:val="24"/>
          <w:szCs w:val="24"/>
        </w:rPr>
        <w:t xml:space="preserve">, E., </w:t>
      </w:r>
      <w:proofErr w:type="spellStart"/>
      <w:r w:rsidRPr="00314098">
        <w:rPr>
          <w:rFonts w:ascii="Times New Roman" w:hAnsi="Times New Roman" w:cs="Times New Roman"/>
          <w:sz w:val="24"/>
          <w:szCs w:val="24"/>
        </w:rPr>
        <w:t>Siepel</w:t>
      </w:r>
      <w:proofErr w:type="spellEnd"/>
      <w:r w:rsidRPr="00314098">
        <w:rPr>
          <w:rFonts w:ascii="Times New Roman" w:hAnsi="Times New Roman" w:cs="Times New Roman"/>
          <w:sz w:val="24"/>
          <w:szCs w:val="24"/>
        </w:rPr>
        <w:t xml:space="preserve">, H., Hofland, N., Schwan, H., ... &amp; de Kroon, H. (2017). More than 75 percent decline over 27 years in total flying insect biomass in protected areas.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12</w:t>
      </w:r>
      <w:r w:rsidRPr="00314098">
        <w:rPr>
          <w:rFonts w:ascii="Times New Roman" w:hAnsi="Times New Roman" w:cs="Times New Roman"/>
          <w:sz w:val="24"/>
          <w:szCs w:val="24"/>
        </w:rPr>
        <w:t xml:space="preserve">(10): e0185809. </w:t>
      </w:r>
      <w:proofErr w:type="gramStart"/>
      <w:r w:rsidRPr="00314098">
        <w:rPr>
          <w:rFonts w:ascii="Times New Roman" w:hAnsi="Times New Roman" w:cs="Times New Roman"/>
          <w:sz w:val="24"/>
          <w:szCs w:val="24"/>
        </w:rPr>
        <w:t>doi:10.1371/journal.pone</w:t>
      </w:r>
      <w:proofErr w:type="gramEnd"/>
      <w:r w:rsidRPr="00314098">
        <w:rPr>
          <w:rFonts w:ascii="Times New Roman" w:hAnsi="Times New Roman" w:cs="Times New Roman"/>
          <w:sz w:val="24"/>
          <w:szCs w:val="24"/>
        </w:rPr>
        <w:t>.0185809</w:t>
      </w:r>
    </w:p>
    <w:p w14:paraId="56D2F50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Hebert, P.D.N., </w:t>
      </w:r>
      <w:proofErr w:type="spellStart"/>
      <w:r w:rsidRPr="00314098">
        <w:rPr>
          <w:rFonts w:ascii="Times New Roman" w:hAnsi="Times New Roman" w:cs="Times New Roman"/>
          <w:sz w:val="24"/>
          <w:szCs w:val="24"/>
        </w:rPr>
        <w:t>Cywinska</w:t>
      </w:r>
      <w:proofErr w:type="spellEnd"/>
      <w:r w:rsidRPr="00314098">
        <w:rPr>
          <w:rFonts w:ascii="Times New Roman" w:hAnsi="Times New Roman" w:cs="Times New Roman"/>
          <w:sz w:val="24"/>
          <w:szCs w:val="24"/>
        </w:rPr>
        <w:t xml:space="preserve">, A., Ball, S.L., &amp;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J.R. (2003). Biological identifications through DNA barcodes. </w:t>
      </w:r>
      <w:r w:rsidRPr="00314098">
        <w:rPr>
          <w:rFonts w:ascii="Times New Roman" w:hAnsi="Times New Roman" w:cs="Times New Roman"/>
          <w:i/>
          <w:iCs/>
          <w:sz w:val="24"/>
          <w:szCs w:val="24"/>
        </w:rPr>
        <w:t>Proceedings of the Royal Society B: Biological Sciences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270</w:t>
      </w:r>
      <w:r w:rsidRPr="00314098">
        <w:rPr>
          <w:rFonts w:ascii="Times New Roman" w:hAnsi="Times New Roman" w:cs="Times New Roman"/>
          <w:sz w:val="24"/>
          <w:szCs w:val="24"/>
        </w:rPr>
        <w:t>(1512), 313–321. doi:10.1098/rspb.2002.2218</w:t>
      </w:r>
    </w:p>
    <w:p w14:paraId="760FC5E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Pedley, S. M., Edwards, D. P., Tang, Y., Nakamura, A., … Yu, D. 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16(10), 1245-1257. https://doi.org/10.1111/ele.12162</w:t>
      </w:r>
    </w:p>
    <w:p w14:paraId="5628AC2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Pedley, S.M., Edwards, D.P., Tang, Y., Nakamura, A., ... &amp; Yu, D.W.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16</w:t>
      </w:r>
      <w:r w:rsidRPr="00314098">
        <w:rPr>
          <w:rFonts w:ascii="Times New Roman" w:hAnsi="Times New Roman" w:cs="Times New Roman"/>
          <w:sz w:val="24"/>
          <w:szCs w:val="24"/>
        </w:rPr>
        <w:t>(10), 1245–1257. doi:10.1111/ele.12162</w:t>
      </w:r>
    </w:p>
    <w:p w14:paraId="7162121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Kaur, H., &amp; Sharma, K. (2016). COI-based DNA barcoding of some species of Pentatomidae from North India (Hemiptera: Heteroptera). </w:t>
      </w:r>
      <w:r w:rsidRPr="00314098">
        <w:rPr>
          <w:rFonts w:ascii="Times New Roman" w:hAnsi="Times New Roman" w:cs="Times New Roman"/>
          <w:i/>
          <w:iCs/>
          <w:sz w:val="24"/>
          <w:szCs w:val="24"/>
        </w:rPr>
        <w:t>Mitochondrial DNA Part A</w:t>
      </w:r>
      <w:r w:rsidRPr="00314098">
        <w:rPr>
          <w:rFonts w:ascii="Times New Roman" w:hAnsi="Times New Roman" w:cs="Times New Roman"/>
          <w:sz w:val="24"/>
          <w:szCs w:val="24"/>
        </w:rPr>
        <w:t xml:space="preserve">, 28(5), 756–761. </w:t>
      </w:r>
      <w:hyperlink r:id="rId16" w:history="1">
        <w:r w:rsidRPr="00314098">
          <w:rPr>
            <w:rStyle w:val="Hyperlink"/>
            <w:rFonts w:ascii="Times New Roman" w:hAnsi="Times New Roman" w:cs="Times New Roman"/>
            <w:color w:val="auto"/>
            <w:sz w:val="24"/>
            <w:szCs w:val="24"/>
          </w:rPr>
          <w:t>https://doi.org/10.1080/24701394.2016.1180513</w:t>
        </w:r>
      </w:hyperlink>
      <w:r w:rsidRPr="00314098">
        <w:rPr>
          <w:rFonts w:ascii="Times New Roman" w:hAnsi="Times New Roman" w:cs="Times New Roman"/>
          <w:sz w:val="24"/>
          <w:szCs w:val="24"/>
        </w:rPr>
        <w:t>.</w:t>
      </w:r>
    </w:p>
    <w:p w14:paraId="5A5CCA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Kirse, A., </w:t>
      </w:r>
      <w:proofErr w:type="spellStart"/>
      <w:r w:rsidRPr="00314098">
        <w:rPr>
          <w:rFonts w:ascii="Times New Roman" w:hAnsi="Times New Roman" w:cs="Times New Roman"/>
          <w:sz w:val="24"/>
          <w:szCs w:val="24"/>
        </w:rPr>
        <w:t>Bourlat</w:t>
      </w:r>
      <w:proofErr w:type="spellEnd"/>
      <w:r w:rsidRPr="00314098">
        <w:rPr>
          <w:rFonts w:ascii="Times New Roman" w:hAnsi="Times New Roman" w:cs="Times New Roman"/>
          <w:sz w:val="24"/>
          <w:szCs w:val="24"/>
        </w:rPr>
        <w:t xml:space="preserve">, S. J., Langen, K., &amp; Fonseca, V. G. (2021). Metabarcoding Malaise traps and soil eDNA reveals seasonal and local arthropod diversity shifts.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11</w:t>
      </w:r>
      <w:r w:rsidRPr="00314098">
        <w:rPr>
          <w:rFonts w:ascii="Times New Roman" w:hAnsi="Times New Roman" w:cs="Times New Roman"/>
          <w:sz w:val="24"/>
          <w:szCs w:val="24"/>
        </w:rPr>
        <w:t>, 10498. doi:10.1038/s41598-021-89950-6</w:t>
      </w:r>
    </w:p>
    <w:p w14:paraId="34DA41C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shd w:val="clear" w:color="auto" w:fill="FFFFFF"/>
        </w:rPr>
      </w:pPr>
      <w:r w:rsidRPr="00314098">
        <w:rPr>
          <w:rFonts w:ascii="Times New Roman" w:hAnsi="Times New Roman" w:cs="Times New Roman"/>
          <w:sz w:val="24"/>
          <w:szCs w:val="24"/>
          <w:shd w:val="clear" w:color="auto" w:fill="FFFFFF"/>
        </w:rPr>
        <w:t xml:space="preserve">Kumar, N. P., Rajavel, A. R., Natarajan, R., &amp; </w:t>
      </w:r>
      <w:proofErr w:type="spellStart"/>
      <w:r w:rsidRPr="00314098">
        <w:rPr>
          <w:rFonts w:ascii="Times New Roman" w:hAnsi="Times New Roman" w:cs="Times New Roman"/>
          <w:sz w:val="24"/>
          <w:szCs w:val="24"/>
          <w:shd w:val="clear" w:color="auto" w:fill="FFFFFF"/>
        </w:rPr>
        <w:t>Jambulingam</w:t>
      </w:r>
      <w:proofErr w:type="spellEnd"/>
      <w:r w:rsidRPr="00314098">
        <w:rPr>
          <w:rFonts w:ascii="Times New Roman" w:hAnsi="Times New Roman" w:cs="Times New Roman"/>
          <w:sz w:val="24"/>
          <w:szCs w:val="24"/>
          <w:shd w:val="clear" w:color="auto" w:fill="FFFFFF"/>
        </w:rPr>
        <w:t>, P. (2007). DNA barcodes can distinguish species of Indian mosquitoes (Diptera: Culicidae). </w:t>
      </w:r>
      <w:r w:rsidRPr="00314098">
        <w:rPr>
          <w:rFonts w:ascii="Times New Roman" w:hAnsi="Times New Roman" w:cs="Times New Roman"/>
          <w:i/>
          <w:iCs/>
          <w:sz w:val="24"/>
          <w:szCs w:val="24"/>
          <w:shd w:val="clear" w:color="auto" w:fill="FFFFFF"/>
        </w:rPr>
        <w:t>Journal of medical entomology</w:t>
      </w:r>
      <w:r w:rsidRPr="00314098">
        <w:rPr>
          <w:rFonts w:ascii="Times New Roman" w:hAnsi="Times New Roman" w:cs="Times New Roman"/>
          <w:sz w:val="24"/>
          <w:szCs w:val="24"/>
          <w:shd w:val="clear" w:color="auto" w:fill="FFFFFF"/>
        </w:rPr>
        <w:t xml:space="preserve">, 77, 1–7. </w:t>
      </w:r>
    </w:p>
    <w:p w14:paraId="341A1A9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Leray, M., Yang, J.Y., Meyer, C.P. et al. A new versatile primer set targeting a short fragment of the mitochondrial COI region for metabarcoding metazoan diversity: application for characterizing coral reef fish gut contents. </w:t>
      </w:r>
      <w:r w:rsidRPr="00314098">
        <w:rPr>
          <w:rFonts w:ascii="Times New Roman" w:hAnsi="Times New Roman" w:cs="Times New Roman"/>
          <w:i/>
          <w:iCs/>
          <w:sz w:val="24"/>
          <w:szCs w:val="24"/>
        </w:rPr>
        <w:t xml:space="preserve">Frontiers in Zoology. </w:t>
      </w:r>
      <w:r w:rsidRPr="00314098">
        <w:rPr>
          <w:rFonts w:ascii="Times New Roman" w:hAnsi="Times New Roman" w:cs="Times New Roman"/>
          <w:sz w:val="24"/>
          <w:szCs w:val="24"/>
        </w:rPr>
        <w:t>10, 34 (2013). https://doi.org/10.1186/1742-9994-10-34.</w:t>
      </w:r>
    </w:p>
    <w:p w14:paraId="687B5F55"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Li M, Lei T, Wang G, Zhang D, Liu H, Zhang Z. (2023). Monitoring insect biodiversity and comparison of sampling strategies using metabarcoding: A case study in the </w:t>
      </w:r>
      <w:proofErr w:type="spellStart"/>
      <w:r w:rsidRPr="00314098">
        <w:rPr>
          <w:rFonts w:ascii="Times New Roman" w:hAnsi="Times New Roman" w:cs="Times New Roman"/>
          <w:sz w:val="24"/>
          <w:szCs w:val="24"/>
        </w:rPr>
        <w:t>Yanshan</w:t>
      </w:r>
      <w:proofErr w:type="spellEnd"/>
      <w:r w:rsidRPr="00314098">
        <w:rPr>
          <w:rFonts w:ascii="Times New Roman" w:hAnsi="Times New Roman" w:cs="Times New Roman"/>
          <w:sz w:val="24"/>
          <w:szCs w:val="24"/>
        </w:rPr>
        <w:t xml:space="preserve"> Mountains, China. </w:t>
      </w:r>
      <w:proofErr w:type="spellStart"/>
      <w:r w:rsidRPr="00314098">
        <w:rPr>
          <w:rFonts w:ascii="Times New Roman" w:hAnsi="Times New Roman" w:cs="Times New Roman"/>
          <w:sz w:val="24"/>
          <w:szCs w:val="24"/>
        </w:rPr>
        <w:t>Ecol</w:t>
      </w:r>
      <w:proofErr w:type="spellEnd"/>
      <w:r w:rsidRPr="00314098">
        <w:rPr>
          <w:rFonts w:ascii="Times New Roman" w:hAnsi="Times New Roman" w:cs="Times New Roman"/>
          <w:sz w:val="24"/>
          <w:szCs w:val="24"/>
        </w:rPr>
        <w:t xml:space="preserve"> Evol. Apr 21;13(4</w:t>
      </w:r>
      <w:proofErr w:type="gramStart"/>
      <w:r w:rsidRPr="00314098">
        <w:rPr>
          <w:rFonts w:ascii="Times New Roman" w:hAnsi="Times New Roman" w:cs="Times New Roman"/>
          <w:sz w:val="24"/>
          <w:szCs w:val="24"/>
        </w:rPr>
        <w:t>):e</w:t>
      </w:r>
      <w:proofErr w:type="gramEnd"/>
      <w:r w:rsidRPr="00314098">
        <w:rPr>
          <w:rFonts w:ascii="Times New Roman" w:hAnsi="Times New Roman" w:cs="Times New Roman"/>
          <w:sz w:val="24"/>
          <w:szCs w:val="24"/>
        </w:rPr>
        <w:t xml:space="preserve">10031.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10.1002/ece3.10031. </w:t>
      </w:r>
    </w:p>
    <w:p w14:paraId="60053477"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72734F">
        <w:rPr>
          <w:rFonts w:ascii="Times New Roman" w:hAnsi="Times New Roman" w:cs="Times New Roman"/>
          <w:sz w:val="24"/>
          <w:szCs w:val="24"/>
          <w:lang w:val="it-IT"/>
        </w:rPr>
        <w:t xml:space="preserve">Lunghi, E., Valle, B., Guerrieri, A., Bonin, A., Cianferoni, F., Manenti, R., &amp; Ficetola, G. F. (2022). </w:t>
      </w:r>
      <w:r w:rsidRPr="00314098">
        <w:rPr>
          <w:rFonts w:ascii="Times New Roman" w:hAnsi="Times New Roman" w:cs="Times New Roman"/>
          <w:sz w:val="24"/>
          <w:szCs w:val="24"/>
        </w:rPr>
        <w:t>Environmental DNA of insects and springtails from caves reveals complex processes of eDNA transfer in soils. The Science of the total environment, 826, 154022. https://doi.org/10.1016/j.scitotenv.2022.154022</w:t>
      </w:r>
    </w:p>
    <w:p w14:paraId="42BAAB59"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Lynggaard, C., Bertelsen, M.F., Jensen, C.V., Johnson, M.S., Frøslev, T.G., Olsen, M.T., ... &amp; Bohmann, K. (2022). Airborne environmental DNA for terrestrial vertebrate community monitoring.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(3), 701–707.e5. </w:t>
      </w:r>
      <w:proofErr w:type="gramStart"/>
      <w:r w:rsidRPr="00314098">
        <w:rPr>
          <w:rFonts w:ascii="Times New Roman" w:hAnsi="Times New Roman" w:cs="Times New Roman"/>
          <w:sz w:val="24"/>
          <w:szCs w:val="24"/>
        </w:rPr>
        <w:t>doi:10.1016/j.cub</w:t>
      </w:r>
      <w:proofErr w:type="gramEnd"/>
      <w:r w:rsidRPr="00314098">
        <w:rPr>
          <w:rFonts w:ascii="Times New Roman" w:hAnsi="Times New Roman" w:cs="Times New Roman"/>
          <w:sz w:val="24"/>
          <w:szCs w:val="24"/>
        </w:rPr>
        <w:t>.2021.12.014</w:t>
      </w:r>
    </w:p>
    <w:p w14:paraId="0E4C4150"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Meier, R., </w:t>
      </w:r>
      <w:proofErr w:type="spellStart"/>
      <w:r w:rsidRPr="00314098">
        <w:rPr>
          <w:rFonts w:ascii="Times New Roman" w:hAnsi="Times New Roman" w:cs="Times New Roman"/>
          <w:sz w:val="24"/>
          <w:szCs w:val="24"/>
        </w:rPr>
        <w:t>Shiyang</w:t>
      </w:r>
      <w:proofErr w:type="spellEnd"/>
      <w:r w:rsidRPr="00314098">
        <w:rPr>
          <w:rFonts w:ascii="Times New Roman" w:hAnsi="Times New Roman" w:cs="Times New Roman"/>
          <w:sz w:val="24"/>
          <w:szCs w:val="24"/>
        </w:rPr>
        <w:t xml:space="preserve">, K., Vaidya, G., &amp; Ng, P.K.L. (2006). DNA barcoding and taxonomy in Diptera: a tale of high intraspecific variability and low identification success.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55</w:t>
      </w:r>
      <w:r w:rsidRPr="00314098">
        <w:rPr>
          <w:rFonts w:ascii="Times New Roman" w:hAnsi="Times New Roman" w:cs="Times New Roman"/>
          <w:sz w:val="24"/>
          <w:szCs w:val="24"/>
        </w:rPr>
        <w:t>(5), 715–728. doi:10.1080/10635150600969811</w:t>
      </w:r>
    </w:p>
    <w:p w14:paraId="1E72549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Meusnier, I., Singer, G. A. C., Landry, J.-F., Hickey, D. A., Hebert, P. D. N.,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(2008). A universal DNA mini-barcode for biodiversity analysis. </w:t>
      </w:r>
      <w:r w:rsidRPr="00314098">
        <w:rPr>
          <w:rFonts w:ascii="Times New Roman" w:hAnsi="Times New Roman" w:cs="Times New Roman"/>
          <w:i/>
          <w:iCs/>
          <w:sz w:val="24"/>
          <w:szCs w:val="24"/>
        </w:rPr>
        <w:t>BMC Genomics</w:t>
      </w:r>
      <w:r w:rsidRPr="00314098">
        <w:rPr>
          <w:rFonts w:ascii="Times New Roman" w:hAnsi="Times New Roman" w:cs="Times New Roman"/>
          <w:sz w:val="24"/>
          <w:szCs w:val="24"/>
        </w:rPr>
        <w:t>, 9, 214.</w:t>
      </w:r>
    </w:p>
    <w:p w14:paraId="2323ACA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Monckton S.K., S. Johal, and L. Packer. (2020). Inadequate treatment of taxonomic information prevents replicability of most zoological research. </w:t>
      </w:r>
      <w:r w:rsidRPr="00314098">
        <w:rPr>
          <w:rFonts w:ascii="Times New Roman" w:hAnsi="Times New Roman" w:cs="Times New Roman"/>
          <w:i/>
          <w:iCs/>
          <w:sz w:val="24"/>
          <w:szCs w:val="24"/>
        </w:rPr>
        <w:t>Canadian Journal of Zoology.</w:t>
      </w:r>
      <w:r w:rsidRPr="00314098">
        <w:rPr>
          <w:rFonts w:ascii="Times New Roman" w:hAnsi="Times New Roman" w:cs="Times New Roman"/>
          <w:sz w:val="24"/>
          <w:szCs w:val="24"/>
        </w:rPr>
        <w:t xml:space="preserve"> 98(9): 633-642. https://doi.org/10.1139/cjz-2020-0027</w:t>
      </w:r>
    </w:p>
    <w:p w14:paraId="2AA331F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Mutanen, M., Kivel, S. M., Vos, R. A., </w:t>
      </w:r>
      <w:proofErr w:type="spellStart"/>
      <w:r w:rsidRPr="00314098">
        <w:rPr>
          <w:rFonts w:ascii="Times New Roman" w:hAnsi="Times New Roman" w:cs="Times New Roman"/>
          <w:sz w:val="24"/>
          <w:szCs w:val="24"/>
        </w:rPr>
        <w:t>Doorenweerd</w:t>
      </w:r>
      <w:proofErr w:type="spellEnd"/>
      <w:r w:rsidRPr="00314098">
        <w:rPr>
          <w:rFonts w:ascii="Times New Roman" w:hAnsi="Times New Roman" w:cs="Times New Roman"/>
          <w:sz w:val="24"/>
          <w:szCs w:val="24"/>
        </w:rPr>
        <w:t xml:space="preserve">, C.,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Hausmann, A., … Godfray, H. C. J. (2016). Species-level para- and polyphyly in DNA barcode gene trees: Strong operational bias in </w:t>
      </w:r>
      <w:proofErr w:type="spellStart"/>
      <w:r w:rsidRPr="00314098">
        <w:rPr>
          <w:rFonts w:ascii="Times New Roman" w:hAnsi="Times New Roman" w:cs="Times New Roman"/>
          <w:sz w:val="24"/>
          <w:szCs w:val="24"/>
        </w:rPr>
        <w:t>european</w:t>
      </w:r>
      <w:proofErr w:type="spellEnd"/>
      <w:r w:rsidRPr="00314098">
        <w:rPr>
          <w:rFonts w:ascii="Times New Roman" w:hAnsi="Times New Roman" w:cs="Times New Roman"/>
          <w:sz w:val="24"/>
          <w:szCs w:val="24"/>
        </w:rPr>
        <w:t xml:space="preserve"> lepidoptera. Systematic Biology, 65, 1024–1040. 10.1093/</w:t>
      </w:r>
      <w:proofErr w:type="spellStart"/>
      <w:r w:rsidRPr="00314098">
        <w:rPr>
          <w:rFonts w:ascii="Times New Roman" w:hAnsi="Times New Roman" w:cs="Times New Roman"/>
          <w:sz w:val="24"/>
          <w:szCs w:val="24"/>
        </w:rPr>
        <w:t>sysbio</w:t>
      </w:r>
      <w:proofErr w:type="spellEnd"/>
      <w:r w:rsidRPr="00314098">
        <w:rPr>
          <w:rFonts w:ascii="Times New Roman" w:hAnsi="Times New Roman" w:cs="Times New Roman"/>
          <w:sz w:val="24"/>
          <w:szCs w:val="24"/>
        </w:rPr>
        <w:t>/syw044.</w:t>
      </w:r>
    </w:p>
    <w:p w14:paraId="51C0025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Packer, L., Gibbs, J., Sheffield, C., &amp; Hanner, R. (2009). DNA barcoding and the mediocrity of morphology.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9</w:t>
      </w:r>
      <w:r w:rsidRPr="00314098">
        <w:rPr>
          <w:rFonts w:ascii="Times New Roman" w:hAnsi="Times New Roman" w:cs="Times New Roman"/>
          <w:sz w:val="24"/>
          <w:szCs w:val="24"/>
        </w:rPr>
        <w:t>(</w:t>
      </w:r>
      <w:proofErr w:type="spellStart"/>
      <w:r w:rsidRPr="00314098">
        <w:rPr>
          <w:rFonts w:ascii="Times New Roman" w:hAnsi="Times New Roman" w:cs="Times New Roman"/>
          <w:sz w:val="24"/>
          <w:szCs w:val="24"/>
        </w:rPr>
        <w:t>Suppl</w:t>
      </w:r>
      <w:proofErr w:type="spellEnd"/>
      <w:r w:rsidRPr="00314098">
        <w:rPr>
          <w:rFonts w:ascii="Times New Roman" w:hAnsi="Times New Roman" w:cs="Times New Roman"/>
          <w:sz w:val="24"/>
          <w:szCs w:val="24"/>
        </w:rPr>
        <w:t xml:space="preserve"> s1), 42–50. doi:10.1111/j.1755-0998.</w:t>
      </w:r>
      <w:proofErr w:type="gramStart"/>
      <w:r w:rsidRPr="00314098">
        <w:rPr>
          <w:rFonts w:ascii="Times New Roman" w:hAnsi="Times New Roman" w:cs="Times New Roman"/>
          <w:sz w:val="24"/>
          <w:szCs w:val="24"/>
        </w:rPr>
        <w:t>2009.02631.x</w:t>
      </w:r>
      <w:proofErr w:type="gramEnd"/>
    </w:p>
    <w:p w14:paraId="4E27370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72734F">
        <w:rPr>
          <w:rFonts w:ascii="Times New Roman" w:hAnsi="Times New Roman" w:cs="Times New Roman"/>
          <w:sz w:val="24"/>
          <w:szCs w:val="24"/>
          <w:lang w:val="it-IT"/>
        </w:rPr>
        <w:t xml:space="preserve">Padial, J. M., Miralles, A., De la Riva, I., &amp; Vences, M. (2010). </w:t>
      </w:r>
      <w:r w:rsidRPr="00314098">
        <w:rPr>
          <w:rFonts w:ascii="Times New Roman" w:hAnsi="Times New Roman" w:cs="Times New Roman"/>
          <w:sz w:val="24"/>
          <w:szCs w:val="24"/>
        </w:rPr>
        <w:t xml:space="preserve">The integrative future of taxonomy. </w:t>
      </w:r>
      <w:r w:rsidRPr="00314098">
        <w:rPr>
          <w:rFonts w:ascii="Times New Roman" w:hAnsi="Times New Roman" w:cs="Times New Roman"/>
          <w:i/>
          <w:iCs/>
          <w:sz w:val="24"/>
          <w:szCs w:val="24"/>
        </w:rPr>
        <w:t>Frontiers in Zoology</w:t>
      </w:r>
      <w:r w:rsidRPr="00314098">
        <w:rPr>
          <w:rFonts w:ascii="Times New Roman" w:hAnsi="Times New Roman" w:cs="Times New Roman"/>
          <w:sz w:val="24"/>
          <w:szCs w:val="24"/>
        </w:rPr>
        <w:t>, 7, 16. https://doi.org/10.1186/1742-9994-7-16</w:t>
      </w:r>
    </w:p>
    <w:p w14:paraId="5177A6F8"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72734F">
        <w:rPr>
          <w:rFonts w:ascii="Times New Roman" w:hAnsi="Times New Roman" w:cs="Times New Roman"/>
          <w:sz w:val="24"/>
          <w:szCs w:val="24"/>
          <w:lang w:val="it-IT"/>
        </w:rPr>
        <w:t xml:space="preserve">Pante, E., Schoelinck, C., &amp; Puillandre, N. (2015). </w:t>
      </w:r>
      <w:r w:rsidRPr="00314098">
        <w:rPr>
          <w:rFonts w:ascii="Times New Roman" w:hAnsi="Times New Roman" w:cs="Times New Roman"/>
          <w:sz w:val="24"/>
          <w:szCs w:val="24"/>
        </w:rPr>
        <w:t xml:space="preserve">From integrative taxonomy to species description: one step beyond.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64(1), 152–160. </w:t>
      </w:r>
      <w:hyperlink r:id="rId17" w:history="1">
        <w:r w:rsidRPr="00314098">
          <w:rPr>
            <w:rStyle w:val="Hyperlink"/>
            <w:rFonts w:ascii="Times New Roman" w:hAnsi="Times New Roman" w:cs="Times New Roman"/>
            <w:color w:val="auto"/>
            <w:sz w:val="24"/>
            <w:szCs w:val="24"/>
          </w:rPr>
          <w:t>https://doi.org/10.1093/sysbio/syu083</w:t>
        </w:r>
      </w:hyperlink>
    </w:p>
    <w:p w14:paraId="764D493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Prathapan</w:t>
      </w:r>
      <w:proofErr w:type="spellEnd"/>
      <w:r w:rsidRPr="00314098">
        <w:rPr>
          <w:rFonts w:ascii="Times New Roman" w:hAnsi="Times New Roman" w:cs="Times New Roman"/>
          <w:sz w:val="24"/>
          <w:szCs w:val="24"/>
        </w:rPr>
        <w:t xml:space="preserve">, K. D., Pethiyagoda, R., Bawa, K. S., Raven, P. H., Rajan, P. D., &amp; 172 co-signatories from 35 countries (2018). When the cure kills-CBD limits biodiversity </w:t>
      </w:r>
      <w:r w:rsidRPr="00314098">
        <w:rPr>
          <w:rFonts w:ascii="Times New Roman" w:hAnsi="Times New Roman" w:cs="Times New Roman"/>
          <w:sz w:val="24"/>
          <w:szCs w:val="24"/>
        </w:rPr>
        <w:lastRenderedPageBreak/>
        <w:t>research. Science (New York, N.Y.), 360(6396), 1405–1406. https://doi.org/10.1126/science.aat9844</w:t>
      </w:r>
    </w:p>
    <w:p w14:paraId="0DFF9E8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Pyle, Richard. (2016). Towards a Global Names Architecture: The future of indexing scientific names. </w:t>
      </w:r>
      <w:proofErr w:type="spellStart"/>
      <w:r w:rsidRPr="00314098">
        <w:rPr>
          <w:rFonts w:ascii="Times New Roman" w:hAnsi="Times New Roman" w:cs="Times New Roman"/>
          <w:i/>
          <w:iCs/>
          <w:sz w:val="24"/>
          <w:szCs w:val="24"/>
        </w:rPr>
        <w:t>ZooKeys</w:t>
      </w:r>
      <w:proofErr w:type="spellEnd"/>
      <w:r w:rsidRPr="00314098">
        <w:rPr>
          <w:rFonts w:ascii="Times New Roman" w:hAnsi="Times New Roman" w:cs="Times New Roman"/>
          <w:sz w:val="24"/>
          <w:szCs w:val="24"/>
        </w:rPr>
        <w:t>. 2016. 261-281. 10.3897/zookeys.550.10009.</w:t>
      </w:r>
    </w:p>
    <w:p w14:paraId="2270595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Quicke, D. L. J., Hebert, P. D. N., </w:t>
      </w:r>
      <w:proofErr w:type="spellStart"/>
      <w:r w:rsidRPr="00314098">
        <w:rPr>
          <w:rFonts w:ascii="Times New Roman" w:hAnsi="Times New Roman" w:cs="Times New Roman"/>
          <w:sz w:val="24"/>
          <w:szCs w:val="24"/>
        </w:rPr>
        <w:t>Pentinsaari</w:t>
      </w:r>
      <w:proofErr w:type="spellEnd"/>
      <w:r w:rsidRPr="00314098">
        <w:rPr>
          <w:rFonts w:ascii="Times New Roman" w:hAnsi="Times New Roman" w:cs="Times New Roman"/>
          <w:sz w:val="24"/>
          <w:szCs w:val="24"/>
        </w:rPr>
        <w:t xml:space="preserve">, M., &amp; Butcher, B. A. (2023). Barcoding Hymenoptera: 11 Malaise Traps in Three Thai Forests: The First 68 Trap Weeks and 15,338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Wasp Sequences. Forests, 14(10), 1991. https://doi.org/10.3390/f14101991</w:t>
      </w:r>
    </w:p>
    <w:p w14:paraId="4B20F57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&amp; Hebert, P. D. N. (2007). BOLD: The Barcode of Life Data System (www.barcodinglife.org). Molecular Ecology Notes, 7(3), 355–364. </w:t>
      </w:r>
      <w:hyperlink r:id="rId18" w:history="1">
        <w:r w:rsidRPr="00314098">
          <w:rPr>
            <w:rStyle w:val="Hyperlink"/>
            <w:rFonts w:ascii="Times New Roman" w:hAnsi="Times New Roman" w:cs="Times New Roman"/>
            <w:color w:val="auto"/>
            <w:sz w:val="24"/>
            <w:szCs w:val="24"/>
          </w:rPr>
          <w:t>https://doi.org/10.1111/j.1471-8286.2007.01678.x</w:t>
        </w:r>
      </w:hyperlink>
    </w:p>
    <w:p w14:paraId="4A7698C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Sahay S. S. (2025). " 683 species added to India’s fauna, 433 taxa to its flora during 2024." The Hindu, 01 July 2025, https://www.thehindu.com/ sci-tech/energy-and-environment/</w:t>
      </w:r>
      <w:proofErr w:type="spellStart"/>
      <w:r w:rsidRPr="00314098">
        <w:rPr>
          <w:rFonts w:ascii="Times New Roman" w:hAnsi="Times New Roman" w:cs="Times New Roman"/>
          <w:sz w:val="24"/>
          <w:szCs w:val="24"/>
        </w:rPr>
        <w:t>india</w:t>
      </w:r>
      <w:proofErr w:type="spellEnd"/>
      <w:r w:rsidRPr="00314098">
        <w:rPr>
          <w:rFonts w:ascii="Times New Roman" w:hAnsi="Times New Roman" w:cs="Times New Roman"/>
          <w:sz w:val="24"/>
          <w:szCs w:val="24"/>
        </w:rPr>
        <w:t>. [Accessed on 02 Aug 2025]</w:t>
      </w:r>
    </w:p>
    <w:p w14:paraId="42D0A28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Sánchez Herrera M, Forero D, Calor AR, Romero GQ, Riyaz M, Callisto M, de Oliveira Roque F, Elme-</w:t>
      </w:r>
      <w:proofErr w:type="spellStart"/>
      <w:r w:rsidRPr="00314098">
        <w:rPr>
          <w:rFonts w:ascii="Times New Roman" w:hAnsi="Times New Roman" w:cs="Times New Roman"/>
          <w:sz w:val="24"/>
          <w:szCs w:val="24"/>
        </w:rPr>
        <w:t>Tumpay</w:t>
      </w:r>
      <w:proofErr w:type="spellEnd"/>
      <w:r w:rsidRPr="00314098">
        <w:rPr>
          <w:rFonts w:ascii="Times New Roman" w:hAnsi="Times New Roman" w:cs="Times New Roman"/>
          <w:sz w:val="24"/>
          <w:szCs w:val="24"/>
        </w:rPr>
        <w:t xml:space="preserve"> A, Khan MK, Justino de Faria AP, Pires MM, Silva de </w:t>
      </w:r>
      <w:proofErr w:type="spellStart"/>
      <w:r w:rsidRPr="00314098">
        <w:rPr>
          <w:rFonts w:ascii="Times New Roman" w:hAnsi="Times New Roman" w:cs="Times New Roman"/>
          <w:sz w:val="24"/>
          <w:szCs w:val="24"/>
        </w:rPr>
        <w:t>Azevêdo</w:t>
      </w:r>
      <w:proofErr w:type="spellEnd"/>
      <w:r w:rsidRPr="00314098">
        <w:rPr>
          <w:rFonts w:ascii="Times New Roman" w:hAnsi="Times New Roman" w:cs="Times New Roman"/>
          <w:sz w:val="24"/>
          <w:szCs w:val="24"/>
        </w:rPr>
        <w:t xml:space="preserve"> CA, Juen L, Zakka U, Samaila AE, Hussaini S, </w:t>
      </w:r>
      <w:proofErr w:type="spellStart"/>
      <w:r w:rsidRPr="00314098">
        <w:rPr>
          <w:rFonts w:ascii="Times New Roman" w:hAnsi="Times New Roman" w:cs="Times New Roman"/>
          <w:sz w:val="24"/>
          <w:szCs w:val="24"/>
        </w:rPr>
        <w:t>Kemabonta</w:t>
      </w:r>
      <w:proofErr w:type="spellEnd"/>
      <w:r w:rsidRPr="00314098">
        <w:rPr>
          <w:rFonts w:ascii="Times New Roman" w:hAnsi="Times New Roman" w:cs="Times New Roman"/>
          <w:sz w:val="24"/>
          <w:szCs w:val="24"/>
        </w:rPr>
        <w:t xml:space="preserve"> K, Guillermo-Ferreira R, Ríos-Touma B, Maharaj G. (2024). Systematic challenges and opportunities in insect monitoring: a Global South perspective. </w:t>
      </w:r>
      <w:proofErr w:type="spellStart"/>
      <w:r w:rsidRPr="00314098">
        <w:rPr>
          <w:rFonts w:ascii="Times New Roman" w:hAnsi="Times New Roman" w:cs="Times New Roman"/>
          <w:sz w:val="24"/>
          <w:szCs w:val="24"/>
        </w:rPr>
        <w:t>Philos</w:t>
      </w:r>
      <w:proofErr w:type="spellEnd"/>
      <w:r w:rsidRPr="00314098">
        <w:rPr>
          <w:rFonts w:ascii="Times New Roman" w:hAnsi="Times New Roman" w:cs="Times New Roman"/>
          <w:sz w:val="24"/>
          <w:szCs w:val="24"/>
        </w:rPr>
        <w:t xml:space="preserve"> Trans R Soc Lond B </w:t>
      </w:r>
      <w:proofErr w:type="spellStart"/>
      <w:r w:rsidRPr="00314098">
        <w:rPr>
          <w:rFonts w:ascii="Times New Roman" w:hAnsi="Times New Roman" w:cs="Times New Roman"/>
          <w:sz w:val="24"/>
          <w:szCs w:val="24"/>
        </w:rPr>
        <w:t>Biol</w:t>
      </w:r>
      <w:proofErr w:type="spellEnd"/>
      <w:r w:rsidRPr="00314098">
        <w:rPr>
          <w:rFonts w:ascii="Times New Roman" w:hAnsi="Times New Roman" w:cs="Times New Roman"/>
          <w:sz w:val="24"/>
          <w:szCs w:val="24"/>
        </w:rPr>
        <w:t xml:space="preserve"> Sci. Jun 24;379(1904):20230102.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10.1098/rstb.2023.0102. </w:t>
      </w:r>
    </w:p>
    <w:p w14:paraId="58F7D568" w14:textId="77777777" w:rsidR="0028008F" w:rsidRPr="00314098" w:rsidRDefault="0028008F" w:rsidP="0060042B">
      <w:pPr>
        <w:pStyle w:val="ListParagraph"/>
        <w:numPr>
          <w:ilvl w:val="0"/>
          <w:numId w:val="4"/>
        </w:numPr>
        <w:tabs>
          <w:tab w:val="clear" w:pos="720"/>
        </w:tabs>
        <w:ind w:left="426"/>
        <w:jc w:val="both"/>
        <w:rPr>
          <w:rFonts w:ascii="Times New Roman" w:hAnsi="Times New Roman" w:cs="Times New Roman"/>
          <w:sz w:val="24"/>
          <w:szCs w:val="24"/>
        </w:rPr>
      </w:pPr>
      <w:r w:rsidRPr="00314098">
        <w:rPr>
          <w:rFonts w:ascii="Times New Roman" w:hAnsi="Times New Roman" w:cs="Times New Roman"/>
          <w:sz w:val="24"/>
          <w:szCs w:val="24"/>
        </w:rPr>
        <w:t xml:space="preserve">Sánchez-Bayo, Francisco and </w:t>
      </w:r>
      <w:proofErr w:type="spellStart"/>
      <w:r w:rsidRPr="00314098">
        <w:rPr>
          <w:rFonts w:ascii="Times New Roman" w:hAnsi="Times New Roman" w:cs="Times New Roman"/>
          <w:sz w:val="24"/>
          <w:szCs w:val="24"/>
        </w:rPr>
        <w:t>Wyckhuys</w:t>
      </w:r>
      <w:proofErr w:type="spellEnd"/>
      <w:r w:rsidRPr="00314098">
        <w:rPr>
          <w:rFonts w:ascii="Times New Roman" w:hAnsi="Times New Roman" w:cs="Times New Roman"/>
          <w:sz w:val="24"/>
          <w:szCs w:val="24"/>
        </w:rPr>
        <w:t xml:space="preserve">, Kris A. G. (2019). Worldwide decline of the entomofauna: a review of its drivers. </w:t>
      </w:r>
      <w:r w:rsidRPr="00314098">
        <w:rPr>
          <w:rFonts w:ascii="Times New Roman" w:hAnsi="Times New Roman" w:cs="Times New Roman"/>
          <w:i/>
          <w:iCs/>
          <w:sz w:val="24"/>
          <w:szCs w:val="24"/>
        </w:rPr>
        <w:t>Biological Conservation</w:t>
      </w:r>
      <w:r w:rsidRPr="00314098">
        <w:rPr>
          <w:rFonts w:ascii="Times New Roman" w:hAnsi="Times New Roman" w:cs="Times New Roman"/>
          <w:sz w:val="24"/>
          <w:szCs w:val="24"/>
        </w:rPr>
        <w:t xml:space="preserve"> 232 8-27. </w:t>
      </w:r>
      <w:hyperlink r:id="rId19" w:history="1">
        <w:r w:rsidRPr="00314098">
          <w:rPr>
            <w:rStyle w:val="Hyperlink"/>
            <w:rFonts w:ascii="Times New Roman" w:hAnsi="Times New Roman" w:cs="Times New Roman"/>
            <w:color w:val="auto"/>
            <w:sz w:val="24"/>
            <w:szCs w:val="24"/>
          </w:rPr>
          <w:t>https://doi.org/10.1016/j.biocon.2019.01.020</w:t>
        </w:r>
      </w:hyperlink>
      <w:r w:rsidRPr="00314098">
        <w:rPr>
          <w:rFonts w:ascii="Times New Roman" w:hAnsi="Times New Roman" w:cs="Times New Roman"/>
          <w:sz w:val="24"/>
          <w:szCs w:val="24"/>
        </w:rPr>
        <w:t xml:space="preserve">. </w:t>
      </w:r>
    </w:p>
    <w:p w14:paraId="36C2D1BF"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Schnell, I. B., Bohmann, K., &amp; Gilbert, M. T. P. (2015). Tag jumps illuminated – Reducing sequence-to-sample misidentifications in </w:t>
      </w:r>
      <w:proofErr w:type="spellStart"/>
      <w:r w:rsidRPr="00314098">
        <w:rPr>
          <w:rFonts w:ascii="Times New Roman" w:hAnsi="Times New Roman" w:cs="Times New Roman"/>
          <w:sz w:val="24"/>
          <w:szCs w:val="24"/>
        </w:rPr>
        <w:t>metabarcording</w:t>
      </w:r>
      <w:proofErr w:type="spellEnd"/>
      <w:r w:rsidRPr="00314098">
        <w:rPr>
          <w:rFonts w:ascii="Times New Roman" w:hAnsi="Times New Roman" w:cs="Times New Roman"/>
          <w:sz w:val="24"/>
          <w:szCs w:val="24"/>
        </w:rPr>
        <w:t xml:space="preserve"> studies. Molecular Ecology Resources, 15, 1289–1303. https://doi.org/10.1111/1755-0998.12402</w:t>
      </w:r>
    </w:p>
    <w:p w14:paraId="6AF5537E"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Shashank, P.R., Naveena, N.L., </w:t>
      </w:r>
      <w:proofErr w:type="spellStart"/>
      <w:r w:rsidRPr="00314098">
        <w:rPr>
          <w:rFonts w:ascii="Times New Roman" w:hAnsi="Times New Roman" w:cs="Times New Roman"/>
          <w:sz w:val="24"/>
          <w:szCs w:val="24"/>
        </w:rPr>
        <w:t>Rajgopal</w:t>
      </w:r>
      <w:proofErr w:type="spellEnd"/>
      <w:r w:rsidRPr="00314098">
        <w:rPr>
          <w:rFonts w:ascii="Times New Roman" w:hAnsi="Times New Roman" w:cs="Times New Roman"/>
          <w:sz w:val="24"/>
          <w:szCs w:val="24"/>
        </w:rPr>
        <w:t xml:space="preserve">, N.N., Elliott, T.A., Sreedevi, K., Sunil, S., &amp; Meshram, N.M. (2022). DNA barcoding of insects from India: current status and future perspectives. </w:t>
      </w:r>
      <w:r w:rsidRPr="00314098">
        <w:rPr>
          <w:rFonts w:ascii="Times New Roman" w:hAnsi="Times New Roman" w:cs="Times New Roman"/>
          <w:i/>
          <w:iCs/>
          <w:sz w:val="24"/>
          <w:szCs w:val="24"/>
        </w:rPr>
        <w:t>Molecular Biology Reports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49</w:t>
      </w:r>
      <w:r w:rsidRPr="00314098">
        <w:rPr>
          <w:rFonts w:ascii="Times New Roman" w:hAnsi="Times New Roman" w:cs="Times New Roman"/>
          <w:sz w:val="24"/>
          <w:szCs w:val="24"/>
        </w:rPr>
        <w:t>, 10617–10626. doi:10.1007/s11033-022-07628-2 (PMCID: PMC9206398)</w:t>
      </w:r>
    </w:p>
    <w:p w14:paraId="6090F11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Hellberg, R. S., Handy, S. M., King, I.,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Pyrosequencing for mini-barcoding of fresh and old museum specimens.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6(7), e21252.</w:t>
      </w:r>
    </w:p>
    <w:p w14:paraId="337D39C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72734F">
        <w:rPr>
          <w:rFonts w:ascii="Times New Roman" w:hAnsi="Times New Roman" w:cs="Times New Roman"/>
          <w:sz w:val="24"/>
          <w:szCs w:val="24"/>
          <w:lang w:val="it-IT"/>
        </w:rPr>
        <w:t xml:space="preserve">Shokralla, S., Porter, T. M., Gibson, J. F., et al. </w:t>
      </w:r>
      <w:r w:rsidRPr="00314098">
        <w:rPr>
          <w:rFonts w:ascii="Times New Roman" w:hAnsi="Times New Roman" w:cs="Times New Roman"/>
          <w:sz w:val="24"/>
          <w:szCs w:val="24"/>
        </w:rPr>
        <w:t xml:space="preserve">(2015). Massively parallel multiplex DNA sequencing for specimen identification using an Illumina </w:t>
      </w:r>
      <w:proofErr w:type="spellStart"/>
      <w:r w:rsidRPr="00314098">
        <w:rPr>
          <w:rFonts w:ascii="Times New Roman" w:hAnsi="Times New Roman" w:cs="Times New Roman"/>
          <w:sz w:val="24"/>
          <w:szCs w:val="24"/>
        </w:rPr>
        <w:t>MiSeq</w:t>
      </w:r>
      <w:proofErr w:type="spellEnd"/>
      <w:r w:rsidRPr="00314098">
        <w:rPr>
          <w:rFonts w:ascii="Times New Roman" w:hAnsi="Times New Roman" w:cs="Times New Roman"/>
          <w:sz w:val="24"/>
          <w:szCs w:val="24"/>
        </w:rPr>
        <w:t xml:space="preserve"> platform.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5, 9687.</w:t>
      </w:r>
    </w:p>
    <w:p w14:paraId="661D380A"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Srivathsan, Amrita &amp; Lee, Leshon &amp; Katoh, </w:t>
      </w:r>
      <w:proofErr w:type="spellStart"/>
      <w:r w:rsidRPr="00314098">
        <w:rPr>
          <w:rFonts w:ascii="Times New Roman" w:eastAsia="Times New Roman" w:hAnsi="Times New Roman" w:cs="Times New Roman"/>
          <w:kern w:val="0"/>
          <w:sz w:val="24"/>
          <w:szCs w:val="24"/>
          <w:lang w:eastAsia="en-IN" w:bidi="ml-IN"/>
          <w14:ligatures w14:val="none"/>
        </w:rPr>
        <w:t>Kazutaka</w:t>
      </w:r>
      <w:proofErr w:type="spellEnd"/>
      <w:r w:rsidRPr="00314098">
        <w:rPr>
          <w:rFonts w:ascii="Times New Roman" w:eastAsia="Times New Roman" w:hAnsi="Times New Roman" w:cs="Times New Roman"/>
          <w:kern w:val="0"/>
          <w:sz w:val="24"/>
          <w:szCs w:val="24"/>
          <w:lang w:eastAsia="en-IN" w:bidi="ml-IN"/>
          <w14:ligatures w14:val="none"/>
        </w:rPr>
        <w:t xml:space="preserve"> &amp; Hartop, Emily &amp; Narayanan Kutty, Sujatha &amp; Wong, Johnathan &amp; Yeo, Darren &amp; Meier, Rudolf. (2021). </w:t>
      </w:r>
      <w:proofErr w:type="spellStart"/>
      <w:r w:rsidRPr="00314098">
        <w:rPr>
          <w:rFonts w:ascii="Times New Roman" w:eastAsia="Times New Roman" w:hAnsi="Times New Roman" w:cs="Times New Roman"/>
          <w:kern w:val="0"/>
          <w:sz w:val="24"/>
          <w:szCs w:val="24"/>
          <w:lang w:eastAsia="en-IN" w:bidi="ml-IN"/>
          <w14:ligatures w14:val="none"/>
        </w:rPr>
        <w:t>ONTbarcoder</w:t>
      </w:r>
      <w:proofErr w:type="spellEnd"/>
      <w:r w:rsidRPr="00314098">
        <w:rPr>
          <w:rFonts w:ascii="Times New Roman" w:eastAsia="Times New Roman" w:hAnsi="Times New Roman" w:cs="Times New Roman"/>
          <w:kern w:val="0"/>
          <w:sz w:val="24"/>
          <w:szCs w:val="24"/>
          <w:lang w:eastAsia="en-IN" w:bidi="ml-IN"/>
          <w14:ligatures w14:val="none"/>
        </w:rPr>
        <w:t xml:space="preserve"> and </w:t>
      </w:r>
      <w:proofErr w:type="spellStart"/>
      <w:r w:rsidRPr="00314098">
        <w:rPr>
          <w:rFonts w:ascii="Times New Roman" w:eastAsia="Times New Roman" w:hAnsi="Times New Roman" w:cs="Times New Roman"/>
          <w:kern w:val="0"/>
          <w:sz w:val="24"/>
          <w:szCs w:val="24"/>
          <w:lang w:eastAsia="en-IN" w:bidi="ml-IN"/>
          <w14:ligatures w14:val="none"/>
        </w:rPr>
        <w:t>MinION</w:t>
      </w:r>
      <w:proofErr w:type="spellEnd"/>
      <w:r w:rsidRPr="00314098">
        <w:rPr>
          <w:rFonts w:ascii="Times New Roman" w:eastAsia="Times New Roman" w:hAnsi="Times New Roman" w:cs="Times New Roman"/>
          <w:kern w:val="0"/>
          <w:sz w:val="24"/>
          <w:szCs w:val="24"/>
          <w:lang w:eastAsia="en-IN" w:bidi="ml-IN"/>
          <w14:ligatures w14:val="none"/>
        </w:rPr>
        <w:t xml:space="preserve"> barcodes aid biodiversity discovery and identification by everyone, for everyone. BMC Biology. 19. 10.1186/s12915-021-01141-x.</w:t>
      </w:r>
    </w:p>
    <w:p w14:paraId="09FBC7CE" w14:textId="77777777" w:rsidR="0028008F" w:rsidRPr="00314098" w:rsidRDefault="0028008F" w:rsidP="0060042B">
      <w:pPr>
        <w:pStyle w:val="ListParagraph"/>
        <w:ind w:left="426"/>
        <w:jc w:val="both"/>
        <w:rPr>
          <w:rFonts w:ascii="Times New Roman" w:hAnsi="Times New Roman" w:cs="Times New Roman"/>
          <w:sz w:val="24"/>
          <w:szCs w:val="24"/>
        </w:rPr>
      </w:pPr>
      <w:r w:rsidRPr="00314098">
        <w:rPr>
          <w:rFonts w:ascii="Times New Roman" w:hAnsi="Times New Roman" w:cs="Times New Roman"/>
          <w:sz w:val="24"/>
          <w:szCs w:val="24"/>
        </w:rPr>
        <w:t xml:space="preserve">Standard. </w:t>
      </w:r>
      <w:proofErr w:type="spellStart"/>
      <w:r w:rsidRPr="00314098">
        <w:rPr>
          <w:rFonts w:ascii="Times New Roman" w:hAnsi="Times New Roman" w:cs="Times New Roman"/>
          <w:sz w:val="24"/>
          <w:szCs w:val="24"/>
        </w:rPr>
        <w:t>PLoS</w:t>
      </w:r>
      <w:proofErr w:type="spellEnd"/>
      <w:r w:rsidRPr="00314098">
        <w:rPr>
          <w:rFonts w:ascii="Times New Roman" w:hAnsi="Times New Roman" w:cs="Times New Roman"/>
          <w:sz w:val="24"/>
          <w:szCs w:val="24"/>
        </w:rPr>
        <w:t xml:space="preserve"> ONE 7 (1). https://doi.org/10.1371/journal.pone.0029715</w:t>
      </w:r>
    </w:p>
    <w:p w14:paraId="1B2CDA1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Stork, N.E. (2018). How many species of insects and other terrestrial arthropods are there on Earth? </w:t>
      </w:r>
      <w:r w:rsidRPr="00314098">
        <w:rPr>
          <w:rFonts w:ascii="Times New Roman" w:hAnsi="Times New Roman" w:cs="Times New Roman"/>
          <w:i/>
          <w:iCs/>
          <w:sz w:val="24"/>
          <w:szCs w:val="24"/>
        </w:rPr>
        <w:t>Annual Review of Entomology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63</w:t>
      </w:r>
      <w:r w:rsidRPr="00314098">
        <w:rPr>
          <w:rFonts w:ascii="Times New Roman" w:hAnsi="Times New Roman" w:cs="Times New Roman"/>
          <w:sz w:val="24"/>
          <w:szCs w:val="24"/>
        </w:rPr>
        <w:t>, 31–45. doi:10.1146/annurev-ento-020117-043348</w:t>
      </w:r>
    </w:p>
    <w:p w14:paraId="22B77D4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Sushama, V., 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&amp; Dinesh, K. P. (2025). Description of four new species of </w:t>
      </w:r>
      <w:r w:rsidRPr="00314098">
        <w:rPr>
          <w:rFonts w:ascii="Times New Roman" w:hAnsi="Times New Roman" w:cs="Times New Roman"/>
          <w:i/>
          <w:iCs/>
          <w:sz w:val="24"/>
          <w:szCs w:val="24"/>
        </w:rPr>
        <w:t>Idris</w:t>
      </w:r>
      <w:r w:rsidRPr="00314098">
        <w:rPr>
          <w:rFonts w:ascii="Times New Roman" w:hAnsi="Times New Roman" w:cs="Times New Roman"/>
          <w:sz w:val="24"/>
          <w:szCs w:val="24"/>
        </w:rPr>
        <w:t xml:space="preserve"> Förster, 1856 (Hymenoptera: </w:t>
      </w:r>
      <w:proofErr w:type="spellStart"/>
      <w:r w:rsidRPr="00314098">
        <w:rPr>
          <w:rFonts w:ascii="Times New Roman" w:hAnsi="Times New Roman" w:cs="Times New Roman"/>
          <w:sz w:val="24"/>
          <w:szCs w:val="24"/>
        </w:rPr>
        <w:t>Scelionidae</w:t>
      </w:r>
      <w:proofErr w:type="spellEnd"/>
      <w:r w:rsidRPr="00314098">
        <w:rPr>
          <w:rFonts w:ascii="Times New Roman" w:hAnsi="Times New Roman" w:cs="Times New Roman"/>
          <w:sz w:val="24"/>
          <w:szCs w:val="24"/>
        </w:rPr>
        <w:t xml:space="preserve">) from India. </w:t>
      </w:r>
      <w:r w:rsidRPr="00314098">
        <w:rPr>
          <w:rFonts w:ascii="Times New Roman" w:hAnsi="Times New Roman" w:cs="Times New Roman"/>
          <w:i/>
          <w:iCs/>
          <w:sz w:val="24"/>
          <w:szCs w:val="24"/>
        </w:rPr>
        <w:t>European Journal of Taxonomy</w:t>
      </w:r>
      <w:r w:rsidRPr="00314098">
        <w:rPr>
          <w:rFonts w:ascii="Times New Roman" w:hAnsi="Times New Roman" w:cs="Times New Roman"/>
          <w:sz w:val="24"/>
          <w:szCs w:val="24"/>
        </w:rPr>
        <w:t xml:space="preserve">, 997, 256–274. </w:t>
      </w:r>
      <w:hyperlink r:id="rId20" w:history="1">
        <w:r w:rsidRPr="00314098">
          <w:rPr>
            <w:rStyle w:val="Hyperlink"/>
            <w:rFonts w:ascii="Times New Roman" w:hAnsi="Times New Roman" w:cs="Times New Roman"/>
            <w:color w:val="auto"/>
            <w:sz w:val="24"/>
            <w:szCs w:val="24"/>
          </w:rPr>
          <w:t>https://doi.org/10.5852/ejt.2025.997.2937</w:t>
        </w:r>
      </w:hyperlink>
      <w:r w:rsidRPr="00314098">
        <w:rPr>
          <w:rFonts w:ascii="Times New Roman" w:hAnsi="Times New Roman" w:cs="Times New Roman"/>
          <w:sz w:val="24"/>
          <w:szCs w:val="24"/>
        </w:rPr>
        <w:t>.</w:t>
      </w:r>
    </w:p>
    <w:p w14:paraId="744E976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Coissac</w:t>
      </w:r>
      <w:proofErr w:type="spellEnd"/>
      <w:r w:rsidRPr="00314098">
        <w:rPr>
          <w:rFonts w:ascii="Times New Roman" w:hAnsi="Times New Roman" w:cs="Times New Roman"/>
          <w:sz w:val="24"/>
          <w:szCs w:val="24"/>
        </w:rPr>
        <w:t xml:space="preserve">, E., Hajibabaei, M., &amp; </w:t>
      </w:r>
      <w:proofErr w:type="spellStart"/>
      <w:r w:rsidRPr="00314098">
        <w:rPr>
          <w:rFonts w:ascii="Times New Roman" w:hAnsi="Times New Roman" w:cs="Times New Roman"/>
          <w:sz w:val="24"/>
          <w:szCs w:val="24"/>
        </w:rPr>
        <w:t>Rieseberg</w:t>
      </w:r>
      <w:proofErr w:type="spellEnd"/>
      <w:r w:rsidRPr="00314098">
        <w:rPr>
          <w:rFonts w:ascii="Times New Roman" w:hAnsi="Times New Roman" w:cs="Times New Roman"/>
          <w:sz w:val="24"/>
          <w:szCs w:val="24"/>
        </w:rPr>
        <w:t xml:space="preserve">, L.H. (2012).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21</w:t>
      </w:r>
      <w:r w:rsidRPr="00314098">
        <w:rPr>
          <w:rFonts w:ascii="Times New Roman" w:hAnsi="Times New Roman" w:cs="Times New Roman"/>
          <w:sz w:val="24"/>
          <w:szCs w:val="24"/>
        </w:rPr>
        <w:t>(8), 1789–1793. doi:10.1111/j.1365-294X.</w:t>
      </w:r>
      <w:proofErr w:type="gramStart"/>
      <w:r w:rsidRPr="00314098">
        <w:rPr>
          <w:rFonts w:ascii="Times New Roman" w:hAnsi="Times New Roman" w:cs="Times New Roman"/>
          <w:sz w:val="24"/>
          <w:szCs w:val="24"/>
        </w:rPr>
        <w:t>2012.05542.x</w:t>
      </w:r>
      <w:proofErr w:type="gramEnd"/>
    </w:p>
    <w:p w14:paraId="0612957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Tembe, S.,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xml:space="preserve">, Y., &amp; Ghate, H. V. (2014). DNA barcoding of </w:t>
      </w:r>
      <w:proofErr w:type="spellStart"/>
      <w:r w:rsidRPr="00314098">
        <w:rPr>
          <w:rFonts w:ascii="Times New Roman" w:hAnsi="Times New Roman" w:cs="Times New Roman"/>
          <w:sz w:val="24"/>
          <w:szCs w:val="24"/>
        </w:rPr>
        <w:t>Pentatomomorpha</w:t>
      </w:r>
      <w:proofErr w:type="spellEnd"/>
      <w:r w:rsidRPr="00314098">
        <w:rPr>
          <w:rFonts w:ascii="Times New Roman" w:hAnsi="Times New Roman" w:cs="Times New Roman"/>
          <w:sz w:val="24"/>
          <w:szCs w:val="24"/>
        </w:rPr>
        <w:t xml:space="preserve"> bugs (Hemiptera: Heteroptera) from Western Ghats of India. </w:t>
      </w:r>
      <w:r w:rsidRPr="00314098">
        <w:rPr>
          <w:rFonts w:ascii="Times New Roman" w:hAnsi="Times New Roman" w:cs="Times New Roman"/>
          <w:i/>
          <w:iCs/>
          <w:sz w:val="24"/>
          <w:szCs w:val="24"/>
        </w:rPr>
        <w:t>Meta Gene</w:t>
      </w:r>
      <w:r w:rsidRPr="00314098">
        <w:rPr>
          <w:rFonts w:ascii="Times New Roman" w:hAnsi="Times New Roman" w:cs="Times New Roman"/>
          <w:sz w:val="24"/>
          <w:szCs w:val="24"/>
        </w:rPr>
        <w:t xml:space="preserve">, 2, 737–745. </w:t>
      </w:r>
      <w:hyperlink r:id="rId21" w:history="1">
        <w:r w:rsidRPr="00314098">
          <w:rPr>
            <w:rStyle w:val="Hyperlink"/>
            <w:rFonts w:ascii="Times New Roman" w:hAnsi="Times New Roman" w:cs="Times New Roman"/>
            <w:color w:val="auto"/>
            <w:sz w:val="24"/>
            <w:szCs w:val="24"/>
          </w:rPr>
          <w:t>https://doi.org/10.1016/j.mgene.2014.09.006</w:t>
        </w:r>
      </w:hyperlink>
      <w:r w:rsidRPr="00314098">
        <w:rPr>
          <w:rFonts w:ascii="Times New Roman" w:hAnsi="Times New Roman" w:cs="Times New Roman"/>
          <w:sz w:val="24"/>
          <w:szCs w:val="24"/>
        </w:rPr>
        <w:t>.</w:t>
      </w:r>
    </w:p>
    <w:p w14:paraId="11FC0039"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Thomsen, P. F., Kielgast, J., Iversen, L. L., et al. (2012). Monitoring endangered freshwater biodiversity using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21(11), 2565-2573.</w:t>
      </w:r>
    </w:p>
    <w:p w14:paraId="0BA13AF7"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Vidya, C.V., Bhaskar, H., Chaitanya, R. </w:t>
      </w:r>
      <w:r w:rsidRPr="00314098">
        <w:rPr>
          <w:rFonts w:ascii="Times New Roman" w:hAnsi="Times New Roman" w:cs="Times New Roman"/>
          <w:i/>
          <w:iCs/>
          <w:sz w:val="24"/>
          <w:szCs w:val="24"/>
        </w:rPr>
        <w:t>et al.</w:t>
      </w:r>
      <w:r w:rsidRPr="00314098">
        <w:rPr>
          <w:rFonts w:ascii="Times New Roman" w:hAnsi="Times New Roman" w:cs="Times New Roman"/>
          <w:sz w:val="24"/>
          <w:szCs w:val="24"/>
        </w:rPr>
        <w:t> </w:t>
      </w:r>
      <w:proofErr w:type="spellStart"/>
      <w:r w:rsidRPr="00314098">
        <w:rPr>
          <w:rFonts w:ascii="Times New Roman" w:hAnsi="Times New Roman" w:cs="Times New Roman"/>
          <w:sz w:val="24"/>
          <w:szCs w:val="24"/>
        </w:rPr>
        <w:t>Stethorini</w:t>
      </w:r>
      <w:proofErr w:type="spellEnd"/>
      <w:r w:rsidRPr="00314098">
        <w:rPr>
          <w:rFonts w:ascii="Times New Roman" w:hAnsi="Times New Roman" w:cs="Times New Roman"/>
          <w:sz w:val="24"/>
          <w:szCs w:val="24"/>
        </w:rPr>
        <w:t xml:space="preserve"> (Coleoptera: Coccinellidae: </w:t>
      </w:r>
      <w:proofErr w:type="spellStart"/>
      <w:r w:rsidRPr="00314098">
        <w:rPr>
          <w:rFonts w:ascii="Times New Roman" w:hAnsi="Times New Roman" w:cs="Times New Roman"/>
          <w:sz w:val="24"/>
          <w:szCs w:val="24"/>
        </w:rPr>
        <w:t>Coccinellinae</w:t>
      </w:r>
      <w:proofErr w:type="spellEnd"/>
      <w:r w:rsidRPr="00314098">
        <w:rPr>
          <w:rFonts w:ascii="Times New Roman" w:hAnsi="Times New Roman" w:cs="Times New Roman"/>
          <w:sz w:val="24"/>
          <w:szCs w:val="24"/>
        </w:rPr>
        <w:t>) of South India: their associated mite species and barcode gap analysis. </w:t>
      </w:r>
      <w:r w:rsidRPr="00314098">
        <w:rPr>
          <w:rFonts w:ascii="Times New Roman" w:hAnsi="Times New Roman" w:cs="Times New Roman"/>
          <w:i/>
          <w:iCs/>
          <w:sz w:val="24"/>
          <w:szCs w:val="24"/>
        </w:rPr>
        <w:t xml:space="preserve">Egypt J </w:t>
      </w:r>
      <w:proofErr w:type="spellStart"/>
      <w:r w:rsidRPr="00314098">
        <w:rPr>
          <w:rFonts w:ascii="Times New Roman" w:hAnsi="Times New Roman" w:cs="Times New Roman"/>
          <w:i/>
          <w:iCs/>
          <w:sz w:val="24"/>
          <w:szCs w:val="24"/>
        </w:rPr>
        <w:t>Biol</w:t>
      </w:r>
      <w:proofErr w:type="spellEnd"/>
      <w:r w:rsidRPr="00314098">
        <w:rPr>
          <w:rFonts w:ascii="Times New Roman" w:hAnsi="Times New Roman" w:cs="Times New Roman"/>
          <w:i/>
          <w:iCs/>
          <w:sz w:val="24"/>
          <w:szCs w:val="24"/>
        </w:rPr>
        <w:t xml:space="preserve"> Pest Control</w:t>
      </w:r>
      <w:r w:rsidRPr="00314098">
        <w:rPr>
          <w:rFonts w:ascii="Times New Roman" w:hAnsi="Times New Roman" w:cs="Times New Roman"/>
          <w:sz w:val="24"/>
          <w:szCs w:val="24"/>
        </w:rPr>
        <w:t>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 124 (2022). </w:t>
      </w:r>
      <w:hyperlink r:id="rId22" w:history="1">
        <w:r w:rsidRPr="00314098">
          <w:rPr>
            <w:rStyle w:val="Hyperlink"/>
            <w:rFonts w:ascii="Times New Roman" w:hAnsi="Times New Roman" w:cs="Times New Roman"/>
            <w:color w:val="auto"/>
            <w:sz w:val="24"/>
            <w:szCs w:val="24"/>
          </w:rPr>
          <w:t>https://doi.org/10.1186/s41938-022-00625-4</w:t>
        </w:r>
      </w:hyperlink>
      <w:r w:rsidRPr="00314098">
        <w:rPr>
          <w:rFonts w:ascii="Times New Roman" w:hAnsi="Times New Roman" w:cs="Times New Roman"/>
          <w:sz w:val="24"/>
          <w:szCs w:val="24"/>
        </w:rPr>
        <w:t>.</w:t>
      </w:r>
    </w:p>
    <w:p w14:paraId="435FC84F" w14:textId="77777777" w:rsidR="0028008F" w:rsidRPr="00CD1946" w:rsidRDefault="0028008F" w:rsidP="0060042B">
      <w:pPr>
        <w:pStyle w:val="ListParagraph"/>
        <w:ind w:left="426"/>
        <w:jc w:val="both"/>
        <w:rPr>
          <w:rFonts w:ascii="Times New Roman" w:hAnsi="Times New Roman" w:cs="Times New Roman"/>
          <w:sz w:val="24"/>
          <w:szCs w:val="24"/>
        </w:rPr>
      </w:pPr>
      <w:proofErr w:type="spellStart"/>
      <w:r w:rsidRPr="00CD1946">
        <w:rPr>
          <w:rFonts w:ascii="Times New Roman" w:hAnsi="Times New Roman" w:cs="Times New Roman"/>
          <w:sz w:val="24"/>
          <w:szCs w:val="24"/>
        </w:rPr>
        <w:t>Vieglais</w:t>
      </w:r>
      <w:proofErr w:type="spellEnd"/>
      <w:r w:rsidRPr="00CD1946">
        <w:rPr>
          <w:rFonts w:ascii="Times New Roman" w:hAnsi="Times New Roman" w:cs="Times New Roman"/>
          <w:sz w:val="24"/>
          <w:szCs w:val="24"/>
        </w:rPr>
        <w:t xml:space="preserve"> D (2012) Darwin Core: An Evolving Community-Developed Biodiversity Data</w:t>
      </w:r>
    </w:p>
    <w:p w14:paraId="4C94497A"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D., Zizka, V. M. A., Leese, F., &amp; Creer, S. (2023). Partitioning arthropod communities across plant compartments using plant-derived environmental DNA. Molecular Ecology Resources, 24(3), 421–433. </w:t>
      </w:r>
      <w:hyperlink r:id="rId23" w:history="1">
        <w:r w:rsidRPr="00314098">
          <w:rPr>
            <w:rStyle w:val="Hyperlink"/>
            <w:rFonts w:ascii="Times New Roman" w:hAnsi="Times New Roman" w:cs="Times New Roman"/>
            <w:color w:val="auto"/>
            <w:sz w:val="24"/>
            <w:szCs w:val="24"/>
          </w:rPr>
          <w:t>https://doi.org/10.1111/1755-0998.13900</w:t>
        </w:r>
      </w:hyperlink>
    </w:p>
    <w:p w14:paraId="6FD3B1C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S., </w:t>
      </w:r>
      <w:proofErr w:type="spellStart"/>
      <w:r w:rsidRPr="00314098">
        <w:rPr>
          <w:rFonts w:ascii="Times New Roman" w:hAnsi="Times New Roman" w:cs="Times New Roman"/>
          <w:sz w:val="24"/>
          <w:szCs w:val="24"/>
        </w:rPr>
        <w:t>Stothut</w:t>
      </w:r>
      <w:proofErr w:type="spellEnd"/>
      <w:r w:rsidRPr="00314098">
        <w:rPr>
          <w:rFonts w:ascii="Times New Roman" w:hAnsi="Times New Roman" w:cs="Times New Roman"/>
          <w:sz w:val="24"/>
          <w:szCs w:val="24"/>
        </w:rPr>
        <w:t xml:space="preserve">, M., Mahla, L., </w:t>
      </w:r>
      <w:proofErr w:type="spellStart"/>
      <w:r w:rsidRPr="00314098">
        <w:rPr>
          <w:rFonts w:ascii="Times New Roman" w:hAnsi="Times New Roman" w:cs="Times New Roman"/>
          <w:sz w:val="24"/>
          <w:szCs w:val="24"/>
        </w:rPr>
        <w:t>Kripp</w:t>
      </w:r>
      <w:proofErr w:type="spellEnd"/>
      <w:r w:rsidRPr="00314098">
        <w:rPr>
          <w:rFonts w:ascii="Times New Roman" w:hAnsi="Times New Roman" w:cs="Times New Roman"/>
          <w:sz w:val="24"/>
          <w:szCs w:val="24"/>
        </w:rPr>
        <w:t xml:space="preserve">, A., Hirschler, L., Lenz, N., Junker, A., </w:t>
      </w:r>
      <w:proofErr w:type="spellStart"/>
      <w:r w:rsidRPr="00314098">
        <w:rPr>
          <w:rFonts w:ascii="Times New Roman" w:hAnsi="Times New Roman" w:cs="Times New Roman"/>
          <w:sz w:val="24"/>
          <w:szCs w:val="24"/>
        </w:rPr>
        <w:t>Künzel</w:t>
      </w:r>
      <w:proofErr w:type="spellEnd"/>
      <w:r w:rsidRPr="00314098">
        <w:rPr>
          <w:rFonts w:ascii="Times New Roman" w:hAnsi="Times New Roman" w:cs="Times New Roman"/>
          <w:sz w:val="24"/>
          <w:szCs w:val="24"/>
        </w:rPr>
        <w:t xml:space="preserve">, S., &amp; </w:t>
      </w:r>
      <w:proofErr w:type="spellStart"/>
      <w:r w:rsidRPr="00314098">
        <w:rPr>
          <w:rFonts w:ascii="Times New Roman" w:hAnsi="Times New Roman" w:cs="Times New Roman"/>
          <w:sz w:val="24"/>
          <w:szCs w:val="24"/>
        </w:rPr>
        <w:t>Krehenwinkel</w:t>
      </w:r>
      <w:proofErr w:type="spellEnd"/>
      <w:r w:rsidRPr="00314098">
        <w:rPr>
          <w:rFonts w:ascii="Times New Roman" w:hAnsi="Times New Roman" w:cs="Times New Roman"/>
          <w:sz w:val="24"/>
          <w:szCs w:val="24"/>
        </w:rPr>
        <w:t>, H. (2024). Plant-derived environmental DNA complements diversity estimates from traditional arthropod monitoring methods but outperforms them detecting plant-arthropod interactions. Molecular ecology resources, 24(2), e13900. https://doi.org/10.1111/1755-0998.13900.</w:t>
      </w:r>
    </w:p>
    <w:p w14:paraId="2758CF34"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Wheeler, Q.D., Raven, P.H., &amp; Wilson, E.O. (2004). Taxonomy: impediment or expedient?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303</w:t>
      </w:r>
      <w:r w:rsidRPr="00314098">
        <w:rPr>
          <w:rFonts w:ascii="Times New Roman" w:hAnsi="Times New Roman" w:cs="Times New Roman"/>
          <w:sz w:val="24"/>
          <w:szCs w:val="24"/>
        </w:rPr>
        <w:t>(5656), 285. doi:10.1126/science.303.5656.285</w:t>
      </w:r>
    </w:p>
    <w:p w14:paraId="1511CD8B" w14:textId="77777777" w:rsidR="0028008F" w:rsidRPr="00CD1946"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CD1946">
        <w:rPr>
          <w:rFonts w:ascii="Times New Roman" w:hAnsi="Times New Roman" w:cs="Times New Roman"/>
          <w:sz w:val="24"/>
          <w:szCs w:val="24"/>
        </w:rPr>
        <w:t>Wieczorek J, Bloom D, Guralnick R, Blum S, Döring M, Giovanni R, Robertson T,</w:t>
      </w:r>
    </w:p>
    <w:p w14:paraId="67070431"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Wilson et al. (2017</w:t>
      </w:r>
      <w:proofErr w:type="gramStart"/>
      <w:r w:rsidRPr="00314098">
        <w:rPr>
          <w:rFonts w:ascii="Times New Roman" w:hAnsi="Times New Roman" w:cs="Times New Roman"/>
          <w:sz w:val="24"/>
          <w:szCs w:val="24"/>
        </w:rPr>
        <w:t>).Wilson</w:t>
      </w:r>
      <w:proofErr w:type="gramEnd"/>
      <w:r w:rsidRPr="00314098">
        <w:rPr>
          <w:rFonts w:ascii="Times New Roman" w:hAnsi="Times New Roman" w:cs="Times New Roman"/>
          <w:sz w:val="24"/>
          <w:szCs w:val="24"/>
        </w:rPr>
        <w:t xml:space="preserve"> JJ, Sing KW, Floyd RM, Hebert PDN. DNA barcodes and insect biodiversity. In: </w:t>
      </w:r>
      <w:proofErr w:type="spellStart"/>
      <w:r w:rsidRPr="00314098">
        <w:rPr>
          <w:rFonts w:ascii="Times New Roman" w:hAnsi="Times New Roman" w:cs="Times New Roman"/>
          <w:sz w:val="24"/>
          <w:szCs w:val="24"/>
        </w:rPr>
        <w:t>Foottit</w:t>
      </w:r>
      <w:proofErr w:type="spellEnd"/>
      <w:r w:rsidRPr="00314098">
        <w:rPr>
          <w:rFonts w:ascii="Times New Roman" w:hAnsi="Times New Roman" w:cs="Times New Roman"/>
          <w:sz w:val="24"/>
          <w:szCs w:val="24"/>
        </w:rPr>
        <w:t xml:space="preserve"> RG, Adler PH, editors. Insect Biodiversity: Science and Society. Second Edition. Vol. 1. Oxford: Blackwell Publishing Ltd; 2017.</w:t>
      </w:r>
    </w:p>
    <w:p w14:paraId="1338BC92"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World Bank. 2025. </w:t>
      </w:r>
      <w:r w:rsidRPr="00314098">
        <w:rPr>
          <w:rFonts w:ascii="Times New Roman" w:hAnsi="Times New Roman" w:cs="Times New Roman"/>
          <w:i/>
          <w:iCs/>
          <w:sz w:val="24"/>
          <w:szCs w:val="24"/>
        </w:rPr>
        <w:t>Employment in agriculture (% of total employment) — India.</w:t>
      </w:r>
      <w:r w:rsidRPr="00314098">
        <w:rPr>
          <w:rFonts w:ascii="Times New Roman" w:hAnsi="Times New Roman" w:cs="Times New Roman"/>
          <w:sz w:val="24"/>
          <w:szCs w:val="24"/>
        </w:rPr>
        <w:t xml:space="preserve"> World Bank Data. </w:t>
      </w:r>
      <w:hyperlink r:id="rId24" w:tgtFrame="_blank" w:history="1">
        <w:r w:rsidRPr="00314098">
          <w:rPr>
            <w:rStyle w:val="Hyperlink"/>
            <w:rFonts w:ascii="Times New Roman" w:hAnsi="Times New Roman" w:cs="Times New Roman"/>
            <w:color w:val="auto"/>
            <w:sz w:val="24"/>
            <w:szCs w:val="24"/>
            <w:u w:val="none"/>
          </w:rPr>
          <w:t>World Bank Open Data</w:t>
        </w:r>
      </w:hyperlink>
      <w:r w:rsidRPr="00314098">
        <w:rPr>
          <w:rFonts w:ascii="Times New Roman" w:hAnsi="Times New Roman" w:cs="Times New Roman"/>
          <w:sz w:val="24"/>
          <w:szCs w:val="24"/>
        </w:rPr>
        <w:t xml:space="preserve"> LO Modelled Estimates database (ILOEST), International Labour Organization (ILO), </w:t>
      </w:r>
      <w:proofErr w:type="spellStart"/>
      <w:r w:rsidRPr="00314098">
        <w:rPr>
          <w:rFonts w:ascii="Times New Roman" w:hAnsi="Times New Roman" w:cs="Times New Roman"/>
          <w:sz w:val="24"/>
          <w:szCs w:val="24"/>
        </w:rPr>
        <w:t>uri</w:t>
      </w:r>
      <w:proofErr w:type="spellEnd"/>
      <w:r w:rsidRPr="00314098">
        <w:rPr>
          <w:rFonts w:ascii="Times New Roman" w:hAnsi="Times New Roman" w:cs="Times New Roman"/>
          <w:sz w:val="24"/>
          <w:szCs w:val="24"/>
        </w:rPr>
        <w:t>: ilostat.ilo.org/data/bulk, publisher: ILOSTAT, type: external database, data accessed: August 01, 2025.</w:t>
      </w:r>
    </w:p>
    <w:p w14:paraId="02A6EEA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Young, M. R., &amp; Hebert, P. D. N. (2022). Unearthing soil arthropod diversity through DNA metabarcoding. </w:t>
      </w:r>
      <w:proofErr w:type="spellStart"/>
      <w:r w:rsidRPr="00314098">
        <w:rPr>
          <w:rFonts w:ascii="Times New Roman" w:hAnsi="Times New Roman" w:cs="Times New Roman"/>
          <w:sz w:val="24"/>
          <w:szCs w:val="24"/>
        </w:rPr>
        <w:t>PeerJ</w:t>
      </w:r>
      <w:proofErr w:type="spellEnd"/>
      <w:r w:rsidRPr="00314098">
        <w:rPr>
          <w:rFonts w:ascii="Times New Roman" w:hAnsi="Times New Roman" w:cs="Times New Roman"/>
          <w:sz w:val="24"/>
          <w:szCs w:val="24"/>
        </w:rPr>
        <w:t xml:space="preserve">, 10, e12845. </w:t>
      </w:r>
      <w:hyperlink r:id="rId25" w:history="1">
        <w:r w:rsidRPr="00314098">
          <w:rPr>
            <w:rStyle w:val="Hyperlink"/>
            <w:rFonts w:ascii="Times New Roman" w:hAnsi="Times New Roman" w:cs="Times New Roman"/>
            <w:color w:val="auto"/>
            <w:sz w:val="24"/>
            <w:szCs w:val="24"/>
          </w:rPr>
          <w:t>https://doi.org/10.7717/peerj.12845</w:t>
        </w:r>
      </w:hyperlink>
      <w:r w:rsidRPr="00314098">
        <w:rPr>
          <w:rFonts w:ascii="Times New Roman" w:hAnsi="Times New Roman" w:cs="Times New Roman"/>
          <w:sz w:val="24"/>
          <w:szCs w:val="24"/>
        </w:rPr>
        <w:t>.</w:t>
      </w:r>
    </w:p>
    <w:sectPr w:rsidR="0028008F" w:rsidRPr="0031409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umar suman" w:date="2025-09-05T14:23:00Z" w:initials="ks">
    <w:p w14:paraId="2661440E" w14:textId="531FDAA9" w:rsidR="0072734F" w:rsidRDefault="0072734F">
      <w:pPr>
        <w:pStyle w:val="CommentText"/>
      </w:pPr>
      <w:r>
        <w:rPr>
          <w:rStyle w:val="CommentReference"/>
        </w:rPr>
        <w:annotationRef/>
      </w:r>
      <w:r>
        <w:t>Space</w:t>
      </w:r>
    </w:p>
    <w:p w14:paraId="185C3DA3" w14:textId="6C54E3A5" w:rsidR="0072734F" w:rsidRDefault="0072734F">
      <w:pPr>
        <w:pStyle w:val="CommentText"/>
      </w:pPr>
    </w:p>
  </w:comment>
  <w:comment w:id="1" w:author="kumar suman" w:date="2025-09-05T14:22:00Z" w:initials="ks">
    <w:p w14:paraId="5525B52A" w14:textId="564E63EC" w:rsidR="0072734F" w:rsidRDefault="0072734F">
      <w:pPr>
        <w:pStyle w:val="CommentText"/>
      </w:pPr>
      <w:r>
        <w:rPr>
          <w:rStyle w:val="CommentReference"/>
        </w:rPr>
        <w:annotationRef/>
      </w:r>
      <w:r>
        <w:t>space</w:t>
      </w:r>
    </w:p>
  </w:comment>
  <w:comment w:id="2" w:author="kumar suman" w:date="2025-09-05T14:23:00Z" w:initials="ks">
    <w:p w14:paraId="08145F63" w14:textId="64FFDE2C" w:rsidR="0072734F" w:rsidRDefault="0072734F">
      <w:pPr>
        <w:pStyle w:val="CommentText"/>
      </w:pPr>
      <w:r>
        <w:rPr>
          <w:rStyle w:val="CommentReference"/>
        </w:rPr>
        <w:annotationRef/>
      </w:r>
      <w:r>
        <w:t>Arrange in alphabet</w:t>
      </w:r>
    </w:p>
  </w:comment>
  <w:comment w:id="3" w:author="kumar suman" w:date="2025-09-05T14:25:00Z" w:initials="ks">
    <w:p w14:paraId="46FB3D96" w14:textId="719E816F" w:rsidR="0072734F" w:rsidRDefault="0072734F">
      <w:pPr>
        <w:pStyle w:val="CommentText"/>
      </w:pPr>
      <w:r>
        <w:rPr>
          <w:rStyle w:val="CommentReference"/>
        </w:rPr>
        <w:annotationRef/>
      </w:r>
      <w:r>
        <w:t>?</w:t>
      </w:r>
    </w:p>
  </w:comment>
  <w:comment w:id="4" w:author="kumar suman" w:date="2025-09-05T14:27:00Z" w:initials="ks">
    <w:p w14:paraId="7994464C" w14:textId="397C82C1" w:rsidR="0072734F" w:rsidRDefault="0072734F">
      <w:pPr>
        <w:pStyle w:val="CommentText"/>
      </w:pPr>
      <w:r>
        <w:rPr>
          <w:rStyle w:val="CommentReference"/>
        </w:rPr>
        <w:annotationRef/>
      </w:r>
      <w:r>
        <w:t>?</w:t>
      </w:r>
    </w:p>
  </w:comment>
  <w:comment w:id="5" w:author="kumar suman" w:date="2025-09-05T14:30:00Z" w:initials="ks">
    <w:p w14:paraId="318BDFD5" w14:textId="16155D26" w:rsidR="0072734F" w:rsidRDefault="0072734F">
      <w:pPr>
        <w:pStyle w:val="CommentText"/>
      </w:pPr>
      <w:r>
        <w:rPr>
          <w:rStyle w:val="CommentReference"/>
        </w:rPr>
        <w:annotationRef/>
      </w:r>
      <w:r>
        <w:t>Space</w:t>
      </w:r>
    </w:p>
    <w:p w14:paraId="78B10079" w14:textId="7F203E84" w:rsidR="0072734F" w:rsidRDefault="0072734F">
      <w:pPr>
        <w:pStyle w:val="CommentText"/>
      </w:pPr>
    </w:p>
  </w:comment>
  <w:comment w:id="6" w:author="kumar suman" w:date="2025-09-05T14:32:00Z" w:initials="ks">
    <w:p w14:paraId="7F342630" w14:textId="0C26D0C1" w:rsidR="0086764F" w:rsidRDefault="0086764F">
      <w:pPr>
        <w:pStyle w:val="CommentText"/>
      </w:pPr>
      <w:r>
        <w:rPr>
          <w:rStyle w:val="CommentReference"/>
        </w:rPr>
        <w:annotationRef/>
      </w:r>
      <w:r>
        <w:t>Use one pattern</w:t>
      </w:r>
    </w:p>
  </w:comment>
  <w:comment w:id="7" w:author="kumar suman" w:date="2025-09-05T14:32:00Z" w:initials="ks">
    <w:p w14:paraId="4E0C09DF" w14:textId="77777777" w:rsidR="0086764F" w:rsidRDefault="0086764F">
      <w:pPr>
        <w:pStyle w:val="CommentText"/>
      </w:pPr>
      <w:r>
        <w:rPr>
          <w:rStyle w:val="CommentReference"/>
        </w:rPr>
        <w:annotationRef/>
      </w:r>
      <w:r>
        <w:t>Use one pattern</w:t>
      </w:r>
    </w:p>
    <w:p w14:paraId="4823276C" w14:textId="5E225123" w:rsidR="0086764F" w:rsidRDefault="0086764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C3DA3" w15:done="0"/>
  <w15:commentEx w15:paraId="5525B52A" w15:done="0"/>
  <w15:commentEx w15:paraId="08145F63" w15:done="0"/>
  <w15:commentEx w15:paraId="46FB3D96" w15:done="0"/>
  <w15:commentEx w15:paraId="7994464C" w15:done="0"/>
  <w15:commentEx w15:paraId="78B10079" w15:done="0"/>
  <w15:commentEx w15:paraId="7F342630" w15:done="0"/>
  <w15:commentEx w15:paraId="482327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FCEE9" w16cex:dateUtc="2025-09-05T08:53:00Z"/>
  <w16cex:commentExtensible w16cex:durableId="2925AE6F" w16cex:dateUtc="2025-09-05T08:52:00Z"/>
  <w16cex:commentExtensible w16cex:durableId="6D8FD9B2" w16cex:dateUtc="2025-09-05T08:53:00Z"/>
  <w16cex:commentExtensible w16cex:durableId="6D1CE73D" w16cex:dateUtc="2025-09-05T08:55:00Z"/>
  <w16cex:commentExtensible w16cex:durableId="2D12E131" w16cex:dateUtc="2025-09-05T08:57:00Z"/>
  <w16cex:commentExtensible w16cex:durableId="42C66DAF" w16cex:dateUtc="2025-09-05T09:00:00Z"/>
  <w16cex:commentExtensible w16cex:durableId="4C17E7F7" w16cex:dateUtc="2025-09-05T09:02:00Z"/>
  <w16cex:commentExtensible w16cex:durableId="54E2CB4E" w16cex:dateUtc="2025-09-05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C3DA3" w16cid:durableId="2CDFCEE9"/>
  <w16cid:commentId w16cid:paraId="5525B52A" w16cid:durableId="2925AE6F"/>
  <w16cid:commentId w16cid:paraId="08145F63" w16cid:durableId="6D8FD9B2"/>
  <w16cid:commentId w16cid:paraId="46FB3D96" w16cid:durableId="6D1CE73D"/>
  <w16cid:commentId w16cid:paraId="7994464C" w16cid:durableId="2D12E131"/>
  <w16cid:commentId w16cid:paraId="78B10079" w16cid:durableId="42C66DAF"/>
  <w16cid:commentId w16cid:paraId="7F342630" w16cid:durableId="4C17E7F7"/>
  <w16cid:commentId w16cid:paraId="4823276C" w16cid:durableId="54E2C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D5EE" w14:textId="77777777" w:rsidR="00FC7BE8" w:rsidRDefault="00FC7BE8" w:rsidP="00A83BFA">
      <w:pPr>
        <w:spacing w:after="0" w:line="240" w:lineRule="auto"/>
      </w:pPr>
      <w:r>
        <w:separator/>
      </w:r>
    </w:p>
  </w:endnote>
  <w:endnote w:type="continuationSeparator" w:id="0">
    <w:p w14:paraId="25FFDE9B" w14:textId="77777777" w:rsidR="00FC7BE8" w:rsidRDefault="00FC7BE8" w:rsidP="00A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C4B6" w14:textId="77777777" w:rsidR="00A83BFA" w:rsidRDefault="00A8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43CC" w14:textId="77777777" w:rsidR="00A83BFA" w:rsidRDefault="00A8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97BA" w14:textId="77777777" w:rsidR="00A83BFA" w:rsidRDefault="00A8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8E95" w14:textId="77777777" w:rsidR="00FC7BE8" w:rsidRDefault="00FC7BE8" w:rsidP="00A83BFA">
      <w:pPr>
        <w:spacing w:after="0" w:line="240" w:lineRule="auto"/>
      </w:pPr>
      <w:r>
        <w:separator/>
      </w:r>
    </w:p>
  </w:footnote>
  <w:footnote w:type="continuationSeparator" w:id="0">
    <w:p w14:paraId="45B2CEA1" w14:textId="77777777" w:rsidR="00FC7BE8" w:rsidRDefault="00FC7BE8" w:rsidP="00A8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2000" w14:textId="2484E7BF" w:rsidR="00A83BFA" w:rsidRDefault="00000000">
    <w:pPr>
      <w:pStyle w:val="Header"/>
    </w:pPr>
    <w:r>
      <w:rPr>
        <w:noProof/>
      </w:rPr>
      <w:pict w14:anchorId="11311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A19B" w14:textId="27D9A878" w:rsidR="00A83BFA" w:rsidRDefault="00000000">
    <w:pPr>
      <w:pStyle w:val="Header"/>
    </w:pPr>
    <w:r>
      <w:rPr>
        <w:noProof/>
      </w:rPr>
      <w:pict w14:anchorId="4D9D5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E58B" w14:textId="157BDA7A" w:rsidR="00A83BFA" w:rsidRDefault="00000000">
    <w:pPr>
      <w:pStyle w:val="Header"/>
    </w:pPr>
    <w:r>
      <w:rPr>
        <w:noProof/>
      </w:rPr>
      <w:pict w14:anchorId="7F02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21DD"/>
    <w:multiLevelType w:val="multilevel"/>
    <w:tmpl w:val="C3A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42C15"/>
    <w:multiLevelType w:val="multilevel"/>
    <w:tmpl w:val="F71EFBC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42E7F"/>
    <w:multiLevelType w:val="multilevel"/>
    <w:tmpl w:val="E57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04B38"/>
    <w:multiLevelType w:val="multilevel"/>
    <w:tmpl w:val="CAD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763F7"/>
    <w:multiLevelType w:val="multilevel"/>
    <w:tmpl w:val="747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770339">
    <w:abstractNumId w:val="3"/>
  </w:num>
  <w:num w:numId="2" w16cid:durableId="2118982786">
    <w:abstractNumId w:val="4"/>
  </w:num>
  <w:num w:numId="3" w16cid:durableId="1362780553">
    <w:abstractNumId w:val="0"/>
  </w:num>
  <w:num w:numId="4" w16cid:durableId="1146707694">
    <w:abstractNumId w:val="1"/>
  </w:num>
  <w:num w:numId="5" w16cid:durableId="20065477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mar suman">
    <w15:presenceInfo w15:providerId="Windows Live" w15:userId="7c0fb0fb26576c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3D"/>
    <w:rsid w:val="000037D6"/>
    <w:rsid w:val="00005603"/>
    <w:rsid w:val="00006086"/>
    <w:rsid w:val="00014BBC"/>
    <w:rsid w:val="000201EE"/>
    <w:rsid w:val="000233BE"/>
    <w:rsid w:val="0002403D"/>
    <w:rsid w:val="00027792"/>
    <w:rsid w:val="0003437C"/>
    <w:rsid w:val="000346BA"/>
    <w:rsid w:val="00045BB7"/>
    <w:rsid w:val="00045E82"/>
    <w:rsid w:val="000535BD"/>
    <w:rsid w:val="00064469"/>
    <w:rsid w:val="000767B0"/>
    <w:rsid w:val="00082B46"/>
    <w:rsid w:val="0008441C"/>
    <w:rsid w:val="00084CD3"/>
    <w:rsid w:val="00085869"/>
    <w:rsid w:val="00087353"/>
    <w:rsid w:val="000A5F80"/>
    <w:rsid w:val="000C5A51"/>
    <w:rsid w:val="000D0D52"/>
    <w:rsid w:val="000D5CC3"/>
    <w:rsid w:val="000F11F8"/>
    <w:rsid w:val="000F7A7D"/>
    <w:rsid w:val="00101108"/>
    <w:rsid w:val="00112627"/>
    <w:rsid w:val="001202D7"/>
    <w:rsid w:val="0013479A"/>
    <w:rsid w:val="00143B1D"/>
    <w:rsid w:val="001470C2"/>
    <w:rsid w:val="0015323C"/>
    <w:rsid w:val="001706EE"/>
    <w:rsid w:val="001707CA"/>
    <w:rsid w:val="001714BC"/>
    <w:rsid w:val="00172BD8"/>
    <w:rsid w:val="0018423D"/>
    <w:rsid w:val="00192162"/>
    <w:rsid w:val="001958C3"/>
    <w:rsid w:val="00195A53"/>
    <w:rsid w:val="001C6675"/>
    <w:rsid w:val="001E60AE"/>
    <w:rsid w:val="001F4E54"/>
    <w:rsid w:val="002039EE"/>
    <w:rsid w:val="002149A7"/>
    <w:rsid w:val="0022103B"/>
    <w:rsid w:val="002346AC"/>
    <w:rsid w:val="002416AC"/>
    <w:rsid w:val="00243E1B"/>
    <w:rsid w:val="0028008F"/>
    <w:rsid w:val="0028390A"/>
    <w:rsid w:val="00285717"/>
    <w:rsid w:val="002923E0"/>
    <w:rsid w:val="002940EE"/>
    <w:rsid w:val="00297329"/>
    <w:rsid w:val="002A07FB"/>
    <w:rsid w:val="002A69C8"/>
    <w:rsid w:val="002B3685"/>
    <w:rsid w:val="002B450F"/>
    <w:rsid w:val="002B7A47"/>
    <w:rsid w:val="002C24A6"/>
    <w:rsid w:val="002C2BCE"/>
    <w:rsid w:val="002C2CF7"/>
    <w:rsid w:val="002C61C1"/>
    <w:rsid w:val="002D2183"/>
    <w:rsid w:val="002D51B3"/>
    <w:rsid w:val="002D72B7"/>
    <w:rsid w:val="002F355F"/>
    <w:rsid w:val="00304651"/>
    <w:rsid w:val="00305A5B"/>
    <w:rsid w:val="00314098"/>
    <w:rsid w:val="003172B3"/>
    <w:rsid w:val="0032301A"/>
    <w:rsid w:val="003246E2"/>
    <w:rsid w:val="00326E54"/>
    <w:rsid w:val="00335EC5"/>
    <w:rsid w:val="003408EF"/>
    <w:rsid w:val="00377452"/>
    <w:rsid w:val="003859BB"/>
    <w:rsid w:val="003A29B6"/>
    <w:rsid w:val="003A6A70"/>
    <w:rsid w:val="003B748A"/>
    <w:rsid w:val="003C0C8D"/>
    <w:rsid w:val="003D0018"/>
    <w:rsid w:val="003D20DE"/>
    <w:rsid w:val="003F0D48"/>
    <w:rsid w:val="004062A0"/>
    <w:rsid w:val="00413FC9"/>
    <w:rsid w:val="004147CA"/>
    <w:rsid w:val="0042033F"/>
    <w:rsid w:val="004256FF"/>
    <w:rsid w:val="00426E43"/>
    <w:rsid w:val="00432833"/>
    <w:rsid w:val="00442CC1"/>
    <w:rsid w:val="004430AB"/>
    <w:rsid w:val="004462E5"/>
    <w:rsid w:val="00447161"/>
    <w:rsid w:val="00451720"/>
    <w:rsid w:val="0045631B"/>
    <w:rsid w:val="00461152"/>
    <w:rsid w:val="00471BB9"/>
    <w:rsid w:val="0047286B"/>
    <w:rsid w:val="00480B54"/>
    <w:rsid w:val="00481FE2"/>
    <w:rsid w:val="004830D2"/>
    <w:rsid w:val="004961B2"/>
    <w:rsid w:val="004A07F7"/>
    <w:rsid w:val="004A0CBE"/>
    <w:rsid w:val="004A57B8"/>
    <w:rsid w:val="004B0516"/>
    <w:rsid w:val="004B7E82"/>
    <w:rsid w:val="004D734B"/>
    <w:rsid w:val="004E5614"/>
    <w:rsid w:val="004E7B2D"/>
    <w:rsid w:val="004F76EA"/>
    <w:rsid w:val="0051294B"/>
    <w:rsid w:val="00516A49"/>
    <w:rsid w:val="00521545"/>
    <w:rsid w:val="0052233A"/>
    <w:rsid w:val="00532F11"/>
    <w:rsid w:val="00537431"/>
    <w:rsid w:val="00551191"/>
    <w:rsid w:val="00551CD8"/>
    <w:rsid w:val="0055694D"/>
    <w:rsid w:val="00565236"/>
    <w:rsid w:val="00570C20"/>
    <w:rsid w:val="00575614"/>
    <w:rsid w:val="00576558"/>
    <w:rsid w:val="00584226"/>
    <w:rsid w:val="00591004"/>
    <w:rsid w:val="005A2424"/>
    <w:rsid w:val="005A3978"/>
    <w:rsid w:val="005A4A92"/>
    <w:rsid w:val="005C04AE"/>
    <w:rsid w:val="005C6DBB"/>
    <w:rsid w:val="005D0B8A"/>
    <w:rsid w:val="005D2D3B"/>
    <w:rsid w:val="005D7134"/>
    <w:rsid w:val="005F7AB3"/>
    <w:rsid w:val="0060042B"/>
    <w:rsid w:val="00615E52"/>
    <w:rsid w:val="00624C64"/>
    <w:rsid w:val="006312AA"/>
    <w:rsid w:val="00635400"/>
    <w:rsid w:val="00636FEE"/>
    <w:rsid w:val="006463EF"/>
    <w:rsid w:val="00653BF8"/>
    <w:rsid w:val="00657270"/>
    <w:rsid w:val="00662294"/>
    <w:rsid w:val="00667C42"/>
    <w:rsid w:val="00690A71"/>
    <w:rsid w:val="0069611A"/>
    <w:rsid w:val="00696738"/>
    <w:rsid w:val="00697B5C"/>
    <w:rsid w:val="006A454D"/>
    <w:rsid w:val="006A69D4"/>
    <w:rsid w:val="006B0EBC"/>
    <w:rsid w:val="006B3491"/>
    <w:rsid w:val="006B6747"/>
    <w:rsid w:val="006C4110"/>
    <w:rsid w:val="006F0463"/>
    <w:rsid w:val="006F0B87"/>
    <w:rsid w:val="006F3E81"/>
    <w:rsid w:val="00704577"/>
    <w:rsid w:val="007055C8"/>
    <w:rsid w:val="00706249"/>
    <w:rsid w:val="0070791D"/>
    <w:rsid w:val="00711A0C"/>
    <w:rsid w:val="007132F7"/>
    <w:rsid w:val="007264CB"/>
    <w:rsid w:val="007265A0"/>
    <w:rsid w:val="0072734F"/>
    <w:rsid w:val="00731454"/>
    <w:rsid w:val="00742FCC"/>
    <w:rsid w:val="00756E6A"/>
    <w:rsid w:val="00761171"/>
    <w:rsid w:val="0076622F"/>
    <w:rsid w:val="00773D01"/>
    <w:rsid w:val="00774204"/>
    <w:rsid w:val="0077777D"/>
    <w:rsid w:val="007849D5"/>
    <w:rsid w:val="00796BF4"/>
    <w:rsid w:val="007A120D"/>
    <w:rsid w:val="007B36FA"/>
    <w:rsid w:val="007C3D55"/>
    <w:rsid w:val="007D4C5C"/>
    <w:rsid w:val="007E3AAD"/>
    <w:rsid w:val="007E3EC9"/>
    <w:rsid w:val="007F34F1"/>
    <w:rsid w:val="008109CE"/>
    <w:rsid w:val="008169A5"/>
    <w:rsid w:val="0082339C"/>
    <w:rsid w:val="0083448C"/>
    <w:rsid w:val="00855942"/>
    <w:rsid w:val="00857B2D"/>
    <w:rsid w:val="0086764F"/>
    <w:rsid w:val="008A4B9A"/>
    <w:rsid w:val="008B614B"/>
    <w:rsid w:val="008D271D"/>
    <w:rsid w:val="008D79F1"/>
    <w:rsid w:val="008E37F7"/>
    <w:rsid w:val="008F6BA0"/>
    <w:rsid w:val="00903560"/>
    <w:rsid w:val="00906AAA"/>
    <w:rsid w:val="009107F2"/>
    <w:rsid w:val="009121D6"/>
    <w:rsid w:val="00917FDD"/>
    <w:rsid w:val="009254F7"/>
    <w:rsid w:val="00963102"/>
    <w:rsid w:val="00963CAA"/>
    <w:rsid w:val="00973033"/>
    <w:rsid w:val="0097423F"/>
    <w:rsid w:val="00976172"/>
    <w:rsid w:val="009768C4"/>
    <w:rsid w:val="00982910"/>
    <w:rsid w:val="00983124"/>
    <w:rsid w:val="00985E43"/>
    <w:rsid w:val="009A3895"/>
    <w:rsid w:val="009C1C8E"/>
    <w:rsid w:val="009C29CB"/>
    <w:rsid w:val="009D5A85"/>
    <w:rsid w:val="009D7DD8"/>
    <w:rsid w:val="009F7718"/>
    <w:rsid w:val="00A04914"/>
    <w:rsid w:val="00A14CF7"/>
    <w:rsid w:val="00A352FC"/>
    <w:rsid w:val="00A35D75"/>
    <w:rsid w:val="00A552AB"/>
    <w:rsid w:val="00A76D49"/>
    <w:rsid w:val="00A80176"/>
    <w:rsid w:val="00A80A8E"/>
    <w:rsid w:val="00A82C49"/>
    <w:rsid w:val="00A83BFA"/>
    <w:rsid w:val="00A850B7"/>
    <w:rsid w:val="00AA2B55"/>
    <w:rsid w:val="00AC0A7E"/>
    <w:rsid w:val="00AC0B67"/>
    <w:rsid w:val="00AC4E9D"/>
    <w:rsid w:val="00AC51A9"/>
    <w:rsid w:val="00AC5E1B"/>
    <w:rsid w:val="00AC642A"/>
    <w:rsid w:val="00AD442C"/>
    <w:rsid w:val="00AD677E"/>
    <w:rsid w:val="00AF0005"/>
    <w:rsid w:val="00AF2287"/>
    <w:rsid w:val="00B120B3"/>
    <w:rsid w:val="00B336BE"/>
    <w:rsid w:val="00B36F7D"/>
    <w:rsid w:val="00B41130"/>
    <w:rsid w:val="00B42947"/>
    <w:rsid w:val="00B530FC"/>
    <w:rsid w:val="00B55339"/>
    <w:rsid w:val="00B5643A"/>
    <w:rsid w:val="00B62EC3"/>
    <w:rsid w:val="00B661BD"/>
    <w:rsid w:val="00B76286"/>
    <w:rsid w:val="00B7649D"/>
    <w:rsid w:val="00B83ADA"/>
    <w:rsid w:val="00B87A37"/>
    <w:rsid w:val="00BA5418"/>
    <w:rsid w:val="00BA5E4D"/>
    <w:rsid w:val="00BA626D"/>
    <w:rsid w:val="00BB0499"/>
    <w:rsid w:val="00BB48D3"/>
    <w:rsid w:val="00BC1EA5"/>
    <w:rsid w:val="00BD2142"/>
    <w:rsid w:val="00BD6B01"/>
    <w:rsid w:val="00BE717A"/>
    <w:rsid w:val="00BF0C5E"/>
    <w:rsid w:val="00BF3AC4"/>
    <w:rsid w:val="00C22942"/>
    <w:rsid w:val="00C40A1D"/>
    <w:rsid w:val="00C43538"/>
    <w:rsid w:val="00C471B0"/>
    <w:rsid w:val="00C47557"/>
    <w:rsid w:val="00C50BEB"/>
    <w:rsid w:val="00C52087"/>
    <w:rsid w:val="00C53636"/>
    <w:rsid w:val="00C62542"/>
    <w:rsid w:val="00C66F17"/>
    <w:rsid w:val="00C74C1B"/>
    <w:rsid w:val="00C76142"/>
    <w:rsid w:val="00C80251"/>
    <w:rsid w:val="00C82AAC"/>
    <w:rsid w:val="00C83CE1"/>
    <w:rsid w:val="00C940C4"/>
    <w:rsid w:val="00C96FE6"/>
    <w:rsid w:val="00CA58B1"/>
    <w:rsid w:val="00CB0778"/>
    <w:rsid w:val="00CC329B"/>
    <w:rsid w:val="00CC3546"/>
    <w:rsid w:val="00CC6283"/>
    <w:rsid w:val="00CD00F8"/>
    <w:rsid w:val="00CD4EE2"/>
    <w:rsid w:val="00CF4B20"/>
    <w:rsid w:val="00CF4CC0"/>
    <w:rsid w:val="00D1040D"/>
    <w:rsid w:val="00D171D9"/>
    <w:rsid w:val="00D3107F"/>
    <w:rsid w:val="00D314D9"/>
    <w:rsid w:val="00D43431"/>
    <w:rsid w:val="00D53566"/>
    <w:rsid w:val="00D7056A"/>
    <w:rsid w:val="00D76092"/>
    <w:rsid w:val="00D8588C"/>
    <w:rsid w:val="00D9016A"/>
    <w:rsid w:val="00D901B8"/>
    <w:rsid w:val="00D93AE1"/>
    <w:rsid w:val="00D95527"/>
    <w:rsid w:val="00DB0C3E"/>
    <w:rsid w:val="00DB7A50"/>
    <w:rsid w:val="00DE2987"/>
    <w:rsid w:val="00E01D71"/>
    <w:rsid w:val="00E234CC"/>
    <w:rsid w:val="00E23D10"/>
    <w:rsid w:val="00E24C74"/>
    <w:rsid w:val="00E2665D"/>
    <w:rsid w:val="00E30297"/>
    <w:rsid w:val="00E3248D"/>
    <w:rsid w:val="00E41E73"/>
    <w:rsid w:val="00E56137"/>
    <w:rsid w:val="00E57ACE"/>
    <w:rsid w:val="00E60C72"/>
    <w:rsid w:val="00E71091"/>
    <w:rsid w:val="00E93FED"/>
    <w:rsid w:val="00EA23DB"/>
    <w:rsid w:val="00EA352C"/>
    <w:rsid w:val="00EA76BE"/>
    <w:rsid w:val="00EB75F1"/>
    <w:rsid w:val="00EB7AE0"/>
    <w:rsid w:val="00EC4D31"/>
    <w:rsid w:val="00EC7F93"/>
    <w:rsid w:val="00ED237A"/>
    <w:rsid w:val="00ED5EA5"/>
    <w:rsid w:val="00ED7D85"/>
    <w:rsid w:val="00EE1FFD"/>
    <w:rsid w:val="00EF5AEB"/>
    <w:rsid w:val="00F001B6"/>
    <w:rsid w:val="00F01CD2"/>
    <w:rsid w:val="00F054FF"/>
    <w:rsid w:val="00F103CD"/>
    <w:rsid w:val="00F318CE"/>
    <w:rsid w:val="00F31C5D"/>
    <w:rsid w:val="00F37491"/>
    <w:rsid w:val="00F403E9"/>
    <w:rsid w:val="00F538A8"/>
    <w:rsid w:val="00F565D9"/>
    <w:rsid w:val="00F74443"/>
    <w:rsid w:val="00F83417"/>
    <w:rsid w:val="00F9039D"/>
    <w:rsid w:val="00F9171C"/>
    <w:rsid w:val="00F9211C"/>
    <w:rsid w:val="00FB6329"/>
    <w:rsid w:val="00FB7215"/>
    <w:rsid w:val="00FC7BE8"/>
    <w:rsid w:val="00FD4F5E"/>
    <w:rsid w:val="00FF3A4C"/>
    <w:rsid w:val="00FF4DE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417A"/>
  <w15:chartTrackingRefBased/>
  <w15:docId w15:val="{170BAD6F-C597-4E32-AD22-CFAE9B0B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72"/>
  </w:style>
  <w:style w:type="paragraph" w:styleId="Heading1">
    <w:name w:val="heading 1"/>
    <w:basedOn w:val="Normal"/>
    <w:next w:val="Normal"/>
    <w:link w:val="Heading1Char"/>
    <w:uiPriority w:val="9"/>
    <w:qFormat/>
    <w:rsid w:val="00024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3D"/>
    <w:rPr>
      <w:rFonts w:eastAsiaTheme="majorEastAsia" w:cstheme="majorBidi"/>
      <w:color w:val="272727" w:themeColor="text1" w:themeTint="D8"/>
    </w:rPr>
  </w:style>
  <w:style w:type="paragraph" w:styleId="Title">
    <w:name w:val="Title"/>
    <w:basedOn w:val="Normal"/>
    <w:next w:val="Normal"/>
    <w:link w:val="TitleChar"/>
    <w:uiPriority w:val="10"/>
    <w:qFormat/>
    <w:rsid w:val="0002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3D"/>
    <w:pPr>
      <w:spacing w:before="160"/>
      <w:jc w:val="center"/>
    </w:pPr>
    <w:rPr>
      <w:i/>
      <w:iCs/>
      <w:color w:val="404040" w:themeColor="text1" w:themeTint="BF"/>
    </w:rPr>
  </w:style>
  <w:style w:type="character" w:customStyle="1" w:styleId="QuoteChar">
    <w:name w:val="Quote Char"/>
    <w:basedOn w:val="DefaultParagraphFont"/>
    <w:link w:val="Quote"/>
    <w:uiPriority w:val="29"/>
    <w:rsid w:val="0002403D"/>
    <w:rPr>
      <w:i/>
      <w:iCs/>
      <w:color w:val="404040" w:themeColor="text1" w:themeTint="BF"/>
    </w:rPr>
  </w:style>
  <w:style w:type="paragraph" w:styleId="ListParagraph">
    <w:name w:val="List Paragraph"/>
    <w:basedOn w:val="Normal"/>
    <w:uiPriority w:val="34"/>
    <w:qFormat/>
    <w:rsid w:val="0002403D"/>
    <w:pPr>
      <w:ind w:left="720"/>
      <w:contextualSpacing/>
    </w:pPr>
  </w:style>
  <w:style w:type="character" w:styleId="IntenseEmphasis">
    <w:name w:val="Intense Emphasis"/>
    <w:basedOn w:val="DefaultParagraphFont"/>
    <w:uiPriority w:val="21"/>
    <w:qFormat/>
    <w:rsid w:val="0002403D"/>
    <w:rPr>
      <w:i/>
      <w:iCs/>
      <w:color w:val="2F5496" w:themeColor="accent1" w:themeShade="BF"/>
    </w:rPr>
  </w:style>
  <w:style w:type="paragraph" w:styleId="IntenseQuote">
    <w:name w:val="Intense Quote"/>
    <w:basedOn w:val="Normal"/>
    <w:next w:val="Normal"/>
    <w:link w:val="IntenseQuoteChar"/>
    <w:uiPriority w:val="30"/>
    <w:qFormat/>
    <w:rsid w:val="00024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03D"/>
    <w:rPr>
      <w:i/>
      <w:iCs/>
      <w:color w:val="2F5496" w:themeColor="accent1" w:themeShade="BF"/>
    </w:rPr>
  </w:style>
  <w:style w:type="character" w:styleId="IntenseReference">
    <w:name w:val="Intense Reference"/>
    <w:basedOn w:val="DefaultParagraphFont"/>
    <w:uiPriority w:val="32"/>
    <w:qFormat/>
    <w:rsid w:val="0002403D"/>
    <w:rPr>
      <w:b/>
      <w:bCs/>
      <w:smallCaps/>
      <w:color w:val="2F5496" w:themeColor="accent1" w:themeShade="BF"/>
      <w:spacing w:val="5"/>
    </w:rPr>
  </w:style>
  <w:style w:type="character" w:styleId="Hyperlink">
    <w:name w:val="Hyperlink"/>
    <w:basedOn w:val="DefaultParagraphFont"/>
    <w:uiPriority w:val="99"/>
    <w:unhideWhenUsed/>
    <w:rsid w:val="00985E43"/>
    <w:rPr>
      <w:color w:val="0563C1" w:themeColor="hyperlink"/>
      <w:u w:val="single"/>
    </w:rPr>
  </w:style>
  <w:style w:type="character" w:styleId="UnresolvedMention">
    <w:name w:val="Unresolved Mention"/>
    <w:basedOn w:val="DefaultParagraphFont"/>
    <w:uiPriority w:val="99"/>
    <w:semiHidden/>
    <w:unhideWhenUsed/>
    <w:rsid w:val="00985E43"/>
    <w:rPr>
      <w:color w:val="605E5C"/>
      <w:shd w:val="clear" w:color="auto" w:fill="E1DFDD"/>
    </w:rPr>
  </w:style>
  <w:style w:type="character" w:styleId="FollowedHyperlink">
    <w:name w:val="FollowedHyperlink"/>
    <w:basedOn w:val="DefaultParagraphFont"/>
    <w:uiPriority w:val="99"/>
    <w:semiHidden/>
    <w:unhideWhenUsed/>
    <w:rsid w:val="00AF0005"/>
    <w:rPr>
      <w:color w:val="954F72" w:themeColor="followedHyperlink"/>
      <w:u w:val="single"/>
    </w:rPr>
  </w:style>
  <w:style w:type="character" w:styleId="Emphasis">
    <w:name w:val="Emphasis"/>
    <w:basedOn w:val="DefaultParagraphFont"/>
    <w:uiPriority w:val="20"/>
    <w:qFormat/>
    <w:rsid w:val="00F538A8"/>
    <w:rPr>
      <w:i/>
      <w:iCs/>
    </w:rPr>
  </w:style>
  <w:style w:type="paragraph" w:styleId="NormalWeb">
    <w:name w:val="Normal (Web)"/>
    <w:basedOn w:val="Normal"/>
    <w:uiPriority w:val="99"/>
    <w:semiHidden/>
    <w:unhideWhenUsed/>
    <w:rsid w:val="00F83417"/>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customStyle="1" w:styleId="ms-1">
    <w:name w:val="ms-1"/>
    <w:basedOn w:val="DefaultParagraphFont"/>
    <w:rsid w:val="00F83417"/>
  </w:style>
  <w:style w:type="character" w:customStyle="1" w:styleId="max-w-full">
    <w:name w:val="max-w-full"/>
    <w:basedOn w:val="DefaultParagraphFont"/>
    <w:rsid w:val="00F83417"/>
  </w:style>
  <w:style w:type="character" w:customStyle="1" w:styleId="-me-1">
    <w:name w:val="-me-1"/>
    <w:basedOn w:val="DefaultParagraphFont"/>
    <w:rsid w:val="00F83417"/>
  </w:style>
  <w:style w:type="paragraph" w:styleId="Header">
    <w:name w:val="header"/>
    <w:basedOn w:val="Normal"/>
    <w:link w:val="HeaderChar"/>
    <w:uiPriority w:val="99"/>
    <w:unhideWhenUsed/>
    <w:rsid w:val="00A8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BFA"/>
  </w:style>
  <w:style w:type="paragraph" w:styleId="Footer">
    <w:name w:val="footer"/>
    <w:basedOn w:val="Normal"/>
    <w:link w:val="FooterChar"/>
    <w:uiPriority w:val="99"/>
    <w:unhideWhenUsed/>
    <w:rsid w:val="00A8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BFA"/>
  </w:style>
  <w:style w:type="character" w:styleId="CommentReference">
    <w:name w:val="annotation reference"/>
    <w:basedOn w:val="DefaultParagraphFont"/>
    <w:uiPriority w:val="99"/>
    <w:semiHidden/>
    <w:unhideWhenUsed/>
    <w:rsid w:val="0072734F"/>
    <w:rPr>
      <w:sz w:val="16"/>
      <w:szCs w:val="16"/>
    </w:rPr>
  </w:style>
  <w:style w:type="paragraph" w:styleId="CommentText">
    <w:name w:val="annotation text"/>
    <w:basedOn w:val="Normal"/>
    <w:link w:val="CommentTextChar"/>
    <w:uiPriority w:val="99"/>
    <w:semiHidden/>
    <w:unhideWhenUsed/>
    <w:rsid w:val="0072734F"/>
    <w:pPr>
      <w:spacing w:line="240" w:lineRule="auto"/>
    </w:pPr>
    <w:rPr>
      <w:sz w:val="20"/>
      <w:szCs w:val="20"/>
    </w:rPr>
  </w:style>
  <w:style w:type="character" w:customStyle="1" w:styleId="CommentTextChar">
    <w:name w:val="Comment Text Char"/>
    <w:basedOn w:val="DefaultParagraphFont"/>
    <w:link w:val="CommentText"/>
    <w:uiPriority w:val="99"/>
    <w:semiHidden/>
    <w:rsid w:val="0072734F"/>
    <w:rPr>
      <w:sz w:val="20"/>
      <w:szCs w:val="20"/>
    </w:rPr>
  </w:style>
  <w:style w:type="paragraph" w:styleId="CommentSubject">
    <w:name w:val="annotation subject"/>
    <w:basedOn w:val="CommentText"/>
    <w:next w:val="CommentText"/>
    <w:link w:val="CommentSubjectChar"/>
    <w:uiPriority w:val="99"/>
    <w:semiHidden/>
    <w:unhideWhenUsed/>
    <w:rsid w:val="0072734F"/>
    <w:rPr>
      <w:b/>
      <w:bCs/>
    </w:rPr>
  </w:style>
  <w:style w:type="character" w:customStyle="1" w:styleId="CommentSubjectChar">
    <w:name w:val="Comment Subject Char"/>
    <w:basedOn w:val="CommentTextChar"/>
    <w:link w:val="CommentSubject"/>
    <w:uiPriority w:val="99"/>
    <w:semiHidden/>
    <w:rsid w:val="007273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5-97799-2" TargetMode="External"/><Relationship Id="rId18" Type="http://schemas.openxmlformats.org/officeDocument/2006/relationships/hyperlink" Target="https://doi.org/10.1111/j.1471-8286.2007.01678.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mgene.2014.09.00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nmeth.3869" TargetMode="External"/><Relationship Id="rId17" Type="http://schemas.openxmlformats.org/officeDocument/2006/relationships/hyperlink" Target="https://doi.org/10.1093/sysbio/syu083" TargetMode="External"/><Relationship Id="rId25" Type="http://schemas.openxmlformats.org/officeDocument/2006/relationships/hyperlink" Target="https://doi.org/10.7717/peerj.12845"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80/24701394.2016.1180513" TargetMode="External"/><Relationship Id="rId20" Type="http://schemas.openxmlformats.org/officeDocument/2006/relationships/hyperlink" Target="https://doi.org/10.5852/ejt.2025.997.293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ata.worldbank.org/indicator/SL.AGR.EMPL.ZS?locations=IN&amp;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646/zootaxa.5613.2.11" TargetMode="External"/><Relationship Id="rId23" Type="http://schemas.openxmlformats.org/officeDocument/2006/relationships/hyperlink" Target="https://doi.org/10.1111/1755-0998.13900"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16/j.biocon.2019.01.020"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1033-011-0988-7" TargetMode="External"/><Relationship Id="rId22" Type="http://schemas.openxmlformats.org/officeDocument/2006/relationships/hyperlink" Target="https://doi.org/10.1186/s41938-022-00625-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B9A2-C917-446D-B633-7333848C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14</Pages>
  <Words>7436</Words>
  <Characters>42388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kumar suman</cp:lastModifiedBy>
  <cp:revision>384</cp:revision>
  <dcterms:created xsi:type="dcterms:W3CDTF">2025-08-10T06:09:00Z</dcterms:created>
  <dcterms:modified xsi:type="dcterms:W3CDTF">2025-09-05T09:03:00Z</dcterms:modified>
</cp:coreProperties>
</file>