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A59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Original Research Article </w:t>
      </w:r>
    </w:p>
    <w:p w14:paraId="1ABEDB18">
      <w:pPr>
        <w:spacing w:line="360" w:lineRule="auto"/>
        <w:jc w:val="both"/>
        <w:rPr>
          <w:rFonts w:ascii="Times New Roman" w:hAnsi="Times New Roman" w:cs="Times New Roman"/>
          <w:b/>
          <w:sz w:val="24"/>
          <w:szCs w:val="24"/>
        </w:rPr>
      </w:pPr>
    </w:p>
    <w:p w14:paraId="77EE91E1">
      <w:pPr>
        <w:spacing w:line="360" w:lineRule="auto"/>
        <w:jc w:val="both"/>
        <w:rPr>
          <w:rFonts w:ascii="Times New Roman" w:hAnsi="Times New Roman" w:cs="Times New Roman"/>
          <w:b/>
          <w:sz w:val="24"/>
          <w:szCs w:val="24"/>
        </w:rPr>
      </w:pPr>
      <w:r>
        <w:rPr>
          <w:rFonts w:ascii="Times New Roman" w:hAnsi="Times New Roman" w:cs="Times New Roman"/>
          <w:b/>
          <w:sz w:val="24"/>
          <w:szCs w:val="24"/>
        </w:rPr>
        <w:t>Foliar application of Glycine betaine and Cytokinins regulates Photosynthetic Attributes and final Biological yield in wheat under Drought Stress</w:t>
      </w:r>
    </w:p>
    <w:p w14:paraId="148E677A">
      <w:pPr>
        <w:spacing w:before="240" w:after="0" w:line="360" w:lineRule="auto"/>
        <w:jc w:val="center"/>
        <w:rPr>
          <w:rFonts w:ascii="Times New Roman" w:hAnsi="Times New Roman" w:cs="Times New Roman"/>
          <w:b/>
          <w:sz w:val="24"/>
          <w:szCs w:val="24"/>
        </w:rPr>
      </w:pPr>
    </w:p>
    <w:p w14:paraId="12408E7D">
      <w:pPr>
        <w:spacing w:before="240" w:after="0" w:line="360" w:lineRule="auto"/>
        <w:jc w:val="center"/>
        <w:rPr>
          <w:rFonts w:ascii="Times New Roman" w:hAnsi="Times New Roman" w:cs="Times New Roman"/>
          <w:bCs/>
          <w:sz w:val="24"/>
          <w:szCs w:val="24"/>
        </w:rPr>
      </w:pPr>
      <w:commentRangeStart w:id="0"/>
      <w:r>
        <w:rPr>
          <w:rFonts w:ascii="Times New Roman" w:hAnsi="Times New Roman" w:cs="Times New Roman"/>
          <w:b/>
          <w:sz w:val="24"/>
          <w:szCs w:val="24"/>
        </w:rPr>
        <w:t>Abstract</w:t>
      </w:r>
      <w:commentRangeEnd w:id="0"/>
      <w:r>
        <w:commentReference w:id="0"/>
      </w:r>
    </w:p>
    <w:p w14:paraId="51A70A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Drought stress creates numerous of physiological and biochemical changes in plant that affects its life cycle and final production. The present trial was intended to inspect the effect of foliar application of cytokinins like benzyl adenine (BA) and kinetin (Kn) in combination with osmoprotectant like Glycine betaine (GB) at two different stages i.e. vegetative stage (VS) and flag leaf stage (FLS) on various photosynthetic parameters and final biological yield of drought-stressed wheat genotypes. The study was carried out on the basis of a </w:t>
      </w:r>
      <w:r>
        <w:rPr>
          <w:rFonts w:ascii="Times New Roman" w:hAnsi="Times New Roman" w:cs="Times New Roman"/>
          <w:strike/>
          <w:dstrike w:val="0"/>
          <w:sz w:val="24"/>
          <w:szCs w:val="24"/>
          <w:highlight w:val="yellow"/>
        </w:rPr>
        <w:t>C</w:t>
      </w:r>
      <w:r>
        <w:rPr>
          <w:rFonts w:hint="default" w:ascii="Times New Roman" w:hAnsi="Times New Roman" w:cs="Times New Roman"/>
          <w:strike/>
          <w:dstrike w:val="0"/>
          <w:color w:val="FF0000"/>
          <w:sz w:val="24"/>
          <w:szCs w:val="24"/>
          <w:highlight w:val="yellow"/>
          <w:lang w:val="en-US"/>
        </w:rPr>
        <w:t>c</w:t>
      </w:r>
      <w:r>
        <w:rPr>
          <w:rFonts w:ascii="Times New Roman" w:hAnsi="Times New Roman" w:cs="Times New Roman"/>
          <w:sz w:val="24"/>
          <w:szCs w:val="24"/>
        </w:rPr>
        <w:t xml:space="preserve">ompletely </w:t>
      </w:r>
      <w:r>
        <w:rPr>
          <w:rFonts w:ascii="Times New Roman" w:hAnsi="Times New Roman" w:cs="Times New Roman"/>
          <w:sz w:val="24"/>
          <w:szCs w:val="24"/>
          <w:highlight w:val="yellow"/>
        </w:rPr>
        <w:t>R</w:t>
      </w:r>
      <w:r>
        <w:rPr>
          <w:rFonts w:hint="default" w:ascii="Times New Roman" w:hAnsi="Times New Roman" w:cs="Times New Roman"/>
          <w:color w:val="FF0000"/>
          <w:sz w:val="24"/>
          <w:szCs w:val="24"/>
          <w:highlight w:val="yellow"/>
          <w:lang w:val="en-US"/>
        </w:rPr>
        <w:t>r</w:t>
      </w:r>
      <w:r>
        <w:rPr>
          <w:rFonts w:ascii="Times New Roman" w:hAnsi="Times New Roman" w:cs="Times New Roman"/>
          <w:sz w:val="24"/>
          <w:szCs w:val="24"/>
        </w:rPr>
        <w:t xml:space="preserve">andom </w:t>
      </w:r>
      <w:r>
        <w:rPr>
          <w:rFonts w:ascii="Times New Roman" w:hAnsi="Times New Roman" w:cs="Times New Roman"/>
          <w:sz w:val="24"/>
          <w:szCs w:val="24"/>
          <w:highlight w:val="yellow"/>
        </w:rPr>
        <w:t>D</w:t>
      </w:r>
      <w:r>
        <w:rPr>
          <w:rFonts w:hint="default" w:ascii="Times New Roman" w:hAnsi="Times New Roman" w:cs="Times New Roman"/>
          <w:color w:val="FF0000"/>
          <w:sz w:val="24"/>
          <w:szCs w:val="24"/>
          <w:highlight w:val="yellow"/>
          <w:lang w:val="en-US"/>
        </w:rPr>
        <w:t>d</w:t>
      </w:r>
      <w:r>
        <w:rPr>
          <w:rFonts w:ascii="Times New Roman" w:hAnsi="Times New Roman" w:cs="Times New Roman"/>
          <w:sz w:val="24"/>
          <w:szCs w:val="24"/>
        </w:rPr>
        <w:t xml:space="preserve">esign (CRD) with 6 treatments and 3 replications. </w:t>
      </w:r>
      <w:commentRangeStart w:id="1"/>
      <w:r>
        <w:rPr>
          <w:rFonts w:ascii="Times New Roman" w:hAnsi="Times New Roman" w:cs="Times New Roman"/>
          <w:sz w:val="24"/>
          <w:szCs w:val="24"/>
        </w:rPr>
        <w:t>Under drought stress, a significant decreased net leaf photosynthetic rate (Pn) and Intercellular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concentration. Foliar application of both cytokinins along with GB had an ameliorative effect on photosynthetic rate and intercellular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A significant increase was recorded in total chlorophyll content and carotenoid content of wheat genotypes with exogenous application of GB along with Kn and BA. Exogenous application of GB @ 100mM along with Kn @ 40mg/L was observed more effective in the amelioration of the negative impact of drought stress in all studied genotypes of wheat. </w:t>
      </w:r>
      <w:commentRangeEnd w:id="1"/>
      <w:r>
        <w:commentReference w:id="1"/>
      </w:r>
    </w:p>
    <w:p w14:paraId="103C8116">
      <w:pPr>
        <w:spacing w:line="360" w:lineRule="auto"/>
        <w:jc w:val="both"/>
        <w:rPr>
          <w:rFonts w:hint="default" w:ascii="Times New Roman" w:hAnsi="Times New Roman" w:cs="Times New Roman"/>
          <w:color w:val="FF0000"/>
          <w:sz w:val="24"/>
          <w:szCs w:val="24"/>
          <w:lang w:val="en-US"/>
        </w:rPr>
      </w:pPr>
      <w:commentRangeStart w:id="2"/>
      <w:r>
        <w:rPr>
          <w:rFonts w:ascii="Times New Roman" w:hAnsi="Times New Roman" w:cs="Times New Roman"/>
          <w:b/>
          <w:sz w:val="24"/>
          <w:szCs w:val="24"/>
        </w:rPr>
        <w:t>Keywords</w:t>
      </w:r>
      <w:r>
        <w:rPr>
          <w:rFonts w:ascii="Times New Roman" w:hAnsi="Times New Roman" w:cs="Times New Roman"/>
          <w:sz w:val="24"/>
          <w:szCs w:val="24"/>
        </w:rPr>
        <w:t>:</w:t>
      </w:r>
      <w:commentRangeEnd w:id="2"/>
      <w:r>
        <w:commentReference w:id="2"/>
      </w:r>
      <w:r>
        <w:rPr>
          <w:rFonts w:ascii="Times New Roman" w:hAnsi="Times New Roman" w:cs="Times New Roman"/>
          <w:sz w:val="24"/>
          <w:szCs w:val="24"/>
        </w:rPr>
        <w:t xml:space="preserve"> Cytokinins, Glycine Betaine, Water deficit, </w:t>
      </w:r>
      <w:r>
        <w:rPr>
          <w:rFonts w:ascii="Times New Roman" w:hAnsi="Times New Roman" w:cs="Times New Roman"/>
          <w:strike/>
          <w:dstrike w:val="0"/>
          <w:sz w:val="24"/>
          <w:szCs w:val="24"/>
          <w:highlight w:val="yellow"/>
        </w:rPr>
        <w:t>Wheat</w:t>
      </w:r>
      <w:r>
        <w:rPr>
          <w:rFonts w:ascii="Times New Roman" w:hAnsi="Times New Roman" w:cs="Times New Roman"/>
          <w:sz w:val="24"/>
          <w:szCs w:val="24"/>
        </w:rPr>
        <w:t>, Net Photosynthetic rate</w:t>
      </w:r>
      <w:r>
        <w:rPr>
          <w:rFonts w:hint="default" w:ascii="Times New Roman" w:hAnsi="Times New Roman" w:cs="Times New Roman"/>
          <w:color w:val="FF0000"/>
          <w:sz w:val="24"/>
          <w:szCs w:val="24"/>
          <w:lang w:val="en-US"/>
        </w:rPr>
        <w:t>, Biological yield, Draught stress</w:t>
      </w:r>
    </w:p>
    <w:p w14:paraId="7C30EE7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Introduction</w:t>
      </w:r>
    </w:p>
    <w:p w14:paraId="7C389A3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rPr>
        <w:t>Wheat yield is highly inhibited by various abiotic stresses such as heat, salt, drought, and cold-causing wheat production damages up to 40 to 60% in the field respectively</w:t>
      </w:r>
      <w:commentRangeStart w:id="3"/>
      <w:r>
        <w:rPr>
          <w:rFonts w:ascii="Times New Roman" w:hAnsi="Times New Roman" w:cs="Times New Roman"/>
          <w:sz w:val="24"/>
          <w:szCs w:val="24"/>
        </w:rPr>
        <w:t xml:space="preserve"> [1 and 2].</w:t>
      </w:r>
      <w:commentRangeEnd w:id="3"/>
      <w:r>
        <w:commentReference w:id="3"/>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The yield of wheat has multiplied in the course of the most recent 30 years because of the combination of superior agronomic practices and enhanced germplasm through selective breeding [3]. Water stress affects mineral uptake, membrane structure, and several metabolic pathways that change the endogenous level of hormones. Cytokinins, both in interaction and antipathies with other hormones impact several plant processes that cause development and growth [4]. Normally, the comeback of plants to cytokinins is adjudged by their exogenous or external application [5]. Water shortage at different growing stages heartens different morpho-physiological alterations in plants to acclimatize to such situations. In many plants, water deficit reduced growth, leaf area development, and senescence [4]. The plant's response to </w:t>
      </w:r>
      <w:r>
        <w:commentReference w:id="4"/>
      </w:r>
      <w:r>
        <w:rPr>
          <w:rFonts w:ascii="Times New Roman" w:hAnsi="Times New Roman" w:cs="Times New Roman"/>
          <w:sz w:val="24"/>
          <w:szCs w:val="24"/>
          <w:lang w:val="en-GB"/>
        </w:rPr>
        <w:t>CKs is judged from their response to exogenous supplied or endogenous levels. The concentration and composition of CKs in the site of action might be quite different from the site of application.</w:t>
      </w:r>
    </w:p>
    <w:p w14:paraId="2281850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Osmoprotectants resembling Glycine Betaine and Trehalose play a major character in the metabolic regulations of a plant under stress [6]. </w:t>
      </w:r>
      <w:r>
        <w:rPr>
          <w:rFonts w:ascii="Times New Roman" w:hAnsi="Times New Roman" w:cs="Times New Roman"/>
          <w:sz w:val="24"/>
          <w:szCs w:val="24"/>
        </w:rPr>
        <w:t>Glycine betaine (GB) (</w:t>
      </w:r>
      <w:r>
        <w:rPr>
          <w:rFonts w:ascii="Times New Roman" w:hAnsi="Times New Roman" w:cs="Times New Roman"/>
          <w:i/>
          <w:sz w:val="24"/>
          <w:szCs w:val="24"/>
        </w:rPr>
        <w:t>N, N', N''-trimethylglycine</w:t>
      </w:r>
      <w:r>
        <w:rPr>
          <w:rFonts w:ascii="Times New Roman" w:hAnsi="Times New Roman" w:cs="Times New Roman"/>
          <w:sz w:val="24"/>
          <w:szCs w:val="24"/>
        </w:rPr>
        <w:t>, GB) is a ammonium (quaternary) compound, naturally synthesized and accumulated in many plant families comprising</w:t>
      </w:r>
      <w:r>
        <w:rPr>
          <w:rFonts w:ascii="Times New Roman" w:hAnsi="Times New Roman" w:cs="Times New Roman"/>
          <w:i/>
          <w:sz w:val="24"/>
          <w:szCs w:val="24"/>
        </w:rPr>
        <w:t xml:space="preserve"> Gramineae, Malvaceae,</w:t>
      </w:r>
      <w:r>
        <w:rPr>
          <w:rFonts w:ascii="Times New Roman" w:hAnsi="Times New Roman" w:cs="Times New Roman"/>
          <w:sz w:val="24"/>
          <w:szCs w:val="24"/>
        </w:rPr>
        <w:t xml:space="preserve"> </w:t>
      </w:r>
      <w:r>
        <w:rPr>
          <w:rFonts w:ascii="Times New Roman" w:hAnsi="Times New Roman" w:cs="Times New Roman"/>
          <w:i/>
          <w:sz w:val="24"/>
          <w:szCs w:val="24"/>
        </w:rPr>
        <w:t xml:space="preserve">Chenopodiaceae, Amaranthaceae, </w:t>
      </w:r>
      <w:r>
        <w:rPr>
          <w:rFonts w:ascii="Times New Roman" w:hAnsi="Times New Roman" w:cs="Times New Roman"/>
          <w:sz w:val="24"/>
          <w:szCs w:val="24"/>
        </w:rPr>
        <w:t>and</w:t>
      </w:r>
      <w:r>
        <w:rPr>
          <w:rFonts w:ascii="Times New Roman" w:hAnsi="Times New Roman" w:cs="Times New Roman"/>
          <w:i/>
          <w:sz w:val="24"/>
          <w:szCs w:val="24"/>
        </w:rPr>
        <w:t xml:space="preserve"> Compositae </w:t>
      </w:r>
      <w:r>
        <w:rPr>
          <w:rFonts w:ascii="Times New Roman" w:hAnsi="Times New Roman" w:cs="Times New Roman"/>
          <w:sz w:val="24"/>
          <w:szCs w:val="24"/>
        </w:rPr>
        <w:t xml:space="preserve">at elevated concentrations in relation to numerous types of abiotic stresses, subsequent in their better tolerance. GB is chiefly abundant in the chloroplast, where its biosynthesis takes place from serine through choline. Also, cytosolic GB is less active than chloroplastic GB in protecting plants in contrast to high salt, chilling and oxidative stresses [7]. </w:t>
      </w:r>
      <w:r>
        <w:rPr>
          <w:rFonts w:ascii="Times New Roman" w:hAnsi="Times New Roman" w:cs="Times New Roman"/>
          <w:sz w:val="24"/>
          <w:szCs w:val="24"/>
          <w:lang w:val="en-GB"/>
        </w:rPr>
        <w:t xml:space="preserve">Thus presently, the effect of exogenous application of cytokinins (Kn and BA) along with GB was investigated on wheat genotypes growing under water deficit conditions by studying their effect on various photosynthetic attributes. </w:t>
      </w:r>
    </w:p>
    <w:p w14:paraId="5DD83A6C">
      <w:pPr>
        <w:spacing w:line="360" w:lineRule="auto"/>
        <w:jc w:val="both"/>
        <w:rPr>
          <w:rFonts w:ascii="Times New Roman" w:hAnsi="Times New Roman" w:cs="Times New Roman"/>
          <w:b/>
          <w:sz w:val="24"/>
          <w:szCs w:val="24"/>
          <w:lang w:val="en-GB"/>
        </w:rPr>
      </w:pPr>
      <w:commentRangeStart w:id="5"/>
      <w:r>
        <w:rPr>
          <w:rFonts w:ascii="Times New Roman" w:hAnsi="Times New Roman" w:cs="Times New Roman"/>
          <w:b/>
          <w:sz w:val="24"/>
          <w:szCs w:val="24"/>
          <w:lang w:val="en-GB"/>
        </w:rPr>
        <w:t>Materials and methods</w:t>
      </w:r>
      <w:commentRangeEnd w:id="5"/>
      <w:r>
        <w:commentReference w:id="5"/>
      </w:r>
    </w:p>
    <w:p w14:paraId="4B4630E1">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Material and field preparation</w:t>
      </w:r>
    </w:p>
    <w:p w14:paraId="5ECDF3F0">
      <w:pPr>
        <w:spacing w:line="360" w:lineRule="auto"/>
        <w:jc w:val="both"/>
        <w:rPr>
          <w:rFonts w:ascii="Times New Roman" w:hAnsi="Times New Roman" w:cs="Times New Roman"/>
          <w:sz w:val="24"/>
          <w:szCs w:val="24"/>
        </w:rPr>
      </w:pPr>
      <w:r>
        <w:rPr>
          <w:rFonts w:ascii="Times New Roman" w:hAnsi="Times New Roman" w:cs="Times New Roman"/>
          <w:sz w:val="24"/>
          <w:szCs w:val="24"/>
        </w:rPr>
        <w:t>Three wheat genotypes viz: HD2967, WH1105, and PBW660 were taken from the Department of Plant Breeding and Genetics, P.A.U. Ludhiana and were assessed in a split-plot randomized block design with three replications each under irrigated</w:t>
      </w:r>
      <w:r>
        <w:rPr>
          <w:rFonts w:ascii="Times New Roman" w:hAnsi="Times New Roman" w:cs="Times New Roman"/>
          <w:sz w:val="24"/>
          <w:szCs w:val="24"/>
          <w:highlight w:val="yellow"/>
        </w:rPr>
        <w:t xml:space="preserve"> (control</w:t>
      </w:r>
      <w:r>
        <w:rPr>
          <w:rFonts w:hint="default" w:ascii="Times New Roman" w:hAnsi="Times New Roman" w:cs="Times New Roman"/>
          <w:color w:val="FF0000"/>
          <w:sz w:val="24"/>
          <w:szCs w:val="24"/>
          <w:highlight w:val="yellow"/>
          <w:lang w:val="en-US"/>
        </w:rPr>
        <w:t>-T1</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=T1</w:t>
      </w:r>
      <w:r>
        <w:rPr>
          <w:rFonts w:ascii="Times New Roman" w:hAnsi="Times New Roman" w:cs="Times New Roman"/>
          <w:sz w:val="24"/>
          <w:szCs w:val="24"/>
        </w:rPr>
        <w:t xml:space="preserve">, water deficit Stress </w:t>
      </w:r>
      <w:r>
        <w:rPr>
          <w:rFonts w:ascii="Times New Roman" w:hAnsi="Times New Roman" w:cs="Times New Roman"/>
          <w:sz w:val="24"/>
          <w:szCs w:val="24"/>
          <w:highlight w:val="yellow"/>
        </w:rPr>
        <w:t>(with holding irrigations</w:t>
      </w:r>
      <w:r>
        <w:rPr>
          <w:rFonts w:hint="default" w:ascii="Times New Roman" w:hAnsi="Times New Roman" w:cs="Times New Roman"/>
          <w:color w:val="FF0000"/>
          <w:sz w:val="24"/>
          <w:szCs w:val="24"/>
          <w:highlight w:val="yellow"/>
          <w:lang w:val="en-US"/>
        </w:rPr>
        <w:t>-T2</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=T2</w:t>
      </w:r>
      <w:r>
        <w:rPr>
          <w:rFonts w:ascii="Times New Roman" w:hAnsi="Times New Roman" w:cs="Times New Roman"/>
          <w:sz w:val="24"/>
          <w:szCs w:val="24"/>
          <w:highlight w:val="yellow"/>
        </w:rPr>
        <w:t>,</w:t>
      </w:r>
      <w:r>
        <w:rPr>
          <w:rFonts w:ascii="Times New Roman" w:hAnsi="Times New Roman" w:cs="Times New Roman"/>
          <w:sz w:val="24"/>
          <w:szCs w:val="24"/>
        </w:rPr>
        <w:t xml:space="preserve"> and water deficit with various concentrations of GB (50mM and 100mM) and Cytokinins (Kn@40mg/L and BAP@50mg/L) in the field conditions. The genotypes were sown in a plot size of 2×2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row to row spacing of 20 cm. The aqueous solution of </w:t>
      </w:r>
      <w:r>
        <w:rPr>
          <w:rFonts w:ascii="Times New Roman" w:hAnsi="Times New Roman" w:cs="Times New Roman"/>
          <w:sz w:val="24"/>
          <w:szCs w:val="24"/>
          <w:highlight w:val="yellow"/>
        </w:rPr>
        <w:t>Kn(40)+(GB@50mM)</w:t>
      </w:r>
      <w:r>
        <w:rPr>
          <w:rFonts w:hint="default" w:ascii="Times New Roman" w:hAnsi="Times New Roman" w:cs="Times New Roman"/>
          <w:color w:val="FF0000"/>
          <w:sz w:val="24"/>
          <w:szCs w:val="24"/>
          <w:highlight w:val="yellow"/>
          <w:lang w:val="en-US"/>
        </w:rPr>
        <w:t xml:space="preserve">-T3 </w:t>
      </w:r>
      <w:r>
        <w:rPr>
          <w:rFonts w:ascii="Times New Roman" w:hAnsi="Times New Roman" w:cs="Times New Roman"/>
          <w:strike/>
          <w:dstrike w:val="0"/>
          <w:sz w:val="24"/>
          <w:szCs w:val="24"/>
          <w:highlight w:val="yellow"/>
        </w:rPr>
        <w:t xml:space="preserve"> =T3</w:t>
      </w:r>
      <w:r>
        <w:rPr>
          <w:rFonts w:ascii="Times New Roman" w:hAnsi="Times New Roman" w:cs="Times New Roman"/>
          <w:sz w:val="24"/>
          <w:szCs w:val="24"/>
          <w:highlight w:val="yellow"/>
        </w:rPr>
        <w:t>,</w:t>
      </w:r>
      <w:r>
        <w:rPr>
          <w:rFonts w:ascii="Times New Roman" w:hAnsi="Times New Roman" w:cs="Times New Roman"/>
          <w:sz w:val="24"/>
          <w:szCs w:val="24"/>
        </w:rPr>
        <w:t xml:space="preserve"> </w:t>
      </w:r>
      <w:r>
        <w:rPr>
          <w:rFonts w:ascii="Times New Roman" w:hAnsi="Times New Roman" w:cs="Times New Roman"/>
          <w:sz w:val="24"/>
          <w:szCs w:val="24"/>
          <w:highlight w:val="yellow"/>
        </w:rPr>
        <w:t>Kn(40)+(GB@100mM)</w:t>
      </w:r>
      <w:r>
        <w:rPr>
          <w:rFonts w:hint="default" w:ascii="Times New Roman" w:hAnsi="Times New Roman" w:cs="Times New Roman"/>
          <w:color w:val="FF0000"/>
          <w:sz w:val="24"/>
          <w:szCs w:val="24"/>
          <w:highlight w:val="yellow"/>
          <w:lang w:val="en-US"/>
        </w:rPr>
        <w:t>-T4</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=T4</w:t>
      </w:r>
      <w:r>
        <w:rPr>
          <w:rFonts w:ascii="Times New Roman" w:hAnsi="Times New Roman" w:cs="Times New Roman"/>
          <w:sz w:val="24"/>
          <w:szCs w:val="24"/>
          <w:highlight w:val="yellow"/>
        </w:rPr>
        <w:t>,</w:t>
      </w:r>
      <w:r>
        <w:rPr>
          <w:rFonts w:ascii="Times New Roman" w:hAnsi="Times New Roman" w:cs="Times New Roman"/>
          <w:sz w:val="24"/>
          <w:szCs w:val="24"/>
        </w:rPr>
        <w:t xml:space="preserve"> BA(50)+ </w:t>
      </w:r>
      <w:r>
        <w:rPr>
          <w:rFonts w:ascii="Times New Roman" w:hAnsi="Times New Roman" w:cs="Times New Roman"/>
          <w:sz w:val="24"/>
          <w:szCs w:val="24"/>
          <w:highlight w:val="yellow"/>
        </w:rPr>
        <w:t>(GB@50mM)</w:t>
      </w:r>
      <w:r>
        <w:rPr>
          <w:rFonts w:hint="default" w:ascii="Times New Roman" w:hAnsi="Times New Roman" w:cs="Times New Roman"/>
          <w:color w:val="FF0000"/>
          <w:sz w:val="24"/>
          <w:szCs w:val="24"/>
          <w:highlight w:val="yellow"/>
          <w:lang w:val="en-US"/>
        </w:rPr>
        <w:t>-T5</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=T5</w:t>
      </w:r>
      <w:r>
        <w:rPr>
          <w:rFonts w:ascii="Times New Roman" w:hAnsi="Times New Roman" w:cs="Times New Roman"/>
          <w:sz w:val="24"/>
          <w:szCs w:val="24"/>
          <w:highlight w:val="yellow"/>
        </w:rPr>
        <w:t>, BA(50)+(GB@100mM)</w:t>
      </w:r>
      <w:r>
        <w:rPr>
          <w:rFonts w:hint="default" w:ascii="Times New Roman" w:hAnsi="Times New Roman" w:cs="Times New Roman"/>
          <w:color w:val="FF0000"/>
          <w:sz w:val="24"/>
          <w:szCs w:val="24"/>
          <w:highlight w:val="yellow"/>
          <w:lang w:val="en-US"/>
        </w:rPr>
        <w:t>-T6</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=T6</w:t>
      </w:r>
      <w:r>
        <w:rPr>
          <w:rFonts w:ascii="Times New Roman" w:hAnsi="Times New Roman" w:cs="Times New Roman"/>
          <w:sz w:val="24"/>
          <w:szCs w:val="24"/>
          <w:highlight w:val="yellow"/>
        </w:rPr>
        <w:t>,</w:t>
      </w:r>
      <w:r>
        <w:rPr>
          <w:rFonts w:ascii="Times New Roman" w:hAnsi="Times New Roman" w:cs="Times New Roman"/>
          <w:sz w:val="24"/>
          <w:szCs w:val="24"/>
        </w:rPr>
        <w:t xml:space="preserve"> solutions containing 0.1% TWEEN-20 was sprayed on wheat plants twice a day during its application at vegetative and flag leaf stage. </w:t>
      </w:r>
    </w:p>
    <w:p w14:paraId="1E1433FA">
      <w:pPr>
        <w:spacing w:line="360" w:lineRule="auto"/>
        <w:jc w:val="both"/>
        <w:rPr>
          <w:rFonts w:ascii="Times New Roman" w:hAnsi="Times New Roman" w:cs="Times New Roman"/>
          <w:b/>
          <w:sz w:val="24"/>
          <w:szCs w:val="24"/>
        </w:rPr>
      </w:pPr>
      <w:r>
        <w:rPr>
          <w:rFonts w:ascii="Times New Roman" w:hAnsi="Times New Roman" w:cs="Times New Roman"/>
          <w:b/>
          <w:sz w:val="24"/>
          <w:szCs w:val="24"/>
        </w:rPr>
        <w:t>Photosynthetic Gas exchange measurements (PGEM)</w:t>
      </w:r>
    </w:p>
    <w:p w14:paraId="081AC5FB">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At the vegetative stage,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and at the reproductive stage, the flag leaf of each genotype and treatment was observed for the PGEM. Intercellular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concentration (Ci), and net leaf photosynthetic rate (Pn), were observed using a portable photosynthesis system with a 6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clamp of leaf cuvette (LI-6400, LICOR Inc., Lincoln, NE, USA). </w:t>
      </w:r>
    </w:p>
    <w:p w14:paraId="0629DE97">
      <w:pPr>
        <w:widowControl w:val="0"/>
        <w:autoSpaceDE w:val="0"/>
        <w:autoSpaceDN w:val="0"/>
        <w:adjustRightInd w:val="0"/>
        <w:spacing w:after="0" w:line="360" w:lineRule="auto"/>
        <w:rPr>
          <w:rFonts w:ascii="Times New Roman" w:hAnsi="Times New Roman" w:eastAsia="Times New Roman" w:cs="Times New Roman"/>
          <w:b/>
          <w:sz w:val="24"/>
          <w:szCs w:val="24"/>
        </w:rPr>
      </w:pPr>
    </w:p>
    <w:p w14:paraId="0F4D075F">
      <w:pPr>
        <w:widowControl w:val="0"/>
        <w:autoSpaceDE w:val="0"/>
        <w:autoSpaceDN w:val="0"/>
        <w:adjustRightInd w:val="0"/>
        <w:spacing w:after="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Carotenoid content and chlorophyll content </w:t>
      </w:r>
    </w:p>
    <w:p w14:paraId="19208A0D">
      <w:pPr>
        <w:widowControl w:val="0"/>
        <w:autoSpaceDE w:val="0"/>
        <w:autoSpaceDN w:val="0"/>
        <w:adjustRightInd w:val="0"/>
        <w:spacing w:after="0" w:line="360" w:lineRule="auto"/>
        <w:jc w:val="both"/>
        <w:rPr>
          <w:rFonts w:ascii="Times New Roman" w:hAnsi="Times New Roman" w:eastAsia="Calibri" w:cs="Times New Roman"/>
          <w:b/>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Carotenoid</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chlorophyll content</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were calculated by the method as suggested by [8].</w:t>
      </w:r>
    </w:p>
    <w:p w14:paraId="105CD39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Biological yield (g)/m</w:t>
      </w:r>
      <w:r>
        <w:rPr>
          <w:rFonts w:ascii="Times New Roman" w:hAnsi="Times New Roman" w:cs="Times New Roman"/>
          <w:b/>
          <w:sz w:val="24"/>
          <w:szCs w:val="24"/>
          <w:vertAlign w:val="superscript"/>
        </w:rPr>
        <w:t>2</w:t>
      </w:r>
    </w:p>
    <w:p w14:paraId="542E0A8A">
      <w:pPr>
        <w:spacing w:line="360" w:lineRule="auto"/>
        <w:jc w:val="both"/>
        <w:rPr>
          <w:rFonts w:ascii="Times New Roman" w:hAnsi="Times New Roman" w:cs="Times New Roman"/>
          <w:sz w:val="24"/>
          <w:szCs w:val="24"/>
        </w:rPr>
      </w:pPr>
      <w:r>
        <w:rPr>
          <w:rFonts w:ascii="Times New Roman" w:hAnsi="Times New Roman" w:cs="Times New Roman"/>
          <w:sz w:val="24"/>
          <w:szCs w:val="24"/>
        </w:rPr>
        <w:t>The biological yield was observed at the maturity stage using above-ground crop biomass harvested in a 1m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area of all subplots was weighed to obtain biological yield/m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557434D">
      <w:pPr>
        <w:spacing w:line="360" w:lineRule="auto"/>
        <w:jc w:val="both"/>
        <w:rPr>
          <w:rFonts w:ascii="Times New Roman" w:hAnsi="Times New Roman" w:cs="Times New Roman"/>
          <w:b/>
          <w:sz w:val="24"/>
          <w:szCs w:val="24"/>
        </w:rPr>
      </w:pPr>
      <w:commentRangeStart w:id="6"/>
      <w:r>
        <w:rPr>
          <w:rFonts w:ascii="Times New Roman" w:hAnsi="Times New Roman" w:cs="Times New Roman"/>
          <w:b/>
          <w:sz w:val="24"/>
          <w:szCs w:val="24"/>
        </w:rPr>
        <w:t>Statistical analysis:</w:t>
      </w:r>
      <w:commentRangeEnd w:id="6"/>
      <w:r>
        <w:commentReference w:id="6"/>
      </w:r>
    </w:p>
    <w:p w14:paraId="7FBD9B6A">
      <w:pPr>
        <w:spacing w:line="360" w:lineRule="auto"/>
        <w:jc w:val="both"/>
        <w:rPr>
          <w:rFonts w:ascii="Times New Roman" w:hAnsi="Times New Roman" w:cs="Times New Roman"/>
          <w:sz w:val="24"/>
          <w:szCs w:val="24"/>
        </w:rPr>
      </w:pPr>
      <w:r>
        <w:rPr>
          <w:rFonts w:ascii="Times New Roman" w:hAnsi="Times New Roman" w:cs="Times New Roman"/>
          <w:sz w:val="24"/>
          <w:szCs w:val="24"/>
        </w:rPr>
        <w:t>Statistical analysis</w:t>
      </w:r>
      <w:r>
        <w:rPr>
          <w:rFonts w:hint="default" w:ascii="Times New Roman" w:hAnsi="Times New Roman" w:cs="Times New Roman"/>
          <w:sz w:val="24"/>
          <w:szCs w:val="24"/>
          <w:lang w:val="en-US"/>
        </w:rPr>
        <w:t xml:space="preserve"> </w:t>
      </w:r>
      <w:r>
        <w:rPr>
          <w:rFonts w:hint="default" w:ascii="Times New Roman" w:hAnsi="Times New Roman" w:cs="Times New Roman"/>
          <w:color w:val="FF0000"/>
          <w:sz w:val="24"/>
          <w:szCs w:val="24"/>
          <w:highlight w:val="yellow"/>
          <w:lang w:val="en-US"/>
        </w:rPr>
        <w:t>were</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was</w:t>
      </w:r>
      <w:r>
        <w:rPr>
          <w:rFonts w:ascii="Times New Roman" w:hAnsi="Times New Roman" w:cs="Times New Roman"/>
          <w:sz w:val="24"/>
          <w:szCs w:val="24"/>
        </w:rPr>
        <w:t xml:space="preserve"> performed by means of a factorial experiment in a random block design (RBD) using two-way ANOVA as the approach described by [9].</w:t>
      </w:r>
    </w:p>
    <w:p w14:paraId="2800256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Results </w:t>
      </w:r>
    </w:p>
    <w:p w14:paraId="28A87A13">
      <w:pPr>
        <w:spacing w:line="360" w:lineRule="auto"/>
        <w:jc w:val="both"/>
        <w:rPr>
          <w:rFonts w:ascii="Times New Roman" w:hAnsi="Times New Roman" w:cs="Times New Roman"/>
          <w:b/>
          <w:sz w:val="24"/>
          <w:szCs w:val="24"/>
        </w:rPr>
      </w:pPr>
      <w:commentRangeStart w:id="7"/>
      <w:r>
        <w:rPr>
          <w:rFonts w:ascii="Times New Roman" w:hAnsi="Times New Roman" w:cs="Times New Roman"/>
          <w:b/>
          <w:sz w:val="24"/>
          <w:szCs w:val="24"/>
        </w:rPr>
        <w:t>Net photosynthetic rate (NPR)</w:t>
      </w:r>
      <w:commentRangeEnd w:id="7"/>
      <w:r>
        <w:commentReference w:id="7"/>
      </w:r>
    </w:p>
    <w:p w14:paraId="625FFC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NPR was recorded high in all the genotypes under control or normal conditions and it significantly declined under the drought stress conditions at both VS as well as at FLS </w:t>
      </w:r>
      <w:commentRangeStart w:id="8"/>
      <w:r>
        <w:rPr>
          <w:rFonts w:ascii="Times New Roman" w:hAnsi="Times New Roman" w:cs="Times New Roman"/>
          <w:sz w:val="24"/>
          <w:szCs w:val="24"/>
        </w:rPr>
        <w:t>(Fig 1A and 1B)</w:t>
      </w:r>
      <w:commentRangeEnd w:id="8"/>
      <w:r>
        <w:commentReference w:id="8"/>
      </w:r>
      <w:r>
        <w:rPr>
          <w:rFonts w:ascii="Times New Roman" w:hAnsi="Times New Roman" w:cs="Times New Roman"/>
          <w:sz w:val="24"/>
          <w:szCs w:val="24"/>
        </w:rPr>
        <w:t>. Maximum p</w:t>
      </w:r>
      <w:r>
        <w:rPr>
          <w:rFonts w:ascii="Times New Roman" w:hAnsi="Times New Roman" w:cs="Times New Roman"/>
          <w:sz w:val="24"/>
          <w:szCs w:val="24"/>
          <w:highlight w:val="yellow"/>
        </w:rPr>
        <w:t>ercentage loss was observed in HD2967 (29.34%) whereas, minimum</w:t>
      </w:r>
      <w:r>
        <w:rPr>
          <w:rFonts w:hint="default" w:ascii="Times New Roman" w:hAnsi="Times New Roman" w:cs="Times New Roman"/>
          <w:color w:val="FF0000"/>
          <w:sz w:val="24"/>
          <w:szCs w:val="24"/>
          <w:highlight w:val="yellow"/>
          <w:lang w:val="en-US"/>
        </w:rPr>
        <w:t xml:space="preserve"> was</w:t>
      </w:r>
      <w:r>
        <w:rPr>
          <w:rFonts w:ascii="Times New Roman" w:hAnsi="Times New Roman" w:cs="Times New Roman"/>
          <w:sz w:val="24"/>
          <w:szCs w:val="24"/>
          <w:highlight w:val="yellow"/>
        </w:rPr>
        <w:t xml:space="preserve"> </w:t>
      </w:r>
      <w:r>
        <w:rPr>
          <w:rFonts w:ascii="Times New Roman" w:hAnsi="Times New Roman" w:cs="Times New Roman"/>
          <w:strike/>
          <w:dstrike w:val="0"/>
          <w:sz w:val="24"/>
          <w:szCs w:val="24"/>
          <w:highlight w:val="yellow"/>
        </w:rPr>
        <w:t>has</w:t>
      </w:r>
      <w:r>
        <w:rPr>
          <w:rFonts w:ascii="Times New Roman" w:hAnsi="Times New Roman" w:cs="Times New Roman"/>
          <w:sz w:val="24"/>
          <w:szCs w:val="24"/>
        </w:rPr>
        <w:t xml:space="preserve"> resulted in PBW660 (21.82%) over the drought stress conditions at VS and at FLS the genotype WH1105 had minimum and HD2967 had maximum percentage decrease over control. Kn along with GB@ 50mM had a significant effect on the increase in NPR at both stages in all studied genotypes. WH1105 (35.19%) had a maximum percentage increase at VS and HD2967 followed by PBW660 had a maximum percentage increase over drought at FLS. NPR was significantly further increase with foliar application of Kn in combination with GB@100mM and genotype WH1105 had a maximum percentage increase at VS and as well as at FLS. BA in different combinations with GB significantly increased the NPR over drought in all genotypes at both studied stages. BA along with GB@ 100mM had a more positive effect on NPR in all genotypes as compared to BA with GB@50mM. </w:t>
      </w:r>
    </w:p>
    <w:p w14:paraId="17696CCB">
      <w:pPr>
        <w:spacing w:line="360" w:lineRule="auto"/>
        <w:jc w:val="both"/>
        <w:rPr>
          <w:rFonts w:ascii="Times New Roman" w:hAnsi="Times New Roman" w:cs="Times New Roman"/>
          <w:b/>
          <w:sz w:val="24"/>
          <w:szCs w:val="24"/>
        </w:rPr>
      </w:pPr>
      <w:commentRangeStart w:id="9"/>
      <w:r>
        <w:rPr>
          <w:rFonts w:ascii="Times New Roman" w:hAnsi="Times New Roman" w:cs="Times New Roman"/>
          <w:b/>
          <w:sz w:val="24"/>
          <w:szCs w:val="24"/>
        </w:rPr>
        <w:t>Intercellular CO</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(ICC)</w:t>
      </w:r>
      <w:commentRangeEnd w:id="9"/>
      <w:r>
        <w:commentReference w:id="9"/>
      </w:r>
    </w:p>
    <w:p w14:paraId="427F75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ICC showed a significant reduction in all studied wheat genotypes at two growth phases under drought stress </w:t>
      </w:r>
      <w:commentRangeStart w:id="10"/>
      <w:r>
        <w:rPr>
          <w:rFonts w:ascii="Times New Roman" w:hAnsi="Times New Roman" w:cs="Times New Roman"/>
          <w:sz w:val="24"/>
          <w:szCs w:val="24"/>
        </w:rPr>
        <w:t>(Fig 3A and 3B).</w:t>
      </w:r>
      <w:commentRangeEnd w:id="10"/>
      <w:r>
        <w:commentReference w:id="10"/>
      </w:r>
      <w:r>
        <w:rPr>
          <w:rFonts w:ascii="Times New Roman" w:hAnsi="Times New Roman" w:cs="Times New Roman"/>
          <w:sz w:val="24"/>
          <w:szCs w:val="24"/>
        </w:rPr>
        <w:t xml:space="preserve"> The maximum reduction was recorded in WH1105 at VS as well as at FLS i.e. 24.01% and 30.21% respectively over control conditions. Kn along with GB@ 50mM significantly increased the ICC at both stages in all studied genotypes. With that foliar spray WH1105 had a maximum percentage increase at VS and as well as at FLS i.e. 11.26% and 6.25%. Kn along with the higher concentration of GB i.e. @ 100mM had a more positive effect on all genotypes. With that foliar application, HD2967 performed better at both stages.  BA with different combinations of GB significantly ameliorated the negative effect of drought at both stages. BA along with GB@ 100mM had a more significant effect as compared to BA with GB@ 50mM. With the foliar application of BA with GB@100mM, genotype HD2967 (13.96%) had a maximum percentage increase at VS, and at FLS genotype WH1105 (6.25%) had a maximum percentage increase over drought as compared to other genotypes.</w:t>
      </w:r>
    </w:p>
    <w:p w14:paraId="2EDD9D36">
      <w:pPr>
        <w:widowControl w:val="0"/>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Chlorophyll content (chl)</w:t>
      </w:r>
    </w:p>
    <w:p w14:paraId="06E4EC9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11"/>
      <w:r>
        <w:rPr>
          <w:rFonts w:ascii="Times New Roman" w:hAnsi="Times New Roman" w:cs="Times New Roman"/>
          <w:sz w:val="24"/>
          <w:szCs w:val="24"/>
        </w:rPr>
        <w:t>Chl</w:t>
      </w:r>
      <w:commentRangeEnd w:id="11"/>
      <w:r>
        <w:commentReference w:id="11"/>
      </w:r>
      <w:r>
        <w:rPr>
          <w:rFonts w:ascii="Times New Roman" w:hAnsi="Times New Roman" w:cs="Times New Roman"/>
          <w:sz w:val="24"/>
          <w:szCs w:val="24"/>
        </w:rPr>
        <w:t xml:space="preserve"> content of three wheat genotypes was recorded at two different growth stages. Drought stress was significantly enhanced total chlorophyll content (Table 1) in all studied genotypes at both growth phases. Total chl content has resulted higher in WH1105 as compared to other genotypes at the vegetative stage and at flag leaf stage it was more in HD2967. Kn along with GB@ 50mM more significantly increased the chl at both stages in all studied genotypes. With that foliar spray WH1105 followed by HD2967 had maximum chl at VS and HD2967 had maximum chl at FLS. Kn along with the higher concentration of GB i.e. GB@ 100mM had a more positive effect on all genotypes an increase in chlorophyll content. With that foliar application WH1105 followed by HD2967 had a maximum increase in chl at VS and WH1105 had a maximum increase at FLS. BA along with GB@ 100mM had a more significant effect as compared to BA with GB@ 50mM. With the foliar application of BA with GB@100mM, genotype WH1105 had a maximum increase in chl content at VS and PBW660 had maximum chl accumulation at FLS.</w:t>
      </w:r>
    </w:p>
    <w:p w14:paraId="1755641B">
      <w:pPr>
        <w:widowControl w:val="0"/>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Carotenoid content</w:t>
      </w:r>
    </w:p>
    <w:p w14:paraId="41EE0DF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Under control conditions, all studied genotypes had low carotenoid content accumulation (Table 2). FLS had a slight increase in carotenoids as compared to recorded at VS was found in all genotypes under control conditions. All genotypes exhibited significant enhancement in carotenoid content under the drought stress conditions at both stages. PBW660 had maximum and HD2967and WH1105 had a minimum accumulation of carotenoids at the VS and at FLS maximum was recorded in PBW660 under drought stress. Kn along with GB@ 50mM significantly increased the carotenoids at both stages in all studied genotypes. With that foliar spray HD2967 followed by PBW660 had maximum carotenoids at VS and PBW660 had maximum carotenoids at FLS. Kn along with the higher concentration of GB i.e. GB@ 100mM had a more positive effect on all genotypes for carotenoid accumulation. With that foliar application, HD2967 had a maximum increase in carotenoid at VS and PBW660 had a maximum increase at FLS. BA along with GB@ 100mM had a more significant effect as compared to BA with GB@ 50mM. With the foliar application of BA with GB@100mM, genotype HD2967 had maximum carotenoids at VS and at FLS genotype PBW660 had more carotenoids as compared to other genotypes.</w:t>
      </w:r>
    </w:p>
    <w:p w14:paraId="649A925F">
      <w:pPr>
        <w:widowControl w:val="0"/>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Biological yield/m</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(BY)</w:t>
      </w:r>
    </w:p>
    <w:p w14:paraId="18EE37F5">
      <w:pPr>
        <w:spacing w:line="360" w:lineRule="auto"/>
        <w:jc w:val="both"/>
        <w:rPr>
          <w:rFonts w:ascii="Times New Roman" w:hAnsi="Times New Roman" w:cs="Times New Roman"/>
          <w:sz w:val="24"/>
          <w:szCs w:val="24"/>
        </w:rPr>
      </w:pPr>
      <w:r>
        <w:rPr>
          <w:rFonts w:ascii="Times New Roman" w:hAnsi="Times New Roman" w:cs="Times New Roman"/>
          <w:sz w:val="24"/>
          <w:szCs w:val="24"/>
        </w:rPr>
        <w:t>Drought stress directly lowered the BY in the given genotypes set as were recorded under the control conditions (Fig 3).  HD2967 had maximum BY/m</w:t>
      </w:r>
      <w:r>
        <w:rPr>
          <w:rFonts w:ascii="Times New Roman" w:hAnsi="Times New Roman" w:cs="Times New Roman"/>
          <w:sz w:val="24"/>
          <w:szCs w:val="24"/>
          <w:vertAlign w:val="superscript"/>
        </w:rPr>
        <w:t>2</w:t>
      </w:r>
      <w:r>
        <w:rPr>
          <w:rFonts w:ascii="Times New Roman" w:hAnsi="Times New Roman" w:cs="Times New Roman"/>
          <w:sz w:val="24"/>
          <w:szCs w:val="24"/>
        </w:rPr>
        <w:t xml:space="preserve"> under control conditions and as well as under drought stress as related to other genotypes. Foliar application of Kn along with GB@ 50mM significantly increased the biological yield, and HD2967 followed by PBW660 had more BY as compared to WH1105 with that foliar application. Kn in combination with GB@ 100mM further increased BY in all genotypes; PBW660 had more and HD2967 and WH1105 had similar and lesser BY/m</w:t>
      </w:r>
      <w:r>
        <w:rPr>
          <w:rFonts w:ascii="Times New Roman" w:hAnsi="Times New Roman" w:cs="Times New Roman"/>
          <w:sz w:val="24"/>
          <w:szCs w:val="24"/>
          <w:vertAlign w:val="superscript"/>
        </w:rPr>
        <w:t>2</w:t>
      </w:r>
      <w:r>
        <w:rPr>
          <w:rFonts w:ascii="Times New Roman" w:hAnsi="Times New Roman" w:cs="Times New Roman"/>
          <w:sz w:val="24"/>
          <w:szCs w:val="24"/>
        </w:rPr>
        <w:t>. With the foliar application of BA along with GB@ 50mM, maximum BY was recorded in HD2967 and also with foliar application of BA along with GB@ 100mM as compared to other genotypes.</w:t>
      </w:r>
    </w:p>
    <w:p w14:paraId="05E565A2">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C78B119">
      <w:pPr>
        <w:widowControl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 Net photosynthetic rate (NPR), and intercellular CO</w:t>
      </w:r>
      <w:r>
        <w:rPr>
          <w:rFonts w:ascii="Times New Roman" w:hAnsi="Times New Roman" w:eastAsia="Calibri" w:cs="Times New Roman"/>
          <w:sz w:val="24"/>
          <w:szCs w:val="24"/>
          <w:vertAlign w:val="subscript"/>
        </w:rPr>
        <w:t xml:space="preserve">2 </w:t>
      </w:r>
      <w:r>
        <w:rPr>
          <w:rFonts w:ascii="Times New Roman" w:hAnsi="Times New Roman" w:eastAsia="Calibri" w:cs="Times New Roman"/>
          <w:sz w:val="24"/>
          <w:szCs w:val="24"/>
        </w:rPr>
        <w:t xml:space="preserve">(ICC) were recorded high in all the genotypes under control conditions and significant reduction was recorded under the drought stress conditions at both VS as well as at FLS </w:t>
      </w:r>
      <w:commentRangeStart w:id="12"/>
      <w:r>
        <w:rPr>
          <w:rFonts w:ascii="Times New Roman" w:hAnsi="Times New Roman" w:eastAsia="Calibri" w:cs="Times New Roman"/>
          <w:sz w:val="24"/>
          <w:szCs w:val="24"/>
        </w:rPr>
        <w:t>[10 and 11]</w:t>
      </w:r>
      <w:commentRangeEnd w:id="12"/>
      <w:r>
        <w:commentReference w:id="12"/>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Earlier, the GB application improved the NPR particularly by stomatal conductance maintenance [12]. Drought stress has been reported to negatively affect photosynthesis mainly due to stomata closure leads to subsequent deduction of assimilate transport and cellular water depletion recorded by [13] and the results were in collaboration with [14]. Perhaps decrease in NPR was due to reduced stomatal conductance [15]. </w:t>
      </w:r>
      <w:r>
        <w:rPr>
          <w:rFonts w:ascii="Times New Roman" w:hAnsi="Times New Roman" w:eastAsia="Calibri" w:cs="Times New Roman"/>
          <w:sz w:val="24"/>
          <w:szCs w:val="24"/>
        </w:rPr>
        <w:t>For NPR the supreme percentage decline was recorded in HD2967 (29.34%) and the minimum was observed in PBW660 (21.82%) over the drought stress conditions at VS and at FLS the genotype WH1105 had minimum and HD2967 had maximum percentage decrease over control.</w:t>
      </w:r>
      <w:r>
        <w:rPr>
          <w:rFonts w:ascii="Times New Roman" w:hAnsi="Times New Roman" w:cs="Times New Roman"/>
          <w:sz w:val="24"/>
          <w:szCs w:val="24"/>
        </w:rPr>
        <w:t xml:space="preserve"> Earlier it was recorded that gas interchange factors of both </w:t>
      </w:r>
      <w:r>
        <w:rPr>
          <w:rFonts w:ascii="Times New Roman" w:hAnsi="Times New Roman" w:cs="Times New Roman"/>
          <w:i/>
          <w:iCs/>
          <w:sz w:val="24"/>
          <w:szCs w:val="24"/>
        </w:rPr>
        <w:t>G. bar</w:t>
      </w:r>
      <w:r>
        <w:rPr>
          <w:rFonts w:ascii="Times New Roman" w:hAnsi="Times New Roman" w:cs="Times New Roman"/>
          <w:i/>
          <w:iCs/>
          <w:sz w:val="24"/>
          <w:szCs w:val="24"/>
        </w:rPr>
        <w:softHyphen/>
      </w:r>
      <w:r>
        <w:rPr>
          <w:rFonts w:ascii="Times New Roman" w:hAnsi="Times New Roman" w:cs="Times New Roman"/>
          <w:i/>
          <w:iCs/>
          <w:sz w:val="24"/>
          <w:szCs w:val="24"/>
        </w:rPr>
        <w:t xml:space="preserve">badense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G. hirsutum </w:t>
      </w:r>
      <w:r>
        <w:rPr>
          <w:rFonts w:ascii="Times New Roman" w:hAnsi="Times New Roman" w:cs="Times New Roman"/>
          <w:sz w:val="24"/>
          <w:szCs w:val="24"/>
        </w:rPr>
        <w:t>were higher under well-watered conditions as compared to drought stress</w:t>
      </w:r>
      <w:r>
        <w:rPr>
          <w:rFonts w:ascii="Times New Roman" w:hAnsi="Times New Roman" w:cs="Times New Roman"/>
          <w:bCs/>
          <w:sz w:val="24"/>
          <w:szCs w:val="24"/>
        </w:rPr>
        <w:t xml:space="preserve"> [16]</w:t>
      </w:r>
      <w:r>
        <w:rPr>
          <w:rFonts w:ascii="Times New Roman" w:hAnsi="Times New Roman" w:cs="Times New Roman"/>
          <w:sz w:val="24"/>
          <w:szCs w:val="24"/>
        </w:rPr>
        <w:t>. According to [2], drought stress inhibits significant gas-exchange traits to a fluctuating magnitude thereby suppressing the general photosynthetic capability of many plants. Similarly, [17] demonstrated that the foliage net CO2 integration rate (</w:t>
      </w:r>
      <w:r>
        <w:rPr>
          <w:rFonts w:ascii="Times New Roman" w:hAnsi="Times New Roman" w:cs="Times New Roman"/>
          <w:i/>
          <w:iCs/>
          <w:sz w:val="24"/>
          <w:szCs w:val="24"/>
        </w:rPr>
        <w:t>P</w:t>
      </w:r>
      <w:r>
        <w:rPr>
          <w:rFonts w:ascii="Times New Roman" w:hAnsi="Times New Roman" w:cs="Times New Roman"/>
          <w:sz w:val="24"/>
          <w:szCs w:val="24"/>
        </w:rPr>
        <w:t xml:space="preserve">N) of developed plants diminished considerably as the foliage water potential and relative water content (RWC) declined. </w:t>
      </w:r>
      <w:r>
        <w:rPr>
          <w:rFonts w:ascii="Times New Roman" w:hAnsi="Times New Roman" w:eastAsia="Calibri" w:cs="Times New Roman"/>
          <w:sz w:val="24"/>
          <w:szCs w:val="24"/>
        </w:rPr>
        <w:t>Various combinations of cytokinins along with osmoprotectants significantly increased the NPR, and ICC in all genotypes.</w:t>
      </w:r>
      <w:r>
        <w:rPr>
          <w:rFonts w:ascii="Times New Roman" w:hAnsi="Times New Roman" w:cs="Times New Roman"/>
          <w:bCs/>
          <w:sz w:val="24"/>
          <w:szCs w:val="24"/>
        </w:rPr>
        <w:t xml:space="preserve">  Presently ICC declined in all studied genotypes under drought stress and similar findings under drought-stressed cotton varieties have been reported earlier [15]. [18] recorded the decline in ICC under the drought-stressed wheat genotypes. </w:t>
      </w:r>
    </w:p>
    <w:p w14:paraId="4D2EDD3B">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Chloroplastic GB is further active than cytosolic GB in guarding plants against excessive salt, chilling, water scarcity, and oxidative stresses [12]. Presently the various concentrations of GB along with BA and Kn increased the NPR, and ICC under the drought treated genotypes as GB plays a crucial role in osmotic adjustment, photosynthetic apparatus (PSII), and overall protection of thylakoid membranes [19], stabilization of the membranes and complex proteins, protection of the translational and transcriptional apparatuses and intervention as cytoplasm protection and chloroplast from Na</w:t>
      </w:r>
      <w:r>
        <w:rPr>
          <w:rFonts w:ascii="Times New Roman" w:hAnsi="Times New Roman" w:cs="Times New Roman"/>
          <w:sz w:val="24"/>
          <w:szCs w:val="24"/>
          <w:vertAlign w:val="superscript"/>
        </w:rPr>
        <w:t>+</w:t>
      </w:r>
      <w:r>
        <w:rPr>
          <w:rFonts w:ascii="Times New Roman" w:hAnsi="Times New Roman" w:cs="Times New Roman"/>
          <w:sz w:val="24"/>
          <w:szCs w:val="24"/>
        </w:rPr>
        <w:t xml:space="preserve"> damage [20] by functioning as oxygen radical scavenger and molecular chaperone in the enzymes refolding including rubisco [21]. GB also protects cells from environmental constraints indirectly through its involvement in signal transduction, which is regulated by various MAP kinases [22]. Both the approaches involving exogenous GB application and the primer via transgenes of the GB bio-synthetic pathway have gained importance to improve plant stress easiness [12]. The biological yield was recorded increased as compared to drought stress with an application of BA and Kn </w:t>
      </w:r>
      <w:r>
        <w:rPr>
          <w:rFonts w:ascii="Times New Roman" w:hAnsi="Times New Roman" w:cs="Times New Roman"/>
          <w:sz w:val="24"/>
          <w:szCs w:val="24"/>
          <w:highlight w:val="yellow"/>
        </w:rPr>
        <w:t>[23 and 24]</w:t>
      </w:r>
      <w:r>
        <w:rPr>
          <w:rFonts w:ascii="Times New Roman" w:hAnsi="Times New Roman" w:cs="Times New Roman"/>
          <w:sz w:val="24"/>
          <w:szCs w:val="24"/>
        </w:rPr>
        <w:t xml:space="preserve"> which was similar to the present finding. Exogenously GB application can effectively and quickly penetrate via leaves and be conveyed or transported to other organs, where it would significantly help to alleviate the stress tolerance mechanism. Foliar application of glycine betaine in wheat at vegetative phases of crop progress improves grain yields by increasing the quantity of grains per spike [25]. </w:t>
      </w:r>
    </w:p>
    <w:p w14:paraId="19E9EF69">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E9253DB">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It can be confined that</w:t>
      </w:r>
      <w:r>
        <w:rPr>
          <w:rFonts w:ascii="Times New Roman" w:hAnsi="Times New Roman" w:cs="Times New Roman"/>
          <w:sz w:val="24"/>
          <w:szCs w:val="24"/>
          <w:lang w:val="en-GB"/>
        </w:rPr>
        <w:t xml:space="preserve"> exogenous application of glycine betaine and cytokinins mitigated the negative outcome of drought stress on </w:t>
      </w:r>
      <w:r>
        <w:rPr>
          <w:rFonts w:ascii="Times New Roman" w:hAnsi="Times New Roman" w:cs="Times New Roman"/>
          <w:strike/>
          <w:dstrike w:val="0"/>
          <w:sz w:val="24"/>
          <w:szCs w:val="24"/>
          <w:highlight w:val="yellow"/>
          <w:lang w:val="en-GB"/>
        </w:rPr>
        <w:t>P</w:t>
      </w:r>
      <w:r>
        <w:rPr>
          <w:rFonts w:hint="default" w:ascii="Times New Roman" w:hAnsi="Times New Roman" w:cs="Times New Roman"/>
          <w:strike/>
          <w:dstrike w:val="0"/>
          <w:color w:val="FF0000"/>
          <w:sz w:val="24"/>
          <w:szCs w:val="24"/>
          <w:highlight w:val="yellow"/>
          <w:lang w:val="en-US"/>
        </w:rPr>
        <w:t>p</w:t>
      </w:r>
      <w:r>
        <w:rPr>
          <w:rFonts w:ascii="Times New Roman" w:hAnsi="Times New Roman" w:cs="Times New Roman"/>
          <w:sz w:val="24"/>
          <w:szCs w:val="24"/>
          <w:lang w:val="en-GB"/>
        </w:rPr>
        <w:t xml:space="preserve">hotosynthetic attributes and resulted in increased biological yield in wheat genotypes viz, HD2967, PBW660, and WH1105. Although all the presently studied applications of KN, BA, and GB had an ameliorative effect on drought-stressed wheat among the treatments, the application of Kn@40mg/L along with GB@100mM was recorded better than others. Our findings help to explore the potential role of osmoprotectants in the improvement of morpho-physiological traits in flagship cereal. It also strengthened the concept of interaction between drought stress, osmoprotectants, and plant response. </w:t>
      </w:r>
    </w:p>
    <w:p w14:paraId="0EA7C1B1">
      <w:pPr>
        <w:autoSpaceDE w:val="0"/>
        <w:autoSpaceDN w:val="0"/>
        <w:adjustRightInd w:val="0"/>
        <w:spacing w:after="0" w:line="360" w:lineRule="auto"/>
        <w:jc w:val="both"/>
        <w:rPr>
          <w:rFonts w:ascii="Times New Roman" w:hAnsi="Times New Roman" w:cs="Times New Roman"/>
          <w:sz w:val="24"/>
          <w:szCs w:val="24"/>
          <w:lang w:val="en-GB"/>
        </w:rPr>
      </w:pPr>
    </w:p>
    <w:p w14:paraId="7DFA47E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References</w:t>
      </w:r>
      <w:r>
        <w:commentReference w:id="13"/>
      </w:r>
    </w:p>
    <w:p w14:paraId="05A5F9A9">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highlight w:val="yellow"/>
        </w:rPr>
        <w:t xml:space="preserve">Zampieri, M., Ceglar, A., Dentener, F., &amp; Toreti, A. (2017) Wheat yield loss attributable to heat waves, drought and water excess at the global, national and subnational scales. </w:t>
      </w:r>
      <w:r>
        <w:rPr>
          <w:rFonts w:ascii="Times New Roman" w:hAnsi="Times New Roman" w:cs="Times New Roman"/>
          <w:i/>
          <w:sz w:val="24"/>
          <w:szCs w:val="24"/>
          <w:highlight w:val="yellow"/>
        </w:rPr>
        <w:t xml:space="preserve">Environ Res Lett </w:t>
      </w:r>
      <w:r>
        <w:rPr>
          <w:rFonts w:ascii="Times New Roman" w:hAnsi="Times New Roman" w:cs="Times New Roman"/>
          <w:sz w:val="24"/>
          <w:szCs w:val="24"/>
          <w:highlight w:val="yellow"/>
        </w:rPr>
        <w:t>12: 6.</w:t>
      </w:r>
    </w:p>
    <w:p w14:paraId="4B678277">
      <w:pPr>
        <w:widowControl w:val="0"/>
        <w:spacing w:after="22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Kumar, A., Sharma, A., Sharma, R., Srivastva, P., &amp; Choudhary A., ( 2021a) Exploration of </w:t>
      </w:r>
      <w:bookmarkStart w:id="0" w:name="_GoBack"/>
      <w:bookmarkEnd w:id="0"/>
      <w:r>
        <w:rPr>
          <w:rFonts w:ascii="Times New Roman" w:hAnsi="Times New Roman" w:eastAsia="Times New Roman" w:cs="Times New Roman"/>
          <w:sz w:val="24"/>
          <w:szCs w:val="24"/>
        </w:rPr>
        <w:t>Wheat wild relative diversity from Lahaul Valley –a cold arid desert of Indian Himalayas. Cer Res Commun 10.1007/s42976-021-00166-w.</w:t>
      </w:r>
    </w:p>
    <w:p w14:paraId="5D04E04D">
      <w:pPr>
        <w:widowControl w:val="0"/>
        <w:spacing w:after="220" w:line="36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lang w:val="en-GB"/>
        </w:rPr>
        <w:t xml:space="preserve">3. Lopes, M. S., Saglam, D., Ozdogan, M., &amp; Reynolds, M. (2014) Traits associated with winter wheat grain yield in Central and West Asia. </w:t>
      </w:r>
      <w:r>
        <w:rPr>
          <w:rFonts w:ascii="Times New Roman" w:hAnsi="Times New Roman" w:cs="Times New Roman"/>
          <w:i/>
          <w:iCs/>
          <w:sz w:val="24"/>
          <w:szCs w:val="24"/>
          <w:lang w:val="en-GB"/>
        </w:rPr>
        <w:t>J Integ Plant</w:t>
      </w:r>
      <w:r>
        <w:rPr>
          <w:rFonts w:ascii="Times New Roman" w:hAnsi="Times New Roman" w:cs="Times New Roman"/>
          <w:i/>
          <w:sz w:val="24"/>
          <w:szCs w:val="24"/>
          <w:lang w:val="en-GB"/>
        </w:rPr>
        <w:t xml:space="preserve"> </w:t>
      </w:r>
      <w:r>
        <w:rPr>
          <w:rFonts w:ascii="Times New Roman" w:hAnsi="Times New Roman" w:cs="Times New Roman"/>
          <w:i/>
          <w:iCs/>
          <w:sz w:val="24"/>
          <w:szCs w:val="24"/>
          <w:lang w:val="en-GB"/>
        </w:rPr>
        <w:t>Biol</w:t>
      </w:r>
      <w:r>
        <w:rPr>
          <w:rFonts w:ascii="Times New Roman" w:hAnsi="Times New Roman" w:cs="Times New Roman"/>
          <w:iCs/>
          <w:sz w:val="24"/>
          <w:szCs w:val="24"/>
          <w:lang w:val="en-GB"/>
        </w:rPr>
        <w:t xml:space="preserve"> </w:t>
      </w:r>
      <w:r>
        <w:rPr>
          <w:rFonts w:ascii="Times New Roman" w:hAnsi="Times New Roman" w:cs="Times New Roman"/>
          <w:sz w:val="24"/>
          <w:szCs w:val="24"/>
          <w:lang w:val="en-GB"/>
        </w:rPr>
        <w:t>56: 673–683</w:t>
      </w:r>
    </w:p>
    <w:p w14:paraId="1F1DD85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4. Choudhary, A., Kumar, A., &amp; Kaur, N. (2019) ROS and oxidative burst: Roots in plant development </w:t>
      </w:r>
      <w:r>
        <w:rPr>
          <w:rFonts w:ascii="Times New Roman" w:hAnsi="Times New Roman" w:cs="Times New Roman"/>
          <w:iCs/>
          <w:sz w:val="24"/>
          <w:szCs w:val="24"/>
          <w:lang w:val="en-IN"/>
        </w:rPr>
        <w:t>Plant Diver 42: 33-43</w:t>
      </w:r>
    </w:p>
    <w:p w14:paraId="570170C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 Aldesuquy, H., Haroun, S., Abo-Hamed, S., &amp; El-Saied, A.W. (2014) Involvement of spermine and spermidine in the control of productivity and biochemical aspects of yielded grains of wheat plants irrigated with waste water. </w:t>
      </w:r>
      <w:r>
        <w:rPr>
          <w:rFonts w:ascii="Times New Roman" w:hAnsi="Times New Roman" w:cs="Times New Roman"/>
          <w:i/>
          <w:sz w:val="24"/>
          <w:szCs w:val="24"/>
        </w:rPr>
        <w:t>Egypt J Basic Appl Sci</w:t>
      </w:r>
      <w:r>
        <w:rPr>
          <w:rFonts w:ascii="Times New Roman" w:hAnsi="Times New Roman" w:cs="Times New Roman"/>
          <w:sz w:val="24"/>
          <w:szCs w:val="24"/>
        </w:rPr>
        <w:t> 1: 16–28</w:t>
      </w:r>
    </w:p>
    <w:p w14:paraId="6D51313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Gupta, N., Thind, S., K, &amp; Bains, N., S. (2014) Glycine betaine application modifies biochemical attributes of osmotic adjustment in drought stressed wheat. </w:t>
      </w:r>
      <w:r>
        <w:rPr>
          <w:rFonts w:ascii="Times New Roman" w:hAnsi="Times New Roman" w:cs="Times New Roman"/>
          <w:i/>
          <w:sz w:val="24"/>
          <w:szCs w:val="24"/>
        </w:rPr>
        <w:t xml:space="preserve">Plant Growth Regul </w:t>
      </w:r>
      <w:r>
        <w:rPr>
          <w:rFonts w:ascii="Times New Roman" w:hAnsi="Times New Roman" w:cs="Times New Roman"/>
          <w:sz w:val="24"/>
          <w:szCs w:val="24"/>
        </w:rPr>
        <w:t>72: 221–228</w:t>
      </w:r>
    </w:p>
    <w:p w14:paraId="5EDA6638">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 Park, E., J, Jeknic, Z., Pino, M.T., Murata, N., &amp; Chen, T. H. H. (2007) Glycinebetaine accumulation is more effective in chloroplasts than in the cytosol for protecting transgenic tomato plants against abiotic stress. </w:t>
      </w:r>
      <w:r>
        <w:rPr>
          <w:rFonts w:ascii="Times New Roman" w:hAnsi="Times New Roman" w:cs="Times New Roman"/>
          <w:i/>
          <w:sz w:val="24"/>
          <w:szCs w:val="24"/>
          <w:lang w:val="en-GB"/>
        </w:rPr>
        <w:t>Plant Cell Environ</w:t>
      </w:r>
      <w:r>
        <w:rPr>
          <w:rFonts w:ascii="Times New Roman" w:hAnsi="Times New Roman" w:cs="Times New Roman"/>
          <w:sz w:val="24"/>
          <w:szCs w:val="24"/>
          <w:lang w:val="en-GB"/>
        </w:rPr>
        <w:t xml:space="preserve"> 30: 994-1005</w:t>
      </w:r>
    </w:p>
    <w:p w14:paraId="7B905EC3">
      <w:pPr>
        <w:widowControl w:val="0"/>
        <w:spacing w:after="260"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 Hiscox, J. D., &amp; Israelstam, G. F. (1979) A method for extraction of chloroplast from leaf tissue without maceration. </w:t>
      </w:r>
      <w:r>
        <w:rPr>
          <w:rFonts w:ascii="Times New Roman" w:hAnsi="Times New Roman" w:eastAsia="Times New Roman" w:cs="Times New Roman"/>
          <w:i/>
          <w:sz w:val="24"/>
          <w:szCs w:val="24"/>
        </w:rPr>
        <w:t>Can J Bot</w:t>
      </w:r>
      <w:r>
        <w:rPr>
          <w:rFonts w:ascii="Times New Roman" w:hAnsi="Times New Roman" w:eastAsia="Times New Roman" w:cs="Times New Roman"/>
          <w:sz w:val="24"/>
          <w:szCs w:val="24"/>
        </w:rPr>
        <w:t xml:space="preserve"> 57: 1332-1334</w:t>
      </w:r>
    </w:p>
    <w:p w14:paraId="6C9058AC">
      <w:pPr>
        <w:autoSpaceDE w:val="0"/>
        <w:autoSpaceDN w:val="0"/>
        <w:adjustRightInd w:val="0"/>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 Cochran, W. G., &amp; Cox, G. M. (1967) Experimental design. John Wiley and Sons Ltd., England.</w:t>
      </w:r>
    </w:p>
    <w:p w14:paraId="78A6A5C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 El Habti, A., Fleury, D., Jewell, N., Garnett, T., &amp; Tricker, P. J. (2020) Tolerance of combined drought and heat stress is associated with transpiration maintenance and water soluble carbohydrates in wheat grains. </w:t>
      </w:r>
      <w:r>
        <w:rPr>
          <w:rFonts w:ascii="Times New Roman" w:hAnsi="Times New Roman" w:cs="Times New Roman"/>
          <w:i/>
          <w:iCs/>
          <w:sz w:val="24"/>
          <w:szCs w:val="24"/>
        </w:rPr>
        <w:t>Front Plant Sci</w:t>
      </w:r>
      <w:r>
        <w:rPr>
          <w:rFonts w:ascii="Times New Roman" w:hAnsi="Times New Roman" w:cs="Times New Roman"/>
          <w:sz w:val="24"/>
          <w:szCs w:val="24"/>
        </w:rPr>
        <w:t> 11: 568693</w:t>
      </w:r>
    </w:p>
    <w:p w14:paraId="2C33E29F">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11. Stallmann, J., Schweiger, R., &amp; Pons, C. A. A. (2020) Wheat growth, applied water use efficiency and flag leaf metabolome under continuous and pulsed deficit irrigation. </w:t>
      </w:r>
      <w:r>
        <w:rPr>
          <w:rFonts w:ascii="Times New Roman" w:hAnsi="Times New Roman" w:cs="Times New Roman"/>
          <w:bCs/>
          <w:i/>
          <w:iCs/>
          <w:sz w:val="24"/>
          <w:szCs w:val="24"/>
        </w:rPr>
        <w:t>Sci Rep</w:t>
      </w:r>
      <w:r>
        <w:rPr>
          <w:rFonts w:ascii="Times New Roman" w:hAnsi="Times New Roman" w:cs="Times New Roman"/>
          <w:bCs/>
          <w:sz w:val="24"/>
          <w:szCs w:val="24"/>
        </w:rPr>
        <w:t xml:space="preserve"> 10, 10112 </w:t>
      </w:r>
    </w:p>
    <w:p w14:paraId="5D89C14E">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 Shemi, R., Wang, R., &amp; Gheith, E. S. (2021) Effects of salicylic acid, zinc and glycine betaine on morpho-physiological growth and yield of maize under drought stress. </w:t>
      </w:r>
      <w:r>
        <w:rPr>
          <w:rFonts w:ascii="Times New Roman" w:hAnsi="Times New Roman" w:cs="Times New Roman"/>
          <w:bCs/>
          <w:i/>
          <w:iCs/>
          <w:sz w:val="24"/>
          <w:szCs w:val="24"/>
        </w:rPr>
        <w:t>Sci Rep</w:t>
      </w:r>
      <w:r>
        <w:rPr>
          <w:rFonts w:ascii="Times New Roman" w:hAnsi="Times New Roman" w:cs="Times New Roman"/>
          <w:bCs/>
          <w:i/>
          <w:sz w:val="24"/>
          <w:szCs w:val="24"/>
        </w:rPr>
        <w:t> </w:t>
      </w:r>
      <w:r>
        <w:rPr>
          <w:rFonts w:ascii="Times New Roman" w:hAnsi="Times New Roman" w:cs="Times New Roman"/>
          <w:bCs/>
          <w:sz w:val="24"/>
          <w:szCs w:val="24"/>
        </w:rPr>
        <w:t xml:space="preserve">11: 3195 </w:t>
      </w:r>
    </w:p>
    <w:p w14:paraId="08C9BB7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Lalonde, S., Boles, E., Hellmann, H., Barker, L., Patrick, J. W., &amp; Frommer, W. B. (1999) The dual function of sugar carriers: transport and sugar sensing. </w:t>
      </w:r>
      <w:r>
        <w:rPr>
          <w:rFonts w:ascii="Times New Roman" w:hAnsi="Times New Roman" w:cs="Times New Roman"/>
          <w:i/>
          <w:sz w:val="24"/>
          <w:szCs w:val="24"/>
        </w:rPr>
        <w:t>Plant Cell</w:t>
      </w:r>
      <w:r>
        <w:rPr>
          <w:rFonts w:ascii="Times New Roman" w:hAnsi="Times New Roman" w:cs="Times New Roman"/>
          <w:sz w:val="24"/>
          <w:szCs w:val="24"/>
        </w:rPr>
        <w:t xml:space="preserve"> 11: 707–726</w:t>
      </w:r>
    </w:p>
    <w:p w14:paraId="3E2A37F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Hafeez, M. N., Sadique, S., Hassan, S., Sarwar, M. B., Rashid, B., Ali, Q., &amp; Husnain, T. (2015) Physiological, morphological, biochemical and molecular basis of drought tolerance in cotton. </w:t>
      </w:r>
      <w:r>
        <w:rPr>
          <w:rFonts w:ascii="Times New Roman" w:hAnsi="Times New Roman" w:cs="Times New Roman"/>
          <w:i/>
          <w:sz w:val="24"/>
          <w:szCs w:val="24"/>
        </w:rPr>
        <w:t>Int J Biol Pharm Allied Sci</w:t>
      </w:r>
      <w:r>
        <w:rPr>
          <w:rFonts w:ascii="Times New Roman" w:hAnsi="Times New Roman" w:cs="Times New Roman"/>
          <w:sz w:val="24"/>
          <w:szCs w:val="24"/>
        </w:rPr>
        <w:t xml:space="preserve"> 4: 1091-1112</w:t>
      </w:r>
    </w:p>
    <w:p w14:paraId="74B2209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15. Wu, X., &amp; Bao, W. (2011) Influence of water deficit and genotype on photosynthetic activity, dry mass partitioning and grain yield changes of winter wheat. </w:t>
      </w:r>
      <w:r>
        <w:rPr>
          <w:rFonts w:ascii="Times New Roman" w:hAnsi="Times New Roman" w:cs="Times New Roman"/>
          <w:i/>
          <w:sz w:val="24"/>
          <w:szCs w:val="24"/>
        </w:rPr>
        <w:t xml:space="preserve">Afr J Agric Res </w:t>
      </w:r>
      <w:r>
        <w:rPr>
          <w:rFonts w:ascii="Times New Roman" w:hAnsi="Times New Roman" w:cs="Times New Roman"/>
          <w:sz w:val="24"/>
          <w:szCs w:val="24"/>
        </w:rPr>
        <w:t>6: 5567-5574</w:t>
      </w:r>
    </w:p>
    <w:p w14:paraId="70988E6D">
      <w:pPr>
        <w:spacing w:line="36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16. Hejnák, V., Tatar, O., Atasoy, G. D., Martinková, J., Çelen, A. E., Hnilička, F., &amp; Skalický, M. (2015) Growth and photosynthesis of Upland and Pima cotton: response to drought and heat stress. </w:t>
      </w:r>
      <w:r>
        <w:rPr>
          <w:rFonts w:ascii="Times New Roman" w:hAnsi="Times New Roman" w:cs="Times New Roman"/>
          <w:i/>
          <w:iCs/>
          <w:sz w:val="24"/>
          <w:szCs w:val="24"/>
        </w:rPr>
        <w:t>Plant Soil Environ</w:t>
      </w:r>
      <w:r>
        <w:rPr>
          <w:rFonts w:ascii="Times New Roman" w:hAnsi="Times New Roman" w:cs="Times New Roman"/>
          <w:iCs/>
          <w:sz w:val="24"/>
          <w:szCs w:val="24"/>
        </w:rPr>
        <w:t xml:space="preserve"> 61: 507–514</w:t>
      </w:r>
    </w:p>
    <w:p w14:paraId="279CE283">
      <w:pPr>
        <w:spacing w:line="36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 xml:space="preserve">17. Lawlor, D. W., &amp; Cornic, G. (2002) Photosynthetic carbon assimilation and associated metabolism in relation to water deficit in higher plants. </w:t>
      </w:r>
      <w:r>
        <w:rPr>
          <w:rFonts w:ascii="Times New Roman" w:hAnsi="Times New Roman" w:cs="Times New Roman"/>
          <w:i/>
          <w:iCs/>
          <w:sz w:val="24"/>
          <w:szCs w:val="24"/>
        </w:rPr>
        <w:t>Plant Cell Environ</w:t>
      </w:r>
      <w:r>
        <w:rPr>
          <w:rFonts w:ascii="Times New Roman" w:hAnsi="Times New Roman" w:cs="Times New Roman"/>
          <w:iCs/>
          <w:sz w:val="24"/>
          <w:szCs w:val="24"/>
        </w:rPr>
        <w:t xml:space="preserve"> 25: 275–294</w:t>
      </w:r>
    </w:p>
    <w:p w14:paraId="48AA7941">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sz w:val="24"/>
          <w:szCs w:val="24"/>
        </w:rPr>
        <w:t>18. Allahverdiyev, T. (2015) Effect of drought stress on some physiological traits of durum (</w:t>
      </w:r>
      <w:r>
        <w:rPr>
          <w:rFonts w:ascii="Times New Roman" w:hAnsi="Times New Roman" w:cs="Times New Roman"/>
          <w:bCs/>
          <w:i/>
          <w:iCs/>
          <w:sz w:val="24"/>
          <w:szCs w:val="24"/>
        </w:rPr>
        <w:t>Triticum</w:t>
      </w:r>
      <w:r>
        <w:rPr>
          <w:rFonts w:ascii="Times New Roman" w:hAnsi="Times New Roman" w:cs="Times New Roman"/>
          <w:bCs/>
          <w:iCs/>
          <w:sz w:val="24"/>
          <w:szCs w:val="24"/>
        </w:rPr>
        <w:t xml:space="preserve"> </w:t>
      </w:r>
      <w:r>
        <w:rPr>
          <w:rFonts w:ascii="Times New Roman" w:hAnsi="Times New Roman" w:cs="Times New Roman"/>
          <w:bCs/>
          <w:i/>
          <w:iCs/>
          <w:sz w:val="24"/>
          <w:szCs w:val="24"/>
        </w:rPr>
        <w:t>durum</w:t>
      </w:r>
      <w:r>
        <w:rPr>
          <w:rFonts w:ascii="Times New Roman" w:hAnsi="Times New Roman" w:cs="Times New Roman"/>
          <w:bCs/>
          <w:iCs/>
          <w:sz w:val="24"/>
          <w:szCs w:val="24"/>
        </w:rPr>
        <w:t xml:space="preserve"> </w:t>
      </w:r>
      <w:r>
        <w:rPr>
          <w:rFonts w:ascii="Times New Roman" w:hAnsi="Times New Roman" w:cs="Times New Roman"/>
          <w:bCs/>
          <w:sz w:val="24"/>
          <w:szCs w:val="24"/>
        </w:rPr>
        <w:t>Desf.) and bread (</w:t>
      </w:r>
      <w:r>
        <w:rPr>
          <w:rFonts w:ascii="Times New Roman" w:hAnsi="Times New Roman" w:cs="Times New Roman"/>
          <w:bCs/>
          <w:i/>
          <w:iCs/>
          <w:sz w:val="24"/>
          <w:szCs w:val="24"/>
        </w:rPr>
        <w:t>Triticum</w:t>
      </w:r>
      <w:r>
        <w:rPr>
          <w:rFonts w:ascii="Times New Roman" w:hAnsi="Times New Roman" w:cs="Times New Roman"/>
          <w:bCs/>
          <w:i/>
          <w:sz w:val="24"/>
          <w:szCs w:val="24"/>
        </w:rPr>
        <w:t xml:space="preserve"> </w:t>
      </w:r>
      <w:r>
        <w:rPr>
          <w:rFonts w:ascii="Times New Roman" w:hAnsi="Times New Roman" w:cs="Times New Roman"/>
          <w:bCs/>
          <w:i/>
          <w:iCs/>
          <w:sz w:val="24"/>
          <w:szCs w:val="24"/>
        </w:rPr>
        <w:t>aestivum</w:t>
      </w:r>
      <w:r>
        <w:rPr>
          <w:rFonts w:ascii="Times New Roman" w:hAnsi="Times New Roman" w:cs="Times New Roman"/>
          <w:bCs/>
          <w:iCs/>
          <w:sz w:val="24"/>
          <w:szCs w:val="24"/>
        </w:rPr>
        <w:t xml:space="preserve"> </w:t>
      </w:r>
      <w:r>
        <w:rPr>
          <w:rFonts w:ascii="Times New Roman" w:hAnsi="Times New Roman" w:cs="Times New Roman"/>
          <w:bCs/>
          <w:sz w:val="24"/>
          <w:szCs w:val="24"/>
        </w:rPr>
        <w:t>L.) wheat genotypes.</w:t>
      </w:r>
      <w:r>
        <w:rPr>
          <w:rFonts w:ascii="Times New Roman" w:hAnsi="Times New Roman" w:cs="Times New Roman"/>
          <w:iCs/>
          <w:sz w:val="24"/>
          <w:szCs w:val="24"/>
        </w:rPr>
        <w:t xml:space="preserve"> </w:t>
      </w:r>
      <w:r>
        <w:rPr>
          <w:rFonts w:ascii="Times New Roman" w:hAnsi="Times New Roman" w:cs="Times New Roman"/>
          <w:bCs/>
          <w:i/>
          <w:iCs/>
          <w:sz w:val="24"/>
          <w:szCs w:val="24"/>
        </w:rPr>
        <w:t xml:space="preserve">J Stress Physiol Biochem </w:t>
      </w:r>
      <w:r>
        <w:rPr>
          <w:rFonts w:ascii="Times New Roman" w:hAnsi="Times New Roman" w:cs="Times New Roman"/>
          <w:bCs/>
          <w:iCs/>
          <w:sz w:val="24"/>
          <w:szCs w:val="24"/>
        </w:rPr>
        <w:t>11: 29-38</w:t>
      </w:r>
    </w:p>
    <w:p w14:paraId="4EFA9F42">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lang w:val="en-GB"/>
        </w:rPr>
        <w:t>19. Zhao, X. X., Ma, Q. Q., Liang, C., Fang, Y., Wang, Y. Q., &amp; Wang, W. (2007) Effect of glycinebetaine on function of thylakoid membranes in wheat flag leaves under drought stress.</w:t>
      </w:r>
      <w:r>
        <w:rPr>
          <w:rFonts w:ascii="Times New Roman" w:hAnsi="Times New Roman" w:cs="Times New Roman"/>
          <w:i/>
          <w:sz w:val="24"/>
          <w:szCs w:val="24"/>
          <w:lang w:val="en-GB"/>
        </w:rPr>
        <w:t xml:space="preserve"> Biol Plant</w:t>
      </w:r>
      <w:r>
        <w:rPr>
          <w:rFonts w:ascii="Times New Roman" w:hAnsi="Times New Roman" w:cs="Times New Roman"/>
          <w:sz w:val="24"/>
          <w:szCs w:val="24"/>
          <w:lang w:val="en-GB"/>
        </w:rPr>
        <w:t xml:space="preserve"> 51: 584-588</w:t>
      </w:r>
    </w:p>
    <w:p w14:paraId="7FBC8F5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 Rahman, M. S., Miyake, H., &amp; Takeoka, Y. (2002) Effects of exogenous glycine betaine on growth and ultra-structure of salt stressed rice seedlings (</w:t>
      </w:r>
      <w:r>
        <w:rPr>
          <w:rFonts w:ascii="Times New Roman" w:hAnsi="Times New Roman" w:cs="Times New Roman"/>
          <w:i/>
          <w:sz w:val="24"/>
          <w:szCs w:val="24"/>
        </w:rPr>
        <w:t>Oryza sativa</w:t>
      </w:r>
      <w:r>
        <w:rPr>
          <w:rFonts w:ascii="Times New Roman" w:hAnsi="Times New Roman" w:cs="Times New Roman"/>
          <w:sz w:val="24"/>
          <w:szCs w:val="24"/>
        </w:rPr>
        <w:t xml:space="preserve"> L.). </w:t>
      </w:r>
      <w:r>
        <w:rPr>
          <w:rFonts w:ascii="Times New Roman" w:hAnsi="Times New Roman" w:cs="Times New Roman"/>
          <w:i/>
          <w:sz w:val="24"/>
          <w:szCs w:val="24"/>
        </w:rPr>
        <w:t>Plant Prod Sci</w:t>
      </w:r>
      <w:r>
        <w:rPr>
          <w:rFonts w:ascii="Times New Roman" w:hAnsi="Times New Roman" w:cs="Times New Roman"/>
          <w:sz w:val="24"/>
          <w:szCs w:val="24"/>
        </w:rPr>
        <w:t xml:space="preserve"> 5: 33-44</w:t>
      </w:r>
    </w:p>
    <w:p w14:paraId="7FD44A8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21. Chen, T. H. H., &amp; Murata, N. (2002) Enhancement of tolerance to abiotic stress by metabolic engineering of betaines and other compatible solutes. </w:t>
      </w:r>
      <w:r>
        <w:rPr>
          <w:rFonts w:ascii="Times New Roman" w:hAnsi="Times New Roman" w:cs="Times New Roman"/>
          <w:i/>
          <w:sz w:val="24"/>
          <w:szCs w:val="24"/>
        </w:rPr>
        <w:t>Curr Opin Plant Biol</w:t>
      </w:r>
      <w:r>
        <w:rPr>
          <w:rFonts w:ascii="Times New Roman" w:hAnsi="Times New Roman" w:cs="Times New Roman"/>
          <w:sz w:val="24"/>
          <w:szCs w:val="24"/>
        </w:rPr>
        <w:t xml:space="preserve"> 5: 250-257</w:t>
      </w:r>
    </w:p>
    <w:p w14:paraId="0E3B3CC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22. Chinnusamy, V., Jagendorf, A., &amp; Zhu, J. K. (2005) Understanding and improving salt tolerance in plants. </w:t>
      </w:r>
      <w:r>
        <w:rPr>
          <w:rFonts w:ascii="Times New Roman" w:hAnsi="Times New Roman" w:cs="Times New Roman"/>
          <w:i/>
          <w:sz w:val="24"/>
          <w:szCs w:val="24"/>
        </w:rPr>
        <w:t>Crop Sci</w:t>
      </w:r>
      <w:r>
        <w:rPr>
          <w:rFonts w:ascii="Times New Roman" w:hAnsi="Times New Roman" w:cs="Times New Roman"/>
          <w:sz w:val="24"/>
          <w:szCs w:val="24"/>
        </w:rPr>
        <w:t xml:space="preserve"> 45: 437-448</w:t>
      </w:r>
    </w:p>
    <w:p w14:paraId="1196CF19">
      <w:pPr>
        <w:spacing w:line="360" w:lineRule="auto"/>
        <w:ind w:left="720" w:hanging="720"/>
        <w:jc w:val="both"/>
        <w:rPr>
          <w:rFonts w:ascii="Times New Roman" w:hAnsi="Times New Roman" w:cs="Times New Roman"/>
          <w:bCs/>
          <w:iCs/>
          <w:sz w:val="24"/>
          <w:szCs w:val="24"/>
        </w:rPr>
      </w:pPr>
      <w:r>
        <w:rPr>
          <w:rFonts w:ascii="Times New Roman" w:hAnsi="Times New Roman" w:cs="Times New Roman"/>
          <w:bCs/>
          <w:iCs/>
          <w:sz w:val="24"/>
          <w:szCs w:val="24"/>
        </w:rPr>
        <w:t>23. Ibrahim, H. A., Abdellatif, Y. M. R., (2016) Effect of maltose and trehalose on growth, yield and some biochemical components of wheat plant under water stress.</w:t>
      </w:r>
      <w:r>
        <w:rPr>
          <w:rFonts w:ascii="Times New Roman" w:hAnsi="Times New Roman" w:cs="Times New Roman"/>
          <w:sz w:val="24"/>
          <w:szCs w:val="24"/>
        </w:rPr>
        <w:t xml:space="preserve"> </w:t>
      </w:r>
      <w:r>
        <w:rPr>
          <w:rFonts w:ascii="Times New Roman" w:hAnsi="Times New Roman" w:cs="Times New Roman"/>
          <w:bCs/>
          <w:i/>
          <w:iCs/>
          <w:sz w:val="24"/>
          <w:szCs w:val="24"/>
        </w:rPr>
        <w:t>Ann Agric Sci</w:t>
      </w:r>
      <w:r>
        <w:rPr>
          <w:rFonts w:ascii="Times New Roman" w:hAnsi="Times New Roman" w:cs="Times New Roman"/>
          <w:bCs/>
          <w:iCs/>
          <w:sz w:val="24"/>
          <w:szCs w:val="24"/>
        </w:rPr>
        <w:t xml:space="preserve"> 61: 267–274</w:t>
      </w:r>
    </w:p>
    <w:p w14:paraId="6193A5C8">
      <w:pPr>
        <w:widowControl w:val="0"/>
        <w:spacing w:after="2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24. Kaur, A., &amp; Thind, S. K. (2017) Photosynthetic pigments and hill reaction activity of wheat seedlings under drought stress as affected by exogenously applied cytokinins.</w:t>
      </w:r>
      <w:r>
        <w:rPr>
          <w:rFonts w:ascii="Times New Roman" w:hAnsi="Times New Roman" w:cs="Times New Roman"/>
          <w:sz w:val="24"/>
          <w:szCs w:val="24"/>
        </w:rPr>
        <w:t xml:space="preserve"> </w:t>
      </w:r>
      <w:r>
        <w:rPr>
          <w:rFonts w:ascii="Times New Roman" w:hAnsi="Times New Roman" w:cs="Times New Roman"/>
          <w:bCs/>
          <w:i/>
          <w:sz w:val="24"/>
          <w:szCs w:val="24"/>
        </w:rPr>
        <w:t xml:space="preserve">Intl J Engi Tech Sci Res </w:t>
      </w:r>
      <w:r>
        <w:rPr>
          <w:rFonts w:ascii="Times New Roman" w:hAnsi="Times New Roman" w:cs="Times New Roman"/>
          <w:bCs/>
          <w:sz w:val="24"/>
          <w:szCs w:val="24"/>
        </w:rPr>
        <w:t>4(9):  1274-1280</w:t>
      </w:r>
    </w:p>
    <w:p w14:paraId="784BD03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25. Diaz-Zorita, M., Fernandez-Canigia, M. V., &amp; Grosso, G. A., (2001) Applications of foliar fertilizers containing glycinebetaine improve wheat yields. </w:t>
      </w:r>
      <w:r>
        <w:rPr>
          <w:rFonts w:ascii="Times New Roman" w:hAnsi="Times New Roman" w:cs="Times New Roman"/>
          <w:i/>
          <w:sz w:val="24"/>
          <w:szCs w:val="24"/>
        </w:rPr>
        <w:t>J Agron Crop Sci</w:t>
      </w:r>
      <w:r>
        <w:rPr>
          <w:rFonts w:ascii="Times New Roman" w:hAnsi="Times New Roman" w:cs="Times New Roman"/>
          <w:sz w:val="24"/>
          <w:szCs w:val="24"/>
        </w:rPr>
        <w:t xml:space="preserve"> 186: 209-215</w:t>
      </w:r>
    </w:p>
    <w:p w14:paraId="0F805AD4">
      <w:pPr>
        <w:rPr>
          <w:rFonts w:ascii="Times New Roman" w:hAnsi="Times New Roman" w:cs="Times New Roman"/>
          <w:b/>
          <w:sz w:val="24"/>
          <w:szCs w:val="24"/>
        </w:rPr>
      </w:pPr>
    </w:p>
    <w:p w14:paraId="4A292000">
      <w:pPr>
        <w:rPr>
          <w:rFonts w:ascii="Times New Roman" w:hAnsi="Times New Roman" w:cs="Times New Roman"/>
          <w:b/>
          <w:sz w:val="24"/>
          <w:szCs w:val="24"/>
        </w:rPr>
      </w:pPr>
    </w:p>
    <w:p w14:paraId="26BD878E">
      <w:pPr>
        <w:rPr>
          <w:rFonts w:ascii="Times New Roman" w:hAnsi="Times New Roman" w:cs="Times New Roman"/>
          <w:b/>
          <w:sz w:val="24"/>
          <w:szCs w:val="24"/>
        </w:rPr>
      </w:pPr>
    </w:p>
    <w:p w14:paraId="5006071C">
      <w:pPr>
        <w:rPr>
          <w:rFonts w:ascii="Times New Roman" w:hAnsi="Times New Roman" w:cs="Times New Roman"/>
          <w:b/>
          <w:sz w:val="24"/>
          <w:szCs w:val="24"/>
        </w:rPr>
      </w:pPr>
    </w:p>
    <w:p w14:paraId="124BA3AD">
      <w:pPr>
        <w:rPr>
          <w:rFonts w:ascii="Times New Roman" w:hAnsi="Times New Roman" w:cs="Times New Roman"/>
          <w:b/>
          <w:sz w:val="24"/>
          <w:szCs w:val="24"/>
        </w:rPr>
      </w:pPr>
    </w:p>
    <w:p w14:paraId="7AD2E9E7">
      <w:pPr>
        <w:rPr>
          <w:rFonts w:ascii="Times New Roman" w:hAnsi="Times New Roman" w:cs="Times New Roman"/>
          <w:b/>
          <w:sz w:val="24"/>
          <w:szCs w:val="24"/>
        </w:rPr>
      </w:pPr>
    </w:p>
    <w:p w14:paraId="08643CC1">
      <w:pPr>
        <w:rPr>
          <w:rFonts w:ascii="Times New Roman" w:hAnsi="Times New Roman" w:cs="Times New Roman"/>
          <w:b/>
          <w:sz w:val="24"/>
          <w:szCs w:val="24"/>
        </w:rPr>
      </w:pPr>
    </w:p>
    <w:p w14:paraId="087B7914">
      <w:pPr>
        <w:rPr>
          <w:rFonts w:ascii="Times New Roman" w:hAnsi="Times New Roman" w:cs="Times New Roman"/>
          <w:b/>
          <w:sz w:val="24"/>
          <w:szCs w:val="24"/>
        </w:rPr>
      </w:pPr>
    </w:p>
    <w:p w14:paraId="03E0BA41">
      <w:pPr>
        <w:rPr>
          <w:rFonts w:ascii="Times New Roman" w:hAnsi="Times New Roman" w:cs="Times New Roman"/>
          <w:b/>
          <w:sz w:val="24"/>
          <w:szCs w:val="24"/>
        </w:rPr>
      </w:pPr>
    </w:p>
    <w:p w14:paraId="5F55F5C0">
      <w:pPr>
        <w:rPr>
          <w:rFonts w:ascii="Times New Roman" w:hAnsi="Times New Roman" w:cs="Times New Roman"/>
          <w:b/>
          <w:sz w:val="24"/>
          <w:szCs w:val="24"/>
        </w:rPr>
      </w:pPr>
    </w:p>
    <w:p w14:paraId="7FC1B20B">
      <w:pPr>
        <w:rPr>
          <w:rFonts w:ascii="Times New Roman" w:hAnsi="Times New Roman" w:cs="Times New Roman"/>
          <w:b/>
          <w:sz w:val="24"/>
          <w:szCs w:val="24"/>
        </w:rPr>
      </w:pPr>
    </w:p>
    <w:p w14:paraId="44D85465">
      <w:pPr>
        <w:rPr>
          <w:rFonts w:ascii="Times New Roman" w:hAnsi="Times New Roman" w:cs="Times New Roman"/>
          <w:b/>
          <w:sz w:val="24"/>
          <w:szCs w:val="24"/>
        </w:rPr>
      </w:pPr>
    </w:p>
    <w:p w14:paraId="3A2A7F08">
      <w:pPr>
        <w:rPr>
          <w:rFonts w:ascii="Times New Roman" w:hAnsi="Times New Roman" w:cs="Times New Roman"/>
          <w:b/>
          <w:sz w:val="24"/>
          <w:szCs w:val="24"/>
        </w:rPr>
      </w:pPr>
    </w:p>
    <w:p w14:paraId="0B5835AB">
      <w:pPr>
        <w:rPr>
          <w:rFonts w:ascii="Times New Roman" w:hAnsi="Times New Roman" w:cs="Times New Roman"/>
          <w:b/>
          <w:sz w:val="24"/>
          <w:szCs w:val="24"/>
        </w:rPr>
      </w:pPr>
    </w:p>
    <w:p w14:paraId="520F99D7">
      <w:pPr>
        <w:rPr>
          <w:rFonts w:ascii="Times New Roman" w:hAnsi="Times New Roman" w:cs="Times New Roman"/>
          <w:b/>
          <w:sz w:val="24"/>
          <w:szCs w:val="24"/>
        </w:rPr>
      </w:pPr>
      <w:r>
        <w:rPr>
          <w:rFonts w:ascii="Times New Roman" w:hAnsi="Times New Roman" w:cs="Times New Roman"/>
          <w:b/>
          <w:sz w:val="24"/>
          <w:szCs w:val="24"/>
        </w:rPr>
        <w:t xml:space="preserve">Table 1.  Effect of Kn@40mM and BA@50mM along with GB on total chlorophyll content (mg/g FW) of wheat genotypes under field drought stress. </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172"/>
        <w:gridCol w:w="1078"/>
        <w:gridCol w:w="1084"/>
        <w:gridCol w:w="1082"/>
        <w:gridCol w:w="1078"/>
        <w:gridCol w:w="1094"/>
      </w:tblGrid>
      <w:tr w14:paraId="6BDD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560" w:type="pct"/>
            <w:vMerge w:val="restart"/>
            <w:tcBorders>
              <w:top w:val="single" w:color="auto" w:sz="4" w:space="0"/>
              <w:left w:val="single" w:color="auto" w:sz="4" w:space="0"/>
              <w:bottom w:val="single" w:color="auto" w:sz="4" w:space="0"/>
              <w:right w:val="single" w:color="auto" w:sz="4" w:space="0"/>
              <w:tr2bl w:val="single" w:color="auto" w:sz="4" w:space="0"/>
            </w:tcBorders>
            <w:vAlign w:val="center"/>
          </w:tcPr>
          <w:p w14:paraId="3B8DBA34">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Treatments</w:t>
            </w:r>
          </w:p>
          <w:p w14:paraId="472D2259">
            <w:pPr>
              <w:widowControl w:val="0"/>
              <w:spacing w:before="100" w:after="100" w:line="240" w:lineRule="auto"/>
              <w:rPr>
                <w:rFonts w:ascii="Times New Roman" w:hAnsi="Times New Roman" w:cs="Times New Roman"/>
                <w:b/>
                <w:sz w:val="24"/>
                <w:szCs w:val="24"/>
              </w:rPr>
            </w:pPr>
          </w:p>
          <w:p w14:paraId="298B98C9">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Genotypes</w:t>
            </w:r>
          </w:p>
        </w:tc>
        <w:tc>
          <w:tcPr>
            <w:tcW w:w="3440" w:type="pct"/>
            <w:gridSpan w:val="6"/>
            <w:tcBorders>
              <w:top w:val="single" w:color="auto" w:sz="4" w:space="0"/>
              <w:left w:val="single" w:color="auto" w:sz="4" w:space="0"/>
              <w:bottom w:val="single" w:color="auto" w:sz="4" w:space="0"/>
              <w:right w:val="single" w:color="auto" w:sz="4" w:space="0"/>
            </w:tcBorders>
            <w:vAlign w:val="center"/>
          </w:tcPr>
          <w:p w14:paraId="6B71126F">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Total chlorophyll  content (mg/g FW)</w:t>
            </w:r>
          </w:p>
        </w:tc>
      </w:tr>
      <w:tr w14:paraId="22A8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60" w:type="pct"/>
            <w:vMerge w:val="continue"/>
            <w:tcBorders>
              <w:top w:val="single" w:color="auto" w:sz="4" w:space="0"/>
              <w:left w:val="single" w:color="auto" w:sz="4" w:space="0"/>
              <w:bottom w:val="single" w:color="auto" w:sz="4" w:space="0"/>
              <w:right w:val="single" w:color="auto" w:sz="4" w:space="0"/>
            </w:tcBorders>
            <w:vAlign w:val="center"/>
          </w:tcPr>
          <w:p w14:paraId="1F3E6600">
            <w:pPr>
              <w:widowControl w:val="0"/>
              <w:spacing w:before="100" w:after="100" w:line="240" w:lineRule="auto"/>
              <w:rPr>
                <w:rFonts w:ascii="Times New Roman" w:hAnsi="Times New Roman" w:cs="Times New Roman"/>
                <w:b/>
                <w:sz w:val="24"/>
                <w:szCs w:val="24"/>
              </w:rPr>
            </w:pPr>
          </w:p>
        </w:tc>
        <w:tc>
          <w:tcPr>
            <w:tcW w:w="1741" w:type="pct"/>
            <w:gridSpan w:val="3"/>
            <w:tcBorders>
              <w:top w:val="single" w:color="auto" w:sz="4" w:space="0"/>
              <w:left w:val="single" w:color="auto" w:sz="4" w:space="0"/>
              <w:bottom w:val="single" w:color="auto" w:sz="4" w:space="0"/>
              <w:right w:val="single" w:color="auto" w:sz="4" w:space="0"/>
            </w:tcBorders>
            <w:vAlign w:val="center"/>
          </w:tcPr>
          <w:p w14:paraId="37DBDDA6">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Vegetative stage</w:t>
            </w:r>
          </w:p>
        </w:tc>
        <w:tc>
          <w:tcPr>
            <w:tcW w:w="1699" w:type="pct"/>
            <w:gridSpan w:val="3"/>
            <w:tcBorders>
              <w:top w:val="single" w:color="auto" w:sz="4" w:space="0"/>
              <w:left w:val="single" w:color="auto" w:sz="4" w:space="0"/>
              <w:bottom w:val="single" w:color="auto" w:sz="4" w:space="0"/>
              <w:right w:val="single" w:color="auto" w:sz="4" w:space="0"/>
            </w:tcBorders>
            <w:vAlign w:val="center"/>
          </w:tcPr>
          <w:p w14:paraId="08D3065F">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Flag leaf stage</w:t>
            </w:r>
          </w:p>
        </w:tc>
      </w:tr>
      <w:tr w14:paraId="0847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60" w:type="pct"/>
            <w:vMerge w:val="continue"/>
            <w:tcBorders>
              <w:top w:val="single" w:color="auto" w:sz="4" w:space="0"/>
              <w:left w:val="single" w:color="auto" w:sz="4" w:space="0"/>
              <w:bottom w:val="single" w:color="auto" w:sz="4" w:space="0"/>
              <w:right w:val="single" w:color="auto" w:sz="4" w:space="0"/>
            </w:tcBorders>
            <w:vAlign w:val="center"/>
          </w:tcPr>
          <w:p w14:paraId="24431F3A">
            <w:pPr>
              <w:widowControl w:val="0"/>
              <w:spacing w:before="100" w:after="100" w:line="240" w:lineRule="auto"/>
              <w:rPr>
                <w:rFonts w:ascii="Times New Roman" w:hAnsi="Times New Roman" w:cs="Times New Roman"/>
                <w:b/>
                <w:sz w:val="24"/>
                <w:szCs w:val="24"/>
              </w:rPr>
            </w:pPr>
          </w:p>
        </w:tc>
        <w:tc>
          <w:tcPr>
            <w:tcW w:w="612" w:type="pct"/>
            <w:tcBorders>
              <w:top w:val="single" w:color="auto" w:sz="4" w:space="0"/>
              <w:left w:val="single" w:color="auto" w:sz="4" w:space="0"/>
              <w:bottom w:val="single" w:color="auto" w:sz="4" w:space="0"/>
              <w:right w:val="single" w:color="auto" w:sz="4" w:space="0"/>
            </w:tcBorders>
            <w:vAlign w:val="center"/>
          </w:tcPr>
          <w:p w14:paraId="3E11AC0B">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HD2967</w:t>
            </w:r>
          </w:p>
        </w:tc>
        <w:tc>
          <w:tcPr>
            <w:tcW w:w="563" w:type="pct"/>
            <w:tcBorders>
              <w:top w:val="single" w:color="auto" w:sz="4" w:space="0"/>
              <w:left w:val="single" w:color="auto" w:sz="4" w:space="0"/>
              <w:bottom w:val="single" w:color="auto" w:sz="4" w:space="0"/>
              <w:right w:val="single" w:color="auto" w:sz="4" w:space="0"/>
            </w:tcBorders>
            <w:vAlign w:val="center"/>
          </w:tcPr>
          <w:p w14:paraId="4701EFC6">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PBW660</w:t>
            </w:r>
          </w:p>
        </w:tc>
        <w:tc>
          <w:tcPr>
            <w:tcW w:w="566" w:type="pct"/>
            <w:tcBorders>
              <w:top w:val="single" w:color="auto" w:sz="4" w:space="0"/>
              <w:left w:val="single" w:color="auto" w:sz="4" w:space="0"/>
              <w:bottom w:val="single" w:color="auto" w:sz="4" w:space="0"/>
              <w:right w:val="single" w:color="auto" w:sz="4" w:space="0"/>
            </w:tcBorders>
            <w:vAlign w:val="center"/>
          </w:tcPr>
          <w:p w14:paraId="3058473D">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WH1105</w:t>
            </w:r>
          </w:p>
        </w:tc>
        <w:tc>
          <w:tcPr>
            <w:tcW w:w="565" w:type="pct"/>
            <w:tcBorders>
              <w:top w:val="single" w:color="auto" w:sz="4" w:space="0"/>
              <w:left w:val="single" w:color="auto" w:sz="4" w:space="0"/>
              <w:bottom w:val="single" w:color="auto" w:sz="4" w:space="0"/>
              <w:right w:val="single" w:color="auto" w:sz="4" w:space="0"/>
            </w:tcBorders>
            <w:vAlign w:val="center"/>
          </w:tcPr>
          <w:p w14:paraId="45B1AD8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HD2967</w:t>
            </w:r>
          </w:p>
        </w:tc>
        <w:tc>
          <w:tcPr>
            <w:tcW w:w="563" w:type="pct"/>
            <w:tcBorders>
              <w:top w:val="single" w:color="auto" w:sz="4" w:space="0"/>
              <w:left w:val="single" w:color="auto" w:sz="4" w:space="0"/>
              <w:bottom w:val="single" w:color="auto" w:sz="4" w:space="0"/>
              <w:right w:val="single" w:color="auto" w:sz="4" w:space="0"/>
            </w:tcBorders>
            <w:vAlign w:val="center"/>
          </w:tcPr>
          <w:p w14:paraId="4C59E622">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PBW660</w:t>
            </w:r>
          </w:p>
        </w:tc>
        <w:tc>
          <w:tcPr>
            <w:tcW w:w="571" w:type="pct"/>
            <w:tcBorders>
              <w:top w:val="single" w:color="auto" w:sz="4" w:space="0"/>
              <w:left w:val="single" w:color="auto" w:sz="4" w:space="0"/>
              <w:bottom w:val="single" w:color="auto" w:sz="4" w:space="0"/>
              <w:right w:val="single" w:color="auto" w:sz="4" w:space="0"/>
            </w:tcBorders>
            <w:vAlign w:val="center"/>
          </w:tcPr>
          <w:p w14:paraId="2FDE900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WH1105</w:t>
            </w:r>
          </w:p>
        </w:tc>
      </w:tr>
      <w:tr w14:paraId="47E4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2DC3A747">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 xml:space="preserve">T1-Control </w:t>
            </w:r>
          </w:p>
        </w:tc>
        <w:tc>
          <w:tcPr>
            <w:tcW w:w="612" w:type="pct"/>
            <w:tcBorders>
              <w:top w:val="single" w:color="auto" w:sz="4" w:space="0"/>
              <w:left w:val="single" w:color="auto" w:sz="4" w:space="0"/>
              <w:bottom w:val="single" w:color="auto" w:sz="4" w:space="0"/>
              <w:right w:val="single" w:color="auto" w:sz="4" w:space="0"/>
            </w:tcBorders>
            <w:vAlign w:val="center"/>
          </w:tcPr>
          <w:p w14:paraId="45F51F5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563" w:type="pct"/>
            <w:tcBorders>
              <w:top w:val="single" w:color="auto" w:sz="4" w:space="0"/>
              <w:left w:val="single" w:color="auto" w:sz="4" w:space="0"/>
              <w:bottom w:val="single" w:color="auto" w:sz="4" w:space="0"/>
              <w:right w:val="single" w:color="auto" w:sz="4" w:space="0"/>
            </w:tcBorders>
            <w:vAlign w:val="center"/>
          </w:tcPr>
          <w:p w14:paraId="67C0308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2.753</w:t>
            </w:r>
          </w:p>
        </w:tc>
        <w:tc>
          <w:tcPr>
            <w:tcW w:w="566" w:type="pct"/>
            <w:tcBorders>
              <w:top w:val="single" w:color="auto" w:sz="4" w:space="0"/>
              <w:left w:val="single" w:color="auto" w:sz="4" w:space="0"/>
              <w:bottom w:val="single" w:color="auto" w:sz="4" w:space="0"/>
              <w:right w:val="single" w:color="auto" w:sz="4" w:space="0"/>
            </w:tcBorders>
            <w:vAlign w:val="center"/>
          </w:tcPr>
          <w:p w14:paraId="5313C3A0">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2.754</w:t>
            </w:r>
          </w:p>
        </w:tc>
        <w:tc>
          <w:tcPr>
            <w:tcW w:w="565" w:type="pct"/>
            <w:tcBorders>
              <w:top w:val="single" w:color="auto" w:sz="4" w:space="0"/>
              <w:left w:val="single" w:color="auto" w:sz="4" w:space="0"/>
              <w:bottom w:val="single" w:color="auto" w:sz="4" w:space="0"/>
              <w:right w:val="single" w:color="auto" w:sz="4" w:space="0"/>
            </w:tcBorders>
            <w:vAlign w:val="center"/>
          </w:tcPr>
          <w:p w14:paraId="3844BD9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3.007</w:t>
            </w:r>
          </w:p>
        </w:tc>
        <w:tc>
          <w:tcPr>
            <w:tcW w:w="563" w:type="pct"/>
            <w:tcBorders>
              <w:top w:val="single" w:color="auto" w:sz="4" w:space="0"/>
              <w:left w:val="single" w:color="auto" w:sz="4" w:space="0"/>
              <w:bottom w:val="single" w:color="auto" w:sz="4" w:space="0"/>
              <w:right w:val="single" w:color="auto" w:sz="4" w:space="0"/>
            </w:tcBorders>
            <w:vAlign w:val="center"/>
          </w:tcPr>
          <w:p w14:paraId="402B5733">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2.973</w:t>
            </w:r>
          </w:p>
        </w:tc>
        <w:tc>
          <w:tcPr>
            <w:tcW w:w="571" w:type="pct"/>
            <w:tcBorders>
              <w:top w:val="single" w:color="auto" w:sz="4" w:space="0"/>
              <w:left w:val="single" w:color="auto" w:sz="4" w:space="0"/>
              <w:bottom w:val="single" w:color="auto" w:sz="4" w:space="0"/>
              <w:right w:val="single" w:color="auto" w:sz="4" w:space="0"/>
            </w:tcBorders>
            <w:vAlign w:val="center"/>
          </w:tcPr>
          <w:p w14:paraId="59BD229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2.896</w:t>
            </w:r>
          </w:p>
        </w:tc>
      </w:tr>
      <w:tr w14:paraId="0CA8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25FEBE3B">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T2- drought Stress</w:t>
            </w:r>
          </w:p>
        </w:tc>
        <w:tc>
          <w:tcPr>
            <w:tcW w:w="612" w:type="pct"/>
            <w:tcBorders>
              <w:top w:val="single" w:color="auto" w:sz="4" w:space="0"/>
              <w:left w:val="single" w:color="auto" w:sz="4" w:space="0"/>
              <w:bottom w:val="single" w:color="auto" w:sz="4" w:space="0"/>
              <w:right w:val="single" w:color="auto" w:sz="4" w:space="0"/>
            </w:tcBorders>
            <w:vAlign w:val="center"/>
          </w:tcPr>
          <w:p w14:paraId="38D4B36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2.745</w:t>
            </w:r>
          </w:p>
        </w:tc>
        <w:tc>
          <w:tcPr>
            <w:tcW w:w="563" w:type="pct"/>
            <w:tcBorders>
              <w:top w:val="single" w:color="auto" w:sz="4" w:space="0"/>
              <w:left w:val="single" w:color="auto" w:sz="4" w:space="0"/>
              <w:bottom w:val="single" w:color="auto" w:sz="4" w:space="0"/>
              <w:right w:val="single" w:color="auto" w:sz="4" w:space="0"/>
            </w:tcBorders>
            <w:vAlign w:val="center"/>
          </w:tcPr>
          <w:p w14:paraId="52F250D3">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566" w:type="pct"/>
            <w:tcBorders>
              <w:top w:val="single" w:color="auto" w:sz="4" w:space="0"/>
              <w:left w:val="single" w:color="auto" w:sz="4" w:space="0"/>
              <w:bottom w:val="single" w:color="auto" w:sz="4" w:space="0"/>
              <w:right w:val="single" w:color="auto" w:sz="4" w:space="0"/>
            </w:tcBorders>
            <w:vAlign w:val="center"/>
          </w:tcPr>
          <w:p w14:paraId="35139E8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3.109</w:t>
            </w:r>
          </w:p>
        </w:tc>
        <w:tc>
          <w:tcPr>
            <w:tcW w:w="565" w:type="pct"/>
            <w:tcBorders>
              <w:top w:val="single" w:color="auto" w:sz="4" w:space="0"/>
              <w:left w:val="single" w:color="auto" w:sz="4" w:space="0"/>
              <w:bottom w:val="single" w:color="auto" w:sz="4" w:space="0"/>
              <w:right w:val="single" w:color="auto" w:sz="4" w:space="0"/>
            </w:tcBorders>
            <w:vAlign w:val="center"/>
          </w:tcPr>
          <w:p w14:paraId="4CB5356C">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3.057</w:t>
            </w:r>
          </w:p>
        </w:tc>
        <w:tc>
          <w:tcPr>
            <w:tcW w:w="563" w:type="pct"/>
            <w:tcBorders>
              <w:top w:val="single" w:color="auto" w:sz="4" w:space="0"/>
              <w:left w:val="single" w:color="auto" w:sz="4" w:space="0"/>
              <w:bottom w:val="single" w:color="auto" w:sz="4" w:space="0"/>
              <w:right w:val="single" w:color="auto" w:sz="4" w:space="0"/>
            </w:tcBorders>
            <w:vAlign w:val="center"/>
          </w:tcPr>
          <w:p w14:paraId="5ECF59A8">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3.021</w:t>
            </w:r>
          </w:p>
        </w:tc>
        <w:tc>
          <w:tcPr>
            <w:tcW w:w="571" w:type="pct"/>
            <w:tcBorders>
              <w:top w:val="single" w:color="auto" w:sz="4" w:space="0"/>
              <w:left w:val="single" w:color="auto" w:sz="4" w:space="0"/>
              <w:bottom w:val="single" w:color="auto" w:sz="4" w:space="0"/>
              <w:right w:val="single" w:color="auto" w:sz="4" w:space="0"/>
            </w:tcBorders>
            <w:vAlign w:val="center"/>
          </w:tcPr>
          <w:p w14:paraId="53AF71AC">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2.933</w:t>
            </w:r>
          </w:p>
        </w:tc>
      </w:tr>
      <w:tr w14:paraId="6CF9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41C2B026">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T3-T2+Kn+GB(50mM)</w:t>
            </w:r>
          </w:p>
        </w:tc>
        <w:tc>
          <w:tcPr>
            <w:tcW w:w="612" w:type="pct"/>
            <w:tcBorders>
              <w:top w:val="single" w:color="auto" w:sz="4" w:space="0"/>
              <w:left w:val="single" w:color="auto" w:sz="4" w:space="0"/>
              <w:bottom w:val="single" w:color="auto" w:sz="4" w:space="0"/>
              <w:right w:val="single" w:color="auto" w:sz="4" w:space="0"/>
            </w:tcBorders>
            <w:vAlign w:val="center"/>
          </w:tcPr>
          <w:p w14:paraId="64EC69F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3.385</w:t>
            </w:r>
          </w:p>
        </w:tc>
        <w:tc>
          <w:tcPr>
            <w:tcW w:w="563" w:type="pct"/>
            <w:tcBorders>
              <w:top w:val="single" w:color="auto" w:sz="4" w:space="0"/>
              <w:left w:val="single" w:color="auto" w:sz="4" w:space="0"/>
              <w:bottom w:val="single" w:color="auto" w:sz="4" w:space="0"/>
              <w:right w:val="single" w:color="auto" w:sz="4" w:space="0"/>
            </w:tcBorders>
            <w:vAlign w:val="center"/>
          </w:tcPr>
          <w:p w14:paraId="5CA9D922">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3.114</w:t>
            </w:r>
          </w:p>
        </w:tc>
        <w:tc>
          <w:tcPr>
            <w:tcW w:w="566" w:type="pct"/>
            <w:tcBorders>
              <w:top w:val="single" w:color="auto" w:sz="4" w:space="0"/>
              <w:left w:val="single" w:color="auto" w:sz="4" w:space="0"/>
              <w:bottom w:val="single" w:color="auto" w:sz="4" w:space="0"/>
              <w:right w:val="single" w:color="auto" w:sz="4" w:space="0"/>
            </w:tcBorders>
            <w:vAlign w:val="center"/>
          </w:tcPr>
          <w:p w14:paraId="7AFBD43A">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3.439</w:t>
            </w:r>
          </w:p>
        </w:tc>
        <w:tc>
          <w:tcPr>
            <w:tcW w:w="565" w:type="pct"/>
            <w:tcBorders>
              <w:top w:val="single" w:color="auto" w:sz="4" w:space="0"/>
              <w:left w:val="single" w:color="auto" w:sz="4" w:space="0"/>
              <w:bottom w:val="single" w:color="auto" w:sz="4" w:space="0"/>
              <w:right w:val="single" w:color="auto" w:sz="4" w:space="0"/>
            </w:tcBorders>
            <w:vAlign w:val="center"/>
          </w:tcPr>
          <w:p w14:paraId="2A099DF9">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3.553</w:t>
            </w:r>
          </w:p>
        </w:tc>
        <w:tc>
          <w:tcPr>
            <w:tcW w:w="563" w:type="pct"/>
            <w:tcBorders>
              <w:top w:val="single" w:color="auto" w:sz="4" w:space="0"/>
              <w:left w:val="single" w:color="auto" w:sz="4" w:space="0"/>
              <w:bottom w:val="single" w:color="auto" w:sz="4" w:space="0"/>
              <w:right w:val="single" w:color="auto" w:sz="4" w:space="0"/>
            </w:tcBorders>
            <w:vAlign w:val="center"/>
          </w:tcPr>
          <w:p w14:paraId="4DFE1852">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3.401</w:t>
            </w:r>
          </w:p>
        </w:tc>
        <w:tc>
          <w:tcPr>
            <w:tcW w:w="571" w:type="pct"/>
            <w:tcBorders>
              <w:top w:val="single" w:color="auto" w:sz="4" w:space="0"/>
              <w:left w:val="single" w:color="auto" w:sz="4" w:space="0"/>
              <w:bottom w:val="single" w:color="auto" w:sz="4" w:space="0"/>
              <w:right w:val="single" w:color="auto" w:sz="4" w:space="0"/>
            </w:tcBorders>
            <w:vAlign w:val="center"/>
          </w:tcPr>
          <w:p w14:paraId="27F7EAD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3.518</w:t>
            </w:r>
          </w:p>
        </w:tc>
      </w:tr>
      <w:tr w14:paraId="3753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288AD317">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T4- T2+Kn+GB(100mM)</w:t>
            </w:r>
          </w:p>
        </w:tc>
        <w:tc>
          <w:tcPr>
            <w:tcW w:w="612" w:type="pct"/>
            <w:tcBorders>
              <w:top w:val="single" w:color="auto" w:sz="4" w:space="0"/>
              <w:left w:val="single" w:color="auto" w:sz="4" w:space="0"/>
              <w:bottom w:val="single" w:color="auto" w:sz="4" w:space="0"/>
              <w:right w:val="single" w:color="auto" w:sz="4" w:space="0"/>
            </w:tcBorders>
            <w:vAlign w:val="center"/>
          </w:tcPr>
          <w:p w14:paraId="70D0E6E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3.574</w:t>
            </w:r>
          </w:p>
        </w:tc>
        <w:tc>
          <w:tcPr>
            <w:tcW w:w="563" w:type="pct"/>
            <w:tcBorders>
              <w:top w:val="single" w:color="auto" w:sz="4" w:space="0"/>
              <w:left w:val="single" w:color="auto" w:sz="4" w:space="0"/>
              <w:bottom w:val="single" w:color="auto" w:sz="4" w:space="0"/>
              <w:right w:val="single" w:color="auto" w:sz="4" w:space="0"/>
            </w:tcBorders>
            <w:vAlign w:val="center"/>
          </w:tcPr>
          <w:p w14:paraId="19372C0C">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566" w:type="pct"/>
            <w:tcBorders>
              <w:top w:val="single" w:color="auto" w:sz="4" w:space="0"/>
              <w:left w:val="single" w:color="auto" w:sz="4" w:space="0"/>
              <w:bottom w:val="single" w:color="auto" w:sz="4" w:space="0"/>
              <w:right w:val="single" w:color="auto" w:sz="4" w:space="0"/>
            </w:tcBorders>
            <w:vAlign w:val="center"/>
          </w:tcPr>
          <w:p w14:paraId="74A1933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3.621</w:t>
            </w:r>
          </w:p>
        </w:tc>
        <w:tc>
          <w:tcPr>
            <w:tcW w:w="565" w:type="pct"/>
            <w:tcBorders>
              <w:top w:val="single" w:color="auto" w:sz="4" w:space="0"/>
              <w:left w:val="single" w:color="auto" w:sz="4" w:space="0"/>
              <w:bottom w:val="single" w:color="auto" w:sz="4" w:space="0"/>
              <w:right w:val="single" w:color="auto" w:sz="4" w:space="0"/>
            </w:tcBorders>
            <w:vAlign w:val="center"/>
          </w:tcPr>
          <w:p w14:paraId="75996A10">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3.694</w:t>
            </w:r>
          </w:p>
        </w:tc>
        <w:tc>
          <w:tcPr>
            <w:tcW w:w="563" w:type="pct"/>
            <w:tcBorders>
              <w:top w:val="single" w:color="auto" w:sz="4" w:space="0"/>
              <w:left w:val="single" w:color="auto" w:sz="4" w:space="0"/>
              <w:bottom w:val="single" w:color="auto" w:sz="4" w:space="0"/>
              <w:right w:val="single" w:color="auto" w:sz="4" w:space="0"/>
            </w:tcBorders>
            <w:vAlign w:val="center"/>
          </w:tcPr>
          <w:p w14:paraId="1986D3F0">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3.694</w:t>
            </w:r>
          </w:p>
        </w:tc>
        <w:tc>
          <w:tcPr>
            <w:tcW w:w="571" w:type="pct"/>
            <w:tcBorders>
              <w:top w:val="single" w:color="auto" w:sz="4" w:space="0"/>
              <w:left w:val="single" w:color="auto" w:sz="4" w:space="0"/>
              <w:bottom w:val="single" w:color="auto" w:sz="4" w:space="0"/>
              <w:right w:val="single" w:color="auto" w:sz="4" w:space="0"/>
            </w:tcBorders>
            <w:vAlign w:val="center"/>
          </w:tcPr>
          <w:p w14:paraId="647D55DB">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3.741</w:t>
            </w:r>
          </w:p>
        </w:tc>
      </w:tr>
      <w:tr w14:paraId="09F5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20C1573B">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T5-T2+BA+GB(50mM)</w:t>
            </w:r>
          </w:p>
        </w:tc>
        <w:tc>
          <w:tcPr>
            <w:tcW w:w="612" w:type="pct"/>
            <w:tcBorders>
              <w:top w:val="single" w:color="auto" w:sz="4" w:space="0"/>
              <w:left w:val="single" w:color="auto" w:sz="4" w:space="0"/>
              <w:bottom w:val="single" w:color="auto" w:sz="4" w:space="0"/>
              <w:right w:val="single" w:color="auto" w:sz="4" w:space="0"/>
            </w:tcBorders>
            <w:vAlign w:val="center"/>
          </w:tcPr>
          <w:p w14:paraId="343C2F4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3.018</w:t>
            </w:r>
          </w:p>
        </w:tc>
        <w:tc>
          <w:tcPr>
            <w:tcW w:w="563" w:type="pct"/>
            <w:tcBorders>
              <w:top w:val="single" w:color="auto" w:sz="4" w:space="0"/>
              <w:left w:val="single" w:color="auto" w:sz="4" w:space="0"/>
              <w:bottom w:val="single" w:color="auto" w:sz="4" w:space="0"/>
              <w:right w:val="single" w:color="auto" w:sz="4" w:space="0"/>
            </w:tcBorders>
            <w:vAlign w:val="center"/>
          </w:tcPr>
          <w:p w14:paraId="03EE7D28">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3.065</w:t>
            </w:r>
          </w:p>
        </w:tc>
        <w:tc>
          <w:tcPr>
            <w:tcW w:w="566" w:type="pct"/>
            <w:tcBorders>
              <w:top w:val="single" w:color="auto" w:sz="4" w:space="0"/>
              <w:left w:val="single" w:color="auto" w:sz="4" w:space="0"/>
              <w:bottom w:val="single" w:color="auto" w:sz="4" w:space="0"/>
              <w:right w:val="single" w:color="auto" w:sz="4" w:space="0"/>
            </w:tcBorders>
            <w:vAlign w:val="center"/>
          </w:tcPr>
          <w:p w14:paraId="6F440A2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3.34</w:t>
            </w:r>
          </w:p>
        </w:tc>
        <w:tc>
          <w:tcPr>
            <w:tcW w:w="565" w:type="pct"/>
            <w:tcBorders>
              <w:top w:val="single" w:color="auto" w:sz="4" w:space="0"/>
              <w:left w:val="single" w:color="auto" w:sz="4" w:space="0"/>
              <w:bottom w:val="single" w:color="auto" w:sz="4" w:space="0"/>
              <w:right w:val="single" w:color="auto" w:sz="4" w:space="0"/>
            </w:tcBorders>
            <w:vAlign w:val="center"/>
          </w:tcPr>
          <w:p w14:paraId="20462A80">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3.431</w:t>
            </w:r>
          </w:p>
        </w:tc>
        <w:tc>
          <w:tcPr>
            <w:tcW w:w="563" w:type="pct"/>
            <w:tcBorders>
              <w:top w:val="single" w:color="auto" w:sz="4" w:space="0"/>
              <w:left w:val="single" w:color="auto" w:sz="4" w:space="0"/>
              <w:bottom w:val="single" w:color="auto" w:sz="4" w:space="0"/>
              <w:right w:val="single" w:color="auto" w:sz="4" w:space="0"/>
            </w:tcBorders>
            <w:vAlign w:val="center"/>
          </w:tcPr>
          <w:p w14:paraId="3ED92A1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3.294</w:t>
            </w:r>
          </w:p>
        </w:tc>
        <w:tc>
          <w:tcPr>
            <w:tcW w:w="571" w:type="pct"/>
            <w:tcBorders>
              <w:top w:val="single" w:color="auto" w:sz="4" w:space="0"/>
              <w:left w:val="single" w:color="auto" w:sz="4" w:space="0"/>
              <w:bottom w:val="single" w:color="auto" w:sz="4" w:space="0"/>
              <w:right w:val="single" w:color="auto" w:sz="4" w:space="0"/>
            </w:tcBorders>
            <w:vAlign w:val="center"/>
          </w:tcPr>
          <w:p w14:paraId="2C31B4E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3.451</w:t>
            </w:r>
          </w:p>
        </w:tc>
      </w:tr>
      <w:tr w14:paraId="61BB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2205F01D">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T6-T2 +BA+GB(100mM)</w:t>
            </w:r>
          </w:p>
        </w:tc>
        <w:tc>
          <w:tcPr>
            <w:tcW w:w="612" w:type="pct"/>
            <w:tcBorders>
              <w:top w:val="single" w:color="auto" w:sz="4" w:space="0"/>
              <w:left w:val="single" w:color="auto" w:sz="4" w:space="0"/>
              <w:bottom w:val="single" w:color="auto" w:sz="4" w:space="0"/>
              <w:right w:val="single" w:color="auto" w:sz="4" w:space="0"/>
            </w:tcBorders>
            <w:vAlign w:val="center"/>
          </w:tcPr>
          <w:p w14:paraId="58D9400E">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3.29</w:t>
            </w:r>
          </w:p>
        </w:tc>
        <w:tc>
          <w:tcPr>
            <w:tcW w:w="563" w:type="pct"/>
            <w:tcBorders>
              <w:top w:val="single" w:color="auto" w:sz="4" w:space="0"/>
              <w:left w:val="single" w:color="auto" w:sz="4" w:space="0"/>
              <w:bottom w:val="single" w:color="auto" w:sz="4" w:space="0"/>
              <w:right w:val="single" w:color="auto" w:sz="4" w:space="0"/>
            </w:tcBorders>
            <w:vAlign w:val="center"/>
          </w:tcPr>
          <w:p w14:paraId="217B49C8">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3.401</w:t>
            </w:r>
          </w:p>
        </w:tc>
        <w:tc>
          <w:tcPr>
            <w:tcW w:w="566" w:type="pct"/>
            <w:tcBorders>
              <w:top w:val="single" w:color="auto" w:sz="4" w:space="0"/>
              <w:left w:val="single" w:color="auto" w:sz="4" w:space="0"/>
              <w:bottom w:val="single" w:color="auto" w:sz="4" w:space="0"/>
              <w:right w:val="single" w:color="auto" w:sz="4" w:space="0"/>
            </w:tcBorders>
            <w:vAlign w:val="center"/>
          </w:tcPr>
          <w:p w14:paraId="11CA385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3.425</w:t>
            </w:r>
          </w:p>
        </w:tc>
        <w:tc>
          <w:tcPr>
            <w:tcW w:w="565" w:type="pct"/>
            <w:tcBorders>
              <w:top w:val="single" w:color="auto" w:sz="4" w:space="0"/>
              <w:left w:val="single" w:color="auto" w:sz="4" w:space="0"/>
              <w:bottom w:val="single" w:color="auto" w:sz="4" w:space="0"/>
              <w:right w:val="single" w:color="auto" w:sz="4" w:space="0"/>
            </w:tcBorders>
            <w:vAlign w:val="center"/>
          </w:tcPr>
          <w:p w14:paraId="15DFAA9C">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3.583</w:t>
            </w:r>
          </w:p>
        </w:tc>
        <w:tc>
          <w:tcPr>
            <w:tcW w:w="563" w:type="pct"/>
            <w:tcBorders>
              <w:top w:val="single" w:color="auto" w:sz="4" w:space="0"/>
              <w:left w:val="single" w:color="auto" w:sz="4" w:space="0"/>
              <w:bottom w:val="single" w:color="auto" w:sz="4" w:space="0"/>
              <w:right w:val="single" w:color="auto" w:sz="4" w:space="0"/>
            </w:tcBorders>
            <w:vAlign w:val="center"/>
          </w:tcPr>
          <w:p w14:paraId="40A0F013">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3.673</w:t>
            </w:r>
          </w:p>
        </w:tc>
        <w:tc>
          <w:tcPr>
            <w:tcW w:w="571" w:type="pct"/>
            <w:tcBorders>
              <w:top w:val="single" w:color="auto" w:sz="4" w:space="0"/>
              <w:left w:val="single" w:color="auto" w:sz="4" w:space="0"/>
              <w:bottom w:val="single" w:color="auto" w:sz="4" w:space="0"/>
              <w:right w:val="single" w:color="auto" w:sz="4" w:space="0"/>
            </w:tcBorders>
            <w:vAlign w:val="center"/>
          </w:tcPr>
          <w:p w14:paraId="7926D4BA">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3.64</w:t>
            </w:r>
          </w:p>
        </w:tc>
      </w:tr>
      <w:tr w14:paraId="10A2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60" w:type="pct"/>
            <w:tcBorders>
              <w:top w:val="single" w:color="auto" w:sz="4" w:space="0"/>
              <w:left w:val="single" w:color="auto" w:sz="4" w:space="0"/>
              <w:bottom w:val="single" w:color="auto" w:sz="4" w:space="0"/>
              <w:right w:val="single" w:color="auto" w:sz="4" w:space="0"/>
            </w:tcBorders>
            <w:vAlign w:val="center"/>
          </w:tcPr>
          <w:p w14:paraId="7F158092">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color w:val="FF0000"/>
                <w:sz w:val="24"/>
                <w:szCs w:val="24"/>
              </w:rPr>
              <w:t xml:space="preserve"> </w:t>
            </w:r>
            <w:r>
              <w:rPr>
                <w:rFonts w:ascii="Times New Roman" w:hAnsi="Times New Roman" w:cs="Times New Roman"/>
                <w:b/>
                <w:sz w:val="24"/>
                <w:szCs w:val="24"/>
              </w:rPr>
              <w:t>5%</w:t>
            </w:r>
          </w:p>
        </w:tc>
        <w:tc>
          <w:tcPr>
            <w:tcW w:w="1741" w:type="pct"/>
            <w:gridSpan w:val="3"/>
            <w:tcBorders>
              <w:top w:val="single" w:color="auto" w:sz="4" w:space="0"/>
              <w:left w:val="single" w:color="auto" w:sz="4" w:space="0"/>
              <w:bottom w:val="single" w:color="auto" w:sz="4" w:space="0"/>
              <w:right w:val="single" w:color="auto" w:sz="4" w:space="0"/>
            </w:tcBorders>
            <w:vAlign w:val="center"/>
          </w:tcPr>
          <w:p w14:paraId="76F26343">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G=0.206, T=0.139, G×T=0.043</w:t>
            </w:r>
          </w:p>
        </w:tc>
        <w:tc>
          <w:tcPr>
            <w:tcW w:w="1699" w:type="pct"/>
            <w:gridSpan w:val="3"/>
            <w:tcBorders>
              <w:top w:val="single" w:color="auto" w:sz="4" w:space="0"/>
              <w:left w:val="single" w:color="auto" w:sz="4" w:space="0"/>
              <w:bottom w:val="single" w:color="auto" w:sz="4" w:space="0"/>
              <w:right w:val="single" w:color="auto" w:sz="4" w:space="0"/>
            </w:tcBorders>
            <w:vAlign w:val="center"/>
          </w:tcPr>
          <w:p w14:paraId="4BD6F5DA">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G=0.036, T=0.042, G×T=0.098</w:t>
            </w:r>
          </w:p>
        </w:tc>
      </w:tr>
    </w:tbl>
    <w:p w14:paraId="4897BAF0">
      <w:pPr>
        <w:widowControl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Where, G and T corresponded to genotypes and treatments, G×T were genotype and treatment interaction</w:t>
      </w:r>
      <w:r>
        <w:rPr>
          <w:rFonts w:ascii="Times New Roman" w:hAnsi="Times New Roman" w:cs="Times New Roman"/>
          <w:b/>
          <w:color w:val="FF0000"/>
          <w:sz w:val="24"/>
          <w:szCs w:val="24"/>
        </w:rPr>
        <w:t xml:space="preserve"> </w:t>
      </w:r>
      <w:r>
        <w:rPr>
          <w:rFonts w:ascii="Times New Roman" w:hAnsi="Times New Roman" w:cs="Times New Roman"/>
          <w:b/>
          <w:sz w:val="24"/>
          <w:szCs w:val="24"/>
        </w:rPr>
        <w:t>Here CD is the critical difference between the successively placed treatments and genotypes by 95% (i.e P ≤ 0.05%) confidence level.</w:t>
      </w:r>
    </w:p>
    <w:p w14:paraId="7FEB6592">
      <w:pPr>
        <w:widowControl w:val="0"/>
        <w:spacing w:after="0" w:line="360" w:lineRule="auto"/>
        <w:jc w:val="both"/>
        <w:rPr>
          <w:rFonts w:ascii="Times New Roman" w:hAnsi="Times New Roman" w:cs="Times New Roman"/>
          <w:b/>
          <w:sz w:val="24"/>
          <w:szCs w:val="24"/>
        </w:rPr>
      </w:pPr>
    </w:p>
    <w:p w14:paraId="04A490D2">
      <w:pPr>
        <w:widowControl w:val="0"/>
        <w:spacing w:after="0" w:line="360" w:lineRule="auto"/>
        <w:jc w:val="both"/>
        <w:rPr>
          <w:rFonts w:ascii="Times New Roman" w:hAnsi="Times New Roman" w:cs="Times New Roman"/>
          <w:b/>
          <w:sz w:val="24"/>
          <w:szCs w:val="24"/>
        </w:rPr>
      </w:pPr>
    </w:p>
    <w:p w14:paraId="385488A7">
      <w:pPr>
        <w:widowControl w:val="0"/>
        <w:spacing w:after="0" w:line="360" w:lineRule="auto"/>
        <w:jc w:val="both"/>
        <w:rPr>
          <w:rFonts w:ascii="Times New Roman" w:hAnsi="Times New Roman" w:cs="Times New Roman"/>
          <w:b/>
          <w:sz w:val="24"/>
          <w:szCs w:val="24"/>
        </w:rPr>
      </w:pPr>
    </w:p>
    <w:p w14:paraId="1E0B49A2">
      <w:pPr>
        <w:widowControl w:val="0"/>
        <w:spacing w:after="0" w:line="360" w:lineRule="auto"/>
        <w:jc w:val="both"/>
        <w:rPr>
          <w:rFonts w:ascii="Times New Roman" w:hAnsi="Times New Roman" w:cs="Times New Roman"/>
          <w:b/>
          <w:sz w:val="24"/>
          <w:szCs w:val="24"/>
        </w:rPr>
      </w:pPr>
    </w:p>
    <w:p w14:paraId="321492F6">
      <w:pPr>
        <w:widowControl w:val="0"/>
        <w:spacing w:after="0" w:line="360" w:lineRule="auto"/>
        <w:jc w:val="both"/>
        <w:rPr>
          <w:rFonts w:ascii="Times New Roman" w:hAnsi="Times New Roman" w:cs="Times New Roman"/>
          <w:b/>
          <w:sz w:val="24"/>
          <w:szCs w:val="24"/>
        </w:rPr>
      </w:pPr>
    </w:p>
    <w:p w14:paraId="5A56A94E">
      <w:pPr>
        <w:widowControl w:val="0"/>
        <w:spacing w:after="0" w:line="360" w:lineRule="auto"/>
        <w:jc w:val="both"/>
        <w:rPr>
          <w:rFonts w:ascii="Times New Roman" w:hAnsi="Times New Roman" w:cs="Times New Roman"/>
          <w:b/>
          <w:sz w:val="24"/>
          <w:szCs w:val="24"/>
        </w:rPr>
      </w:pPr>
    </w:p>
    <w:p w14:paraId="49A9E92E">
      <w:pPr>
        <w:widowControl w:val="0"/>
        <w:spacing w:after="0" w:line="360" w:lineRule="auto"/>
        <w:jc w:val="both"/>
        <w:rPr>
          <w:rFonts w:ascii="Times New Roman" w:hAnsi="Times New Roman" w:cs="Times New Roman"/>
          <w:b/>
          <w:sz w:val="24"/>
          <w:szCs w:val="24"/>
        </w:rPr>
      </w:pPr>
    </w:p>
    <w:p w14:paraId="16636D5E">
      <w:pPr>
        <w:widowControl w:val="0"/>
        <w:spacing w:after="0" w:line="360" w:lineRule="auto"/>
        <w:jc w:val="both"/>
        <w:rPr>
          <w:rFonts w:ascii="Times New Roman" w:hAnsi="Times New Roman" w:cs="Times New Roman"/>
          <w:b/>
          <w:sz w:val="24"/>
          <w:szCs w:val="24"/>
        </w:rPr>
      </w:pPr>
    </w:p>
    <w:p w14:paraId="7F6778F3">
      <w:pPr>
        <w:widowControl w:val="0"/>
        <w:spacing w:after="0" w:line="360" w:lineRule="auto"/>
        <w:jc w:val="both"/>
        <w:rPr>
          <w:rFonts w:ascii="Times New Roman" w:hAnsi="Times New Roman" w:cs="Times New Roman"/>
          <w:b/>
          <w:sz w:val="24"/>
          <w:szCs w:val="24"/>
        </w:rPr>
      </w:pPr>
    </w:p>
    <w:p w14:paraId="3F97FF42">
      <w:pPr>
        <w:widowControl w:val="0"/>
        <w:spacing w:after="0" w:line="360" w:lineRule="auto"/>
        <w:jc w:val="both"/>
        <w:rPr>
          <w:rFonts w:ascii="Times New Roman" w:hAnsi="Times New Roman" w:cs="Times New Roman"/>
          <w:b/>
          <w:sz w:val="24"/>
          <w:szCs w:val="24"/>
        </w:rPr>
      </w:pPr>
    </w:p>
    <w:p w14:paraId="45285FEB">
      <w:pPr>
        <w:widowControl w:val="0"/>
        <w:spacing w:after="0" w:line="360" w:lineRule="auto"/>
        <w:jc w:val="both"/>
        <w:rPr>
          <w:rFonts w:ascii="Times New Roman" w:hAnsi="Times New Roman" w:cs="Times New Roman"/>
          <w:b/>
          <w:sz w:val="24"/>
          <w:szCs w:val="24"/>
        </w:rPr>
      </w:pPr>
    </w:p>
    <w:p w14:paraId="38F48526">
      <w:pPr>
        <w:widowControl w:val="0"/>
        <w:spacing w:after="0" w:line="360" w:lineRule="auto"/>
        <w:jc w:val="both"/>
        <w:rPr>
          <w:rFonts w:ascii="Times New Roman" w:hAnsi="Times New Roman" w:cs="Times New Roman"/>
          <w:b/>
          <w:sz w:val="24"/>
          <w:szCs w:val="24"/>
        </w:rPr>
      </w:pPr>
    </w:p>
    <w:p w14:paraId="17A4E749">
      <w:pPr>
        <w:widowControl w:val="0"/>
        <w:spacing w:after="0" w:line="360" w:lineRule="auto"/>
        <w:jc w:val="both"/>
        <w:rPr>
          <w:rFonts w:ascii="Times New Roman" w:hAnsi="Times New Roman" w:cs="Times New Roman"/>
          <w:b/>
          <w:sz w:val="24"/>
          <w:szCs w:val="24"/>
        </w:rPr>
      </w:pPr>
    </w:p>
    <w:p w14:paraId="2C49A54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Effect of Kn@40mM and BA@50mM along with GB on carotenoid content (mg/g FW) of wheat genotypes under field drought stress. </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1170"/>
        <w:gridCol w:w="1168"/>
        <w:gridCol w:w="1172"/>
        <w:gridCol w:w="990"/>
        <w:gridCol w:w="1078"/>
        <w:gridCol w:w="1094"/>
      </w:tblGrid>
      <w:tr w14:paraId="516E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516" w:type="pct"/>
            <w:vMerge w:val="restart"/>
            <w:tcBorders>
              <w:top w:val="single" w:color="auto" w:sz="4" w:space="0"/>
              <w:left w:val="single" w:color="auto" w:sz="4" w:space="0"/>
              <w:bottom w:val="single" w:color="auto" w:sz="4" w:space="0"/>
              <w:right w:val="single" w:color="auto" w:sz="4" w:space="0"/>
              <w:tr2bl w:val="single" w:color="auto" w:sz="4" w:space="0"/>
            </w:tcBorders>
            <w:vAlign w:val="center"/>
          </w:tcPr>
          <w:p w14:paraId="205557E7">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Treatments</w:t>
            </w:r>
          </w:p>
          <w:p w14:paraId="0519EF9F">
            <w:pPr>
              <w:widowControl w:val="0"/>
              <w:spacing w:before="100" w:after="100" w:line="240" w:lineRule="auto"/>
              <w:rPr>
                <w:rFonts w:ascii="Times New Roman" w:hAnsi="Times New Roman" w:cs="Times New Roman"/>
                <w:b/>
                <w:sz w:val="24"/>
                <w:szCs w:val="24"/>
              </w:rPr>
            </w:pPr>
          </w:p>
          <w:p w14:paraId="4F0A4ACD">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Genotypes</w:t>
            </w:r>
          </w:p>
        </w:tc>
        <w:tc>
          <w:tcPr>
            <w:tcW w:w="3484" w:type="pct"/>
            <w:gridSpan w:val="6"/>
            <w:tcBorders>
              <w:top w:val="single" w:color="auto" w:sz="4" w:space="0"/>
              <w:left w:val="single" w:color="auto" w:sz="4" w:space="0"/>
              <w:bottom w:val="single" w:color="auto" w:sz="4" w:space="0"/>
              <w:right w:val="single" w:color="auto" w:sz="4" w:space="0"/>
            </w:tcBorders>
            <w:vAlign w:val="center"/>
          </w:tcPr>
          <w:p w14:paraId="58E48279">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Carotenoid content (mg/g FW)</w:t>
            </w:r>
          </w:p>
        </w:tc>
      </w:tr>
      <w:tr w14:paraId="4025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16" w:type="pct"/>
            <w:vMerge w:val="continue"/>
            <w:tcBorders>
              <w:top w:val="single" w:color="auto" w:sz="4" w:space="0"/>
              <w:left w:val="single" w:color="auto" w:sz="4" w:space="0"/>
              <w:bottom w:val="single" w:color="auto" w:sz="4" w:space="0"/>
              <w:right w:val="single" w:color="auto" w:sz="4" w:space="0"/>
            </w:tcBorders>
            <w:vAlign w:val="center"/>
          </w:tcPr>
          <w:p w14:paraId="0CBF1D06">
            <w:pPr>
              <w:widowControl w:val="0"/>
              <w:spacing w:before="100" w:after="100" w:line="240" w:lineRule="auto"/>
              <w:rPr>
                <w:rFonts w:ascii="Times New Roman" w:hAnsi="Times New Roman" w:cs="Times New Roman"/>
                <w:b/>
                <w:sz w:val="24"/>
                <w:szCs w:val="24"/>
              </w:rPr>
            </w:pPr>
          </w:p>
        </w:tc>
        <w:tc>
          <w:tcPr>
            <w:tcW w:w="1833" w:type="pct"/>
            <w:gridSpan w:val="3"/>
            <w:tcBorders>
              <w:top w:val="single" w:color="auto" w:sz="4" w:space="0"/>
              <w:left w:val="single" w:color="auto" w:sz="4" w:space="0"/>
              <w:bottom w:val="single" w:color="auto" w:sz="4" w:space="0"/>
              <w:right w:val="single" w:color="auto" w:sz="4" w:space="0"/>
            </w:tcBorders>
            <w:vAlign w:val="center"/>
          </w:tcPr>
          <w:p w14:paraId="1AC9377D">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Vegetative stage</w:t>
            </w:r>
          </w:p>
        </w:tc>
        <w:tc>
          <w:tcPr>
            <w:tcW w:w="1651" w:type="pct"/>
            <w:gridSpan w:val="3"/>
            <w:tcBorders>
              <w:top w:val="single" w:color="auto" w:sz="4" w:space="0"/>
              <w:left w:val="single" w:color="auto" w:sz="4" w:space="0"/>
              <w:bottom w:val="single" w:color="auto" w:sz="4" w:space="0"/>
              <w:right w:val="single" w:color="auto" w:sz="4" w:space="0"/>
            </w:tcBorders>
            <w:vAlign w:val="center"/>
          </w:tcPr>
          <w:p w14:paraId="346274C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Flag leaf stage</w:t>
            </w:r>
          </w:p>
        </w:tc>
      </w:tr>
      <w:tr w14:paraId="028A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16" w:type="pct"/>
            <w:vMerge w:val="continue"/>
            <w:tcBorders>
              <w:top w:val="single" w:color="auto" w:sz="4" w:space="0"/>
              <w:left w:val="single" w:color="auto" w:sz="4" w:space="0"/>
              <w:bottom w:val="single" w:color="auto" w:sz="4" w:space="0"/>
              <w:right w:val="single" w:color="auto" w:sz="4" w:space="0"/>
            </w:tcBorders>
            <w:vAlign w:val="center"/>
          </w:tcPr>
          <w:p w14:paraId="04854141">
            <w:pPr>
              <w:widowControl w:val="0"/>
              <w:spacing w:before="100" w:after="100" w:line="240" w:lineRule="auto"/>
              <w:rPr>
                <w:rFonts w:ascii="Times New Roman" w:hAnsi="Times New Roman" w:cs="Times New Roman"/>
                <w:b/>
                <w:sz w:val="24"/>
                <w:szCs w:val="24"/>
              </w:rPr>
            </w:pPr>
          </w:p>
        </w:tc>
        <w:tc>
          <w:tcPr>
            <w:tcW w:w="611" w:type="pct"/>
            <w:tcBorders>
              <w:top w:val="single" w:color="auto" w:sz="4" w:space="0"/>
              <w:left w:val="single" w:color="auto" w:sz="4" w:space="0"/>
              <w:bottom w:val="single" w:color="auto" w:sz="4" w:space="0"/>
              <w:right w:val="single" w:color="auto" w:sz="4" w:space="0"/>
            </w:tcBorders>
            <w:vAlign w:val="center"/>
          </w:tcPr>
          <w:p w14:paraId="0725127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HD2967</w:t>
            </w:r>
          </w:p>
        </w:tc>
        <w:tc>
          <w:tcPr>
            <w:tcW w:w="610" w:type="pct"/>
            <w:tcBorders>
              <w:top w:val="single" w:color="auto" w:sz="4" w:space="0"/>
              <w:left w:val="single" w:color="auto" w:sz="4" w:space="0"/>
              <w:bottom w:val="single" w:color="auto" w:sz="4" w:space="0"/>
              <w:right w:val="single" w:color="auto" w:sz="4" w:space="0"/>
            </w:tcBorders>
            <w:vAlign w:val="center"/>
          </w:tcPr>
          <w:p w14:paraId="34411287">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PBW660</w:t>
            </w:r>
          </w:p>
        </w:tc>
        <w:tc>
          <w:tcPr>
            <w:tcW w:w="612" w:type="pct"/>
            <w:tcBorders>
              <w:top w:val="single" w:color="auto" w:sz="4" w:space="0"/>
              <w:left w:val="single" w:color="auto" w:sz="4" w:space="0"/>
              <w:bottom w:val="single" w:color="auto" w:sz="4" w:space="0"/>
              <w:right w:val="single" w:color="auto" w:sz="4" w:space="0"/>
            </w:tcBorders>
            <w:vAlign w:val="center"/>
          </w:tcPr>
          <w:p w14:paraId="3F709597">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WH1105</w:t>
            </w:r>
          </w:p>
        </w:tc>
        <w:tc>
          <w:tcPr>
            <w:tcW w:w="517" w:type="pct"/>
            <w:tcBorders>
              <w:top w:val="single" w:color="auto" w:sz="4" w:space="0"/>
              <w:left w:val="single" w:color="auto" w:sz="4" w:space="0"/>
              <w:bottom w:val="single" w:color="auto" w:sz="4" w:space="0"/>
              <w:right w:val="single" w:color="auto" w:sz="4" w:space="0"/>
            </w:tcBorders>
            <w:vAlign w:val="center"/>
          </w:tcPr>
          <w:p w14:paraId="5D27A5CF">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PBW660</w:t>
            </w:r>
          </w:p>
        </w:tc>
        <w:tc>
          <w:tcPr>
            <w:tcW w:w="563" w:type="pct"/>
            <w:tcBorders>
              <w:top w:val="single" w:color="auto" w:sz="4" w:space="0"/>
              <w:left w:val="single" w:color="auto" w:sz="4" w:space="0"/>
              <w:bottom w:val="single" w:color="auto" w:sz="4" w:space="0"/>
              <w:right w:val="single" w:color="auto" w:sz="4" w:space="0"/>
            </w:tcBorders>
            <w:vAlign w:val="center"/>
          </w:tcPr>
          <w:p w14:paraId="5510DBE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HD2967</w:t>
            </w:r>
          </w:p>
        </w:tc>
        <w:tc>
          <w:tcPr>
            <w:tcW w:w="571" w:type="pct"/>
            <w:tcBorders>
              <w:top w:val="single" w:color="auto" w:sz="4" w:space="0"/>
              <w:left w:val="single" w:color="auto" w:sz="4" w:space="0"/>
              <w:bottom w:val="single" w:color="auto" w:sz="4" w:space="0"/>
              <w:right w:val="single" w:color="auto" w:sz="4" w:space="0"/>
            </w:tcBorders>
            <w:vAlign w:val="center"/>
          </w:tcPr>
          <w:p w14:paraId="02D00CE0">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WH1105</w:t>
            </w:r>
          </w:p>
        </w:tc>
      </w:tr>
      <w:tr w14:paraId="084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1B609BD6">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 xml:space="preserve">T1-Control </w:t>
            </w:r>
          </w:p>
        </w:tc>
        <w:tc>
          <w:tcPr>
            <w:tcW w:w="611" w:type="pct"/>
            <w:tcBorders>
              <w:top w:val="single" w:color="auto" w:sz="4" w:space="0"/>
              <w:left w:val="single" w:color="auto" w:sz="4" w:space="0"/>
              <w:bottom w:val="single" w:color="auto" w:sz="4" w:space="0"/>
              <w:right w:val="single" w:color="auto" w:sz="4" w:space="0"/>
            </w:tcBorders>
            <w:vAlign w:val="center"/>
          </w:tcPr>
          <w:p w14:paraId="64473029">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0.032</w:t>
            </w:r>
          </w:p>
        </w:tc>
        <w:tc>
          <w:tcPr>
            <w:tcW w:w="610" w:type="pct"/>
            <w:tcBorders>
              <w:top w:val="single" w:color="auto" w:sz="4" w:space="0"/>
              <w:left w:val="single" w:color="auto" w:sz="4" w:space="0"/>
              <w:bottom w:val="single" w:color="auto" w:sz="4" w:space="0"/>
              <w:right w:val="single" w:color="auto" w:sz="4" w:space="0"/>
            </w:tcBorders>
            <w:vAlign w:val="center"/>
          </w:tcPr>
          <w:p w14:paraId="1A0F7BC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612" w:type="pct"/>
            <w:tcBorders>
              <w:top w:val="single" w:color="auto" w:sz="4" w:space="0"/>
              <w:left w:val="single" w:color="auto" w:sz="4" w:space="0"/>
              <w:bottom w:val="single" w:color="auto" w:sz="4" w:space="0"/>
              <w:right w:val="single" w:color="auto" w:sz="4" w:space="0"/>
            </w:tcBorders>
            <w:vAlign w:val="center"/>
          </w:tcPr>
          <w:p w14:paraId="5F0C1D7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0.030</w:t>
            </w:r>
          </w:p>
        </w:tc>
        <w:tc>
          <w:tcPr>
            <w:tcW w:w="517" w:type="pct"/>
            <w:tcBorders>
              <w:top w:val="single" w:color="auto" w:sz="4" w:space="0"/>
              <w:left w:val="single" w:color="auto" w:sz="4" w:space="0"/>
              <w:bottom w:val="single" w:color="auto" w:sz="4" w:space="0"/>
              <w:right w:val="single" w:color="auto" w:sz="4" w:space="0"/>
            </w:tcBorders>
            <w:vAlign w:val="center"/>
          </w:tcPr>
          <w:p w14:paraId="6ED3437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0.066</w:t>
            </w:r>
          </w:p>
        </w:tc>
        <w:tc>
          <w:tcPr>
            <w:tcW w:w="563" w:type="pct"/>
            <w:tcBorders>
              <w:top w:val="single" w:color="auto" w:sz="4" w:space="0"/>
              <w:left w:val="single" w:color="auto" w:sz="4" w:space="0"/>
              <w:bottom w:val="single" w:color="auto" w:sz="4" w:space="0"/>
              <w:right w:val="single" w:color="auto" w:sz="4" w:space="0"/>
            </w:tcBorders>
            <w:vAlign w:val="center"/>
          </w:tcPr>
          <w:p w14:paraId="39CFC88E">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0.045</w:t>
            </w:r>
          </w:p>
        </w:tc>
        <w:tc>
          <w:tcPr>
            <w:tcW w:w="571" w:type="pct"/>
            <w:tcBorders>
              <w:top w:val="single" w:color="auto" w:sz="4" w:space="0"/>
              <w:left w:val="single" w:color="auto" w:sz="4" w:space="0"/>
              <w:bottom w:val="single" w:color="auto" w:sz="4" w:space="0"/>
              <w:right w:val="single" w:color="auto" w:sz="4" w:space="0"/>
            </w:tcBorders>
            <w:vAlign w:val="center"/>
          </w:tcPr>
          <w:p w14:paraId="734DBC89">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0.061</w:t>
            </w:r>
          </w:p>
        </w:tc>
      </w:tr>
      <w:tr w14:paraId="2799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1DA1076A">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T2- drought Stress</w:t>
            </w:r>
          </w:p>
        </w:tc>
        <w:tc>
          <w:tcPr>
            <w:tcW w:w="611" w:type="pct"/>
            <w:tcBorders>
              <w:top w:val="single" w:color="auto" w:sz="4" w:space="0"/>
              <w:left w:val="single" w:color="auto" w:sz="4" w:space="0"/>
              <w:bottom w:val="single" w:color="auto" w:sz="4" w:space="0"/>
              <w:right w:val="single" w:color="auto" w:sz="4" w:space="0"/>
            </w:tcBorders>
            <w:vAlign w:val="center"/>
          </w:tcPr>
          <w:p w14:paraId="45A62F98">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0.034</w:t>
            </w:r>
          </w:p>
        </w:tc>
        <w:tc>
          <w:tcPr>
            <w:tcW w:w="610" w:type="pct"/>
            <w:tcBorders>
              <w:top w:val="single" w:color="auto" w:sz="4" w:space="0"/>
              <w:left w:val="single" w:color="auto" w:sz="4" w:space="0"/>
              <w:bottom w:val="single" w:color="auto" w:sz="4" w:space="0"/>
              <w:right w:val="single" w:color="auto" w:sz="4" w:space="0"/>
            </w:tcBorders>
            <w:vAlign w:val="center"/>
          </w:tcPr>
          <w:p w14:paraId="137CBC0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612" w:type="pct"/>
            <w:tcBorders>
              <w:top w:val="single" w:color="auto" w:sz="4" w:space="0"/>
              <w:left w:val="single" w:color="auto" w:sz="4" w:space="0"/>
              <w:bottom w:val="single" w:color="auto" w:sz="4" w:space="0"/>
              <w:right w:val="single" w:color="auto" w:sz="4" w:space="0"/>
            </w:tcBorders>
            <w:vAlign w:val="center"/>
          </w:tcPr>
          <w:p w14:paraId="3345276A">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0.034</w:t>
            </w:r>
          </w:p>
        </w:tc>
        <w:tc>
          <w:tcPr>
            <w:tcW w:w="517" w:type="pct"/>
            <w:tcBorders>
              <w:top w:val="single" w:color="auto" w:sz="4" w:space="0"/>
              <w:left w:val="single" w:color="auto" w:sz="4" w:space="0"/>
              <w:bottom w:val="single" w:color="auto" w:sz="4" w:space="0"/>
              <w:right w:val="single" w:color="auto" w:sz="4" w:space="0"/>
            </w:tcBorders>
            <w:vAlign w:val="center"/>
          </w:tcPr>
          <w:p w14:paraId="7F05D80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0.071</w:t>
            </w:r>
          </w:p>
        </w:tc>
        <w:tc>
          <w:tcPr>
            <w:tcW w:w="563" w:type="pct"/>
            <w:tcBorders>
              <w:top w:val="single" w:color="auto" w:sz="4" w:space="0"/>
              <w:left w:val="single" w:color="auto" w:sz="4" w:space="0"/>
              <w:bottom w:val="single" w:color="auto" w:sz="4" w:space="0"/>
              <w:right w:val="single" w:color="auto" w:sz="4" w:space="0"/>
            </w:tcBorders>
            <w:vAlign w:val="center"/>
          </w:tcPr>
          <w:p w14:paraId="1E3EAD6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0.058</w:t>
            </w:r>
          </w:p>
        </w:tc>
        <w:tc>
          <w:tcPr>
            <w:tcW w:w="571" w:type="pct"/>
            <w:tcBorders>
              <w:top w:val="single" w:color="auto" w:sz="4" w:space="0"/>
              <w:left w:val="single" w:color="auto" w:sz="4" w:space="0"/>
              <w:bottom w:val="single" w:color="auto" w:sz="4" w:space="0"/>
              <w:right w:val="single" w:color="auto" w:sz="4" w:space="0"/>
            </w:tcBorders>
            <w:vAlign w:val="center"/>
          </w:tcPr>
          <w:p w14:paraId="658E8535">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0.065</w:t>
            </w:r>
          </w:p>
        </w:tc>
      </w:tr>
      <w:tr w14:paraId="1002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383C31DD">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T3-T2+Kn+GB(50mM)</w:t>
            </w:r>
          </w:p>
        </w:tc>
        <w:tc>
          <w:tcPr>
            <w:tcW w:w="611" w:type="pct"/>
            <w:tcBorders>
              <w:top w:val="single" w:color="auto" w:sz="4" w:space="0"/>
              <w:left w:val="single" w:color="auto" w:sz="4" w:space="0"/>
              <w:bottom w:val="single" w:color="auto" w:sz="4" w:space="0"/>
              <w:right w:val="single" w:color="auto" w:sz="4" w:space="0"/>
            </w:tcBorders>
            <w:vAlign w:val="center"/>
          </w:tcPr>
          <w:p w14:paraId="7851CDE3">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0.040</w:t>
            </w:r>
          </w:p>
        </w:tc>
        <w:tc>
          <w:tcPr>
            <w:tcW w:w="610" w:type="pct"/>
            <w:tcBorders>
              <w:top w:val="single" w:color="auto" w:sz="4" w:space="0"/>
              <w:left w:val="single" w:color="auto" w:sz="4" w:space="0"/>
              <w:bottom w:val="single" w:color="auto" w:sz="4" w:space="0"/>
              <w:right w:val="single" w:color="auto" w:sz="4" w:space="0"/>
            </w:tcBorders>
            <w:vAlign w:val="center"/>
          </w:tcPr>
          <w:p w14:paraId="75547F2A">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0.039</w:t>
            </w:r>
          </w:p>
        </w:tc>
        <w:tc>
          <w:tcPr>
            <w:tcW w:w="612" w:type="pct"/>
            <w:tcBorders>
              <w:top w:val="single" w:color="auto" w:sz="4" w:space="0"/>
              <w:left w:val="single" w:color="auto" w:sz="4" w:space="0"/>
              <w:bottom w:val="single" w:color="auto" w:sz="4" w:space="0"/>
              <w:right w:val="single" w:color="auto" w:sz="4" w:space="0"/>
            </w:tcBorders>
            <w:vAlign w:val="center"/>
          </w:tcPr>
          <w:p w14:paraId="459F5848">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517" w:type="pct"/>
            <w:tcBorders>
              <w:top w:val="single" w:color="auto" w:sz="4" w:space="0"/>
              <w:left w:val="single" w:color="auto" w:sz="4" w:space="0"/>
              <w:bottom w:val="single" w:color="auto" w:sz="4" w:space="0"/>
              <w:right w:val="single" w:color="auto" w:sz="4" w:space="0"/>
            </w:tcBorders>
            <w:vAlign w:val="center"/>
          </w:tcPr>
          <w:p w14:paraId="0D0A9CE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0.069</w:t>
            </w:r>
          </w:p>
        </w:tc>
        <w:tc>
          <w:tcPr>
            <w:tcW w:w="563" w:type="pct"/>
            <w:tcBorders>
              <w:top w:val="single" w:color="auto" w:sz="4" w:space="0"/>
              <w:left w:val="single" w:color="auto" w:sz="4" w:space="0"/>
              <w:bottom w:val="single" w:color="auto" w:sz="4" w:space="0"/>
              <w:right w:val="single" w:color="auto" w:sz="4" w:space="0"/>
            </w:tcBorders>
            <w:vAlign w:val="center"/>
          </w:tcPr>
          <w:p w14:paraId="6B31D5C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0.052</w:t>
            </w:r>
          </w:p>
        </w:tc>
        <w:tc>
          <w:tcPr>
            <w:tcW w:w="571" w:type="pct"/>
            <w:tcBorders>
              <w:top w:val="single" w:color="auto" w:sz="4" w:space="0"/>
              <w:left w:val="single" w:color="auto" w:sz="4" w:space="0"/>
              <w:bottom w:val="single" w:color="auto" w:sz="4" w:space="0"/>
              <w:right w:val="single" w:color="auto" w:sz="4" w:space="0"/>
            </w:tcBorders>
            <w:vAlign w:val="center"/>
          </w:tcPr>
          <w:p w14:paraId="71E241C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0.063</w:t>
            </w:r>
          </w:p>
        </w:tc>
      </w:tr>
      <w:tr w14:paraId="50F4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41AE3B41">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T4- T2+Kn+GB(100mM)</w:t>
            </w:r>
          </w:p>
        </w:tc>
        <w:tc>
          <w:tcPr>
            <w:tcW w:w="611" w:type="pct"/>
            <w:tcBorders>
              <w:top w:val="single" w:color="auto" w:sz="4" w:space="0"/>
              <w:left w:val="single" w:color="auto" w:sz="4" w:space="0"/>
              <w:bottom w:val="single" w:color="auto" w:sz="4" w:space="0"/>
              <w:right w:val="single" w:color="auto" w:sz="4" w:space="0"/>
            </w:tcBorders>
            <w:vAlign w:val="center"/>
          </w:tcPr>
          <w:p w14:paraId="542410B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0.043</w:t>
            </w:r>
          </w:p>
        </w:tc>
        <w:tc>
          <w:tcPr>
            <w:tcW w:w="610" w:type="pct"/>
            <w:tcBorders>
              <w:top w:val="single" w:color="auto" w:sz="4" w:space="0"/>
              <w:left w:val="single" w:color="auto" w:sz="4" w:space="0"/>
              <w:bottom w:val="single" w:color="auto" w:sz="4" w:space="0"/>
              <w:right w:val="single" w:color="auto" w:sz="4" w:space="0"/>
            </w:tcBorders>
            <w:vAlign w:val="center"/>
          </w:tcPr>
          <w:p w14:paraId="06A23019">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0.040</w:t>
            </w:r>
          </w:p>
        </w:tc>
        <w:tc>
          <w:tcPr>
            <w:tcW w:w="612" w:type="pct"/>
            <w:tcBorders>
              <w:top w:val="single" w:color="auto" w:sz="4" w:space="0"/>
              <w:left w:val="single" w:color="auto" w:sz="4" w:space="0"/>
              <w:bottom w:val="single" w:color="auto" w:sz="4" w:space="0"/>
              <w:right w:val="single" w:color="auto" w:sz="4" w:space="0"/>
            </w:tcBorders>
            <w:vAlign w:val="center"/>
          </w:tcPr>
          <w:p w14:paraId="171BECFA">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0.039</w:t>
            </w:r>
          </w:p>
        </w:tc>
        <w:tc>
          <w:tcPr>
            <w:tcW w:w="517" w:type="pct"/>
            <w:tcBorders>
              <w:top w:val="single" w:color="auto" w:sz="4" w:space="0"/>
              <w:left w:val="single" w:color="auto" w:sz="4" w:space="0"/>
              <w:bottom w:val="single" w:color="auto" w:sz="4" w:space="0"/>
              <w:right w:val="single" w:color="auto" w:sz="4" w:space="0"/>
            </w:tcBorders>
            <w:vAlign w:val="center"/>
          </w:tcPr>
          <w:p w14:paraId="255EE7A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0.072</w:t>
            </w:r>
          </w:p>
        </w:tc>
        <w:tc>
          <w:tcPr>
            <w:tcW w:w="563" w:type="pct"/>
            <w:tcBorders>
              <w:top w:val="single" w:color="auto" w:sz="4" w:space="0"/>
              <w:left w:val="single" w:color="auto" w:sz="4" w:space="0"/>
              <w:bottom w:val="single" w:color="auto" w:sz="4" w:space="0"/>
              <w:right w:val="single" w:color="auto" w:sz="4" w:space="0"/>
            </w:tcBorders>
            <w:vAlign w:val="center"/>
          </w:tcPr>
          <w:p w14:paraId="44E980F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0.056</w:t>
            </w:r>
          </w:p>
        </w:tc>
        <w:tc>
          <w:tcPr>
            <w:tcW w:w="571" w:type="pct"/>
            <w:tcBorders>
              <w:top w:val="single" w:color="auto" w:sz="4" w:space="0"/>
              <w:left w:val="single" w:color="auto" w:sz="4" w:space="0"/>
              <w:bottom w:val="single" w:color="auto" w:sz="4" w:space="0"/>
              <w:right w:val="single" w:color="auto" w:sz="4" w:space="0"/>
            </w:tcBorders>
            <w:vAlign w:val="center"/>
          </w:tcPr>
          <w:p w14:paraId="4D04EC9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0.066</w:t>
            </w:r>
          </w:p>
        </w:tc>
      </w:tr>
      <w:tr w14:paraId="7351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58460B63">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T5-T2+BA+GB(50mM)</w:t>
            </w:r>
          </w:p>
        </w:tc>
        <w:tc>
          <w:tcPr>
            <w:tcW w:w="611" w:type="pct"/>
            <w:tcBorders>
              <w:top w:val="single" w:color="auto" w:sz="4" w:space="0"/>
              <w:left w:val="single" w:color="auto" w:sz="4" w:space="0"/>
              <w:bottom w:val="single" w:color="auto" w:sz="4" w:space="0"/>
              <w:right w:val="single" w:color="auto" w:sz="4" w:space="0"/>
            </w:tcBorders>
            <w:vAlign w:val="center"/>
          </w:tcPr>
          <w:p w14:paraId="122FADA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610" w:type="pct"/>
            <w:tcBorders>
              <w:top w:val="single" w:color="auto" w:sz="4" w:space="0"/>
              <w:left w:val="single" w:color="auto" w:sz="4" w:space="0"/>
              <w:bottom w:val="single" w:color="auto" w:sz="4" w:space="0"/>
              <w:right w:val="single" w:color="auto" w:sz="4" w:space="0"/>
            </w:tcBorders>
            <w:vAlign w:val="center"/>
          </w:tcPr>
          <w:p w14:paraId="4A26C873">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612" w:type="pct"/>
            <w:tcBorders>
              <w:top w:val="single" w:color="auto" w:sz="4" w:space="0"/>
              <w:left w:val="single" w:color="auto" w:sz="4" w:space="0"/>
              <w:bottom w:val="single" w:color="auto" w:sz="4" w:space="0"/>
              <w:right w:val="single" w:color="auto" w:sz="4" w:space="0"/>
            </w:tcBorders>
            <w:vAlign w:val="center"/>
          </w:tcPr>
          <w:p w14:paraId="4CE4AE4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0.036</w:t>
            </w:r>
          </w:p>
        </w:tc>
        <w:tc>
          <w:tcPr>
            <w:tcW w:w="517" w:type="pct"/>
            <w:tcBorders>
              <w:top w:val="single" w:color="auto" w:sz="4" w:space="0"/>
              <w:left w:val="single" w:color="auto" w:sz="4" w:space="0"/>
              <w:bottom w:val="single" w:color="auto" w:sz="4" w:space="0"/>
              <w:right w:val="single" w:color="auto" w:sz="4" w:space="0"/>
            </w:tcBorders>
            <w:vAlign w:val="center"/>
          </w:tcPr>
          <w:p w14:paraId="7BFDE294">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0.068</w:t>
            </w:r>
          </w:p>
        </w:tc>
        <w:tc>
          <w:tcPr>
            <w:tcW w:w="563" w:type="pct"/>
            <w:tcBorders>
              <w:top w:val="single" w:color="auto" w:sz="4" w:space="0"/>
              <w:left w:val="single" w:color="auto" w:sz="4" w:space="0"/>
              <w:bottom w:val="single" w:color="auto" w:sz="4" w:space="0"/>
              <w:right w:val="single" w:color="auto" w:sz="4" w:space="0"/>
            </w:tcBorders>
            <w:vAlign w:val="center"/>
          </w:tcPr>
          <w:p w14:paraId="55EA4857">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0.048</w:t>
            </w:r>
          </w:p>
        </w:tc>
        <w:tc>
          <w:tcPr>
            <w:tcW w:w="571" w:type="pct"/>
            <w:tcBorders>
              <w:top w:val="single" w:color="auto" w:sz="4" w:space="0"/>
              <w:left w:val="single" w:color="auto" w:sz="4" w:space="0"/>
              <w:bottom w:val="single" w:color="auto" w:sz="4" w:space="0"/>
              <w:right w:val="single" w:color="auto" w:sz="4" w:space="0"/>
            </w:tcBorders>
            <w:vAlign w:val="center"/>
          </w:tcPr>
          <w:p w14:paraId="17E6261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0.061</w:t>
            </w:r>
          </w:p>
        </w:tc>
      </w:tr>
      <w:tr w14:paraId="3E60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0DDFF476">
            <w:pPr>
              <w:widowControl w:val="0"/>
              <w:spacing w:before="80" w:after="80" w:line="240" w:lineRule="auto"/>
              <w:rPr>
                <w:rFonts w:ascii="Times New Roman" w:hAnsi="Times New Roman" w:cs="Times New Roman"/>
                <w:b/>
                <w:sz w:val="24"/>
                <w:szCs w:val="24"/>
              </w:rPr>
            </w:pPr>
            <w:r>
              <w:rPr>
                <w:rFonts w:ascii="Times New Roman" w:hAnsi="Times New Roman" w:cs="Times New Roman"/>
                <w:b/>
                <w:sz w:val="24"/>
                <w:szCs w:val="24"/>
              </w:rPr>
              <w:t>T6-T2 +BA+GB(100mM)</w:t>
            </w:r>
          </w:p>
        </w:tc>
        <w:tc>
          <w:tcPr>
            <w:tcW w:w="611" w:type="pct"/>
            <w:tcBorders>
              <w:top w:val="single" w:color="auto" w:sz="4" w:space="0"/>
              <w:left w:val="single" w:color="auto" w:sz="4" w:space="0"/>
              <w:bottom w:val="single" w:color="auto" w:sz="4" w:space="0"/>
              <w:right w:val="single" w:color="auto" w:sz="4" w:space="0"/>
            </w:tcBorders>
            <w:vAlign w:val="center"/>
          </w:tcPr>
          <w:p w14:paraId="63B20D16">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0.039</w:t>
            </w:r>
          </w:p>
        </w:tc>
        <w:tc>
          <w:tcPr>
            <w:tcW w:w="610" w:type="pct"/>
            <w:tcBorders>
              <w:top w:val="single" w:color="auto" w:sz="4" w:space="0"/>
              <w:left w:val="single" w:color="auto" w:sz="4" w:space="0"/>
              <w:bottom w:val="single" w:color="auto" w:sz="4" w:space="0"/>
              <w:right w:val="single" w:color="auto" w:sz="4" w:space="0"/>
            </w:tcBorders>
            <w:vAlign w:val="center"/>
          </w:tcPr>
          <w:p w14:paraId="40ACE400">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612" w:type="pct"/>
            <w:tcBorders>
              <w:top w:val="single" w:color="auto" w:sz="4" w:space="0"/>
              <w:left w:val="single" w:color="auto" w:sz="4" w:space="0"/>
              <w:bottom w:val="single" w:color="auto" w:sz="4" w:space="0"/>
              <w:right w:val="single" w:color="auto" w:sz="4" w:space="0"/>
            </w:tcBorders>
            <w:vAlign w:val="center"/>
          </w:tcPr>
          <w:p w14:paraId="43B3BA2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0.037</w:t>
            </w:r>
          </w:p>
        </w:tc>
        <w:tc>
          <w:tcPr>
            <w:tcW w:w="517" w:type="pct"/>
            <w:tcBorders>
              <w:top w:val="single" w:color="auto" w:sz="4" w:space="0"/>
              <w:left w:val="single" w:color="auto" w:sz="4" w:space="0"/>
              <w:bottom w:val="single" w:color="auto" w:sz="4" w:space="0"/>
              <w:right w:val="single" w:color="auto" w:sz="4" w:space="0"/>
            </w:tcBorders>
            <w:vAlign w:val="center"/>
          </w:tcPr>
          <w:p w14:paraId="60F84D9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0.068</w:t>
            </w:r>
          </w:p>
        </w:tc>
        <w:tc>
          <w:tcPr>
            <w:tcW w:w="563" w:type="pct"/>
            <w:tcBorders>
              <w:top w:val="single" w:color="auto" w:sz="4" w:space="0"/>
              <w:left w:val="single" w:color="auto" w:sz="4" w:space="0"/>
              <w:bottom w:val="single" w:color="auto" w:sz="4" w:space="0"/>
              <w:right w:val="single" w:color="auto" w:sz="4" w:space="0"/>
            </w:tcBorders>
            <w:vAlign w:val="center"/>
          </w:tcPr>
          <w:p w14:paraId="30C49BC1">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0.049</w:t>
            </w:r>
          </w:p>
        </w:tc>
        <w:tc>
          <w:tcPr>
            <w:tcW w:w="571" w:type="pct"/>
            <w:tcBorders>
              <w:top w:val="single" w:color="auto" w:sz="4" w:space="0"/>
              <w:left w:val="single" w:color="auto" w:sz="4" w:space="0"/>
              <w:bottom w:val="single" w:color="auto" w:sz="4" w:space="0"/>
              <w:right w:val="single" w:color="auto" w:sz="4" w:space="0"/>
            </w:tcBorders>
            <w:vAlign w:val="center"/>
          </w:tcPr>
          <w:p w14:paraId="0197FA0F">
            <w:pPr>
              <w:widowControl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0.062</w:t>
            </w:r>
          </w:p>
        </w:tc>
      </w:tr>
      <w:tr w14:paraId="1910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16" w:type="pct"/>
            <w:tcBorders>
              <w:top w:val="single" w:color="auto" w:sz="4" w:space="0"/>
              <w:left w:val="single" w:color="auto" w:sz="4" w:space="0"/>
              <w:bottom w:val="single" w:color="auto" w:sz="4" w:space="0"/>
              <w:right w:val="single" w:color="auto" w:sz="4" w:space="0"/>
            </w:tcBorders>
            <w:vAlign w:val="center"/>
          </w:tcPr>
          <w:p w14:paraId="1F02A5B5">
            <w:pPr>
              <w:widowControl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t>CD@</w:t>
            </w:r>
            <w:r>
              <w:rPr>
                <w:rFonts w:ascii="Times New Roman" w:hAnsi="Times New Roman" w:cs="Times New Roman"/>
                <w:b/>
                <w:color w:val="FF0000"/>
                <w:sz w:val="24"/>
                <w:szCs w:val="24"/>
              </w:rPr>
              <w:t xml:space="preserve"> </w:t>
            </w:r>
            <w:r>
              <w:rPr>
                <w:rFonts w:ascii="Times New Roman" w:hAnsi="Times New Roman" w:cs="Times New Roman"/>
                <w:b/>
                <w:sz w:val="24"/>
                <w:szCs w:val="24"/>
              </w:rPr>
              <w:t>5%</w:t>
            </w:r>
          </w:p>
        </w:tc>
        <w:tc>
          <w:tcPr>
            <w:tcW w:w="1833" w:type="pct"/>
            <w:gridSpan w:val="3"/>
            <w:tcBorders>
              <w:top w:val="single" w:color="auto" w:sz="4" w:space="0"/>
              <w:left w:val="single" w:color="auto" w:sz="4" w:space="0"/>
              <w:bottom w:val="single" w:color="auto" w:sz="4" w:space="0"/>
              <w:right w:val="single" w:color="auto" w:sz="4" w:space="0"/>
            </w:tcBorders>
            <w:vAlign w:val="center"/>
          </w:tcPr>
          <w:p w14:paraId="439BD709">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G=0.002, T=0.001, G×T=NS</w:t>
            </w:r>
          </w:p>
        </w:tc>
        <w:tc>
          <w:tcPr>
            <w:tcW w:w="1651" w:type="pct"/>
            <w:gridSpan w:val="3"/>
            <w:tcBorders>
              <w:top w:val="single" w:color="auto" w:sz="4" w:space="0"/>
              <w:left w:val="single" w:color="auto" w:sz="4" w:space="0"/>
              <w:bottom w:val="single" w:color="auto" w:sz="4" w:space="0"/>
              <w:right w:val="single" w:color="auto" w:sz="4" w:space="0"/>
            </w:tcBorders>
            <w:vAlign w:val="center"/>
          </w:tcPr>
          <w:p w14:paraId="4C955CA5">
            <w:pPr>
              <w:widowControl w:val="0"/>
              <w:spacing w:before="100" w:after="100" w:line="240" w:lineRule="auto"/>
              <w:jc w:val="center"/>
              <w:rPr>
                <w:rFonts w:ascii="Times New Roman" w:hAnsi="Times New Roman" w:cs="Times New Roman"/>
                <w:b/>
                <w:sz w:val="24"/>
                <w:szCs w:val="24"/>
              </w:rPr>
            </w:pPr>
            <w:r>
              <w:rPr>
                <w:rFonts w:ascii="Times New Roman" w:hAnsi="Times New Roman" w:cs="Times New Roman"/>
                <w:b/>
                <w:sz w:val="24"/>
                <w:szCs w:val="24"/>
              </w:rPr>
              <w:t>G=0.003, T=0.002, G×T=0.001</w:t>
            </w:r>
          </w:p>
        </w:tc>
      </w:tr>
    </w:tbl>
    <w:p w14:paraId="15F9CBA6">
      <w:pPr>
        <w:widowControl w:val="0"/>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Where, G and T corresponded to genotypes and treatments, G×T were genotype and treatment interaction</w:t>
      </w:r>
    </w:p>
    <w:p w14:paraId="2B06697C">
      <w:pPr>
        <w:widowControl w:val="0"/>
        <w:spacing w:before="120" w:after="120" w:line="240" w:lineRule="auto"/>
        <w:jc w:val="both"/>
        <w:rPr>
          <w:rFonts w:ascii="Times New Roman" w:hAnsi="Times New Roman" w:cs="Times New Roman"/>
          <w:b/>
          <w:sz w:val="24"/>
          <w:szCs w:val="24"/>
        </w:rPr>
      </w:pPr>
    </w:p>
    <w:p w14:paraId="30098D25">
      <w:pPr>
        <w:widowControl w:val="0"/>
        <w:spacing w:before="120" w:after="120" w:line="240" w:lineRule="auto"/>
        <w:jc w:val="both"/>
        <w:rPr>
          <w:rFonts w:ascii="Times New Roman" w:hAnsi="Times New Roman" w:cs="Times New Roman"/>
          <w:b/>
          <w:sz w:val="24"/>
          <w:szCs w:val="24"/>
        </w:rPr>
      </w:pPr>
    </w:p>
    <w:p w14:paraId="797888C6">
      <w:pPr>
        <w:widowControl w:val="0"/>
        <w:spacing w:before="120" w:after="120" w:line="240" w:lineRule="auto"/>
        <w:jc w:val="both"/>
        <w:rPr>
          <w:rFonts w:ascii="Times New Roman" w:hAnsi="Times New Roman" w:cs="Times New Roman"/>
          <w:b/>
          <w:sz w:val="24"/>
          <w:szCs w:val="24"/>
        </w:rPr>
      </w:pPr>
    </w:p>
    <w:p w14:paraId="202406F2">
      <w:pPr>
        <w:widowControl w:val="0"/>
        <w:spacing w:before="120" w:after="120" w:line="240" w:lineRule="auto"/>
        <w:jc w:val="both"/>
        <w:rPr>
          <w:rFonts w:ascii="Times New Roman" w:hAnsi="Times New Roman" w:cs="Times New Roman"/>
          <w:b/>
          <w:sz w:val="24"/>
          <w:szCs w:val="24"/>
        </w:rPr>
      </w:pPr>
    </w:p>
    <w:p w14:paraId="212B44DD">
      <w:pPr>
        <w:spacing w:line="360" w:lineRule="auto"/>
        <w:jc w:val="both"/>
        <w:rPr>
          <w:rFonts w:ascii="Times New Roman" w:hAnsi="Times New Roman" w:cs="Times New Roman"/>
          <w:sz w:val="24"/>
          <w:szCs w:val="24"/>
        </w:rPr>
      </w:pPr>
    </w:p>
    <w:p w14:paraId="13FD88B0">
      <w:pPr>
        <w:spacing w:line="360" w:lineRule="auto"/>
        <w:jc w:val="both"/>
        <w:rPr>
          <w:rFonts w:ascii="Times New Roman" w:hAnsi="Times New Roman" w:cs="Times New Roman"/>
          <w:sz w:val="24"/>
          <w:szCs w:val="24"/>
        </w:rPr>
      </w:pPr>
    </w:p>
    <w:p w14:paraId="00717679">
      <w:pPr>
        <w:spacing w:line="360" w:lineRule="auto"/>
        <w:jc w:val="both"/>
        <w:rPr>
          <w:rFonts w:ascii="Times New Roman" w:hAnsi="Times New Roman" w:cs="Times New Roman"/>
          <w:sz w:val="24"/>
          <w:szCs w:val="24"/>
        </w:rPr>
      </w:pPr>
    </w:p>
    <w:p w14:paraId="1BDAABB8">
      <w:pPr>
        <w:spacing w:line="360" w:lineRule="auto"/>
        <w:jc w:val="both"/>
        <w:rPr>
          <w:rFonts w:ascii="Times New Roman" w:hAnsi="Times New Roman" w:cs="Times New Roman"/>
          <w:sz w:val="24"/>
          <w:szCs w:val="24"/>
        </w:rPr>
      </w:pPr>
    </w:p>
    <w:p w14:paraId="2EFA6852">
      <w:pPr>
        <w:spacing w:line="360" w:lineRule="auto"/>
        <w:jc w:val="both"/>
        <w:rPr>
          <w:rFonts w:ascii="Times New Roman" w:hAnsi="Times New Roman" w:cs="Times New Roman"/>
          <w:sz w:val="24"/>
          <w:szCs w:val="24"/>
        </w:rPr>
      </w:pPr>
    </w:p>
    <w:p w14:paraId="5780D2CA">
      <w:pPr>
        <w:spacing w:line="360" w:lineRule="auto"/>
        <w:jc w:val="both"/>
        <w:rPr>
          <w:rFonts w:ascii="Times New Roman" w:hAnsi="Times New Roman" w:cs="Times New Roman"/>
          <w:sz w:val="24"/>
          <w:szCs w:val="24"/>
        </w:rPr>
      </w:pPr>
    </w:p>
    <w:p w14:paraId="04236C09">
      <w:pPr>
        <w:spacing w:line="360" w:lineRule="auto"/>
        <w:jc w:val="both"/>
        <w:rPr>
          <w:rFonts w:ascii="Times New Roman" w:hAnsi="Times New Roman" w:cs="Times New Roman"/>
          <w:sz w:val="24"/>
          <w:szCs w:val="24"/>
        </w:rPr>
      </w:pPr>
    </w:p>
    <w:p w14:paraId="5DF44C91">
      <w:pPr>
        <w:spacing w:line="360" w:lineRule="auto"/>
        <w:jc w:val="both"/>
        <w:rPr>
          <w:rFonts w:ascii="Times New Roman" w:hAnsi="Times New Roman" w:cs="Times New Roman"/>
          <w:b/>
          <w:sz w:val="24"/>
          <w:szCs w:val="24"/>
        </w:rPr>
      </w:pPr>
      <w:commentRangeStart w:id="14"/>
      <w:r>
        <w:rPr>
          <w:rFonts w:ascii="Times New Roman" w:hAnsi="Times New Roman" w:cs="Times New Roman"/>
          <w:b/>
          <w:sz w:val="24"/>
          <w:szCs w:val="24"/>
        </w:rPr>
        <w:t xml:space="preserve">Fig 1.  </w:t>
      </w:r>
      <w:r>
        <w:rPr>
          <w:rFonts w:ascii="Times New Roman" w:hAnsi="Times New Roman" w:cs="Times New Roman"/>
          <w:b/>
          <w:sz w:val="24"/>
          <w:szCs w:val="24"/>
        </w:rPr>
        <w:tab/>
      </w:r>
      <w:r>
        <w:rPr>
          <w:rFonts w:ascii="Times New Roman" w:hAnsi="Times New Roman" w:cs="Times New Roman"/>
          <w:b/>
          <w:sz w:val="24"/>
          <w:szCs w:val="24"/>
        </w:rPr>
        <w:t>Effect of Kn@40mM and BA@50mM along with GB on net photosynthetic rate (µ mol CO</w:t>
      </w:r>
      <w:r>
        <w:rPr>
          <w:rFonts w:ascii="Times New Roman" w:hAnsi="Times New Roman" w:cs="Times New Roman"/>
          <w:b/>
          <w:sz w:val="24"/>
          <w:szCs w:val="24"/>
          <w:vertAlign w:val="subscript"/>
        </w:rPr>
        <w:t xml:space="preserve">2 </w:t>
      </w:r>
      <w:r>
        <w:rPr>
          <w:rFonts w:ascii="Times New Roman" w:hAnsi="Times New Roman" w:cs="Times New Roman"/>
          <w:b/>
          <w:sz w:val="24"/>
          <w:szCs w:val="24"/>
        </w:rPr>
        <w:t>m</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s</w:t>
      </w:r>
      <w:r>
        <w:rPr>
          <w:rFonts w:ascii="Times New Roman" w:hAnsi="Times New Roman" w:cs="Times New Roman"/>
          <w:b/>
          <w:sz w:val="24"/>
          <w:szCs w:val="24"/>
          <w:vertAlign w:val="superscript"/>
        </w:rPr>
        <w:t>-1</w:t>
      </w:r>
      <w:r>
        <w:rPr>
          <w:rFonts w:ascii="Times New Roman" w:hAnsi="Times New Roman" w:cs="Times New Roman"/>
          <w:b/>
          <w:sz w:val="24"/>
          <w:szCs w:val="24"/>
        </w:rPr>
        <w:t>) of wheat genotypes at vegetative and flag leaf stages under drought stress. A) G=1.681, T=0.336, G×T=1.983 and B) G=1.330, T=0.909, G×T=1.106</w:t>
      </w:r>
      <w:r>
        <w:rPr>
          <w:rFonts w:ascii="Times New Roman" w:hAnsi="Times New Roman" w:cs="Times New Roman"/>
          <w:sz w:val="24"/>
          <w:szCs w:val="24"/>
        </w:rPr>
        <w:t xml:space="preserve"> </w:t>
      </w:r>
      <w:r>
        <w:rPr>
          <w:rFonts w:ascii="Times New Roman" w:hAnsi="Times New Roman" w:cs="Times New Roman"/>
          <w:b/>
          <w:sz w:val="24"/>
          <w:szCs w:val="24"/>
        </w:rPr>
        <w:t>Where G is genotype, T is treatment and G×T is interaction between genotype and treatment</w:t>
      </w:r>
      <w:commentRangeEnd w:id="14"/>
      <w:r>
        <w:commentReference w:id="14"/>
      </w:r>
    </w:p>
    <w:p w14:paraId="002A3278">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A)</w:t>
      </w:r>
    </w:p>
    <w:p w14:paraId="6DDEC6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801995" cy="2797175"/>
            <wp:effectExtent l="0" t="0" r="2730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68D9AD">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B)</w:t>
      </w:r>
    </w:p>
    <w:p w14:paraId="4F7381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834380" cy="2764790"/>
            <wp:effectExtent l="0" t="0" r="1397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4BAD1A">
      <w:pPr>
        <w:widowControl w:val="0"/>
        <w:tabs>
          <w:tab w:val="left" w:pos="1065"/>
        </w:tabs>
        <w:spacing w:after="0"/>
        <w:jc w:val="both"/>
        <w:rPr>
          <w:rFonts w:ascii="Times New Roman" w:hAnsi="Times New Roman" w:cs="Times New Roman"/>
          <w:b/>
          <w:sz w:val="24"/>
          <w:szCs w:val="24"/>
        </w:rPr>
      </w:pPr>
    </w:p>
    <w:p w14:paraId="7B3C6FAB">
      <w:pPr>
        <w:widowControl w:val="0"/>
        <w:tabs>
          <w:tab w:val="left" w:pos="1065"/>
        </w:tabs>
        <w:spacing w:after="0"/>
        <w:jc w:val="both"/>
        <w:rPr>
          <w:rFonts w:ascii="Times New Roman" w:hAnsi="Times New Roman" w:cs="Times New Roman"/>
          <w:sz w:val="24"/>
          <w:szCs w:val="24"/>
          <w:highlight w:val="yellow"/>
          <w:lang w:eastAsia="en-GB"/>
        </w:rPr>
      </w:pPr>
      <w:r>
        <w:rPr>
          <w:rFonts w:ascii="Times New Roman" w:hAnsi="Times New Roman" w:cs="Times New Roman"/>
          <w:b/>
          <w:sz w:val="24"/>
          <w:szCs w:val="24"/>
          <w:highlight w:val="yellow"/>
        </w:rPr>
        <w:t>Fig 2.  Effect of Kn@40mM and BA@50mM along with GB on intercellular CO</w:t>
      </w:r>
      <w:r>
        <w:rPr>
          <w:rFonts w:ascii="Times New Roman" w:hAnsi="Times New Roman" w:cs="Times New Roman"/>
          <w:b/>
          <w:sz w:val="24"/>
          <w:szCs w:val="24"/>
          <w:highlight w:val="yellow"/>
          <w:vertAlign w:val="subscript"/>
        </w:rPr>
        <w:t>2</w:t>
      </w:r>
      <w:r>
        <w:rPr>
          <w:rFonts w:ascii="Times New Roman" w:hAnsi="Times New Roman" w:cs="Times New Roman"/>
          <w:b/>
          <w:sz w:val="24"/>
          <w:szCs w:val="24"/>
          <w:highlight w:val="yellow"/>
        </w:rPr>
        <w:t xml:space="preserve"> (µmol/mol) concentration of wheat genotypes at vegetative stage and flag leaf stage under drought stress. A) G=4.388, T=3.642, G×T=4.901 and B) G=1.990, T=2.352, G×T=0.030 Where G is genotype, T is treatment and G×T is interaction between genotype and treatment</w:t>
      </w:r>
    </w:p>
    <w:p w14:paraId="58950049">
      <w:pPr>
        <w:spacing w:line="360" w:lineRule="auto"/>
        <w:ind w:left="720" w:hanging="720"/>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A)</w:t>
      </w:r>
    </w:p>
    <w:p w14:paraId="6738D27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823585" cy="2731770"/>
            <wp:effectExtent l="0" t="0" r="2476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EE6F21">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B)</w:t>
      </w:r>
    </w:p>
    <w:p w14:paraId="1B2A074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823585" cy="2960370"/>
            <wp:effectExtent l="0" t="0" r="24765"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66E54C">
      <w:pPr>
        <w:spacing w:line="360" w:lineRule="auto"/>
        <w:ind w:left="720" w:hanging="720"/>
        <w:jc w:val="both"/>
        <w:rPr>
          <w:rFonts w:ascii="Times New Roman" w:hAnsi="Times New Roman" w:cs="Times New Roman"/>
          <w:sz w:val="24"/>
          <w:szCs w:val="24"/>
          <w:highlight w:val="yellow"/>
        </w:rPr>
      </w:pPr>
    </w:p>
    <w:p w14:paraId="247763A9">
      <w:pPr>
        <w:widowControl w:val="0"/>
        <w:spacing w:before="120" w:after="12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Fig 3.  Effect of Kn@40mM and BA@50mM along with GB on biological yield/m</w:t>
      </w:r>
      <w:r>
        <w:rPr>
          <w:rFonts w:ascii="Times New Roman" w:hAnsi="Times New Roman" w:cs="Times New Roman"/>
          <w:b/>
          <w:sz w:val="24"/>
          <w:szCs w:val="24"/>
          <w:highlight w:val="yellow"/>
          <w:vertAlign w:val="superscript"/>
        </w:rPr>
        <w:t>2</w:t>
      </w:r>
      <w:r>
        <w:rPr>
          <w:rFonts w:ascii="Times New Roman" w:hAnsi="Times New Roman" w:cs="Times New Roman"/>
          <w:b/>
          <w:sz w:val="24"/>
          <w:szCs w:val="24"/>
          <w:highlight w:val="yellow"/>
        </w:rPr>
        <w:t xml:space="preserve"> (g) of wheat genotypes under field drought stress. G = 6.601, T = 5.333, G×T = 9.891. Where, G and T corresponded to genotypes and treatments, G×T were genotype and treatment interaction.</w:t>
      </w:r>
    </w:p>
    <w:p w14:paraId="13371613">
      <w:pPr>
        <w:widowControl w:val="0"/>
        <w:spacing w:before="120" w:after="120" w:line="240" w:lineRule="auto"/>
        <w:jc w:val="both"/>
        <w:rPr>
          <w:rFonts w:ascii="Times New Roman" w:hAnsi="Times New Roman" w:cs="Times New Roman"/>
          <w:b/>
          <w:sz w:val="24"/>
          <w:szCs w:val="24"/>
        </w:rPr>
      </w:pPr>
    </w:p>
    <w:p w14:paraId="43569B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921375" cy="2743200"/>
            <wp:effectExtent l="0" t="0" r="222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A81EA5">
      <w:pPr>
        <w:spacing w:line="360" w:lineRule="auto"/>
        <w:ind w:left="720" w:hanging="720"/>
        <w:jc w:val="both"/>
        <w:rPr>
          <w:rFonts w:ascii="Times New Roman" w:hAnsi="Times New Roman" w:cs="Times New Roman"/>
          <w:sz w:val="24"/>
          <w:szCs w:val="24"/>
        </w:rPr>
      </w:pPr>
    </w:p>
    <w:p w14:paraId="08AC9A74">
      <w:pPr>
        <w:spacing w:line="360" w:lineRule="auto"/>
        <w:ind w:left="720" w:hanging="720"/>
        <w:jc w:val="both"/>
        <w:rPr>
          <w:rFonts w:ascii="Times New Roman" w:hAnsi="Times New Roman" w:cs="Times New Roman"/>
          <w:sz w:val="24"/>
          <w:szCs w:val="24"/>
        </w:rPr>
      </w:pPr>
    </w:p>
    <w:p w14:paraId="60AE0704">
      <w:pPr>
        <w:spacing w:line="360" w:lineRule="auto"/>
        <w:ind w:left="720" w:hanging="720"/>
        <w:jc w:val="both"/>
        <w:rPr>
          <w:rFonts w:ascii="Times New Roman" w:hAnsi="Times New Roman" w:cs="Times New Roman"/>
          <w:sz w:val="24"/>
          <w:szCs w:val="24"/>
        </w:rPr>
      </w:pPr>
    </w:p>
    <w:p w14:paraId="0F500B1C">
      <w:pPr>
        <w:spacing w:line="360" w:lineRule="auto"/>
        <w:ind w:left="720" w:hanging="720"/>
        <w:jc w:val="both"/>
        <w:rPr>
          <w:rFonts w:ascii="Times New Roman" w:hAnsi="Times New Roman" w:cs="Times New Roman"/>
          <w:sz w:val="24"/>
          <w:szCs w:val="24"/>
        </w:rPr>
      </w:pPr>
    </w:p>
    <w:p w14:paraId="0CC6DECF">
      <w:pPr>
        <w:spacing w:line="360" w:lineRule="auto"/>
        <w:ind w:left="720" w:hanging="720"/>
        <w:jc w:val="both"/>
        <w:rPr>
          <w:rFonts w:ascii="Times New Roman" w:hAnsi="Times New Roman" w:cs="Times New Roman"/>
          <w:sz w:val="24"/>
          <w:szCs w:val="24"/>
        </w:rPr>
      </w:pPr>
    </w:p>
    <w:p w14:paraId="445E5010">
      <w:pPr>
        <w:spacing w:line="360" w:lineRule="auto"/>
        <w:ind w:left="720" w:hanging="720"/>
        <w:jc w:val="both"/>
        <w:rPr>
          <w:rFonts w:ascii="Times New Roman" w:hAnsi="Times New Roman" w:cs="Times New Roman"/>
          <w:sz w:val="24"/>
          <w:szCs w:val="24"/>
        </w:rPr>
      </w:pPr>
    </w:p>
    <w:p w14:paraId="71325DBC">
      <w:pPr>
        <w:spacing w:line="360" w:lineRule="auto"/>
        <w:ind w:left="720" w:hanging="720"/>
        <w:jc w:val="both"/>
        <w:rPr>
          <w:rFonts w:ascii="Times New Roman" w:hAnsi="Times New Roman" w:cs="Times New Roman"/>
          <w:sz w:val="24"/>
          <w:szCs w:val="24"/>
        </w:rPr>
      </w:pPr>
    </w:p>
    <w:p w14:paraId="3442F307">
      <w:pPr>
        <w:spacing w:line="360" w:lineRule="auto"/>
        <w:ind w:left="720" w:hanging="720"/>
        <w:jc w:val="both"/>
        <w:rPr>
          <w:rFonts w:ascii="Times New Roman" w:hAnsi="Times New Roman" w:cs="Times New Roman"/>
          <w:sz w:val="24"/>
          <w:szCs w:val="24"/>
        </w:rPr>
      </w:pPr>
    </w:p>
    <w:p w14:paraId="07722598">
      <w:pPr>
        <w:spacing w:line="360" w:lineRule="auto"/>
        <w:ind w:left="720" w:hanging="720"/>
        <w:jc w:val="both"/>
        <w:rPr>
          <w:rFonts w:ascii="Times New Roman" w:hAnsi="Times New Roman" w:cs="Times New Roman"/>
          <w:sz w:val="24"/>
          <w:szCs w:val="24"/>
        </w:rPr>
      </w:pPr>
    </w:p>
    <w:p w14:paraId="4118E7B9">
      <w:pPr>
        <w:spacing w:line="360" w:lineRule="auto"/>
        <w:ind w:left="720" w:hanging="720"/>
        <w:jc w:val="both"/>
        <w:rPr>
          <w:rFonts w:ascii="Times New Roman" w:hAnsi="Times New Roman" w:cs="Times New Roman"/>
          <w:sz w:val="24"/>
          <w:szCs w:val="24"/>
        </w:rPr>
      </w:pPr>
    </w:p>
    <w:p w14:paraId="737E8430">
      <w:pPr>
        <w:spacing w:line="360" w:lineRule="auto"/>
        <w:ind w:left="720" w:hanging="720"/>
        <w:jc w:val="both"/>
        <w:rPr>
          <w:rFonts w:ascii="Times New Roman" w:hAnsi="Times New Roman" w:cs="Times New Roman"/>
          <w:sz w:val="24"/>
          <w:szCs w:val="24"/>
        </w:rPr>
      </w:pPr>
    </w:p>
    <w:p w14:paraId="57A2196D">
      <w:pPr>
        <w:spacing w:line="360" w:lineRule="auto"/>
        <w:ind w:left="720" w:hanging="720"/>
        <w:jc w:val="both"/>
        <w:rPr>
          <w:rFonts w:ascii="Times New Roman" w:hAnsi="Times New Roman" w:cs="Times New Roman"/>
          <w:sz w:val="24"/>
          <w:szCs w:val="24"/>
        </w:rPr>
      </w:pPr>
    </w:p>
    <w:p w14:paraId="00B64B56">
      <w:pPr>
        <w:spacing w:line="360" w:lineRule="auto"/>
        <w:ind w:left="720" w:hanging="720"/>
        <w:jc w:val="both"/>
        <w:rPr>
          <w:rFonts w:ascii="Times New Roman" w:hAnsi="Times New Roman" w:cs="Times New Roman"/>
          <w:sz w:val="24"/>
          <w:szCs w:val="24"/>
        </w:rPr>
      </w:pPr>
      <w:r>
        <w:rPr>
          <w:rStyle w:val="9"/>
          <w:rFonts w:ascii="Times New Roman" w:hAnsi="Times New Roman" w:cs="Times New Roman"/>
          <w:sz w:val="24"/>
          <w:szCs w:val="24"/>
        </w:rPr>
        <w:t>.</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man Tutlani" w:date="2025-09-03T23:26:13Z" w:initials="">
    <w:p w14:paraId="46A83A80">
      <w:pPr>
        <w:pStyle w:val="8"/>
        <w:rPr>
          <w:rFonts w:hint="default"/>
          <w:lang w:val="en-US"/>
        </w:rPr>
      </w:pPr>
      <w:r>
        <w:rPr>
          <w:rFonts w:hint="default"/>
          <w:lang w:val="en-US"/>
        </w:rPr>
        <w:t>Mention place of research and year of study</w:t>
      </w:r>
    </w:p>
  </w:comment>
  <w:comment w:id="1" w:author="Aman Tutlani" w:date="2025-09-03T23:26:45Z" w:initials="">
    <w:p w14:paraId="1B96569F">
      <w:pPr>
        <w:pStyle w:val="8"/>
        <w:rPr>
          <w:rFonts w:hint="default"/>
          <w:lang w:val="en-US"/>
        </w:rPr>
      </w:pPr>
      <w:r>
        <w:rPr>
          <w:rFonts w:hint="default"/>
          <w:lang w:val="en-US"/>
        </w:rPr>
        <w:t>Kindly add the data of better results in each parameters.</w:t>
      </w:r>
    </w:p>
  </w:comment>
  <w:comment w:id="2" w:author="Aman Tutlani" w:date="2025-09-03T23:29:02Z" w:initials="">
    <w:p w14:paraId="5C7AA298">
      <w:pPr>
        <w:pStyle w:val="8"/>
        <w:rPr>
          <w:rFonts w:hint="default"/>
          <w:lang w:val="en-US"/>
        </w:rPr>
      </w:pPr>
      <w:r>
        <w:rPr>
          <w:rFonts w:hint="default"/>
          <w:lang w:val="en-US"/>
        </w:rPr>
        <w:t>Write all in keywords in alphabetic order</w:t>
      </w:r>
    </w:p>
  </w:comment>
  <w:comment w:id="3" w:author="Aman Tutlani" w:date="2025-09-03T22:28:08Z" w:initials="">
    <w:p w14:paraId="110F8FEC">
      <w:pPr>
        <w:pStyle w:val="8"/>
        <w:rPr>
          <w:rFonts w:hint="default"/>
          <w:lang w:val="en-US"/>
        </w:rPr>
      </w:pPr>
      <w:r>
        <w:rPr>
          <w:rFonts w:hint="default"/>
          <w:lang w:val="en-US"/>
        </w:rPr>
        <w:t>Write the reference as (1,2)</w:t>
      </w:r>
    </w:p>
  </w:comment>
  <w:comment w:id="4" w:author="Aman Tutlani" w:date="2025-09-03T22:29:48Z" w:initials="">
    <w:p w14:paraId="772B6A1E">
      <w:pPr>
        <w:pStyle w:val="8"/>
        <w:rPr>
          <w:rFonts w:hint="default"/>
          <w:lang w:val="en-US"/>
        </w:rPr>
      </w:pPr>
      <w:r>
        <w:rPr>
          <w:rFonts w:hint="default"/>
          <w:lang w:val="en-US"/>
        </w:rPr>
        <w:t>Write full abbreviations and in bracket short form</w:t>
      </w:r>
    </w:p>
  </w:comment>
  <w:comment w:id="5" w:author="Aman Tutlani" w:date="2025-09-03T22:40:01Z" w:initials="">
    <w:p w14:paraId="33ADAD7F">
      <w:pPr>
        <w:pStyle w:val="8"/>
        <w:rPr>
          <w:rFonts w:hint="default"/>
          <w:lang w:val="en-US"/>
        </w:rPr>
      </w:pPr>
      <w:r>
        <w:rPr>
          <w:rFonts w:hint="default"/>
          <w:lang w:val="en-US"/>
        </w:rPr>
        <w:t>Add place of location and research lab with the year of research</w:t>
      </w:r>
    </w:p>
  </w:comment>
  <w:comment w:id="6" w:author="Aman Tutlani" w:date="2025-09-03T22:53:36Z" w:initials="">
    <w:p w14:paraId="0128E6F7">
      <w:pPr>
        <w:pStyle w:val="8"/>
        <w:rPr>
          <w:rFonts w:hint="default"/>
          <w:lang w:val="en-US"/>
        </w:rPr>
      </w:pPr>
      <w:r>
        <w:rPr>
          <w:rFonts w:hint="default"/>
          <w:lang w:val="en-US"/>
        </w:rPr>
        <w:t>Kindly mentioned if any software were used like R studio, SPSS, OPSTAT</w:t>
      </w:r>
    </w:p>
  </w:comment>
  <w:comment w:id="7" w:author="Aman Tutlani" w:date="2025-09-03T23:05:16Z" w:initials="">
    <w:p w14:paraId="19902F9A">
      <w:pPr>
        <w:pStyle w:val="8"/>
        <w:rPr>
          <w:rFonts w:hint="default"/>
          <w:lang w:val="en-US"/>
        </w:rPr>
      </w:pPr>
      <w:r>
        <w:rPr>
          <w:rFonts w:hint="default"/>
          <w:lang w:val="en-US"/>
        </w:rPr>
        <w:t>Table is missing: Kindly mentioned the table in which all research parameter of treatment is mentioned</w:t>
      </w:r>
    </w:p>
  </w:comment>
  <w:comment w:id="8" w:author="Aman Tutlani" w:date="2025-09-03T22:55:17Z" w:initials="">
    <w:p w14:paraId="0EEFD4D9">
      <w:pPr>
        <w:pStyle w:val="8"/>
        <w:rPr>
          <w:rFonts w:hint="default"/>
          <w:lang w:val="en-US"/>
        </w:rPr>
      </w:pPr>
      <w:r>
        <w:rPr>
          <w:rFonts w:hint="default"/>
          <w:lang w:val="en-US"/>
        </w:rPr>
        <w:t xml:space="preserve">Write as (Fig 1a and 1b) </w:t>
      </w:r>
    </w:p>
  </w:comment>
  <w:comment w:id="9" w:author="Aman Tutlani" w:date="2025-09-03T23:06:36Z" w:initials="">
    <w:p w14:paraId="7AF1A5F0">
      <w:pPr>
        <w:pStyle w:val="8"/>
      </w:pPr>
      <w:r>
        <w:rPr>
          <w:rFonts w:hint="default"/>
          <w:lang w:val="en-US"/>
        </w:rPr>
        <w:t>Table is missing: Kindly mentioned the table in which all research parameter of treatment is mentioned</w:t>
      </w:r>
    </w:p>
  </w:comment>
  <w:comment w:id="10" w:author="Aman Tutlani" w:date="2025-09-03T23:01:30Z" w:initials="">
    <w:p w14:paraId="24FE4903">
      <w:pPr>
        <w:pStyle w:val="8"/>
        <w:rPr>
          <w:rFonts w:hint="default"/>
          <w:lang w:val="en-US"/>
        </w:rPr>
      </w:pPr>
      <w:r>
        <w:rPr>
          <w:rFonts w:hint="default"/>
          <w:lang w:val="en-US"/>
        </w:rPr>
        <w:t>Write same as above mentioned comments of Fig 1</w:t>
      </w:r>
    </w:p>
  </w:comment>
  <w:comment w:id="11" w:author="Aman Tutlani" w:date="2025-09-03T23:09:44Z" w:initials="">
    <w:p w14:paraId="45078E91">
      <w:pPr>
        <w:pStyle w:val="8"/>
        <w:rPr>
          <w:rFonts w:hint="default"/>
          <w:lang w:val="en-US"/>
        </w:rPr>
      </w:pPr>
      <w:r>
        <w:rPr>
          <w:rFonts w:hint="default"/>
          <w:lang w:val="en-US"/>
        </w:rPr>
        <w:t>Write full abbreviated form</w:t>
      </w:r>
    </w:p>
  </w:comment>
  <w:comment w:id="12" w:author="Aman Tutlani" w:date="2025-09-03T23:13:18Z" w:initials="">
    <w:p w14:paraId="791A8569">
      <w:pPr>
        <w:pStyle w:val="8"/>
        <w:rPr>
          <w:rFonts w:hint="default"/>
          <w:lang w:val="en-US"/>
        </w:rPr>
      </w:pPr>
      <w:r>
        <w:rPr>
          <w:rFonts w:hint="default"/>
          <w:lang w:val="en-US"/>
        </w:rPr>
        <w:t>Write as (10,11)</w:t>
      </w:r>
    </w:p>
  </w:comment>
  <w:comment w:id="13" w:author="Aman Tutlani" w:date="2025-09-03T23:41:07Z" w:initials="">
    <w:p w14:paraId="61F29A69">
      <w:pPr>
        <w:pStyle w:val="8"/>
        <w:rPr>
          <w:rFonts w:hint="default"/>
          <w:lang w:val="en-US"/>
        </w:rPr>
      </w:pPr>
      <w:r>
        <w:rPr>
          <w:rFonts w:hint="default"/>
          <w:lang w:val="en-US"/>
        </w:rPr>
        <w:t xml:space="preserve">All reference should be as per journal guidelines </w:t>
      </w:r>
    </w:p>
  </w:comment>
  <w:comment w:id="14" w:author="Aman Tutlani" w:date="2025-09-03T23:20:43Z" w:initials="">
    <w:p w14:paraId="5FEABDF7">
      <w:pPr>
        <w:pStyle w:val="8"/>
        <w:rPr>
          <w:rFonts w:hint="default"/>
          <w:lang w:val="en-US"/>
        </w:rPr>
      </w:pPr>
      <w:r>
        <w:rPr>
          <w:rFonts w:hint="default"/>
          <w:lang w:val="en-US"/>
        </w:rPr>
        <w:t>Figure title keep below the figure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A83A80" w15:done="0"/>
  <w15:commentEx w15:paraId="1B96569F" w15:done="0"/>
  <w15:commentEx w15:paraId="5C7AA298" w15:done="0"/>
  <w15:commentEx w15:paraId="110F8FEC" w15:done="0"/>
  <w15:commentEx w15:paraId="772B6A1E" w15:done="0"/>
  <w15:commentEx w15:paraId="33ADAD7F" w15:done="0"/>
  <w15:commentEx w15:paraId="0128E6F7" w15:done="0"/>
  <w15:commentEx w15:paraId="19902F9A" w15:done="0"/>
  <w15:commentEx w15:paraId="0EEFD4D9" w15:done="0"/>
  <w15:commentEx w15:paraId="7AF1A5F0" w15:done="0"/>
  <w15:commentEx w15:paraId="24FE4903" w15:done="0"/>
  <w15:commentEx w15:paraId="45078E91" w15:done="0"/>
  <w15:commentEx w15:paraId="791A8569" w15:done="0"/>
  <w15:commentEx w15:paraId="61F29A69" w15:done="0"/>
  <w15:commentEx w15:paraId="5FEABD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344559"/>
      <w:docPartObj>
        <w:docPartGallery w:val="autotext"/>
      </w:docPartObj>
    </w:sdtPr>
    <w:sdtContent>
      <w:p w14:paraId="51C306E9">
        <w:pPr>
          <w:pStyle w:val="10"/>
          <w:jc w:val="center"/>
        </w:pPr>
        <w:r>
          <w:fldChar w:fldCharType="begin"/>
        </w:r>
        <w:r>
          <w:instrText xml:space="preserve"> PAGE   \* MERGEFORMAT </w:instrText>
        </w:r>
        <w:r>
          <w:fldChar w:fldCharType="separate"/>
        </w:r>
        <w:r>
          <w:t>13</w:t>
        </w:r>
        <w:r>
          <w:fldChar w:fldCharType="end"/>
        </w:r>
      </w:p>
    </w:sdtContent>
  </w:sdt>
  <w:p w14:paraId="41ECF81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34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D187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FD6F">
    <w:pPr>
      <w:pStyle w:val="11"/>
    </w:pPr>
    <w:r>
      <w:pict>
        <v:shape id="PowerPlusWaterMarkObject500081736"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9FCB5">
    <w:pPr>
      <w:pStyle w:val="11"/>
    </w:pPr>
    <w:r>
      <w:pict>
        <v:shape id="PowerPlusWaterMarkObject500081735"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6D3C">
    <w:pPr>
      <w:pStyle w:val="11"/>
    </w:pPr>
    <w:r>
      <w:pict>
        <v:shape id="PowerPlusWaterMarkObject500081734"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n Tutlani">
    <w15:presenceInfo w15:providerId="WPS Office" w15:userId="2419237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23"/>
    <w:rsid w:val="0000034B"/>
    <w:rsid w:val="000021BF"/>
    <w:rsid w:val="0000281F"/>
    <w:rsid w:val="00006A39"/>
    <w:rsid w:val="00014EB9"/>
    <w:rsid w:val="00017DB8"/>
    <w:rsid w:val="00021228"/>
    <w:rsid w:val="000260AB"/>
    <w:rsid w:val="00036BED"/>
    <w:rsid w:val="0005650E"/>
    <w:rsid w:val="00082B5F"/>
    <w:rsid w:val="000914D2"/>
    <w:rsid w:val="000968CD"/>
    <w:rsid w:val="000A3BD7"/>
    <w:rsid w:val="000B067B"/>
    <w:rsid w:val="000D0EC9"/>
    <w:rsid w:val="001174C4"/>
    <w:rsid w:val="00141164"/>
    <w:rsid w:val="00147F03"/>
    <w:rsid w:val="001517FA"/>
    <w:rsid w:val="00153F96"/>
    <w:rsid w:val="00184A39"/>
    <w:rsid w:val="00190E9A"/>
    <w:rsid w:val="001B2B38"/>
    <w:rsid w:val="001D6E80"/>
    <w:rsid w:val="001F50E8"/>
    <w:rsid w:val="002108E2"/>
    <w:rsid w:val="00250FC8"/>
    <w:rsid w:val="002564A6"/>
    <w:rsid w:val="002856BB"/>
    <w:rsid w:val="00292452"/>
    <w:rsid w:val="002937BB"/>
    <w:rsid w:val="0029736B"/>
    <w:rsid w:val="002A0DD4"/>
    <w:rsid w:val="002A7A4B"/>
    <w:rsid w:val="002B43FD"/>
    <w:rsid w:val="002E4E8F"/>
    <w:rsid w:val="002F77E5"/>
    <w:rsid w:val="0030596B"/>
    <w:rsid w:val="00310D2F"/>
    <w:rsid w:val="00324045"/>
    <w:rsid w:val="003276E5"/>
    <w:rsid w:val="0033476A"/>
    <w:rsid w:val="00377ACA"/>
    <w:rsid w:val="00381D1D"/>
    <w:rsid w:val="003841B9"/>
    <w:rsid w:val="003B46A9"/>
    <w:rsid w:val="003B6573"/>
    <w:rsid w:val="003C2A3E"/>
    <w:rsid w:val="003C2D2A"/>
    <w:rsid w:val="003C684B"/>
    <w:rsid w:val="003E0150"/>
    <w:rsid w:val="003F2E74"/>
    <w:rsid w:val="003F4919"/>
    <w:rsid w:val="003F7A78"/>
    <w:rsid w:val="00403204"/>
    <w:rsid w:val="004137EB"/>
    <w:rsid w:val="004164B6"/>
    <w:rsid w:val="00416CA3"/>
    <w:rsid w:val="00423B6C"/>
    <w:rsid w:val="00425AA7"/>
    <w:rsid w:val="00435FC3"/>
    <w:rsid w:val="00452F03"/>
    <w:rsid w:val="00474B8E"/>
    <w:rsid w:val="00482C0C"/>
    <w:rsid w:val="00484499"/>
    <w:rsid w:val="00493209"/>
    <w:rsid w:val="00496637"/>
    <w:rsid w:val="004B40ED"/>
    <w:rsid w:val="004B52A4"/>
    <w:rsid w:val="004C042B"/>
    <w:rsid w:val="004C17C2"/>
    <w:rsid w:val="004E086B"/>
    <w:rsid w:val="004E4F3E"/>
    <w:rsid w:val="005122EF"/>
    <w:rsid w:val="00515B07"/>
    <w:rsid w:val="00521C28"/>
    <w:rsid w:val="005316B3"/>
    <w:rsid w:val="00535694"/>
    <w:rsid w:val="00542924"/>
    <w:rsid w:val="00552E7F"/>
    <w:rsid w:val="00557303"/>
    <w:rsid w:val="00560240"/>
    <w:rsid w:val="00565CD4"/>
    <w:rsid w:val="00566796"/>
    <w:rsid w:val="005865DE"/>
    <w:rsid w:val="00595C75"/>
    <w:rsid w:val="005968CC"/>
    <w:rsid w:val="005A0BA9"/>
    <w:rsid w:val="005A6F67"/>
    <w:rsid w:val="005B3678"/>
    <w:rsid w:val="005C7851"/>
    <w:rsid w:val="005D476E"/>
    <w:rsid w:val="005D66E9"/>
    <w:rsid w:val="005E1E46"/>
    <w:rsid w:val="005E661E"/>
    <w:rsid w:val="005E70D3"/>
    <w:rsid w:val="005E795E"/>
    <w:rsid w:val="006240FA"/>
    <w:rsid w:val="00641987"/>
    <w:rsid w:val="00643424"/>
    <w:rsid w:val="0065123F"/>
    <w:rsid w:val="00657E34"/>
    <w:rsid w:val="00661B70"/>
    <w:rsid w:val="00691462"/>
    <w:rsid w:val="006C641A"/>
    <w:rsid w:val="006D231B"/>
    <w:rsid w:val="006D2AAA"/>
    <w:rsid w:val="006E437D"/>
    <w:rsid w:val="006F1E80"/>
    <w:rsid w:val="006F3ECC"/>
    <w:rsid w:val="00712C5A"/>
    <w:rsid w:val="0072401B"/>
    <w:rsid w:val="00730745"/>
    <w:rsid w:val="007328C2"/>
    <w:rsid w:val="00764F79"/>
    <w:rsid w:val="0076665B"/>
    <w:rsid w:val="00767121"/>
    <w:rsid w:val="00772A62"/>
    <w:rsid w:val="00775CAD"/>
    <w:rsid w:val="007764FB"/>
    <w:rsid w:val="007A405A"/>
    <w:rsid w:val="007C16B1"/>
    <w:rsid w:val="007E7C91"/>
    <w:rsid w:val="00816F1D"/>
    <w:rsid w:val="008344D3"/>
    <w:rsid w:val="00842D82"/>
    <w:rsid w:val="00845237"/>
    <w:rsid w:val="00847A1A"/>
    <w:rsid w:val="0087118B"/>
    <w:rsid w:val="00895FDC"/>
    <w:rsid w:val="008B6255"/>
    <w:rsid w:val="008C1709"/>
    <w:rsid w:val="008C3574"/>
    <w:rsid w:val="008D1AB8"/>
    <w:rsid w:val="008E4A13"/>
    <w:rsid w:val="008E7978"/>
    <w:rsid w:val="008F0703"/>
    <w:rsid w:val="008F4E7E"/>
    <w:rsid w:val="009014E1"/>
    <w:rsid w:val="00910EF6"/>
    <w:rsid w:val="009151A0"/>
    <w:rsid w:val="00932ED9"/>
    <w:rsid w:val="00936AF3"/>
    <w:rsid w:val="00942FD9"/>
    <w:rsid w:val="0094337D"/>
    <w:rsid w:val="00961A99"/>
    <w:rsid w:val="00971458"/>
    <w:rsid w:val="00971804"/>
    <w:rsid w:val="00973E0B"/>
    <w:rsid w:val="00987896"/>
    <w:rsid w:val="009905D0"/>
    <w:rsid w:val="0099577D"/>
    <w:rsid w:val="009B4072"/>
    <w:rsid w:val="009C0BD7"/>
    <w:rsid w:val="009C1C40"/>
    <w:rsid w:val="009C791B"/>
    <w:rsid w:val="009D1310"/>
    <w:rsid w:val="009F7061"/>
    <w:rsid w:val="009F746B"/>
    <w:rsid w:val="00A07BA3"/>
    <w:rsid w:val="00A10F11"/>
    <w:rsid w:val="00A24601"/>
    <w:rsid w:val="00A33EAC"/>
    <w:rsid w:val="00A41898"/>
    <w:rsid w:val="00A41D9A"/>
    <w:rsid w:val="00A5325F"/>
    <w:rsid w:val="00A569A0"/>
    <w:rsid w:val="00A6130F"/>
    <w:rsid w:val="00A7523B"/>
    <w:rsid w:val="00A83C13"/>
    <w:rsid w:val="00A8558A"/>
    <w:rsid w:val="00A87AFE"/>
    <w:rsid w:val="00AA3AA3"/>
    <w:rsid w:val="00AB4400"/>
    <w:rsid w:val="00AC687E"/>
    <w:rsid w:val="00AC78C0"/>
    <w:rsid w:val="00AE051A"/>
    <w:rsid w:val="00AF23A9"/>
    <w:rsid w:val="00AF655C"/>
    <w:rsid w:val="00AF6C1D"/>
    <w:rsid w:val="00B14C14"/>
    <w:rsid w:val="00B24723"/>
    <w:rsid w:val="00B256FC"/>
    <w:rsid w:val="00B318D0"/>
    <w:rsid w:val="00B40AFA"/>
    <w:rsid w:val="00B62F02"/>
    <w:rsid w:val="00B75155"/>
    <w:rsid w:val="00BC4CA0"/>
    <w:rsid w:val="00BC57F6"/>
    <w:rsid w:val="00BD29FD"/>
    <w:rsid w:val="00BE0844"/>
    <w:rsid w:val="00C04568"/>
    <w:rsid w:val="00C13C6F"/>
    <w:rsid w:val="00C26125"/>
    <w:rsid w:val="00C4207D"/>
    <w:rsid w:val="00C63B17"/>
    <w:rsid w:val="00C7205A"/>
    <w:rsid w:val="00C861B3"/>
    <w:rsid w:val="00C938AE"/>
    <w:rsid w:val="00CA234E"/>
    <w:rsid w:val="00CA6167"/>
    <w:rsid w:val="00CD62EB"/>
    <w:rsid w:val="00CE2C2B"/>
    <w:rsid w:val="00CE617B"/>
    <w:rsid w:val="00D10023"/>
    <w:rsid w:val="00D4295D"/>
    <w:rsid w:val="00D5775D"/>
    <w:rsid w:val="00D63972"/>
    <w:rsid w:val="00D67404"/>
    <w:rsid w:val="00D75BF4"/>
    <w:rsid w:val="00DA6860"/>
    <w:rsid w:val="00DA7FE0"/>
    <w:rsid w:val="00DC2C52"/>
    <w:rsid w:val="00DC5808"/>
    <w:rsid w:val="00DD47CF"/>
    <w:rsid w:val="00E02128"/>
    <w:rsid w:val="00E02C85"/>
    <w:rsid w:val="00E35F23"/>
    <w:rsid w:val="00E42B2F"/>
    <w:rsid w:val="00E51A88"/>
    <w:rsid w:val="00E54151"/>
    <w:rsid w:val="00E56824"/>
    <w:rsid w:val="00E67B97"/>
    <w:rsid w:val="00E7499F"/>
    <w:rsid w:val="00E965B8"/>
    <w:rsid w:val="00EA5942"/>
    <w:rsid w:val="00EA736F"/>
    <w:rsid w:val="00EA7A2E"/>
    <w:rsid w:val="00EB0927"/>
    <w:rsid w:val="00ED62C8"/>
    <w:rsid w:val="00F037CB"/>
    <w:rsid w:val="00F06486"/>
    <w:rsid w:val="00F10608"/>
    <w:rsid w:val="00F213EB"/>
    <w:rsid w:val="00F2594F"/>
    <w:rsid w:val="00F317E4"/>
    <w:rsid w:val="00F327C3"/>
    <w:rsid w:val="00F3485E"/>
    <w:rsid w:val="00F440DB"/>
    <w:rsid w:val="00F60212"/>
    <w:rsid w:val="00F650D6"/>
    <w:rsid w:val="00F71AFC"/>
    <w:rsid w:val="00F80ACF"/>
    <w:rsid w:val="00F87E07"/>
    <w:rsid w:val="00FA6A12"/>
    <w:rsid w:val="00FB0CAC"/>
    <w:rsid w:val="00FC108A"/>
    <w:rsid w:val="00FC3633"/>
    <w:rsid w:val="00FD6A56"/>
    <w:rsid w:val="00FE2513"/>
    <w:rsid w:val="00FE53B6"/>
    <w:rsid w:val="089A688D"/>
    <w:rsid w:val="241679B1"/>
    <w:rsid w:val="62D8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lang w:val="en-IN"/>
      <w14:textFill>
        <w14:solidFill>
          <w14:schemeClr w14:val="accent1"/>
        </w14:solidFill>
      </w14:textFill>
    </w:rPr>
  </w:style>
  <w:style w:type="paragraph" w:styleId="4">
    <w:name w:val="heading 3"/>
    <w:basedOn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en-IN" w:eastAsia="en-IN"/>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0"/>
    <w:semiHidden/>
    <w:unhideWhenUsed/>
    <w:uiPriority w:val="99"/>
    <w:pPr>
      <w:spacing w:after="0" w:line="240" w:lineRule="auto"/>
    </w:pPr>
    <w:rPr>
      <w:rFonts w:ascii="Tahoma" w:hAnsi="Tahoma" w:cs="Tahoma"/>
      <w:sz w:val="16"/>
      <w:szCs w:val="16"/>
    </w:rPr>
  </w:style>
  <w:style w:type="paragraph" w:styleId="8">
    <w:name w:val="annotation text"/>
    <w:basedOn w:val="1"/>
    <w:semiHidden/>
    <w:unhideWhenUsed/>
    <w:qFormat/>
    <w:uiPriority w:val="99"/>
    <w:pPr>
      <w:jc w:val="left"/>
    </w:pPr>
  </w:style>
  <w:style w:type="character" w:styleId="9">
    <w:name w:val="Emphasis"/>
    <w:basedOn w:val="5"/>
    <w:qFormat/>
    <w:uiPriority w:val="20"/>
    <w:rPr>
      <w:i/>
      <w:iCs/>
    </w:rPr>
  </w:style>
  <w:style w:type="paragraph" w:styleId="10">
    <w:name w:val="footer"/>
    <w:basedOn w:val="1"/>
    <w:link w:val="23"/>
    <w:unhideWhenUsed/>
    <w:qFormat/>
    <w:uiPriority w:val="99"/>
    <w:pPr>
      <w:tabs>
        <w:tab w:val="center" w:pos="4513"/>
        <w:tab w:val="right" w:pos="9026"/>
      </w:tabs>
      <w:spacing w:after="0" w:line="240" w:lineRule="auto"/>
    </w:pPr>
    <w:rPr>
      <w:lang w:val="en-GB"/>
    </w:rPr>
  </w:style>
  <w:style w:type="paragraph" w:styleId="11">
    <w:name w:val="header"/>
    <w:basedOn w:val="1"/>
    <w:link w:val="22"/>
    <w:unhideWhenUsed/>
    <w:qFormat/>
    <w:uiPriority w:val="99"/>
    <w:pPr>
      <w:tabs>
        <w:tab w:val="center" w:pos="4513"/>
        <w:tab w:val="right" w:pos="9026"/>
      </w:tabs>
      <w:spacing w:after="0" w:line="240" w:lineRule="auto"/>
    </w:pPr>
    <w:rPr>
      <w:lang w:val="en-GB"/>
    </w:rPr>
  </w:style>
  <w:style w:type="character" w:styleId="12">
    <w:name w:val="Hyperlink"/>
    <w:basedOn w:val="5"/>
    <w:unhideWhenUsed/>
    <w:qFormat/>
    <w:uiPriority w:val="99"/>
    <w:rPr>
      <w:color w:val="0000FF" w:themeColor="hyperlink"/>
      <w:u w:val="single"/>
      <w14:textFill>
        <w14:solidFill>
          <w14:schemeClr w14:val="hlink"/>
        </w14:solidFill>
      </w14:textFill>
    </w:rPr>
  </w:style>
  <w:style w:type="character" w:styleId="13">
    <w:name w:val="line number"/>
    <w:basedOn w:val="5"/>
    <w:semiHidden/>
    <w:unhideWhenUsed/>
    <w:qFormat/>
    <w:uiPriority w:val="99"/>
  </w:style>
  <w:style w:type="table" w:styleId="14">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link w:val="25"/>
    <w:qFormat/>
    <w:uiPriority w:val="10"/>
    <w:pPr>
      <w:spacing w:after="0" w:line="480" w:lineRule="auto"/>
      <w:ind w:left="720" w:hanging="720"/>
      <w:jc w:val="center"/>
    </w:pPr>
    <w:rPr>
      <w:rFonts w:ascii="Times New Roman" w:hAnsi="Times New Roman" w:eastAsia="Times New Roman" w:cs="Times New Roman"/>
      <w:b/>
      <w:bCs/>
      <w:sz w:val="36"/>
      <w:szCs w:val="24"/>
    </w:rPr>
  </w:style>
  <w:style w:type="character" w:customStyle="1" w:styleId="16">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7">
    <w:name w:val="Heading 2 Char"/>
    <w:basedOn w:val="5"/>
    <w:link w:val="3"/>
    <w:qFormat/>
    <w:uiPriority w:val="9"/>
    <w:rPr>
      <w:rFonts w:asciiTheme="majorHAnsi" w:hAnsiTheme="majorHAnsi" w:eastAsiaTheme="majorEastAsia" w:cstheme="majorBidi"/>
      <w:b/>
      <w:bCs/>
      <w:color w:val="4F81BD" w:themeColor="accent1"/>
      <w:sz w:val="26"/>
      <w:szCs w:val="26"/>
      <w:lang w:val="en-IN"/>
      <w14:textFill>
        <w14:solidFill>
          <w14:schemeClr w14:val="accent1"/>
        </w14:solidFill>
      </w14:textFill>
    </w:rPr>
  </w:style>
  <w:style w:type="character" w:customStyle="1" w:styleId="18">
    <w:name w:val="Heading 3 Char"/>
    <w:basedOn w:val="5"/>
    <w:link w:val="4"/>
    <w:qFormat/>
    <w:uiPriority w:val="9"/>
    <w:rPr>
      <w:rFonts w:ascii="Times New Roman" w:hAnsi="Times New Roman" w:eastAsia="Times New Roman" w:cs="Times New Roman"/>
      <w:b/>
      <w:bCs/>
      <w:sz w:val="27"/>
      <w:szCs w:val="27"/>
      <w:lang w:val="en-IN" w:eastAsia="en-IN"/>
    </w:rPr>
  </w:style>
  <w:style w:type="paragraph" w:styleId="19">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20">
    <w:name w:val="Balloon Text Char"/>
    <w:basedOn w:val="5"/>
    <w:link w:val="7"/>
    <w:semiHidden/>
    <w:qFormat/>
    <w:uiPriority w:val="99"/>
    <w:rPr>
      <w:rFonts w:ascii="Tahoma" w:hAnsi="Tahoma" w:cs="Tahoma"/>
      <w:sz w:val="16"/>
      <w:szCs w:val="16"/>
    </w:rPr>
  </w:style>
  <w:style w:type="table" w:customStyle="1" w:styleId="21">
    <w:name w:val="Table Grid1"/>
    <w:basedOn w:val="6"/>
    <w:qFormat/>
    <w:uiPriority w:val="59"/>
    <w:pPr>
      <w:spacing w:after="0" w:line="240" w:lineRule="auto"/>
    </w:pPr>
    <w:rPr>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Header Char"/>
    <w:basedOn w:val="5"/>
    <w:link w:val="11"/>
    <w:qFormat/>
    <w:uiPriority w:val="99"/>
    <w:rPr>
      <w:lang w:val="en-GB"/>
    </w:rPr>
  </w:style>
  <w:style w:type="character" w:customStyle="1" w:styleId="23">
    <w:name w:val="Footer Char"/>
    <w:basedOn w:val="5"/>
    <w:link w:val="10"/>
    <w:qFormat/>
    <w:uiPriority w:val="99"/>
    <w:rPr>
      <w:lang w:val="en-GB"/>
    </w:rPr>
  </w:style>
  <w:style w:type="paragraph" w:customStyle="1" w:styleId="2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5">
    <w:name w:val="Title Char"/>
    <w:basedOn w:val="5"/>
    <w:link w:val="15"/>
    <w:qFormat/>
    <w:uiPriority w:val="10"/>
    <w:rPr>
      <w:rFonts w:ascii="Times New Roman" w:hAnsi="Times New Roman" w:eastAsia="Times New Roman" w:cs="Times New Roman"/>
      <w:b/>
      <w:bCs/>
      <w:sz w:val="36"/>
      <w:szCs w:val="24"/>
    </w:rPr>
  </w:style>
  <w:style w:type="character" w:customStyle="1" w:styleId="26">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mn-ea"/>
                <a:cs typeface="Times New Roman" panose="02020603050405020304" charset="0"/>
              </a:defRPr>
            </a:pPr>
            <a:r>
              <a:rPr lang="en-US"/>
              <a:t>Vegetative stage</a:t>
            </a:r>
            <a:endParaRPr lang="en-US"/>
          </a:p>
        </c:rich>
      </c:tx>
      <c:layout/>
      <c:overlay val="0"/>
    </c:title>
    <c:autoTitleDeleted val="0"/>
    <c:plotArea>
      <c:layout/>
      <c:lineChart>
        <c:grouping val="standard"/>
        <c:varyColors val="0"/>
        <c:ser>
          <c:idx val="0"/>
          <c:order val="0"/>
          <c:tx>
            <c:strRef>
              <c:f>Sheet1!$B$25</c:f>
              <c:strCache>
                <c:ptCount val="1"/>
                <c:pt idx="0">
                  <c:v>HD2967</c:v>
                </c:pt>
              </c:strCache>
            </c:strRef>
          </c:tx>
          <c:dLbls>
            <c:delete val="1"/>
          </c:dLbls>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Sheet1!$B$26:$B$31</c:f>
              <c:numCache>
                <c:formatCode>General</c:formatCode>
                <c:ptCount val="6"/>
                <c:pt idx="0">
                  <c:v>15.54</c:v>
                </c:pt>
                <c:pt idx="1">
                  <c:v>10.98</c:v>
                </c:pt>
                <c:pt idx="2">
                  <c:v>13.91</c:v>
                </c:pt>
                <c:pt idx="3">
                  <c:v>14.34</c:v>
                </c:pt>
                <c:pt idx="4">
                  <c:v>13.35</c:v>
                </c:pt>
                <c:pt idx="5">
                  <c:v>14.32</c:v>
                </c:pt>
              </c:numCache>
            </c:numRef>
          </c:val>
          <c:smooth val="0"/>
        </c:ser>
        <c:ser>
          <c:idx val="1"/>
          <c:order val="1"/>
          <c:tx>
            <c:strRef>
              <c:f>Sheet1!$C$25</c:f>
              <c:strCache>
                <c:ptCount val="1"/>
                <c:pt idx="0">
                  <c:v>PBW660</c:v>
                </c:pt>
              </c:strCache>
            </c:strRef>
          </c:tx>
          <c:dLbls>
            <c:delete val="1"/>
          </c:dLbls>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Sheet1!$C$26:$C$31</c:f>
              <c:numCache>
                <c:formatCode>General</c:formatCode>
                <c:ptCount val="6"/>
                <c:pt idx="0">
                  <c:v>14.34</c:v>
                </c:pt>
                <c:pt idx="1">
                  <c:v>11.21</c:v>
                </c:pt>
                <c:pt idx="2">
                  <c:v>13.34</c:v>
                </c:pt>
                <c:pt idx="3">
                  <c:v>13.34</c:v>
                </c:pt>
                <c:pt idx="4">
                  <c:v>13.22</c:v>
                </c:pt>
                <c:pt idx="5">
                  <c:v>13.26</c:v>
                </c:pt>
              </c:numCache>
            </c:numRef>
          </c:val>
          <c:smooth val="0"/>
        </c:ser>
        <c:ser>
          <c:idx val="2"/>
          <c:order val="2"/>
          <c:tx>
            <c:strRef>
              <c:f>Sheet1!$D$25</c:f>
              <c:strCache>
                <c:ptCount val="1"/>
                <c:pt idx="0">
                  <c:v>WH1105</c:v>
                </c:pt>
              </c:strCache>
            </c:strRef>
          </c:tx>
          <c:dLbls>
            <c:delete val="1"/>
          </c:dLbls>
          <c:cat>
            <c:strRef>
              <c:f>Sheet1!$A$26:$A$31</c:f>
              <c:strCache>
                <c:ptCount val="6"/>
                <c:pt idx="0">
                  <c:v>T1-Control </c:v>
                </c:pt>
                <c:pt idx="1">
                  <c:v>T2- drought Stress</c:v>
                </c:pt>
                <c:pt idx="2">
                  <c:v>T3-T2+Kn+GB(50mM)</c:v>
                </c:pt>
                <c:pt idx="3">
                  <c:v>T4- T2+Kn+GB(100mM)</c:v>
                </c:pt>
                <c:pt idx="4">
                  <c:v>T5-T2+BA+GB(50mM)</c:v>
                </c:pt>
                <c:pt idx="5">
                  <c:v>T6-T2 +BA+GB(100mM)</c:v>
                </c:pt>
              </c:strCache>
            </c:strRef>
          </c:cat>
          <c:val>
            <c:numRef>
              <c:f>Sheet1!$D$26:$D$31</c:f>
              <c:numCache>
                <c:formatCode>General</c:formatCode>
                <c:ptCount val="6"/>
                <c:pt idx="0">
                  <c:v>12.21</c:v>
                </c:pt>
                <c:pt idx="1">
                  <c:v>8.98</c:v>
                </c:pt>
                <c:pt idx="2">
                  <c:v>12.3</c:v>
                </c:pt>
                <c:pt idx="3">
                  <c:v>12.9</c:v>
                </c:pt>
                <c:pt idx="4">
                  <c:v>12</c:v>
                </c:pt>
                <c:pt idx="5">
                  <c:v>12.65</c:v>
                </c:pt>
              </c:numCache>
            </c:numRef>
          </c:val>
          <c:smooth val="0"/>
        </c:ser>
        <c:dLbls>
          <c:showLegendKey val="0"/>
          <c:showVal val="0"/>
          <c:showCatName val="0"/>
          <c:showSerName val="0"/>
          <c:showPercent val="0"/>
          <c:showBubbleSize val="0"/>
        </c:dLbls>
        <c:marker val="1"/>
        <c:smooth val="0"/>
        <c:axId val="94377088"/>
        <c:axId val="94379008"/>
      </c:lineChart>
      <c:catAx>
        <c:axId val="943770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379008"/>
        <c:crosses val="autoZero"/>
        <c:auto val="1"/>
        <c:lblAlgn val="ctr"/>
        <c:lblOffset val="100"/>
        <c:noMultiLvlLbl val="0"/>
      </c:catAx>
      <c:valAx>
        <c:axId val="9437900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Net photosynthetic rate</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37708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3e91770-d562-4c40-b829-449a144d8985}"/>
      </c:ext>
    </c:extLst>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mn-ea"/>
                <a:cs typeface="Times New Roman" panose="02020603050405020304" charset="0"/>
              </a:defRPr>
            </a:pPr>
            <a:r>
              <a:rPr lang="en-US"/>
              <a:t>Flag leaf stage</a:t>
            </a:r>
            <a:endParaRPr lang="en-US"/>
          </a:p>
        </c:rich>
      </c:tx>
      <c:layout/>
      <c:overlay val="0"/>
    </c:title>
    <c:autoTitleDeleted val="0"/>
    <c:plotArea>
      <c:layout/>
      <c:lineChart>
        <c:grouping val="standard"/>
        <c:varyColors val="0"/>
        <c:ser>
          <c:idx val="0"/>
          <c:order val="0"/>
          <c:tx>
            <c:strRef>
              <c:f>Sheet1!$B$45</c:f>
              <c:strCache>
                <c:ptCount val="1"/>
                <c:pt idx="0">
                  <c:v>HD2967</c:v>
                </c:pt>
              </c:strCache>
            </c:strRef>
          </c:tx>
          <c:dLbls>
            <c:delete val="1"/>
          </c:dLbls>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Sheet1!$B$46:$B$51</c:f>
              <c:numCache>
                <c:formatCode>General</c:formatCode>
                <c:ptCount val="6"/>
                <c:pt idx="0">
                  <c:v>17.34</c:v>
                </c:pt>
                <c:pt idx="1">
                  <c:v>12.21</c:v>
                </c:pt>
                <c:pt idx="2">
                  <c:v>14.24</c:v>
                </c:pt>
                <c:pt idx="3">
                  <c:v>14.95</c:v>
                </c:pt>
                <c:pt idx="4">
                  <c:v>13.88</c:v>
                </c:pt>
                <c:pt idx="5">
                  <c:v>14.08</c:v>
                </c:pt>
              </c:numCache>
            </c:numRef>
          </c:val>
          <c:smooth val="0"/>
        </c:ser>
        <c:ser>
          <c:idx val="1"/>
          <c:order val="1"/>
          <c:tx>
            <c:strRef>
              <c:f>Sheet1!$C$45</c:f>
              <c:strCache>
                <c:ptCount val="1"/>
                <c:pt idx="0">
                  <c:v>PBW660</c:v>
                </c:pt>
              </c:strCache>
            </c:strRef>
          </c:tx>
          <c:dLbls>
            <c:delete val="1"/>
          </c:dLbls>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Sheet1!$C$46:$C$51</c:f>
              <c:numCache>
                <c:formatCode>General</c:formatCode>
                <c:ptCount val="6"/>
                <c:pt idx="0">
                  <c:v>17.34</c:v>
                </c:pt>
                <c:pt idx="1">
                  <c:v>13.01</c:v>
                </c:pt>
                <c:pt idx="2">
                  <c:v>14.65</c:v>
                </c:pt>
                <c:pt idx="3">
                  <c:v>14.89</c:v>
                </c:pt>
                <c:pt idx="4">
                  <c:v>14.45</c:v>
                </c:pt>
                <c:pt idx="5">
                  <c:v>14.89</c:v>
                </c:pt>
              </c:numCache>
            </c:numRef>
          </c:val>
          <c:smooth val="0"/>
        </c:ser>
        <c:ser>
          <c:idx val="2"/>
          <c:order val="2"/>
          <c:tx>
            <c:strRef>
              <c:f>Sheet1!$D$45</c:f>
              <c:strCache>
                <c:ptCount val="1"/>
                <c:pt idx="0">
                  <c:v>WH1105</c:v>
                </c:pt>
              </c:strCache>
            </c:strRef>
          </c:tx>
          <c:dLbls>
            <c:delete val="1"/>
          </c:dLbls>
          <c:cat>
            <c:strRef>
              <c:f>Sheet1!$A$46:$A$51</c:f>
              <c:strCache>
                <c:ptCount val="6"/>
                <c:pt idx="0">
                  <c:v>T1-Control </c:v>
                </c:pt>
                <c:pt idx="1">
                  <c:v>T2- drought Stress</c:v>
                </c:pt>
                <c:pt idx="2">
                  <c:v>T3-T2+Kn+GB(50mM)</c:v>
                </c:pt>
                <c:pt idx="3">
                  <c:v>T4- T2+Kn+GB(100mM)</c:v>
                </c:pt>
                <c:pt idx="4">
                  <c:v>T5-T2+BA+GB(50mM)</c:v>
                </c:pt>
                <c:pt idx="5">
                  <c:v>T6-T2 +BA+GB(100mM)</c:v>
                </c:pt>
              </c:strCache>
            </c:strRef>
          </c:cat>
          <c:val>
            <c:numRef>
              <c:f>Sheet1!$D$46:$D$51</c:f>
              <c:numCache>
                <c:formatCode>General</c:formatCode>
                <c:ptCount val="6"/>
                <c:pt idx="0">
                  <c:v>14.67</c:v>
                </c:pt>
                <c:pt idx="1">
                  <c:v>11.19</c:v>
                </c:pt>
                <c:pt idx="2">
                  <c:v>13.34</c:v>
                </c:pt>
                <c:pt idx="3">
                  <c:v>13.95</c:v>
                </c:pt>
                <c:pt idx="4">
                  <c:v>13.25</c:v>
                </c:pt>
                <c:pt idx="5">
                  <c:v>13.54</c:v>
                </c:pt>
              </c:numCache>
            </c:numRef>
          </c:val>
          <c:smooth val="0"/>
        </c:ser>
        <c:dLbls>
          <c:showLegendKey val="0"/>
          <c:showVal val="0"/>
          <c:showCatName val="0"/>
          <c:showSerName val="0"/>
          <c:showPercent val="0"/>
          <c:showBubbleSize val="0"/>
        </c:dLbls>
        <c:marker val="1"/>
        <c:smooth val="0"/>
        <c:axId val="94640384"/>
        <c:axId val="94646656"/>
      </c:lineChart>
      <c:catAx>
        <c:axId val="946403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646656"/>
        <c:crosses val="autoZero"/>
        <c:auto val="1"/>
        <c:lblAlgn val="ctr"/>
        <c:lblOffset val="100"/>
        <c:noMultiLvlLbl val="0"/>
      </c:catAx>
      <c:valAx>
        <c:axId val="9464665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Net photosynthetic rate</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64038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be92bb7f-d118-4d19-bbe3-87ce1c2a6a39}"/>
      </c:ext>
    </c:extLst>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mn-ea"/>
                <a:cs typeface="Times New Roman" panose="02020603050405020304" charset="0"/>
              </a:defRPr>
            </a:pPr>
            <a:r>
              <a:rPr lang="en-US"/>
              <a:t>Vegetative stage</a:t>
            </a:r>
            <a:endParaRPr lang="en-US"/>
          </a:p>
        </c:rich>
      </c:tx>
      <c:layout/>
      <c:overlay val="0"/>
    </c:title>
    <c:autoTitleDeleted val="0"/>
    <c:plotArea>
      <c:layout/>
      <c:lineChart>
        <c:grouping val="standard"/>
        <c:varyColors val="0"/>
        <c:ser>
          <c:idx val="0"/>
          <c:order val="0"/>
          <c:tx>
            <c:strRef>
              <c:f>Sheet1!$B$103</c:f>
              <c:strCache>
                <c:ptCount val="1"/>
                <c:pt idx="0">
                  <c:v>HD2967</c:v>
                </c:pt>
              </c:strCache>
            </c:strRef>
          </c:tx>
          <c:dLbls>
            <c:delete val="1"/>
          </c:dLbls>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Sheet1!$B$104:$B$109</c:f>
              <c:numCache>
                <c:formatCode>General</c:formatCode>
                <c:ptCount val="6"/>
                <c:pt idx="0">
                  <c:v>333</c:v>
                </c:pt>
                <c:pt idx="1">
                  <c:v>265</c:v>
                </c:pt>
                <c:pt idx="2">
                  <c:v>279</c:v>
                </c:pt>
                <c:pt idx="3">
                  <c:v>320</c:v>
                </c:pt>
                <c:pt idx="4">
                  <c:v>278</c:v>
                </c:pt>
                <c:pt idx="5">
                  <c:v>306</c:v>
                </c:pt>
              </c:numCache>
            </c:numRef>
          </c:val>
          <c:smooth val="0"/>
        </c:ser>
        <c:ser>
          <c:idx val="1"/>
          <c:order val="1"/>
          <c:tx>
            <c:strRef>
              <c:f>Sheet1!$C$103</c:f>
              <c:strCache>
                <c:ptCount val="1"/>
                <c:pt idx="0">
                  <c:v>PBW660</c:v>
                </c:pt>
              </c:strCache>
            </c:strRef>
          </c:tx>
          <c:dLbls>
            <c:delete val="1"/>
          </c:dLbls>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Sheet1!$C$104:$C$109</c:f>
              <c:numCache>
                <c:formatCode>General</c:formatCode>
                <c:ptCount val="6"/>
                <c:pt idx="0">
                  <c:v>300</c:v>
                </c:pt>
                <c:pt idx="1">
                  <c:v>251</c:v>
                </c:pt>
                <c:pt idx="2">
                  <c:v>267</c:v>
                </c:pt>
                <c:pt idx="3">
                  <c:v>310</c:v>
                </c:pt>
                <c:pt idx="4">
                  <c:v>263</c:v>
                </c:pt>
                <c:pt idx="5">
                  <c:v>279</c:v>
                </c:pt>
              </c:numCache>
            </c:numRef>
          </c:val>
          <c:smooth val="0"/>
        </c:ser>
        <c:ser>
          <c:idx val="2"/>
          <c:order val="2"/>
          <c:tx>
            <c:strRef>
              <c:f>Sheet1!$D$103</c:f>
              <c:strCache>
                <c:ptCount val="1"/>
                <c:pt idx="0">
                  <c:v>WH1105</c:v>
                </c:pt>
              </c:strCache>
            </c:strRef>
          </c:tx>
          <c:dLbls>
            <c:delete val="1"/>
          </c:dLbls>
          <c:cat>
            <c:strRef>
              <c:f>Sheet1!$A$104:$A$109</c:f>
              <c:strCache>
                <c:ptCount val="6"/>
                <c:pt idx="0">
                  <c:v>T1-Control </c:v>
                </c:pt>
                <c:pt idx="1">
                  <c:v>T2- drought Stress</c:v>
                </c:pt>
                <c:pt idx="2">
                  <c:v>T3-T2+Kn+GB(50mM)</c:v>
                </c:pt>
                <c:pt idx="3">
                  <c:v>T4- T2+Kn+GB(100mM)</c:v>
                </c:pt>
                <c:pt idx="4">
                  <c:v>T5-T2+BA+GB(50mM)</c:v>
                </c:pt>
                <c:pt idx="5">
                  <c:v>T6-T2 +BA+GB(100mM)</c:v>
                </c:pt>
              </c:strCache>
            </c:strRef>
          </c:cat>
          <c:val>
            <c:numRef>
              <c:f>Sheet1!$D$104:$D$109</c:f>
              <c:numCache>
                <c:formatCode>General</c:formatCode>
                <c:ptCount val="6"/>
                <c:pt idx="0">
                  <c:v>304</c:v>
                </c:pt>
                <c:pt idx="1">
                  <c:v>231</c:v>
                </c:pt>
                <c:pt idx="2">
                  <c:v>265</c:v>
                </c:pt>
                <c:pt idx="3">
                  <c:v>274</c:v>
                </c:pt>
                <c:pt idx="4">
                  <c:v>256</c:v>
                </c:pt>
                <c:pt idx="5">
                  <c:v>258</c:v>
                </c:pt>
              </c:numCache>
            </c:numRef>
          </c:val>
          <c:smooth val="0"/>
        </c:ser>
        <c:dLbls>
          <c:showLegendKey val="0"/>
          <c:showVal val="0"/>
          <c:showCatName val="0"/>
          <c:showSerName val="0"/>
          <c:showPercent val="0"/>
          <c:showBubbleSize val="0"/>
        </c:dLbls>
        <c:marker val="1"/>
        <c:smooth val="0"/>
        <c:axId val="90377600"/>
        <c:axId val="90383872"/>
      </c:lineChart>
      <c:catAx>
        <c:axId val="903776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0383872"/>
        <c:crosses val="autoZero"/>
        <c:auto val="1"/>
        <c:lblAlgn val="ctr"/>
        <c:lblOffset val="100"/>
        <c:noMultiLvlLbl val="0"/>
      </c:catAx>
      <c:valAx>
        <c:axId val="9038387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Intercellular Co2</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0377600"/>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bbd76ef-f3a3-4b08-a9a6-0216950623b4}"/>
      </c:ext>
    </c:extLst>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Times New Roman" panose="02020603050405020304" charset="0"/>
                <a:ea typeface="+mn-ea"/>
                <a:cs typeface="Times New Roman" panose="02020603050405020304" charset="0"/>
              </a:defRPr>
            </a:pPr>
            <a:r>
              <a:rPr lang="en-US"/>
              <a:t>Flag leaf stage</a:t>
            </a:r>
            <a:endParaRPr lang="en-US"/>
          </a:p>
        </c:rich>
      </c:tx>
      <c:layout/>
      <c:overlay val="0"/>
    </c:title>
    <c:autoTitleDeleted val="0"/>
    <c:plotArea>
      <c:layout/>
      <c:lineChart>
        <c:grouping val="standard"/>
        <c:varyColors val="0"/>
        <c:ser>
          <c:idx val="0"/>
          <c:order val="0"/>
          <c:tx>
            <c:strRef>
              <c:f>Sheet1!$B$124</c:f>
              <c:strCache>
                <c:ptCount val="1"/>
                <c:pt idx="0">
                  <c:v>HD2967</c:v>
                </c:pt>
              </c:strCache>
            </c:strRef>
          </c:tx>
          <c:dLbls>
            <c:delete val="1"/>
          </c:dLbls>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Sheet1!$B$125:$B$130</c:f>
              <c:numCache>
                <c:formatCode>General</c:formatCode>
                <c:ptCount val="6"/>
                <c:pt idx="0">
                  <c:v>398</c:v>
                </c:pt>
                <c:pt idx="1">
                  <c:v>278</c:v>
                </c:pt>
                <c:pt idx="2">
                  <c:v>296</c:v>
                </c:pt>
                <c:pt idx="3">
                  <c:v>320</c:v>
                </c:pt>
                <c:pt idx="4">
                  <c:v>292</c:v>
                </c:pt>
                <c:pt idx="5">
                  <c:v>299</c:v>
                </c:pt>
              </c:numCache>
            </c:numRef>
          </c:val>
          <c:smooth val="0"/>
        </c:ser>
        <c:ser>
          <c:idx val="1"/>
          <c:order val="1"/>
          <c:tx>
            <c:strRef>
              <c:f>Sheet1!$C$124</c:f>
              <c:strCache>
                <c:ptCount val="1"/>
                <c:pt idx="0">
                  <c:v>PBW660</c:v>
                </c:pt>
              </c:strCache>
            </c:strRef>
          </c:tx>
          <c:dLbls>
            <c:delete val="1"/>
          </c:dLbls>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Sheet1!$C$125:$C$130</c:f>
              <c:numCache>
                <c:formatCode>General</c:formatCode>
                <c:ptCount val="6"/>
                <c:pt idx="0">
                  <c:v>355</c:v>
                </c:pt>
                <c:pt idx="1">
                  <c:v>260</c:v>
                </c:pt>
                <c:pt idx="2">
                  <c:v>283</c:v>
                </c:pt>
                <c:pt idx="3">
                  <c:v>288</c:v>
                </c:pt>
                <c:pt idx="4">
                  <c:v>272</c:v>
                </c:pt>
                <c:pt idx="5">
                  <c:v>279</c:v>
                </c:pt>
              </c:numCache>
            </c:numRef>
          </c:val>
          <c:smooth val="0"/>
        </c:ser>
        <c:ser>
          <c:idx val="2"/>
          <c:order val="2"/>
          <c:tx>
            <c:strRef>
              <c:f>Sheet1!$D$124</c:f>
              <c:strCache>
                <c:ptCount val="1"/>
                <c:pt idx="0">
                  <c:v>WH1105</c:v>
                </c:pt>
              </c:strCache>
            </c:strRef>
          </c:tx>
          <c:dLbls>
            <c:delete val="1"/>
          </c:dLbls>
          <c:cat>
            <c:strRef>
              <c:f>Sheet1!$A$125:$A$130</c:f>
              <c:strCache>
                <c:ptCount val="6"/>
                <c:pt idx="0">
                  <c:v>T1-Control </c:v>
                </c:pt>
                <c:pt idx="1">
                  <c:v>T2- drought Stress</c:v>
                </c:pt>
                <c:pt idx="2">
                  <c:v>T3-T2+Kn+GB(50mM)</c:v>
                </c:pt>
                <c:pt idx="3">
                  <c:v>T4- T2+Kn+GB(100mM)</c:v>
                </c:pt>
                <c:pt idx="4">
                  <c:v>T5-T2+BA+GB(50mM)</c:v>
                </c:pt>
                <c:pt idx="5">
                  <c:v>T6-T2 +BA+GB(100mM)</c:v>
                </c:pt>
              </c:strCache>
            </c:strRef>
          </c:cat>
          <c:val>
            <c:numRef>
              <c:f>Sheet1!$D$125:$D$130</c:f>
              <c:numCache>
                <c:formatCode>General</c:formatCode>
                <c:ptCount val="6"/>
                <c:pt idx="0">
                  <c:v>321</c:v>
                </c:pt>
                <c:pt idx="1">
                  <c:v>224</c:v>
                </c:pt>
                <c:pt idx="2">
                  <c:v>245</c:v>
                </c:pt>
                <c:pt idx="3">
                  <c:v>247</c:v>
                </c:pt>
                <c:pt idx="4">
                  <c:v>236</c:v>
                </c:pt>
                <c:pt idx="5">
                  <c:v>237</c:v>
                </c:pt>
              </c:numCache>
            </c:numRef>
          </c:val>
          <c:smooth val="0"/>
        </c:ser>
        <c:dLbls>
          <c:showLegendKey val="0"/>
          <c:showVal val="0"/>
          <c:showCatName val="0"/>
          <c:showSerName val="0"/>
          <c:showPercent val="0"/>
          <c:showBubbleSize val="0"/>
        </c:dLbls>
        <c:marker val="1"/>
        <c:smooth val="0"/>
        <c:axId val="94974720"/>
        <c:axId val="94976640"/>
      </c:lineChart>
      <c:catAx>
        <c:axId val="949747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976640"/>
        <c:crosses val="autoZero"/>
        <c:auto val="1"/>
        <c:lblAlgn val="ctr"/>
        <c:lblOffset val="100"/>
        <c:noMultiLvlLbl val="0"/>
      </c:catAx>
      <c:valAx>
        <c:axId val="9497664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Intercellular Co2</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974720"/>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f85e9255-c87a-4db8-9f5a-bdebeb5264a5}"/>
      </c:ext>
    </c:extLst>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HD2967</c:v>
                </c:pt>
              </c:strCache>
            </c:strRef>
          </c:tx>
          <c:dLbls>
            <c:delete val="1"/>
          </c:dLbls>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Sheet1!$B$2:$B$7</c:f>
              <c:numCache>
                <c:formatCode>General</c:formatCode>
                <c:ptCount val="6"/>
                <c:pt idx="0">
                  <c:v>2180</c:v>
                </c:pt>
                <c:pt idx="1">
                  <c:v>1980</c:v>
                </c:pt>
                <c:pt idx="2">
                  <c:v>2050</c:v>
                </c:pt>
                <c:pt idx="3">
                  <c:v>2100</c:v>
                </c:pt>
                <c:pt idx="4">
                  <c:v>2020</c:v>
                </c:pt>
                <c:pt idx="5">
                  <c:v>2035</c:v>
                </c:pt>
              </c:numCache>
            </c:numRef>
          </c:val>
          <c:smooth val="0"/>
        </c:ser>
        <c:ser>
          <c:idx val="1"/>
          <c:order val="1"/>
          <c:tx>
            <c:strRef>
              <c:f>Sheet1!$C$1</c:f>
              <c:strCache>
                <c:ptCount val="1"/>
                <c:pt idx="0">
                  <c:v>PBW660</c:v>
                </c:pt>
              </c:strCache>
            </c:strRef>
          </c:tx>
          <c:dLbls>
            <c:delete val="1"/>
          </c:dLbls>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Sheet1!$C$2:$C$7</c:f>
              <c:numCache>
                <c:formatCode>General</c:formatCode>
                <c:ptCount val="6"/>
                <c:pt idx="0">
                  <c:v>2160</c:v>
                </c:pt>
                <c:pt idx="1">
                  <c:v>1950</c:v>
                </c:pt>
                <c:pt idx="2">
                  <c:v>2048</c:v>
                </c:pt>
                <c:pt idx="3">
                  <c:v>2105</c:v>
                </c:pt>
                <c:pt idx="4">
                  <c:v>2015</c:v>
                </c:pt>
                <c:pt idx="5">
                  <c:v>2030</c:v>
                </c:pt>
              </c:numCache>
            </c:numRef>
          </c:val>
          <c:smooth val="0"/>
        </c:ser>
        <c:ser>
          <c:idx val="2"/>
          <c:order val="2"/>
          <c:tx>
            <c:strRef>
              <c:f>Sheet1!$D$1</c:f>
              <c:strCache>
                <c:ptCount val="1"/>
                <c:pt idx="0">
                  <c:v>WH1105</c:v>
                </c:pt>
              </c:strCache>
            </c:strRef>
          </c:tx>
          <c:dLbls>
            <c:delete val="1"/>
          </c:dLbls>
          <c:cat>
            <c:strRef>
              <c:f>Sheet1!$A$2:$A$7</c:f>
              <c:strCache>
                <c:ptCount val="6"/>
                <c:pt idx="0">
                  <c:v>T1-Control </c:v>
                </c:pt>
                <c:pt idx="1">
                  <c:v>T2- drought Stress</c:v>
                </c:pt>
                <c:pt idx="2">
                  <c:v>T3-T2+Kn+GB(50mM)</c:v>
                </c:pt>
                <c:pt idx="3">
                  <c:v>T4- T2+Kn+GB(100mM)</c:v>
                </c:pt>
                <c:pt idx="4">
                  <c:v>T5-T2+BA+GB(50mM)</c:v>
                </c:pt>
                <c:pt idx="5">
                  <c:v>T6-T2 +BA+GB(100mM)</c:v>
                </c:pt>
              </c:strCache>
            </c:strRef>
          </c:cat>
          <c:val>
            <c:numRef>
              <c:f>Sheet1!$D$2:$D$7</c:f>
              <c:numCache>
                <c:formatCode>General</c:formatCode>
                <c:ptCount val="6"/>
                <c:pt idx="0">
                  <c:v>2150</c:v>
                </c:pt>
                <c:pt idx="1">
                  <c:v>1930</c:v>
                </c:pt>
                <c:pt idx="2">
                  <c:v>2042</c:v>
                </c:pt>
                <c:pt idx="3">
                  <c:v>2100</c:v>
                </c:pt>
                <c:pt idx="4">
                  <c:v>2005</c:v>
                </c:pt>
                <c:pt idx="5">
                  <c:v>2020</c:v>
                </c:pt>
              </c:numCache>
            </c:numRef>
          </c:val>
          <c:smooth val="0"/>
        </c:ser>
        <c:dLbls>
          <c:showLegendKey val="0"/>
          <c:showVal val="0"/>
          <c:showCatName val="0"/>
          <c:showSerName val="0"/>
          <c:showPercent val="0"/>
          <c:showBubbleSize val="0"/>
        </c:dLbls>
        <c:marker val="1"/>
        <c:smooth val="0"/>
        <c:axId val="94918528"/>
        <c:axId val="94924800"/>
      </c:lineChart>
      <c:catAx>
        <c:axId val="9491852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Treatments</a:t>
                </a:r>
                <a:endParaRPr lang="en-US"/>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924800"/>
        <c:crosses val="autoZero"/>
        <c:auto val="1"/>
        <c:lblAlgn val="ctr"/>
        <c:lblOffset val="100"/>
        <c:noMultiLvlLbl val="0"/>
      </c:catAx>
      <c:valAx>
        <c:axId val="9492480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Biological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9491852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cb6d258-2c12-4deb-9770-f681d8935d37}"/>
      </c:ext>
    </c:extLst>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6432C-99A8-46E5-A89C-1281A3C38003}">
  <ds:schemaRefs/>
</ds:datastoreItem>
</file>

<file path=docProps/app.xml><?xml version="1.0" encoding="utf-8"?>
<Properties xmlns="http://schemas.openxmlformats.org/officeDocument/2006/extended-properties" xmlns:vt="http://schemas.openxmlformats.org/officeDocument/2006/docPropsVTypes">
  <Template>Normal</Template>
  <Company>1</Company>
  <Pages>15</Pages>
  <Words>3351</Words>
  <Characters>19103</Characters>
  <Lines>159</Lines>
  <Paragraphs>44</Paragraphs>
  <TotalTime>40</TotalTime>
  <ScaleCrop>false</ScaleCrop>
  <LinksUpToDate>false</LinksUpToDate>
  <CharactersWithSpaces>22410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2025-08-26T05:22:00Z</dcterms:created>
  <dc:creator>A</dc:creator>
  <cp:lastModifiedBy>Aman Tutlani</cp:lastModifiedBy>
  <dcterms:modified xsi:type="dcterms:W3CDTF">2025-09-03T18:11:32Z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3199EC8E0A6942F1B781E7FB0C397566_12</vt:lpwstr>
  </property>
</Properties>
</file>