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BA9E" w14:textId="77777777" w:rsidR="000D6837" w:rsidRPr="000F705A" w:rsidRDefault="000D6837" w:rsidP="000D6837">
      <w:pPr>
        <w:spacing w:line="360" w:lineRule="auto"/>
        <w:ind w:right="26"/>
        <w:jc w:val="center"/>
        <w:rPr>
          <w:rFonts w:ascii="Times New Roman" w:hAnsi="Times New Roman" w:cs="Times New Roman"/>
          <w:b/>
          <w:sz w:val="28"/>
          <w:szCs w:val="28"/>
          <w:lang w:val="en-US"/>
        </w:rPr>
      </w:pPr>
      <w:bookmarkStart w:id="0" w:name="_Hlk176601038"/>
      <w:r w:rsidRPr="000F705A">
        <w:rPr>
          <w:rFonts w:ascii="Times New Roman" w:hAnsi="Times New Roman" w:cs="Times New Roman"/>
          <w:b/>
          <w:sz w:val="28"/>
          <w:szCs w:val="28"/>
          <w:lang w:val="en-US"/>
        </w:rPr>
        <w:t>Effect of Different Phosphorus Level on Growth and Yield of Garden Pea (</w:t>
      </w:r>
      <w:r w:rsidRPr="000F705A">
        <w:rPr>
          <w:rFonts w:ascii="Times New Roman" w:hAnsi="Times New Roman" w:cs="Times New Roman"/>
          <w:b/>
          <w:i/>
          <w:iCs/>
          <w:sz w:val="28"/>
          <w:szCs w:val="28"/>
        </w:rPr>
        <w:t>Pisum sativum</w:t>
      </w:r>
      <w:r w:rsidRPr="000F705A">
        <w:rPr>
          <w:rFonts w:ascii="Times New Roman" w:hAnsi="Times New Roman" w:cs="Times New Roman"/>
          <w:b/>
          <w:sz w:val="28"/>
          <w:szCs w:val="28"/>
        </w:rPr>
        <w:t xml:space="preserve"> L.</w:t>
      </w:r>
      <w:r w:rsidRPr="000F705A">
        <w:rPr>
          <w:rFonts w:ascii="Times New Roman" w:hAnsi="Times New Roman" w:cs="Times New Roman"/>
          <w:b/>
          <w:sz w:val="28"/>
          <w:szCs w:val="28"/>
          <w:lang w:val="en-US"/>
        </w:rPr>
        <w:t>)</w:t>
      </w:r>
    </w:p>
    <w:bookmarkEnd w:id="0"/>
    <w:p w14:paraId="20C1A6F9" w14:textId="77777777" w:rsidR="000C42AF" w:rsidRDefault="000C42AF" w:rsidP="000F705A">
      <w:pPr>
        <w:pBdr>
          <w:bottom w:val="single" w:sz="4" w:space="31" w:color="auto"/>
        </w:pBdr>
        <w:jc w:val="center"/>
        <w:rPr>
          <w:rFonts w:ascii="Times New Roman" w:hAnsi="Times New Roman" w:cs="Times New Roman"/>
          <w:sz w:val="24"/>
          <w:szCs w:val="24"/>
        </w:rPr>
      </w:pPr>
    </w:p>
    <w:p w14:paraId="0B915EE8" w14:textId="77777777" w:rsidR="000D6837" w:rsidRPr="00AC1A94" w:rsidRDefault="000D6837" w:rsidP="000D6837">
      <w:pPr>
        <w:spacing w:after="0"/>
        <w:jc w:val="center"/>
        <w:rPr>
          <w:rFonts w:ascii="Times New Roman" w:hAnsi="Times New Roman" w:cs="Times New Roman"/>
          <w:sz w:val="24"/>
          <w:szCs w:val="24"/>
        </w:rPr>
      </w:pPr>
    </w:p>
    <w:p w14:paraId="62F298CF" w14:textId="77777777" w:rsidR="000D6837" w:rsidRPr="00AC1A94" w:rsidRDefault="000D6837" w:rsidP="000D6837">
      <w:pPr>
        <w:spacing w:after="0" w:line="360" w:lineRule="auto"/>
        <w:jc w:val="center"/>
        <w:rPr>
          <w:rFonts w:ascii="Times New Roman" w:hAnsi="Times New Roman" w:cs="Times New Roman"/>
          <w:b/>
          <w:bCs/>
          <w:sz w:val="24"/>
          <w:szCs w:val="24"/>
          <w:u w:val="single"/>
        </w:rPr>
      </w:pPr>
      <w:r w:rsidRPr="00AC1A94">
        <w:rPr>
          <w:rFonts w:ascii="Times New Roman" w:hAnsi="Times New Roman" w:cs="Times New Roman"/>
          <w:b/>
          <w:bCs/>
          <w:sz w:val="24"/>
          <w:szCs w:val="24"/>
          <w:u w:val="single"/>
        </w:rPr>
        <w:t>ABSTRACT</w:t>
      </w:r>
    </w:p>
    <w:p w14:paraId="0FDD35B0" w14:textId="408FA744" w:rsidR="000D6837" w:rsidRPr="00AC1A94" w:rsidRDefault="000D6837" w:rsidP="000D6837">
      <w:pPr>
        <w:spacing w:line="360" w:lineRule="auto"/>
        <w:ind w:right="26"/>
        <w:jc w:val="both"/>
        <w:rPr>
          <w:rFonts w:ascii="Times New Roman" w:hAnsi="Times New Roman" w:cs="Times New Roman"/>
          <w:sz w:val="24"/>
          <w:szCs w:val="24"/>
          <w:lang w:val="en-US"/>
        </w:rPr>
      </w:pPr>
      <w:r w:rsidRPr="00D10BFC">
        <w:rPr>
          <w:rFonts w:ascii="Times New Roman" w:hAnsi="Times New Roman" w:cs="Times New Roman"/>
          <w:strike/>
          <w:color w:val="FF0000"/>
          <w:sz w:val="24"/>
          <w:szCs w:val="24"/>
          <w:lang w:val="en-US"/>
        </w:rPr>
        <w:t>To explore this,</w:t>
      </w:r>
      <w:r w:rsidRPr="00AC1A94">
        <w:rPr>
          <w:rFonts w:ascii="Times New Roman" w:hAnsi="Times New Roman" w:cs="Times New Roman"/>
          <w:sz w:val="24"/>
          <w:szCs w:val="24"/>
          <w:lang w:val="en-US"/>
        </w:rPr>
        <w:t xml:space="preserve"> </w:t>
      </w:r>
      <w:r w:rsidR="00D10BFC" w:rsidRPr="00D10BFC">
        <w:rPr>
          <w:rFonts w:ascii="Times New Roman" w:hAnsi="Times New Roman" w:cs="Times New Roman"/>
          <w:color w:val="FF0000"/>
          <w:sz w:val="24"/>
          <w:szCs w:val="24"/>
          <w:lang w:val="en-US"/>
        </w:rPr>
        <w:t>A</w:t>
      </w:r>
      <w:r w:rsidRPr="00AC1A94">
        <w:rPr>
          <w:rFonts w:ascii="Times New Roman" w:hAnsi="Times New Roman" w:cs="Times New Roman"/>
          <w:sz w:val="24"/>
          <w:szCs w:val="24"/>
          <w:lang w:val="en-US"/>
        </w:rPr>
        <w:t xml:space="preserve"> study was done to understand the effect of </w:t>
      </w:r>
      <w:r w:rsidR="001965C9">
        <w:rPr>
          <w:rFonts w:ascii="Times New Roman" w:hAnsi="Times New Roman" w:cs="Times New Roman"/>
          <w:sz w:val="24"/>
          <w:szCs w:val="24"/>
          <w:lang w:val="en-US"/>
        </w:rPr>
        <w:t>different levels of phosphorus</w:t>
      </w:r>
      <w:r w:rsidRPr="00AC1A94">
        <w:rPr>
          <w:rFonts w:ascii="Times New Roman" w:hAnsi="Times New Roman" w:cs="Times New Roman"/>
          <w:sz w:val="24"/>
          <w:szCs w:val="24"/>
          <w:lang w:val="en-US"/>
        </w:rPr>
        <w:t xml:space="preserve"> on growth and yield of Garden pea variety Pusa Pragati. The investigation was carried out at Field of Horticulture Department, School of Agriculture Research and Technology, Sardar Patel University, Balaghat, (M.P.) during the </w:t>
      </w:r>
      <w:r w:rsidRPr="001965C9">
        <w:rPr>
          <w:rFonts w:ascii="Times New Roman" w:hAnsi="Times New Roman" w:cs="Times New Roman"/>
          <w:i/>
          <w:iCs/>
          <w:sz w:val="24"/>
          <w:szCs w:val="24"/>
          <w:lang w:val="en-US"/>
        </w:rPr>
        <w:t>Rabi</w:t>
      </w:r>
      <w:r w:rsidRPr="00AC1A94">
        <w:rPr>
          <w:rFonts w:ascii="Times New Roman" w:hAnsi="Times New Roman" w:cs="Times New Roman"/>
          <w:sz w:val="24"/>
          <w:szCs w:val="24"/>
          <w:lang w:val="en-US"/>
        </w:rPr>
        <w:t xml:space="preserve"> season of 2023-24. The aim was to investigate </w:t>
      </w:r>
      <w:commentRangeStart w:id="1"/>
      <w:r w:rsidRPr="00D10BFC">
        <w:rPr>
          <w:rFonts w:ascii="Times New Roman" w:hAnsi="Times New Roman" w:cs="Times New Roman"/>
          <w:strike/>
          <w:color w:val="FF0000"/>
          <w:sz w:val="24"/>
          <w:szCs w:val="24"/>
          <w:lang w:val="en-US"/>
        </w:rPr>
        <w:t>how different phosphorus levels affect</w:t>
      </w:r>
      <w:r w:rsidRPr="00AC1A94">
        <w:rPr>
          <w:rFonts w:ascii="Times New Roman" w:hAnsi="Times New Roman" w:cs="Times New Roman"/>
          <w:sz w:val="24"/>
          <w:szCs w:val="24"/>
          <w:lang w:val="en-US"/>
        </w:rPr>
        <w:t xml:space="preserve"> </w:t>
      </w:r>
      <w:commentRangeEnd w:id="1"/>
      <w:r w:rsidR="00D10BFC">
        <w:rPr>
          <w:rStyle w:val="CommentReference"/>
        </w:rPr>
        <w:commentReference w:id="1"/>
      </w:r>
      <w:r w:rsidRPr="00AC1A94">
        <w:rPr>
          <w:rFonts w:ascii="Times New Roman" w:hAnsi="Times New Roman" w:cs="Times New Roman"/>
          <w:sz w:val="24"/>
          <w:szCs w:val="24"/>
          <w:lang w:val="en-US"/>
        </w:rPr>
        <w:t>the growth, development, yield attributes, seed qua</w:t>
      </w:r>
      <w:r w:rsidR="00C4234B">
        <w:rPr>
          <w:rFonts w:ascii="Times New Roman" w:hAnsi="Times New Roman" w:cs="Times New Roman"/>
          <w:sz w:val="24"/>
          <w:szCs w:val="24"/>
          <w:lang w:val="en-US"/>
        </w:rPr>
        <w:t xml:space="preserve">lity, plant and soil chemistry </w:t>
      </w:r>
      <w:r w:rsidRPr="00AC1A94">
        <w:rPr>
          <w:rFonts w:ascii="Times New Roman" w:hAnsi="Times New Roman" w:cs="Times New Roman"/>
          <w:sz w:val="24"/>
          <w:szCs w:val="24"/>
          <w:lang w:val="en-US"/>
        </w:rPr>
        <w:t xml:space="preserve">of garden </w:t>
      </w:r>
      <w:r w:rsidR="004149D5" w:rsidRPr="00AC1A94">
        <w:rPr>
          <w:rFonts w:ascii="Times New Roman" w:hAnsi="Times New Roman" w:cs="Times New Roman"/>
          <w:sz w:val="24"/>
          <w:szCs w:val="24"/>
          <w:lang w:val="en-US"/>
        </w:rPr>
        <w:t>peas. The</w:t>
      </w:r>
      <w:r w:rsidRPr="00AC1A94">
        <w:rPr>
          <w:rFonts w:ascii="Times New Roman" w:hAnsi="Times New Roman" w:cs="Times New Roman"/>
          <w:sz w:val="24"/>
          <w:szCs w:val="24"/>
          <w:lang w:val="en-US"/>
        </w:rPr>
        <w:t xml:space="preserve"> study included seven treatments out of which T</w:t>
      </w:r>
      <w:r w:rsidRPr="00AC1A94">
        <w:rPr>
          <w:rFonts w:ascii="Times New Roman" w:hAnsi="Times New Roman" w:cs="Times New Roman"/>
          <w:sz w:val="24"/>
          <w:szCs w:val="24"/>
          <w:vertAlign w:val="subscript"/>
          <w:lang w:val="en-US"/>
        </w:rPr>
        <w:t>1</w:t>
      </w:r>
      <w:r w:rsidRPr="00AC1A94">
        <w:rPr>
          <w:rFonts w:ascii="Times New Roman" w:hAnsi="Times New Roman" w:cs="Times New Roman"/>
          <w:sz w:val="24"/>
          <w:szCs w:val="24"/>
          <w:lang w:val="en-US"/>
        </w:rPr>
        <w:t xml:space="preserve"> (CONTRO</w:t>
      </w:r>
      <w:r w:rsidR="00C4234B">
        <w:rPr>
          <w:rFonts w:ascii="Times New Roman" w:hAnsi="Times New Roman" w:cs="Times New Roman"/>
          <w:sz w:val="24"/>
          <w:szCs w:val="24"/>
          <w:lang w:val="en-US"/>
        </w:rPr>
        <w:t>L</w:t>
      </w:r>
      <w:r w:rsidRPr="00AC1A94">
        <w:rPr>
          <w:rFonts w:ascii="Times New Roman" w:hAnsi="Times New Roman" w:cs="Times New Roman"/>
          <w:sz w:val="24"/>
          <w:szCs w:val="24"/>
          <w:lang w:val="en-US"/>
        </w:rPr>
        <w:t>) with no fertilizer and six different phosphorus levels (T</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 100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3</w:t>
      </w:r>
      <w:r w:rsidRPr="00AC1A94">
        <w:rPr>
          <w:rFonts w:ascii="Times New Roman" w:hAnsi="Times New Roman" w:cs="Times New Roman"/>
          <w:sz w:val="24"/>
          <w:szCs w:val="24"/>
          <w:lang w:val="en-US"/>
        </w:rPr>
        <w:t>: 90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4</w:t>
      </w:r>
      <w:r w:rsidRPr="00AC1A94">
        <w:rPr>
          <w:rFonts w:ascii="Times New Roman" w:hAnsi="Times New Roman" w:cs="Times New Roman"/>
          <w:sz w:val="24"/>
          <w:szCs w:val="24"/>
          <w:lang w:val="en-US"/>
        </w:rPr>
        <w:t>: 80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 70kg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6</w:t>
      </w:r>
      <w:r w:rsidRPr="00AC1A94">
        <w:rPr>
          <w:rFonts w:ascii="Times New Roman" w:hAnsi="Times New Roman" w:cs="Times New Roman"/>
          <w:sz w:val="24"/>
          <w:szCs w:val="24"/>
          <w:lang w:val="en-US"/>
        </w:rPr>
        <w:t>: 60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7</w:t>
      </w:r>
      <w:r w:rsidRPr="00AC1A94">
        <w:rPr>
          <w:rFonts w:ascii="Times New Roman" w:hAnsi="Times New Roman" w:cs="Times New Roman"/>
          <w:sz w:val="24"/>
          <w:szCs w:val="24"/>
          <w:lang w:val="en-US"/>
        </w:rPr>
        <w:t>: 50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 xml:space="preserve">/ha). The field trials were set up in a </w:t>
      </w:r>
      <w:r w:rsidR="00011F2A">
        <w:rPr>
          <w:rFonts w:ascii="Times New Roman" w:hAnsi="Times New Roman" w:cs="Times New Roman"/>
          <w:sz w:val="24"/>
          <w:szCs w:val="24"/>
          <w:lang w:val="en-US"/>
        </w:rPr>
        <w:t>RBD</w:t>
      </w:r>
      <w:r w:rsidRPr="00AC1A94">
        <w:rPr>
          <w:rFonts w:ascii="Times New Roman" w:hAnsi="Times New Roman" w:cs="Times New Roman"/>
          <w:sz w:val="24"/>
          <w:szCs w:val="24"/>
          <w:lang w:val="en-US"/>
        </w:rPr>
        <w:t xml:space="preserve"> design with three replications. The results indicated that phosphorus application significantly influences growth and yield traits, with the highest levels (100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 xml:space="preserve">/ha) promoting early flowering, seed maturity, increased </w:t>
      </w:r>
      <w:commentRangeStart w:id="2"/>
      <w:r w:rsidRPr="00AC1A94">
        <w:rPr>
          <w:rFonts w:ascii="Times New Roman" w:hAnsi="Times New Roman" w:cs="Times New Roman"/>
          <w:sz w:val="24"/>
          <w:szCs w:val="24"/>
          <w:lang w:val="en-US"/>
        </w:rPr>
        <w:t>LAI</w:t>
      </w:r>
      <w:commentRangeEnd w:id="2"/>
      <w:r w:rsidR="00D10BFC">
        <w:rPr>
          <w:rStyle w:val="CommentReference"/>
        </w:rPr>
        <w:commentReference w:id="2"/>
      </w:r>
      <w:r w:rsidRPr="00AC1A94">
        <w:rPr>
          <w:rFonts w:ascii="Times New Roman" w:hAnsi="Times New Roman" w:cs="Times New Roman"/>
          <w:sz w:val="24"/>
          <w:szCs w:val="24"/>
          <w:lang w:val="en-US"/>
        </w:rPr>
        <w:t>, plant height and improved seed yield. However, medium phosphorus levels (80kg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 xml:space="preserve">/ha) yielded comparable results. </w:t>
      </w:r>
    </w:p>
    <w:p w14:paraId="34615769" w14:textId="77777777" w:rsidR="000D6837" w:rsidRPr="00AC1A94" w:rsidRDefault="000D6837" w:rsidP="000D6837">
      <w:pPr>
        <w:tabs>
          <w:tab w:val="left" w:pos="7001"/>
        </w:tabs>
        <w:spacing w:line="360" w:lineRule="auto"/>
        <w:rPr>
          <w:rFonts w:ascii="Times New Roman" w:hAnsi="Times New Roman" w:cs="Times New Roman"/>
          <w:b/>
          <w:sz w:val="24"/>
          <w:szCs w:val="24"/>
        </w:rPr>
      </w:pPr>
      <w:r w:rsidRPr="00AC1A94">
        <w:rPr>
          <w:rFonts w:ascii="Times New Roman" w:hAnsi="Times New Roman" w:cs="Times New Roman"/>
          <w:b/>
          <w:sz w:val="24"/>
          <w:szCs w:val="24"/>
        </w:rPr>
        <w:t xml:space="preserve">Keyword: - </w:t>
      </w:r>
      <w:commentRangeStart w:id="3"/>
      <w:r w:rsidR="00A51E8B" w:rsidRPr="00D10BFC">
        <w:rPr>
          <w:rFonts w:ascii="Times New Roman" w:hAnsi="Times New Roman" w:cs="Times New Roman"/>
          <w:strike/>
          <w:color w:val="FF0000"/>
          <w:sz w:val="24"/>
          <w:szCs w:val="24"/>
        </w:rPr>
        <w:t>Urea</w:t>
      </w:r>
      <w:commentRangeEnd w:id="3"/>
      <w:r w:rsidR="00D10BFC">
        <w:rPr>
          <w:rStyle w:val="CommentReference"/>
        </w:rPr>
        <w:commentReference w:id="3"/>
      </w:r>
      <w:r w:rsidR="00A51E8B">
        <w:rPr>
          <w:rFonts w:ascii="Times New Roman" w:hAnsi="Times New Roman" w:cs="Times New Roman"/>
          <w:sz w:val="24"/>
          <w:szCs w:val="24"/>
        </w:rPr>
        <w:t>, NPK, Benefit cost ratio</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Garden pea</w:t>
      </w:r>
      <w:r w:rsidR="00A51E8B">
        <w:rPr>
          <w:rFonts w:ascii="Times New Roman" w:hAnsi="Times New Roman" w:cs="Times New Roman"/>
          <w:sz w:val="24"/>
          <w:szCs w:val="24"/>
        </w:rPr>
        <w:t xml:space="preserve">, yield. </w:t>
      </w:r>
    </w:p>
    <w:p w14:paraId="15633302" w14:textId="77777777" w:rsidR="000D6837" w:rsidRDefault="000D6837" w:rsidP="000D6837">
      <w:pPr>
        <w:spacing w:after="0" w:line="360" w:lineRule="auto"/>
        <w:rPr>
          <w:rFonts w:ascii="Times New Roman" w:hAnsi="Times New Roman" w:cs="Times New Roman"/>
          <w:b/>
          <w:bCs/>
          <w:sz w:val="24"/>
          <w:szCs w:val="24"/>
          <w:u w:val="single"/>
        </w:rPr>
      </w:pPr>
    </w:p>
    <w:p w14:paraId="19A8A1BB" w14:textId="77777777" w:rsidR="003743DD" w:rsidRDefault="003743DD" w:rsidP="000D6837">
      <w:pPr>
        <w:spacing w:after="0" w:line="360" w:lineRule="auto"/>
        <w:rPr>
          <w:rFonts w:ascii="Times New Roman" w:hAnsi="Times New Roman" w:cs="Times New Roman"/>
          <w:b/>
          <w:bCs/>
          <w:sz w:val="24"/>
          <w:szCs w:val="24"/>
          <w:u w:val="single"/>
        </w:rPr>
      </w:pPr>
    </w:p>
    <w:p w14:paraId="755139C7" w14:textId="77777777" w:rsidR="003743DD" w:rsidRPr="00AC1A94" w:rsidRDefault="003743DD" w:rsidP="000D6837">
      <w:pPr>
        <w:spacing w:after="0" w:line="360" w:lineRule="auto"/>
        <w:rPr>
          <w:rFonts w:ascii="Times New Roman" w:hAnsi="Times New Roman" w:cs="Times New Roman"/>
          <w:b/>
          <w:bCs/>
          <w:sz w:val="24"/>
          <w:szCs w:val="24"/>
          <w:u w:val="single"/>
        </w:rPr>
      </w:pPr>
    </w:p>
    <w:p w14:paraId="482285FF" w14:textId="77777777" w:rsidR="000D6837" w:rsidRPr="00AC1A94" w:rsidRDefault="000D6837" w:rsidP="000D6837">
      <w:pPr>
        <w:spacing w:after="0" w:line="360" w:lineRule="auto"/>
        <w:rPr>
          <w:rFonts w:ascii="Times New Roman" w:hAnsi="Times New Roman" w:cs="Times New Roman"/>
          <w:b/>
          <w:bCs/>
          <w:sz w:val="28"/>
          <w:szCs w:val="28"/>
        </w:rPr>
      </w:pPr>
      <w:r w:rsidRPr="00AC1A94">
        <w:rPr>
          <w:rFonts w:ascii="Times New Roman" w:hAnsi="Times New Roman" w:cs="Times New Roman"/>
          <w:b/>
          <w:bCs/>
          <w:sz w:val="28"/>
          <w:szCs w:val="28"/>
        </w:rPr>
        <w:t xml:space="preserve">Introduction </w:t>
      </w:r>
    </w:p>
    <w:p w14:paraId="6F7B6778" w14:textId="77777777" w:rsidR="000D6837" w:rsidRPr="00AC1A94" w:rsidRDefault="000D6837" w:rsidP="000D6837">
      <w:pPr>
        <w:spacing w:line="360" w:lineRule="auto"/>
        <w:ind w:right="26" w:firstLine="720"/>
        <w:jc w:val="both"/>
        <w:rPr>
          <w:rFonts w:ascii="Times New Roman" w:hAnsi="Times New Roman" w:cs="Times New Roman"/>
          <w:sz w:val="24"/>
          <w:szCs w:val="24"/>
        </w:rPr>
      </w:pPr>
      <w:r w:rsidRPr="00AC1A94">
        <w:rPr>
          <w:rFonts w:ascii="Times New Roman" w:hAnsi="Times New Roman" w:cs="Times New Roman"/>
          <w:sz w:val="24"/>
          <w:szCs w:val="24"/>
        </w:rPr>
        <w:t>The Garden pea (</w:t>
      </w:r>
      <w:r w:rsidRPr="00AC1A94">
        <w:rPr>
          <w:rFonts w:ascii="Times New Roman" w:hAnsi="Times New Roman" w:cs="Times New Roman"/>
          <w:i/>
          <w:iCs/>
          <w:sz w:val="24"/>
          <w:szCs w:val="24"/>
        </w:rPr>
        <w:t>Pisum sativum</w:t>
      </w:r>
      <w:r w:rsidRPr="00AC1A94">
        <w:rPr>
          <w:rFonts w:ascii="Times New Roman" w:hAnsi="Times New Roman" w:cs="Times New Roman"/>
          <w:sz w:val="24"/>
          <w:szCs w:val="24"/>
        </w:rPr>
        <w:t xml:space="preserve"> L.) belonging to </w:t>
      </w:r>
      <w:r w:rsidR="00DC1799">
        <w:rPr>
          <w:rFonts w:ascii="Times New Roman" w:hAnsi="Times New Roman" w:cs="Times New Roman"/>
          <w:sz w:val="24"/>
          <w:szCs w:val="24"/>
        </w:rPr>
        <w:t>Fabaceae</w:t>
      </w:r>
      <w:r w:rsidRPr="00AC1A94">
        <w:rPr>
          <w:rFonts w:ascii="Times New Roman" w:hAnsi="Times New Roman" w:cs="Times New Roman"/>
          <w:sz w:val="24"/>
          <w:szCs w:val="24"/>
        </w:rPr>
        <w:t xml:space="preserve"> family is a diploid vegetable crop (2n = 2x = 14). It consists of seven chromosomes and seven linkage groups. Due to erratic chromosomal numbering in the pea, the roman and Arabic numerals 1 = VI, 2 = I, 3 = V, 4 = IV, 5 = III, 6 = II, and 7 = VII are used to refer to the chromosome numbers and linkage group numbers, respectively (Smykal </w:t>
      </w:r>
      <w:r w:rsidR="00A32DCF" w:rsidRPr="00A32DCF">
        <w:rPr>
          <w:rFonts w:ascii="Times New Roman" w:hAnsi="Times New Roman" w:cs="Times New Roman"/>
          <w:i/>
          <w:iCs/>
          <w:sz w:val="24"/>
          <w:szCs w:val="24"/>
        </w:rPr>
        <w:t>et al</w:t>
      </w:r>
      <w:r w:rsidRPr="00AC1A94">
        <w:rPr>
          <w:rFonts w:ascii="Times New Roman" w:hAnsi="Times New Roman" w:cs="Times New Roman"/>
          <w:sz w:val="24"/>
          <w:szCs w:val="24"/>
        </w:rPr>
        <w:t xml:space="preserve"> 2012). It involves both cultivated </w:t>
      </w:r>
      <w:r w:rsidRPr="00AC1A94">
        <w:rPr>
          <w:rFonts w:ascii="Times New Roman" w:hAnsi="Times New Roman" w:cs="Times New Roman"/>
          <w:i/>
          <w:sz w:val="24"/>
          <w:szCs w:val="24"/>
        </w:rPr>
        <w:t xml:space="preserve">(P. </w:t>
      </w:r>
      <w:proofErr w:type="spellStart"/>
      <w:r w:rsidRPr="00AC1A94">
        <w:rPr>
          <w:rFonts w:ascii="Times New Roman" w:hAnsi="Times New Roman" w:cs="Times New Roman"/>
          <w:i/>
          <w:sz w:val="24"/>
          <w:szCs w:val="24"/>
        </w:rPr>
        <w:t>abyssinicum</w:t>
      </w:r>
      <w:proofErr w:type="spellEnd"/>
      <w:r w:rsidRPr="00AC1A94">
        <w:rPr>
          <w:rFonts w:ascii="Times New Roman" w:hAnsi="Times New Roman" w:cs="Times New Roman"/>
          <w:sz w:val="24"/>
          <w:szCs w:val="24"/>
        </w:rPr>
        <w:t>) and wild species (</w:t>
      </w:r>
      <w:r w:rsidRPr="00AC1A94">
        <w:rPr>
          <w:rFonts w:ascii="Times New Roman" w:hAnsi="Times New Roman" w:cs="Times New Roman"/>
          <w:i/>
          <w:sz w:val="24"/>
          <w:szCs w:val="24"/>
        </w:rPr>
        <w:t xml:space="preserve">P. </w:t>
      </w:r>
      <w:proofErr w:type="spellStart"/>
      <w:r w:rsidRPr="00AC1A94">
        <w:rPr>
          <w:rFonts w:ascii="Times New Roman" w:hAnsi="Times New Roman" w:cs="Times New Roman"/>
          <w:i/>
          <w:sz w:val="24"/>
          <w:szCs w:val="24"/>
        </w:rPr>
        <w:t>elatius</w:t>
      </w:r>
      <w:proofErr w:type="spellEnd"/>
      <w:r w:rsidRPr="00AC1A94">
        <w:rPr>
          <w:rFonts w:ascii="Times New Roman" w:hAnsi="Times New Roman" w:cs="Times New Roman"/>
          <w:sz w:val="24"/>
          <w:szCs w:val="24"/>
        </w:rPr>
        <w:t xml:space="preserve"> and </w:t>
      </w:r>
      <w:r w:rsidRPr="00AC1A94">
        <w:rPr>
          <w:rFonts w:ascii="Times New Roman" w:hAnsi="Times New Roman" w:cs="Times New Roman"/>
          <w:i/>
          <w:sz w:val="24"/>
          <w:szCs w:val="24"/>
        </w:rPr>
        <w:t xml:space="preserve">P. </w:t>
      </w:r>
      <w:proofErr w:type="spellStart"/>
      <w:r w:rsidRPr="00AC1A94">
        <w:rPr>
          <w:rFonts w:ascii="Times New Roman" w:hAnsi="Times New Roman" w:cs="Times New Roman"/>
          <w:i/>
          <w:sz w:val="24"/>
          <w:szCs w:val="24"/>
        </w:rPr>
        <w:t>fulvum</w:t>
      </w:r>
      <w:proofErr w:type="spellEnd"/>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w:t>
      </w:r>
      <w:commentRangeStart w:id="4"/>
      <w:r w:rsidRPr="00AC1A94">
        <w:rPr>
          <w:rFonts w:ascii="Times New Roman" w:hAnsi="Times New Roman" w:cs="Times New Roman"/>
          <w:b/>
          <w:sz w:val="24"/>
          <w:szCs w:val="24"/>
        </w:rPr>
        <w:t xml:space="preserve">Ellis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2011</w:t>
      </w:r>
      <w:commentRangeEnd w:id="4"/>
      <w:r w:rsidR="00377EE9">
        <w:rPr>
          <w:rStyle w:val="CommentReference"/>
        </w:rPr>
        <w:commentReference w:id="4"/>
      </w:r>
      <w:r w:rsidRPr="00AC1A94">
        <w:rPr>
          <w:rFonts w:ascii="Times New Roman" w:hAnsi="Times New Roman" w:cs="Times New Roman"/>
          <w:b/>
          <w:sz w:val="24"/>
          <w:szCs w:val="24"/>
        </w:rPr>
        <w:t>).</w:t>
      </w:r>
      <w:r w:rsidRPr="00AC1A94">
        <w:rPr>
          <w:rFonts w:ascii="Times New Roman" w:hAnsi="Times New Roman" w:cs="Times New Roman"/>
          <w:sz w:val="24"/>
          <w:szCs w:val="24"/>
        </w:rPr>
        <w:t xml:space="preserve"> Ethiopia and Near </w:t>
      </w:r>
      <w:r w:rsidRPr="00AC1A94">
        <w:rPr>
          <w:rFonts w:ascii="Times New Roman" w:hAnsi="Times New Roman" w:cs="Times New Roman"/>
          <w:sz w:val="24"/>
          <w:szCs w:val="24"/>
        </w:rPr>
        <w:lastRenderedPageBreak/>
        <w:t xml:space="preserve">East are its secondary origin centres, with the Mediterranean region serving as its primary centre of origin </w:t>
      </w:r>
      <w:r w:rsidRPr="00AC1A94">
        <w:rPr>
          <w:rFonts w:ascii="Times New Roman" w:hAnsi="Times New Roman" w:cs="Times New Roman"/>
          <w:b/>
          <w:sz w:val="24"/>
          <w:szCs w:val="24"/>
        </w:rPr>
        <w:t>(</w:t>
      </w:r>
      <w:commentRangeStart w:id="5"/>
      <w:proofErr w:type="spellStart"/>
      <w:r w:rsidRPr="00AC1A94">
        <w:rPr>
          <w:rFonts w:ascii="Times New Roman" w:hAnsi="Times New Roman" w:cs="Times New Roman"/>
          <w:b/>
          <w:sz w:val="24"/>
          <w:szCs w:val="24"/>
        </w:rPr>
        <w:t>Blixit</w:t>
      </w:r>
      <w:proofErr w:type="spellEnd"/>
      <w:r w:rsidRPr="00AC1A94">
        <w:rPr>
          <w:rFonts w:ascii="Times New Roman" w:hAnsi="Times New Roman" w:cs="Times New Roman"/>
          <w:b/>
          <w:sz w:val="24"/>
          <w:szCs w:val="24"/>
        </w:rPr>
        <w:t xml:space="preserve"> </w:t>
      </w:r>
      <w:commentRangeEnd w:id="5"/>
      <w:r w:rsidR="00377EE9">
        <w:rPr>
          <w:rStyle w:val="CommentReference"/>
        </w:rPr>
        <w:commentReference w:id="5"/>
      </w:r>
      <w:r w:rsidRPr="00AC1A94">
        <w:rPr>
          <w:rFonts w:ascii="Times New Roman" w:hAnsi="Times New Roman" w:cs="Times New Roman"/>
          <w:b/>
          <w:sz w:val="24"/>
          <w:szCs w:val="24"/>
        </w:rPr>
        <w:t xml:space="preserve">1970). </w:t>
      </w:r>
    </w:p>
    <w:p w14:paraId="6C3D4CA5" w14:textId="251565F0" w:rsidR="000D6837" w:rsidRDefault="000D6837" w:rsidP="000D6837">
      <w:pPr>
        <w:spacing w:line="360" w:lineRule="auto"/>
        <w:ind w:right="26" w:firstLine="720"/>
        <w:jc w:val="both"/>
        <w:rPr>
          <w:rFonts w:ascii="Times New Roman" w:hAnsi="Times New Roman" w:cs="Times New Roman"/>
        </w:rPr>
      </w:pPr>
      <w:r w:rsidRPr="00AC1A94">
        <w:rPr>
          <w:rFonts w:ascii="Times New Roman" w:hAnsi="Times New Roman" w:cs="Times New Roman"/>
          <w:sz w:val="24"/>
          <w:szCs w:val="24"/>
        </w:rPr>
        <w:t xml:space="preserve">The annual production area is 9.5 million </w:t>
      </w:r>
      <w:r w:rsidR="00DB7842" w:rsidRPr="00AC1A94">
        <w:rPr>
          <w:rFonts w:ascii="Times New Roman" w:hAnsi="Times New Roman" w:cs="Times New Roman"/>
          <w:sz w:val="24"/>
          <w:szCs w:val="24"/>
        </w:rPr>
        <w:t>hectares;</w:t>
      </w:r>
      <w:r w:rsidRPr="00AC1A94">
        <w:rPr>
          <w:rFonts w:ascii="Times New Roman" w:hAnsi="Times New Roman" w:cs="Times New Roman"/>
          <w:sz w:val="24"/>
          <w:szCs w:val="24"/>
        </w:rPr>
        <w:t xml:space="preserve"> it is one of the significant and highly valued pulse crops in the world, ranking fourth after common bean, chickpea, and cowpea. China is leading in green pea production, producing 11.3 million tonnes in 2020. China is followed in production by India (5.7 million tonnes), Pakistan (0.22 million tonnes), Algeria (0.21 million tonnes), the United States (0.28 million tonnes), France (0.27 million tonnes), the United Kingdom (0.16 million tonnes), and Egypt (0.15 million tonnes). In 2020, Spain and Peru rounded out the top 10. Canada (4.6 million tonnes in 2020), the Russian Federation (2.7 million tonnes), and China (1.4 million tonnes) are the major dry pea producers, followed by the United States, India, France, Ukraine, Ethiopia, Germany, and Spain </w:t>
      </w:r>
      <w:r w:rsidRPr="00AC1A94">
        <w:rPr>
          <w:rFonts w:ascii="Times New Roman" w:hAnsi="Times New Roman" w:cs="Times New Roman"/>
          <w:b/>
          <w:sz w:val="24"/>
          <w:szCs w:val="24"/>
        </w:rPr>
        <w:t>(</w:t>
      </w:r>
      <w:commentRangeStart w:id="6"/>
      <w:r w:rsidRPr="00AC1A94">
        <w:rPr>
          <w:rFonts w:ascii="Times New Roman" w:hAnsi="Times New Roman" w:cs="Times New Roman"/>
          <w:b/>
          <w:sz w:val="24"/>
          <w:szCs w:val="24"/>
        </w:rPr>
        <w:t>FAOSTAT 2021).</w:t>
      </w:r>
      <w:r w:rsidRPr="00AC1A94">
        <w:rPr>
          <w:rFonts w:ascii="Times New Roman" w:hAnsi="Times New Roman" w:cs="Times New Roman"/>
          <w:b/>
          <w:color w:val="000000"/>
        </w:rPr>
        <w:t xml:space="preserve"> </w:t>
      </w:r>
      <w:commentRangeEnd w:id="6"/>
      <w:r w:rsidR="00377EE9">
        <w:rPr>
          <w:rStyle w:val="CommentReference"/>
        </w:rPr>
        <w:commentReference w:id="6"/>
      </w:r>
      <w:r w:rsidRPr="00AC1A94">
        <w:rPr>
          <w:rFonts w:ascii="Times New Roman" w:hAnsi="Times New Roman" w:cs="Times New Roman"/>
          <w:color w:val="000000"/>
          <w:sz w:val="24"/>
          <w:szCs w:val="24"/>
        </w:rPr>
        <w:t>India alone contributes about 20 percent of the total pea production in the world.</w:t>
      </w:r>
      <w:r w:rsidRPr="00AC1A94">
        <w:rPr>
          <w:rFonts w:ascii="Times New Roman" w:hAnsi="Times New Roman" w:cs="Times New Roman"/>
          <w:sz w:val="24"/>
          <w:szCs w:val="24"/>
        </w:rPr>
        <w:t xml:space="preserve"> In Madhya Pradesh the garden pea production </w:t>
      </w:r>
      <w:r w:rsidR="00377EE9" w:rsidRPr="00AC1A94">
        <w:rPr>
          <w:rFonts w:ascii="Times New Roman" w:hAnsi="Times New Roman" w:cs="Times New Roman"/>
          <w:sz w:val="24"/>
          <w:szCs w:val="24"/>
        </w:rPr>
        <w:t>has</w:t>
      </w:r>
      <w:r w:rsidRPr="00AC1A94">
        <w:rPr>
          <w:rFonts w:ascii="Times New Roman" w:hAnsi="Times New Roman" w:cs="Times New Roman"/>
          <w:sz w:val="24"/>
          <w:szCs w:val="24"/>
        </w:rPr>
        <w:t xml:space="preserve"> a specific place as a vegetable crop. A total area of 31,360 hectares was dedicated to green pea production The production of pulses has been increasing over the past three years, from 2018-19 to 2020-21.</w:t>
      </w:r>
      <w:r w:rsidRPr="00AC1A94">
        <w:rPr>
          <w:rFonts w:ascii="Times New Roman" w:hAnsi="Times New Roman" w:cs="Times New Roman"/>
        </w:rPr>
        <w:t xml:space="preserve"> </w:t>
      </w:r>
    </w:p>
    <w:p w14:paraId="06B23F12" w14:textId="77777777" w:rsidR="00DB7842" w:rsidRPr="00DB7842" w:rsidRDefault="00DB7842" w:rsidP="000D6837">
      <w:pPr>
        <w:spacing w:line="360" w:lineRule="auto"/>
        <w:ind w:right="26" w:firstLine="720"/>
        <w:jc w:val="both"/>
        <w:rPr>
          <w:rFonts w:ascii="Times New Roman" w:hAnsi="Times New Roman" w:cs="Times New Roman"/>
          <w:sz w:val="28"/>
          <w:szCs w:val="28"/>
        </w:rPr>
      </w:pPr>
      <w:r w:rsidRPr="00DB7842">
        <w:rPr>
          <w:rFonts w:ascii="Times New Roman" w:hAnsi="Times New Roman" w:cs="Times New Roman"/>
          <w:sz w:val="24"/>
          <w:szCs w:val="24"/>
        </w:rPr>
        <w:t>The response of phosphorus depends upon many factors like climate, variety and soil type and availability of nutrients during the period of growth. The requirement of phosphorus in legumes like pea is higher than other crops for their root development and metabolic activities. Phosphorus is the vital component of DNA, RNA, ATP and photosynthetic systems and catalyse a number of biochemical reactions from the beginning of seedling growth through to the formation of grain at maturity. Improper use of fertilizer is one of the major causes of poor yield of crops. Phosphorus is essential for seed production as it enhances root growth and promotes plant maturity. Therefore, an attempt has been made to evaluate pea varieties under different levels of phosphorus to see the effect on the growth and yield as well as the economics of pea seed production.</w:t>
      </w:r>
      <w:r w:rsidR="00D15D6F" w:rsidRPr="00D15D6F">
        <w:t xml:space="preserve"> </w:t>
      </w:r>
      <w:r w:rsidR="00D15D6F" w:rsidRPr="00D15D6F">
        <w:rPr>
          <w:rFonts w:ascii="Times New Roman" w:hAnsi="Times New Roman" w:cs="Times New Roman"/>
          <w:sz w:val="24"/>
          <w:szCs w:val="24"/>
        </w:rPr>
        <w:t>Very high proportion of P in soil is insoluble and hence</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not available to the plants directly. About three fourth of</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the soluble P applied to the soil is converted in to insoluble form and only about one-fourth remained is available to</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the plants in the year of its application (Dubey, 1997)</w:t>
      </w:r>
    </w:p>
    <w:p w14:paraId="7F2A4304" w14:textId="77777777" w:rsidR="000D6837" w:rsidRPr="00AC1A94" w:rsidRDefault="000D6837" w:rsidP="000D6837">
      <w:pPr>
        <w:spacing w:line="360" w:lineRule="auto"/>
        <w:jc w:val="both"/>
        <w:rPr>
          <w:rFonts w:ascii="Times New Roman" w:hAnsi="Times New Roman" w:cs="Times New Roman"/>
          <w:b/>
          <w:sz w:val="24"/>
          <w:szCs w:val="24"/>
        </w:rPr>
      </w:pPr>
      <w:r w:rsidRPr="00AC1A94">
        <w:rPr>
          <w:rFonts w:ascii="Times New Roman" w:hAnsi="Times New Roman" w:cs="Times New Roman"/>
          <w:b/>
          <w:sz w:val="24"/>
          <w:szCs w:val="24"/>
        </w:rPr>
        <w:t>MATERIALAND METHODS</w:t>
      </w:r>
    </w:p>
    <w:p w14:paraId="1359FA79" w14:textId="03A20642" w:rsidR="0019091C" w:rsidRDefault="000D6837" w:rsidP="0019091C">
      <w:pPr>
        <w:spacing w:line="360" w:lineRule="auto"/>
        <w:jc w:val="both"/>
        <w:rPr>
          <w:rFonts w:ascii="Times New Roman" w:hAnsi="Times New Roman" w:cs="Times New Roman"/>
          <w:sz w:val="24"/>
          <w:szCs w:val="24"/>
        </w:rPr>
      </w:pPr>
      <w:r w:rsidRPr="00AC1A94">
        <w:rPr>
          <w:rFonts w:ascii="Times New Roman" w:hAnsi="Times New Roman" w:cs="Times New Roman"/>
          <w:sz w:val="24"/>
          <w:szCs w:val="24"/>
        </w:rPr>
        <w:t xml:space="preserve">The experiment was laid out in Randomized Block Design (RBD) with </w:t>
      </w:r>
      <w:commentRangeStart w:id="7"/>
      <w:r w:rsidRPr="004F04EA">
        <w:rPr>
          <w:rFonts w:ascii="Times New Roman" w:hAnsi="Times New Roman" w:cs="Times New Roman"/>
          <w:strike/>
          <w:color w:val="FF0000"/>
          <w:sz w:val="24"/>
          <w:szCs w:val="24"/>
        </w:rPr>
        <w:t>07</w:t>
      </w:r>
      <w:commentRangeEnd w:id="7"/>
      <w:r w:rsidR="004F04EA">
        <w:rPr>
          <w:rStyle w:val="CommentReference"/>
        </w:rPr>
        <w:commentReference w:id="7"/>
      </w:r>
      <w:r w:rsidR="00B55F40">
        <w:rPr>
          <w:rFonts w:ascii="Times New Roman" w:hAnsi="Times New Roman" w:cs="Times New Roman"/>
          <w:sz w:val="24"/>
          <w:szCs w:val="24"/>
        </w:rPr>
        <w:t xml:space="preserve"> treatments and three </w:t>
      </w:r>
      <w:r w:rsidRPr="00AC1A94">
        <w:rPr>
          <w:rFonts w:ascii="Times New Roman" w:hAnsi="Times New Roman" w:cs="Times New Roman"/>
          <w:sz w:val="24"/>
          <w:szCs w:val="24"/>
        </w:rPr>
        <w:t>replication</w:t>
      </w:r>
      <w:r w:rsidR="00B55F40">
        <w:rPr>
          <w:rFonts w:ascii="Times New Roman" w:hAnsi="Times New Roman" w:cs="Times New Roman"/>
          <w:sz w:val="24"/>
          <w:szCs w:val="24"/>
        </w:rPr>
        <w:t>s</w:t>
      </w:r>
      <w:r w:rsidRPr="00AC1A94">
        <w:rPr>
          <w:rFonts w:ascii="Times New Roman" w:hAnsi="Times New Roman" w:cs="Times New Roman"/>
          <w:sz w:val="24"/>
          <w:szCs w:val="24"/>
        </w:rPr>
        <w:t xml:space="preserve">. For this purpose, 21 plots were made in Horticulture Research Farm, School of </w:t>
      </w:r>
      <w:r w:rsidRPr="00AC1A94">
        <w:rPr>
          <w:rFonts w:ascii="Times New Roman" w:hAnsi="Times New Roman" w:cs="Times New Roman"/>
          <w:sz w:val="24"/>
          <w:szCs w:val="24"/>
        </w:rPr>
        <w:lastRenderedPageBreak/>
        <w:t>Agriculture Science Technology and Research, Sardar Patel University,</w:t>
      </w:r>
      <w:r w:rsidR="004F04EA">
        <w:rPr>
          <w:rFonts w:ascii="Times New Roman" w:hAnsi="Times New Roman" w:cs="Times New Roman"/>
          <w:sz w:val="24"/>
          <w:szCs w:val="24"/>
        </w:rPr>
        <w:t xml:space="preserve"> </w:t>
      </w:r>
      <w:r w:rsidRPr="00AC1A94">
        <w:rPr>
          <w:rFonts w:ascii="Times New Roman" w:hAnsi="Times New Roman" w:cs="Times New Roman"/>
          <w:sz w:val="24"/>
          <w:szCs w:val="24"/>
        </w:rPr>
        <w:t>Balaghat (</w:t>
      </w:r>
      <w:r w:rsidRPr="00AC1A94">
        <w:rPr>
          <w:rFonts w:ascii="Times New Roman" w:hAnsi="Times New Roman" w:cs="Times New Roman"/>
          <w:bCs/>
          <w:sz w:val="24"/>
          <w:szCs w:val="24"/>
        </w:rPr>
        <w:t>M.P.</w:t>
      </w:r>
      <w:r w:rsidRPr="00AC1A94">
        <w:rPr>
          <w:rFonts w:ascii="Times New Roman" w:hAnsi="Times New Roman" w:cs="Times New Roman"/>
          <w:sz w:val="24"/>
          <w:szCs w:val="24"/>
        </w:rPr>
        <w:t xml:space="preserve">) </w:t>
      </w:r>
      <w:r w:rsidRPr="004F04EA">
        <w:rPr>
          <w:rFonts w:ascii="Times New Roman" w:hAnsi="Times New Roman" w:cs="Times New Roman"/>
          <w:strike/>
          <w:color w:val="FF0000"/>
          <w:spacing w:val="1"/>
          <w:sz w:val="24"/>
          <w:szCs w:val="24"/>
        </w:rPr>
        <w:t>481331</w:t>
      </w:r>
      <w:r w:rsidRPr="00AC1A94">
        <w:rPr>
          <w:rFonts w:ascii="Times New Roman" w:hAnsi="Times New Roman" w:cs="Times New Roman"/>
          <w:sz w:val="24"/>
          <w:szCs w:val="24"/>
        </w:rPr>
        <w:t xml:space="preserve"> during </w:t>
      </w:r>
      <w:r w:rsidR="00B55F40" w:rsidRPr="00AC1A94">
        <w:rPr>
          <w:rFonts w:ascii="Times New Roman" w:hAnsi="Times New Roman" w:cs="Times New Roman"/>
          <w:sz w:val="24"/>
          <w:szCs w:val="24"/>
        </w:rPr>
        <w:t>late</w:t>
      </w:r>
      <w:r w:rsidRPr="00AC1A94">
        <w:rPr>
          <w:rFonts w:ascii="Times New Roman" w:hAnsi="Times New Roman" w:cs="Times New Roman"/>
          <w:sz w:val="24"/>
          <w:szCs w:val="24"/>
        </w:rPr>
        <w:t xml:space="preserve"> winter season </w:t>
      </w:r>
      <w:r w:rsidRPr="004F04EA">
        <w:rPr>
          <w:rFonts w:ascii="Times New Roman" w:hAnsi="Times New Roman" w:cs="Times New Roman"/>
          <w:strike/>
          <w:color w:val="FF0000"/>
          <w:sz w:val="24"/>
          <w:szCs w:val="24"/>
        </w:rPr>
        <w:t>academic year</w:t>
      </w:r>
      <w:r w:rsidRPr="00AC1A94">
        <w:rPr>
          <w:rFonts w:ascii="Times New Roman" w:hAnsi="Times New Roman" w:cs="Times New Roman"/>
          <w:sz w:val="24"/>
          <w:szCs w:val="24"/>
        </w:rPr>
        <w:t xml:space="preserve"> 2022-23.</w:t>
      </w:r>
      <w:r w:rsidR="00EE4A3B" w:rsidRPr="00EE4A3B">
        <w:t xml:space="preserve"> </w:t>
      </w:r>
      <w:commentRangeStart w:id="8"/>
      <w:r w:rsidR="00EE4A3B" w:rsidRPr="00EE4A3B">
        <w:rPr>
          <w:rFonts w:ascii="Times New Roman" w:hAnsi="Times New Roman" w:cs="Times New Roman"/>
          <w:sz w:val="24"/>
          <w:szCs w:val="24"/>
        </w:rPr>
        <w:t xml:space="preserve">The treatment combinations included </w:t>
      </w:r>
      <w:r w:rsidR="004F04EA">
        <w:rPr>
          <w:rFonts w:ascii="Times New Roman" w:hAnsi="Times New Roman" w:cs="Times New Roman"/>
          <w:sz w:val="24"/>
          <w:szCs w:val="24"/>
        </w:rPr>
        <w:t>T</w:t>
      </w:r>
      <w:r w:rsidR="004F04EA" w:rsidRPr="004F04EA">
        <w:rPr>
          <w:rFonts w:ascii="Times New Roman" w:hAnsi="Times New Roman" w:cs="Times New Roman"/>
          <w:color w:val="FF0000"/>
          <w:sz w:val="24"/>
          <w:szCs w:val="24"/>
          <w:vertAlign w:val="subscript"/>
        </w:rPr>
        <w:t>1</w:t>
      </w:r>
      <w:r w:rsidR="004F04EA">
        <w:rPr>
          <w:rFonts w:ascii="Times New Roman" w:hAnsi="Times New Roman" w:cs="Times New Roman"/>
          <w:sz w:val="24"/>
          <w:szCs w:val="24"/>
        </w:rPr>
        <w:t>:</w:t>
      </w:r>
      <w:r w:rsidR="00EE4A3B" w:rsidRPr="00EE4A3B">
        <w:rPr>
          <w:rFonts w:ascii="Times New Roman" w:hAnsi="Times New Roman" w:cs="Times New Roman"/>
          <w:sz w:val="24"/>
          <w:szCs w:val="24"/>
        </w:rPr>
        <w:t>Control, 60:100:70 N:P:K, 60:90:70 N:P:K, 60:80:70 N:P:K, 70:70:70 N:P:K, 60:60:70 N:P:K, 60:50:70 N:P:K, N:P:K (60:80:70), FYM at 20 t/ha, and RDF (60:80:70 N:P:K).</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GB"/>
        </w:rPr>
        <w:t>Balaghat District is located the south-eastern portion of the Satpura Range and the upper valley of the Wainganga River. The district extends from 21°19’ to 22°24’ north latitude and 79°31’ to 81°30’ east longitude.</w:t>
      </w:r>
      <w:commentRangeEnd w:id="8"/>
      <w:r w:rsidR="00747202">
        <w:rPr>
          <w:rStyle w:val="CommentReference"/>
        </w:rPr>
        <w:commentReference w:id="8"/>
      </w:r>
    </w:p>
    <w:p w14:paraId="7DEABDE8" w14:textId="77777777" w:rsidR="00D02190" w:rsidRDefault="00D02190" w:rsidP="0019091C">
      <w:pPr>
        <w:spacing w:line="360" w:lineRule="auto"/>
        <w:jc w:val="both"/>
        <w:rPr>
          <w:rFonts w:ascii="Times New Roman" w:hAnsi="Times New Roman" w:cs="Times New Roman"/>
          <w:sz w:val="24"/>
          <w:szCs w:val="24"/>
          <w:lang w:val="en-US"/>
        </w:rPr>
      </w:pPr>
      <w:r w:rsidRPr="00D02190">
        <w:rPr>
          <w:rFonts w:ascii="Times New Roman" w:hAnsi="Times New Roman" w:cs="Times New Roman"/>
          <w:sz w:val="24"/>
          <w:szCs w:val="24"/>
          <w:lang w:val="en-US"/>
        </w:rPr>
        <w:t xml:space="preserve">Observations were recorded on growth and yield attributes at appropriate crop stages. The data included days to 50 percent emergence, leaf area index (LAI), plant height at harvest stage, days to 50 percent flowering, and days to maturity. Yield attributes such as number of pods per plant, number of seeds per pod, and seed yield (q/ha) were also recorded. Data collected from randomly selected plants in each plot were averaged and statistically analyzed using analysis of variance (ANOVA) as per the procedure given by </w:t>
      </w:r>
      <w:commentRangeStart w:id="9"/>
      <w:r w:rsidRPr="00D02190">
        <w:rPr>
          <w:rFonts w:ascii="Times New Roman" w:hAnsi="Times New Roman" w:cs="Times New Roman"/>
          <w:sz w:val="24"/>
          <w:szCs w:val="24"/>
          <w:lang w:val="en-US"/>
        </w:rPr>
        <w:t xml:space="preserve">Panse and </w:t>
      </w:r>
      <w:proofErr w:type="spellStart"/>
      <w:r w:rsidRPr="00D02190">
        <w:rPr>
          <w:rFonts w:ascii="Times New Roman" w:hAnsi="Times New Roman" w:cs="Times New Roman"/>
          <w:sz w:val="24"/>
          <w:szCs w:val="24"/>
          <w:lang w:val="en-US"/>
        </w:rPr>
        <w:t>Sukhatme</w:t>
      </w:r>
      <w:proofErr w:type="spellEnd"/>
      <w:r w:rsidRPr="00D02190">
        <w:rPr>
          <w:rFonts w:ascii="Times New Roman" w:hAnsi="Times New Roman" w:cs="Times New Roman"/>
          <w:sz w:val="24"/>
          <w:szCs w:val="24"/>
          <w:lang w:val="en-US"/>
        </w:rPr>
        <w:t xml:space="preserve"> (1985).</w:t>
      </w:r>
      <w:commentRangeEnd w:id="9"/>
      <w:r w:rsidR="00747202">
        <w:rPr>
          <w:rStyle w:val="CommentReference"/>
        </w:rPr>
        <w:commentReference w:id="9"/>
      </w:r>
    </w:p>
    <w:p w14:paraId="31847833" w14:textId="77777777" w:rsidR="000D6837" w:rsidRPr="00AC1A94" w:rsidRDefault="000D6837" w:rsidP="000D6837">
      <w:pPr>
        <w:rPr>
          <w:rFonts w:ascii="Times New Roman" w:hAnsi="Times New Roman" w:cs="Times New Roman"/>
          <w:b/>
          <w:sz w:val="24"/>
          <w:szCs w:val="24"/>
        </w:rPr>
      </w:pPr>
      <w:r w:rsidRPr="00AC1A94">
        <w:rPr>
          <w:rFonts w:ascii="Times New Roman" w:hAnsi="Times New Roman" w:cs="Times New Roman"/>
          <w:b/>
          <w:sz w:val="24"/>
          <w:szCs w:val="24"/>
        </w:rPr>
        <w:t>RESULTS AND DISCUSSION</w:t>
      </w:r>
    </w:p>
    <w:p w14:paraId="42040D60" w14:textId="77777777" w:rsidR="000D6837" w:rsidRPr="00AC1A94" w:rsidRDefault="00010F72" w:rsidP="000D6837">
      <w:pPr>
        <w:rPr>
          <w:rFonts w:ascii="Times New Roman" w:hAnsi="Times New Roman" w:cs="Times New Roman"/>
          <w:b/>
          <w:sz w:val="24"/>
          <w:szCs w:val="24"/>
        </w:rPr>
      </w:pPr>
      <w:r w:rsidRPr="00AC1A94">
        <w:rPr>
          <w:rFonts w:ascii="Times New Roman" w:hAnsi="Times New Roman" w:cs="Times New Roman"/>
          <w:b/>
          <w:bCs/>
          <w:sz w:val="24"/>
          <w:szCs w:val="24"/>
        </w:rPr>
        <w:t xml:space="preserve">Days to 50 </w:t>
      </w:r>
      <w:commentRangeStart w:id="10"/>
      <w:r w:rsidRPr="00747202">
        <w:rPr>
          <w:rFonts w:ascii="Times New Roman" w:hAnsi="Times New Roman" w:cs="Times New Roman"/>
          <w:b/>
          <w:bCs/>
          <w:strike/>
          <w:sz w:val="24"/>
          <w:szCs w:val="24"/>
        </w:rPr>
        <w:t>per cent</w:t>
      </w:r>
      <w:r w:rsidRPr="00AC1A94">
        <w:rPr>
          <w:rFonts w:ascii="Times New Roman" w:hAnsi="Times New Roman" w:cs="Times New Roman"/>
          <w:b/>
          <w:bCs/>
          <w:sz w:val="24"/>
          <w:szCs w:val="24"/>
        </w:rPr>
        <w:t xml:space="preserve"> </w:t>
      </w:r>
      <w:commentRangeEnd w:id="10"/>
      <w:r w:rsidR="00747202">
        <w:rPr>
          <w:rStyle w:val="CommentReference"/>
        </w:rPr>
        <w:commentReference w:id="10"/>
      </w:r>
      <w:r w:rsidRPr="00AC1A94">
        <w:rPr>
          <w:rFonts w:ascii="Times New Roman" w:hAnsi="Times New Roman" w:cs="Times New Roman"/>
          <w:b/>
          <w:bCs/>
          <w:sz w:val="24"/>
          <w:szCs w:val="24"/>
        </w:rPr>
        <w:t>emergence</w:t>
      </w:r>
    </w:p>
    <w:p w14:paraId="3081F557" w14:textId="77777777"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outcomes of different phosphorus levels for days to 50% eme</w:t>
      </w:r>
      <w:r w:rsidR="001D1CB4">
        <w:rPr>
          <w:rFonts w:ascii="Times New Roman" w:hAnsi="Times New Roman" w:cs="Times New Roman"/>
          <w:sz w:val="24"/>
          <w:szCs w:val="24"/>
        </w:rPr>
        <w:t>rgence is presented in table 1</w:t>
      </w:r>
      <w:r w:rsidRPr="00AC1A94">
        <w:rPr>
          <w:rFonts w:ascii="Times New Roman" w:hAnsi="Times New Roman" w:cs="Times New Roman"/>
          <w:sz w:val="24"/>
          <w:szCs w:val="24"/>
        </w:rPr>
        <w:t xml:space="preserve"> and gra</w:t>
      </w:r>
      <w:r w:rsidR="001D1CB4">
        <w:rPr>
          <w:rFonts w:ascii="Times New Roman" w:hAnsi="Times New Roman" w:cs="Times New Roman"/>
          <w:sz w:val="24"/>
          <w:szCs w:val="24"/>
        </w:rPr>
        <w:t>phically presented in figure 1</w:t>
      </w:r>
      <w:r w:rsidRPr="00AC1A94">
        <w:rPr>
          <w:rFonts w:ascii="Times New Roman" w:hAnsi="Times New Roman" w:cs="Times New Roman"/>
          <w:sz w:val="24"/>
          <w:szCs w:val="24"/>
        </w:rPr>
        <w:t xml:space="preserve">. The mean days to 50 percent emergence ranges from 14.64 days to 16.20 days for different phosphorus levels. There is no significant effect on 50% germination of different phosphorus levels. The different levels phosphorus levels did not significantly affect emergence in any of the years, possibly because the germinating seeds initially rely on energy from their cotyledons, with phosphorus uptake occurring later as roots develop. This effect may be due to increased available soil phosphorus at the start of the third year. Phosphorus is crucial for energetic metabolism and biosynthetic processes as it is a component of ATP, NAD, NADP, and RNA, which are vital for cell multiplication and rapid vegetative growth </w:t>
      </w:r>
      <w:r w:rsidRPr="00AC1A94">
        <w:rPr>
          <w:rFonts w:ascii="Times New Roman" w:hAnsi="Times New Roman" w:cs="Times New Roman"/>
          <w:b/>
          <w:sz w:val="24"/>
          <w:szCs w:val="24"/>
        </w:rPr>
        <w:t>(</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1997).</w:t>
      </w:r>
      <w:r w:rsidRPr="00AC1A94">
        <w:rPr>
          <w:rFonts w:ascii="Times New Roman" w:hAnsi="Times New Roman" w:cs="Times New Roman"/>
          <w:sz w:val="24"/>
          <w:szCs w:val="24"/>
        </w:rPr>
        <w:t xml:space="preserve"> These findings are consistent with the studies by </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(1998)</w:t>
      </w:r>
      <w:r w:rsidRPr="00AC1A94">
        <w:rPr>
          <w:rFonts w:ascii="Times New Roman" w:hAnsi="Times New Roman" w:cs="Times New Roman"/>
          <w:sz w:val="24"/>
          <w:szCs w:val="24"/>
        </w:rPr>
        <w:t xml:space="preserve"> and </w:t>
      </w:r>
      <w:commentRangeStart w:id="11"/>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t>
      </w:r>
      <w:commentRangeEnd w:id="11"/>
      <w:r w:rsidR="00EF145B">
        <w:rPr>
          <w:rStyle w:val="CommentReference"/>
        </w:rPr>
        <w:commentReference w:id="11"/>
      </w:r>
      <w:r w:rsidRPr="00AC1A94">
        <w:rPr>
          <w:rFonts w:ascii="Times New Roman" w:hAnsi="Times New Roman" w:cs="Times New Roman"/>
          <w:sz w:val="24"/>
          <w:szCs w:val="24"/>
        </w:rPr>
        <w:t>who also reported earlier flowering with higher phosphorus application. The non-significant effect of phosphorus levels may be attributed to the additional rainfall shortly after sowing.</w:t>
      </w:r>
    </w:p>
    <w:p w14:paraId="04ADDFCE" w14:textId="77777777" w:rsidR="00010F72" w:rsidRPr="00AC1A94" w:rsidRDefault="00010F72" w:rsidP="00010F72">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50% flowering</w:t>
      </w:r>
    </w:p>
    <w:p w14:paraId="1D6F831B" w14:textId="28A1EDE6"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results of different phosphorus levels on days to 50 percent flowering were significant (Table 1) and graphically illustrated in figure 1. 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(60:100:70 N: P: K) resulted </w:t>
      </w:r>
      <w:r w:rsidRPr="00AC1A94">
        <w:rPr>
          <w:rFonts w:ascii="Times New Roman" w:hAnsi="Times New Roman" w:cs="Times New Roman"/>
          <w:sz w:val="24"/>
          <w:szCs w:val="24"/>
        </w:rPr>
        <w:lastRenderedPageBreak/>
        <w:t>in the earliest flowering, taking the fewest days (48.2 days) and was significantly earlier than the recommended phosphorus level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(60:80:70 N: P: K), the late flowering occurs, taking maximum days for 50% flowering (57.7 days). In case of only FYM the 50 % flowering occurs </w:t>
      </w:r>
      <w:r w:rsidR="00747202" w:rsidRPr="00747202">
        <w:rPr>
          <w:rFonts w:ascii="Times New Roman" w:hAnsi="Times New Roman" w:cs="Times New Roman"/>
          <w:color w:val="FF0000"/>
          <w:sz w:val="24"/>
          <w:szCs w:val="24"/>
        </w:rPr>
        <w:t>at</w:t>
      </w:r>
      <w:r w:rsidR="00747202">
        <w:rPr>
          <w:rFonts w:ascii="Times New Roman" w:hAnsi="Times New Roman" w:cs="Times New Roman"/>
          <w:sz w:val="24"/>
          <w:szCs w:val="24"/>
        </w:rPr>
        <w:t xml:space="preserve"> </w:t>
      </w:r>
      <w:r w:rsidRPr="00AC1A94">
        <w:rPr>
          <w:rFonts w:ascii="Times New Roman" w:hAnsi="Times New Roman" w:cs="Times New Roman"/>
          <w:sz w:val="24"/>
          <w:szCs w:val="24"/>
        </w:rPr>
        <w:t xml:space="preserve">60 days after sowing. All the phosphorus treatments </w:t>
      </w:r>
      <w:commentRangeStart w:id="12"/>
      <w:r w:rsidRPr="00747202">
        <w:rPr>
          <w:rFonts w:ascii="Times New Roman" w:hAnsi="Times New Roman" w:cs="Times New Roman"/>
          <w:strike/>
          <w:sz w:val="24"/>
          <w:szCs w:val="24"/>
        </w:rPr>
        <w:t>show</w:t>
      </w:r>
      <w:commentRangeEnd w:id="12"/>
      <w:r w:rsidR="00747202">
        <w:rPr>
          <w:rStyle w:val="CommentReference"/>
        </w:rPr>
        <w:commentReference w:id="12"/>
      </w:r>
      <w:r w:rsidRPr="00AC1A94">
        <w:rPr>
          <w:rFonts w:ascii="Times New Roman" w:hAnsi="Times New Roman" w:cs="Times New Roman"/>
          <w:sz w:val="24"/>
          <w:szCs w:val="24"/>
        </w:rPr>
        <w:t xml:space="preserve"> the early flowering as compared to treatment T</w:t>
      </w:r>
      <w:r w:rsidRPr="00AC1A94">
        <w:rPr>
          <w:rFonts w:ascii="Times New Roman" w:hAnsi="Times New Roman" w:cs="Times New Roman"/>
          <w:sz w:val="24"/>
          <w:szCs w:val="24"/>
          <w:vertAlign w:val="subscript"/>
        </w:rPr>
        <w:t>1</w:t>
      </w:r>
      <w:r w:rsidR="00B34B2D" w:rsidRPr="00AC1A94">
        <w:rPr>
          <w:rFonts w:ascii="Times New Roman" w:hAnsi="Times New Roman" w:cs="Times New Roman"/>
          <w:sz w:val="24"/>
          <w:szCs w:val="24"/>
          <w:vertAlign w:val="subscript"/>
        </w:rPr>
        <w:t xml:space="preserve"> </w:t>
      </w:r>
      <w:r w:rsidRPr="00AC1A94">
        <w:rPr>
          <w:rFonts w:ascii="Times New Roman" w:hAnsi="Times New Roman" w:cs="Times New Roman"/>
          <w:sz w:val="24"/>
          <w:szCs w:val="24"/>
        </w:rPr>
        <w:t xml:space="preserve">(control) </w:t>
      </w:r>
      <w:commentRangeStart w:id="13"/>
      <w:r w:rsidRPr="00747202">
        <w:rPr>
          <w:rFonts w:ascii="Times New Roman" w:hAnsi="Times New Roman" w:cs="Times New Roman"/>
          <w:strike/>
          <w:sz w:val="24"/>
          <w:szCs w:val="24"/>
        </w:rPr>
        <w:t>takes</w:t>
      </w:r>
      <w:commentRangeEnd w:id="13"/>
      <w:r w:rsidR="00747202">
        <w:rPr>
          <w:rStyle w:val="CommentReference"/>
        </w:rPr>
        <w:commentReference w:id="13"/>
      </w:r>
      <w:r w:rsidRPr="00AC1A94">
        <w:rPr>
          <w:rFonts w:ascii="Times New Roman" w:hAnsi="Times New Roman" w:cs="Times New Roman"/>
          <w:sz w:val="24"/>
          <w:szCs w:val="24"/>
        </w:rPr>
        <w:t xml:space="preserve"> 59.5 days for 50 % </w:t>
      </w:r>
      <w:r w:rsidR="00747202" w:rsidRPr="00AC1A94">
        <w:rPr>
          <w:rFonts w:ascii="Times New Roman" w:hAnsi="Times New Roman" w:cs="Times New Roman"/>
          <w:sz w:val="24"/>
          <w:szCs w:val="24"/>
        </w:rPr>
        <w:t>flowering.</w:t>
      </w:r>
    </w:p>
    <w:p w14:paraId="5A056F29" w14:textId="77777777"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b/>
          <w:bCs/>
          <w:sz w:val="24"/>
          <w:szCs w:val="24"/>
        </w:rPr>
        <w:t>Leaf area index (LAI)</w:t>
      </w:r>
    </w:p>
    <w:p w14:paraId="1D865542" w14:textId="59180F39"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 xml:space="preserve">The effects of different phosphorus levels, as well as their interactions, on the leaf area index </w:t>
      </w:r>
      <w:r w:rsidR="004D4822" w:rsidRPr="00AC1A94">
        <w:rPr>
          <w:rFonts w:ascii="Times New Roman" w:hAnsi="Times New Roman" w:cs="Times New Roman"/>
          <w:sz w:val="24"/>
          <w:szCs w:val="24"/>
        </w:rPr>
        <w:t>(LAI) are shown in table 1</w:t>
      </w:r>
      <w:r w:rsidRPr="00AC1A94">
        <w:rPr>
          <w:rFonts w:ascii="Times New Roman" w:hAnsi="Times New Roman" w:cs="Times New Roman"/>
          <w:sz w:val="24"/>
          <w:szCs w:val="24"/>
        </w:rPr>
        <w:t xml:space="preserve"> and presented in figure</w:t>
      </w:r>
      <w:r w:rsidR="004D4822" w:rsidRPr="00AC1A94">
        <w:rPr>
          <w:rFonts w:ascii="Times New Roman" w:hAnsi="Times New Roman" w:cs="Times New Roman"/>
          <w:sz w:val="24"/>
          <w:szCs w:val="24"/>
        </w:rPr>
        <w:t xml:space="preserve">.1 </w:t>
      </w:r>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recorded highest leaf area index (7.61) during rabi season 2024 which is significantly higher than other treatments and recommended dose of fertilizers. The treatment T</w:t>
      </w:r>
      <w:r w:rsidRPr="00AC1A94">
        <w:rPr>
          <w:rFonts w:ascii="Times New Roman" w:hAnsi="Times New Roman" w:cs="Times New Roman"/>
          <w:sz w:val="24"/>
          <w:szCs w:val="24"/>
          <w:vertAlign w:val="subscript"/>
        </w:rPr>
        <w:t xml:space="preserve">7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recorded the lowest leaf area index (5.50), which is less than recommended dose of fertilizers but significantly higher than the treatment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recorded 5.14.</w:t>
      </w:r>
      <w:r w:rsidR="00B757D4" w:rsidRPr="00AC1A94">
        <w:rPr>
          <w:rFonts w:ascii="Times New Roman" w:hAnsi="Times New Roman" w:cs="Times New Roman"/>
          <w:sz w:val="24"/>
          <w:szCs w:val="24"/>
        </w:rPr>
        <w:t xml:space="preserve"> The Leaf Area Index (LAI) is a key growth parameter because higher LAI values generally mean higher productivity due to increased light absorption </w:t>
      </w:r>
      <w:r w:rsidR="00B757D4" w:rsidRPr="00AC1A94">
        <w:rPr>
          <w:rFonts w:ascii="Times New Roman" w:hAnsi="Times New Roman" w:cs="Times New Roman"/>
          <w:b/>
          <w:sz w:val="24"/>
          <w:szCs w:val="24"/>
        </w:rPr>
        <w:t>(</w:t>
      </w:r>
      <w:commentRangeStart w:id="14"/>
      <w:r w:rsidR="00B757D4" w:rsidRPr="00AC1A94">
        <w:rPr>
          <w:rFonts w:ascii="Times New Roman" w:hAnsi="Times New Roman" w:cs="Times New Roman"/>
          <w:b/>
          <w:sz w:val="24"/>
          <w:szCs w:val="24"/>
        </w:rPr>
        <w:t>Salisbury and Ross, 1986)</w:t>
      </w:r>
      <w:commentRangeEnd w:id="14"/>
      <w:r w:rsidR="005E2A94">
        <w:rPr>
          <w:rStyle w:val="CommentReference"/>
        </w:rPr>
        <w:commentReference w:id="14"/>
      </w:r>
      <w:r w:rsidR="00B757D4" w:rsidRPr="00AC1A94">
        <w:rPr>
          <w:rFonts w:ascii="Times New Roman" w:hAnsi="Times New Roman" w:cs="Times New Roman"/>
          <w:b/>
          <w:sz w:val="24"/>
          <w:szCs w:val="24"/>
        </w:rPr>
        <w:t>.</w:t>
      </w:r>
      <w:r w:rsidR="00B757D4" w:rsidRPr="00AC1A94">
        <w:rPr>
          <w:rFonts w:ascii="Times New Roman" w:hAnsi="Times New Roman" w:cs="Times New Roman"/>
          <w:sz w:val="24"/>
          <w:szCs w:val="24"/>
        </w:rPr>
        <w:t xml:space="preserve"> In this study, Higher phosphorus levels T</w:t>
      </w:r>
      <w:r w:rsidR="00B757D4" w:rsidRPr="005E2A94">
        <w:rPr>
          <w:rFonts w:ascii="Times New Roman" w:hAnsi="Times New Roman" w:cs="Times New Roman"/>
          <w:color w:val="FF0000"/>
          <w:sz w:val="24"/>
          <w:szCs w:val="24"/>
          <w:vertAlign w:val="subscript"/>
        </w:rPr>
        <w:t>2</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60:100:70 N: P: K)</w:t>
      </w:r>
      <w:r w:rsidR="00B757D4" w:rsidRPr="00AC1A94">
        <w:rPr>
          <w:rFonts w:ascii="Times New Roman" w:hAnsi="Times New Roman" w:cs="Times New Roman"/>
          <w:sz w:val="24"/>
          <w:szCs w:val="24"/>
        </w:rPr>
        <w:t xml:space="preserve"> and T</w:t>
      </w:r>
      <w:r w:rsidR="00B757D4" w:rsidRPr="005E2A94">
        <w:rPr>
          <w:rFonts w:ascii="Times New Roman" w:hAnsi="Times New Roman" w:cs="Times New Roman"/>
          <w:color w:val="FF0000"/>
          <w:sz w:val="24"/>
          <w:szCs w:val="24"/>
          <w:vertAlign w:val="subscript"/>
        </w:rPr>
        <w:t>3</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60:90:70 N: P: K</w:t>
      </w:r>
      <w:r w:rsidR="00B757D4" w:rsidRPr="00AC1A94">
        <w:rPr>
          <w:rFonts w:ascii="Times New Roman" w:hAnsi="Times New Roman" w:cs="Times New Roman"/>
          <w:sz w:val="24"/>
          <w:szCs w:val="24"/>
        </w:rPr>
        <w:t>) increased LAI, with T</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significantly outperforming T</w:t>
      </w:r>
      <w:r w:rsidR="00B757D4" w:rsidRPr="005E2A94">
        <w:rPr>
          <w:rFonts w:ascii="Times New Roman" w:hAnsi="Times New Roman" w:cs="Times New Roman"/>
          <w:color w:val="FF0000"/>
          <w:sz w:val="24"/>
          <w:szCs w:val="24"/>
          <w:vertAlign w:val="subscript"/>
        </w:rPr>
        <w:t>4</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60:80:70 N: P: K</w:t>
      </w:r>
      <w:r w:rsidR="00B757D4" w:rsidRPr="00AC1A94">
        <w:rPr>
          <w:rFonts w:ascii="Times New Roman" w:hAnsi="Times New Roman" w:cs="Times New Roman"/>
          <w:sz w:val="24"/>
          <w:szCs w:val="24"/>
        </w:rPr>
        <w:t xml:space="preserve">) and others treatments. This demonstrates the positive effects higher amount application of phosphorus at critical stages. Similar findings have been reported by </w:t>
      </w:r>
      <w:commentRangeStart w:id="15"/>
      <w:r w:rsidR="00B757D4" w:rsidRPr="00AC1A94">
        <w:rPr>
          <w:rFonts w:ascii="Times New Roman" w:hAnsi="Times New Roman" w:cs="Times New Roman"/>
          <w:b/>
          <w:sz w:val="24"/>
          <w:szCs w:val="24"/>
        </w:rPr>
        <w:t xml:space="preserve">Yadav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(1993) </w:t>
      </w:r>
      <w:commentRangeEnd w:id="15"/>
      <w:r w:rsidR="005E2A94">
        <w:rPr>
          <w:rStyle w:val="CommentReference"/>
        </w:rPr>
        <w:commentReference w:id="15"/>
      </w:r>
      <w:r w:rsidR="00B757D4" w:rsidRPr="00AC1A94">
        <w:rPr>
          <w:rFonts w:ascii="Times New Roman" w:hAnsi="Times New Roman" w:cs="Times New Roman"/>
          <w:sz w:val="24"/>
          <w:szCs w:val="24"/>
        </w:rPr>
        <w:t xml:space="preserve">and </w:t>
      </w:r>
      <w:r w:rsidR="00B757D4" w:rsidRPr="00AC1A94">
        <w:rPr>
          <w:rFonts w:ascii="Times New Roman" w:hAnsi="Times New Roman" w:cs="Times New Roman"/>
          <w:b/>
          <w:sz w:val="24"/>
          <w:szCs w:val="24"/>
        </w:rPr>
        <w:t xml:space="preserve">Kasturi </w:t>
      </w:r>
      <w:r w:rsidR="00747202" w:rsidRPr="00AC1A94">
        <w:rPr>
          <w:rFonts w:ascii="Times New Roman" w:hAnsi="Times New Roman" w:cs="Times New Roman"/>
          <w:b/>
          <w:sz w:val="24"/>
          <w:szCs w:val="24"/>
        </w:rPr>
        <w:t>Krishna</w:t>
      </w:r>
      <w:r w:rsidR="00B757D4" w:rsidRPr="00AC1A94">
        <w:rPr>
          <w:rFonts w:ascii="Times New Roman" w:hAnsi="Times New Roman" w:cs="Times New Roman"/>
          <w:b/>
          <w:sz w:val="24"/>
          <w:szCs w:val="24"/>
        </w:rPr>
        <w:t xml:space="preserve"> and Ahlawat (2000)</w:t>
      </w:r>
      <w:r w:rsidR="00B757D4" w:rsidRPr="00AC1A94">
        <w:rPr>
          <w:rFonts w:ascii="Times New Roman" w:hAnsi="Times New Roman" w:cs="Times New Roman"/>
          <w:sz w:val="24"/>
          <w:szCs w:val="24"/>
        </w:rPr>
        <w:t xml:space="preserve"> in their studies on peas. </w:t>
      </w:r>
      <w:r w:rsidR="00B757D4" w:rsidRPr="00AC1A94">
        <w:rPr>
          <w:rFonts w:ascii="Times New Roman" w:hAnsi="Times New Roman" w:cs="Times New Roman"/>
          <w:b/>
          <w:sz w:val="24"/>
          <w:szCs w:val="24"/>
        </w:rPr>
        <w:t xml:space="preserve">Barky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(1985)</w:t>
      </w:r>
      <w:r w:rsidR="00B757D4" w:rsidRPr="00AC1A94">
        <w:rPr>
          <w:rFonts w:ascii="Times New Roman" w:hAnsi="Times New Roman" w:cs="Times New Roman"/>
          <w:sz w:val="24"/>
          <w:szCs w:val="24"/>
        </w:rPr>
        <w:t xml:space="preserve"> also observed that reducing phosphorus level at any stage—such as vegetative growth, flowering, or pod formation—led to a decrease in leaf area. </w:t>
      </w:r>
    </w:p>
    <w:p w14:paraId="458184E4" w14:textId="77777777" w:rsidR="00010F72" w:rsidRPr="00AC1A94" w:rsidRDefault="00B757D4" w:rsidP="000D6837">
      <w:pPr>
        <w:ind w:hanging="90"/>
        <w:rPr>
          <w:rFonts w:ascii="Times New Roman" w:hAnsi="Times New Roman" w:cs="Times New Roman"/>
          <w:b/>
          <w:sz w:val="24"/>
          <w:szCs w:val="24"/>
        </w:rPr>
      </w:pPr>
      <w:r w:rsidRPr="00AC1A94">
        <w:rPr>
          <w:rFonts w:ascii="Times New Roman" w:hAnsi="Times New Roman" w:cs="Times New Roman"/>
          <w:b/>
          <w:sz w:val="24"/>
          <w:szCs w:val="24"/>
        </w:rPr>
        <w:t xml:space="preserve"> </w:t>
      </w:r>
      <w:r w:rsidR="00010F72" w:rsidRPr="00AC1A94">
        <w:rPr>
          <w:rFonts w:ascii="Times New Roman" w:hAnsi="Times New Roman" w:cs="Times New Roman"/>
          <w:b/>
          <w:sz w:val="24"/>
          <w:szCs w:val="24"/>
        </w:rPr>
        <w:t xml:space="preserve"> </w:t>
      </w:r>
      <w:r w:rsidR="00010F72" w:rsidRPr="00AC1A94">
        <w:rPr>
          <w:rFonts w:ascii="Times New Roman" w:hAnsi="Times New Roman" w:cs="Times New Roman"/>
          <w:b/>
          <w:bCs/>
          <w:sz w:val="24"/>
          <w:szCs w:val="24"/>
        </w:rPr>
        <w:t>Plant height (cm)</w:t>
      </w:r>
    </w:p>
    <w:p w14:paraId="14D3F659" w14:textId="5D0C795C"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 xml:space="preserve">The outcomes of different phosphorus levels on plant height are presented in table </w:t>
      </w:r>
      <w:r w:rsidR="00265DB6">
        <w:rPr>
          <w:rFonts w:ascii="Times New Roman" w:hAnsi="Times New Roman" w:cs="Times New Roman"/>
          <w:sz w:val="24"/>
          <w:szCs w:val="24"/>
        </w:rPr>
        <w:t>2</w:t>
      </w:r>
      <w:r w:rsidRPr="00AC1A94">
        <w:rPr>
          <w:rFonts w:ascii="Times New Roman" w:hAnsi="Times New Roman" w:cs="Times New Roman"/>
          <w:sz w:val="24"/>
          <w:szCs w:val="24"/>
        </w:rPr>
        <w:t xml:space="preserve"> and graphically presented in figure </w:t>
      </w:r>
      <w:r w:rsidR="00265DB6">
        <w:rPr>
          <w:rFonts w:ascii="Times New Roman" w:hAnsi="Times New Roman" w:cs="Times New Roman"/>
          <w:sz w:val="24"/>
          <w:szCs w:val="24"/>
        </w:rPr>
        <w:t>2</w:t>
      </w:r>
    </w:p>
    <w:p w14:paraId="229E6DCE" w14:textId="19C093B9"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maximum plant height was recorded under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49.70 cm, which is significantly higher than the recommended dose of fertilizers i.e.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show 45.50 cm, and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xml:space="preserve"> (CONTROL) recorded 38.82 cm. The lowest plant height was recorded for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42.56 cm which is than recommended dose of fertilizer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recorded 45.50cm and taller than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38.82cm. for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T6(</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xml:space="preserve">) the plant height was recorded 47.65 cm, 44.90 cm, 43.68 cm respectively, show significantly taller plant than control. </w:t>
      </w:r>
      <w:r w:rsidR="00B757D4" w:rsidRPr="00AC1A94">
        <w:rPr>
          <w:rFonts w:ascii="Times New Roman" w:hAnsi="Times New Roman" w:cs="Times New Roman"/>
          <w:sz w:val="24"/>
          <w:szCs w:val="24"/>
        </w:rPr>
        <w:t xml:space="preserve"> Plant </w:t>
      </w:r>
      <w:r w:rsidR="00B757D4" w:rsidRPr="00AC1A94">
        <w:rPr>
          <w:rFonts w:ascii="Times New Roman" w:hAnsi="Times New Roman" w:cs="Times New Roman"/>
          <w:sz w:val="24"/>
          <w:szCs w:val="24"/>
        </w:rPr>
        <w:lastRenderedPageBreak/>
        <w:t>height is another critical growth factor that directly impacts yield. The study found that the highest phosphorus level T</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60:100:70 N: P: K</w:t>
      </w:r>
      <w:r w:rsidR="00B757D4" w:rsidRPr="00AC1A94">
        <w:rPr>
          <w:rFonts w:ascii="Times New Roman" w:hAnsi="Times New Roman" w:cs="Times New Roman"/>
          <w:sz w:val="24"/>
          <w:szCs w:val="24"/>
        </w:rPr>
        <w:t>) resulted in the tallest plants, although it was comparable to T</w:t>
      </w:r>
      <w:r w:rsidR="00B757D4" w:rsidRPr="00AC1A94">
        <w:rPr>
          <w:rFonts w:ascii="Times New Roman" w:hAnsi="Times New Roman" w:cs="Times New Roman"/>
          <w:sz w:val="24"/>
          <w:szCs w:val="24"/>
          <w:vertAlign w:val="subscript"/>
        </w:rPr>
        <w:t>7</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60:50:70 N: P: K</w:t>
      </w:r>
      <w:r w:rsidR="00B757D4" w:rsidRPr="00AC1A94">
        <w:rPr>
          <w:rFonts w:ascii="Times New Roman" w:hAnsi="Times New Roman" w:cs="Times New Roman"/>
          <w:sz w:val="24"/>
          <w:szCs w:val="24"/>
        </w:rPr>
        <w:t xml:space="preserve">).  The higher phosphorus levels represent the significant difference in plant height for different treatments, supporting the findings for LAI. These results align with those reported by </w:t>
      </w:r>
      <w:r w:rsidR="00B757D4" w:rsidRPr="00AC1A94">
        <w:rPr>
          <w:rFonts w:ascii="Times New Roman" w:hAnsi="Times New Roman" w:cs="Times New Roman"/>
          <w:b/>
          <w:sz w:val="24"/>
          <w:szCs w:val="24"/>
        </w:rPr>
        <w:t xml:space="preserve">Rathi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(1995) and Bahadur and Singh (1990)</w:t>
      </w:r>
      <w:r w:rsidR="00B757D4" w:rsidRPr="00AC1A94">
        <w:rPr>
          <w:rFonts w:ascii="Times New Roman" w:hAnsi="Times New Roman" w:cs="Times New Roman"/>
          <w:sz w:val="24"/>
          <w:szCs w:val="24"/>
        </w:rPr>
        <w:t xml:space="preserve"> regarding the effects of phosphorus on field peas and garden peas, respectively. </w:t>
      </w:r>
      <w:r w:rsidR="00B757D4" w:rsidRPr="00AC1A94">
        <w:rPr>
          <w:rFonts w:ascii="Times New Roman" w:hAnsi="Times New Roman" w:cs="Times New Roman"/>
          <w:b/>
          <w:sz w:val="24"/>
          <w:szCs w:val="24"/>
        </w:rPr>
        <w:t>Reddy and Ahlawat (1998)</w:t>
      </w:r>
      <w:r w:rsidR="00B757D4" w:rsidRPr="00AC1A94">
        <w:rPr>
          <w:rFonts w:ascii="Times New Roman" w:hAnsi="Times New Roman" w:cs="Times New Roman"/>
          <w:sz w:val="24"/>
          <w:szCs w:val="24"/>
        </w:rPr>
        <w:t xml:space="preserve"> also observed that applying two irrigations during the branching and pod development stages significantly increased plant height in chickpeas compared to no irrigation.</w:t>
      </w:r>
    </w:p>
    <w:p w14:paraId="32E73787" w14:textId="77777777" w:rsidR="00010F72" w:rsidRPr="00AC1A94" w:rsidRDefault="00010F72" w:rsidP="00010F72">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Pods/plant</w:t>
      </w:r>
    </w:p>
    <w:p w14:paraId="6B49F8A7" w14:textId="360B4AEB"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maximum number of pods per plant was achieved with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which recorded 15.19 shows higher pod numbers than the recommended dose of fertilizer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xml:space="preserve">) i.e. 12.45. </w:t>
      </w:r>
      <w:r w:rsidR="005E2A94">
        <w:rPr>
          <w:rFonts w:ascii="Times New Roman" w:hAnsi="Times New Roman" w:cs="Times New Roman"/>
          <w:color w:val="FF0000"/>
          <w:sz w:val="24"/>
          <w:szCs w:val="24"/>
        </w:rPr>
        <w:t>T</w:t>
      </w:r>
      <w:r w:rsidRPr="00AC1A94">
        <w:rPr>
          <w:rFonts w:ascii="Times New Roman" w:hAnsi="Times New Roman" w:cs="Times New Roman"/>
          <w:sz w:val="24"/>
          <w:szCs w:val="24"/>
        </w:rPr>
        <w: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recorded the least no of pod per plant 10.91, which is significantly less in compression to all the treatments but more than treatment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w:t>
      </w:r>
      <w:r w:rsidRPr="005E2A94">
        <w:rPr>
          <w:rFonts w:ascii="Times New Roman" w:hAnsi="Times New Roman" w:cs="Times New Roman"/>
          <w:color w:val="FF0000"/>
          <w:sz w:val="24"/>
          <w:szCs w:val="24"/>
          <w:vertAlign w:val="subscript"/>
        </w:rPr>
        <w:t>6</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 records 13.78, 11.93 and 11.36 pods per plant respectively.</w:t>
      </w:r>
      <w:r w:rsidR="00B757D4" w:rsidRPr="00AC1A94">
        <w:rPr>
          <w:rFonts w:ascii="Times New Roman" w:hAnsi="Times New Roman" w:cs="Times New Roman"/>
          <w:sz w:val="24"/>
          <w:szCs w:val="24"/>
        </w:rPr>
        <w:t xml:space="preserve"> The number of pods per plant is a key factor in determining seed yield. In this Study the highest phosphorus dose (100 kg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ha) significantly increased the number of pods per plant compared to treatment T</w:t>
      </w:r>
      <w:r w:rsidR="00B757D4" w:rsidRPr="00AC1A94">
        <w:rPr>
          <w:rFonts w:ascii="Times New Roman" w:hAnsi="Times New Roman" w:cs="Times New Roman"/>
          <w:sz w:val="24"/>
          <w:szCs w:val="24"/>
          <w:vertAlign w:val="subscript"/>
        </w:rPr>
        <w:t>7</w:t>
      </w:r>
      <w:r w:rsidR="00B757D4" w:rsidRPr="00AC1A94">
        <w:rPr>
          <w:rFonts w:ascii="Times New Roman" w:hAnsi="Times New Roman" w:cs="Times New Roman"/>
          <w:sz w:val="24"/>
          <w:szCs w:val="24"/>
        </w:rPr>
        <w:t xml:space="preserve"> (50 kg P</w:t>
      </w:r>
      <w:r w:rsidR="00B757D4" w:rsidRPr="005E2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w:t>
      </w:r>
      <w:r w:rsidR="005E2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 xml:space="preserve">Kg/ha), indicating that plants with minimal or no moisture stress tend to perform better across all growth stages </w:t>
      </w:r>
      <w:r w:rsidR="00B757D4" w:rsidRPr="00AC1A94">
        <w:rPr>
          <w:rFonts w:ascii="Times New Roman" w:hAnsi="Times New Roman" w:cs="Times New Roman"/>
          <w:b/>
          <w:sz w:val="24"/>
          <w:szCs w:val="24"/>
        </w:rPr>
        <w:t>(Kasturi</w:t>
      </w:r>
      <w:r w:rsidR="005E2A94">
        <w:rPr>
          <w:rFonts w:ascii="Times New Roman" w:hAnsi="Times New Roman" w:cs="Times New Roman"/>
          <w:b/>
          <w:sz w:val="24"/>
          <w:szCs w:val="24"/>
        </w:rPr>
        <w:t xml:space="preserve"> </w:t>
      </w:r>
      <w:r w:rsidR="005E2A94" w:rsidRPr="00AC1A94">
        <w:rPr>
          <w:rFonts w:ascii="Times New Roman" w:hAnsi="Times New Roman" w:cs="Times New Roman"/>
          <w:b/>
          <w:sz w:val="24"/>
          <w:szCs w:val="24"/>
        </w:rPr>
        <w:t>Krishna</w:t>
      </w:r>
      <w:r w:rsidR="00B757D4" w:rsidRPr="00AC1A94">
        <w:rPr>
          <w:rFonts w:ascii="Times New Roman" w:hAnsi="Times New Roman" w:cs="Times New Roman"/>
          <w:b/>
          <w:sz w:val="24"/>
          <w:szCs w:val="24"/>
        </w:rPr>
        <w:t xml:space="preserve"> and Ahlawat, 2000).</w:t>
      </w:r>
      <w:r w:rsidR="00B757D4" w:rsidRPr="00AC1A94">
        <w:rPr>
          <w:rFonts w:ascii="Times New Roman" w:hAnsi="Times New Roman" w:cs="Times New Roman"/>
          <w:sz w:val="24"/>
          <w:szCs w:val="24"/>
        </w:rPr>
        <w:t xml:space="preserve"> Phosphorus also plays a crucial role in promoting rapid cell division and elongation in meristematic tissues, supporting root development and proliferation, and enhancing flowering, pod formation, and seed development. These findings are consistent with those of </w:t>
      </w:r>
      <w:r w:rsidR="00B757D4" w:rsidRPr="00AC1A94">
        <w:rPr>
          <w:rFonts w:ascii="Times New Roman" w:hAnsi="Times New Roman" w:cs="Times New Roman"/>
          <w:b/>
          <w:sz w:val="24"/>
          <w:szCs w:val="24"/>
        </w:rPr>
        <w:t xml:space="preserve">Rathi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(1995),</w:t>
      </w:r>
      <w:r w:rsidR="00B757D4" w:rsidRPr="00AC1A94">
        <w:rPr>
          <w:rFonts w:ascii="Times New Roman" w:hAnsi="Times New Roman" w:cs="Times New Roman"/>
          <w:sz w:val="24"/>
          <w:szCs w:val="24"/>
        </w:rPr>
        <w:t xml:space="preserve"> </w:t>
      </w:r>
      <w:commentRangeStart w:id="16"/>
      <w:r w:rsidR="00B757D4" w:rsidRPr="00AC1A94">
        <w:rPr>
          <w:rFonts w:ascii="Times New Roman" w:hAnsi="Times New Roman" w:cs="Times New Roman"/>
          <w:b/>
          <w:sz w:val="24"/>
          <w:szCs w:val="24"/>
        </w:rPr>
        <w:t xml:space="preserve">Singh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w:t>
      </w:r>
      <w:commentRangeEnd w:id="16"/>
      <w:r w:rsidR="005E2A94">
        <w:rPr>
          <w:rStyle w:val="CommentReference"/>
        </w:rPr>
        <w:commentReference w:id="16"/>
      </w:r>
      <w:r w:rsidR="00B757D4" w:rsidRPr="00AC1A94">
        <w:rPr>
          <w:rFonts w:ascii="Times New Roman" w:hAnsi="Times New Roman" w:cs="Times New Roman"/>
          <w:b/>
          <w:sz w:val="24"/>
          <w:szCs w:val="24"/>
        </w:rPr>
        <w:t xml:space="preserve">, and Kaushik and Chaubey (2003), </w:t>
      </w:r>
      <w:r w:rsidR="00B757D4" w:rsidRPr="005E2A94">
        <w:rPr>
          <w:rFonts w:ascii="Times New Roman" w:hAnsi="Times New Roman" w:cs="Times New Roman"/>
          <w:b/>
          <w:iCs/>
          <w:sz w:val="24"/>
          <w:szCs w:val="24"/>
        </w:rPr>
        <w:t>Uddin</w:t>
      </w:r>
      <w:r w:rsidR="00B757D4" w:rsidRPr="00AC1A94">
        <w:rPr>
          <w:rFonts w:ascii="Times New Roman" w:hAnsi="Times New Roman" w:cs="Times New Roman"/>
          <w:b/>
          <w:i/>
          <w:sz w:val="24"/>
          <w:szCs w:val="24"/>
        </w:rPr>
        <w:t xml:space="preserve">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 Bhatt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 xml:space="preserve">(2002), and </w:t>
      </w:r>
      <w:commentRangeStart w:id="17"/>
      <w:r w:rsidR="00B757D4" w:rsidRPr="00AC1A94">
        <w:rPr>
          <w:rFonts w:ascii="Times New Roman" w:hAnsi="Times New Roman" w:cs="Times New Roman"/>
          <w:b/>
          <w:sz w:val="24"/>
          <w:szCs w:val="24"/>
        </w:rPr>
        <w:t xml:space="preserve">Dass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sz w:val="24"/>
          <w:szCs w:val="24"/>
        </w:rPr>
        <w:t>. (2005)</w:t>
      </w:r>
      <w:r w:rsidR="00B757D4" w:rsidRPr="00AC1A94">
        <w:rPr>
          <w:rFonts w:ascii="Times New Roman" w:hAnsi="Times New Roman" w:cs="Times New Roman"/>
          <w:sz w:val="24"/>
          <w:szCs w:val="24"/>
        </w:rPr>
        <w:t xml:space="preserve"> </w:t>
      </w:r>
      <w:commentRangeEnd w:id="17"/>
      <w:r w:rsidR="005B38F5">
        <w:rPr>
          <w:rStyle w:val="CommentReference"/>
        </w:rPr>
        <w:commentReference w:id="17"/>
      </w:r>
      <w:r w:rsidR="00B757D4" w:rsidRPr="00AC1A94">
        <w:rPr>
          <w:rFonts w:ascii="Times New Roman" w:hAnsi="Times New Roman" w:cs="Times New Roman"/>
          <w:sz w:val="24"/>
          <w:szCs w:val="24"/>
        </w:rPr>
        <w:t xml:space="preserve">concerning the role of phosphorus. </w:t>
      </w:r>
      <w:r w:rsidR="00B757D4" w:rsidRPr="00AC1A94">
        <w:rPr>
          <w:rFonts w:ascii="Times New Roman" w:hAnsi="Times New Roman" w:cs="Times New Roman"/>
          <w:b/>
          <w:sz w:val="24"/>
          <w:szCs w:val="24"/>
        </w:rPr>
        <w:t xml:space="preserve">Tewari and Singh (2000) </w:t>
      </w:r>
      <w:r w:rsidR="00B757D4" w:rsidRPr="00AC1A94">
        <w:rPr>
          <w:rFonts w:ascii="Times New Roman" w:hAnsi="Times New Roman" w:cs="Times New Roman"/>
          <w:sz w:val="24"/>
          <w:szCs w:val="24"/>
        </w:rPr>
        <w:t>also observed an increase in the number of pods per plant in French beans with higher doses of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 xml:space="preserve"> .</w:t>
      </w:r>
    </w:p>
    <w:p w14:paraId="0FD50ADE" w14:textId="77777777" w:rsidR="001C40FB" w:rsidRPr="00AC1A94" w:rsidRDefault="001C40FB" w:rsidP="001C40FB">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seed maturity</w:t>
      </w:r>
    </w:p>
    <w:p w14:paraId="7B0EA536" w14:textId="77777777" w:rsidR="001C40FB" w:rsidRPr="00AC1A94" w:rsidRDefault="001C40FB" w:rsidP="001C40FB">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effect of different phosphorus levels on days to seed mat</w:t>
      </w:r>
      <w:r w:rsidR="00A32DCF">
        <w:rPr>
          <w:rFonts w:ascii="Times New Roman" w:hAnsi="Times New Roman" w:cs="Times New Roman"/>
          <w:sz w:val="24"/>
          <w:szCs w:val="24"/>
        </w:rPr>
        <w:t>urity are presented in table 1 and illustrated in figure 1</w:t>
      </w:r>
      <w:r w:rsidRPr="00AC1A94">
        <w:rPr>
          <w:rFonts w:ascii="Times New Roman" w:hAnsi="Times New Roman" w:cs="Times New Roman"/>
          <w:sz w:val="24"/>
          <w:szCs w:val="24"/>
        </w:rPr>
        <w:t xml:space="preserve">. </w:t>
      </w:r>
    </w:p>
    <w:p w14:paraId="7BE4FC27" w14:textId="020045C0" w:rsidR="001C40FB" w:rsidRPr="00AC1A94" w:rsidRDefault="001C40FB" w:rsidP="001C40FB">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were recorded significantly early maturity (75.24 days) compared to control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recommended dose of fertilizers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w:t>
      </w:r>
      <w:r w:rsidR="00EF145B">
        <w:rPr>
          <w:rFonts w:ascii="Times New Roman" w:hAnsi="Times New Roman" w:cs="Times New Roman"/>
          <w:sz w:val="24"/>
          <w:szCs w:val="24"/>
        </w:rPr>
        <w:t xml:space="preserve"> </w:t>
      </w:r>
      <w:r w:rsidR="00EF145B" w:rsidRPr="00EF145B">
        <w:rPr>
          <w:rFonts w:ascii="Times New Roman" w:hAnsi="Times New Roman" w:cs="Times New Roman"/>
          <w:color w:val="FF0000"/>
          <w:sz w:val="24"/>
          <w:szCs w:val="24"/>
        </w:rPr>
        <w:t>with</w:t>
      </w:r>
      <w:r w:rsidR="00EF145B">
        <w:rPr>
          <w:rFonts w:ascii="Times New Roman" w:hAnsi="Times New Roman" w:cs="Times New Roman"/>
          <w:sz w:val="24"/>
          <w:szCs w:val="24"/>
        </w:rPr>
        <w:t xml:space="preserve"> </w:t>
      </w:r>
      <w:r w:rsidRPr="00AC1A94">
        <w:rPr>
          <w:rFonts w:ascii="Times New Roman" w:hAnsi="Times New Roman" w:cs="Times New Roman"/>
          <w:sz w:val="24"/>
          <w:szCs w:val="24"/>
        </w:rPr>
        <w:t>80.50 days and other treatments.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w:t>
      </w:r>
      <w:commentRangeStart w:id="18"/>
      <w:r w:rsidRPr="00AC1A94">
        <w:rPr>
          <w:rFonts w:ascii="Times New Roman" w:hAnsi="Times New Roman" w:cs="Times New Roman"/>
          <w:sz w:val="24"/>
          <w:szCs w:val="24"/>
        </w:rPr>
        <w:t xml:space="preserve"> </w:t>
      </w:r>
      <w:commentRangeEnd w:id="18"/>
      <w:r w:rsidR="00EF145B">
        <w:rPr>
          <w:rStyle w:val="CommentReference"/>
        </w:rPr>
        <w:commentReference w:id="18"/>
      </w:r>
      <w:r w:rsidRPr="00AC1A94">
        <w:rPr>
          <w:rFonts w:ascii="Times New Roman" w:hAnsi="Times New Roman" w:cs="Times New Roman"/>
          <w:sz w:val="24"/>
          <w:szCs w:val="24"/>
        </w:rPr>
        <w:t xml:space="preserve">highest days to seed maturation among all the </w:t>
      </w:r>
      <w:r w:rsidRPr="00AC1A94">
        <w:rPr>
          <w:rFonts w:ascii="Times New Roman" w:hAnsi="Times New Roman" w:cs="Times New Roman"/>
          <w:sz w:val="24"/>
          <w:szCs w:val="24"/>
        </w:rPr>
        <w:lastRenderedPageBreak/>
        <w:t>treatments i.e. 85.67 days, which late than the recommended dose of fertilizers but significantly early than the (control)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xml:space="preserve"> observed 90.44 days.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w:t>
      </w:r>
      <w:r w:rsidRPr="00AC1A94">
        <w:rPr>
          <w:rFonts w:ascii="Times New Roman" w:hAnsi="Times New Roman" w:cs="Times New Roman"/>
          <w:sz w:val="24"/>
          <w:szCs w:val="24"/>
          <w:vertAlign w:val="subscript"/>
        </w:rPr>
        <w:t xml:space="preserve">6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 show</w:t>
      </w:r>
      <w:r w:rsidR="00EF145B" w:rsidRPr="00EF145B">
        <w:rPr>
          <w:rFonts w:ascii="Times New Roman" w:hAnsi="Times New Roman" w:cs="Times New Roman"/>
          <w:color w:val="FF0000"/>
          <w:sz w:val="24"/>
          <w:szCs w:val="24"/>
        </w:rPr>
        <w:t>ed</w:t>
      </w:r>
      <w:r w:rsidRPr="00AC1A94">
        <w:rPr>
          <w:rFonts w:ascii="Times New Roman" w:hAnsi="Times New Roman" w:cs="Times New Roman"/>
          <w:sz w:val="24"/>
          <w:szCs w:val="24"/>
        </w:rPr>
        <w:t xml:space="preserve"> 78.33, 82.00, 83.54 days respectively, for the seed maturation is comparable early than FYM only and control. Early seed maturity is a desirable trait in garden peas. A higher phosphorus dose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encouraged significantly earlier maturity compared to T</w:t>
      </w:r>
      <w:r w:rsidRPr="00AC1A94">
        <w:rPr>
          <w:rFonts w:ascii="Times New Roman" w:hAnsi="Times New Roman" w:cs="Times New Roman"/>
          <w:sz w:val="24"/>
          <w:szCs w:val="24"/>
          <w:vertAlign w:val="subscript"/>
        </w:rPr>
        <w:t xml:space="preserve">7 </w:t>
      </w:r>
      <w:r w:rsidRPr="00AC1A94">
        <w:rPr>
          <w:rFonts w:ascii="Times New Roman" w:hAnsi="Times New Roman" w:cs="Times New Roman"/>
          <w:sz w:val="24"/>
          <w:szCs w:val="24"/>
        </w:rPr>
        <w:t xml:space="preserve">(60:50:70 N: P: K) suggesting that more water availability prolongs physiological activity while a higher phosphorus dose accelerates it. These findings are consistent with those of </w:t>
      </w:r>
      <w:commentRangeStart w:id="19"/>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t>
      </w:r>
      <w:commentRangeEnd w:id="19"/>
      <w:r w:rsidR="00EF145B">
        <w:rPr>
          <w:rStyle w:val="CommentReference"/>
        </w:rPr>
        <w:commentReference w:id="19"/>
      </w:r>
      <w:r w:rsidRPr="00AC1A94">
        <w:rPr>
          <w:rFonts w:ascii="Times New Roman" w:hAnsi="Times New Roman" w:cs="Times New Roman"/>
          <w:sz w:val="24"/>
          <w:szCs w:val="24"/>
        </w:rPr>
        <w:t>who also found that a higher phosphorus application resulted in earlier seed maturity.</w:t>
      </w:r>
    </w:p>
    <w:p w14:paraId="1AAA67F8" w14:textId="77777777" w:rsidR="001C40FB" w:rsidRPr="00AC1A94" w:rsidRDefault="001C40FB" w:rsidP="001C40FB">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Seeds/pod</w:t>
      </w:r>
    </w:p>
    <w:p w14:paraId="16635C0E" w14:textId="038DB233" w:rsidR="001C40FB" w:rsidRPr="00AC1A94" w:rsidRDefault="001C40FB"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 xml:space="preserve">Out of all the treatment taken for </w:t>
      </w:r>
      <w:r w:rsidR="00EF145B" w:rsidRPr="00AC1A94">
        <w:rPr>
          <w:rFonts w:ascii="Times New Roman" w:hAnsi="Times New Roman" w:cs="Times New Roman"/>
          <w:sz w:val="24"/>
          <w:szCs w:val="24"/>
        </w:rPr>
        <w:t>these experiments</w:t>
      </w:r>
      <w:r w:rsidR="00EF145B" w:rsidRPr="00EF145B">
        <w:rPr>
          <w:rFonts w:ascii="Times New Roman" w:hAnsi="Times New Roman" w:cs="Times New Roman"/>
          <w:color w:val="FF0000"/>
          <w:sz w:val="24"/>
          <w:szCs w:val="24"/>
        </w:rPr>
        <w:t>,</w:t>
      </w:r>
      <w:r w:rsidRPr="00AC1A94">
        <w:rPr>
          <w:rFonts w:ascii="Times New Roman" w:hAnsi="Times New Roman" w:cs="Times New Roman"/>
          <w:sz w:val="24"/>
          <w:szCs w:val="24"/>
        </w:rPr>
        <w:t xml:space="preserve"> 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recorded the maximum number of seeds/pod (7.83) and the least number of seeds per pod was recorded for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6.31.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T</w:t>
      </w:r>
      <w:r w:rsidRPr="00EF145B">
        <w:rPr>
          <w:rFonts w:ascii="Times New Roman" w:hAnsi="Times New Roman" w:cs="Times New Roman"/>
          <w:color w:val="FF0000"/>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w:t>
      </w:r>
      <w:r w:rsidRPr="00AC1A94">
        <w:rPr>
          <w:rFonts w:ascii="Times New Roman" w:hAnsi="Times New Roman" w:cs="Times New Roman"/>
          <w:sz w:val="24"/>
          <w:szCs w:val="24"/>
          <w:vertAlign w:val="subscript"/>
        </w:rPr>
        <w:t xml:space="preserve">6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w:t>
      </w:r>
      <w:r w:rsidR="00406288">
        <w:rPr>
          <w:rFonts w:ascii="Times New Roman" w:hAnsi="Times New Roman" w:cs="Times New Roman"/>
          <w:sz w:val="24"/>
          <w:szCs w:val="24"/>
        </w:rPr>
        <w:t xml:space="preserve"> </w:t>
      </w:r>
      <w:r w:rsidR="00406288" w:rsidRPr="00EF145B">
        <w:rPr>
          <w:rFonts w:ascii="Times New Roman" w:hAnsi="Times New Roman" w:cs="Times New Roman"/>
          <w:strike/>
          <w:color w:val="FF0000"/>
          <w:sz w:val="24"/>
          <w:szCs w:val="24"/>
        </w:rPr>
        <w:t>were</w:t>
      </w:r>
      <w:r w:rsidR="00406288">
        <w:rPr>
          <w:rFonts w:ascii="Times New Roman" w:hAnsi="Times New Roman" w:cs="Times New Roman"/>
          <w:sz w:val="24"/>
          <w:szCs w:val="24"/>
        </w:rPr>
        <w:t xml:space="preserve"> recorded 7.61, 7.18, 6.97</w:t>
      </w:r>
      <w:r w:rsidRPr="00AC1A94">
        <w:rPr>
          <w:rFonts w:ascii="Times New Roman" w:hAnsi="Times New Roman" w:cs="Times New Roman"/>
          <w:sz w:val="24"/>
          <w:szCs w:val="24"/>
        </w:rPr>
        <w:t xml:space="preserve"> and 6.73</w:t>
      </w:r>
      <w:commentRangeStart w:id="20"/>
      <w:r w:rsidRPr="00AC1A94">
        <w:rPr>
          <w:rFonts w:ascii="Times New Roman" w:hAnsi="Times New Roman" w:cs="Times New Roman"/>
          <w:sz w:val="24"/>
          <w:szCs w:val="24"/>
        </w:rPr>
        <w:t xml:space="preserve"> </w:t>
      </w:r>
      <w:commentRangeEnd w:id="20"/>
      <w:r w:rsidR="00EF145B">
        <w:rPr>
          <w:rStyle w:val="CommentReference"/>
        </w:rPr>
        <w:commentReference w:id="20"/>
      </w:r>
      <w:r w:rsidRPr="00AC1A94">
        <w:rPr>
          <w:rFonts w:ascii="Times New Roman" w:hAnsi="Times New Roman" w:cs="Times New Roman"/>
          <w:sz w:val="24"/>
          <w:szCs w:val="24"/>
        </w:rPr>
        <w:t xml:space="preserve">respectively </w:t>
      </w:r>
      <w:r w:rsidRPr="00EF145B">
        <w:rPr>
          <w:rFonts w:ascii="Times New Roman" w:hAnsi="Times New Roman" w:cs="Times New Roman"/>
          <w:strike/>
          <w:color w:val="FF0000"/>
          <w:sz w:val="24"/>
          <w:szCs w:val="24"/>
        </w:rPr>
        <w:t>numbers of seed per pod</w:t>
      </w:r>
      <w:r w:rsidRPr="00AC1A94">
        <w:rPr>
          <w:rFonts w:ascii="Times New Roman" w:hAnsi="Times New Roman" w:cs="Times New Roman"/>
          <w:sz w:val="24"/>
          <w:szCs w:val="24"/>
        </w:rPr>
        <w:t>. All the treatments show</w:t>
      </w:r>
      <w:r w:rsidR="00EF145B" w:rsidRPr="00EF145B">
        <w:rPr>
          <w:rFonts w:ascii="Times New Roman" w:hAnsi="Times New Roman" w:cs="Times New Roman"/>
          <w:color w:val="FF0000"/>
          <w:sz w:val="24"/>
          <w:szCs w:val="24"/>
        </w:rPr>
        <w:t>ed</w:t>
      </w:r>
      <w:r w:rsidRPr="00AC1A94">
        <w:rPr>
          <w:rFonts w:ascii="Times New Roman" w:hAnsi="Times New Roman" w:cs="Times New Roman"/>
          <w:sz w:val="24"/>
          <w:szCs w:val="24"/>
        </w:rPr>
        <w:t xml:space="preserve"> the higher number of seed per pod compared to treatment T</w:t>
      </w:r>
      <w:r w:rsidRPr="00AC1A94">
        <w:rPr>
          <w:rFonts w:ascii="Times New Roman" w:hAnsi="Times New Roman" w:cs="Times New Roman"/>
          <w:sz w:val="24"/>
          <w:szCs w:val="24"/>
          <w:vertAlign w:val="subscript"/>
        </w:rPr>
        <w:t xml:space="preserve">1 </w:t>
      </w:r>
      <w:r w:rsidRPr="00AC1A94">
        <w:rPr>
          <w:rFonts w:ascii="Times New Roman" w:hAnsi="Times New Roman" w:cs="Times New Roman"/>
          <w:sz w:val="24"/>
          <w:szCs w:val="24"/>
        </w:rPr>
        <w:t xml:space="preserve">(CONTROL).  Similarly, the number of seeds per pod is another important trait that directly contributes to seed </w:t>
      </w:r>
      <w:r w:rsidR="00406288" w:rsidRPr="00AC1A94">
        <w:rPr>
          <w:rFonts w:ascii="Times New Roman" w:hAnsi="Times New Roman" w:cs="Times New Roman"/>
          <w:sz w:val="24"/>
          <w:szCs w:val="24"/>
        </w:rPr>
        <w:t>yield;</w:t>
      </w:r>
      <w:r w:rsidRPr="00AC1A94">
        <w:rPr>
          <w:rFonts w:ascii="Times New Roman" w:hAnsi="Times New Roman" w:cs="Times New Roman"/>
          <w:sz w:val="24"/>
          <w:szCs w:val="24"/>
        </w:rPr>
        <w:t xml:space="preserve"> the highest phosphorus level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significantly increased the number of seeds per pod</w:t>
      </w:r>
      <w:r w:rsidR="00406288">
        <w:rPr>
          <w:rFonts w:ascii="Times New Roman" w:hAnsi="Times New Roman" w:cs="Times New Roman"/>
          <w:sz w:val="24"/>
          <w:szCs w:val="24"/>
        </w:rPr>
        <w:t xml:space="preserve"> </w:t>
      </w:r>
      <w:r w:rsidRPr="00AC1A94">
        <w:rPr>
          <w:rFonts w:ascii="Times New Roman" w:hAnsi="Times New Roman" w:cs="Times New Roman"/>
          <w:sz w:val="24"/>
          <w:szCs w:val="24"/>
        </w:rPr>
        <w:t xml:space="preserve">which may be due to the improved phosphorus availability in the soil in subsequent years. Additionally, </w:t>
      </w:r>
      <w:r w:rsidRPr="00AC1A94">
        <w:rPr>
          <w:rFonts w:ascii="Times New Roman" w:hAnsi="Times New Roman" w:cs="Times New Roman"/>
          <w:b/>
          <w:sz w:val="24"/>
          <w:szCs w:val="24"/>
        </w:rPr>
        <w:t xml:space="preserve">Bhatt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(2002)</w:t>
      </w:r>
      <w:r w:rsidRPr="00AC1A94">
        <w:rPr>
          <w:rFonts w:ascii="Times New Roman" w:hAnsi="Times New Roman" w:cs="Times New Roman"/>
          <w:sz w:val="24"/>
          <w:szCs w:val="24"/>
        </w:rPr>
        <w:t xml:space="preserve"> and </w:t>
      </w:r>
      <w:r w:rsidRPr="00AC1A94">
        <w:rPr>
          <w:rFonts w:ascii="Times New Roman" w:hAnsi="Times New Roman" w:cs="Times New Roman"/>
          <w:b/>
          <w:sz w:val="24"/>
          <w:szCs w:val="24"/>
        </w:rPr>
        <w:t xml:space="preserve">Dass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(2005) </w:t>
      </w:r>
      <w:r w:rsidRPr="00AC1A94">
        <w:rPr>
          <w:rFonts w:ascii="Times New Roman" w:hAnsi="Times New Roman" w:cs="Times New Roman"/>
          <w:sz w:val="24"/>
          <w:szCs w:val="24"/>
        </w:rPr>
        <w:t xml:space="preserve">noted a favourable response of phosphorus on the number of seeds per pod in both field and vegetable peas. This effect may be due to increased available soil phosphorus at the start of the third year. Phosphorus is crucial for energetic metabolism and biosynthetic processes as it is a component of ATP, NAD, NADP, and RNA, which are vital for cell multiplication and rapid vegetative growth </w:t>
      </w:r>
      <w:r w:rsidRPr="00AC1A94">
        <w:rPr>
          <w:rFonts w:ascii="Times New Roman" w:hAnsi="Times New Roman" w:cs="Times New Roman"/>
          <w:b/>
          <w:sz w:val="24"/>
          <w:szCs w:val="24"/>
        </w:rPr>
        <w:t>(</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1997).</w:t>
      </w:r>
      <w:r w:rsidRPr="00AC1A94">
        <w:rPr>
          <w:rFonts w:ascii="Times New Roman" w:hAnsi="Times New Roman" w:cs="Times New Roman"/>
          <w:sz w:val="24"/>
          <w:szCs w:val="24"/>
        </w:rPr>
        <w:t xml:space="preserve"> These findings are consistent with the studies by </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(1998)</w:t>
      </w:r>
      <w:r w:rsidRPr="00AC1A94">
        <w:rPr>
          <w:rFonts w:ascii="Times New Roman" w:hAnsi="Times New Roman" w:cs="Times New Roman"/>
          <w:sz w:val="24"/>
          <w:szCs w:val="24"/>
        </w:rPr>
        <w:t xml:space="preserve"> and </w:t>
      </w:r>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who also reported earlier flowering with higher phosphorus application. The non-</w:t>
      </w:r>
      <w:r w:rsidR="006C0E14" w:rsidRPr="00AC1A94">
        <w:rPr>
          <w:rFonts w:ascii="Times New Roman" w:hAnsi="Times New Roman" w:cs="Times New Roman"/>
          <w:sz w:val="24"/>
          <w:szCs w:val="24"/>
        </w:rPr>
        <w:t xml:space="preserve">significant </w:t>
      </w:r>
      <w:r w:rsidR="006C0E14">
        <w:rPr>
          <w:rFonts w:ascii="Times New Roman" w:hAnsi="Times New Roman" w:cs="Times New Roman"/>
          <w:sz w:val="24"/>
          <w:szCs w:val="24"/>
        </w:rPr>
        <w:t>effect</w:t>
      </w:r>
      <w:r w:rsidRPr="00AC1A94">
        <w:rPr>
          <w:rFonts w:ascii="Times New Roman" w:hAnsi="Times New Roman" w:cs="Times New Roman"/>
          <w:sz w:val="24"/>
          <w:szCs w:val="24"/>
        </w:rPr>
        <w:t xml:space="preserve"> of phosphorus levels may be attributed to the additional rainfall shortly after sowing.</w:t>
      </w:r>
    </w:p>
    <w:p w14:paraId="7CCF3915" w14:textId="77777777" w:rsidR="00010F72" w:rsidRPr="00AC1A94" w:rsidRDefault="006C0E14" w:rsidP="000D6837">
      <w:pPr>
        <w:ind w:hanging="90"/>
        <w:rPr>
          <w:rFonts w:ascii="Times New Roman" w:hAnsi="Times New Roman" w:cs="Times New Roman"/>
          <w:b/>
          <w:sz w:val="24"/>
          <w:szCs w:val="24"/>
        </w:rPr>
      </w:pPr>
      <w:r>
        <w:rPr>
          <w:rFonts w:ascii="Times New Roman" w:hAnsi="Times New Roman" w:cs="Times New Roman"/>
          <w:b/>
          <w:bCs/>
          <w:sz w:val="24"/>
          <w:szCs w:val="24"/>
        </w:rPr>
        <w:t xml:space="preserve"> </w:t>
      </w:r>
      <w:r w:rsidR="00010F72" w:rsidRPr="00AC1A94">
        <w:rPr>
          <w:rFonts w:ascii="Times New Roman" w:hAnsi="Times New Roman" w:cs="Times New Roman"/>
          <w:b/>
          <w:bCs/>
          <w:sz w:val="24"/>
          <w:szCs w:val="24"/>
        </w:rPr>
        <w:t>Seed yield (q/ha)</w:t>
      </w:r>
    </w:p>
    <w:p w14:paraId="34CDDD14" w14:textId="3A9CF623" w:rsidR="00B757D4" w:rsidRPr="00AC1A94" w:rsidRDefault="00010F72" w:rsidP="00B757D4">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 xml:space="preserve">2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xml:space="preserve">) recorded the highest seed yield per </w:t>
      </w:r>
      <w:r w:rsidR="00FE54C8" w:rsidRPr="00AC1A94">
        <w:rPr>
          <w:rFonts w:ascii="Times New Roman" w:hAnsi="Times New Roman" w:cs="Times New Roman"/>
          <w:sz w:val="24"/>
          <w:szCs w:val="24"/>
        </w:rPr>
        <w:t>ha</w:t>
      </w:r>
      <w:r w:rsidR="00FE54C8">
        <w:rPr>
          <w:rFonts w:ascii="Times New Roman" w:hAnsi="Times New Roman" w:cs="Times New Roman"/>
          <w:sz w:val="24"/>
          <w:szCs w:val="24"/>
        </w:rPr>
        <w:t xml:space="preserve"> </w:t>
      </w:r>
      <w:r w:rsidR="00FE54C8" w:rsidRPr="00AC1A94">
        <w:rPr>
          <w:rFonts w:ascii="Times New Roman" w:hAnsi="Times New Roman" w:cs="Times New Roman"/>
          <w:sz w:val="24"/>
          <w:szCs w:val="24"/>
        </w:rPr>
        <w:t>(</w:t>
      </w:r>
      <w:r w:rsidRPr="00AC1A94">
        <w:rPr>
          <w:rFonts w:ascii="Times New Roman" w:hAnsi="Times New Roman" w:cs="Times New Roman"/>
          <w:sz w:val="24"/>
          <w:szCs w:val="24"/>
          <w:lang w:val="en-US"/>
        </w:rPr>
        <w:t>28.57q/ha.</w:t>
      </w:r>
      <w:r w:rsidRPr="00AC1A94">
        <w:rPr>
          <w:rFonts w:ascii="Times New Roman" w:hAnsi="Times New Roman" w:cs="Times New Roman"/>
          <w:sz w:val="24"/>
          <w:szCs w:val="24"/>
        </w:rPr>
        <w:t>), which is significantly higher than the recommended dose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xml:space="preserve">) </w:t>
      </w:r>
      <w:r w:rsidR="00FE54C8" w:rsidRPr="00FE54C8">
        <w:rPr>
          <w:rFonts w:ascii="Times New Roman" w:hAnsi="Times New Roman" w:cs="Times New Roman"/>
          <w:color w:val="FF0000"/>
          <w:sz w:val="24"/>
          <w:szCs w:val="24"/>
        </w:rPr>
        <w:t xml:space="preserve">with </w:t>
      </w:r>
      <w:r w:rsidRPr="00AC1A94">
        <w:rPr>
          <w:rFonts w:ascii="Times New Roman" w:hAnsi="Times New Roman" w:cs="Times New Roman"/>
          <w:sz w:val="24"/>
          <w:szCs w:val="24"/>
          <w:lang w:val="en-US"/>
        </w:rPr>
        <w:t>26.79</w:t>
      </w:r>
      <w:r w:rsidR="00FE54C8">
        <w:rPr>
          <w:rFonts w:ascii="Times New Roman" w:hAnsi="Times New Roman" w:cs="Times New Roman"/>
          <w:sz w:val="24"/>
          <w:szCs w:val="24"/>
          <w:lang w:val="en-US"/>
        </w:rPr>
        <w:t xml:space="preserve"> </w:t>
      </w:r>
      <w:r w:rsidRPr="00AC1A94">
        <w:rPr>
          <w:rFonts w:ascii="Times New Roman" w:hAnsi="Times New Roman" w:cs="Times New Roman"/>
          <w:sz w:val="24"/>
          <w:szCs w:val="24"/>
          <w:lang w:val="en-US"/>
        </w:rPr>
        <w:t>q</w:t>
      </w:r>
      <w:r w:rsidR="00FE54C8">
        <w:rPr>
          <w:rFonts w:ascii="Times New Roman" w:hAnsi="Times New Roman" w:cs="Times New Roman"/>
          <w:sz w:val="24"/>
          <w:szCs w:val="24"/>
          <w:lang w:val="en-US"/>
        </w:rPr>
        <w:t>/</w:t>
      </w:r>
      <w:r w:rsidRPr="00AC1A94">
        <w:rPr>
          <w:rFonts w:ascii="Times New Roman" w:hAnsi="Times New Roman" w:cs="Times New Roman"/>
          <w:sz w:val="24"/>
          <w:szCs w:val="24"/>
          <w:lang w:val="en-US"/>
        </w:rPr>
        <w:t xml:space="preserve">ha.  </w:t>
      </w:r>
      <w:r w:rsidRPr="00FE54C8">
        <w:rPr>
          <w:rFonts w:ascii="Times New Roman" w:hAnsi="Times New Roman" w:cs="Times New Roman"/>
          <w:strike/>
          <w:color w:val="FF0000"/>
          <w:sz w:val="24"/>
          <w:szCs w:val="24"/>
          <w:lang w:val="en-US"/>
        </w:rPr>
        <w:t>per ha.</w:t>
      </w:r>
      <w:r w:rsidRPr="00AC1A94">
        <w:rPr>
          <w:rFonts w:ascii="Times New Roman" w:hAnsi="Times New Roman" w:cs="Times New Roman"/>
          <w:sz w:val="24"/>
          <w:szCs w:val="24"/>
          <w:lang w:val="en-US"/>
        </w:rPr>
        <w:t xml:space="preserve">  and T</w:t>
      </w:r>
      <w:r w:rsidRPr="00AC1A94">
        <w:rPr>
          <w:rFonts w:ascii="Times New Roman" w:hAnsi="Times New Roman" w:cs="Times New Roman"/>
          <w:sz w:val="24"/>
          <w:szCs w:val="24"/>
          <w:vertAlign w:val="subscript"/>
          <w:lang w:val="en-US"/>
        </w:rPr>
        <w:t>1</w:t>
      </w:r>
      <w:r w:rsidRPr="00AC1A94">
        <w:rPr>
          <w:rFonts w:ascii="Times New Roman" w:hAnsi="Times New Roman" w:cs="Times New Roman"/>
          <w:sz w:val="24"/>
          <w:szCs w:val="24"/>
          <w:lang w:val="en-US"/>
        </w:rPr>
        <w:t xml:space="preserve"> (Control)</w:t>
      </w:r>
      <w:commentRangeStart w:id="21"/>
      <w:r w:rsidRPr="00AC1A94">
        <w:rPr>
          <w:rFonts w:ascii="Times New Roman" w:hAnsi="Times New Roman" w:cs="Times New Roman"/>
          <w:sz w:val="24"/>
          <w:szCs w:val="24"/>
          <w:lang w:val="en-US"/>
        </w:rPr>
        <w:t xml:space="preserve"> </w:t>
      </w:r>
      <w:commentRangeEnd w:id="21"/>
      <w:r w:rsidR="00FE54C8">
        <w:rPr>
          <w:rStyle w:val="CommentReference"/>
        </w:rPr>
        <w:commentReference w:id="21"/>
      </w:r>
      <w:r w:rsidRPr="00AC1A94">
        <w:rPr>
          <w:rFonts w:ascii="Times New Roman" w:hAnsi="Times New Roman" w:cs="Times New Roman"/>
          <w:sz w:val="24"/>
          <w:szCs w:val="24"/>
          <w:lang w:val="en-US"/>
        </w:rPr>
        <w:t>16.74q/ha</w:t>
      </w:r>
      <w:r w:rsidRPr="00FE54C8">
        <w:rPr>
          <w:rFonts w:ascii="Times New Roman" w:hAnsi="Times New Roman" w:cs="Times New Roman"/>
          <w:strike/>
          <w:color w:val="FF0000"/>
          <w:sz w:val="24"/>
          <w:szCs w:val="24"/>
          <w:lang w:val="en-US"/>
        </w:rPr>
        <w:t>.  Seed yield per ha</w:t>
      </w:r>
      <w:r w:rsidRPr="00AC1A94">
        <w:rPr>
          <w:rFonts w:ascii="Times New Roman" w:hAnsi="Times New Roman" w:cs="Times New Roman"/>
          <w:sz w:val="24"/>
          <w:szCs w:val="24"/>
          <w:lang w:val="en-US"/>
        </w:rPr>
        <w:t xml:space="preserve">. </w:t>
      </w:r>
      <w:r w:rsidR="00B757D4" w:rsidRPr="00AC1A94">
        <w:rPr>
          <w:rFonts w:ascii="Times New Roman" w:hAnsi="Times New Roman" w:cs="Times New Roman"/>
          <w:sz w:val="24"/>
          <w:szCs w:val="24"/>
        </w:rPr>
        <w:t xml:space="preserve">Achieving a higher seed yield </w:t>
      </w:r>
      <w:r w:rsidR="00B757D4" w:rsidRPr="00AC1A94">
        <w:rPr>
          <w:rFonts w:ascii="Times New Roman" w:hAnsi="Times New Roman" w:cs="Times New Roman"/>
          <w:sz w:val="24"/>
          <w:szCs w:val="24"/>
        </w:rPr>
        <w:lastRenderedPageBreak/>
        <w:t xml:space="preserve">with good seed quality is the ultimate goal in any seed production program. Consistent with the results for pods per plant, seeds per pod, and biological yield, </w:t>
      </w:r>
      <w:r w:rsidR="00FE54C8" w:rsidRPr="00AC1A94">
        <w:rPr>
          <w:rFonts w:ascii="Times New Roman" w:hAnsi="Times New Roman" w:cs="Times New Roman"/>
          <w:sz w:val="24"/>
          <w:szCs w:val="24"/>
        </w:rPr>
        <w:t>the</w:t>
      </w:r>
      <w:r w:rsidR="00B757D4" w:rsidRPr="00AC1A94">
        <w:rPr>
          <w:rFonts w:ascii="Times New Roman" w:hAnsi="Times New Roman" w:cs="Times New Roman"/>
          <w:sz w:val="24"/>
          <w:szCs w:val="24"/>
        </w:rPr>
        <w:t xml:space="preserve"> highest phosphorus level (100 kg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 xml:space="preserve">5 </w:t>
      </w:r>
      <w:r w:rsidR="00B757D4" w:rsidRPr="00AC1A94">
        <w:rPr>
          <w:rFonts w:ascii="Times New Roman" w:hAnsi="Times New Roman" w:cs="Times New Roman"/>
          <w:sz w:val="24"/>
          <w:szCs w:val="24"/>
        </w:rPr>
        <w:t xml:space="preserve">Kg/ha) produced significantly higher seed yields compared to lower levels, </w:t>
      </w:r>
      <w:r w:rsidR="00FE54C8" w:rsidRPr="00AC1A94">
        <w:rPr>
          <w:rFonts w:ascii="Times New Roman" w:hAnsi="Times New Roman" w:cs="Times New Roman"/>
          <w:sz w:val="24"/>
          <w:szCs w:val="24"/>
        </w:rPr>
        <w:t>these</w:t>
      </w:r>
      <w:r w:rsidR="00B757D4" w:rsidRPr="00AC1A94">
        <w:rPr>
          <w:rFonts w:ascii="Times New Roman" w:hAnsi="Times New Roman" w:cs="Times New Roman"/>
          <w:sz w:val="24"/>
          <w:szCs w:val="24"/>
        </w:rPr>
        <w:t xml:space="preserve"> findings on the positive effects of phosphorus on seed yield are consistent with those of earlier researchers, including </w:t>
      </w:r>
      <w:r w:rsidR="00B757D4" w:rsidRPr="00AC1A94">
        <w:rPr>
          <w:rFonts w:ascii="Times New Roman" w:hAnsi="Times New Roman" w:cs="Times New Roman"/>
          <w:b/>
          <w:sz w:val="24"/>
          <w:szCs w:val="24"/>
        </w:rPr>
        <w:t xml:space="preserve">Singh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b/>
          <w:sz w:val="24"/>
          <w:szCs w:val="24"/>
        </w:rPr>
        <w:t>Kaushik and Chaubey (2003),</w:t>
      </w:r>
      <w:r w:rsidR="00B757D4" w:rsidRPr="00AC1A94">
        <w:rPr>
          <w:rFonts w:ascii="Times New Roman" w:hAnsi="Times New Roman" w:cs="Times New Roman"/>
          <w:sz w:val="24"/>
          <w:szCs w:val="24"/>
        </w:rPr>
        <w:t xml:space="preserve"> and </w:t>
      </w:r>
      <w:proofErr w:type="spellStart"/>
      <w:r w:rsidR="00B757D4" w:rsidRPr="00AC1A94">
        <w:rPr>
          <w:rFonts w:ascii="Times New Roman" w:hAnsi="Times New Roman" w:cs="Times New Roman"/>
          <w:b/>
          <w:sz w:val="24"/>
          <w:szCs w:val="24"/>
        </w:rPr>
        <w:t>Masand</w:t>
      </w:r>
      <w:proofErr w:type="spellEnd"/>
      <w:r w:rsidR="00B757D4"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(2006). Uddin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 Bhatt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(2002), and </w:t>
      </w:r>
      <w:proofErr w:type="spellStart"/>
      <w:r w:rsidR="00B757D4" w:rsidRPr="00AC1A94">
        <w:rPr>
          <w:rFonts w:ascii="Times New Roman" w:hAnsi="Times New Roman" w:cs="Times New Roman"/>
          <w:b/>
          <w:sz w:val="24"/>
          <w:szCs w:val="24"/>
        </w:rPr>
        <w:t>Masand</w:t>
      </w:r>
      <w:proofErr w:type="spellEnd"/>
      <w:r w:rsidR="00B757D4"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(2006)</w:t>
      </w:r>
      <w:r w:rsidR="00B757D4" w:rsidRPr="00AC1A94">
        <w:rPr>
          <w:rFonts w:ascii="Times New Roman" w:hAnsi="Times New Roman" w:cs="Times New Roman"/>
          <w:sz w:val="24"/>
          <w:szCs w:val="24"/>
        </w:rPr>
        <w:t xml:space="preserve"> also reported higher seed yields with the application of higher doses of phosphorus.</w:t>
      </w:r>
    </w:p>
    <w:p w14:paraId="0D65A233" w14:textId="04D3F117" w:rsidR="00FE54C8" w:rsidRPr="00FE54C8" w:rsidRDefault="00FE54C8" w:rsidP="006C0E14">
      <w:pPr>
        <w:spacing w:line="360" w:lineRule="auto"/>
        <w:ind w:hanging="90"/>
        <w:rPr>
          <w:rFonts w:ascii="Times New Roman" w:hAnsi="Times New Roman" w:cs="Times New Roman"/>
          <w:b/>
          <w:bCs/>
          <w:color w:val="FF0000"/>
          <w:sz w:val="24"/>
          <w:szCs w:val="24"/>
        </w:rPr>
      </w:pPr>
      <w:commentRangeStart w:id="22"/>
      <w:r w:rsidRPr="00FE54C8">
        <w:rPr>
          <w:rFonts w:ascii="Times New Roman" w:hAnsi="Times New Roman" w:cs="Times New Roman"/>
          <w:b/>
          <w:bCs/>
          <w:color w:val="FF0000"/>
          <w:sz w:val="24"/>
          <w:szCs w:val="24"/>
        </w:rPr>
        <w:t>Conclusion……………….?</w:t>
      </w:r>
      <w:commentRangeEnd w:id="22"/>
      <w:r>
        <w:rPr>
          <w:rStyle w:val="CommentReference"/>
        </w:rPr>
        <w:commentReference w:id="22"/>
      </w:r>
    </w:p>
    <w:p w14:paraId="58A72B3F" w14:textId="329B5DAE" w:rsidR="006C0E14" w:rsidRPr="0025172A" w:rsidRDefault="006C0E14" w:rsidP="006C0E14">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14:paraId="2032E7B4" w14:textId="77777777" w:rsidR="006C0E14" w:rsidRDefault="006C0E14" w:rsidP="006C0E14">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p w14:paraId="5BEFB9BC" w14:textId="77777777" w:rsidR="006C0E14" w:rsidRDefault="006C0E14" w:rsidP="006C0E14">
      <w:pPr>
        <w:spacing w:line="360" w:lineRule="auto"/>
        <w:ind w:right="27"/>
        <w:jc w:val="both"/>
        <w:rPr>
          <w:rFonts w:ascii="Times New Roman" w:hAnsi="Times New Roman" w:cs="Times New Roman"/>
          <w:b/>
          <w:bCs/>
          <w:sz w:val="24"/>
          <w:szCs w:val="24"/>
        </w:rPr>
      </w:pPr>
      <w:commentRangeStart w:id="23"/>
      <w:r w:rsidRPr="0025172A">
        <w:rPr>
          <w:rFonts w:ascii="Times New Roman" w:hAnsi="Times New Roman" w:cs="Times New Roman"/>
          <w:b/>
          <w:bCs/>
          <w:sz w:val="24"/>
          <w:szCs w:val="24"/>
        </w:rPr>
        <w:t>Competing Interests</w:t>
      </w:r>
    </w:p>
    <w:p w14:paraId="16B536DE" w14:textId="77777777" w:rsidR="006C0E14" w:rsidRPr="00665F7C" w:rsidRDefault="006C0E14" w:rsidP="006C0E14">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commentRangeEnd w:id="23"/>
      <w:r w:rsidR="00FE54C8">
        <w:rPr>
          <w:rStyle w:val="CommentReference"/>
        </w:rPr>
        <w:commentReference w:id="23"/>
      </w:r>
    </w:p>
    <w:p w14:paraId="4106A6C2" w14:textId="77777777" w:rsidR="00010F72" w:rsidRPr="00AC1A94" w:rsidRDefault="00010F72" w:rsidP="00010F72">
      <w:pPr>
        <w:spacing w:line="360" w:lineRule="auto"/>
        <w:ind w:right="26"/>
        <w:jc w:val="both"/>
        <w:rPr>
          <w:rFonts w:ascii="Times New Roman" w:hAnsi="Times New Roman" w:cs="Times New Roman"/>
          <w:sz w:val="24"/>
          <w:szCs w:val="24"/>
          <w:lang w:val="en-US"/>
        </w:rPr>
      </w:pPr>
    </w:p>
    <w:p w14:paraId="37383E96" w14:textId="77777777" w:rsidR="00010F72" w:rsidRPr="00AC1A94" w:rsidRDefault="00010F72" w:rsidP="00B847E4">
      <w:pPr>
        <w:rPr>
          <w:rFonts w:ascii="Times New Roman" w:hAnsi="Times New Roman" w:cs="Times New Roman"/>
          <w:b/>
          <w:sz w:val="24"/>
          <w:szCs w:val="24"/>
        </w:rPr>
      </w:pPr>
    </w:p>
    <w:p w14:paraId="03C5DFBB" w14:textId="77777777" w:rsidR="00DC3C7A" w:rsidRPr="00AC1A94" w:rsidRDefault="00DC3C7A" w:rsidP="00B847E4">
      <w:pPr>
        <w:rPr>
          <w:rFonts w:ascii="Times New Roman" w:hAnsi="Times New Roman" w:cs="Times New Roman"/>
          <w:b/>
          <w:sz w:val="24"/>
          <w:szCs w:val="24"/>
        </w:rPr>
      </w:pPr>
    </w:p>
    <w:p w14:paraId="11C3D3F5" w14:textId="77777777" w:rsidR="007A7C6D" w:rsidRPr="007A7C6D" w:rsidRDefault="007A7C6D" w:rsidP="007A7C6D">
      <w:pPr>
        <w:rPr>
          <w:rFonts w:ascii="Times New Roman" w:hAnsi="Times New Roman" w:cs="Times New Roman"/>
          <w:b/>
          <w:sz w:val="24"/>
          <w:szCs w:val="24"/>
        </w:rPr>
      </w:pPr>
      <w:r w:rsidRPr="007A7C6D">
        <w:rPr>
          <w:rFonts w:ascii="Times New Roman" w:hAnsi="Times New Roman" w:cs="Times New Roman"/>
          <w:b/>
          <w:sz w:val="24"/>
          <w:szCs w:val="24"/>
        </w:rPr>
        <w:t>COMPETING INTERESTS DISCLAIMER:</w:t>
      </w:r>
    </w:p>
    <w:p w14:paraId="5924B73D" w14:textId="20A718D3" w:rsidR="00DC3C7A" w:rsidRPr="00AC1A94" w:rsidRDefault="007A7C6D" w:rsidP="007A7C6D">
      <w:pPr>
        <w:rPr>
          <w:rFonts w:ascii="Times New Roman" w:hAnsi="Times New Roman" w:cs="Times New Roman"/>
          <w:b/>
          <w:sz w:val="24"/>
          <w:szCs w:val="24"/>
        </w:rPr>
      </w:pPr>
      <w:r w:rsidRPr="007A7C6D">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709682BD" w14:textId="77777777" w:rsidR="00DC3C7A" w:rsidRDefault="00DC3C7A" w:rsidP="00B847E4">
      <w:pPr>
        <w:rPr>
          <w:rFonts w:ascii="Times New Roman" w:hAnsi="Times New Roman" w:cs="Times New Roman"/>
          <w:b/>
          <w:sz w:val="24"/>
          <w:szCs w:val="24"/>
        </w:rPr>
      </w:pPr>
    </w:p>
    <w:p w14:paraId="592275DC" w14:textId="77777777" w:rsidR="008A1F3A" w:rsidRDefault="008A1F3A" w:rsidP="00B847E4">
      <w:pPr>
        <w:rPr>
          <w:rFonts w:ascii="Times New Roman" w:hAnsi="Times New Roman" w:cs="Times New Roman"/>
          <w:b/>
          <w:sz w:val="24"/>
          <w:szCs w:val="24"/>
        </w:rPr>
      </w:pPr>
    </w:p>
    <w:p w14:paraId="1A1053AA" w14:textId="77777777" w:rsidR="008A1F3A" w:rsidRPr="00AC1A94" w:rsidRDefault="008A1F3A" w:rsidP="00B847E4">
      <w:pPr>
        <w:rPr>
          <w:rFonts w:ascii="Times New Roman" w:hAnsi="Times New Roman" w:cs="Times New Roman"/>
          <w:b/>
          <w:sz w:val="24"/>
          <w:szCs w:val="24"/>
        </w:rPr>
      </w:pPr>
    </w:p>
    <w:p w14:paraId="7F6652F5" w14:textId="77777777" w:rsidR="00DC3C7A" w:rsidRPr="00AC1A94" w:rsidRDefault="00DC3C7A" w:rsidP="00B847E4">
      <w:pPr>
        <w:rPr>
          <w:rFonts w:ascii="Times New Roman" w:hAnsi="Times New Roman" w:cs="Times New Roman"/>
          <w:b/>
          <w:sz w:val="24"/>
          <w:szCs w:val="24"/>
        </w:rPr>
      </w:pPr>
    </w:p>
    <w:p w14:paraId="138975AC" w14:textId="77777777" w:rsidR="00DC3C7A" w:rsidRPr="00AC1A94" w:rsidRDefault="00DC3C7A" w:rsidP="00B847E4">
      <w:pPr>
        <w:rPr>
          <w:rFonts w:ascii="Times New Roman" w:hAnsi="Times New Roman" w:cs="Times New Roman"/>
          <w:b/>
          <w:sz w:val="24"/>
          <w:szCs w:val="24"/>
        </w:rPr>
      </w:pPr>
    </w:p>
    <w:p w14:paraId="3DDE1B2C" w14:textId="77777777" w:rsidR="00FE54C8" w:rsidRDefault="00FE54C8" w:rsidP="000D6837">
      <w:pPr>
        <w:ind w:hanging="90"/>
        <w:rPr>
          <w:rFonts w:ascii="Times New Roman" w:hAnsi="Times New Roman" w:cs="Times New Roman"/>
          <w:b/>
          <w:sz w:val="24"/>
          <w:szCs w:val="24"/>
        </w:rPr>
      </w:pPr>
    </w:p>
    <w:p w14:paraId="04048AF8" w14:textId="77777777" w:rsidR="00FE54C8" w:rsidRDefault="00FE54C8" w:rsidP="000D6837">
      <w:pPr>
        <w:ind w:hanging="90"/>
        <w:rPr>
          <w:rFonts w:ascii="Times New Roman" w:hAnsi="Times New Roman" w:cs="Times New Roman"/>
          <w:b/>
          <w:sz w:val="24"/>
          <w:szCs w:val="24"/>
        </w:rPr>
      </w:pPr>
    </w:p>
    <w:p w14:paraId="1B73F3EB" w14:textId="0CC53164" w:rsidR="000D6837" w:rsidRPr="00AC1A94" w:rsidRDefault="000D6837" w:rsidP="000D6837">
      <w:pPr>
        <w:ind w:hanging="90"/>
        <w:rPr>
          <w:rFonts w:ascii="Times New Roman" w:hAnsi="Times New Roman" w:cs="Times New Roman"/>
          <w:b/>
          <w:sz w:val="24"/>
          <w:szCs w:val="24"/>
        </w:rPr>
      </w:pPr>
      <w:r w:rsidRPr="00AC1A94">
        <w:rPr>
          <w:rFonts w:ascii="Times New Roman" w:hAnsi="Times New Roman" w:cs="Times New Roman"/>
          <w:b/>
          <w:sz w:val="24"/>
          <w:szCs w:val="24"/>
        </w:rPr>
        <w:lastRenderedPageBreak/>
        <w:t>References</w:t>
      </w:r>
    </w:p>
    <w:p w14:paraId="4A614D32" w14:textId="77777777" w:rsidR="00EA364A" w:rsidRPr="00AC1A94" w:rsidRDefault="00EA364A" w:rsidP="00EA364A">
      <w:pPr>
        <w:spacing w:line="240" w:lineRule="auto"/>
        <w:jc w:val="both"/>
        <w:rPr>
          <w:rFonts w:ascii="Times New Roman" w:hAnsi="Times New Roman" w:cs="Times New Roman"/>
          <w:sz w:val="24"/>
          <w:szCs w:val="24"/>
        </w:rPr>
      </w:pPr>
    </w:p>
    <w:p w14:paraId="11DB544E"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commentRangeStart w:id="24"/>
      <w:r w:rsidRPr="00AC1A94">
        <w:rPr>
          <w:rFonts w:ascii="Times New Roman" w:hAnsi="Times New Roman" w:cs="Times New Roman"/>
          <w:b/>
          <w:sz w:val="24"/>
          <w:szCs w:val="24"/>
        </w:rPr>
        <w:t xml:space="preserve">Ahlawat, </w:t>
      </w:r>
      <w:proofErr w:type="spellStart"/>
      <w:r w:rsidRPr="00AC1A94">
        <w:rPr>
          <w:rFonts w:ascii="Times New Roman" w:hAnsi="Times New Roman" w:cs="Times New Roman"/>
          <w:b/>
          <w:sz w:val="24"/>
          <w:szCs w:val="24"/>
        </w:rPr>
        <w:t>i.p.s</w:t>
      </w:r>
      <w:proofErr w:type="spellEnd"/>
      <w:r w:rsidRPr="00AC1A94">
        <w:rPr>
          <w:rFonts w:ascii="Times New Roman" w:hAnsi="Times New Roman" w:cs="Times New Roman"/>
          <w:b/>
          <w:sz w:val="24"/>
          <w:szCs w:val="24"/>
        </w:rPr>
        <w:t>. (1996).</w:t>
      </w:r>
      <w:r w:rsidRPr="00AC1A94">
        <w:rPr>
          <w:rFonts w:ascii="Times New Roman" w:hAnsi="Times New Roman" w:cs="Times New Roman"/>
          <w:sz w:val="24"/>
          <w:szCs w:val="24"/>
        </w:rPr>
        <w:t xml:space="preserve"> Response of </w:t>
      </w:r>
      <w:proofErr w:type="spellStart"/>
      <w:r w:rsidRPr="00AC1A94">
        <w:rPr>
          <w:rFonts w:ascii="Times New Roman" w:hAnsi="Times New Roman" w:cs="Times New Roman"/>
          <w:sz w:val="24"/>
          <w:szCs w:val="24"/>
        </w:rPr>
        <w:t>french</w:t>
      </w:r>
      <w:proofErr w:type="spellEnd"/>
      <w:r w:rsidRPr="00AC1A94">
        <w:rPr>
          <w:rFonts w:ascii="Times New Roman" w:hAnsi="Times New Roman" w:cs="Times New Roman"/>
          <w:sz w:val="24"/>
          <w:szCs w:val="24"/>
        </w:rPr>
        <w:t xml:space="preserve"> bean (</w:t>
      </w:r>
      <w:proofErr w:type="spellStart"/>
      <w:r w:rsidRPr="00AC1A94">
        <w:rPr>
          <w:rFonts w:ascii="Times New Roman" w:hAnsi="Times New Roman" w:cs="Times New Roman"/>
          <w:i/>
          <w:sz w:val="24"/>
          <w:szCs w:val="24"/>
        </w:rPr>
        <w:t>phaseolus</w:t>
      </w:r>
      <w:proofErr w:type="spellEnd"/>
      <w:r w:rsidRPr="00AC1A94">
        <w:rPr>
          <w:rFonts w:ascii="Times New Roman" w:hAnsi="Times New Roman" w:cs="Times New Roman"/>
          <w:i/>
          <w:sz w:val="24"/>
          <w:szCs w:val="24"/>
        </w:rPr>
        <w:t xml:space="preserve"> vulgaris</w:t>
      </w:r>
      <w:r w:rsidRPr="00AC1A94">
        <w:rPr>
          <w:rFonts w:ascii="Times New Roman" w:hAnsi="Times New Roman" w:cs="Times New Roman"/>
          <w:sz w:val="24"/>
          <w:szCs w:val="24"/>
        </w:rPr>
        <w:t xml:space="preserve"> L.) varieties to plant density and phosphorus level. Journal of agricultural sciences, </w:t>
      </w:r>
      <w:r w:rsidRPr="00AC1A94">
        <w:rPr>
          <w:rFonts w:ascii="Times New Roman" w:hAnsi="Times New Roman" w:cs="Times New Roman"/>
          <w:b/>
          <w:sz w:val="24"/>
          <w:szCs w:val="24"/>
        </w:rPr>
        <w:t>66</w:t>
      </w:r>
      <w:r w:rsidRPr="00AC1A94">
        <w:rPr>
          <w:rFonts w:ascii="Times New Roman" w:hAnsi="Times New Roman" w:cs="Times New Roman"/>
          <w:sz w:val="24"/>
          <w:szCs w:val="24"/>
        </w:rPr>
        <w:t>, 338-342</w:t>
      </w:r>
      <w:commentRangeEnd w:id="24"/>
      <w:r w:rsidR="00FE54C8">
        <w:rPr>
          <w:rStyle w:val="CommentReference"/>
        </w:rPr>
        <w:commentReference w:id="24"/>
      </w:r>
    </w:p>
    <w:p w14:paraId="263DDF5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Bahadur, V and Singh, T. (1990). </w:t>
      </w:r>
      <w:r w:rsidRPr="00AC1A94">
        <w:rPr>
          <w:rFonts w:ascii="Times New Roman" w:hAnsi="Times New Roman" w:cs="Times New Roman"/>
          <w:sz w:val="24"/>
          <w:szCs w:val="24"/>
        </w:rPr>
        <w:t>Yield and growth response of garden pea (</w:t>
      </w:r>
      <w:r w:rsidRPr="00AC1A94">
        <w:rPr>
          <w:rFonts w:ascii="Times New Roman" w:hAnsi="Times New Roman" w:cs="Times New Roman"/>
          <w:i/>
          <w:sz w:val="24"/>
          <w:szCs w:val="24"/>
        </w:rPr>
        <w:t xml:space="preserve">Pisum sativum </w:t>
      </w:r>
      <w:r w:rsidRPr="00AC1A94">
        <w:rPr>
          <w:rFonts w:ascii="Times New Roman" w:hAnsi="Times New Roman" w:cs="Times New Roman"/>
          <w:sz w:val="24"/>
          <w:szCs w:val="24"/>
        </w:rPr>
        <w:t xml:space="preserve">L.) to nitrogen and phosphorus application. Vegetable Science </w:t>
      </w:r>
      <w:r w:rsidRPr="00AC1A94">
        <w:rPr>
          <w:rFonts w:ascii="Times New Roman" w:hAnsi="Times New Roman" w:cs="Times New Roman"/>
          <w:b/>
          <w:sz w:val="24"/>
          <w:szCs w:val="24"/>
        </w:rPr>
        <w:t>17</w:t>
      </w:r>
      <w:r w:rsidRPr="00AC1A94">
        <w:rPr>
          <w:rFonts w:ascii="Times New Roman" w:hAnsi="Times New Roman" w:cs="Times New Roman"/>
          <w:sz w:val="24"/>
          <w:szCs w:val="24"/>
        </w:rPr>
        <w:t>: 205-209.</w:t>
      </w:r>
    </w:p>
    <w:p w14:paraId="2EAE16D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Barky, M.O., Abou El-Magad, M.M. and Omar, N.M. (1985).</w:t>
      </w:r>
      <w:r w:rsidRPr="00AC1A94">
        <w:rPr>
          <w:rFonts w:ascii="Times New Roman" w:hAnsi="Times New Roman" w:cs="Times New Roman"/>
          <w:sz w:val="24"/>
          <w:szCs w:val="24"/>
        </w:rPr>
        <w:t xml:space="preserve"> Growth and yield of pea plant as affected by water regime and phosphorus fertilization. Annals of Agricultural Sciences, </w:t>
      </w:r>
      <w:proofErr w:type="spellStart"/>
      <w:r w:rsidRPr="00AC1A94">
        <w:rPr>
          <w:rFonts w:ascii="Times New Roman" w:hAnsi="Times New Roman" w:cs="Times New Roman"/>
          <w:sz w:val="24"/>
          <w:szCs w:val="24"/>
        </w:rPr>
        <w:t>Moshtohor</w:t>
      </w:r>
      <w:proofErr w:type="spellEnd"/>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22</w:t>
      </w:r>
      <w:r w:rsidRPr="00AC1A94">
        <w:rPr>
          <w:rFonts w:ascii="Times New Roman" w:hAnsi="Times New Roman" w:cs="Times New Roman"/>
          <w:sz w:val="24"/>
          <w:szCs w:val="24"/>
        </w:rPr>
        <w:t>: 463-471.</w:t>
      </w:r>
    </w:p>
    <w:p w14:paraId="67AF618A"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commentRangeStart w:id="25"/>
      <w:r w:rsidRPr="00AC1A94">
        <w:rPr>
          <w:rFonts w:ascii="Times New Roman" w:hAnsi="Times New Roman" w:cs="Times New Roman"/>
          <w:b/>
          <w:sz w:val="24"/>
          <w:szCs w:val="24"/>
        </w:rPr>
        <w:t xml:space="preserve">Bhat A.T.; Gupta M.; Ganai M.A.; </w:t>
      </w:r>
      <w:proofErr w:type="spellStart"/>
      <w:r w:rsidRPr="00AC1A94">
        <w:rPr>
          <w:rFonts w:ascii="Times New Roman" w:hAnsi="Times New Roman" w:cs="Times New Roman"/>
          <w:b/>
          <w:sz w:val="24"/>
          <w:szCs w:val="24"/>
        </w:rPr>
        <w:t>Ahanger</w:t>
      </w:r>
      <w:proofErr w:type="spellEnd"/>
      <w:r w:rsidRPr="00AC1A94">
        <w:rPr>
          <w:rFonts w:ascii="Times New Roman" w:hAnsi="Times New Roman" w:cs="Times New Roman"/>
          <w:b/>
          <w:sz w:val="24"/>
          <w:szCs w:val="24"/>
        </w:rPr>
        <w:t xml:space="preserve"> A.R.; and Bhat A.H. (2013).</w:t>
      </w:r>
      <w:r w:rsidRPr="00AC1A94">
        <w:rPr>
          <w:rFonts w:ascii="Times New Roman" w:hAnsi="Times New Roman" w:cs="Times New Roman"/>
          <w:sz w:val="24"/>
          <w:szCs w:val="24"/>
        </w:rPr>
        <w:t xml:space="preserve"> Yield, soil health and nutrient utilization of field pea (</w:t>
      </w:r>
      <w:r w:rsidRPr="00AC1A94">
        <w:rPr>
          <w:rFonts w:ascii="Times New Roman" w:hAnsi="Times New Roman" w:cs="Times New Roman"/>
          <w:i/>
          <w:sz w:val="24"/>
          <w:szCs w:val="24"/>
        </w:rPr>
        <w:t xml:space="preserve">Pisum sativum </w:t>
      </w:r>
      <w:r w:rsidRPr="00AC1A94">
        <w:rPr>
          <w:rFonts w:ascii="Times New Roman" w:hAnsi="Times New Roman" w:cs="Times New Roman"/>
          <w:sz w:val="24"/>
          <w:szCs w:val="24"/>
        </w:rPr>
        <w:t xml:space="preserve">L.) as affected by phosphorus and bio-fertilizers under subtropical conditions of Jammu. International Journal of Modern Plant &amp; Animal Sciences, </w:t>
      </w:r>
      <w:r w:rsidRPr="00AC1A94">
        <w:rPr>
          <w:rFonts w:ascii="Times New Roman" w:hAnsi="Times New Roman" w:cs="Times New Roman"/>
          <w:b/>
          <w:sz w:val="24"/>
          <w:szCs w:val="24"/>
        </w:rPr>
        <w:t>1</w:t>
      </w:r>
      <w:r w:rsidRPr="00AC1A94">
        <w:rPr>
          <w:rFonts w:ascii="Times New Roman" w:hAnsi="Times New Roman" w:cs="Times New Roman"/>
          <w:sz w:val="24"/>
          <w:szCs w:val="24"/>
        </w:rPr>
        <w:t xml:space="preserve">(1): 1-8.  </w:t>
      </w:r>
      <w:commentRangeEnd w:id="25"/>
      <w:r w:rsidR="00FE54C8">
        <w:rPr>
          <w:rStyle w:val="CommentReference"/>
        </w:rPr>
        <w:commentReference w:id="25"/>
      </w:r>
    </w:p>
    <w:p w14:paraId="4E3DDBC0"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Bhatt, M.A., Sheikh, F.A. and </w:t>
      </w:r>
      <w:proofErr w:type="spellStart"/>
      <w:r w:rsidRPr="00AC1A94">
        <w:rPr>
          <w:rFonts w:ascii="Times New Roman" w:hAnsi="Times New Roman" w:cs="Times New Roman"/>
          <w:b/>
          <w:sz w:val="24"/>
          <w:szCs w:val="24"/>
        </w:rPr>
        <w:t>Salroo</w:t>
      </w:r>
      <w:proofErr w:type="spellEnd"/>
      <w:r w:rsidRPr="00AC1A94">
        <w:rPr>
          <w:rFonts w:ascii="Times New Roman" w:hAnsi="Times New Roman" w:cs="Times New Roman"/>
          <w:b/>
          <w:sz w:val="24"/>
          <w:szCs w:val="24"/>
        </w:rPr>
        <w:t>, M.Y. (2002).</w:t>
      </w:r>
      <w:r w:rsidRPr="00AC1A94">
        <w:rPr>
          <w:rFonts w:ascii="Times New Roman" w:hAnsi="Times New Roman" w:cs="Times New Roman"/>
          <w:sz w:val="24"/>
          <w:szCs w:val="24"/>
        </w:rPr>
        <w:t xml:space="preserve"> Response of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to sowing dates and phosphorus levels under Kashmir valley conditions. Advances in Plant Sciences </w:t>
      </w:r>
      <w:r w:rsidRPr="00AC1A94">
        <w:rPr>
          <w:rFonts w:ascii="Times New Roman" w:hAnsi="Times New Roman" w:cs="Times New Roman"/>
          <w:b/>
          <w:sz w:val="24"/>
          <w:szCs w:val="24"/>
        </w:rPr>
        <w:t>15</w:t>
      </w:r>
      <w:r w:rsidRPr="00AC1A94">
        <w:rPr>
          <w:rFonts w:ascii="Times New Roman" w:hAnsi="Times New Roman" w:cs="Times New Roman"/>
          <w:sz w:val="24"/>
          <w:szCs w:val="24"/>
        </w:rPr>
        <w:t>: 221-224.</w:t>
      </w:r>
    </w:p>
    <w:p w14:paraId="36242ED1"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Blixt, Frankel O H and Bennet E (1970)</w:t>
      </w:r>
      <w:r w:rsidRPr="00AC1A94">
        <w:rPr>
          <w:rFonts w:ascii="Times New Roman" w:hAnsi="Times New Roman" w:cs="Times New Roman"/>
          <w:sz w:val="24"/>
          <w:szCs w:val="24"/>
        </w:rPr>
        <w:t xml:space="preserve"> Pisum: Genetic resources in plants-Their exploration and conservation. Pp 321-26. Wiley-Blackwell Scientific Publishers, Oxford.  </w:t>
      </w:r>
    </w:p>
    <w:p w14:paraId="2524C824"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Chaubey, A. K. and Singh, S. B. (2004). </w:t>
      </w:r>
      <w:r w:rsidRPr="00AC1A94">
        <w:rPr>
          <w:rFonts w:ascii="Times New Roman" w:hAnsi="Times New Roman" w:cs="Times New Roman"/>
          <w:sz w:val="24"/>
          <w:szCs w:val="24"/>
        </w:rPr>
        <w:t>Growth and yield response of dwarf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to phosphorus and sulphur application in entisol. </w:t>
      </w:r>
      <w:proofErr w:type="spellStart"/>
      <w:r w:rsidRPr="00AC1A94">
        <w:rPr>
          <w:rFonts w:ascii="Times New Roman" w:hAnsi="Times New Roman" w:cs="Times New Roman"/>
          <w:sz w:val="24"/>
          <w:szCs w:val="24"/>
        </w:rPr>
        <w:t>Bioved</w:t>
      </w:r>
      <w:proofErr w:type="spellEnd"/>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15</w:t>
      </w:r>
      <w:r w:rsidRPr="00AC1A94">
        <w:rPr>
          <w:rFonts w:ascii="Times New Roman" w:hAnsi="Times New Roman" w:cs="Times New Roman"/>
          <w:sz w:val="24"/>
          <w:szCs w:val="24"/>
        </w:rPr>
        <w:t xml:space="preserve"> (1/2): 41-43.</w:t>
      </w:r>
    </w:p>
    <w:p w14:paraId="0F1EDA1C"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commentRangeStart w:id="26"/>
      <w:r w:rsidRPr="00AC1A94">
        <w:rPr>
          <w:rFonts w:ascii="Times New Roman" w:hAnsi="Times New Roman" w:cs="Times New Roman"/>
          <w:b/>
          <w:sz w:val="24"/>
          <w:szCs w:val="24"/>
        </w:rPr>
        <w:t>Choudhary, B. (1996).</w:t>
      </w:r>
      <w:r w:rsidRPr="00AC1A94">
        <w:rPr>
          <w:rFonts w:ascii="Times New Roman" w:hAnsi="Times New Roman" w:cs="Times New Roman"/>
          <w:sz w:val="24"/>
          <w:szCs w:val="24"/>
        </w:rPr>
        <w:t xml:space="preserve"> Vegetables. National Book Trust of India, New Delhi, 230p.</w:t>
      </w:r>
      <w:commentRangeEnd w:id="26"/>
      <w:r w:rsidR="00FE54C8">
        <w:rPr>
          <w:rStyle w:val="CommentReference"/>
        </w:rPr>
        <w:commentReference w:id="26"/>
      </w:r>
    </w:p>
    <w:p w14:paraId="2DA20D2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commentRangeStart w:id="27"/>
      <w:r w:rsidRPr="00AC1A94">
        <w:rPr>
          <w:rFonts w:ascii="Times New Roman" w:hAnsi="Times New Roman" w:cs="Times New Roman"/>
          <w:b/>
          <w:sz w:val="24"/>
          <w:szCs w:val="24"/>
        </w:rPr>
        <w:t xml:space="preserve">Dahl W J, Foster L M and Tyler R T (2012) </w:t>
      </w:r>
      <w:r w:rsidRPr="00AC1A94">
        <w:rPr>
          <w:rFonts w:ascii="Times New Roman" w:hAnsi="Times New Roman" w:cs="Times New Roman"/>
          <w:sz w:val="24"/>
          <w:szCs w:val="24"/>
        </w:rPr>
        <w:t>Review of the health benefits of peas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Br J Nutr </w:t>
      </w:r>
      <w:r w:rsidRPr="00AC1A94">
        <w:rPr>
          <w:rFonts w:ascii="Times New Roman" w:hAnsi="Times New Roman" w:cs="Times New Roman"/>
          <w:b/>
          <w:sz w:val="24"/>
          <w:szCs w:val="24"/>
        </w:rPr>
        <w:t>108</w:t>
      </w:r>
      <w:r w:rsidRPr="00AC1A94">
        <w:rPr>
          <w:rFonts w:ascii="Times New Roman" w:hAnsi="Times New Roman" w:cs="Times New Roman"/>
          <w:sz w:val="24"/>
          <w:szCs w:val="24"/>
        </w:rPr>
        <w:t>: 3-10.</w:t>
      </w:r>
    </w:p>
    <w:p w14:paraId="3CDF9F15" w14:textId="77777777" w:rsidR="00EA364A"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Dar, I. A.; Mir, A. H.; Megna Rashid and Nusrat Jan (2011).</w:t>
      </w:r>
      <w:r w:rsidRPr="00AC1A94">
        <w:rPr>
          <w:rFonts w:ascii="Times New Roman" w:hAnsi="Times New Roman" w:cs="Times New Roman"/>
          <w:sz w:val="24"/>
          <w:szCs w:val="24"/>
        </w:rPr>
        <w:t xml:space="preserve"> Effect of different levels of nitrogen and phosphorus on growth and yield of pea (</w:t>
      </w:r>
      <w:r w:rsidRPr="00D15D6F">
        <w:rPr>
          <w:rFonts w:ascii="Times New Roman" w:hAnsi="Times New Roman" w:cs="Times New Roman"/>
          <w:i/>
          <w:iCs/>
          <w:sz w:val="24"/>
          <w:szCs w:val="24"/>
        </w:rPr>
        <w:t>Pisum sativum</w:t>
      </w:r>
      <w:r w:rsidRPr="00AC1A94">
        <w:rPr>
          <w:rFonts w:ascii="Times New Roman" w:hAnsi="Times New Roman" w:cs="Times New Roman"/>
          <w:sz w:val="24"/>
          <w:szCs w:val="24"/>
        </w:rPr>
        <w:t xml:space="preserve"> L.) PU-7. New Agriculturist. </w:t>
      </w:r>
      <w:r w:rsidRPr="00AC1A94">
        <w:rPr>
          <w:rFonts w:ascii="Times New Roman" w:hAnsi="Times New Roman" w:cs="Times New Roman"/>
          <w:b/>
          <w:sz w:val="24"/>
          <w:szCs w:val="24"/>
        </w:rPr>
        <w:t>22</w:t>
      </w:r>
      <w:r w:rsidRPr="00AC1A94">
        <w:rPr>
          <w:rFonts w:ascii="Times New Roman" w:hAnsi="Times New Roman" w:cs="Times New Roman"/>
          <w:sz w:val="24"/>
          <w:szCs w:val="24"/>
        </w:rPr>
        <w:t xml:space="preserve"> (2): 199-201</w:t>
      </w:r>
      <w:commentRangeEnd w:id="27"/>
      <w:r w:rsidR="00FE54C8">
        <w:rPr>
          <w:rStyle w:val="CommentReference"/>
        </w:rPr>
        <w:commentReference w:id="27"/>
      </w:r>
      <w:r w:rsidRPr="00AC1A94">
        <w:rPr>
          <w:rFonts w:ascii="Times New Roman" w:hAnsi="Times New Roman" w:cs="Times New Roman"/>
          <w:sz w:val="24"/>
          <w:szCs w:val="24"/>
        </w:rPr>
        <w:t>.</w:t>
      </w:r>
    </w:p>
    <w:p w14:paraId="69E6C384" w14:textId="40F45CF0" w:rsidR="00D15D6F" w:rsidRPr="00AC1A94" w:rsidRDefault="00D15D6F" w:rsidP="00EA364A">
      <w:pPr>
        <w:spacing w:line="240" w:lineRule="auto"/>
        <w:ind w:left="900" w:right="26" w:hanging="900"/>
        <w:jc w:val="both"/>
        <w:rPr>
          <w:rFonts w:ascii="Times New Roman" w:hAnsi="Times New Roman" w:cs="Times New Roman"/>
          <w:sz w:val="24"/>
          <w:szCs w:val="24"/>
        </w:rPr>
      </w:pPr>
      <w:r w:rsidRPr="00D15D6F">
        <w:rPr>
          <w:rFonts w:ascii="Times New Roman" w:hAnsi="Times New Roman" w:cs="Times New Roman"/>
          <w:b/>
          <w:bCs/>
          <w:sz w:val="24"/>
          <w:szCs w:val="24"/>
        </w:rPr>
        <w:t>Dubey, S.K. 1997</w:t>
      </w:r>
      <w:r w:rsidRPr="00D15D6F">
        <w:rPr>
          <w:rFonts w:ascii="Times New Roman" w:hAnsi="Times New Roman" w:cs="Times New Roman"/>
          <w:sz w:val="24"/>
          <w:szCs w:val="24"/>
        </w:rPr>
        <w:t>. Co-inoculation of phosphorus bacteria with</w:t>
      </w:r>
      <w:r>
        <w:rPr>
          <w:rFonts w:ascii="Times New Roman" w:hAnsi="Times New Roman" w:cs="Times New Roman"/>
          <w:sz w:val="24"/>
          <w:szCs w:val="24"/>
        </w:rPr>
        <w:t xml:space="preserve"> </w:t>
      </w:r>
      <w:proofErr w:type="spellStart"/>
      <w:r w:rsidRPr="00D15D6F">
        <w:rPr>
          <w:rFonts w:ascii="Times New Roman" w:hAnsi="Times New Roman" w:cs="Times New Roman"/>
          <w:sz w:val="24"/>
          <w:szCs w:val="24"/>
        </w:rPr>
        <w:t>Bradyrhizobium</w:t>
      </w:r>
      <w:proofErr w:type="spellEnd"/>
      <w:r w:rsidRPr="00D15D6F">
        <w:rPr>
          <w:rFonts w:ascii="Times New Roman" w:hAnsi="Times New Roman" w:cs="Times New Roman"/>
          <w:sz w:val="24"/>
          <w:szCs w:val="24"/>
        </w:rPr>
        <w:t xml:space="preserve"> japonicum to increase phosphate availability to rain fed soybean in </w:t>
      </w:r>
      <w:proofErr w:type="spellStart"/>
      <w:r w:rsidRPr="00D15D6F">
        <w:rPr>
          <w:rFonts w:ascii="Times New Roman" w:hAnsi="Times New Roman" w:cs="Times New Roman"/>
          <w:sz w:val="24"/>
          <w:szCs w:val="24"/>
        </w:rPr>
        <w:t>vertisol</w:t>
      </w:r>
      <w:proofErr w:type="spellEnd"/>
      <w:r w:rsidRPr="00D15D6F">
        <w:rPr>
          <w:rFonts w:ascii="Times New Roman" w:hAnsi="Times New Roman" w:cs="Times New Roman"/>
          <w:sz w:val="24"/>
          <w:szCs w:val="24"/>
        </w:rPr>
        <w:t xml:space="preserve">. </w:t>
      </w:r>
      <w:r w:rsidRPr="00D15D6F">
        <w:rPr>
          <w:rFonts w:ascii="Times New Roman" w:hAnsi="Times New Roman" w:cs="Times New Roman"/>
          <w:i/>
          <w:iCs/>
          <w:sz w:val="24"/>
          <w:szCs w:val="24"/>
        </w:rPr>
        <w:t>Journal of the Indian Society of Soil Science</w:t>
      </w:r>
      <w:r>
        <w:rPr>
          <w:rFonts w:ascii="Times New Roman" w:hAnsi="Times New Roman" w:cs="Times New Roman"/>
          <w:sz w:val="24"/>
          <w:szCs w:val="24"/>
        </w:rPr>
        <w:t xml:space="preserve"> </w:t>
      </w:r>
      <w:r w:rsidRPr="00D15D6F">
        <w:rPr>
          <w:rFonts w:ascii="Times New Roman" w:hAnsi="Times New Roman" w:cs="Times New Roman"/>
          <w:sz w:val="24"/>
          <w:szCs w:val="24"/>
        </w:rPr>
        <w:t>45(3): 506–509.</w:t>
      </w:r>
    </w:p>
    <w:p w14:paraId="54E78574" w14:textId="77777777" w:rsidR="00EA364A" w:rsidRPr="00AC1A94" w:rsidRDefault="00EA364A" w:rsidP="00EA364A">
      <w:pPr>
        <w:spacing w:before="240" w:after="120" w:line="240" w:lineRule="auto"/>
        <w:ind w:left="900" w:right="26" w:hanging="900"/>
        <w:jc w:val="both"/>
        <w:rPr>
          <w:rFonts w:ascii="Times New Roman" w:hAnsi="Times New Roman" w:cs="Times New Roman"/>
          <w:sz w:val="24"/>
          <w:szCs w:val="24"/>
        </w:rPr>
      </w:pPr>
      <w:r w:rsidRPr="00FE54C8">
        <w:rPr>
          <w:rFonts w:ascii="Times New Roman" w:hAnsi="Times New Roman" w:cs="Times New Roman"/>
          <w:b/>
          <w:bCs/>
          <w:sz w:val="24"/>
          <w:szCs w:val="24"/>
          <w:highlight w:val="yellow"/>
        </w:rPr>
        <w:t xml:space="preserve">Fisher, R. A. and Yates, F. (1967). </w:t>
      </w:r>
      <w:r w:rsidRPr="00FE54C8">
        <w:rPr>
          <w:rFonts w:ascii="Times New Roman" w:hAnsi="Times New Roman" w:cs="Times New Roman"/>
          <w:sz w:val="24"/>
          <w:szCs w:val="24"/>
          <w:highlight w:val="yellow"/>
        </w:rPr>
        <w:t xml:space="preserve">Statistical Tables for Biological, Agricultural and Medical Research. </w:t>
      </w:r>
      <w:r w:rsidRPr="00FE54C8">
        <w:rPr>
          <w:rFonts w:ascii="Times New Roman" w:hAnsi="Times New Roman" w:cs="Times New Roman"/>
          <w:i/>
          <w:iCs/>
          <w:sz w:val="24"/>
          <w:szCs w:val="24"/>
          <w:highlight w:val="yellow"/>
        </w:rPr>
        <w:t>Oliver and Boyd, London</w:t>
      </w:r>
      <w:r w:rsidRPr="00FE54C8">
        <w:rPr>
          <w:rFonts w:ascii="Times New Roman" w:hAnsi="Times New Roman" w:cs="Times New Roman"/>
          <w:sz w:val="24"/>
          <w:szCs w:val="24"/>
          <w:highlight w:val="yellow"/>
        </w:rPr>
        <w:t xml:space="preserve">: 143 </w:t>
      </w:r>
      <w:commentRangeStart w:id="28"/>
      <w:r w:rsidRPr="00FE54C8">
        <w:rPr>
          <w:rFonts w:ascii="Times New Roman" w:hAnsi="Times New Roman" w:cs="Times New Roman"/>
          <w:sz w:val="24"/>
          <w:szCs w:val="24"/>
          <w:highlight w:val="yellow"/>
        </w:rPr>
        <w:t>p</w:t>
      </w:r>
      <w:commentRangeEnd w:id="28"/>
      <w:r w:rsidR="00FE54C8">
        <w:rPr>
          <w:rStyle w:val="CommentReference"/>
        </w:rPr>
        <w:commentReference w:id="28"/>
      </w:r>
      <w:r w:rsidRPr="00FE54C8">
        <w:rPr>
          <w:rFonts w:ascii="Times New Roman" w:hAnsi="Times New Roman" w:cs="Times New Roman"/>
          <w:sz w:val="24"/>
          <w:szCs w:val="24"/>
          <w:highlight w:val="yellow"/>
        </w:rPr>
        <w:t>.</w:t>
      </w:r>
    </w:p>
    <w:p w14:paraId="50F79F90"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commentRangeStart w:id="29"/>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S.P., Narayan, R. And Narayan, S. (1999).</w:t>
      </w:r>
      <w:r w:rsidRPr="00AC1A94">
        <w:rPr>
          <w:rFonts w:ascii="Times New Roman" w:hAnsi="Times New Roman" w:cs="Times New Roman"/>
          <w:sz w:val="24"/>
          <w:szCs w:val="24"/>
        </w:rPr>
        <w:t xml:space="preserve">  Effect of phosphorus and potassium on growth, yield and quality of French bean (</w:t>
      </w:r>
      <w:proofErr w:type="spellStart"/>
      <w:r w:rsidRPr="00AC1A94">
        <w:rPr>
          <w:rFonts w:ascii="Times New Roman" w:hAnsi="Times New Roman" w:cs="Times New Roman"/>
          <w:i/>
          <w:sz w:val="24"/>
          <w:szCs w:val="24"/>
        </w:rPr>
        <w:t>phaseolus</w:t>
      </w:r>
      <w:proofErr w:type="spellEnd"/>
      <w:r w:rsidRPr="00AC1A94">
        <w:rPr>
          <w:rFonts w:ascii="Times New Roman" w:hAnsi="Times New Roman" w:cs="Times New Roman"/>
          <w:i/>
          <w:sz w:val="24"/>
          <w:szCs w:val="24"/>
        </w:rPr>
        <w:t xml:space="preserve"> vulgaris</w:t>
      </w:r>
      <w:r w:rsidRPr="00AC1A94">
        <w:rPr>
          <w:rFonts w:ascii="Times New Roman" w:hAnsi="Times New Roman" w:cs="Times New Roman"/>
          <w:sz w:val="24"/>
          <w:szCs w:val="24"/>
        </w:rPr>
        <w:t xml:space="preserve"> L.) Cv. Contender. Vegetable science, </w:t>
      </w:r>
      <w:r w:rsidRPr="00AC1A94">
        <w:rPr>
          <w:rFonts w:ascii="Times New Roman" w:hAnsi="Times New Roman" w:cs="Times New Roman"/>
          <w:b/>
          <w:sz w:val="24"/>
          <w:szCs w:val="24"/>
        </w:rPr>
        <w:t>26</w:t>
      </w:r>
      <w:r w:rsidRPr="00AC1A94">
        <w:rPr>
          <w:rFonts w:ascii="Times New Roman" w:hAnsi="Times New Roman" w:cs="Times New Roman"/>
          <w:sz w:val="24"/>
          <w:szCs w:val="24"/>
        </w:rPr>
        <w:t>, 91-92</w:t>
      </w:r>
      <w:commentRangeEnd w:id="29"/>
      <w:r w:rsidR="00EF145B">
        <w:rPr>
          <w:rStyle w:val="CommentReference"/>
        </w:rPr>
        <w:commentReference w:id="29"/>
      </w:r>
    </w:p>
    <w:p w14:paraId="46B12AC8"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S. P.; Rastogi, K. B. and Sharma, S. K. (1997).</w:t>
      </w:r>
      <w:r w:rsidRPr="00AC1A94">
        <w:rPr>
          <w:rFonts w:ascii="Times New Roman" w:hAnsi="Times New Roman" w:cs="Times New Roman"/>
          <w:sz w:val="24"/>
          <w:szCs w:val="24"/>
        </w:rPr>
        <w:t xml:space="preserve"> Effect of phosphorus, potassium and Rhizobium inoculation on growth, yield and quality of pea cv. Lincoln. Vegetable Sci.</w:t>
      </w:r>
      <w:r w:rsidRPr="00AC1A94">
        <w:rPr>
          <w:rFonts w:ascii="Times New Roman" w:hAnsi="Times New Roman" w:cs="Times New Roman"/>
          <w:b/>
          <w:sz w:val="24"/>
          <w:szCs w:val="24"/>
        </w:rPr>
        <w:t xml:space="preserve"> 24</w:t>
      </w:r>
      <w:r w:rsidRPr="00AC1A94">
        <w:rPr>
          <w:rFonts w:ascii="Times New Roman" w:hAnsi="Times New Roman" w:cs="Times New Roman"/>
          <w:sz w:val="24"/>
          <w:szCs w:val="24"/>
        </w:rPr>
        <w:t xml:space="preserve"> (2): 91-94.</w:t>
      </w:r>
    </w:p>
    <w:p w14:paraId="15C321D6" w14:textId="77777777" w:rsidR="00EA364A" w:rsidRPr="00AC1A94" w:rsidRDefault="00EA364A" w:rsidP="00EA364A">
      <w:pPr>
        <w:spacing w:line="240" w:lineRule="auto"/>
        <w:ind w:left="900" w:right="26" w:hanging="900"/>
        <w:jc w:val="both"/>
        <w:rPr>
          <w:rFonts w:ascii="Times New Roman" w:hAnsi="Times New Roman" w:cs="Times New Roman"/>
          <w:sz w:val="24"/>
          <w:szCs w:val="24"/>
          <w:lang w:val="fi-FI"/>
        </w:rPr>
      </w:pPr>
      <w:commentRangeStart w:id="30"/>
      <w:proofErr w:type="spellStart"/>
      <w:r w:rsidRPr="00AC1A94">
        <w:rPr>
          <w:rFonts w:ascii="Times New Roman" w:hAnsi="Times New Roman" w:cs="Times New Roman"/>
          <w:b/>
          <w:sz w:val="24"/>
          <w:szCs w:val="24"/>
        </w:rPr>
        <w:lastRenderedPageBreak/>
        <w:t>Kanaujia</w:t>
      </w:r>
      <w:proofErr w:type="spellEnd"/>
      <w:r w:rsidRPr="00AC1A94">
        <w:rPr>
          <w:rFonts w:ascii="Times New Roman" w:hAnsi="Times New Roman" w:cs="Times New Roman"/>
          <w:b/>
          <w:sz w:val="24"/>
          <w:szCs w:val="24"/>
        </w:rPr>
        <w:t xml:space="preserve">, S. P.; Sharma, S. K. and Raj Narayan (2000). </w:t>
      </w:r>
      <w:r w:rsidRPr="00AC1A94">
        <w:rPr>
          <w:rFonts w:ascii="Times New Roman" w:hAnsi="Times New Roman" w:cs="Times New Roman"/>
          <w:sz w:val="24"/>
          <w:szCs w:val="24"/>
        </w:rPr>
        <w:t>Effect of phosphorus, potassium and Rhizobium inoculation on mineral composition of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w:t>
      </w:r>
      <w:r w:rsidRPr="00AC1A94">
        <w:rPr>
          <w:rFonts w:ascii="Times New Roman" w:hAnsi="Times New Roman" w:cs="Times New Roman"/>
          <w:sz w:val="24"/>
          <w:szCs w:val="24"/>
          <w:lang w:val="fi-FI"/>
        </w:rPr>
        <w:t xml:space="preserve">Horti. J. </w:t>
      </w:r>
      <w:r w:rsidRPr="00AC1A94">
        <w:rPr>
          <w:rFonts w:ascii="Times New Roman" w:hAnsi="Times New Roman" w:cs="Times New Roman"/>
          <w:b/>
          <w:sz w:val="24"/>
          <w:szCs w:val="24"/>
          <w:lang w:val="fi-FI"/>
        </w:rPr>
        <w:t>13</w:t>
      </w:r>
      <w:r w:rsidRPr="00AC1A94">
        <w:rPr>
          <w:rFonts w:ascii="Times New Roman" w:hAnsi="Times New Roman" w:cs="Times New Roman"/>
          <w:sz w:val="24"/>
          <w:szCs w:val="24"/>
          <w:lang w:val="fi-FI"/>
        </w:rPr>
        <w:t xml:space="preserve"> (2): 51-55.</w:t>
      </w:r>
      <w:commentRangeEnd w:id="30"/>
      <w:r w:rsidR="00EF145B">
        <w:rPr>
          <w:rStyle w:val="CommentReference"/>
        </w:rPr>
        <w:commentReference w:id="30"/>
      </w:r>
    </w:p>
    <w:p w14:paraId="79F5C6C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lang w:val="fi-FI"/>
        </w:rPr>
        <w:t xml:space="preserve">Kanaujia, S.P., Sharma, S.K and Rastogi, K.B. (1998). </w:t>
      </w:r>
      <w:r w:rsidRPr="00AC1A94">
        <w:rPr>
          <w:rFonts w:ascii="Times New Roman" w:hAnsi="Times New Roman" w:cs="Times New Roman"/>
          <w:sz w:val="24"/>
          <w:szCs w:val="24"/>
        </w:rPr>
        <w:t>Effect of phosphorus, potassium and Rhizobium inoculation on growth and yield of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Annals of Agricultural Research 19: 219-221.</w:t>
      </w:r>
    </w:p>
    <w:p w14:paraId="64D80820"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commentRangeStart w:id="31"/>
      <w:r w:rsidRPr="00AC1A94">
        <w:rPr>
          <w:rFonts w:ascii="Times New Roman" w:hAnsi="Times New Roman" w:cs="Times New Roman"/>
          <w:b/>
          <w:sz w:val="24"/>
          <w:szCs w:val="24"/>
        </w:rPr>
        <w:t>Kasturi Krishana, S. and Ahlawat, I.P.S. (1999).</w:t>
      </w:r>
      <w:r w:rsidRPr="00AC1A94">
        <w:rPr>
          <w:rFonts w:ascii="Times New Roman" w:hAnsi="Times New Roman" w:cs="Times New Roman"/>
          <w:sz w:val="24"/>
          <w:szCs w:val="24"/>
        </w:rPr>
        <w:t xml:space="preserve"> Growth and yield response of pea (Pisum sativum L.) to moisture stress, PSB and Zn fertilizer on growth and development. Indian Journal of Agronomy, 45 : 353-356.</w:t>
      </w:r>
      <w:commentRangeEnd w:id="31"/>
      <w:r w:rsidR="005E2A94">
        <w:rPr>
          <w:rStyle w:val="CommentReference"/>
        </w:rPr>
        <w:commentReference w:id="31"/>
      </w:r>
    </w:p>
    <w:p w14:paraId="4EBC9E3F" w14:textId="6CDEC589"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Kasturi </w:t>
      </w:r>
      <w:r w:rsidR="00FE54C8" w:rsidRPr="00AC1A94">
        <w:rPr>
          <w:rFonts w:ascii="Times New Roman" w:hAnsi="Times New Roman" w:cs="Times New Roman"/>
          <w:b/>
          <w:sz w:val="24"/>
          <w:szCs w:val="24"/>
        </w:rPr>
        <w:t>Krishna</w:t>
      </w:r>
      <w:r w:rsidRPr="00AC1A94">
        <w:rPr>
          <w:rFonts w:ascii="Times New Roman" w:hAnsi="Times New Roman" w:cs="Times New Roman"/>
          <w:b/>
          <w:sz w:val="24"/>
          <w:szCs w:val="24"/>
        </w:rPr>
        <w:t>, S. and Ahlawat, I. P. S. (2000).</w:t>
      </w:r>
      <w:r w:rsidRPr="00AC1A94">
        <w:rPr>
          <w:rFonts w:ascii="Times New Roman" w:hAnsi="Times New Roman" w:cs="Times New Roman"/>
          <w:sz w:val="24"/>
          <w:szCs w:val="24"/>
        </w:rPr>
        <w:t xml:space="preserve"> Effect of moisture stress and phosphorus, sulphur and zinc fertilizers on growth and development of pea (Pisum sativum). Indian J. Agron. </w:t>
      </w:r>
      <w:r w:rsidRPr="00AC1A94">
        <w:rPr>
          <w:rFonts w:ascii="Times New Roman" w:hAnsi="Times New Roman" w:cs="Times New Roman"/>
          <w:b/>
          <w:sz w:val="24"/>
          <w:szCs w:val="24"/>
        </w:rPr>
        <w:t xml:space="preserve">45 </w:t>
      </w:r>
      <w:r w:rsidRPr="00AC1A94">
        <w:rPr>
          <w:rFonts w:ascii="Times New Roman" w:hAnsi="Times New Roman" w:cs="Times New Roman"/>
          <w:sz w:val="24"/>
          <w:szCs w:val="24"/>
        </w:rPr>
        <w:t>(2): 353-356.</w:t>
      </w:r>
    </w:p>
    <w:p w14:paraId="350FC2EF"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Kaushik, M.K and Chaubey, A.K. (2003).</w:t>
      </w:r>
      <w:r w:rsidRPr="00AC1A94">
        <w:rPr>
          <w:rFonts w:ascii="Times New Roman" w:hAnsi="Times New Roman" w:cs="Times New Roman"/>
          <w:sz w:val="24"/>
          <w:szCs w:val="24"/>
        </w:rPr>
        <w:t xml:space="preserve"> Irrigation requirement of dwarf pea, HFP-4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sensu Lato) in sandy loam soils. New Agriculturist, </w:t>
      </w:r>
      <w:proofErr w:type="spellStart"/>
      <w:r w:rsidRPr="00AC1A94">
        <w:rPr>
          <w:rFonts w:ascii="Times New Roman" w:hAnsi="Times New Roman" w:cs="Times New Roman"/>
          <w:sz w:val="24"/>
          <w:szCs w:val="24"/>
        </w:rPr>
        <w:t>Bioved</w:t>
      </w:r>
      <w:proofErr w:type="spellEnd"/>
      <w:r w:rsidRPr="00AC1A94">
        <w:rPr>
          <w:rFonts w:ascii="Times New Roman" w:hAnsi="Times New Roman" w:cs="Times New Roman"/>
          <w:sz w:val="24"/>
          <w:szCs w:val="24"/>
        </w:rPr>
        <w:t xml:space="preserve"> Research Society 14: 19-21.  </w:t>
      </w:r>
    </w:p>
    <w:p w14:paraId="38B621D1"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proofErr w:type="spellStart"/>
      <w:r w:rsidRPr="00AC1A94">
        <w:rPr>
          <w:rFonts w:ascii="Times New Roman" w:hAnsi="Times New Roman" w:cs="Times New Roman"/>
          <w:b/>
          <w:sz w:val="24"/>
          <w:szCs w:val="24"/>
        </w:rPr>
        <w:t>Masand</w:t>
      </w:r>
      <w:proofErr w:type="spellEnd"/>
      <w:r w:rsidRPr="00AC1A94">
        <w:rPr>
          <w:rFonts w:ascii="Times New Roman" w:hAnsi="Times New Roman" w:cs="Times New Roman"/>
          <w:b/>
          <w:sz w:val="24"/>
          <w:szCs w:val="24"/>
        </w:rPr>
        <w:t>, S.S, Kapur, O.C and Bassi, K. (2006).</w:t>
      </w:r>
      <w:r w:rsidRPr="00AC1A94">
        <w:rPr>
          <w:rFonts w:ascii="Times New Roman" w:hAnsi="Times New Roman" w:cs="Times New Roman"/>
          <w:sz w:val="24"/>
          <w:szCs w:val="24"/>
        </w:rPr>
        <w:t xml:space="preserve"> Effect of irrigation and phosphorus on pea under limited water supply in </w:t>
      </w:r>
      <w:proofErr w:type="spellStart"/>
      <w:r w:rsidRPr="00AC1A94">
        <w:rPr>
          <w:rFonts w:ascii="Times New Roman" w:hAnsi="Times New Roman" w:cs="Times New Roman"/>
          <w:sz w:val="24"/>
          <w:szCs w:val="24"/>
        </w:rPr>
        <w:t>Kullu</w:t>
      </w:r>
      <w:proofErr w:type="spellEnd"/>
      <w:r w:rsidRPr="00AC1A94">
        <w:rPr>
          <w:rFonts w:ascii="Times New Roman" w:hAnsi="Times New Roman" w:cs="Times New Roman"/>
          <w:sz w:val="24"/>
          <w:szCs w:val="24"/>
        </w:rPr>
        <w:t xml:space="preserve"> valley of Himachal Pradesh. Presented in “National seminar on INM for balanced fertilization” held at CSKHPKV, Palampur </w:t>
      </w:r>
      <w:proofErr w:type="spellStart"/>
      <w:r w:rsidRPr="00AC1A94">
        <w:rPr>
          <w:rFonts w:ascii="Times New Roman" w:hAnsi="Times New Roman" w:cs="Times New Roman"/>
          <w:sz w:val="24"/>
          <w:szCs w:val="24"/>
        </w:rPr>
        <w:t>w.e.f</w:t>
      </w:r>
      <w:proofErr w:type="spellEnd"/>
      <w:r w:rsidRPr="00AC1A94">
        <w:rPr>
          <w:rFonts w:ascii="Times New Roman" w:hAnsi="Times New Roman" w:cs="Times New Roman"/>
          <w:sz w:val="24"/>
          <w:szCs w:val="24"/>
        </w:rPr>
        <w:t xml:space="preserve"> 17-18 November, 2006.  </w:t>
      </w:r>
    </w:p>
    <w:p w14:paraId="3E3C2458"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Rathi, G.S., Sharma, R.S. and Rajak, R.C. (1995).</w:t>
      </w:r>
      <w:r w:rsidRPr="00AC1A94">
        <w:rPr>
          <w:rFonts w:ascii="Times New Roman" w:hAnsi="Times New Roman" w:cs="Times New Roman"/>
          <w:sz w:val="24"/>
          <w:szCs w:val="24"/>
        </w:rPr>
        <w:t xml:space="preserve"> Effects of irrigation schedule and phosphorus on yield attributes and yield of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Indian Journal of Agronomy 40: 82-85.</w:t>
      </w:r>
    </w:p>
    <w:p w14:paraId="244B2082"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commentRangeStart w:id="32"/>
      <w:r w:rsidRPr="00AC1A94">
        <w:rPr>
          <w:rFonts w:ascii="Times New Roman" w:hAnsi="Times New Roman" w:cs="Times New Roman"/>
          <w:b/>
          <w:sz w:val="24"/>
          <w:szCs w:val="24"/>
        </w:rPr>
        <w:t>Rathi, G.S., Sharma, R.S. and Sachidanand, B. (1993).</w:t>
      </w:r>
      <w:r w:rsidRPr="00AC1A94">
        <w:rPr>
          <w:rFonts w:ascii="Times New Roman" w:hAnsi="Times New Roman" w:cs="Times New Roman"/>
          <w:sz w:val="24"/>
          <w:szCs w:val="24"/>
        </w:rPr>
        <w:t xml:space="preserve"> Effect of irrigation and phosphorus levels on protein content and uptake of nutrients in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 Journal of Soils and Crops 3: 80-83.</w:t>
      </w:r>
      <w:commentRangeEnd w:id="32"/>
      <w:r w:rsidR="005E2A94">
        <w:rPr>
          <w:rStyle w:val="CommentReference"/>
        </w:rPr>
        <w:commentReference w:id="32"/>
      </w:r>
    </w:p>
    <w:p w14:paraId="712ADB36"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Reddy, N.R.N and Ahlawat, I.P.S. (1998).</w:t>
      </w:r>
      <w:r w:rsidRPr="00AC1A94">
        <w:rPr>
          <w:rFonts w:ascii="Times New Roman" w:hAnsi="Times New Roman" w:cs="Times New Roman"/>
          <w:sz w:val="24"/>
          <w:szCs w:val="24"/>
        </w:rPr>
        <w:t xml:space="preserve"> Response of chickpea (</w:t>
      </w:r>
      <w:r w:rsidRPr="00AC1A94">
        <w:rPr>
          <w:rFonts w:ascii="Times New Roman" w:hAnsi="Times New Roman" w:cs="Times New Roman"/>
          <w:i/>
          <w:sz w:val="24"/>
          <w:szCs w:val="24"/>
        </w:rPr>
        <w:t>Cicer arietinum</w:t>
      </w:r>
      <w:r w:rsidRPr="00AC1A94">
        <w:rPr>
          <w:rFonts w:ascii="Times New Roman" w:hAnsi="Times New Roman" w:cs="Times New Roman"/>
          <w:sz w:val="24"/>
          <w:szCs w:val="24"/>
        </w:rPr>
        <w:t xml:space="preserve"> L.) genotypes to irrigation and fertilizers under late-sown conditions. Indian Journal of Agronomy 43: 95-101.</w:t>
      </w:r>
    </w:p>
    <w:p w14:paraId="1428AB78"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Tewari, J.K. and Singh, S.S. (2000).</w:t>
      </w:r>
      <w:r w:rsidRPr="00AC1A94">
        <w:rPr>
          <w:rFonts w:ascii="Times New Roman" w:hAnsi="Times New Roman" w:cs="Times New Roman"/>
          <w:sz w:val="24"/>
          <w:szCs w:val="24"/>
        </w:rPr>
        <w:t xml:space="preserve"> Effect of nitrogen and phosphorus on growth and seed yield of French bean (Phaseolus vulgaris L.). Vegetable Science </w:t>
      </w:r>
      <w:r w:rsidRPr="00AC1A94">
        <w:rPr>
          <w:rFonts w:ascii="Times New Roman" w:hAnsi="Times New Roman" w:cs="Times New Roman"/>
          <w:b/>
          <w:sz w:val="24"/>
          <w:szCs w:val="24"/>
        </w:rPr>
        <w:t>27</w:t>
      </w:r>
      <w:r w:rsidRPr="00AC1A94">
        <w:rPr>
          <w:rFonts w:ascii="Times New Roman" w:hAnsi="Times New Roman" w:cs="Times New Roman"/>
          <w:sz w:val="24"/>
          <w:szCs w:val="24"/>
        </w:rPr>
        <w:t>: 172-175.</w:t>
      </w:r>
    </w:p>
    <w:p w14:paraId="7746D004" w14:textId="77777777" w:rsidR="00EA364A" w:rsidRPr="00AC1A94" w:rsidRDefault="00EA364A" w:rsidP="00EA364A">
      <w:pPr>
        <w:spacing w:line="240" w:lineRule="auto"/>
        <w:ind w:left="900" w:right="26" w:hanging="900"/>
        <w:jc w:val="both"/>
        <w:rPr>
          <w:rFonts w:ascii="Times New Roman" w:hAnsi="Times New Roman" w:cs="Times New Roman"/>
          <w:sz w:val="24"/>
          <w:szCs w:val="24"/>
          <w:lang w:val="en-US"/>
        </w:rPr>
      </w:pPr>
      <w:r w:rsidRPr="00AC1A94">
        <w:rPr>
          <w:rFonts w:ascii="Times New Roman" w:hAnsi="Times New Roman" w:cs="Times New Roman"/>
          <w:b/>
          <w:color w:val="222222"/>
          <w:sz w:val="24"/>
          <w:szCs w:val="24"/>
          <w:shd w:val="clear" w:color="auto" w:fill="FFFFFF"/>
          <w:lang w:val="fi-FI"/>
        </w:rPr>
        <w:t>Uddin, S. N., Zakaria, M., Hossain, M. M., Hossain, T., &amp; Sirajul, A. J. M. (</w:t>
      </w:r>
      <w:commentRangeStart w:id="33"/>
      <w:r w:rsidRPr="00AC1A94">
        <w:rPr>
          <w:rFonts w:ascii="Times New Roman" w:hAnsi="Times New Roman" w:cs="Times New Roman"/>
          <w:b/>
          <w:color w:val="222222"/>
          <w:sz w:val="24"/>
          <w:szCs w:val="24"/>
          <w:shd w:val="clear" w:color="auto" w:fill="FFFFFF"/>
          <w:lang w:val="fi-FI"/>
        </w:rPr>
        <w:t>2023)</w:t>
      </w:r>
      <w:commentRangeEnd w:id="33"/>
      <w:r w:rsidR="005B38F5">
        <w:rPr>
          <w:rStyle w:val="CommentReference"/>
        </w:rPr>
        <w:commentReference w:id="33"/>
      </w:r>
      <w:r w:rsidRPr="00AC1A94">
        <w:rPr>
          <w:rFonts w:ascii="Times New Roman" w:hAnsi="Times New Roman" w:cs="Times New Roman"/>
          <w:b/>
          <w:color w:val="222222"/>
          <w:sz w:val="24"/>
          <w:szCs w:val="24"/>
          <w:shd w:val="clear" w:color="auto" w:fill="FFFFFF"/>
          <w:lang w:val="fi-FI"/>
        </w:rPr>
        <w:t>.</w:t>
      </w:r>
      <w:r w:rsidRPr="00AC1A94">
        <w:rPr>
          <w:rFonts w:ascii="Times New Roman" w:hAnsi="Times New Roman" w:cs="Times New Roman"/>
          <w:color w:val="222222"/>
          <w:sz w:val="24"/>
          <w:szCs w:val="24"/>
          <w:shd w:val="clear" w:color="auto" w:fill="FFFFFF"/>
          <w:lang w:val="fi-FI"/>
        </w:rPr>
        <w:t xml:space="preserve"> </w:t>
      </w:r>
      <w:r w:rsidRPr="00AC1A94">
        <w:rPr>
          <w:rFonts w:ascii="Times New Roman" w:hAnsi="Times New Roman" w:cs="Times New Roman"/>
          <w:color w:val="222222"/>
          <w:sz w:val="24"/>
          <w:szCs w:val="24"/>
          <w:shd w:val="clear" w:color="auto" w:fill="FFFFFF"/>
        </w:rPr>
        <w:t>Effect of NPK Fertilizers on Growth, Yield and Nutritional Quality of Garden Pea. </w:t>
      </w:r>
      <w:r w:rsidRPr="00AC1A94">
        <w:rPr>
          <w:rFonts w:ascii="Times New Roman" w:hAnsi="Times New Roman" w:cs="Times New Roman"/>
          <w:i/>
          <w:iCs/>
          <w:color w:val="222222"/>
          <w:sz w:val="24"/>
          <w:szCs w:val="24"/>
          <w:shd w:val="clear" w:color="auto" w:fill="FFFFFF"/>
        </w:rPr>
        <w:t>International Journal</w:t>
      </w:r>
      <w:r w:rsidRPr="00AC1A94">
        <w:rPr>
          <w:rFonts w:ascii="Times New Roman" w:hAnsi="Times New Roman" w:cs="Times New Roman"/>
          <w:color w:val="222222"/>
          <w:sz w:val="24"/>
          <w:szCs w:val="24"/>
          <w:shd w:val="clear" w:color="auto" w:fill="FFFFFF"/>
        </w:rPr>
        <w:t>, </w:t>
      </w:r>
      <w:r w:rsidRPr="00AC1A94">
        <w:rPr>
          <w:rFonts w:ascii="Times New Roman" w:hAnsi="Times New Roman" w:cs="Times New Roman"/>
          <w:b/>
          <w:i/>
          <w:iCs/>
          <w:color w:val="222222"/>
          <w:sz w:val="24"/>
          <w:szCs w:val="24"/>
          <w:shd w:val="clear" w:color="auto" w:fill="FFFFFF"/>
        </w:rPr>
        <w:t>3</w:t>
      </w:r>
      <w:r w:rsidRPr="00AC1A94">
        <w:rPr>
          <w:rFonts w:ascii="Times New Roman" w:hAnsi="Times New Roman" w:cs="Times New Roman"/>
          <w:color w:val="222222"/>
          <w:sz w:val="24"/>
          <w:szCs w:val="24"/>
          <w:shd w:val="clear" w:color="auto" w:fill="FFFFFF"/>
        </w:rPr>
        <w:t>(1), 1-6.</w:t>
      </w:r>
    </w:p>
    <w:p w14:paraId="72A716D8" w14:textId="77777777" w:rsidR="00EA364A" w:rsidRPr="00AC1A94" w:rsidRDefault="00EA364A" w:rsidP="00010F72">
      <w:pPr>
        <w:ind w:left="720" w:hanging="720"/>
        <w:jc w:val="both"/>
        <w:rPr>
          <w:rFonts w:ascii="Times New Roman" w:hAnsi="Times New Roman" w:cs="Times New Roman"/>
          <w:sz w:val="24"/>
          <w:szCs w:val="24"/>
        </w:rPr>
        <w:sectPr w:rsidR="00EA364A" w:rsidRPr="00AC1A94" w:rsidSect="005B7899">
          <w:headerReference w:type="even" r:id="rId11"/>
          <w:headerReference w:type="default" r:id="rId12"/>
          <w:footerReference w:type="even" r:id="rId13"/>
          <w:footerReference w:type="default" r:id="rId14"/>
          <w:headerReference w:type="first" r:id="rId15"/>
          <w:footerReference w:type="first" r:id="rId16"/>
          <w:pgSz w:w="11920" w:h="16850"/>
          <w:pgMar w:top="1350" w:right="1060" w:bottom="1600" w:left="1680" w:header="0" w:footer="1410" w:gutter="0"/>
          <w:pgNumType w:fmt="lowerRoman" w:start="1"/>
          <w:cols w:space="720"/>
        </w:sectPr>
      </w:pPr>
    </w:p>
    <w:p w14:paraId="0F24642B" w14:textId="77777777" w:rsidR="000D6837" w:rsidRPr="00AC1A94" w:rsidRDefault="000D6837" w:rsidP="000D6837">
      <w:pPr>
        <w:jc w:val="center"/>
        <w:rPr>
          <w:rFonts w:ascii="Times New Roman" w:hAnsi="Times New Roman" w:cs="Times New Roman"/>
          <w:b/>
          <w:sz w:val="28"/>
          <w:szCs w:val="28"/>
        </w:rPr>
      </w:pPr>
      <w:r w:rsidRPr="00AC1A94">
        <w:rPr>
          <w:rFonts w:ascii="Times New Roman" w:hAnsi="Times New Roman" w:cs="Times New Roman"/>
          <w:b/>
          <w:bCs/>
          <w:sz w:val="28"/>
          <w:szCs w:val="28"/>
        </w:rPr>
        <w:lastRenderedPageBreak/>
        <w:t>Table 1 :</w:t>
      </w:r>
      <w:r w:rsidRPr="00AC1A94">
        <w:rPr>
          <w:rFonts w:ascii="Times New Roman" w:hAnsi="Times New Roman" w:cs="Times New Roman"/>
          <w:b/>
          <w:sz w:val="28"/>
          <w:szCs w:val="28"/>
        </w:rPr>
        <w:t xml:space="preserve"> </w:t>
      </w:r>
      <w:r w:rsidR="00C46E30" w:rsidRPr="00AC1A94">
        <w:rPr>
          <w:rFonts w:ascii="Times New Roman" w:hAnsi="Times New Roman" w:cs="Times New Roman"/>
          <w:b/>
          <w:sz w:val="28"/>
          <w:szCs w:val="28"/>
          <w:lang w:val="en-US"/>
        </w:rPr>
        <w:t>Effect of Different Phosphorus Level on Growth and Yield of Garden Pea</w:t>
      </w:r>
    </w:p>
    <w:tbl>
      <w:tblPr>
        <w:tblStyle w:val="TableGrid"/>
        <w:tblW w:w="14868" w:type="dxa"/>
        <w:tblLayout w:type="fixed"/>
        <w:tblLook w:val="00A0" w:firstRow="1" w:lastRow="0" w:firstColumn="1" w:lastColumn="0" w:noHBand="0" w:noVBand="0"/>
      </w:tblPr>
      <w:tblGrid>
        <w:gridCol w:w="1008"/>
        <w:gridCol w:w="2070"/>
        <w:gridCol w:w="1075"/>
        <w:gridCol w:w="1260"/>
        <w:gridCol w:w="1350"/>
        <w:gridCol w:w="1708"/>
        <w:gridCol w:w="1622"/>
        <w:gridCol w:w="1260"/>
        <w:gridCol w:w="1535"/>
        <w:gridCol w:w="1980"/>
      </w:tblGrid>
      <w:tr w:rsidR="002D4840" w:rsidRPr="00AC1A94" w14:paraId="6FB9AEA1" w14:textId="77777777" w:rsidTr="002D4840">
        <w:trPr>
          <w:trHeight w:val="2303"/>
        </w:trPr>
        <w:tc>
          <w:tcPr>
            <w:tcW w:w="100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223774D" w14:textId="77777777" w:rsidR="002D4840" w:rsidRPr="00AC1A94" w:rsidRDefault="002D4840" w:rsidP="00076E99">
            <w:pPr>
              <w:contextualSpacing/>
              <w:jc w:val="center"/>
              <w:rPr>
                <w:rFonts w:ascii="Times New Roman" w:hAnsi="Times New Roman" w:cs="Times New Roman"/>
                <w:b/>
                <w:bCs/>
              </w:rPr>
            </w:pPr>
            <w:r w:rsidRPr="00AC1A94">
              <w:rPr>
                <w:rFonts w:ascii="Times New Roman" w:hAnsi="Times New Roman" w:cs="Times New Roman"/>
                <w:b/>
                <w:bCs/>
              </w:rPr>
              <w:t>Treatment  Symbols</w:t>
            </w:r>
          </w:p>
        </w:tc>
        <w:tc>
          <w:tcPr>
            <w:tcW w:w="207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5A488DC" w14:textId="77777777" w:rsidR="002D4840" w:rsidRPr="00AC1A94" w:rsidRDefault="002D4840" w:rsidP="00076E99">
            <w:pPr>
              <w:contextualSpacing/>
              <w:jc w:val="both"/>
              <w:rPr>
                <w:rFonts w:ascii="Times New Roman" w:hAnsi="Times New Roman" w:cs="Times New Roman"/>
                <w:b/>
                <w:bCs/>
              </w:rPr>
            </w:pPr>
            <w:r w:rsidRPr="00AC1A94">
              <w:rPr>
                <w:rFonts w:ascii="Times New Roman" w:hAnsi="Times New Roman" w:cs="Times New Roman"/>
                <w:b/>
                <w:bCs/>
              </w:rPr>
              <w:t xml:space="preserve">Treatment Detailed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32921" w14:textId="77777777" w:rsidR="002D4840" w:rsidRPr="00AC1A94" w:rsidRDefault="002D4840" w:rsidP="00363C89">
            <w:pPr>
              <w:ind w:hanging="90"/>
              <w:rPr>
                <w:rFonts w:ascii="Times New Roman" w:hAnsi="Times New Roman" w:cs="Times New Roman"/>
                <w:b/>
                <w:sz w:val="24"/>
                <w:szCs w:val="24"/>
              </w:rPr>
            </w:pPr>
            <w:r w:rsidRPr="00AC1A94">
              <w:rPr>
                <w:rFonts w:ascii="Times New Roman" w:hAnsi="Times New Roman" w:cs="Times New Roman"/>
                <w:b/>
                <w:sz w:val="24"/>
                <w:szCs w:val="24"/>
              </w:rPr>
              <w:t xml:space="preserve">    </w:t>
            </w:r>
          </w:p>
          <w:p w14:paraId="43EDB33A" w14:textId="77777777" w:rsidR="002D4840" w:rsidRPr="00AC1A94" w:rsidRDefault="002D4840" w:rsidP="00076E99">
            <w:pPr>
              <w:contextualSpacing/>
              <w:rPr>
                <w:rFonts w:ascii="Times New Roman" w:hAnsi="Times New Roman" w:cs="Times New Roman"/>
                <w:b/>
                <w:bCs/>
              </w:rPr>
            </w:pPr>
            <w:r w:rsidRPr="00AC1A94">
              <w:rPr>
                <w:rFonts w:ascii="Times New Roman" w:hAnsi="Times New Roman" w:cs="Times New Roman"/>
                <w:b/>
                <w:bCs/>
                <w:sz w:val="24"/>
                <w:szCs w:val="24"/>
              </w:rPr>
              <w:t>Days to 50 per cent emergence</w:t>
            </w:r>
          </w:p>
        </w:tc>
        <w:tc>
          <w:tcPr>
            <w:tcW w:w="1260" w:type="dxa"/>
            <w:tcBorders>
              <w:top w:val="single" w:sz="4" w:space="0" w:color="000000" w:themeColor="text1"/>
              <w:left w:val="single" w:sz="4" w:space="0" w:color="000000" w:themeColor="text1"/>
              <w:bottom w:val="single" w:sz="4" w:space="0" w:color="000000" w:themeColor="text1"/>
              <w:right w:val="single" w:sz="4" w:space="0" w:color="auto"/>
            </w:tcBorders>
          </w:tcPr>
          <w:p w14:paraId="1101828D" w14:textId="77777777" w:rsidR="002D4840" w:rsidRPr="00AC1A94" w:rsidRDefault="002D4840" w:rsidP="00363C89">
            <w:pPr>
              <w:spacing w:line="360" w:lineRule="auto"/>
              <w:ind w:right="26"/>
              <w:jc w:val="both"/>
              <w:rPr>
                <w:rFonts w:ascii="Times New Roman" w:hAnsi="Times New Roman" w:cs="Times New Roman"/>
                <w:sz w:val="24"/>
                <w:szCs w:val="24"/>
              </w:rPr>
            </w:pPr>
          </w:p>
          <w:p w14:paraId="01FA23D5" w14:textId="77777777" w:rsidR="002D4840" w:rsidRPr="00AC1A94" w:rsidRDefault="002D4840" w:rsidP="00584BE4">
            <w:pPr>
              <w:spacing w:line="360" w:lineRule="auto"/>
              <w:ind w:right="26"/>
              <w:jc w:val="both"/>
              <w:rPr>
                <w:rFonts w:ascii="Times New Roman" w:hAnsi="Times New Roman" w:cs="Times New Roman"/>
                <w:sz w:val="24"/>
                <w:szCs w:val="24"/>
              </w:rPr>
            </w:pPr>
            <w:r w:rsidRPr="00AC1A94">
              <w:rPr>
                <w:rFonts w:ascii="Times New Roman" w:hAnsi="Times New Roman" w:cs="Times New Roman"/>
                <w:b/>
                <w:bCs/>
                <w:sz w:val="24"/>
                <w:szCs w:val="24"/>
              </w:rPr>
              <w:t>Leaf area index (LAI)</w:t>
            </w:r>
          </w:p>
          <w:p w14:paraId="743D563A" w14:textId="77777777" w:rsidR="002D4840" w:rsidRPr="00AC1A94" w:rsidRDefault="002D4840" w:rsidP="00584BE4">
            <w:pPr>
              <w:spacing w:line="360" w:lineRule="auto"/>
              <w:ind w:right="26"/>
              <w:jc w:val="both"/>
              <w:rPr>
                <w:rFonts w:ascii="Times New Roman" w:hAnsi="Times New Roman" w:cs="Times New Roman"/>
                <w:b/>
                <w:bCs/>
              </w:rPr>
            </w:pPr>
          </w:p>
        </w:tc>
        <w:tc>
          <w:tcPr>
            <w:tcW w:w="1350" w:type="dxa"/>
            <w:tcBorders>
              <w:top w:val="single" w:sz="4" w:space="0" w:color="000000" w:themeColor="text1"/>
              <w:left w:val="single" w:sz="4" w:space="0" w:color="auto"/>
              <w:bottom w:val="single" w:sz="4" w:space="0" w:color="000000" w:themeColor="text1"/>
              <w:right w:val="single" w:sz="4" w:space="0" w:color="auto"/>
            </w:tcBorders>
          </w:tcPr>
          <w:p w14:paraId="7021E395" w14:textId="77777777" w:rsidR="002D4840" w:rsidRPr="00AC1A94" w:rsidRDefault="002D4840" w:rsidP="00584BE4">
            <w:pPr>
              <w:ind w:hanging="90"/>
              <w:rPr>
                <w:rFonts w:ascii="Times New Roman" w:hAnsi="Times New Roman" w:cs="Times New Roman"/>
                <w:b/>
                <w:bCs/>
              </w:rPr>
            </w:pPr>
            <w:r w:rsidRPr="00AC1A94">
              <w:rPr>
                <w:rFonts w:ascii="Times New Roman" w:hAnsi="Times New Roman" w:cs="Times New Roman"/>
                <w:b/>
                <w:bCs/>
                <w:sz w:val="24"/>
                <w:szCs w:val="24"/>
              </w:rPr>
              <w:t>Plant height (cm)</w:t>
            </w:r>
          </w:p>
        </w:tc>
        <w:tc>
          <w:tcPr>
            <w:tcW w:w="1708" w:type="dxa"/>
            <w:tcBorders>
              <w:top w:val="single" w:sz="4" w:space="0" w:color="000000" w:themeColor="text1"/>
              <w:left w:val="single" w:sz="4" w:space="0" w:color="auto"/>
              <w:bottom w:val="single" w:sz="4" w:space="0" w:color="000000" w:themeColor="text1"/>
              <w:right w:val="single" w:sz="4" w:space="0" w:color="000000" w:themeColor="text1"/>
            </w:tcBorders>
          </w:tcPr>
          <w:p w14:paraId="5F24CD47" w14:textId="77777777" w:rsidR="002D4840" w:rsidRPr="00AC1A94" w:rsidRDefault="002D4840" w:rsidP="00584BE4">
            <w:pPr>
              <w:ind w:hanging="90"/>
              <w:rPr>
                <w:rFonts w:ascii="Times New Roman" w:hAnsi="Times New Roman" w:cs="Times New Roman"/>
                <w:b/>
                <w:sz w:val="24"/>
                <w:szCs w:val="24"/>
              </w:rPr>
            </w:pPr>
            <w:r w:rsidRPr="00AC1A94">
              <w:rPr>
                <w:rFonts w:ascii="Times New Roman" w:hAnsi="Times New Roman" w:cs="Times New Roman"/>
                <w:b/>
                <w:bCs/>
                <w:sz w:val="24"/>
                <w:szCs w:val="24"/>
              </w:rPr>
              <w:t>Days to 50% flowering</w:t>
            </w:r>
          </w:p>
          <w:p w14:paraId="21E40A44" w14:textId="77777777" w:rsidR="002D4840" w:rsidRPr="00AC1A94" w:rsidRDefault="002D4840" w:rsidP="00584BE4">
            <w:pPr>
              <w:spacing w:line="360" w:lineRule="auto"/>
              <w:ind w:right="26"/>
              <w:jc w:val="both"/>
              <w:rPr>
                <w:rFonts w:ascii="Times New Roman" w:hAnsi="Times New Roman" w:cs="Times New Roman"/>
                <w:b/>
                <w:bCs/>
              </w:rPr>
            </w:pPr>
          </w:p>
        </w:tc>
        <w:tc>
          <w:tcPr>
            <w:tcW w:w="1622" w:type="dxa"/>
            <w:tcBorders>
              <w:top w:val="single" w:sz="4" w:space="0" w:color="000000" w:themeColor="text1"/>
              <w:left w:val="single" w:sz="4" w:space="0" w:color="000000" w:themeColor="text1"/>
              <w:bottom w:val="single" w:sz="4" w:space="0" w:color="000000" w:themeColor="text1"/>
              <w:right w:val="single" w:sz="4" w:space="0" w:color="auto"/>
            </w:tcBorders>
          </w:tcPr>
          <w:p w14:paraId="446A94A4" w14:textId="77777777" w:rsidR="002D4840" w:rsidRPr="00AC1A94" w:rsidRDefault="002D4840" w:rsidP="00584BE4">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seed maturity</w:t>
            </w:r>
          </w:p>
          <w:p w14:paraId="47D52B6C" w14:textId="77777777" w:rsidR="002D4840" w:rsidRPr="00AC1A94" w:rsidRDefault="002D4840" w:rsidP="00584BE4">
            <w:pPr>
              <w:spacing w:line="360" w:lineRule="auto"/>
              <w:ind w:right="26"/>
              <w:jc w:val="both"/>
              <w:rPr>
                <w:rFonts w:ascii="Times New Roman" w:hAnsi="Times New Roman" w:cs="Times New Roman"/>
                <w:b/>
                <w:bCs/>
              </w:rPr>
            </w:pPr>
          </w:p>
        </w:tc>
        <w:tc>
          <w:tcPr>
            <w:tcW w:w="1260" w:type="dxa"/>
            <w:tcBorders>
              <w:top w:val="single" w:sz="4" w:space="0" w:color="000000" w:themeColor="text1"/>
              <w:left w:val="single" w:sz="4" w:space="0" w:color="auto"/>
              <w:bottom w:val="single" w:sz="4" w:space="0" w:color="000000" w:themeColor="text1"/>
              <w:right w:val="single" w:sz="4" w:space="0" w:color="auto"/>
            </w:tcBorders>
          </w:tcPr>
          <w:p w14:paraId="57EFB1E3" w14:textId="77777777" w:rsidR="002D4840" w:rsidRPr="00AC1A94" w:rsidRDefault="002D4840" w:rsidP="00584BE4">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Pods/plant</w:t>
            </w:r>
          </w:p>
          <w:p w14:paraId="218841A2" w14:textId="77777777" w:rsidR="002D4840" w:rsidRPr="00AC1A94" w:rsidRDefault="002D4840" w:rsidP="00584BE4">
            <w:pPr>
              <w:spacing w:line="360" w:lineRule="auto"/>
              <w:ind w:right="26"/>
              <w:jc w:val="both"/>
              <w:rPr>
                <w:rFonts w:ascii="Times New Roman" w:hAnsi="Times New Roman" w:cs="Times New Roman"/>
                <w:b/>
                <w:bCs/>
              </w:rPr>
            </w:pPr>
          </w:p>
        </w:tc>
        <w:tc>
          <w:tcPr>
            <w:tcW w:w="1535" w:type="dxa"/>
            <w:tcBorders>
              <w:top w:val="single" w:sz="4" w:space="0" w:color="000000" w:themeColor="text1"/>
              <w:left w:val="single" w:sz="4" w:space="0" w:color="auto"/>
              <w:bottom w:val="single" w:sz="4" w:space="0" w:color="000000" w:themeColor="text1"/>
              <w:right w:val="single" w:sz="4" w:space="0" w:color="auto"/>
            </w:tcBorders>
          </w:tcPr>
          <w:p w14:paraId="034ABA79" w14:textId="77777777" w:rsidR="002D4840" w:rsidRPr="00AC1A94" w:rsidRDefault="002D4840" w:rsidP="00584BE4">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Seeds/pod</w:t>
            </w:r>
          </w:p>
          <w:p w14:paraId="64E06688" w14:textId="77777777" w:rsidR="002D4840" w:rsidRPr="00AC1A94" w:rsidRDefault="002D4840" w:rsidP="00584BE4">
            <w:pPr>
              <w:spacing w:line="360" w:lineRule="auto"/>
              <w:ind w:right="26"/>
              <w:jc w:val="both"/>
              <w:rPr>
                <w:rFonts w:ascii="Times New Roman" w:hAnsi="Times New Roman" w:cs="Times New Roman"/>
                <w:b/>
                <w:bCs/>
              </w:rPr>
            </w:pPr>
          </w:p>
        </w:tc>
        <w:tc>
          <w:tcPr>
            <w:tcW w:w="1980" w:type="dxa"/>
            <w:tcBorders>
              <w:top w:val="single" w:sz="4" w:space="0" w:color="000000" w:themeColor="text1"/>
              <w:left w:val="single" w:sz="4" w:space="0" w:color="auto"/>
              <w:bottom w:val="single" w:sz="4" w:space="0" w:color="000000" w:themeColor="text1"/>
              <w:right w:val="single" w:sz="4" w:space="0" w:color="000000" w:themeColor="text1"/>
            </w:tcBorders>
          </w:tcPr>
          <w:p w14:paraId="0FCA608E" w14:textId="77777777" w:rsidR="002D4840" w:rsidRPr="00AC1A94" w:rsidRDefault="002D4840" w:rsidP="00584BE4">
            <w:pPr>
              <w:ind w:hanging="90"/>
              <w:rPr>
                <w:rFonts w:ascii="Times New Roman" w:hAnsi="Times New Roman" w:cs="Times New Roman"/>
                <w:b/>
                <w:sz w:val="24"/>
                <w:szCs w:val="24"/>
              </w:rPr>
            </w:pPr>
            <w:r w:rsidRPr="00AC1A94">
              <w:rPr>
                <w:rFonts w:ascii="Times New Roman" w:hAnsi="Times New Roman" w:cs="Times New Roman"/>
                <w:b/>
                <w:bCs/>
                <w:sz w:val="24"/>
                <w:szCs w:val="24"/>
              </w:rPr>
              <w:t>Seed yield (q/ha)</w:t>
            </w:r>
          </w:p>
          <w:p w14:paraId="61E6D657" w14:textId="77777777" w:rsidR="002D4840" w:rsidRPr="00AC1A94" w:rsidRDefault="002D4840" w:rsidP="00076E99">
            <w:pPr>
              <w:contextualSpacing/>
              <w:jc w:val="center"/>
              <w:rPr>
                <w:rFonts w:ascii="Times New Roman" w:hAnsi="Times New Roman" w:cs="Times New Roman"/>
                <w:b/>
                <w:bCs/>
              </w:rPr>
            </w:pPr>
          </w:p>
        </w:tc>
      </w:tr>
      <w:tr w:rsidR="00C46E30" w:rsidRPr="00AC1A94" w14:paraId="0DCC4962" w14:textId="77777777" w:rsidTr="005C4EE6">
        <w:trPr>
          <w:trHeight w:val="204"/>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D4D5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T1</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C464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CONTROL</w:t>
            </w:r>
          </w:p>
        </w:tc>
        <w:tc>
          <w:tcPr>
            <w:tcW w:w="1075" w:type="dxa"/>
            <w:tcBorders>
              <w:top w:val="single" w:sz="4" w:space="0" w:color="000000" w:themeColor="text1"/>
              <w:left w:val="single" w:sz="4" w:space="0" w:color="auto"/>
              <w:bottom w:val="single" w:sz="4" w:space="0" w:color="000000" w:themeColor="text1"/>
              <w:right w:val="single" w:sz="4" w:space="0" w:color="auto"/>
            </w:tcBorders>
            <w:vAlign w:val="center"/>
          </w:tcPr>
          <w:p w14:paraId="3861564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16.20</w:t>
            </w:r>
          </w:p>
        </w:tc>
        <w:tc>
          <w:tcPr>
            <w:tcW w:w="1260" w:type="dxa"/>
            <w:tcBorders>
              <w:top w:val="single" w:sz="4" w:space="0" w:color="000000" w:themeColor="text1"/>
              <w:left w:val="single" w:sz="4" w:space="0" w:color="auto"/>
              <w:bottom w:val="single" w:sz="4" w:space="0" w:color="000000" w:themeColor="text1"/>
              <w:right w:val="single" w:sz="4" w:space="0" w:color="auto"/>
            </w:tcBorders>
            <w:vAlign w:val="center"/>
          </w:tcPr>
          <w:p w14:paraId="0936DF7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5.14</w:t>
            </w:r>
          </w:p>
        </w:tc>
        <w:tc>
          <w:tcPr>
            <w:tcW w:w="1350" w:type="dxa"/>
            <w:tcBorders>
              <w:top w:val="single" w:sz="4" w:space="0" w:color="000000" w:themeColor="text1"/>
              <w:left w:val="single" w:sz="4" w:space="0" w:color="auto"/>
              <w:bottom w:val="single" w:sz="4" w:space="0" w:color="000000" w:themeColor="text1"/>
              <w:right w:val="single" w:sz="4" w:space="0" w:color="auto"/>
            </w:tcBorders>
            <w:vAlign w:val="center"/>
          </w:tcPr>
          <w:p w14:paraId="1928C37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38.82</w:t>
            </w:r>
          </w:p>
        </w:tc>
        <w:tc>
          <w:tcPr>
            <w:tcW w:w="1708" w:type="dxa"/>
            <w:tcBorders>
              <w:top w:val="single" w:sz="4" w:space="0" w:color="000000" w:themeColor="text1"/>
              <w:left w:val="single" w:sz="4" w:space="0" w:color="auto"/>
              <w:bottom w:val="single" w:sz="4" w:space="0" w:color="000000" w:themeColor="text1"/>
              <w:right w:val="single" w:sz="4" w:space="0" w:color="auto"/>
            </w:tcBorders>
            <w:vAlign w:val="center"/>
          </w:tcPr>
          <w:p w14:paraId="4BE0364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59.5</w:t>
            </w:r>
          </w:p>
        </w:tc>
        <w:tc>
          <w:tcPr>
            <w:tcW w:w="1622" w:type="dxa"/>
            <w:tcBorders>
              <w:top w:val="single" w:sz="4" w:space="0" w:color="000000" w:themeColor="text1"/>
              <w:left w:val="single" w:sz="4" w:space="0" w:color="auto"/>
              <w:bottom w:val="single" w:sz="4" w:space="0" w:color="000000" w:themeColor="text1"/>
              <w:right w:val="single" w:sz="4" w:space="0" w:color="auto"/>
            </w:tcBorders>
            <w:vAlign w:val="center"/>
          </w:tcPr>
          <w:p w14:paraId="7390020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90.44</w:t>
            </w:r>
          </w:p>
        </w:tc>
        <w:tc>
          <w:tcPr>
            <w:tcW w:w="1260" w:type="dxa"/>
            <w:tcBorders>
              <w:top w:val="single" w:sz="4" w:space="0" w:color="000000" w:themeColor="text1"/>
              <w:left w:val="single" w:sz="4" w:space="0" w:color="auto"/>
              <w:bottom w:val="single" w:sz="4" w:space="0" w:color="000000" w:themeColor="text1"/>
              <w:right w:val="single" w:sz="4" w:space="0" w:color="auto"/>
            </w:tcBorders>
            <w:vAlign w:val="center"/>
          </w:tcPr>
          <w:p w14:paraId="76AAF9D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10.42</w:t>
            </w:r>
          </w:p>
        </w:tc>
        <w:tc>
          <w:tcPr>
            <w:tcW w:w="1535" w:type="dxa"/>
            <w:tcBorders>
              <w:top w:val="single" w:sz="4" w:space="0" w:color="000000" w:themeColor="text1"/>
              <w:left w:val="single" w:sz="4" w:space="0" w:color="auto"/>
              <w:bottom w:val="single" w:sz="4" w:space="0" w:color="000000" w:themeColor="text1"/>
              <w:right w:val="single" w:sz="4" w:space="0" w:color="auto"/>
            </w:tcBorders>
            <w:vAlign w:val="center"/>
          </w:tcPr>
          <w:p w14:paraId="183FC6F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5.71</w:t>
            </w:r>
          </w:p>
        </w:tc>
        <w:tc>
          <w:tcPr>
            <w:tcW w:w="198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BF953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16.74</w:t>
            </w:r>
          </w:p>
        </w:tc>
      </w:tr>
      <w:tr w:rsidR="00C46E30" w:rsidRPr="00AC1A94" w14:paraId="35140166" w14:textId="77777777" w:rsidTr="005C4EE6">
        <w:trPr>
          <w:trHeight w:val="180"/>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7E56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T2</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79D9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60:100:70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5A4A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14.64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ADC6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7.61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75D8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49.70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BB75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48.2</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67B3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75.24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3018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15.19</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E18C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7.83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9F68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28.57</w:t>
            </w:r>
          </w:p>
        </w:tc>
      </w:tr>
      <w:tr w:rsidR="00C46E30" w:rsidRPr="00AC1A94" w14:paraId="48F4BD89" w14:textId="77777777" w:rsidTr="005C4EE6">
        <w:trPr>
          <w:trHeight w:val="202"/>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663C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T3</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F565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60:90:70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0EBA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14.89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E270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7.30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C604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47.65</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6861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50.5</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31B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78.33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080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13.78</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2CD4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7.61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9393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26.79</w:t>
            </w:r>
          </w:p>
        </w:tc>
      </w:tr>
      <w:tr w:rsidR="00C46E30" w:rsidRPr="00AC1A94" w14:paraId="2455AB84"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8005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T4</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D2060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F626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F44B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CE46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2D97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CD3D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7A86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3AA2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4030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25.48</w:t>
            </w:r>
          </w:p>
        </w:tc>
      </w:tr>
      <w:tr w:rsidR="00C46E30" w:rsidRPr="00AC1A94" w14:paraId="2B7E26DB"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A1BDC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B029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60:70:70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F3FA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15.42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90F7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6.61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2BAA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44.90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010A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55.5</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CC5E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82.00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09E2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11.93</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F642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6.97</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30CC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24.37</w:t>
            </w:r>
          </w:p>
        </w:tc>
      </w:tr>
      <w:tr w:rsidR="00C46E30" w:rsidRPr="00AC1A94" w14:paraId="587C7B5A"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A55D1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T6</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0809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60:60:70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2D14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15.54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3DDF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6737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43.68</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975C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56.1</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908D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83.54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447D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11.36</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4DDF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53FC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23.68</w:t>
            </w:r>
          </w:p>
        </w:tc>
      </w:tr>
      <w:tr w:rsidR="00C46E30" w:rsidRPr="00AC1A94" w14:paraId="351003A2"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4FF2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T7</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DD57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60:50:70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1E1B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15.76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DBE0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5.50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07BB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42.56</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5B5E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57.7</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023C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85.67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9605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10.91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285C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6.31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42E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22.82</w:t>
            </w:r>
          </w:p>
        </w:tc>
      </w:tr>
      <w:tr w:rsidR="00C46E30" w:rsidRPr="00AC1A94" w14:paraId="7E541D0E"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834B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N: P: K</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A582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4683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F11F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0567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10B9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7425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590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83AD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5AB2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25.58</w:t>
            </w:r>
          </w:p>
        </w:tc>
      </w:tr>
      <w:tr w:rsidR="00C46E30" w:rsidRPr="00AC1A94" w14:paraId="198C7BE7"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BA84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FYM</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3B84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20 ton/h</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1922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15.92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1910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5.24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59AB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37.25</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D9B9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7281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89.42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A606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10.18</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081D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2FBA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18.79</w:t>
            </w:r>
          </w:p>
        </w:tc>
      </w:tr>
      <w:tr w:rsidR="00C46E30" w:rsidRPr="00AC1A94" w14:paraId="39AEBE03"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9FEA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RDF</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BD75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0E9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1F0E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3EAA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E7BA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ADE8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8D77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E96A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6FEE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25.58</w:t>
            </w:r>
          </w:p>
        </w:tc>
      </w:tr>
    </w:tbl>
    <w:p w14:paraId="7FBC52DA" w14:textId="77777777" w:rsidR="000D6837" w:rsidRPr="00AC1A94" w:rsidRDefault="000D6837" w:rsidP="000D6837">
      <w:pPr>
        <w:rPr>
          <w:rFonts w:ascii="Times New Roman" w:hAnsi="Times New Roman" w:cs="Times New Roman"/>
        </w:rPr>
      </w:pPr>
    </w:p>
    <w:p w14:paraId="76C36642" w14:textId="77777777" w:rsidR="00723E35" w:rsidRPr="00AC1A94" w:rsidRDefault="000D6837" w:rsidP="000D6837">
      <w:pPr>
        <w:rPr>
          <w:rFonts w:ascii="Times New Roman" w:hAnsi="Times New Roman" w:cs="Times New Roman"/>
          <w:b/>
          <w:bCs/>
          <w:sz w:val="24"/>
          <w:szCs w:val="24"/>
        </w:rPr>
      </w:pPr>
      <w:r w:rsidRPr="00AC1A94">
        <w:rPr>
          <w:rFonts w:ascii="Times New Roman" w:hAnsi="Times New Roman" w:cs="Times New Roman"/>
          <w:b/>
          <w:bCs/>
          <w:sz w:val="24"/>
          <w:szCs w:val="24"/>
        </w:rPr>
        <w:t xml:space="preserve">                                         </w:t>
      </w:r>
    </w:p>
    <w:p w14:paraId="4136F5ED" w14:textId="77777777" w:rsidR="00723E35" w:rsidRPr="00AC1A94" w:rsidRDefault="00723E35" w:rsidP="000D6837">
      <w:pPr>
        <w:rPr>
          <w:rFonts w:ascii="Times New Roman" w:hAnsi="Times New Roman" w:cs="Times New Roman"/>
          <w:b/>
          <w:bCs/>
          <w:sz w:val="24"/>
          <w:szCs w:val="24"/>
        </w:rPr>
      </w:pPr>
    </w:p>
    <w:p w14:paraId="748559FD" w14:textId="77777777" w:rsidR="00723E35" w:rsidRDefault="00723E35" w:rsidP="000D6837">
      <w:pPr>
        <w:rPr>
          <w:rFonts w:ascii="Times New Roman" w:hAnsi="Times New Roman" w:cs="Times New Roman"/>
          <w:b/>
          <w:bCs/>
          <w:sz w:val="24"/>
          <w:szCs w:val="24"/>
        </w:rPr>
      </w:pPr>
    </w:p>
    <w:p w14:paraId="3ADA3765" w14:textId="77777777" w:rsidR="00C93DDD" w:rsidRDefault="00C93DDD" w:rsidP="000D6837">
      <w:pPr>
        <w:rPr>
          <w:rFonts w:ascii="Times New Roman" w:hAnsi="Times New Roman" w:cs="Times New Roman"/>
          <w:b/>
          <w:bCs/>
          <w:sz w:val="24"/>
          <w:szCs w:val="24"/>
        </w:rPr>
      </w:pPr>
    </w:p>
    <w:p w14:paraId="608BFA87" w14:textId="77777777" w:rsidR="00C93DDD" w:rsidRPr="00AC1A94" w:rsidRDefault="00C93DDD" w:rsidP="000D6837">
      <w:pPr>
        <w:rPr>
          <w:rFonts w:ascii="Times New Roman" w:hAnsi="Times New Roman" w:cs="Times New Roman"/>
          <w:b/>
          <w:bCs/>
          <w:sz w:val="24"/>
          <w:szCs w:val="24"/>
        </w:rPr>
      </w:pPr>
    </w:p>
    <w:p w14:paraId="7516E8E7" w14:textId="77777777" w:rsidR="000D6837" w:rsidRPr="00AC1A94" w:rsidRDefault="000D6837" w:rsidP="000D6837">
      <w:pPr>
        <w:rPr>
          <w:rFonts w:ascii="Times New Roman" w:hAnsi="Times New Roman" w:cs="Times New Roman"/>
        </w:rPr>
      </w:pPr>
      <w:r w:rsidRPr="00AC1A94">
        <w:rPr>
          <w:rFonts w:ascii="Times New Roman" w:hAnsi="Times New Roman" w:cs="Times New Roman"/>
          <w:b/>
          <w:bCs/>
          <w:sz w:val="24"/>
          <w:szCs w:val="24"/>
        </w:rPr>
        <w:t xml:space="preserve">   </w:t>
      </w:r>
      <w:r w:rsidR="00DC3C7A" w:rsidRPr="00AC1A94">
        <w:rPr>
          <w:rFonts w:ascii="Times New Roman" w:hAnsi="Times New Roman" w:cs="Times New Roman"/>
          <w:b/>
          <w:bCs/>
          <w:sz w:val="24"/>
          <w:szCs w:val="24"/>
        </w:rPr>
        <w:t xml:space="preserve">                   </w:t>
      </w:r>
      <w:r w:rsidRPr="00AC1A94">
        <w:rPr>
          <w:rFonts w:ascii="Times New Roman" w:hAnsi="Times New Roman" w:cs="Times New Roman"/>
          <w:b/>
          <w:bCs/>
          <w:sz w:val="24"/>
          <w:szCs w:val="24"/>
        </w:rPr>
        <w:t>Fig  1  :</w:t>
      </w:r>
      <w:r w:rsidRPr="00AC1A94">
        <w:rPr>
          <w:rFonts w:ascii="Times New Roman" w:hAnsi="Times New Roman" w:cs="Times New Roman"/>
          <w:b/>
          <w:sz w:val="32"/>
          <w:szCs w:val="32"/>
        </w:rPr>
        <w:t xml:space="preserve"> </w:t>
      </w:r>
      <w:r w:rsidR="00D4321B" w:rsidRPr="00AC1A94">
        <w:rPr>
          <w:rFonts w:ascii="Times New Roman" w:hAnsi="Times New Roman" w:cs="Times New Roman"/>
          <w:b/>
          <w:sz w:val="28"/>
          <w:szCs w:val="28"/>
          <w:lang w:val="en-US"/>
        </w:rPr>
        <w:t>Effect of Different Phosphorus Level on Growth and Yield of Garden Pea</w:t>
      </w:r>
    </w:p>
    <w:p w14:paraId="0AF1DA49" w14:textId="77777777" w:rsidR="008A68FD" w:rsidRPr="00AC1A94" w:rsidRDefault="000D6837" w:rsidP="00723E35">
      <w:pPr>
        <w:jc w:val="center"/>
        <w:rPr>
          <w:rFonts w:ascii="Times New Roman" w:hAnsi="Times New Roman" w:cs="Times New Roman"/>
          <w:noProof/>
          <w:lang w:val="en-US"/>
        </w:rPr>
      </w:pPr>
      <w:r w:rsidRPr="00AC1A94">
        <w:rPr>
          <w:rFonts w:ascii="Times New Roman" w:hAnsi="Times New Roman" w:cs="Times New Roman"/>
          <w:noProof/>
          <w:lang w:val="en-US"/>
        </w:rPr>
        <w:t xml:space="preserve"> </w:t>
      </w:r>
    </w:p>
    <w:p w14:paraId="7B4FD970" w14:textId="77777777" w:rsidR="00723E35" w:rsidRPr="00AC1A94" w:rsidRDefault="006F0A77">
      <w:pPr>
        <w:rPr>
          <w:rFonts w:ascii="Times New Roman" w:hAnsi="Times New Roman" w:cs="Times New Roman"/>
        </w:rPr>
      </w:pPr>
      <w:r w:rsidRPr="00AC1A94">
        <w:rPr>
          <w:rFonts w:ascii="Times New Roman" w:hAnsi="Times New Roman" w:cs="Times New Roman"/>
          <w:noProof/>
          <w:lang w:val="en-US" w:bidi="hi-IN"/>
        </w:rPr>
        <w:drawing>
          <wp:inline distT="0" distB="0" distL="0" distR="0" wp14:anchorId="0ACF0AE9" wp14:editId="43E24FDB">
            <wp:extent cx="8378397" cy="4357577"/>
            <wp:effectExtent l="76200" t="76200" r="98853" b="6202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55A35C" w14:textId="77777777" w:rsidR="00723E35" w:rsidRPr="00AC1A94" w:rsidRDefault="00723E35" w:rsidP="00723E35">
      <w:pPr>
        <w:rPr>
          <w:rFonts w:ascii="Times New Roman" w:hAnsi="Times New Roman" w:cs="Times New Roman"/>
          <w:sz w:val="28"/>
          <w:szCs w:val="28"/>
        </w:rPr>
      </w:pPr>
      <w:r w:rsidRPr="00AC1A94">
        <w:rPr>
          <w:rFonts w:ascii="Times New Roman" w:hAnsi="Times New Roman" w:cs="Times New Roman"/>
          <w:b/>
          <w:sz w:val="28"/>
          <w:szCs w:val="28"/>
        </w:rPr>
        <w:lastRenderedPageBreak/>
        <w:t>T</w:t>
      </w:r>
      <w:r w:rsidRPr="00AC1A94">
        <w:rPr>
          <w:rFonts w:ascii="Times New Roman" w:hAnsi="Times New Roman" w:cs="Times New Roman"/>
          <w:b/>
          <w:sz w:val="28"/>
          <w:szCs w:val="28"/>
          <w:vertAlign w:val="subscript"/>
        </w:rPr>
        <w:t>1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8"/>
          <w:szCs w:val="28"/>
        </w:rPr>
        <w:t>Control,</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2  </w:t>
      </w:r>
      <w:r w:rsidRPr="00AC1A94">
        <w:rPr>
          <w:rFonts w:ascii="Times New Roman" w:hAnsi="Times New Roman" w:cs="Times New Roman"/>
          <w:sz w:val="28"/>
          <w:szCs w:val="28"/>
          <w:vertAlign w:val="subscript"/>
        </w:rPr>
        <w:t xml:space="preserve"> -   </w:t>
      </w:r>
      <w:r w:rsidRPr="00AC1A94">
        <w:rPr>
          <w:rFonts w:ascii="Times New Roman" w:hAnsi="Times New Roman" w:cs="Times New Roman"/>
          <w:sz w:val="24"/>
          <w:szCs w:val="24"/>
          <w:lang w:val="en-US"/>
        </w:rPr>
        <w:t>60:100:70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3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4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5 -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6   -</w:t>
      </w:r>
      <w:r w:rsidRPr="00AC1A94">
        <w:rPr>
          <w:rFonts w:ascii="Times New Roman" w:hAnsi="Times New Roman" w:cs="Times New Roman"/>
          <w:sz w:val="24"/>
          <w:szCs w:val="24"/>
          <w:lang w:val="en-US"/>
        </w:rPr>
        <w:t xml:space="preserve">60:60:70 N: P: K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7 </w:t>
      </w:r>
      <w:r w:rsidRPr="00AC1A94">
        <w:rPr>
          <w:rFonts w:ascii="Times New Roman" w:hAnsi="Times New Roman" w:cs="Times New Roman"/>
          <w:sz w:val="28"/>
          <w:szCs w:val="28"/>
          <w:vertAlign w:val="subscript"/>
        </w:rPr>
        <w:t xml:space="preserve">  - </w:t>
      </w:r>
      <w:r w:rsidRPr="00AC1A94">
        <w:rPr>
          <w:rFonts w:ascii="Times New Roman" w:hAnsi="Times New Roman" w:cs="Times New Roman"/>
          <w:sz w:val="24"/>
          <w:szCs w:val="24"/>
          <w:lang w:val="en-US"/>
        </w:rPr>
        <w:t>60:50:70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NPK</w:t>
      </w:r>
      <w:r w:rsidRPr="00AC1A94">
        <w:rPr>
          <w:rFonts w:ascii="Times New Roman" w:hAnsi="Times New Roman" w:cs="Times New Roman"/>
          <w:b/>
          <w:sz w:val="28"/>
          <w:szCs w:val="28"/>
          <w:vertAlign w:val="subscript"/>
        </w:rPr>
        <w:t xml:space="preserve">  </w:t>
      </w:r>
      <w:r w:rsidRPr="00AC1A94">
        <w:rPr>
          <w:rFonts w:ascii="Times New Roman" w:hAnsi="Times New Roman" w:cs="Times New Roman"/>
          <w:sz w:val="24"/>
          <w:szCs w:val="24"/>
          <w:lang w:val="en-US"/>
        </w:rPr>
        <w:t xml:space="preserve"> -60:80:70 N: P: K ,  </w:t>
      </w:r>
      <w:r w:rsidRPr="00AC1A94">
        <w:rPr>
          <w:rFonts w:ascii="Times New Roman" w:hAnsi="Times New Roman" w:cs="Times New Roman"/>
          <w:b/>
          <w:sz w:val="24"/>
          <w:szCs w:val="24"/>
          <w:lang w:val="en-US"/>
        </w:rPr>
        <w:t>FYM</w:t>
      </w:r>
      <w:r w:rsidRPr="00AC1A94">
        <w:rPr>
          <w:rFonts w:ascii="Times New Roman" w:hAnsi="Times New Roman" w:cs="Times New Roman"/>
          <w:sz w:val="24"/>
          <w:szCs w:val="24"/>
          <w:lang w:val="en-US"/>
        </w:rPr>
        <w:t xml:space="preserve"> - 20 ton/h , </w:t>
      </w:r>
      <w:r w:rsidRPr="00AC1A94">
        <w:rPr>
          <w:rFonts w:ascii="Times New Roman" w:hAnsi="Times New Roman" w:cs="Times New Roman"/>
          <w:b/>
          <w:sz w:val="24"/>
          <w:szCs w:val="24"/>
          <w:lang w:val="en-US"/>
        </w:rPr>
        <w:t xml:space="preserve">RDF-  </w:t>
      </w:r>
      <w:r w:rsidRPr="00AC1A94">
        <w:rPr>
          <w:rFonts w:ascii="Times New Roman" w:hAnsi="Times New Roman" w:cs="Times New Roman"/>
          <w:sz w:val="24"/>
          <w:szCs w:val="24"/>
          <w:lang w:val="en-US"/>
        </w:rPr>
        <w:t xml:space="preserve">60:80:70 kg/ha. </w:t>
      </w:r>
    </w:p>
    <w:p w14:paraId="0D68DC10" w14:textId="77777777" w:rsidR="006F0A77" w:rsidRPr="00AC1A94" w:rsidRDefault="006F0A77" w:rsidP="00723E35">
      <w:pPr>
        <w:rPr>
          <w:rFonts w:ascii="Times New Roman" w:hAnsi="Times New Roman" w:cs="Times New Roman"/>
        </w:rPr>
      </w:pPr>
    </w:p>
    <w:sectPr w:rsidR="006F0A77" w:rsidRPr="00AC1A94" w:rsidSect="00210815">
      <w:headerReference w:type="even" r:id="rId18"/>
      <w:headerReference w:type="default" r:id="rId19"/>
      <w:footerReference w:type="default" r:id="rId20"/>
      <w:headerReference w:type="first" r:id="rId21"/>
      <w:pgSz w:w="16839" w:h="11907" w:orient="landscape" w:code="9"/>
      <w:pgMar w:top="540" w:right="2169"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rves Ahmed" w:date="2025-08-26T15:06:00Z" w:initials="PA">
    <w:p w14:paraId="6210A08F" w14:textId="77777777" w:rsidR="00D10BFC" w:rsidRDefault="00D10BFC" w:rsidP="00D10BFC">
      <w:pPr>
        <w:pStyle w:val="CommentText"/>
      </w:pPr>
      <w:r>
        <w:rPr>
          <w:rStyle w:val="CommentReference"/>
        </w:rPr>
        <w:annotationRef/>
      </w:r>
      <w:r>
        <w:t>the effect of different phosphorus levels on</w:t>
      </w:r>
    </w:p>
  </w:comment>
  <w:comment w:id="2" w:author="Perves Ahmed" w:date="2025-08-26T15:06:00Z" w:initials="PA">
    <w:p w14:paraId="3765BF9C" w14:textId="77777777" w:rsidR="00D10BFC" w:rsidRDefault="00D10BFC" w:rsidP="00D10BFC">
      <w:pPr>
        <w:pStyle w:val="CommentText"/>
      </w:pPr>
      <w:r>
        <w:rPr>
          <w:rStyle w:val="CommentReference"/>
        </w:rPr>
        <w:annotationRef/>
      </w:r>
      <w:r>
        <w:t>Leaf area index (LAI)</w:t>
      </w:r>
    </w:p>
  </w:comment>
  <w:comment w:id="3" w:author="Perves Ahmed" w:date="2025-08-26T15:08:00Z" w:initials="PA">
    <w:p w14:paraId="42BB17F5" w14:textId="77777777" w:rsidR="00D10BFC" w:rsidRDefault="00D10BFC" w:rsidP="00D10BFC">
      <w:pPr>
        <w:pStyle w:val="CommentText"/>
      </w:pPr>
      <w:r>
        <w:rPr>
          <w:rStyle w:val="CommentReference"/>
        </w:rPr>
        <w:annotationRef/>
      </w:r>
      <w:r>
        <w:t>Phosphorus level</w:t>
      </w:r>
    </w:p>
  </w:comment>
  <w:comment w:id="4" w:author="Perves Ahmed" w:date="2025-08-26T15:08:00Z" w:initials="PA">
    <w:p w14:paraId="7635CDE9" w14:textId="77777777" w:rsidR="00377EE9" w:rsidRDefault="00377EE9" w:rsidP="00377EE9">
      <w:pPr>
        <w:pStyle w:val="CommentText"/>
      </w:pPr>
      <w:r>
        <w:rPr>
          <w:rStyle w:val="CommentReference"/>
        </w:rPr>
        <w:annotationRef/>
      </w:r>
      <w:r>
        <w:t xml:space="preserve">Missing in the references. Pl add </w:t>
      </w:r>
    </w:p>
  </w:comment>
  <w:comment w:id="5" w:author="Perves Ahmed" w:date="2025-08-26T15:10:00Z" w:initials="PA">
    <w:p w14:paraId="3863C68C" w14:textId="77777777" w:rsidR="00377EE9" w:rsidRDefault="00377EE9" w:rsidP="00377EE9">
      <w:pPr>
        <w:pStyle w:val="CommentText"/>
      </w:pPr>
      <w:r>
        <w:rPr>
          <w:rStyle w:val="CommentReference"/>
        </w:rPr>
        <w:annotationRef/>
      </w:r>
      <w:r>
        <w:t>Missing in the references</w:t>
      </w:r>
    </w:p>
  </w:comment>
  <w:comment w:id="6" w:author="Perves Ahmed" w:date="2025-08-26T15:11:00Z" w:initials="PA">
    <w:p w14:paraId="5CFF5156" w14:textId="77777777" w:rsidR="00377EE9" w:rsidRDefault="00377EE9" w:rsidP="00377EE9">
      <w:pPr>
        <w:pStyle w:val="CommentText"/>
      </w:pPr>
      <w:r>
        <w:rPr>
          <w:rStyle w:val="CommentReference"/>
        </w:rPr>
        <w:annotationRef/>
      </w:r>
      <w:r>
        <w:t>Please include in the reference list</w:t>
      </w:r>
    </w:p>
  </w:comment>
  <w:comment w:id="7" w:author="Perves Ahmed" w:date="2025-08-26T15:13:00Z" w:initials="PA">
    <w:p w14:paraId="17DE76EC" w14:textId="77777777" w:rsidR="004F04EA" w:rsidRDefault="004F04EA" w:rsidP="004F04EA">
      <w:pPr>
        <w:pStyle w:val="CommentText"/>
      </w:pPr>
      <w:r>
        <w:rPr>
          <w:rStyle w:val="CommentReference"/>
        </w:rPr>
        <w:annotationRef/>
      </w:r>
      <w:r>
        <w:t>seven</w:t>
      </w:r>
    </w:p>
  </w:comment>
  <w:comment w:id="8" w:author="Perves Ahmed" w:date="2025-08-26T15:52:00Z" w:initials="PA">
    <w:p w14:paraId="520C966C" w14:textId="77777777" w:rsidR="00747202" w:rsidRDefault="00747202" w:rsidP="00747202">
      <w:pPr>
        <w:pStyle w:val="CommentText"/>
      </w:pPr>
      <w:r>
        <w:rPr>
          <w:rStyle w:val="CommentReference"/>
        </w:rPr>
        <w:annotationRef/>
      </w:r>
      <w:r>
        <w:t>Please rearrange the sentences</w:t>
      </w:r>
    </w:p>
  </w:comment>
  <w:comment w:id="9" w:author="Perves Ahmed" w:date="2025-08-26T15:53:00Z" w:initials="PA">
    <w:p w14:paraId="14560FF3" w14:textId="77777777" w:rsidR="00747202" w:rsidRDefault="00747202" w:rsidP="00747202">
      <w:pPr>
        <w:pStyle w:val="CommentText"/>
      </w:pPr>
      <w:r>
        <w:rPr>
          <w:rStyle w:val="CommentReference"/>
        </w:rPr>
        <w:annotationRef/>
      </w:r>
      <w:r>
        <w:t>Missing in the reference list</w:t>
      </w:r>
    </w:p>
  </w:comment>
  <w:comment w:id="10" w:author="Perves Ahmed" w:date="2025-08-26T15:55:00Z" w:initials="PA">
    <w:p w14:paraId="08EBE8B0" w14:textId="77777777" w:rsidR="00747202" w:rsidRDefault="00747202" w:rsidP="00747202">
      <w:pPr>
        <w:pStyle w:val="CommentText"/>
      </w:pPr>
      <w:r>
        <w:rPr>
          <w:rStyle w:val="CommentReference"/>
        </w:rPr>
        <w:annotationRef/>
      </w:r>
      <w:r>
        <w:t>%</w:t>
      </w:r>
    </w:p>
  </w:comment>
  <w:comment w:id="11" w:author="Perves Ahmed" w:date="2025-08-26T22:31:00Z" w:initials="PA">
    <w:p w14:paraId="5F808CFF" w14:textId="77777777" w:rsidR="00EF145B" w:rsidRDefault="00EF145B" w:rsidP="00EF145B">
      <w:pPr>
        <w:pStyle w:val="CommentText"/>
      </w:pPr>
      <w:r>
        <w:rPr>
          <w:rStyle w:val="CommentReference"/>
        </w:rPr>
        <w:annotationRef/>
      </w:r>
      <w:r>
        <w:t>Missing in the references</w:t>
      </w:r>
    </w:p>
  </w:comment>
  <w:comment w:id="12" w:author="Perves Ahmed" w:date="2025-08-26T15:56:00Z" w:initials="PA">
    <w:p w14:paraId="64FA5CFE" w14:textId="4E1ACE6E" w:rsidR="00747202" w:rsidRDefault="00747202" w:rsidP="00747202">
      <w:pPr>
        <w:pStyle w:val="CommentText"/>
      </w:pPr>
      <w:r>
        <w:rPr>
          <w:rStyle w:val="CommentReference"/>
        </w:rPr>
        <w:annotationRef/>
      </w:r>
      <w:r>
        <w:t>showed</w:t>
      </w:r>
    </w:p>
  </w:comment>
  <w:comment w:id="13" w:author="Perves Ahmed" w:date="2025-08-26T15:56:00Z" w:initials="PA">
    <w:p w14:paraId="67306812" w14:textId="77777777" w:rsidR="00747202" w:rsidRDefault="00747202" w:rsidP="00747202">
      <w:pPr>
        <w:pStyle w:val="CommentText"/>
      </w:pPr>
      <w:r>
        <w:rPr>
          <w:rStyle w:val="CommentReference"/>
        </w:rPr>
        <w:annotationRef/>
      </w:r>
      <w:r>
        <w:t>That took</w:t>
      </w:r>
    </w:p>
  </w:comment>
  <w:comment w:id="14" w:author="Perves Ahmed" w:date="2025-08-26T22:16:00Z" w:initials="PA">
    <w:p w14:paraId="235C372C" w14:textId="77777777" w:rsidR="005E2A94" w:rsidRDefault="005E2A94" w:rsidP="005E2A94">
      <w:pPr>
        <w:pStyle w:val="CommentText"/>
      </w:pPr>
      <w:r>
        <w:rPr>
          <w:rStyle w:val="CommentReference"/>
        </w:rPr>
        <w:annotationRef/>
      </w:r>
      <w:r>
        <w:t>Missing in the reference list</w:t>
      </w:r>
    </w:p>
  </w:comment>
  <w:comment w:id="15" w:author="Perves Ahmed" w:date="2025-08-26T22:18:00Z" w:initials="PA">
    <w:p w14:paraId="418C5D50" w14:textId="77777777" w:rsidR="005E2A94" w:rsidRDefault="005E2A94" w:rsidP="005E2A94">
      <w:pPr>
        <w:pStyle w:val="CommentText"/>
      </w:pPr>
      <w:r>
        <w:rPr>
          <w:rStyle w:val="CommentReference"/>
        </w:rPr>
        <w:annotationRef/>
      </w:r>
      <w:r>
        <w:t>Missing in the reference list</w:t>
      </w:r>
    </w:p>
  </w:comment>
  <w:comment w:id="16" w:author="Perves Ahmed" w:date="2025-08-26T22:25:00Z" w:initials="PA">
    <w:p w14:paraId="0BEFDFAD" w14:textId="77777777" w:rsidR="005E2A94" w:rsidRDefault="005E2A94" w:rsidP="005E2A94">
      <w:pPr>
        <w:pStyle w:val="CommentText"/>
      </w:pPr>
      <w:r>
        <w:rPr>
          <w:rStyle w:val="CommentReference"/>
        </w:rPr>
        <w:annotationRef/>
      </w:r>
      <w:r>
        <w:t>Missing in the text</w:t>
      </w:r>
    </w:p>
  </w:comment>
  <w:comment w:id="17" w:author="Perves Ahmed" w:date="2025-08-26T22:27:00Z" w:initials="PA">
    <w:p w14:paraId="49ADAD7A" w14:textId="77777777" w:rsidR="005B38F5" w:rsidRDefault="005B38F5" w:rsidP="005B38F5">
      <w:pPr>
        <w:pStyle w:val="CommentText"/>
      </w:pPr>
      <w:r>
        <w:rPr>
          <w:rStyle w:val="CommentReference"/>
        </w:rPr>
        <w:annotationRef/>
      </w:r>
      <w:r>
        <w:t>Missing in the reference list</w:t>
      </w:r>
    </w:p>
  </w:comment>
  <w:comment w:id="18" w:author="Perves Ahmed" w:date="2025-08-26T22:30:00Z" w:initials="PA">
    <w:p w14:paraId="7A24CBAA" w14:textId="77777777" w:rsidR="00EF145B" w:rsidRDefault="00EF145B" w:rsidP="00EF145B">
      <w:pPr>
        <w:pStyle w:val="CommentText"/>
      </w:pPr>
      <w:r>
        <w:rPr>
          <w:rStyle w:val="CommentReference"/>
        </w:rPr>
        <w:annotationRef/>
      </w:r>
      <w:r>
        <w:t>recorded</w:t>
      </w:r>
    </w:p>
  </w:comment>
  <w:comment w:id="19" w:author="Perves Ahmed" w:date="2025-08-26T22:32:00Z" w:initials="PA">
    <w:p w14:paraId="17C3AFFD" w14:textId="77777777" w:rsidR="00EF145B" w:rsidRDefault="00EF145B" w:rsidP="00EF145B">
      <w:pPr>
        <w:pStyle w:val="CommentText"/>
      </w:pPr>
      <w:r>
        <w:rPr>
          <w:rStyle w:val="CommentReference"/>
        </w:rPr>
        <w:annotationRef/>
      </w:r>
      <w:r>
        <w:t>Missing in the references</w:t>
      </w:r>
    </w:p>
  </w:comment>
  <w:comment w:id="20" w:author="Perves Ahmed" w:date="2025-08-26T22:34:00Z" w:initials="PA">
    <w:p w14:paraId="432466D0" w14:textId="77777777" w:rsidR="00EF145B" w:rsidRDefault="00EF145B" w:rsidP="00EF145B">
      <w:pPr>
        <w:pStyle w:val="CommentText"/>
      </w:pPr>
      <w:r>
        <w:rPr>
          <w:rStyle w:val="CommentReference"/>
        </w:rPr>
        <w:annotationRef/>
      </w:r>
      <w:r>
        <w:t>number of seed per pod</w:t>
      </w:r>
    </w:p>
  </w:comment>
  <w:comment w:id="21" w:author="Perves Ahmed" w:date="2025-08-26T22:37:00Z" w:initials="PA">
    <w:p w14:paraId="04B3C782" w14:textId="77777777" w:rsidR="00FE54C8" w:rsidRDefault="00FE54C8" w:rsidP="00FE54C8">
      <w:pPr>
        <w:pStyle w:val="CommentText"/>
      </w:pPr>
      <w:r>
        <w:rPr>
          <w:rStyle w:val="CommentReference"/>
        </w:rPr>
        <w:annotationRef/>
      </w:r>
      <w:r>
        <w:t>with</w:t>
      </w:r>
    </w:p>
  </w:comment>
  <w:comment w:id="22" w:author="Perves Ahmed" w:date="2025-08-26T22:38:00Z" w:initials="PA">
    <w:p w14:paraId="51D4A485" w14:textId="77777777" w:rsidR="00FE54C8" w:rsidRDefault="00FE54C8" w:rsidP="00FE54C8">
      <w:pPr>
        <w:pStyle w:val="CommentText"/>
      </w:pPr>
      <w:r>
        <w:rPr>
          <w:rStyle w:val="CommentReference"/>
        </w:rPr>
        <w:annotationRef/>
      </w:r>
      <w:r>
        <w:t>No conclusion</w:t>
      </w:r>
    </w:p>
  </w:comment>
  <w:comment w:id="23" w:author="Perves Ahmed" w:date="2025-08-26T22:39:00Z" w:initials="PA">
    <w:p w14:paraId="49104607" w14:textId="77777777" w:rsidR="00FE54C8" w:rsidRDefault="00FE54C8" w:rsidP="00FE54C8">
      <w:pPr>
        <w:pStyle w:val="CommentText"/>
      </w:pPr>
      <w:r>
        <w:rPr>
          <w:rStyle w:val="CommentReference"/>
        </w:rPr>
        <w:annotationRef/>
      </w:r>
      <w:r>
        <w:t>No need  because of repetition</w:t>
      </w:r>
    </w:p>
  </w:comment>
  <w:comment w:id="24" w:author="Perves Ahmed" w:date="2025-08-26T22:40:00Z" w:initials="PA">
    <w:p w14:paraId="3D540411" w14:textId="77777777" w:rsidR="00FE54C8" w:rsidRDefault="00FE54C8" w:rsidP="00FE54C8">
      <w:pPr>
        <w:pStyle w:val="CommentText"/>
      </w:pPr>
      <w:r>
        <w:rPr>
          <w:rStyle w:val="CommentReference"/>
        </w:rPr>
        <w:annotationRef/>
      </w:r>
      <w:r>
        <w:t>Not found in the text</w:t>
      </w:r>
    </w:p>
  </w:comment>
  <w:comment w:id="25" w:author="Perves Ahmed" w:date="2025-08-26T22:41:00Z" w:initials="PA">
    <w:p w14:paraId="7D6C50EF" w14:textId="77777777" w:rsidR="00FE54C8" w:rsidRDefault="00FE54C8" w:rsidP="00FE54C8">
      <w:pPr>
        <w:pStyle w:val="CommentText"/>
      </w:pPr>
      <w:r>
        <w:rPr>
          <w:rStyle w:val="CommentReference"/>
        </w:rPr>
        <w:annotationRef/>
      </w:r>
      <w:r>
        <w:t>Not found in the text</w:t>
      </w:r>
    </w:p>
  </w:comment>
  <w:comment w:id="26" w:author="Perves Ahmed" w:date="2025-08-26T22:41:00Z" w:initials="PA">
    <w:p w14:paraId="06F958DF" w14:textId="77777777" w:rsidR="00FE54C8" w:rsidRDefault="00FE54C8" w:rsidP="00FE54C8">
      <w:pPr>
        <w:pStyle w:val="CommentText"/>
      </w:pPr>
      <w:r>
        <w:rPr>
          <w:rStyle w:val="CommentReference"/>
        </w:rPr>
        <w:annotationRef/>
      </w:r>
      <w:r>
        <w:t>Not found in the text</w:t>
      </w:r>
    </w:p>
  </w:comment>
  <w:comment w:id="27" w:author="Perves Ahmed" w:date="2025-08-26T22:42:00Z" w:initials="PA">
    <w:p w14:paraId="57CA5F41" w14:textId="77777777" w:rsidR="00FE54C8" w:rsidRDefault="00FE54C8" w:rsidP="00FE54C8">
      <w:pPr>
        <w:pStyle w:val="CommentText"/>
      </w:pPr>
      <w:r>
        <w:rPr>
          <w:rStyle w:val="CommentReference"/>
        </w:rPr>
        <w:annotationRef/>
      </w:r>
      <w:r>
        <w:t>Not found in the text</w:t>
      </w:r>
    </w:p>
  </w:comment>
  <w:comment w:id="28" w:author="Perves Ahmed" w:date="2025-08-26T22:42:00Z" w:initials="PA">
    <w:p w14:paraId="0CF7666E" w14:textId="77777777" w:rsidR="00FE54C8" w:rsidRDefault="00FE54C8" w:rsidP="00FE54C8">
      <w:pPr>
        <w:pStyle w:val="CommentText"/>
      </w:pPr>
      <w:r>
        <w:rPr>
          <w:rStyle w:val="CommentReference"/>
        </w:rPr>
        <w:annotationRef/>
      </w:r>
      <w:r>
        <w:t>Not found in text</w:t>
      </w:r>
    </w:p>
  </w:comment>
  <w:comment w:id="29" w:author="Perves Ahmed" w:date="2025-08-26T22:35:00Z" w:initials="PA">
    <w:p w14:paraId="6DF9FEEE" w14:textId="552DDC69" w:rsidR="00EF145B" w:rsidRDefault="00EF145B" w:rsidP="00EF145B">
      <w:pPr>
        <w:pStyle w:val="CommentText"/>
      </w:pPr>
      <w:r>
        <w:rPr>
          <w:rStyle w:val="CommentReference"/>
        </w:rPr>
        <w:annotationRef/>
      </w:r>
      <w:r>
        <w:t>Not found in text</w:t>
      </w:r>
    </w:p>
  </w:comment>
  <w:comment w:id="30" w:author="Perves Ahmed" w:date="2025-08-26T22:36:00Z" w:initials="PA">
    <w:p w14:paraId="662F7B3B" w14:textId="77777777" w:rsidR="00EF145B" w:rsidRDefault="00EF145B" w:rsidP="00EF145B">
      <w:pPr>
        <w:pStyle w:val="CommentText"/>
      </w:pPr>
      <w:r>
        <w:rPr>
          <w:rStyle w:val="CommentReference"/>
        </w:rPr>
        <w:annotationRef/>
      </w:r>
      <w:r>
        <w:t>Not found in the text</w:t>
      </w:r>
    </w:p>
  </w:comment>
  <w:comment w:id="31" w:author="Perves Ahmed" w:date="2025-08-26T22:24:00Z" w:initials="PA">
    <w:p w14:paraId="0F3F5759" w14:textId="627CF4A3" w:rsidR="005E2A94" w:rsidRDefault="005E2A94" w:rsidP="005E2A94">
      <w:pPr>
        <w:pStyle w:val="CommentText"/>
      </w:pPr>
      <w:r>
        <w:rPr>
          <w:rStyle w:val="CommentReference"/>
        </w:rPr>
        <w:annotationRef/>
      </w:r>
      <w:r>
        <w:t>Missing in the text</w:t>
      </w:r>
    </w:p>
  </w:comment>
  <w:comment w:id="32" w:author="Perves Ahmed" w:date="2025-08-26T22:20:00Z" w:initials="PA">
    <w:p w14:paraId="6EF3A7EB" w14:textId="1004D1A6" w:rsidR="005E2A94" w:rsidRDefault="005E2A94" w:rsidP="005E2A94">
      <w:pPr>
        <w:pStyle w:val="CommentText"/>
      </w:pPr>
      <w:r>
        <w:rPr>
          <w:rStyle w:val="CommentReference"/>
        </w:rPr>
        <w:annotationRef/>
      </w:r>
      <w:r>
        <w:t>Missing in the text</w:t>
      </w:r>
    </w:p>
  </w:comment>
  <w:comment w:id="33" w:author="Perves Ahmed" w:date="2025-08-26T22:26:00Z" w:initials="PA">
    <w:p w14:paraId="4E59DA1B" w14:textId="77777777" w:rsidR="005B38F5" w:rsidRDefault="005B38F5" w:rsidP="005B38F5">
      <w:pPr>
        <w:pStyle w:val="CommentText"/>
      </w:pPr>
      <w:r>
        <w:rPr>
          <w:rStyle w:val="CommentReference"/>
        </w:rPr>
        <w:annotationRef/>
      </w:r>
      <w:r>
        <w:t>Please check the year and 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10A08F" w15:done="0"/>
  <w15:commentEx w15:paraId="3765BF9C" w15:done="0"/>
  <w15:commentEx w15:paraId="42BB17F5" w15:done="0"/>
  <w15:commentEx w15:paraId="7635CDE9" w15:done="0"/>
  <w15:commentEx w15:paraId="3863C68C" w15:done="0"/>
  <w15:commentEx w15:paraId="5CFF5156" w15:done="0"/>
  <w15:commentEx w15:paraId="17DE76EC" w15:done="0"/>
  <w15:commentEx w15:paraId="520C966C" w15:done="0"/>
  <w15:commentEx w15:paraId="14560FF3" w15:done="0"/>
  <w15:commentEx w15:paraId="08EBE8B0" w15:done="0"/>
  <w15:commentEx w15:paraId="5F808CFF" w15:done="0"/>
  <w15:commentEx w15:paraId="64FA5CFE" w15:done="0"/>
  <w15:commentEx w15:paraId="67306812" w15:done="0"/>
  <w15:commentEx w15:paraId="235C372C" w15:done="0"/>
  <w15:commentEx w15:paraId="418C5D50" w15:done="0"/>
  <w15:commentEx w15:paraId="0BEFDFAD" w15:done="0"/>
  <w15:commentEx w15:paraId="49ADAD7A" w15:done="0"/>
  <w15:commentEx w15:paraId="7A24CBAA" w15:done="0"/>
  <w15:commentEx w15:paraId="17C3AFFD" w15:done="0"/>
  <w15:commentEx w15:paraId="432466D0" w15:done="0"/>
  <w15:commentEx w15:paraId="04B3C782" w15:done="0"/>
  <w15:commentEx w15:paraId="51D4A485" w15:done="0"/>
  <w15:commentEx w15:paraId="49104607" w15:done="0"/>
  <w15:commentEx w15:paraId="3D540411" w15:done="0"/>
  <w15:commentEx w15:paraId="7D6C50EF" w15:done="0"/>
  <w15:commentEx w15:paraId="06F958DF" w15:done="0"/>
  <w15:commentEx w15:paraId="57CA5F41" w15:done="0"/>
  <w15:commentEx w15:paraId="0CF7666E" w15:done="0"/>
  <w15:commentEx w15:paraId="6DF9FEEE" w15:done="0"/>
  <w15:commentEx w15:paraId="662F7B3B" w15:done="0"/>
  <w15:commentEx w15:paraId="0F3F5759" w15:done="0"/>
  <w15:commentEx w15:paraId="6EF3A7EB" w15:done="0"/>
  <w15:commentEx w15:paraId="4E59DA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2A708C" w16cex:dateUtc="2025-08-26T09:36:00Z"/>
  <w16cex:commentExtensible w16cex:durableId="06BA23F2" w16cex:dateUtc="2025-08-26T09:36:00Z"/>
  <w16cex:commentExtensible w16cex:durableId="55C9A1AE" w16cex:dateUtc="2025-08-26T09:38:00Z"/>
  <w16cex:commentExtensible w16cex:durableId="1D891618" w16cex:dateUtc="2025-08-26T09:38:00Z"/>
  <w16cex:commentExtensible w16cex:durableId="2F34F24D" w16cex:dateUtc="2025-08-26T09:40:00Z"/>
  <w16cex:commentExtensible w16cex:durableId="12D85B8A" w16cex:dateUtc="2025-08-26T09:41:00Z"/>
  <w16cex:commentExtensible w16cex:durableId="73943A57" w16cex:dateUtc="2025-08-26T09:43:00Z"/>
  <w16cex:commentExtensible w16cex:durableId="17A60BE8" w16cex:dateUtc="2025-08-26T10:22:00Z"/>
  <w16cex:commentExtensible w16cex:durableId="0157688C" w16cex:dateUtc="2025-08-26T10:23:00Z"/>
  <w16cex:commentExtensible w16cex:durableId="33ACA8BB" w16cex:dateUtc="2025-08-26T10:25:00Z"/>
  <w16cex:commentExtensible w16cex:durableId="7FD0D28D" w16cex:dateUtc="2025-08-26T17:01:00Z"/>
  <w16cex:commentExtensible w16cex:durableId="6558A4C5" w16cex:dateUtc="2025-08-26T10:26:00Z"/>
  <w16cex:commentExtensible w16cex:durableId="15041942" w16cex:dateUtc="2025-08-26T10:26:00Z"/>
  <w16cex:commentExtensible w16cex:durableId="15FE067D" w16cex:dateUtc="2025-08-26T16:46:00Z"/>
  <w16cex:commentExtensible w16cex:durableId="544E3E85" w16cex:dateUtc="2025-08-26T16:48:00Z"/>
  <w16cex:commentExtensible w16cex:durableId="04D036CE" w16cex:dateUtc="2025-08-26T16:55:00Z"/>
  <w16cex:commentExtensible w16cex:durableId="69BDAA31" w16cex:dateUtc="2025-08-26T16:57:00Z"/>
  <w16cex:commentExtensible w16cex:durableId="659B9DDE" w16cex:dateUtc="2025-08-26T17:00:00Z"/>
  <w16cex:commentExtensible w16cex:durableId="4946EECC" w16cex:dateUtc="2025-08-26T17:02:00Z"/>
  <w16cex:commentExtensible w16cex:durableId="5C459413" w16cex:dateUtc="2025-08-26T17:04:00Z"/>
  <w16cex:commentExtensible w16cex:durableId="15429820" w16cex:dateUtc="2025-08-26T17:07:00Z"/>
  <w16cex:commentExtensible w16cex:durableId="76457BC6" w16cex:dateUtc="2025-08-26T17:08:00Z"/>
  <w16cex:commentExtensible w16cex:durableId="23E25C1D" w16cex:dateUtc="2025-08-26T17:09:00Z"/>
  <w16cex:commentExtensible w16cex:durableId="71C841C4" w16cex:dateUtc="2025-08-26T17:10:00Z"/>
  <w16cex:commentExtensible w16cex:durableId="397554FF" w16cex:dateUtc="2025-08-26T17:11:00Z"/>
  <w16cex:commentExtensible w16cex:durableId="35ECF6A3" w16cex:dateUtc="2025-08-26T17:11:00Z"/>
  <w16cex:commentExtensible w16cex:durableId="272F0845" w16cex:dateUtc="2025-08-26T17:12:00Z"/>
  <w16cex:commentExtensible w16cex:durableId="58646D87" w16cex:dateUtc="2025-08-26T17:12:00Z"/>
  <w16cex:commentExtensible w16cex:durableId="65494493" w16cex:dateUtc="2025-08-26T17:05:00Z"/>
  <w16cex:commentExtensible w16cex:durableId="33F51007" w16cex:dateUtc="2025-08-26T17:06:00Z"/>
  <w16cex:commentExtensible w16cex:durableId="777F4623" w16cex:dateUtc="2025-08-26T16:54:00Z"/>
  <w16cex:commentExtensible w16cex:durableId="42002AFA" w16cex:dateUtc="2025-08-26T16:50:00Z"/>
  <w16cex:commentExtensible w16cex:durableId="65ED4056" w16cex:dateUtc="2025-08-26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10A08F" w16cid:durableId="3C2A708C"/>
  <w16cid:commentId w16cid:paraId="3765BF9C" w16cid:durableId="06BA23F2"/>
  <w16cid:commentId w16cid:paraId="42BB17F5" w16cid:durableId="55C9A1AE"/>
  <w16cid:commentId w16cid:paraId="7635CDE9" w16cid:durableId="1D891618"/>
  <w16cid:commentId w16cid:paraId="3863C68C" w16cid:durableId="2F34F24D"/>
  <w16cid:commentId w16cid:paraId="5CFF5156" w16cid:durableId="12D85B8A"/>
  <w16cid:commentId w16cid:paraId="17DE76EC" w16cid:durableId="73943A57"/>
  <w16cid:commentId w16cid:paraId="520C966C" w16cid:durableId="17A60BE8"/>
  <w16cid:commentId w16cid:paraId="14560FF3" w16cid:durableId="0157688C"/>
  <w16cid:commentId w16cid:paraId="08EBE8B0" w16cid:durableId="33ACA8BB"/>
  <w16cid:commentId w16cid:paraId="5F808CFF" w16cid:durableId="7FD0D28D"/>
  <w16cid:commentId w16cid:paraId="64FA5CFE" w16cid:durableId="6558A4C5"/>
  <w16cid:commentId w16cid:paraId="67306812" w16cid:durableId="15041942"/>
  <w16cid:commentId w16cid:paraId="235C372C" w16cid:durableId="15FE067D"/>
  <w16cid:commentId w16cid:paraId="418C5D50" w16cid:durableId="544E3E85"/>
  <w16cid:commentId w16cid:paraId="0BEFDFAD" w16cid:durableId="04D036CE"/>
  <w16cid:commentId w16cid:paraId="49ADAD7A" w16cid:durableId="69BDAA31"/>
  <w16cid:commentId w16cid:paraId="7A24CBAA" w16cid:durableId="659B9DDE"/>
  <w16cid:commentId w16cid:paraId="17C3AFFD" w16cid:durableId="4946EECC"/>
  <w16cid:commentId w16cid:paraId="432466D0" w16cid:durableId="5C459413"/>
  <w16cid:commentId w16cid:paraId="04B3C782" w16cid:durableId="15429820"/>
  <w16cid:commentId w16cid:paraId="51D4A485" w16cid:durableId="76457BC6"/>
  <w16cid:commentId w16cid:paraId="49104607" w16cid:durableId="23E25C1D"/>
  <w16cid:commentId w16cid:paraId="3D540411" w16cid:durableId="71C841C4"/>
  <w16cid:commentId w16cid:paraId="7D6C50EF" w16cid:durableId="397554FF"/>
  <w16cid:commentId w16cid:paraId="06F958DF" w16cid:durableId="35ECF6A3"/>
  <w16cid:commentId w16cid:paraId="57CA5F41" w16cid:durableId="272F0845"/>
  <w16cid:commentId w16cid:paraId="0CF7666E" w16cid:durableId="58646D87"/>
  <w16cid:commentId w16cid:paraId="6DF9FEEE" w16cid:durableId="65494493"/>
  <w16cid:commentId w16cid:paraId="662F7B3B" w16cid:durableId="33F51007"/>
  <w16cid:commentId w16cid:paraId="0F3F5759" w16cid:durableId="777F4623"/>
  <w16cid:commentId w16cid:paraId="6EF3A7EB" w16cid:durableId="42002AFA"/>
  <w16cid:commentId w16cid:paraId="4E59DA1B" w16cid:durableId="65ED40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144D" w14:textId="77777777" w:rsidR="008F281E" w:rsidRDefault="008F281E" w:rsidP="009D634A">
      <w:pPr>
        <w:spacing w:after="0" w:line="240" w:lineRule="auto"/>
      </w:pPr>
      <w:r>
        <w:separator/>
      </w:r>
    </w:p>
  </w:endnote>
  <w:endnote w:type="continuationSeparator" w:id="0">
    <w:p w14:paraId="1895DE56" w14:textId="77777777" w:rsidR="008F281E" w:rsidRDefault="008F281E" w:rsidP="009D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1F3E" w14:textId="77777777" w:rsidR="006E4CE0" w:rsidRDefault="006E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2245" w14:textId="77777777" w:rsidR="007364C0" w:rsidRPr="00427E4C" w:rsidRDefault="007364C0">
    <w:pPr>
      <w:pStyle w:val="Footer"/>
      <w:jc w:val="center"/>
      <w:rPr>
        <w:rFonts w:ascii="Times New Roman" w:hAnsi="Times New Roman" w:cs="Times New Roman"/>
      </w:rPr>
    </w:pPr>
  </w:p>
  <w:p w14:paraId="56BE6C42" w14:textId="77777777" w:rsidR="007364C0" w:rsidRDefault="007364C0">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5D6" w14:textId="77777777" w:rsidR="006E4CE0" w:rsidRDefault="006E4C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B7C0" w14:textId="77777777" w:rsidR="007364C0" w:rsidRDefault="0073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F0B3" w14:textId="77777777" w:rsidR="008F281E" w:rsidRDefault="008F281E" w:rsidP="009D634A">
      <w:pPr>
        <w:spacing w:after="0" w:line="240" w:lineRule="auto"/>
      </w:pPr>
      <w:r>
        <w:separator/>
      </w:r>
    </w:p>
  </w:footnote>
  <w:footnote w:type="continuationSeparator" w:id="0">
    <w:p w14:paraId="0C491E5F" w14:textId="77777777" w:rsidR="008F281E" w:rsidRDefault="008F281E" w:rsidP="009D6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6C52" w14:textId="33388F1A" w:rsidR="006E4CE0" w:rsidRDefault="00000000">
    <w:pPr>
      <w:pStyle w:val="Header"/>
    </w:pPr>
    <w:r>
      <w:rPr>
        <w:noProof/>
      </w:rPr>
      <w:pict w14:anchorId="6FDE0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69" o:spid="_x0000_s1026"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9F94" w14:textId="293B432B" w:rsidR="006E4CE0" w:rsidRDefault="00000000">
    <w:pPr>
      <w:pStyle w:val="Header"/>
    </w:pPr>
    <w:r>
      <w:rPr>
        <w:noProof/>
      </w:rPr>
      <w:pict w14:anchorId="5215C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0" o:spid="_x0000_s1027"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FFBE" w14:textId="1E034A79" w:rsidR="006E4CE0" w:rsidRDefault="00000000">
    <w:pPr>
      <w:pStyle w:val="Header"/>
    </w:pPr>
    <w:r>
      <w:rPr>
        <w:noProof/>
      </w:rPr>
      <w:pict w14:anchorId="4C2E0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68" o:spid="_x0000_s1025"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2ADA" w14:textId="43192C75" w:rsidR="006E4CE0" w:rsidRDefault="00000000">
    <w:pPr>
      <w:pStyle w:val="Header"/>
    </w:pPr>
    <w:r>
      <w:rPr>
        <w:noProof/>
      </w:rPr>
      <w:pict w14:anchorId="1E411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2" o:spid="_x0000_s1029" type="#_x0000_t136" style="position:absolute;margin-left:0;margin-top:0;width:544.9pt;height:102.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E228" w14:textId="5D37C80E" w:rsidR="006E4CE0" w:rsidRDefault="00000000">
    <w:pPr>
      <w:pStyle w:val="Header"/>
    </w:pPr>
    <w:r>
      <w:rPr>
        <w:noProof/>
      </w:rPr>
      <w:pict w14:anchorId="0EBF5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3" o:spid="_x0000_s1030" type="#_x0000_t136" style="position:absolute;margin-left:0;margin-top:0;width:544.9pt;height:102.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5A33" w14:textId="36FA98F3" w:rsidR="006E4CE0" w:rsidRDefault="00000000">
    <w:pPr>
      <w:pStyle w:val="Header"/>
    </w:pPr>
    <w:r>
      <w:rPr>
        <w:noProof/>
      </w:rPr>
      <w:pict w14:anchorId="4E6C9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1" o:spid="_x0000_s1028" type="#_x0000_t136" style="position:absolute;margin-left:0;margin-top:0;width:544.9pt;height:102.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45594"/>
    <w:multiLevelType w:val="hybridMultilevel"/>
    <w:tmpl w:val="E40C525C"/>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16cid:durableId="18840585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ves Ahmed">
    <w15:presenceInfo w15:providerId="Windows Live" w15:userId="b7ac47aba7820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837"/>
    <w:rsid w:val="00010F72"/>
    <w:rsid w:val="00011F2A"/>
    <w:rsid w:val="000C42AF"/>
    <w:rsid w:val="000D6837"/>
    <w:rsid w:val="000F705A"/>
    <w:rsid w:val="0019091C"/>
    <w:rsid w:val="001965C9"/>
    <w:rsid w:val="001C40FB"/>
    <w:rsid w:val="001C562C"/>
    <w:rsid w:val="001D1CB4"/>
    <w:rsid w:val="00265DB6"/>
    <w:rsid w:val="0027210F"/>
    <w:rsid w:val="002D4840"/>
    <w:rsid w:val="00363C89"/>
    <w:rsid w:val="003743DD"/>
    <w:rsid w:val="00377EE9"/>
    <w:rsid w:val="003C1DDB"/>
    <w:rsid w:val="00406288"/>
    <w:rsid w:val="004149D5"/>
    <w:rsid w:val="004303CA"/>
    <w:rsid w:val="004969C9"/>
    <w:rsid w:val="004D4822"/>
    <w:rsid w:val="004F04EA"/>
    <w:rsid w:val="00540E88"/>
    <w:rsid w:val="00584BE4"/>
    <w:rsid w:val="00585BB8"/>
    <w:rsid w:val="005B38F5"/>
    <w:rsid w:val="005E2A94"/>
    <w:rsid w:val="006C0E14"/>
    <w:rsid w:val="006E4CE0"/>
    <w:rsid w:val="006F0070"/>
    <w:rsid w:val="006F0A77"/>
    <w:rsid w:val="00723E35"/>
    <w:rsid w:val="007364C0"/>
    <w:rsid w:val="00747202"/>
    <w:rsid w:val="00764663"/>
    <w:rsid w:val="007A7C6D"/>
    <w:rsid w:val="00843E8F"/>
    <w:rsid w:val="0084589B"/>
    <w:rsid w:val="008643AA"/>
    <w:rsid w:val="008803CF"/>
    <w:rsid w:val="008A1F3A"/>
    <w:rsid w:val="008A68FD"/>
    <w:rsid w:val="008F281E"/>
    <w:rsid w:val="00916F99"/>
    <w:rsid w:val="009D634A"/>
    <w:rsid w:val="009E3A25"/>
    <w:rsid w:val="00A32DCF"/>
    <w:rsid w:val="00A51E8B"/>
    <w:rsid w:val="00AC1A94"/>
    <w:rsid w:val="00B34B2D"/>
    <w:rsid w:val="00B5561B"/>
    <w:rsid w:val="00B55F40"/>
    <w:rsid w:val="00B56F5A"/>
    <w:rsid w:val="00B757D4"/>
    <w:rsid w:val="00B847E4"/>
    <w:rsid w:val="00C4234B"/>
    <w:rsid w:val="00C46E30"/>
    <w:rsid w:val="00C93DDD"/>
    <w:rsid w:val="00D02190"/>
    <w:rsid w:val="00D10BFC"/>
    <w:rsid w:val="00D15D6F"/>
    <w:rsid w:val="00D4321B"/>
    <w:rsid w:val="00D5309A"/>
    <w:rsid w:val="00D85B24"/>
    <w:rsid w:val="00DB7842"/>
    <w:rsid w:val="00DC1799"/>
    <w:rsid w:val="00DC3C7A"/>
    <w:rsid w:val="00DC4D4D"/>
    <w:rsid w:val="00DF0862"/>
    <w:rsid w:val="00EA364A"/>
    <w:rsid w:val="00EA6207"/>
    <w:rsid w:val="00EE4A3B"/>
    <w:rsid w:val="00EF145B"/>
    <w:rsid w:val="00FE54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7CE4C"/>
  <w15:docId w15:val="{7B646E3B-6931-4AA5-9F83-C368A16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37"/>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837"/>
    <w:pPr>
      <w:spacing w:after="160" w:line="259" w:lineRule="auto"/>
      <w:ind w:left="720"/>
      <w:contextualSpacing/>
    </w:pPr>
    <w:rPr>
      <w:rFonts w:eastAsiaTheme="minorEastAsia"/>
    </w:rPr>
  </w:style>
  <w:style w:type="table" w:styleId="TableGrid">
    <w:name w:val="Table Grid"/>
    <w:basedOn w:val="TableNormal"/>
    <w:uiPriority w:val="39"/>
    <w:rsid w:val="000D68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D6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37"/>
    <w:rPr>
      <w:lang w:val="en-IN"/>
    </w:rPr>
  </w:style>
  <w:style w:type="paragraph" w:styleId="BodyText">
    <w:name w:val="Body Text"/>
    <w:basedOn w:val="Normal"/>
    <w:link w:val="BodyTextChar"/>
    <w:uiPriority w:val="99"/>
    <w:unhideWhenUsed/>
    <w:qFormat/>
    <w:rsid w:val="000D6837"/>
    <w:pPr>
      <w:spacing w:after="120" w:line="259" w:lineRule="auto"/>
    </w:pPr>
    <w:rPr>
      <w:rFonts w:eastAsiaTheme="minorEastAsia"/>
    </w:rPr>
  </w:style>
  <w:style w:type="character" w:customStyle="1" w:styleId="BodyTextChar">
    <w:name w:val="Body Text Char"/>
    <w:basedOn w:val="DefaultParagraphFont"/>
    <w:link w:val="BodyText"/>
    <w:uiPriority w:val="99"/>
    <w:rsid w:val="000D6837"/>
    <w:rPr>
      <w:rFonts w:eastAsiaTheme="minorEastAsia"/>
      <w:lang w:val="en-IN"/>
    </w:rPr>
  </w:style>
  <w:style w:type="paragraph" w:styleId="NormalWeb">
    <w:name w:val="Normal (Web)"/>
    <w:basedOn w:val="Normal"/>
    <w:uiPriority w:val="99"/>
    <w:unhideWhenUsed/>
    <w:rsid w:val="000D6837"/>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paragraph" w:styleId="BalloonText">
    <w:name w:val="Balloon Text"/>
    <w:basedOn w:val="Normal"/>
    <w:link w:val="BalloonTextChar"/>
    <w:uiPriority w:val="99"/>
    <w:semiHidden/>
    <w:unhideWhenUsed/>
    <w:rsid w:val="000D6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837"/>
    <w:rPr>
      <w:rFonts w:ascii="Tahoma" w:hAnsi="Tahoma" w:cs="Tahoma"/>
      <w:sz w:val="16"/>
      <w:szCs w:val="16"/>
      <w:lang w:val="en-IN"/>
    </w:rPr>
  </w:style>
  <w:style w:type="character" w:styleId="Hyperlink">
    <w:name w:val="Hyperlink"/>
    <w:basedOn w:val="DefaultParagraphFont"/>
    <w:uiPriority w:val="99"/>
    <w:unhideWhenUsed/>
    <w:rsid w:val="000F705A"/>
    <w:rPr>
      <w:color w:val="0000FF" w:themeColor="hyperlink"/>
      <w:u w:val="single"/>
    </w:rPr>
  </w:style>
  <w:style w:type="character" w:styleId="UnresolvedMention">
    <w:name w:val="Unresolved Mention"/>
    <w:basedOn w:val="DefaultParagraphFont"/>
    <w:uiPriority w:val="99"/>
    <w:semiHidden/>
    <w:unhideWhenUsed/>
    <w:rsid w:val="000C42AF"/>
    <w:rPr>
      <w:color w:val="605E5C"/>
      <w:shd w:val="clear" w:color="auto" w:fill="E1DFDD"/>
    </w:rPr>
  </w:style>
  <w:style w:type="paragraph" w:styleId="Header">
    <w:name w:val="header"/>
    <w:basedOn w:val="Normal"/>
    <w:link w:val="HeaderChar"/>
    <w:uiPriority w:val="99"/>
    <w:unhideWhenUsed/>
    <w:rsid w:val="006E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E0"/>
    <w:rPr>
      <w:lang w:val="en-IN"/>
    </w:rPr>
  </w:style>
  <w:style w:type="character" w:styleId="CommentReference">
    <w:name w:val="annotation reference"/>
    <w:basedOn w:val="DefaultParagraphFont"/>
    <w:uiPriority w:val="99"/>
    <w:semiHidden/>
    <w:unhideWhenUsed/>
    <w:rsid w:val="00D10BFC"/>
    <w:rPr>
      <w:sz w:val="16"/>
      <w:szCs w:val="16"/>
    </w:rPr>
  </w:style>
  <w:style w:type="paragraph" w:styleId="CommentText">
    <w:name w:val="annotation text"/>
    <w:basedOn w:val="Normal"/>
    <w:link w:val="CommentTextChar"/>
    <w:uiPriority w:val="99"/>
    <w:unhideWhenUsed/>
    <w:rsid w:val="00D10BFC"/>
    <w:pPr>
      <w:spacing w:line="240" w:lineRule="auto"/>
    </w:pPr>
    <w:rPr>
      <w:sz w:val="20"/>
      <w:szCs w:val="20"/>
    </w:rPr>
  </w:style>
  <w:style w:type="character" w:customStyle="1" w:styleId="CommentTextChar">
    <w:name w:val="Comment Text Char"/>
    <w:basedOn w:val="DefaultParagraphFont"/>
    <w:link w:val="CommentText"/>
    <w:uiPriority w:val="99"/>
    <w:rsid w:val="00D10BFC"/>
    <w:rPr>
      <w:sz w:val="20"/>
      <w:szCs w:val="20"/>
      <w:lang w:val="en-IN"/>
    </w:rPr>
  </w:style>
  <w:style w:type="paragraph" w:styleId="CommentSubject">
    <w:name w:val="annotation subject"/>
    <w:basedOn w:val="CommentText"/>
    <w:next w:val="CommentText"/>
    <w:link w:val="CommentSubjectChar"/>
    <w:uiPriority w:val="99"/>
    <w:semiHidden/>
    <w:unhideWhenUsed/>
    <w:rsid w:val="00D10BFC"/>
    <w:rPr>
      <w:b/>
      <w:bCs/>
    </w:rPr>
  </w:style>
  <w:style w:type="character" w:customStyle="1" w:styleId="CommentSubjectChar">
    <w:name w:val="Comment Subject Char"/>
    <w:basedOn w:val="CommentTextChar"/>
    <w:link w:val="CommentSubject"/>
    <w:uiPriority w:val="99"/>
    <w:semiHidden/>
    <w:rsid w:val="00D10BFC"/>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header" Target="header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Sheet1!$D$31:$D$32</c:f>
              <c:strCache>
                <c:ptCount val="1"/>
                <c:pt idx="0">
                  <c:v>    </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Sheet1!$D$33:$D$43</c:f>
              <c:numCache>
                <c:formatCode>General</c:formatCode>
                <c:ptCount val="11"/>
                <c:pt idx="0">
                  <c:v>0</c:v>
                </c:pt>
                <c:pt idx="1">
                  <c:v>16.2</c:v>
                </c:pt>
                <c:pt idx="2">
                  <c:v>14.639999999999999</c:v>
                </c:pt>
                <c:pt idx="3">
                  <c:v>14.89</c:v>
                </c:pt>
                <c:pt idx="4">
                  <c:v>15.27</c:v>
                </c:pt>
                <c:pt idx="5">
                  <c:v>15.42</c:v>
                </c:pt>
                <c:pt idx="6">
                  <c:v>15.54</c:v>
                </c:pt>
                <c:pt idx="7">
                  <c:v>15.76</c:v>
                </c:pt>
                <c:pt idx="8">
                  <c:v>15.27</c:v>
                </c:pt>
                <c:pt idx="9">
                  <c:v>15.92</c:v>
                </c:pt>
                <c:pt idx="10">
                  <c:v>15.27</c:v>
                </c:pt>
              </c:numCache>
            </c:numRef>
          </c:val>
          <c:extLst>
            <c:ext xmlns:c16="http://schemas.microsoft.com/office/drawing/2014/chart" uri="{C3380CC4-5D6E-409C-BE32-E72D297353CC}">
              <c16:uniqueId val="{00000000-2888-4236-A52F-8E0D51FF3A32}"/>
            </c:ext>
          </c:extLst>
        </c:ser>
        <c:ser>
          <c:idx val="1"/>
          <c:order val="1"/>
          <c:tx>
            <c:strRef>
              <c:f>Sheet1!$E$31:$E$32</c:f>
              <c:strCache>
                <c:ptCount val="1"/>
                <c:pt idx="0">
                  <c:v>     Leaf area index (LAI)</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Sheet1!$E$33:$E$43</c:f>
              <c:numCache>
                <c:formatCode>General</c:formatCode>
                <c:ptCount val="11"/>
                <c:pt idx="1">
                  <c:v>5.14</c:v>
                </c:pt>
                <c:pt idx="2">
                  <c:v>7.6099999999999994</c:v>
                </c:pt>
                <c:pt idx="3">
                  <c:v>7.3</c:v>
                </c:pt>
                <c:pt idx="4">
                  <c:v>6.75</c:v>
                </c:pt>
                <c:pt idx="5">
                  <c:v>6.6099999999999994</c:v>
                </c:pt>
                <c:pt idx="6">
                  <c:v>5.73</c:v>
                </c:pt>
                <c:pt idx="7">
                  <c:v>5.5</c:v>
                </c:pt>
                <c:pt idx="8">
                  <c:v>6.75</c:v>
                </c:pt>
                <c:pt idx="9">
                  <c:v>5.24</c:v>
                </c:pt>
                <c:pt idx="10">
                  <c:v>6.75</c:v>
                </c:pt>
              </c:numCache>
            </c:numRef>
          </c:val>
          <c:extLst>
            <c:ext xmlns:c16="http://schemas.microsoft.com/office/drawing/2014/chart" uri="{C3380CC4-5D6E-409C-BE32-E72D297353CC}">
              <c16:uniqueId val="{00000001-2888-4236-A52F-8E0D51FF3A32}"/>
            </c:ext>
          </c:extLst>
        </c:ser>
        <c:ser>
          <c:idx val="2"/>
          <c:order val="2"/>
          <c:tx>
            <c:strRef>
              <c:f>Sheet1!$F$31:$F$32</c:f>
              <c:strCache>
                <c:ptCount val="1"/>
                <c:pt idx="0">
                  <c:v>Plant height (cm)</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Sheet1!$F$33:$F$43</c:f>
              <c:numCache>
                <c:formatCode>General</c:formatCode>
                <c:ptCount val="11"/>
                <c:pt idx="1">
                  <c:v>38.82</c:v>
                </c:pt>
                <c:pt idx="2">
                  <c:v>49.7</c:v>
                </c:pt>
                <c:pt idx="3">
                  <c:v>47.65</c:v>
                </c:pt>
                <c:pt idx="4">
                  <c:v>45.5</c:v>
                </c:pt>
                <c:pt idx="5">
                  <c:v>44.9</c:v>
                </c:pt>
                <c:pt idx="6">
                  <c:v>43.68</c:v>
                </c:pt>
                <c:pt idx="7">
                  <c:v>42.56</c:v>
                </c:pt>
                <c:pt idx="8">
                  <c:v>45.5</c:v>
                </c:pt>
                <c:pt idx="9">
                  <c:v>37.25</c:v>
                </c:pt>
                <c:pt idx="10">
                  <c:v>45.5</c:v>
                </c:pt>
              </c:numCache>
            </c:numRef>
          </c:val>
          <c:extLst>
            <c:ext xmlns:c16="http://schemas.microsoft.com/office/drawing/2014/chart" uri="{C3380CC4-5D6E-409C-BE32-E72D297353CC}">
              <c16:uniqueId val="{00000002-2888-4236-A52F-8E0D51FF3A32}"/>
            </c:ext>
          </c:extLst>
        </c:ser>
        <c:ser>
          <c:idx val="3"/>
          <c:order val="3"/>
          <c:tx>
            <c:strRef>
              <c:f>Sheet1!$G$31:$G$32</c:f>
              <c:strCache>
                <c:ptCount val="1"/>
                <c:pt idx="0">
                  <c:v>Days to 50% flowering</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Sheet1!$G$33:$G$43</c:f>
              <c:numCache>
                <c:formatCode>General</c:formatCode>
                <c:ptCount val="11"/>
                <c:pt idx="1">
                  <c:v>59.5</c:v>
                </c:pt>
                <c:pt idx="2">
                  <c:v>48.2</c:v>
                </c:pt>
                <c:pt idx="3">
                  <c:v>50.5</c:v>
                </c:pt>
                <c:pt idx="4">
                  <c:v>53</c:v>
                </c:pt>
                <c:pt idx="5">
                  <c:v>55.5</c:v>
                </c:pt>
                <c:pt idx="6">
                  <c:v>56.1</c:v>
                </c:pt>
                <c:pt idx="7">
                  <c:v>57.7</c:v>
                </c:pt>
                <c:pt idx="8">
                  <c:v>53</c:v>
                </c:pt>
                <c:pt idx="9">
                  <c:v>60</c:v>
                </c:pt>
                <c:pt idx="10">
                  <c:v>53</c:v>
                </c:pt>
              </c:numCache>
            </c:numRef>
          </c:val>
          <c:extLst>
            <c:ext xmlns:c16="http://schemas.microsoft.com/office/drawing/2014/chart" uri="{C3380CC4-5D6E-409C-BE32-E72D297353CC}">
              <c16:uniqueId val="{00000003-2888-4236-A52F-8E0D51FF3A32}"/>
            </c:ext>
          </c:extLst>
        </c:ser>
        <c:ser>
          <c:idx val="4"/>
          <c:order val="4"/>
          <c:tx>
            <c:strRef>
              <c:f>Sheet1!$H$31:$H$32</c:f>
              <c:strCache>
                <c:ptCount val="1"/>
                <c:pt idx="0">
                  <c:v>Days to seed maturity</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Sheet1!$H$33:$H$43</c:f>
              <c:numCache>
                <c:formatCode>General</c:formatCode>
                <c:ptCount val="11"/>
                <c:pt idx="1">
                  <c:v>90.440000000000012</c:v>
                </c:pt>
                <c:pt idx="2">
                  <c:v>75.239999999999995</c:v>
                </c:pt>
                <c:pt idx="3">
                  <c:v>78.33</c:v>
                </c:pt>
                <c:pt idx="4">
                  <c:v>80.5</c:v>
                </c:pt>
                <c:pt idx="5">
                  <c:v>82</c:v>
                </c:pt>
                <c:pt idx="6">
                  <c:v>83.54</c:v>
                </c:pt>
                <c:pt idx="7">
                  <c:v>85.669999999999987</c:v>
                </c:pt>
                <c:pt idx="8">
                  <c:v>80.5</c:v>
                </c:pt>
                <c:pt idx="9">
                  <c:v>89.42</c:v>
                </c:pt>
                <c:pt idx="10">
                  <c:v>80.5</c:v>
                </c:pt>
              </c:numCache>
            </c:numRef>
          </c:val>
          <c:extLst>
            <c:ext xmlns:c16="http://schemas.microsoft.com/office/drawing/2014/chart" uri="{C3380CC4-5D6E-409C-BE32-E72D297353CC}">
              <c16:uniqueId val="{00000004-2888-4236-A52F-8E0D51FF3A32}"/>
            </c:ext>
          </c:extLst>
        </c:ser>
        <c:ser>
          <c:idx val="5"/>
          <c:order val="5"/>
          <c:tx>
            <c:strRef>
              <c:f>Sheet1!$I$31:$I$32</c:f>
              <c:strCache>
                <c:ptCount val="1"/>
                <c:pt idx="0">
                  <c:v>Pods/plant</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Sheet1!$I$33:$I$43</c:f>
              <c:numCache>
                <c:formatCode>General</c:formatCode>
                <c:ptCount val="11"/>
                <c:pt idx="1">
                  <c:v>10.42</c:v>
                </c:pt>
                <c:pt idx="2">
                  <c:v>15.19</c:v>
                </c:pt>
                <c:pt idx="3">
                  <c:v>13.78</c:v>
                </c:pt>
                <c:pt idx="4">
                  <c:v>12.450000000000001</c:v>
                </c:pt>
                <c:pt idx="5">
                  <c:v>11.93</c:v>
                </c:pt>
                <c:pt idx="6">
                  <c:v>11.360000000000001</c:v>
                </c:pt>
                <c:pt idx="7">
                  <c:v>10.91</c:v>
                </c:pt>
                <c:pt idx="8">
                  <c:v>12.450000000000001</c:v>
                </c:pt>
                <c:pt idx="9">
                  <c:v>10.18</c:v>
                </c:pt>
                <c:pt idx="10">
                  <c:v>12.450000000000001</c:v>
                </c:pt>
              </c:numCache>
            </c:numRef>
          </c:val>
          <c:extLst>
            <c:ext xmlns:c16="http://schemas.microsoft.com/office/drawing/2014/chart" uri="{C3380CC4-5D6E-409C-BE32-E72D297353CC}">
              <c16:uniqueId val="{00000005-2888-4236-A52F-8E0D51FF3A32}"/>
            </c:ext>
          </c:extLst>
        </c:ser>
        <c:ser>
          <c:idx val="6"/>
          <c:order val="6"/>
          <c:tx>
            <c:strRef>
              <c:f>Sheet1!$J$31:$J$32</c:f>
              <c:strCache>
                <c:ptCount val="1"/>
                <c:pt idx="0">
                  <c:v>Seeds/pod</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Sheet1!$J$33:$J$43</c:f>
              <c:numCache>
                <c:formatCode>General</c:formatCode>
                <c:ptCount val="11"/>
                <c:pt idx="1">
                  <c:v>5.71</c:v>
                </c:pt>
                <c:pt idx="2">
                  <c:v>7.83</c:v>
                </c:pt>
                <c:pt idx="3">
                  <c:v>7.6099999999999994</c:v>
                </c:pt>
                <c:pt idx="4">
                  <c:v>7.18</c:v>
                </c:pt>
                <c:pt idx="5">
                  <c:v>6.9700000000000006</c:v>
                </c:pt>
                <c:pt idx="6">
                  <c:v>6.73</c:v>
                </c:pt>
                <c:pt idx="7">
                  <c:v>6.31</c:v>
                </c:pt>
                <c:pt idx="8">
                  <c:v>7.18</c:v>
                </c:pt>
                <c:pt idx="9">
                  <c:v>5</c:v>
                </c:pt>
                <c:pt idx="10">
                  <c:v>7.18</c:v>
                </c:pt>
              </c:numCache>
            </c:numRef>
          </c:val>
          <c:extLst>
            <c:ext xmlns:c16="http://schemas.microsoft.com/office/drawing/2014/chart" uri="{C3380CC4-5D6E-409C-BE32-E72D297353CC}">
              <c16:uniqueId val="{00000006-2888-4236-A52F-8E0D51FF3A32}"/>
            </c:ext>
          </c:extLst>
        </c:ser>
        <c:ser>
          <c:idx val="7"/>
          <c:order val="7"/>
          <c:tx>
            <c:strRef>
              <c:f>Sheet1!$K$31:$K$32</c:f>
              <c:strCache>
                <c:ptCount val="1"/>
                <c:pt idx="0">
                  <c:v>Seed yield (q/ha)</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Sheet1!$K$33:$K$43</c:f>
              <c:numCache>
                <c:formatCode>General</c:formatCode>
                <c:ptCount val="11"/>
                <c:pt idx="1">
                  <c:v>16.739999999999995</c:v>
                </c:pt>
                <c:pt idx="2">
                  <c:v>28.57</c:v>
                </c:pt>
                <c:pt idx="3">
                  <c:v>26.79</c:v>
                </c:pt>
                <c:pt idx="4">
                  <c:v>25.479999999999997</c:v>
                </c:pt>
                <c:pt idx="5">
                  <c:v>24.37</c:v>
                </c:pt>
                <c:pt idx="6">
                  <c:v>23.68</c:v>
                </c:pt>
                <c:pt idx="7">
                  <c:v>22.82</c:v>
                </c:pt>
                <c:pt idx="8">
                  <c:v>25.58</c:v>
                </c:pt>
                <c:pt idx="9">
                  <c:v>18.79</c:v>
                </c:pt>
                <c:pt idx="10">
                  <c:v>25.58</c:v>
                </c:pt>
              </c:numCache>
            </c:numRef>
          </c:val>
          <c:extLst>
            <c:ext xmlns:c16="http://schemas.microsoft.com/office/drawing/2014/chart" uri="{C3380CC4-5D6E-409C-BE32-E72D297353CC}">
              <c16:uniqueId val="{00000007-2888-4236-A52F-8E0D51FF3A32}"/>
            </c:ext>
          </c:extLst>
        </c:ser>
        <c:dLbls>
          <c:showLegendKey val="0"/>
          <c:showVal val="0"/>
          <c:showCatName val="0"/>
          <c:showSerName val="0"/>
          <c:showPercent val="0"/>
          <c:showBubbleSize val="0"/>
        </c:dLbls>
        <c:gapWidth val="150"/>
        <c:shape val="box"/>
        <c:axId val="162425856"/>
        <c:axId val="162428032"/>
        <c:axId val="0"/>
      </c:bar3DChart>
      <c:catAx>
        <c:axId val="162425856"/>
        <c:scaling>
          <c:orientation val="minMax"/>
        </c:scaling>
        <c:delete val="0"/>
        <c:axPos val="b"/>
        <c:title>
          <c:tx>
            <c:rich>
              <a:bodyPr/>
              <a:lstStyle/>
              <a:p>
                <a:pPr>
                  <a:defRPr sz="1200">
                    <a:latin typeface="Arial" pitchFamily="34" charset="0"/>
                    <a:cs typeface="Arial" pitchFamily="34" charset="0"/>
                  </a:defRPr>
                </a:pPr>
                <a:r>
                  <a:rPr lang="en-US" sz="1200">
                    <a:latin typeface="Arial" pitchFamily="34" charset="0"/>
                    <a:cs typeface="Arial" pitchFamily="34" charset="0"/>
                  </a:rPr>
                  <a:t>Treatment</a:t>
                </a:r>
                <a:r>
                  <a:rPr lang="en-US" sz="1200" baseline="0">
                    <a:latin typeface="Arial" pitchFamily="34" charset="0"/>
                    <a:cs typeface="Arial" pitchFamily="34" charset="0"/>
                  </a:rPr>
                  <a:t> Symbols </a:t>
                </a:r>
                <a:endParaRPr lang="en-US" sz="1200">
                  <a:latin typeface="Arial" pitchFamily="34" charset="0"/>
                  <a:cs typeface="Arial" pitchFamily="34" charset="0"/>
                </a:endParaRPr>
              </a:p>
            </c:rich>
          </c:tx>
          <c:overlay val="0"/>
        </c:title>
        <c:numFmt formatCode="General" sourceLinked="0"/>
        <c:majorTickMark val="none"/>
        <c:minorTickMark val="none"/>
        <c:tickLblPos val="nextTo"/>
        <c:crossAx val="162428032"/>
        <c:crosses val="autoZero"/>
        <c:auto val="1"/>
        <c:lblAlgn val="ctr"/>
        <c:lblOffset val="100"/>
        <c:noMultiLvlLbl val="0"/>
      </c:catAx>
      <c:valAx>
        <c:axId val="162428032"/>
        <c:scaling>
          <c:orientation val="minMax"/>
        </c:scaling>
        <c:delete val="0"/>
        <c:axPos val="l"/>
        <c:majorGridlines/>
        <c:title>
          <c:tx>
            <c:rich>
              <a:bodyPr/>
              <a:lstStyle/>
              <a:p>
                <a:pPr>
                  <a:defRPr/>
                </a:pPr>
                <a:r>
                  <a:rPr lang="en-US"/>
                  <a:t>Effect</a:t>
                </a:r>
                <a:r>
                  <a:rPr lang="en-US" baseline="0"/>
                  <a:t> of Different PhosporusLevel </a:t>
                </a:r>
                <a:endParaRPr lang="en-US"/>
              </a:p>
            </c:rich>
          </c:tx>
          <c:overlay val="0"/>
        </c:title>
        <c:numFmt formatCode="General" sourceLinked="1"/>
        <c:majorTickMark val="out"/>
        <c:minorTickMark val="none"/>
        <c:tickLblPos val="nextTo"/>
        <c:crossAx val="162425856"/>
        <c:crosses val="autoZero"/>
        <c:crossBetween val="between"/>
      </c:valAx>
      <c:spPr>
        <a:solidFill>
          <a:srgbClr val="00B050"/>
        </a:solidFill>
      </c:spPr>
    </c:plotArea>
    <c:legend>
      <c:legendPos val="r"/>
      <c:legendEntry>
        <c:idx val="0"/>
        <c:delete val="1"/>
      </c:legendEntry>
      <c:overlay val="0"/>
      <c:txPr>
        <a:bodyPr/>
        <a:lstStyle/>
        <a:p>
          <a:pPr>
            <a:defRPr sz="1200" b="1">
              <a:latin typeface="Arial" pitchFamily="34" charset="0"/>
              <a:cs typeface="Arial" pitchFamily="34" charset="0"/>
            </a:defRPr>
          </a:pPr>
          <a:endParaRPr lang="en-US"/>
        </a:p>
      </c:txPr>
    </c:legend>
    <c:plotVisOnly val="1"/>
    <c:dispBlanksAs val="gap"/>
    <c:showDLblsOverMax val="0"/>
  </c:chart>
  <c:spPr>
    <a:effectLst>
      <a:glow rad="101600">
        <a:schemeClr val="accent5">
          <a:satMod val="175000"/>
          <a:alpha val="40000"/>
        </a:schemeClr>
      </a:glo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3312</Words>
  <Characters>18884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Perves Ahmed</cp:lastModifiedBy>
  <cp:revision>58</cp:revision>
  <dcterms:created xsi:type="dcterms:W3CDTF">2025-06-06T04:45:00Z</dcterms:created>
  <dcterms:modified xsi:type="dcterms:W3CDTF">2025-08-26T17:13:00Z</dcterms:modified>
</cp:coreProperties>
</file>