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8B7BE">
      <w:pPr>
        <w:jc w:val="center"/>
        <w:rPr>
          <w:rFonts w:ascii="Arial" w:hAnsi="Arial" w:cs="Arial"/>
          <w:b/>
          <w:sz w:val="24"/>
          <w:szCs w:val="24"/>
        </w:rPr>
      </w:pPr>
      <w:r>
        <w:rPr>
          <w:rFonts w:ascii="Arial" w:hAnsi="Arial" w:cs="Arial"/>
          <w:b/>
          <w:sz w:val="24"/>
          <w:szCs w:val="24"/>
        </w:rPr>
        <w:t>Original Research Article</w:t>
      </w:r>
    </w:p>
    <w:p w14:paraId="2655FC9C">
      <w:pPr>
        <w:spacing w:line="360" w:lineRule="auto"/>
        <w:jc w:val="both"/>
        <w:rPr>
          <w:rFonts w:ascii="Arial" w:hAnsi="Arial" w:cs="Arial"/>
          <w:b/>
          <w:sz w:val="24"/>
          <w:szCs w:val="24"/>
        </w:rPr>
      </w:pPr>
      <w:r>
        <w:rPr>
          <w:rFonts w:ascii="Arial" w:hAnsi="Arial" w:cs="Arial"/>
          <w:b/>
          <w:sz w:val="24"/>
          <w:szCs w:val="24"/>
        </w:rPr>
        <w:t>COMPARATIVE STUDY OF TWO AGRICULTURAL PRACTICES ON SOME AGROMORPHOLOGICAL PARAMETERS OF RIBBED TOMATOES IN THE CITY OF KORHOGO</w:t>
      </w:r>
    </w:p>
    <w:p w14:paraId="2877A590">
      <w:pPr>
        <w:spacing w:line="240" w:lineRule="auto"/>
        <w:jc w:val="both"/>
        <w:rPr>
          <w:rFonts w:ascii="Arial" w:hAnsi="Arial" w:cs="Arial"/>
          <w:b/>
          <w:szCs w:val="20"/>
        </w:rPr>
      </w:pPr>
    </w:p>
    <w:p w14:paraId="769CFA46">
      <w:pPr>
        <w:spacing w:line="240" w:lineRule="auto"/>
        <w:jc w:val="both"/>
        <w:rPr>
          <w:rFonts w:ascii="Arial" w:hAnsi="Arial" w:cs="Arial"/>
          <w:b/>
          <w:szCs w:val="20"/>
        </w:rPr>
      </w:pPr>
    </w:p>
    <w:p w14:paraId="7BA348D6">
      <w:pPr>
        <w:spacing w:line="360" w:lineRule="auto"/>
        <w:rPr>
          <w:rFonts w:ascii="Arial" w:hAnsi="Arial" w:cs="Arial"/>
          <w:b/>
          <w:szCs w:val="24"/>
        </w:rPr>
      </w:pPr>
      <w:r>
        <w:rPr>
          <w:rFonts w:ascii="Arial" w:hAnsi="Arial" w:cs="Arial"/>
          <w:b/>
          <w:szCs w:val="24"/>
        </w:rPr>
        <w:t>ABSTRACT</w:t>
      </w:r>
    </w:p>
    <w:p w14:paraId="0FE65779">
      <w:pPr>
        <w:spacing w:line="360" w:lineRule="auto"/>
        <w:jc w:val="both"/>
        <w:rPr>
          <w:rFonts w:ascii="Arial" w:hAnsi="Arial" w:cs="Arial"/>
          <w:sz w:val="20"/>
          <w:szCs w:val="24"/>
        </w:rPr>
      </w:pPr>
      <w:r>
        <w:rPr>
          <w:rFonts w:ascii="Arial" w:hAnsi="Arial" w:cs="Arial"/>
          <w:sz w:val="20"/>
          <w:szCs w:val="24"/>
        </w:rPr>
        <w:t>In Côte d'Ivoire, the tomato is the most widely grown and consumed vegetables. However, its annual production is insufficient to meet the population's needs. This low production is due to several factors, including non-compliance with good agricultural practices. This study aims to evaluate the effect of these agricultural practices on some agromorphological parameters of tomatoes. The methodology used consisted of applying two agricultural practices to the cultivation of the local variety of ribbed tomato. The experimental design was a Fisher block with three replicates. The agricultural practices of the market gardeners of Korhogo (APMGK) constituted treatment P1 and good agricultural practices (GAP) constituted treatment P2. The observations focused on some agromorphological parameters of tomato. The results showed that GAP gives better growth of tomato plants. Thus, the number of leaves, the length of the stems and the circumference of the stems were respectively 45; 48.76 cm and 3.12 cm for GAP against 37, 42.87 cm and 2.89 cm for APMGK. However, the two agricultural practices gave statistically non-different values concerning the number of fruits harvested and the mass of fruits harvested whose values were respectively 14 and 0.52 kg for GAP against 12 and 0.45 kg for APMGK. It appears from this study that APMGK, despite some differences with GAP, do not affect the production of the ribbed tomato variety.</w:t>
      </w:r>
    </w:p>
    <w:p w14:paraId="5939B7F2">
      <w:pPr>
        <w:spacing w:line="360" w:lineRule="auto"/>
        <w:jc w:val="both"/>
        <w:rPr>
          <w:rFonts w:ascii="Arial" w:hAnsi="Arial" w:cs="Arial"/>
          <w:sz w:val="24"/>
          <w:szCs w:val="24"/>
        </w:rPr>
      </w:pPr>
      <w:r>
        <w:rPr>
          <w:rFonts w:ascii="Arial" w:hAnsi="Arial" w:cs="Arial"/>
          <w:b/>
          <w:i/>
          <w:sz w:val="20"/>
          <w:szCs w:val="24"/>
        </w:rPr>
        <w:t>Keywords:</w:t>
      </w:r>
      <w:r>
        <w:rPr>
          <w:rFonts w:ascii="Arial" w:hAnsi="Arial" w:cs="Arial"/>
          <w:i/>
          <w:sz w:val="20"/>
          <w:szCs w:val="24"/>
        </w:rPr>
        <w:t xml:space="preserve"> Tomato, agricultural practices, growth, production, Ivory Coast</w:t>
      </w:r>
    </w:p>
    <w:p w14:paraId="676E1CAE">
      <w:pPr>
        <w:spacing w:line="360" w:lineRule="auto"/>
        <w:rPr>
          <w:rFonts w:ascii="Arial" w:hAnsi="Arial" w:cs="Arial"/>
          <w:b/>
          <w:lang w:val="zh-CN"/>
        </w:rPr>
      </w:pPr>
      <w:r>
        <w:rPr>
          <w:rFonts w:ascii="Arial" w:hAnsi="Arial" w:cs="Arial"/>
          <w:b/>
          <w:szCs w:val="24"/>
          <w:lang w:val="zh-CN"/>
        </w:rPr>
        <w:t>1.</w:t>
      </w:r>
      <w:r>
        <w:rPr>
          <w:rFonts w:ascii="Arial" w:hAnsi="Arial" w:cs="Arial"/>
          <w:b/>
          <w:lang w:val="zh-CN"/>
        </w:rPr>
        <w:t xml:space="preserve"> INTRODUCTION</w:t>
      </w:r>
    </w:p>
    <w:p w14:paraId="6CF3DC63">
      <w:pPr>
        <w:spacing w:line="360" w:lineRule="auto"/>
        <w:jc w:val="both"/>
        <w:rPr>
          <w:rFonts w:ascii="Arial" w:hAnsi="Arial" w:cs="Arial"/>
          <w:sz w:val="20"/>
          <w:szCs w:val="20"/>
        </w:rPr>
      </w:pPr>
      <w:r>
        <w:rPr>
          <w:rFonts w:ascii="Arial" w:hAnsi="Arial" w:cs="Arial"/>
          <w:sz w:val="20"/>
          <w:szCs w:val="20"/>
        </w:rPr>
        <w:t xml:space="preserve">Tomato (Solanum lycopersicum) is one of the most essential vegetables worldwide (Aouine and Mahmoudi, 2023). Belonging to the Solanaceae family, tomato is mainly cultivated for its fruits rich in vitamins (provitamin A, vitamins B and C), minerals (potassium, phosphorus, magnesium and trace elements), carotenoids and antioxidants. This makes it a food with multiple nutritional and therapeutic uses (Camille, 2009). In Côte d'Ivoire, tomatoes are one of the most cultivated and consumed vegetables, after onions, eggplants, okra, and chili peppers (Akpo, 2022). Annual national tomato production is estimated at 48,804 tons (Kouame </w:t>
      </w:r>
      <w:r>
        <w:rPr>
          <w:rFonts w:ascii="Arial" w:hAnsi="Arial" w:cs="Arial"/>
          <w:i/>
          <w:sz w:val="20"/>
          <w:szCs w:val="20"/>
        </w:rPr>
        <w:t>et al</w:t>
      </w:r>
      <w:r>
        <w:rPr>
          <w:rFonts w:ascii="Arial" w:hAnsi="Arial" w:cs="Arial"/>
          <w:sz w:val="20"/>
          <w:szCs w:val="20"/>
        </w:rPr>
        <w:t xml:space="preserve">., 2023), a production that is still insufficient compared to national needs of around 105,000 tons (Soro </w:t>
      </w:r>
      <w:r>
        <w:rPr>
          <w:rFonts w:ascii="Arial" w:hAnsi="Arial" w:cs="Arial"/>
          <w:i/>
          <w:sz w:val="20"/>
          <w:szCs w:val="20"/>
        </w:rPr>
        <w:t>et al</w:t>
      </w:r>
      <w:r>
        <w:rPr>
          <w:rFonts w:ascii="Arial" w:hAnsi="Arial" w:cs="Arial"/>
          <w:sz w:val="20"/>
          <w:szCs w:val="20"/>
        </w:rPr>
        <w:t xml:space="preserve">., 2007). This low production could be explained by soil depletion, poor management of arable land, and irregular rainfall due to climate change (Yao </w:t>
      </w:r>
      <w:r>
        <w:rPr>
          <w:rFonts w:ascii="Arial" w:hAnsi="Arial" w:cs="Arial"/>
          <w:i/>
          <w:sz w:val="20"/>
          <w:szCs w:val="20"/>
        </w:rPr>
        <w:t>et al</w:t>
      </w:r>
      <w:r>
        <w:rPr>
          <w:rFonts w:ascii="Arial" w:hAnsi="Arial" w:cs="Arial"/>
          <w:sz w:val="20"/>
          <w:szCs w:val="20"/>
        </w:rPr>
        <w:t xml:space="preserve">., 2022). However, this could be due to non-compliance with good agricultural practices. Indeed, in Côte d'Ivoire, technical sheets of good agricultural practices developed by research structures exist and are available (Dosso </w:t>
      </w:r>
      <w:r>
        <w:rPr>
          <w:rFonts w:ascii="Arial" w:hAnsi="Arial" w:cs="Arial"/>
          <w:i/>
          <w:sz w:val="20"/>
          <w:szCs w:val="20"/>
        </w:rPr>
        <w:t>et al</w:t>
      </w:r>
      <w:r>
        <w:rPr>
          <w:rFonts w:ascii="Arial" w:hAnsi="Arial" w:cs="Arial"/>
          <w:sz w:val="20"/>
          <w:szCs w:val="20"/>
        </w:rPr>
        <w:t>., 2023). These sheets have been popularized among producers. But according to these authors, a large proportion of farmers in the country do not follow good agricultural practices. This study aims to evaluate the effect of these agricultural practices on some agromorphological parameters of tomatoes.</w:t>
      </w:r>
    </w:p>
    <w:p w14:paraId="13ECEE7C">
      <w:pPr>
        <w:spacing w:line="360" w:lineRule="auto"/>
        <w:jc w:val="both"/>
        <w:rPr>
          <w:rFonts w:ascii="Arial" w:hAnsi="Arial" w:cs="Arial"/>
          <w:b/>
          <w:szCs w:val="24"/>
        </w:rPr>
      </w:pPr>
      <w:r>
        <w:rPr>
          <w:rFonts w:ascii="Arial" w:hAnsi="Arial" w:cs="Arial"/>
          <w:b/>
          <w:szCs w:val="24"/>
        </w:rPr>
        <w:t>2. MATERIALS AND METHODS</w:t>
      </w:r>
    </w:p>
    <w:p w14:paraId="34EDAE2A">
      <w:pPr>
        <w:spacing w:line="360" w:lineRule="auto"/>
        <w:jc w:val="both"/>
        <w:rPr>
          <w:rFonts w:ascii="Arial" w:hAnsi="Arial" w:cs="Arial"/>
          <w:b/>
          <w:szCs w:val="24"/>
        </w:rPr>
      </w:pPr>
      <w:r>
        <w:rPr>
          <w:rFonts w:ascii="Arial" w:hAnsi="Arial" w:cs="Arial"/>
          <w:b/>
          <w:szCs w:val="24"/>
        </w:rPr>
        <w:t>2.1 MATERIALS</w:t>
      </w:r>
    </w:p>
    <w:p w14:paraId="347CB619">
      <w:pPr>
        <w:spacing w:line="360" w:lineRule="auto"/>
        <w:jc w:val="both"/>
        <w:rPr>
          <w:rFonts w:ascii="Arial" w:hAnsi="Arial" w:cs="Arial"/>
          <w:sz w:val="20"/>
          <w:szCs w:val="24"/>
        </w:rPr>
      </w:pPr>
      <w:r>
        <w:rPr>
          <w:rFonts w:ascii="Arial" w:hAnsi="Arial" w:cs="Arial"/>
          <w:sz w:val="20"/>
          <w:szCs w:val="24"/>
        </w:rPr>
        <w:t>The equipment used in this experiment consisted of plant material, technical equipment, fertilizer equipment and computer equipment. The plant material was the local variety of ribbed tomato. The fertilizer equipment used in the experiment consisted of mineral fertilizer and organic fertilizer. The mineral fertilizer consisted of NPK 12-22-22 and Calcium Nitrate 15.5-0-0 + 26.3 (CaOB) while the organic fertilizer consisted of cow dung and cow dung compost.</w:t>
      </w:r>
    </w:p>
    <w:p w14:paraId="1EA55CC6">
      <w:pPr>
        <w:spacing w:line="360" w:lineRule="auto"/>
        <w:jc w:val="both"/>
        <w:rPr>
          <w:rFonts w:ascii="Arial" w:hAnsi="Arial" w:cs="Arial"/>
          <w:b/>
          <w:szCs w:val="24"/>
          <w:lang w:val="zh-CN"/>
        </w:rPr>
      </w:pPr>
      <w:r>
        <w:rPr>
          <w:rFonts w:ascii="Arial" w:hAnsi="Arial" w:cs="Arial"/>
          <w:b/>
          <w:szCs w:val="24"/>
        </w:rPr>
        <w:t>2.2 METHODS</w:t>
      </w:r>
    </w:p>
    <w:p w14:paraId="53FF634B">
      <w:pPr>
        <w:spacing w:line="360" w:lineRule="auto"/>
        <w:jc w:val="both"/>
        <w:rPr>
          <w:rFonts w:ascii="Arial" w:hAnsi="Arial" w:cs="Arial"/>
          <w:b/>
          <w:szCs w:val="24"/>
        </w:rPr>
      </w:pPr>
      <w:r>
        <w:rPr>
          <w:rFonts w:ascii="Arial" w:hAnsi="Arial" w:cs="Arial"/>
          <w:b/>
          <w:szCs w:val="24"/>
          <w:lang w:val="zh-CN"/>
        </w:rPr>
        <w:t>2.2.1. Setting up the nursery</w:t>
      </w:r>
    </w:p>
    <w:p w14:paraId="39CD4524">
      <w:pPr>
        <w:spacing w:line="360" w:lineRule="auto"/>
        <w:jc w:val="both"/>
        <w:rPr>
          <w:rFonts w:ascii="Arial" w:hAnsi="Arial" w:cs="Arial"/>
          <w:sz w:val="20"/>
          <w:szCs w:val="24"/>
        </w:rPr>
      </w:pPr>
      <w:r>
        <w:rPr>
          <w:rFonts w:ascii="Arial" w:hAnsi="Arial" w:cs="Arial"/>
          <w:sz w:val="20"/>
          <w:szCs w:val="24"/>
        </w:rPr>
        <w:t>The experimental site was located within the perimeter of the Pelefero GON COULIBALY University (UPGC), in the lowland. Two beds, each 5 m long and 1 m wide, were installed for the nurseries. Each bed corresponds to a treatment. Thus, for the bed of treatment P2, the soil was disinfected with Furadan. On the other hand, for the bed of treatment P1, the soil received no treatment. Before sowing, applications of NPK (12-22-22) were made to the beds of treatment P2. After sowing, which was in line for both treatments, the beds were covered with straw. At emergence, 10 days later, an application of urea (P2) and organic fertilizer (P1) was made at the base of the plants. The nursery was maintained by regular watering with manual weeding of the beds.</w:t>
      </w:r>
    </w:p>
    <w:p w14:paraId="626010FD">
      <w:pPr>
        <w:spacing w:line="360" w:lineRule="auto"/>
        <w:jc w:val="both"/>
        <w:rPr>
          <w:rFonts w:ascii="Arial" w:hAnsi="Arial" w:cs="Arial"/>
          <w:b/>
          <w:sz w:val="20"/>
          <w:szCs w:val="24"/>
        </w:rPr>
      </w:pPr>
      <w:r>
        <w:rPr>
          <w:rFonts w:ascii="Arial" w:hAnsi="Arial" w:cs="Arial"/>
          <w:b/>
          <w:sz w:val="20"/>
          <w:szCs w:val="24"/>
        </w:rPr>
        <w:t>2.2.2. Planting the crop</w:t>
      </w:r>
    </w:p>
    <w:p w14:paraId="42B30456">
      <w:pPr>
        <w:spacing w:line="360" w:lineRule="auto"/>
        <w:jc w:val="both"/>
        <w:rPr>
          <w:rFonts w:ascii="Arial" w:hAnsi="Arial" w:cs="Arial"/>
          <w:sz w:val="20"/>
          <w:szCs w:val="24"/>
          <w:lang w:val="zh-CN"/>
        </w:rPr>
      </w:pPr>
      <w:r>
        <w:rPr>
          <w:rFonts w:ascii="Arial" w:hAnsi="Arial" w:cs="Arial"/>
          <w:sz w:val="20"/>
          <w:szCs w:val="24"/>
        </w:rPr>
        <w:t>The experimental plot was cleared and plowed manually. After plowing, 5 m</w:t>
      </w:r>
      <w:r>
        <w:rPr>
          <w:rFonts w:ascii="Arial" w:hAnsi="Arial" w:cs="Arial"/>
          <w:sz w:val="20"/>
          <w:szCs w:val="24"/>
          <w:vertAlign w:val="superscript"/>
        </w:rPr>
        <w:t>2</w:t>
      </w:r>
      <w:r>
        <w:rPr>
          <w:rFonts w:ascii="Arial" w:hAnsi="Arial" w:cs="Arial"/>
          <w:sz w:val="20"/>
          <w:szCs w:val="24"/>
        </w:rPr>
        <w:t xml:space="preserve"> beds (5 m x 1 m) were made for transplanting tomato plants. The beds in treatment P1 were first treated with a fungicide-insecticide mixture. Then, they received organic fertilizer made from cow dung at a rate of one handful per pocket for treatment P1. Regarding treatment P2, the beds did not receive phytosanitary treatment. But organic fertilizer made from cow dung compost was applied to the entire bed. </w:t>
      </w:r>
      <w:r>
        <w:rPr>
          <w:rFonts w:ascii="Arial" w:hAnsi="Arial" w:cs="Arial"/>
          <w:sz w:val="20"/>
          <w:szCs w:val="24"/>
          <w:lang w:val="zh-CN"/>
        </w:rPr>
        <w:t>Transplanting took place 25 days after sowing.</w:t>
      </w:r>
    </w:p>
    <w:p w14:paraId="39CAB69B">
      <w:pPr>
        <w:spacing w:line="360" w:lineRule="auto"/>
        <w:jc w:val="both"/>
        <w:rPr>
          <w:rFonts w:ascii="Arial" w:hAnsi="Arial" w:cs="Arial"/>
          <w:b/>
          <w:sz w:val="20"/>
          <w:szCs w:val="24"/>
        </w:rPr>
      </w:pPr>
      <w:r>
        <w:rPr>
          <w:rFonts w:ascii="Arial" w:hAnsi="Arial" w:cs="Arial"/>
          <w:b/>
          <w:sz w:val="20"/>
          <w:szCs w:val="24"/>
        </w:rPr>
        <w:t>2.2.3. Experimental set up</w:t>
      </w:r>
    </w:p>
    <w:p w14:paraId="6D992F22">
      <w:pPr>
        <w:spacing w:after="0" w:line="360" w:lineRule="auto"/>
        <w:jc w:val="both"/>
        <w:rPr>
          <w:rFonts w:ascii="Arial" w:hAnsi="Arial" w:cs="Arial"/>
          <w:sz w:val="20"/>
          <w:szCs w:val="24"/>
        </w:rPr>
      </w:pPr>
      <w:r>
        <w:rPr>
          <w:rFonts w:ascii="Arial" w:hAnsi="Arial" w:cs="Arial"/>
          <w:sz w:val="20"/>
          <w:szCs w:val="24"/>
        </w:rPr>
        <w:t>The experimental design was a Fischer block design with three replicates, i.e., three single-factor randomized blocks. The distance between each block was 1 meter. Each block contained two elementary plots. Each elementary plot corresponded to a treatment. Each elementary plot measured 5 meters long by 4 meters wide and contained 12 plants. Each block contained a total of 24 plants. Each elementary plot consisted of three rows of plants. Each row contained four pockets. The distance between each row was 1 meter, and the distance between each pocket was 0.5 meters. The treatments were as follows:</w:t>
      </w:r>
    </w:p>
    <w:p w14:paraId="3ABE722B">
      <w:pPr>
        <w:spacing w:after="0" w:line="360" w:lineRule="auto"/>
        <w:jc w:val="both"/>
        <w:rPr>
          <w:rFonts w:ascii="Arial" w:hAnsi="Arial" w:cs="Arial"/>
          <w:sz w:val="20"/>
          <w:szCs w:val="24"/>
        </w:rPr>
      </w:pPr>
      <w:r>
        <w:rPr>
          <w:rFonts w:ascii="Arial" w:hAnsi="Arial" w:cs="Arial"/>
          <w:sz w:val="20"/>
          <w:szCs w:val="24"/>
        </w:rPr>
        <w:t>- P1: Agricultural practices of market gardeners of Korhogo (APMGK)</w:t>
      </w:r>
    </w:p>
    <w:p w14:paraId="50DDCCB1">
      <w:pPr>
        <w:spacing w:after="0" w:line="360" w:lineRule="auto"/>
        <w:jc w:val="both"/>
        <w:rPr>
          <w:rFonts w:ascii="Arial" w:hAnsi="Arial" w:cs="Arial"/>
          <w:sz w:val="20"/>
          <w:szCs w:val="24"/>
        </w:rPr>
      </w:pPr>
      <w:r>
        <w:rPr>
          <w:rFonts w:ascii="Arial" w:hAnsi="Arial" w:cs="Arial"/>
          <w:sz w:val="20"/>
          <w:szCs w:val="24"/>
        </w:rPr>
        <w:t>- P2: Technical sheet of good agricultural practices (GAP).</w:t>
      </w:r>
    </w:p>
    <w:p w14:paraId="778E8993">
      <w:pPr>
        <w:spacing w:before="240" w:line="360" w:lineRule="auto"/>
        <w:jc w:val="both"/>
        <w:rPr>
          <w:rFonts w:ascii="Arial" w:hAnsi="Arial" w:cs="Arial"/>
          <w:b/>
          <w:sz w:val="20"/>
          <w:szCs w:val="24"/>
        </w:rPr>
      </w:pPr>
      <w:r>
        <w:rPr>
          <w:rFonts w:ascii="Arial" w:hAnsi="Arial" w:cs="Arial"/>
          <w:b/>
          <w:sz w:val="20"/>
          <w:szCs w:val="24"/>
        </w:rPr>
        <w:t>2.2.4. Plot maintenance</w:t>
      </w:r>
    </w:p>
    <w:p w14:paraId="5409A950">
      <w:pPr>
        <w:spacing w:line="360" w:lineRule="auto"/>
        <w:jc w:val="both"/>
        <w:rPr>
          <w:rFonts w:ascii="Arial" w:hAnsi="Arial" w:cs="Arial"/>
          <w:sz w:val="20"/>
          <w:szCs w:val="24"/>
        </w:rPr>
      </w:pPr>
      <w:r>
        <w:rPr>
          <w:rFonts w:ascii="Arial" w:hAnsi="Arial" w:cs="Arial"/>
          <w:sz w:val="20"/>
          <w:szCs w:val="24"/>
        </w:rPr>
        <w:t>Throughout the growing season, the beds were watered daily. Regular weeding was carried out to improve soil aeration and facilitate water infiltration. Maintenance also included manual hoeing around the pockets to eliminate weeds, which could be hosts for insect pests.</w:t>
      </w:r>
    </w:p>
    <w:p w14:paraId="024A2DCB">
      <w:pPr>
        <w:spacing w:line="360" w:lineRule="auto"/>
        <w:jc w:val="both"/>
        <w:rPr>
          <w:rFonts w:ascii="Arial" w:hAnsi="Arial" w:cs="Arial"/>
          <w:b/>
          <w:sz w:val="20"/>
          <w:szCs w:val="24"/>
        </w:rPr>
      </w:pPr>
      <w:r>
        <w:rPr>
          <w:rFonts w:ascii="Arial" w:hAnsi="Arial" w:cs="Arial"/>
          <w:b/>
          <w:sz w:val="20"/>
          <w:szCs w:val="24"/>
        </w:rPr>
        <w:t>2.2.5. Crop protection</w:t>
      </w:r>
    </w:p>
    <w:p w14:paraId="4679D96D">
      <w:pPr>
        <w:spacing w:line="360" w:lineRule="auto"/>
        <w:jc w:val="both"/>
        <w:rPr>
          <w:rFonts w:ascii="Arial" w:hAnsi="Arial" w:cs="Arial"/>
          <w:sz w:val="20"/>
          <w:szCs w:val="24"/>
        </w:rPr>
      </w:pPr>
      <w:r>
        <w:rPr>
          <w:rFonts w:ascii="Arial" w:hAnsi="Arial" w:cs="Arial"/>
          <w:sz w:val="20"/>
          <w:szCs w:val="24"/>
        </w:rPr>
        <w:t>The crops in treatments P1 and P2 benefited from the same protection methods. Thus, the tomato plants were treated with insecticides and fungicides two weeks after transplanting. A second application was carried out two weeks after the first. To further protect the young plants, each bed was covered with a micro-greenhouse made from a wooden frame and impregnated mosquito netting.</w:t>
      </w:r>
    </w:p>
    <w:p w14:paraId="2799A0C4">
      <w:pPr>
        <w:spacing w:line="360" w:lineRule="auto"/>
        <w:jc w:val="both"/>
        <w:rPr>
          <w:rFonts w:ascii="Arial" w:hAnsi="Arial" w:cs="Arial"/>
          <w:b/>
          <w:sz w:val="20"/>
          <w:szCs w:val="24"/>
          <w:highlight w:val="yellow"/>
        </w:rPr>
      </w:pPr>
      <w:r>
        <w:rPr>
          <w:rFonts w:ascii="Arial" w:hAnsi="Arial" w:cs="Arial"/>
          <w:b/>
          <w:sz w:val="20"/>
          <w:szCs w:val="24"/>
        </w:rPr>
        <w:t xml:space="preserve">2.2.6. </w:t>
      </w:r>
      <w:r>
        <w:rPr>
          <w:rFonts w:ascii="Arial" w:hAnsi="Arial" w:cs="Arial"/>
          <w:b/>
          <w:sz w:val="20"/>
          <w:szCs w:val="24"/>
          <w:highlight w:val="yellow"/>
        </w:rPr>
        <w:t>Observations and measurements</w:t>
      </w:r>
      <w:r>
        <w:commentReference w:id="0"/>
      </w:r>
    </w:p>
    <w:p w14:paraId="5C255D1D">
      <w:pPr>
        <w:spacing w:after="0" w:line="360" w:lineRule="auto"/>
        <w:jc w:val="both"/>
        <w:rPr>
          <w:rFonts w:ascii="Arial" w:hAnsi="Arial" w:cs="Arial"/>
          <w:sz w:val="20"/>
          <w:szCs w:val="24"/>
        </w:rPr>
      </w:pPr>
      <w:r>
        <w:rPr>
          <w:rFonts w:ascii="Arial" w:hAnsi="Arial" w:cs="Arial"/>
          <w:sz w:val="20"/>
          <w:szCs w:val="24"/>
        </w:rPr>
        <w:t>These observations began two weeks after transplanting the tomato plants, twice a week. Thus, the growth and production parameters of the tomato plants were recorded.</w:t>
      </w:r>
    </w:p>
    <w:p w14:paraId="0BB80FF8">
      <w:pPr>
        <w:spacing w:after="0" w:line="360" w:lineRule="auto"/>
        <w:jc w:val="both"/>
        <w:rPr>
          <w:rFonts w:ascii="Arial" w:hAnsi="Arial" w:cs="Arial"/>
          <w:sz w:val="20"/>
          <w:szCs w:val="24"/>
        </w:rPr>
      </w:pPr>
      <w:r>
        <w:rPr>
          <w:rFonts w:ascii="Arial" w:hAnsi="Arial" w:cs="Arial"/>
          <w:sz w:val="20"/>
          <w:szCs w:val="24"/>
        </w:rPr>
        <w:t xml:space="preserve">Regarding growth parameters, during the experiment, the length and circumference of the stems were </w:t>
      </w:r>
      <w:r>
        <w:rPr>
          <w:rFonts w:ascii="Arial" w:hAnsi="Arial" w:cs="Arial"/>
          <w:sz w:val="20"/>
          <w:szCs w:val="24"/>
          <w:highlight w:val="yellow"/>
        </w:rPr>
        <w:t>determined</w:t>
      </w:r>
      <w:r>
        <w:commentReference w:id="1"/>
      </w:r>
      <w:r>
        <w:rPr>
          <w:rFonts w:ascii="Arial" w:hAnsi="Arial" w:cs="Arial"/>
          <w:sz w:val="20"/>
          <w:szCs w:val="24"/>
        </w:rPr>
        <w:t xml:space="preserve"> using a tape measure. The number of leaves per plant was determined by counting.</w:t>
      </w:r>
    </w:p>
    <w:p w14:paraId="640AE3B0">
      <w:pPr>
        <w:spacing w:line="360" w:lineRule="auto"/>
        <w:jc w:val="both"/>
        <w:rPr>
          <w:rFonts w:ascii="Arial" w:hAnsi="Arial" w:cs="Arial"/>
          <w:sz w:val="20"/>
          <w:szCs w:val="24"/>
        </w:rPr>
      </w:pPr>
      <w:r>
        <w:rPr>
          <w:rFonts w:ascii="Arial" w:hAnsi="Arial" w:cs="Arial"/>
          <w:sz w:val="20"/>
          <w:szCs w:val="24"/>
        </w:rPr>
        <w:t xml:space="preserve">As for production parameters, the number of flower buds, the number of flowers, and the average number of fruits per plant were determined by counting. The </w:t>
      </w:r>
      <w:r>
        <w:rPr>
          <w:rFonts w:ascii="Arial" w:hAnsi="Arial" w:cs="Arial"/>
          <w:sz w:val="20"/>
          <w:szCs w:val="24"/>
          <w:highlight w:val="yellow"/>
        </w:rPr>
        <w:t>mass</w:t>
      </w:r>
      <w:r>
        <w:commentReference w:id="2"/>
      </w:r>
      <w:r>
        <w:rPr>
          <w:rFonts w:ascii="Arial" w:hAnsi="Arial" w:cs="Arial"/>
          <w:sz w:val="20"/>
          <w:szCs w:val="24"/>
          <w:highlight w:val="yellow"/>
        </w:rPr>
        <w:t xml:space="preserve"> </w:t>
      </w:r>
      <w:r>
        <w:rPr>
          <w:rFonts w:ascii="Arial" w:hAnsi="Arial" w:cs="Arial"/>
          <w:sz w:val="20"/>
          <w:szCs w:val="24"/>
        </w:rPr>
        <w:t>of the harvested fruits was</w:t>
      </w:r>
      <w:r>
        <w:rPr>
          <w:rFonts w:ascii="Arial" w:hAnsi="Arial" w:cs="Arial"/>
          <w:sz w:val="20"/>
          <w:szCs w:val="24"/>
          <w:highlight w:val="yellow"/>
        </w:rPr>
        <w:t xml:space="preserve"> determined</w:t>
      </w:r>
      <w:r>
        <w:commentReference w:id="3"/>
      </w:r>
      <w:r>
        <w:rPr>
          <w:rFonts w:ascii="Arial" w:hAnsi="Arial" w:cs="Arial"/>
          <w:sz w:val="20"/>
          <w:szCs w:val="24"/>
        </w:rPr>
        <w:t xml:space="preserve"> using an electronic scale.</w:t>
      </w:r>
    </w:p>
    <w:p w14:paraId="4446894F">
      <w:pPr>
        <w:spacing w:line="360" w:lineRule="auto"/>
        <w:jc w:val="both"/>
        <w:rPr>
          <w:rFonts w:ascii="Arial" w:hAnsi="Arial" w:cs="Arial"/>
          <w:b/>
          <w:sz w:val="20"/>
          <w:szCs w:val="24"/>
        </w:rPr>
      </w:pPr>
      <w:r>
        <w:rPr>
          <w:rFonts w:ascii="Arial" w:hAnsi="Arial" w:cs="Arial"/>
          <w:b/>
          <w:sz w:val="20"/>
          <w:szCs w:val="24"/>
        </w:rPr>
        <w:t>2.2.7. Statistical analysis methodology</w:t>
      </w:r>
    </w:p>
    <w:p w14:paraId="283A41D4">
      <w:pPr>
        <w:spacing w:line="360" w:lineRule="auto"/>
        <w:jc w:val="both"/>
        <w:rPr>
          <w:rFonts w:ascii="Arial" w:hAnsi="Arial" w:cs="Arial"/>
          <w:sz w:val="20"/>
          <w:szCs w:val="24"/>
        </w:rPr>
      </w:pPr>
      <w:r>
        <w:rPr>
          <w:rFonts w:ascii="Arial" w:hAnsi="Arial" w:cs="Arial"/>
          <w:sz w:val="20"/>
          <w:szCs w:val="24"/>
        </w:rPr>
        <w:t>Data entry was carried out in a structured Excel database, checked by double entry to limit errors. Analyses were mainly carried out with R software (version 4.2.1), using in particular the 'car' packages for ANOVA, 'agricolae' for multiple comparisons. For all variables showing significant differences (p &lt; 0.05), a Tukey post-hoc test was carried out to precisely identify distinct groups.</w:t>
      </w:r>
    </w:p>
    <w:p w14:paraId="766B159E">
      <w:pPr>
        <w:spacing w:line="360" w:lineRule="auto"/>
        <w:jc w:val="both"/>
        <w:rPr>
          <w:rFonts w:ascii="Arial" w:hAnsi="Arial" w:cs="Arial"/>
          <w:b/>
          <w:szCs w:val="24"/>
        </w:rPr>
      </w:pPr>
      <w:r>
        <w:rPr>
          <w:rFonts w:ascii="Arial" w:hAnsi="Arial" w:cs="Arial"/>
          <w:b/>
          <w:szCs w:val="24"/>
        </w:rPr>
        <w:t>3. RESULTS AND DISCUSSION</w:t>
      </w:r>
    </w:p>
    <w:p w14:paraId="0514A82A">
      <w:pPr>
        <w:spacing w:line="360" w:lineRule="auto"/>
        <w:jc w:val="both"/>
        <w:rPr>
          <w:rFonts w:ascii="Arial" w:hAnsi="Arial" w:cs="Arial"/>
          <w:b/>
          <w:szCs w:val="24"/>
        </w:rPr>
      </w:pPr>
      <w:r>
        <w:rPr>
          <w:rFonts w:ascii="Arial" w:hAnsi="Arial" w:cs="Arial"/>
          <w:b/>
          <w:szCs w:val="24"/>
        </w:rPr>
        <w:t>3.1 RESULTS</w:t>
      </w:r>
    </w:p>
    <w:p w14:paraId="676582BA">
      <w:pPr>
        <w:spacing w:line="360" w:lineRule="auto"/>
        <w:jc w:val="both"/>
        <w:rPr>
          <w:rFonts w:ascii="Arial" w:hAnsi="Arial" w:cs="Arial"/>
          <w:b/>
          <w:szCs w:val="24"/>
        </w:rPr>
      </w:pPr>
      <w:r>
        <w:rPr>
          <w:rFonts w:ascii="Arial" w:hAnsi="Arial" w:cs="Arial"/>
          <w:b/>
          <w:szCs w:val="24"/>
        </w:rPr>
        <w:t>3.1.1 Effect of agricultural practices on growth parameters</w:t>
      </w:r>
    </w:p>
    <w:p w14:paraId="0B36768F">
      <w:pPr>
        <w:spacing w:line="360" w:lineRule="auto"/>
        <w:jc w:val="both"/>
        <w:rPr>
          <w:rFonts w:ascii="Arial" w:hAnsi="Arial" w:cs="Arial"/>
          <w:sz w:val="20"/>
          <w:szCs w:val="24"/>
        </w:rPr>
      </w:pPr>
      <w:r>
        <w:rPr>
          <w:rFonts w:ascii="Arial" w:hAnsi="Arial" w:cs="Arial"/>
          <w:sz w:val="20"/>
          <w:szCs w:val="24"/>
        </w:rPr>
        <w:t>Table I shows the effect of agricultural practices on the growth parameters of ribbed tomato. Regarding the number of leaves, the results show a highly significant difference (P = 0.001). The number of leaves with the agricultural practices of market gardeners of Korhogo (APMGK) is an average of 37 leaves per plant compared to 45 leaves with good agricultural practices (GAP) or an increase of 23.71%. Regarding the length of the stems, the results are also of a highly significant difference (P = 0.004). The length of the stems with APMGK is 42.87% compared to that of GAP which is 48.76%. There is an increase of 13.74% in the length of the stems. In addition, the analysis showed that the difference is significant (P = 0.013) for the circumference of the stems. For APMGK, the circumference of the stems is 2.89 cm while that of GAP is 3.12 cm. This represents an increase of 7.96%.</w:t>
      </w:r>
    </w:p>
    <w:p w14:paraId="0FF0E705">
      <w:pPr>
        <w:spacing w:line="360" w:lineRule="auto"/>
        <w:jc w:val="both"/>
        <w:rPr>
          <w:rFonts w:ascii="Arial" w:hAnsi="Arial" w:cs="Arial"/>
          <w:sz w:val="20"/>
        </w:rPr>
      </w:pPr>
      <w:r>
        <w:rPr>
          <w:rFonts w:ascii="Arial" w:hAnsi="Arial" w:cs="Arial"/>
          <w:b/>
          <w:sz w:val="20"/>
        </w:rPr>
        <w:t>Table I</w:t>
      </w:r>
      <w:r>
        <w:rPr>
          <w:rFonts w:ascii="Arial" w:hAnsi="Arial" w:cs="Arial"/>
          <w:sz w:val="20"/>
        </w:rPr>
        <w:t>: Growth parameters according to agricultural practices</w:t>
      </w:r>
    </w:p>
    <w:tbl>
      <w:tblPr>
        <w:tblStyle w:val="8"/>
        <w:tblW w:w="9652"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4"/>
        <w:gridCol w:w="2202"/>
        <w:gridCol w:w="2202"/>
        <w:gridCol w:w="2614"/>
      </w:tblGrid>
      <w:tr w14:paraId="478E10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173" w:hRule="atLeast"/>
        </w:trPr>
        <w:tc>
          <w:tcPr>
            <w:tcW w:w="2634" w:type="dxa"/>
            <w:tcBorders>
              <w:top w:val="single" w:color="7E7E7E" w:themeColor="text1" w:themeTint="80" w:sz="4" w:space="0"/>
              <w:left w:val="nil"/>
              <w:bottom w:val="single" w:color="7E7E7E" w:themeColor="text1" w:themeTint="80" w:sz="4" w:space="0"/>
              <w:right w:val="nil"/>
              <w:insideH w:val="single" w:sz="4" w:space="0"/>
            </w:tcBorders>
            <w:noWrap/>
          </w:tcPr>
          <w:p w14:paraId="4152D61F">
            <w:pPr>
              <w:spacing w:after="0" w:line="240" w:lineRule="auto"/>
              <w:rPr>
                <w:b/>
                <w:bCs/>
                <w:kern w:val="2"/>
                <w:sz w:val="24"/>
                <w:szCs w:val="24"/>
                <w:lang w:val="en-US"/>
                <w14:ligatures w14:val="standardContextual"/>
              </w:rPr>
            </w:pPr>
            <w:r>
              <w:rPr>
                <w:b/>
                <w:bCs/>
                <w:kern w:val="2"/>
                <w:sz w:val="24"/>
                <w:szCs w:val="24"/>
                <w:lang w:val="en-US"/>
                <w14:ligatures w14:val="standardContextual"/>
              </w:rPr>
              <w:t xml:space="preserve">Agricultural practices </w:t>
            </w:r>
          </w:p>
        </w:tc>
        <w:tc>
          <w:tcPr>
            <w:tcW w:w="2202" w:type="dxa"/>
            <w:tcBorders>
              <w:top w:val="single" w:color="7E7E7E" w:themeColor="text1" w:themeTint="80" w:sz="4" w:space="0"/>
              <w:left w:val="nil"/>
              <w:bottom w:val="single" w:color="7E7E7E" w:themeColor="text1" w:themeTint="80" w:sz="4" w:space="0"/>
              <w:right w:val="nil"/>
              <w:insideH w:val="single" w:sz="4" w:space="0"/>
            </w:tcBorders>
            <w:noWrap/>
          </w:tcPr>
          <w:p w14:paraId="0D4D6C85">
            <w:pPr>
              <w:spacing w:after="0" w:line="240" w:lineRule="auto"/>
              <w:rPr>
                <w:b/>
                <w:bCs/>
                <w:kern w:val="2"/>
                <w:sz w:val="24"/>
                <w:szCs w:val="24"/>
                <w:lang w:val="en-US"/>
                <w14:ligatures w14:val="standardContextual"/>
              </w:rPr>
            </w:pPr>
            <w:r>
              <w:rPr>
                <w:b/>
                <w:bCs/>
                <w:kern w:val="2"/>
                <w:sz w:val="24"/>
                <w:szCs w:val="24"/>
                <w:lang w:val="en-US"/>
                <w14:ligatures w14:val="standardContextual"/>
              </w:rPr>
              <w:t xml:space="preserve">Number of leaves </w:t>
            </w:r>
          </w:p>
        </w:tc>
        <w:tc>
          <w:tcPr>
            <w:tcW w:w="2202" w:type="dxa"/>
            <w:tcBorders>
              <w:top w:val="single" w:color="7E7E7E" w:themeColor="text1" w:themeTint="80" w:sz="4" w:space="0"/>
              <w:left w:val="nil"/>
              <w:bottom w:val="single" w:color="7E7E7E" w:themeColor="text1" w:themeTint="80" w:sz="4" w:space="0"/>
              <w:right w:val="nil"/>
              <w:insideH w:val="single" w:sz="4" w:space="0"/>
            </w:tcBorders>
            <w:noWrap/>
          </w:tcPr>
          <w:p w14:paraId="410A73EC">
            <w:pPr>
              <w:spacing w:after="0" w:line="240" w:lineRule="auto"/>
              <w:rPr>
                <w:b/>
                <w:bCs/>
                <w:kern w:val="2"/>
                <w:sz w:val="24"/>
                <w:szCs w:val="24"/>
                <w:lang w:val="en-US"/>
                <w14:ligatures w14:val="standardContextual"/>
              </w:rPr>
            </w:pPr>
            <w:r>
              <w:rPr>
                <w:b/>
                <w:bCs/>
                <w:kern w:val="2"/>
                <w:sz w:val="24"/>
                <w:szCs w:val="24"/>
                <w:lang w:val="en-US"/>
                <w14:ligatures w14:val="standardContextual"/>
              </w:rPr>
              <w:t xml:space="preserve">Stem length (cm) </w:t>
            </w:r>
          </w:p>
        </w:tc>
        <w:tc>
          <w:tcPr>
            <w:tcW w:w="2614" w:type="dxa"/>
            <w:tcBorders>
              <w:top w:val="single" w:color="7E7E7E" w:themeColor="text1" w:themeTint="80" w:sz="4" w:space="0"/>
              <w:left w:val="nil"/>
              <w:bottom w:val="single" w:color="7E7E7E" w:themeColor="text1" w:themeTint="80" w:sz="4" w:space="0"/>
              <w:right w:val="nil"/>
              <w:insideH w:val="single" w:sz="4" w:space="0"/>
            </w:tcBorders>
            <w:noWrap/>
          </w:tcPr>
          <w:p w14:paraId="0CDEA2D9">
            <w:pPr>
              <w:spacing w:after="0" w:line="240" w:lineRule="auto"/>
              <w:rPr>
                <w:b/>
                <w:bCs/>
                <w:kern w:val="2"/>
                <w:sz w:val="24"/>
                <w:szCs w:val="24"/>
                <w:lang w:val="en-US"/>
                <w14:ligatures w14:val="standardContextual"/>
              </w:rPr>
            </w:pPr>
            <w:r>
              <w:rPr>
                <w:b/>
                <w:bCs/>
                <w:kern w:val="2"/>
                <w:sz w:val="24"/>
                <w:szCs w:val="24"/>
                <w:lang w:val="en-US"/>
                <w14:ligatures w14:val="standardContextual"/>
              </w:rPr>
              <w:t>Stem circumference (cm)</w:t>
            </w:r>
          </w:p>
        </w:tc>
      </w:tr>
      <w:tr w14:paraId="2A23C35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2634" w:type="dxa"/>
            <w:tcBorders>
              <w:top w:val="single" w:color="7E7E7E" w:themeColor="text1" w:themeTint="80" w:sz="4" w:space="0"/>
              <w:left w:val="nil"/>
              <w:bottom w:val="single" w:color="7E7E7E" w:themeColor="text1" w:themeTint="80" w:sz="4" w:space="0"/>
              <w:right w:val="nil"/>
              <w:insideH w:val="single" w:sz="4" w:space="0"/>
            </w:tcBorders>
            <w:noWrap/>
          </w:tcPr>
          <w:p w14:paraId="5DB9D384">
            <w:pPr>
              <w:tabs>
                <w:tab w:val="left" w:pos="7648"/>
              </w:tabs>
              <w:spacing w:after="160" w:line="480" w:lineRule="auto"/>
              <w:rPr>
                <w:rFonts w:ascii="Arial" w:hAnsi="Arial" w:cs="Arial"/>
                <w:b/>
                <w:bCs/>
                <w:kern w:val="2"/>
                <w:sz w:val="20"/>
                <w:szCs w:val="24"/>
                <w:lang w:val="zh-CN"/>
                <w14:ligatures w14:val="standardContextual"/>
              </w:rPr>
            </w:pPr>
            <w:r>
              <w:rPr>
                <w:rFonts w:ascii="Arial" w:hAnsi="Arial" w:cs="Arial"/>
                <w:b/>
                <w:bCs/>
                <w:kern w:val="2"/>
                <w:sz w:val="20"/>
                <w:szCs w:val="24"/>
                <w:lang w:val="zh-CN"/>
                <w14:ligatures w14:val="standardContextual"/>
              </w:rPr>
              <w:t>APMGK</w:t>
            </w:r>
          </w:p>
        </w:tc>
        <w:tc>
          <w:tcPr>
            <w:tcW w:w="2202" w:type="dxa"/>
            <w:tcBorders>
              <w:top w:val="single" w:color="7E7E7E" w:themeColor="text1" w:themeTint="80" w:sz="4" w:space="0"/>
              <w:left w:val="nil"/>
              <w:bottom w:val="single" w:color="7E7E7E" w:themeColor="text1" w:themeTint="80" w:sz="4" w:space="0"/>
              <w:right w:val="nil"/>
              <w:insideH w:val="single" w:sz="4" w:space="0"/>
            </w:tcBorders>
            <w:noWrap/>
          </w:tcPr>
          <w:p w14:paraId="3EB1F8CA">
            <w:pPr>
              <w:tabs>
                <w:tab w:val="left" w:pos="7648"/>
              </w:tabs>
              <w:spacing w:after="160" w:line="480" w:lineRule="auto"/>
              <w:rPr>
                <w:rFonts w:ascii="Arial" w:hAnsi="Arial" w:cs="Arial"/>
                <w:kern w:val="2"/>
                <w:sz w:val="20"/>
                <w:szCs w:val="24"/>
                <w:lang w:val="zh-CN"/>
                <w14:ligatures w14:val="standardContextual"/>
              </w:rPr>
            </w:pPr>
            <w:r>
              <w:rPr>
                <w:rFonts w:ascii="Arial" w:hAnsi="Arial" w:cs="Arial"/>
                <w:kern w:val="2"/>
                <w:sz w:val="20"/>
                <w:szCs w:val="24"/>
                <w:lang w:val="zh-CN"/>
                <w14:ligatures w14:val="standardContextual"/>
              </w:rPr>
              <w:t>37 ± 24,15 a</w:t>
            </w:r>
          </w:p>
        </w:tc>
        <w:tc>
          <w:tcPr>
            <w:tcW w:w="2202" w:type="dxa"/>
            <w:tcBorders>
              <w:top w:val="single" w:color="7E7E7E" w:themeColor="text1" w:themeTint="80" w:sz="4" w:space="0"/>
              <w:left w:val="nil"/>
              <w:bottom w:val="single" w:color="7E7E7E" w:themeColor="text1" w:themeTint="80" w:sz="4" w:space="0"/>
              <w:right w:val="nil"/>
              <w:insideH w:val="single" w:sz="4" w:space="0"/>
            </w:tcBorders>
            <w:noWrap/>
          </w:tcPr>
          <w:p w14:paraId="76151A8C">
            <w:pPr>
              <w:tabs>
                <w:tab w:val="left" w:pos="7648"/>
              </w:tabs>
              <w:spacing w:after="160" w:line="480" w:lineRule="auto"/>
              <w:rPr>
                <w:rFonts w:ascii="Arial" w:hAnsi="Arial" w:cs="Arial"/>
                <w:kern w:val="2"/>
                <w:sz w:val="20"/>
                <w:szCs w:val="24"/>
                <w:lang w:val="zh-CN"/>
                <w14:ligatures w14:val="standardContextual"/>
              </w:rPr>
            </w:pPr>
            <w:r>
              <w:rPr>
                <w:rFonts w:ascii="Arial" w:hAnsi="Arial" w:cs="Arial"/>
                <w:kern w:val="2"/>
                <w:sz w:val="20"/>
                <w:szCs w:val="24"/>
                <w:lang w:val="zh-CN"/>
                <w14:ligatures w14:val="standardContextual"/>
              </w:rPr>
              <w:t>42,87 ± 18,23 a</w:t>
            </w:r>
          </w:p>
        </w:tc>
        <w:tc>
          <w:tcPr>
            <w:tcW w:w="2614" w:type="dxa"/>
            <w:tcBorders>
              <w:top w:val="single" w:color="7E7E7E" w:themeColor="text1" w:themeTint="80" w:sz="4" w:space="0"/>
              <w:left w:val="nil"/>
              <w:bottom w:val="single" w:color="7E7E7E" w:themeColor="text1" w:themeTint="80" w:sz="4" w:space="0"/>
              <w:right w:val="nil"/>
              <w:insideH w:val="single" w:sz="4" w:space="0"/>
            </w:tcBorders>
            <w:noWrap/>
          </w:tcPr>
          <w:p w14:paraId="63220F34">
            <w:pPr>
              <w:tabs>
                <w:tab w:val="left" w:pos="7648"/>
              </w:tabs>
              <w:spacing w:after="160" w:line="480" w:lineRule="auto"/>
              <w:rPr>
                <w:rFonts w:ascii="Arial" w:hAnsi="Arial" w:cs="Arial"/>
                <w:kern w:val="2"/>
                <w:sz w:val="20"/>
                <w:szCs w:val="24"/>
                <w:lang w:val="zh-CN"/>
                <w14:ligatures w14:val="standardContextual"/>
              </w:rPr>
            </w:pPr>
            <w:r>
              <w:rPr>
                <w:rFonts w:ascii="Arial" w:hAnsi="Arial" w:cs="Arial"/>
                <w:kern w:val="2"/>
                <w:sz w:val="20"/>
                <w:szCs w:val="24"/>
                <w:lang w:val="zh-CN"/>
                <w14:ligatures w14:val="standardContextual"/>
              </w:rPr>
              <w:t>2,89 ± 0,92 a</w:t>
            </w:r>
          </w:p>
        </w:tc>
      </w:tr>
      <w:tr w14:paraId="503C758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2634" w:type="dxa"/>
            <w:tcBorders>
              <w:top w:val="nil"/>
              <w:left w:val="nil"/>
              <w:bottom w:val="nil"/>
              <w:right w:val="nil"/>
            </w:tcBorders>
            <w:noWrap/>
          </w:tcPr>
          <w:p w14:paraId="22836644">
            <w:pPr>
              <w:tabs>
                <w:tab w:val="left" w:pos="7648"/>
              </w:tabs>
              <w:spacing w:after="160" w:line="480" w:lineRule="auto"/>
              <w:rPr>
                <w:rFonts w:ascii="Arial" w:hAnsi="Arial" w:cs="Arial"/>
                <w:b/>
                <w:bCs/>
                <w:kern w:val="2"/>
                <w:sz w:val="20"/>
                <w:szCs w:val="24"/>
                <w:lang w:val="zh-CN"/>
                <w14:ligatures w14:val="standardContextual"/>
              </w:rPr>
            </w:pPr>
            <w:r>
              <w:rPr>
                <w:rFonts w:ascii="Arial" w:hAnsi="Arial" w:cs="Arial"/>
                <w:b/>
                <w:bCs/>
                <w:kern w:val="2"/>
                <w:sz w:val="20"/>
                <w:szCs w:val="24"/>
                <w:lang w:val="zh-CN"/>
                <w14:ligatures w14:val="standardContextual"/>
              </w:rPr>
              <w:t>GAP</w:t>
            </w:r>
          </w:p>
        </w:tc>
        <w:tc>
          <w:tcPr>
            <w:tcW w:w="2202" w:type="dxa"/>
            <w:tcBorders>
              <w:top w:val="nil"/>
              <w:left w:val="nil"/>
              <w:bottom w:val="nil"/>
              <w:right w:val="nil"/>
            </w:tcBorders>
            <w:noWrap/>
          </w:tcPr>
          <w:p w14:paraId="11016C7F">
            <w:pPr>
              <w:tabs>
                <w:tab w:val="left" w:pos="7648"/>
              </w:tabs>
              <w:spacing w:after="160" w:line="480" w:lineRule="auto"/>
              <w:rPr>
                <w:rFonts w:ascii="Arial" w:hAnsi="Arial" w:cs="Arial"/>
                <w:kern w:val="2"/>
                <w:sz w:val="20"/>
                <w:szCs w:val="24"/>
                <w:lang w:val="zh-CN"/>
                <w14:ligatures w14:val="standardContextual"/>
              </w:rPr>
            </w:pPr>
            <w:r>
              <w:rPr>
                <w:rFonts w:ascii="Arial" w:hAnsi="Arial" w:cs="Arial"/>
                <w:kern w:val="2"/>
                <w:sz w:val="20"/>
                <w:szCs w:val="24"/>
                <w:lang w:val="zh-CN"/>
                <w14:ligatures w14:val="standardContextual"/>
              </w:rPr>
              <w:t>45 ± 32,67 b</w:t>
            </w:r>
          </w:p>
        </w:tc>
        <w:tc>
          <w:tcPr>
            <w:tcW w:w="2202" w:type="dxa"/>
            <w:tcBorders>
              <w:top w:val="nil"/>
              <w:left w:val="nil"/>
              <w:bottom w:val="nil"/>
              <w:right w:val="nil"/>
            </w:tcBorders>
            <w:noWrap/>
          </w:tcPr>
          <w:p w14:paraId="5C34C851">
            <w:pPr>
              <w:tabs>
                <w:tab w:val="left" w:pos="7648"/>
              </w:tabs>
              <w:spacing w:after="160" w:line="480" w:lineRule="auto"/>
              <w:rPr>
                <w:rFonts w:ascii="Arial" w:hAnsi="Arial" w:cs="Arial"/>
                <w:kern w:val="2"/>
                <w:sz w:val="20"/>
                <w:szCs w:val="24"/>
                <w:lang w:val="zh-CN"/>
                <w14:ligatures w14:val="standardContextual"/>
              </w:rPr>
            </w:pPr>
            <w:r>
              <w:rPr>
                <w:rFonts w:ascii="Arial" w:hAnsi="Arial" w:cs="Arial"/>
                <w:kern w:val="2"/>
                <w:sz w:val="20"/>
                <w:szCs w:val="24"/>
                <w:lang w:val="zh-CN"/>
                <w14:ligatures w14:val="standardContextual"/>
              </w:rPr>
              <w:t>48,76 ± 21,54 b</w:t>
            </w:r>
          </w:p>
        </w:tc>
        <w:tc>
          <w:tcPr>
            <w:tcW w:w="2614" w:type="dxa"/>
            <w:tcBorders>
              <w:top w:val="nil"/>
              <w:left w:val="nil"/>
              <w:bottom w:val="nil"/>
              <w:right w:val="nil"/>
            </w:tcBorders>
            <w:noWrap/>
          </w:tcPr>
          <w:p w14:paraId="7BA082C1">
            <w:pPr>
              <w:tabs>
                <w:tab w:val="left" w:pos="7648"/>
              </w:tabs>
              <w:spacing w:after="160" w:line="480" w:lineRule="auto"/>
              <w:rPr>
                <w:rFonts w:ascii="Arial" w:hAnsi="Arial" w:cs="Arial"/>
                <w:kern w:val="2"/>
                <w:sz w:val="20"/>
                <w:szCs w:val="24"/>
                <w:lang w:val="zh-CN"/>
                <w14:ligatures w14:val="standardContextual"/>
              </w:rPr>
            </w:pPr>
            <w:r>
              <w:rPr>
                <w:rFonts w:ascii="Arial" w:hAnsi="Arial" w:cs="Arial"/>
                <w:kern w:val="2"/>
                <w:sz w:val="20"/>
                <w:szCs w:val="24"/>
                <w:lang w:val="zh-CN"/>
                <w14:ligatures w14:val="standardContextual"/>
              </w:rPr>
              <w:t>3,12 ± 1,05 b</w:t>
            </w:r>
          </w:p>
        </w:tc>
      </w:tr>
      <w:tr w14:paraId="764BC9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2634" w:type="dxa"/>
            <w:tcBorders>
              <w:top w:val="single" w:color="7E7E7E" w:themeColor="text1" w:themeTint="80" w:sz="4" w:space="0"/>
              <w:left w:val="nil"/>
              <w:bottom w:val="single" w:color="7E7E7E" w:themeColor="text1" w:themeTint="80" w:sz="4" w:space="0"/>
              <w:right w:val="nil"/>
              <w:insideH w:val="single" w:sz="4" w:space="0"/>
            </w:tcBorders>
            <w:noWrap/>
          </w:tcPr>
          <w:p w14:paraId="1A3C2A85">
            <w:pPr>
              <w:tabs>
                <w:tab w:val="left" w:pos="7648"/>
              </w:tabs>
              <w:spacing w:after="160" w:line="480" w:lineRule="auto"/>
              <w:rPr>
                <w:rFonts w:ascii="Arial" w:hAnsi="Arial" w:cs="Arial"/>
                <w:b/>
                <w:bCs/>
                <w:i/>
                <w:kern w:val="2"/>
                <w:sz w:val="20"/>
                <w:szCs w:val="24"/>
                <w:lang w:val="zh-CN"/>
                <w14:ligatures w14:val="standardContextual"/>
              </w:rPr>
            </w:pPr>
            <w:r>
              <w:rPr>
                <w:rFonts w:ascii="Arial" w:hAnsi="Arial" w:cs="Arial"/>
                <w:b/>
                <w:bCs/>
                <w:i/>
                <w:kern w:val="2"/>
                <w:sz w:val="20"/>
                <w:szCs w:val="24"/>
                <w:lang w:val="zh-CN"/>
                <w14:ligatures w14:val="standardContextual"/>
              </w:rPr>
              <w:t>P</w:t>
            </w:r>
            <w:r>
              <w:rPr>
                <w:rFonts w:ascii="Arial" w:hAnsi="Arial" w:cs="Arial"/>
                <w:b/>
                <w:bCs/>
                <w:i/>
                <w:kern w:val="2"/>
                <w:sz w:val="20"/>
                <w:szCs w:val="24"/>
                <w:lang w:val="zh-CN"/>
                <w14:ligatures w14:val="standardContextual"/>
              </w:rPr>
              <w:noBreakHyphen/>
            </w:r>
            <w:r>
              <w:rPr>
                <w:rFonts w:ascii="Arial" w:hAnsi="Arial" w:cs="Arial"/>
                <w:b/>
                <w:bCs/>
                <w:i/>
                <w:kern w:val="2"/>
                <w:sz w:val="20"/>
                <w:szCs w:val="24"/>
                <w:lang w:val="zh-CN"/>
                <w14:ligatures w14:val="standardContextual"/>
              </w:rPr>
              <w:t>value</w:t>
            </w:r>
          </w:p>
        </w:tc>
        <w:tc>
          <w:tcPr>
            <w:tcW w:w="2202" w:type="dxa"/>
            <w:tcBorders>
              <w:top w:val="single" w:color="7E7E7E" w:themeColor="text1" w:themeTint="80" w:sz="4" w:space="0"/>
              <w:left w:val="nil"/>
              <w:bottom w:val="single" w:color="7E7E7E" w:themeColor="text1" w:themeTint="80" w:sz="4" w:space="0"/>
              <w:right w:val="nil"/>
              <w:insideH w:val="single" w:sz="4" w:space="0"/>
            </w:tcBorders>
            <w:noWrap/>
          </w:tcPr>
          <w:p w14:paraId="526D8F64">
            <w:pPr>
              <w:tabs>
                <w:tab w:val="left" w:pos="7648"/>
              </w:tabs>
              <w:spacing w:after="160" w:line="480" w:lineRule="auto"/>
              <w:rPr>
                <w:rFonts w:ascii="Arial" w:hAnsi="Arial" w:cs="Arial"/>
                <w:i/>
                <w:kern w:val="2"/>
                <w:sz w:val="20"/>
                <w:szCs w:val="24"/>
                <w:lang w:val="zh-CN"/>
                <w14:ligatures w14:val="standardContextual"/>
              </w:rPr>
            </w:pPr>
            <w:r>
              <w:rPr>
                <w:rFonts w:ascii="Arial" w:hAnsi="Arial" w:cs="Arial"/>
                <w:i/>
                <w:kern w:val="2"/>
                <w:sz w:val="20"/>
                <w:szCs w:val="24"/>
                <w:lang w:val="zh-CN"/>
                <w14:ligatures w14:val="standardContextual"/>
              </w:rPr>
              <w:t>0,001</w:t>
            </w:r>
          </w:p>
        </w:tc>
        <w:tc>
          <w:tcPr>
            <w:tcW w:w="2202" w:type="dxa"/>
            <w:tcBorders>
              <w:top w:val="single" w:color="7E7E7E" w:themeColor="text1" w:themeTint="80" w:sz="4" w:space="0"/>
              <w:left w:val="nil"/>
              <w:bottom w:val="single" w:color="7E7E7E" w:themeColor="text1" w:themeTint="80" w:sz="4" w:space="0"/>
              <w:right w:val="nil"/>
              <w:insideH w:val="single" w:sz="4" w:space="0"/>
            </w:tcBorders>
            <w:noWrap/>
          </w:tcPr>
          <w:p w14:paraId="6AFE3AAA">
            <w:pPr>
              <w:tabs>
                <w:tab w:val="left" w:pos="7648"/>
              </w:tabs>
              <w:spacing w:after="160" w:line="480" w:lineRule="auto"/>
              <w:rPr>
                <w:rFonts w:ascii="Arial" w:hAnsi="Arial" w:cs="Arial"/>
                <w:i/>
                <w:kern w:val="2"/>
                <w:sz w:val="20"/>
                <w:szCs w:val="24"/>
                <w:lang w:val="zh-CN"/>
                <w14:ligatures w14:val="standardContextual"/>
              </w:rPr>
            </w:pPr>
            <w:r>
              <w:rPr>
                <w:rFonts w:ascii="Arial" w:hAnsi="Arial" w:cs="Arial"/>
                <w:i/>
                <w:kern w:val="2"/>
                <w:sz w:val="20"/>
                <w:szCs w:val="24"/>
                <w:lang w:val="zh-CN"/>
                <w14:ligatures w14:val="standardContextual"/>
              </w:rPr>
              <w:t>0,004</w:t>
            </w:r>
          </w:p>
        </w:tc>
        <w:tc>
          <w:tcPr>
            <w:tcW w:w="2614" w:type="dxa"/>
            <w:tcBorders>
              <w:top w:val="single" w:color="7E7E7E" w:themeColor="text1" w:themeTint="80" w:sz="4" w:space="0"/>
              <w:left w:val="nil"/>
              <w:bottom w:val="single" w:color="7E7E7E" w:themeColor="text1" w:themeTint="80" w:sz="4" w:space="0"/>
              <w:right w:val="nil"/>
              <w:insideH w:val="single" w:sz="4" w:space="0"/>
            </w:tcBorders>
            <w:noWrap/>
          </w:tcPr>
          <w:p w14:paraId="700232FE">
            <w:pPr>
              <w:tabs>
                <w:tab w:val="left" w:pos="7648"/>
              </w:tabs>
              <w:spacing w:after="160" w:line="480" w:lineRule="auto"/>
              <w:rPr>
                <w:rFonts w:ascii="Arial" w:hAnsi="Arial" w:cs="Arial"/>
                <w:i/>
                <w:kern w:val="2"/>
                <w:sz w:val="20"/>
                <w:szCs w:val="24"/>
                <w:lang w:val="zh-CN"/>
                <w14:ligatures w14:val="standardContextual"/>
              </w:rPr>
            </w:pPr>
            <w:r>
              <w:rPr>
                <w:rFonts w:ascii="Arial" w:hAnsi="Arial" w:cs="Arial"/>
                <w:i/>
                <w:kern w:val="2"/>
                <w:sz w:val="20"/>
                <w:szCs w:val="24"/>
                <w:lang w:val="zh-CN"/>
                <w14:ligatures w14:val="standardContextual"/>
              </w:rPr>
              <w:t>0,013</w:t>
            </w:r>
          </w:p>
        </w:tc>
      </w:tr>
    </w:tbl>
    <w:p w14:paraId="733C0D93">
      <w:pPr>
        <w:spacing w:before="240" w:line="360" w:lineRule="auto"/>
        <w:jc w:val="both"/>
        <w:rPr>
          <w:rFonts w:ascii="Arial" w:hAnsi="Arial" w:cs="Arial"/>
          <w:sz w:val="20"/>
          <w:szCs w:val="24"/>
        </w:rPr>
      </w:pPr>
      <w:r>
        <w:rPr>
          <w:rFonts w:ascii="Arial" w:hAnsi="Arial" w:cs="Arial"/>
          <w:sz w:val="20"/>
          <w:szCs w:val="24"/>
        </w:rPr>
        <w:t>Values not having the same letters in the same column are statistically different, APMGK: Agricultural Practices of Market Gardeners of Korhogo, GAP: Good Agricultural Practices</w:t>
      </w:r>
    </w:p>
    <w:p w14:paraId="0D6FE2EE">
      <w:pPr>
        <w:spacing w:line="360" w:lineRule="auto"/>
        <w:jc w:val="both"/>
        <w:rPr>
          <w:rFonts w:ascii="Arial" w:hAnsi="Arial" w:cs="Arial"/>
          <w:b/>
          <w:sz w:val="20"/>
          <w:szCs w:val="24"/>
        </w:rPr>
      </w:pPr>
      <w:r>
        <w:rPr>
          <w:rFonts w:ascii="Arial" w:hAnsi="Arial" w:cs="Arial"/>
          <w:b/>
          <w:sz w:val="20"/>
          <w:szCs w:val="24"/>
        </w:rPr>
        <w:t>3.1.2. Effect of agricultural practices on production parameters</w:t>
      </w:r>
    </w:p>
    <w:p w14:paraId="340C1F47">
      <w:pPr>
        <w:spacing w:line="360" w:lineRule="auto"/>
        <w:jc w:val="both"/>
        <w:rPr>
          <w:rFonts w:ascii="Arial" w:hAnsi="Arial" w:cs="Arial"/>
          <w:sz w:val="20"/>
          <w:szCs w:val="24"/>
        </w:rPr>
      </w:pPr>
      <w:r>
        <w:rPr>
          <w:rFonts w:ascii="Arial" w:hAnsi="Arial" w:cs="Arial"/>
          <w:sz w:val="20"/>
          <w:szCs w:val="24"/>
        </w:rPr>
        <w:t>The mean number of flower buds was significantly higher with GAP (19 ± 6.2) compared to APMGK (12 ± 4.8), with a p-value less than 0.001 indicating a highly significant difference. The mean number of fruits harvested was 14 ± 5.1 with GAP versus 12 ± 4.6 with APMGK. But this difference was not statistically significant (p &lt; 0.35). The mean mass of fruits harvested with GAP was 0.52 Kg ± 0.18 versus 0.45 Kg ± 0.15 with APMGK. Although the trend was in favor of GAP, the difference remained non-significant (p = 0.27).</w:t>
      </w:r>
    </w:p>
    <w:p w14:paraId="179690D1">
      <w:pPr>
        <w:spacing w:line="360" w:lineRule="auto"/>
        <w:jc w:val="both"/>
        <w:rPr>
          <w:rFonts w:ascii="Arial" w:hAnsi="Arial" w:cs="Arial"/>
          <w:sz w:val="20"/>
        </w:rPr>
      </w:pPr>
      <w:r>
        <w:rPr>
          <w:rFonts w:ascii="Arial" w:hAnsi="Arial" w:cs="Arial"/>
          <w:b/>
          <w:sz w:val="20"/>
        </w:rPr>
        <w:t>Table II</w:t>
      </w:r>
      <w:r>
        <w:rPr>
          <w:rFonts w:ascii="Arial" w:hAnsi="Arial" w:cs="Arial"/>
          <w:sz w:val="20"/>
        </w:rPr>
        <w:t>: Production parameters according to agricultural practices</w:t>
      </w:r>
    </w:p>
    <w:tbl>
      <w:tblPr>
        <w:tblStyle w:val="3"/>
        <w:tblW w:w="7139" w:type="dxa"/>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7"/>
        <w:gridCol w:w="1514"/>
        <w:gridCol w:w="1500"/>
        <w:gridCol w:w="1658"/>
      </w:tblGrid>
      <w:tr w14:paraId="0616D42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467" w:type="dxa"/>
            <w:tcBorders>
              <w:bottom w:val="single" w:color="7F7F7F" w:sz="4" w:space="0"/>
            </w:tcBorders>
            <w:shd w:val="clear" w:color="auto" w:fill="auto"/>
            <w:noWrap/>
          </w:tcPr>
          <w:p w14:paraId="680061EF">
            <w:pPr>
              <w:rPr>
                <w:rFonts w:ascii="Arial" w:hAnsi="Arial" w:cs="Arial"/>
                <w:b/>
                <w:sz w:val="20"/>
              </w:rPr>
            </w:pPr>
            <w:r>
              <w:rPr>
                <w:rFonts w:ascii="Arial" w:hAnsi="Arial" w:cs="Arial"/>
                <w:b/>
                <w:sz w:val="20"/>
              </w:rPr>
              <w:t xml:space="preserve">Variable </w:t>
            </w:r>
          </w:p>
        </w:tc>
        <w:tc>
          <w:tcPr>
            <w:tcW w:w="1514" w:type="dxa"/>
            <w:tcBorders>
              <w:bottom w:val="single" w:color="7F7F7F" w:sz="4" w:space="0"/>
            </w:tcBorders>
            <w:shd w:val="clear" w:color="auto" w:fill="auto"/>
            <w:noWrap/>
          </w:tcPr>
          <w:p w14:paraId="61D8FDA4">
            <w:pPr>
              <w:rPr>
                <w:rFonts w:ascii="Arial" w:hAnsi="Arial" w:cs="Arial"/>
                <w:b/>
                <w:sz w:val="20"/>
              </w:rPr>
            </w:pPr>
            <w:r>
              <w:rPr>
                <w:rFonts w:ascii="Arial" w:hAnsi="Arial" w:cs="Arial"/>
                <w:b/>
                <w:sz w:val="20"/>
              </w:rPr>
              <w:t xml:space="preserve">Flower buds </w:t>
            </w:r>
          </w:p>
        </w:tc>
        <w:tc>
          <w:tcPr>
            <w:tcW w:w="1500" w:type="dxa"/>
            <w:tcBorders>
              <w:bottom w:val="single" w:color="7F7F7F" w:sz="4" w:space="0"/>
            </w:tcBorders>
            <w:shd w:val="clear" w:color="auto" w:fill="auto"/>
            <w:noWrap/>
          </w:tcPr>
          <w:p w14:paraId="5363E847">
            <w:pPr>
              <w:rPr>
                <w:rFonts w:ascii="Arial" w:hAnsi="Arial" w:cs="Arial"/>
                <w:b/>
                <w:sz w:val="20"/>
              </w:rPr>
            </w:pPr>
            <w:r>
              <w:rPr>
                <w:rFonts w:ascii="Arial" w:hAnsi="Arial" w:cs="Arial"/>
                <w:b/>
                <w:sz w:val="20"/>
              </w:rPr>
              <w:t xml:space="preserve">Fruits harvested </w:t>
            </w:r>
          </w:p>
        </w:tc>
        <w:tc>
          <w:tcPr>
            <w:tcW w:w="1658" w:type="dxa"/>
            <w:tcBorders>
              <w:bottom w:val="single" w:color="7F7F7F" w:sz="4" w:space="0"/>
            </w:tcBorders>
            <w:shd w:val="clear" w:color="auto" w:fill="auto"/>
            <w:noWrap/>
          </w:tcPr>
          <w:p w14:paraId="08E9F0D0">
            <w:pPr>
              <w:rPr>
                <w:rFonts w:ascii="Arial" w:hAnsi="Arial" w:cs="Arial"/>
                <w:b/>
                <w:sz w:val="20"/>
              </w:rPr>
            </w:pPr>
            <w:r>
              <w:rPr>
                <w:rFonts w:ascii="Arial" w:hAnsi="Arial" w:cs="Arial"/>
                <w:b/>
                <w:sz w:val="20"/>
              </w:rPr>
              <w:t>Fruit mass (kg)</w:t>
            </w:r>
          </w:p>
        </w:tc>
      </w:tr>
      <w:tr w14:paraId="06D0952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467" w:type="dxa"/>
            <w:shd w:val="clear" w:color="auto" w:fill="auto"/>
            <w:noWrap/>
            <w:vAlign w:val="center"/>
          </w:tcPr>
          <w:p w14:paraId="29BF803E">
            <w:pPr>
              <w:spacing w:after="0" w:line="480" w:lineRule="auto"/>
              <w:jc w:val="center"/>
              <w:rPr>
                <w:rFonts w:ascii="Arial" w:hAnsi="Arial" w:eastAsia="Times New Roman" w:cs="Arial"/>
                <w:b/>
                <w:bCs/>
                <w:color w:val="000000"/>
                <w:sz w:val="20"/>
                <w:lang w:eastAsia="fr-FR"/>
              </w:rPr>
            </w:pPr>
            <w:r>
              <w:rPr>
                <w:rFonts w:ascii="Arial" w:hAnsi="Arial" w:eastAsia="Times New Roman" w:cs="Arial"/>
                <w:b/>
                <w:bCs/>
                <w:color w:val="000000"/>
                <w:sz w:val="20"/>
                <w:lang w:eastAsia="fr-FR"/>
              </w:rPr>
              <w:t>APMGK</w:t>
            </w:r>
          </w:p>
        </w:tc>
        <w:tc>
          <w:tcPr>
            <w:tcW w:w="1514" w:type="dxa"/>
            <w:shd w:val="clear" w:color="auto" w:fill="auto"/>
            <w:noWrap/>
            <w:vAlign w:val="center"/>
          </w:tcPr>
          <w:p w14:paraId="19123932">
            <w:pPr>
              <w:spacing w:after="0" w:line="480" w:lineRule="auto"/>
              <w:jc w:val="center"/>
              <w:rPr>
                <w:rFonts w:ascii="Arial" w:hAnsi="Arial" w:eastAsia="Times New Roman" w:cs="Arial"/>
                <w:color w:val="000000"/>
                <w:sz w:val="20"/>
                <w:lang w:eastAsia="fr-FR"/>
              </w:rPr>
            </w:pPr>
            <w:r>
              <w:rPr>
                <w:rFonts w:ascii="Arial" w:hAnsi="Arial" w:eastAsia="Times New Roman" w:cs="Arial"/>
                <w:color w:val="000000"/>
                <w:sz w:val="20"/>
                <w:lang w:eastAsia="fr-FR"/>
              </w:rPr>
              <w:t>12 ± 4.8 b</w:t>
            </w:r>
          </w:p>
        </w:tc>
        <w:tc>
          <w:tcPr>
            <w:tcW w:w="1500" w:type="dxa"/>
            <w:shd w:val="clear" w:color="auto" w:fill="auto"/>
            <w:noWrap/>
            <w:vAlign w:val="center"/>
          </w:tcPr>
          <w:p w14:paraId="3C3BFC7F">
            <w:pPr>
              <w:spacing w:after="0" w:line="480" w:lineRule="auto"/>
              <w:jc w:val="center"/>
              <w:rPr>
                <w:rFonts w:ascii="Arial" w:hAnsi="Arial" w:eastAsia="Times New Roman" w:cs="Arial"/>
                <w:color w:val="000000"/>
                <w:sz w:val="20"/>
                <w:lang w:val="zh-CN" w:eastAsia="fr-FR"/>
              </w:rPr>
            </w:pPr>
            <w:r>
              <w:rPr>
                <w:rFonts w:ascii="Arial" w:hAnsi="Arial" w:eastAsia="Times New Roman" w:cs="Arial"/>
                <w:color w:val="000000"/>
                <w:sz w:val="20"/>
                <w:lang w:val="zh-CN" w:eastAsia="fr-FR"/>
              </w:rPr>
              <w:t>12 ± 4.6 a</w:t>
            </w:r>
          </w:p>
        </w:tc>
        <w:tc>
          <w:tcPr>
            <w:tcW w:w="1658" w:type="dxa"/>
            <w:shd w:val="clear" w:color="auto" w:fill="auto"/>
            <w:noWrap/>
            <w:vAlign w:val="center"/>
          </w:tcPr>
          <w:p w14:paraId="64148BAA">
            <w:pPr>
              <w:spacing w:after="0" w:line="480" w:lineRule="auto"/>
              <w:jc w:val="center"/>
              <w:rPr>
                <w:rFonts w:ascii="Arial" w:hAnsi="Arial" w:eastAsia="Times New Roman" w:cs="Arial"/>
                <w:color w:val="000000"/>
                <w:sz w:val="20"/>
                <w:lang w:val="zh-CN" w:eastAsia="fr-FR"/>
              </w:rPr>
            </w:pPr>
            <w:r>
              <w:rPr>
                <w:rFonts w:ascii="Arial" w:hAnsi="Arial" w:eastAsia="Times New Roman" w:cs="Arial"/>
                <w:color w:val="000000"/>
                <w:sz w:val="20"/>
                <w:lang w:val="zh-CN" w:eastAsia="fr-FR"/>
              </w:rPr>
              <w:t>0.45 ± 0.15 a</w:t>
            </w:r>
          </w:p>
        </w:tc>
      </w:tr>
      <w:tr w14:paraId="4A9F321A">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467" w:type="dxa"/>
            <w:tcBorders>
              <w:top w:val="single" w:color="7F7F7F" w:sz="4" w:space="0"/>
              <w:bottom w:val="single" w:color="7F7F7F" w:sz="4" w:space="0"/>
            </w:tcBorders>
            <w:shd w:val="clear" w:color="auto" w:fill="auto"/>
            <w:noWrap/>
            <w:vAlign w:val="center"/>
          </w:tcPr>
          <w:p w14:paraId="0FD5C3CC">
            <w:pPr>
              <w:spacing w:after="0" w:line="480" w:lineRule="auto"/>
              <w:jc w:val="center"/>
              <w:rPr>
                <w:rFonts w:ascii="Arial" w:hAnsi="Arial" w:eastAsia="Times New Roman" w:cs="Arial"/>
                <w:b/>
                <w:bCs/>
                <w:color w:val="000000"/>
                <w:sz w:val="20"/>
                <w:lang w:val="zh-CN" w:eastAsia="fr-FR"/>
              </w:rPr>
            </w:pPr>
            <w:r>
              <w:rPr>
                <w:rFonts w:ascii="Arial" w:hAnsi="Arial" w:eastAsia="Times New Roman" w:cs="Arial"/>
                <w:b/>
                <w:bCs/>
                <w:color w:val="000000"/>
                <w:sz w:val="20"/>
                <w:lang w:val="zh-CN" w:eastAsia="fr-FR"/>
              </w:rPr>
              <w:t>GAP</w:t>
            </w:r>
          </w:p>
        </w:tc>
        <w:tc>
          <w:tcPr>
            <w:tcW w:w="1514" w:type="dxa"/>
            <w:tcBorders>
              <w:top w:val="single" w:color="7F7F7F" w:sz="4" w:space="0"/>
              <w:bottom w:val="single" w:color="7F7F7F" w:sz="4" w:space="0"/>
            </w:tcBorders>
            <w:shd w:val="clear" w:color="auto" w:fill="auto"/>
            <w:noWrap/>
            <w:vAlign w:val="center"/>
          </w:tcPr>
          <w:p w14:paraId="6929817E">
            <w:pPr>
              <w:spacing w:after="0" w:line="480" w:lineRule="auto"/>
              <w:jc w:val="center"/>
              <w:rPr>
                <w:rFonts w:ascii="Arial" w:hAnsi="Arial" w:eastAsia="Times New Roman" w:cs="Arial"/>
                <w:color w:val="000000"/>
                <w:sz w:val="20"/>
                <w:lang w:val="zh-CN" w:eastAsia="fr-FR"/>
              </w:rPr>
            </w:pPr>
            <w:r>
              <w:rPr>
                <w:rFonts w:ascii="Arial" w:hAnsi="Arial" w:eastAsia="Times New Roman" w:cs="Arial"/>
                <w:color w:val="000000"/>
                <w:sz w:val="20"/>
                <w:lang w:val="zh-CN" w:eastAsia="fr-FR"/>
              </w:rPr>
              <w:t>19 ± 6.2 a</w:t>
            </w:r>
          </w:p>
        </w:tc>
        <w:tc>
          <w:tcPr>
            <w:tcW w:w="1500" w:type="dxa"/>
            <w:tcBorders>
              <w:top w:val="single" w:color="7F7F7F" w:sz="4" w:space="0"/>
              <w:bottom w:val="single" w:color="7F7F7F" w:sz="4" w:space="0"/>
            </w:tcBorders>
            <w:shd w:val="clear" w:color="auto" w:fill="auto"/>
            <w:noWrap/>
            <w:vAlign w:val="center"/>
          </w:tcPr>
          <w:p w14:paraId="2D0D8DA4">
            <w:pPr>
              <w:spacing w:after="0" w:line="480" w:lineRule="auto"/>
              <w:jc w:val="center"/>
              <w:rPr>
                <w:rFonts w:ascii="Arial" w:hAnsi="Arial" w:eastAsia="Times New Roman" w:cs="Arial"/>
                <w:color w:val="000000"/>
                <w:sz w:val="20"/>
                <w:lang w:val="zh-CN" w:eastAsia="fr-FR"/>
              </w:rPr>
            </w:pPr>
            <w:r>
              <w:rPr>
                <w:rFonts w:ascii="Arial" w:hAnsi="Arial" w:eastAsia="Times New Roman" w:cs="Arial"/>
                <w:color w:val="000000"/>
                <w:sz w:val="20"/>
                <w:lang w:val="zh-CN" w:eastAsia="fr-FR"/>
              </w:rPr>
              <w:t>14 ± 5.1 a</w:t>
            </w:r>
          </w:p>
        </w:tc>
        <w:tc>
          <w:tcPr>
            <w:tcW w:w="1658" w:type="dxa"/>
            <w:tcBorders>
              <w:top w:val="single" w:color="7F7F7F" w:sz="4" w:space="0"/>
              <w:bottom w:val="single" w:color="7F7F7F" w:sz="4" w:space="0"/>
            </w:tcBorders>
            <w:shd w:val="clear" w:color="auto" w:fill="auto"/>
            <w:noWrap/>
            <w:vAlign w:val="center"/>
          </w:tcPr>
          <w:p w14:paraId="7A63366C">
            <w:pPr>
              <w:spacing w:after="0" w:line="480" w:lineRule="auto"/>
              <w:jc w:val="center"/>
              <w:rPr>
                <w:rFonts w:ascii="Arial" w:hAnsi="Arial" w:eastAsia="Times New Roman" w:cs="Arial"/>
                <w:color w:val="000000"/>
                <w:sz w:val="20"/>
                <w:lang w:val="zh-CN" w:eastAsia="fr-FR"/>
              </w:rPr>
            </w:pPr>
            <w:r>
              <w:rPr>
                <w:rFonts w:ascii="Arial" w:hAnsi="Arial" w:eastAsia="Times New Roman" w:cs="Arial"/>
                <w:color w:val="000000"/>
                <w:sz w:val="20"/>
                <w:lang w:val="zh-CN" w:eastAsia="fr-FR"/>
              </w:rPr>
              <w:t>0.52 ± 0.18 a</w:t>
            </w:r>
          </w:p>
        </w:tc>
      </w:tr>
      <w:tr w14:paraId="343C5808">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467" w:type="dxa"/>
            <w:shd w:val="clear" w:color="auto" w:fill="auto"/>
            <w:noWrap/>
            <w:vAlign w:val="center"/>
          </w:tcPr>
          <w:p w14:paraId="33050E4B">
            <w:pPr>
              <w:spacing w:after="0" w:line="480" w:lineRule="auto"/>
              <w:jc w:val="center"/>
              <w:rPr>
                <w:rFonts w:ascii="Arial" w:hAnsi="Arial" w:eastAsia="Times New Roman" w:cs="Arial"/>
                <w:b/>
                <w:bCs/>
                <w:i/>
                <w:color w:val="000000"/>
                <w:sz w:val="20"/>
                <w:lang w:val="zh-CN" w:eastAsia="fr-FR"/>
              </w:rPr>
            </w:pPr>
            <w:r>
              <w:rPr>
                <w:rFonts w:ascii="Arial" w:hAnsi="Arial" w:eastAsia="Times New Roman" w:cs="Arial"/>
                <w:b/>
                <w:bCs/>
                <w:i/>
                <w:color w:val="000000"/>
                <w:sz w:val="20"/>
                <w:lang w:val="zh-CN" w:eastAsia="fr-FR"/>
              </w:rPr>
              <w:t>p-value</w:t>
            </w:r>
          </w:p>
        </w:tc>
        <w:tc>
          <w:tcPr>
            <w:tcW w:w="1514" w:type="dxa"/>
            <w:shd w:val="clear" w:color="auto" w:fill="auto"/>
            <w:noWrap/>
            <w:vAlign w:val="center"/>
          </w:tcPr>
          <w:p w14:paraId="17F61445">
            <w:pPr>
              <w:spacing w:after="0" w:line="480" w:lineRule="auto"/>
              <w:jc w:val="center"/>
              <w:rPr>
                <w:rFonts w:ascii="Arial" w:hAnsi="Arial" w:eastAsia="Times New Roman" w:cs="Arial"/>
                <w:i/>
                <w:color w:val="000000"/>
                <w:sz w:val="20"/>
                <w:lang w:val="zh-CN" w:eastAsia="fr-FR"/>
              </w:rPr>
            </w:pPr>
            <w:r>
              <w:rPr>
                <w:rFonts w:ascii="Arial" w:hAnsi="Arial" w:eastAsia="Times New Roman" w:cs="Arial"/>
                <w:i/>
                <w:color w:val="000000"/>
                <w:sz w:val="20"/>
                <w:lang w:val="zh-CN" w:eastAsia="fr-FR"/>
              </w:rPr>
              <w:t>&lt; 0.001</w:t>
            </w:r>
          </w:p>
        </w:tc>
        <w:tc>
          <w:tcPr>
            <w:tcW w:w="1500" w:type="dxa"/>
            <w:shd w:val="clear" w:color="auto" w:fill="auto"/>
            <w:noWrap/>
            <w:vAlign w:val="center"/>
          </w:tcPr>
          <w:p w14:paraId="5BB0D179">
            <w:pPr>
              <w:spacing w:after="0" w:line="480" w:lineRule="auto"/>
              <w:jc w:val="center"/>
              <w:rPr>
                <w:rFonts w:ascii="Arial" w:hAnsi="Arial" w:eastAsia="Times New Roman" w:cs="Arial"/>
                <w:i/>
                <w:color w:val="000000"/>
                <w:sz w:val="20"/>
                <w:lang w:val="zh-CN" w:eastAsia="fr-FR"/>
              </w:rPr>
            </w:pPr>
            <w:r>
              <w:rPr>
                <w:rFonts w:ascii="Arial" w:hAnsi="Arial" w:eastAsia="Times New Roman" w:cs="Arial"/>
                <w:i/>
                <w:color w:val="000000"/>
                <w:sz w:val="20"/>
                <w:lang w:val="zh-CN" w:eastAsia="fr-FR"/>
              </w:rPr>
              <w:t>0.35</w:t>
            </w:r>
          </w:p>
        </w:tc>
        <w:tc>
          <w:tcPr>
            <w:tcW w:w="1658" w:type="dxa"/>
            <w:shd w:val="clear" w:color="auto" w:fill="auto"/>
            <w:noWrap/>
            <w:vAlign w:val="center"/>
          </w:tcPr>
          <w:p w14:paraId="51D6BB75">
            <w:pPr>
              <w:spacing w:after="0" w:line="480" w:lineRule="auto"/>
              <w:jc w:val="center"/>
              <w:rPr>
                <w:rFonts w:ascii="Arial" w:hAnsi="Arial" w:eastAsia="Times New Roman" w:cs="Arial"/>
                <w:i/>
                <w:color w:val="000000"/>
                <w:sz w:val="20"/>
                <w:lang w:val="zh-CN" w:eastAsia="fr-FR"/>
              </w:rPr>
            </w:pPr>
            <w:r>
              <w:rPr>
                <w:rFonts w:ascii="Arial" w:hAnsi="Arial" w:eastAsia="Times New Roman" w:cs="Arial"/>
                <w:i/>
                <w:color w:val="000000"/>
                <w:sz w:val="20"/>
                <w:lang w:val="zh-CN" w:eastAsia="fr-FR"/>
              </w:rPr>
              <w:t>0.27</w:t>
            </w:r>
          </w:p>
        </w:tc>
      </w:tr>
    </w:tbl>
    <w:p w14:paraId="64A9FA09">
      <w:pPr>
        <w:spacing w:line="360" w:lineRule="auto"/>
        <w:jc w:val="both"/>
        <w:rPr>
          <w:rFonts w:ascii="Arial" w:hAnsi="Arial" w:cs="Arial"/>
          <w:sz w:val="24"/>
          <w:szCs w:val="24"/>
        </w:rPr>
      </w:pPr>
      <w:r>
        <w:rPr>
          <w:rFonts w:ascii="Arial" w:hAnsi="Arial" w:cs="Arial"/>
          <w:sz w:val="20"/>
          <w:szCs w:val="24"/>
        </w:rPr>
        <w:t>Values with the same letters in the same column are statistically equal, APMGK: Agricultural Practices of Market Gardeners of Korhogo, GAP: Good Agricultural Practices</w:t>
      </w:r>
    </w:p>
    <w:p w14:paraId="018E33EE">
      <w:pPr>
        <w:spacing w:line="360" w:lineRule="auto"/>
        <w:jc w:val="both"/>
        <w:rPr>
          <w:rFonts w:ascii="Arial" w:hAnsi="Arial" w:cs="Arial"/>
          <w:b/>
          <w:szCs w:val="24"/>
          <w:lang w:val="zh-CN"/>
        </w:rPr>
      </w:pPr>
      <w:r>
        <w:rPr>
          <w:rFonts w:ascii="Arial" w:hAnsi="Arial" w:cs="Arial"/>
          <w:b/>
          <w:szCs w:val="24"/>
          <w:lang w:val="zh-CN"/>
        </w:rPr>
        <w:t xml:space="preserve">3.2 DISCUSSION </w:t>
      </w:r>
    </w:p>
    <w:p w14:paraId="07D9BA57">
      <w:pPr>
        <w:spacing w:line="360" w:lineRule="auto"/>
        <w:jc w:val="both"/>
        <w:rPr>
          <w:rFonts w:ascii="Arial" w:hAnsi="Arial" w:cs="Arial"/>
          <w:sz w:val="20"/>
          <w:szCs w:val="20"/>
        </w:rPr>
      </w:pPr>
      <w:r>
        <w:rPr>
          <w:rFonts w:ascii="Arial" w:hAnsi="Arial" w:cs="Arial"/>
          <w:sz w:val="20"/>
          <w:szCs w:val="20"/>
        </w:rPr>
        <w:t xml:space="preserve">Regarding growth parameters, the results showed an increase in the number of leaves, stem length and stem circumference with GAP. The difference between the two agricultural practices is that GAP recommends the use of both organic and mineral fertilizers while APMGK mainly recommends the use of organic fertilizer. Therefore, the use of both organic and mineral fertilizer promotes good growth of tomato plants. Similar results were obtained by Yolou </w:t>
      </w:r>
      <w:r>
        <w:rPr>
          <w:rFonts w:ascii="Arial" w:hAnsi="Arial" w:cs="Arial"/>
          <w:i/>
          <w:sz w:val="20"/>
          <w:szCs w:val="20"/>
        </w:rPr>
        <w:t>et al</w:t>
      </w:r>
      <w:r>
        <w:rPr>
          <w:rFonts w:ascii="Arial" w:hAnsi="Arial" w:cs="Arial"/>
          <w:sz w:val="20"/>
          <w:szCs w:val="20"/>
        </w:rPr>
        <w:t xml:space="preserve">. (2016). These authors showed that organo-mineral fertilization gave good growth of tomato plants compared to organic fertilization and mineral fertilization. In addition, several studies have shown similar results with other crops such as cassava (Akanza </w:t>
      </w:r>
      <w:r>
        <w:rPr>
          <w:rFonts w:ascii="Arial" w:hAnsi="Arial" w:cs="Arial"/>
          <w:i/>
          <w:sz w:val="20"/>
          <w:szCs w:val="20"/>
        </w:rPr>
        <w:t>et al</w:t>
      </w:r>
      <w:r>
        <w:rPr>
          <w:rFonts w:ascii="Arial" w:hAnsi="Arial" w:cs="Arial"/>
          <w:sz w:val="20"/>
          <w:szCs w:val="20"/>
        </w:rPr>
        <w:t xml:space="preserve">., 2015), fonio (Gueye, 2016), sorghum (Somda </w:t>
      </w:r>
      <w:r>
        <w:rPr>
          <w:rFonts w:ascii="Arial" w:hAnsi="Arial" w:cs="Arial"/>
          <w:i/>
          <w:sz w:val="20"/>
          <w:szCs w:val="20"/>
        </w:rPr>
        <w:t>et al</w:t>
      </w:r>
      <w:r>
        <w:rPr>
          <w:rFonts w:ascii="Arial" w:hAnsi="Arial" w:cs="Arial"/>
          <w:sz w:val="20"/>
          <w:szCs w:val="20"/>
        </w:rPr>
        <w:t xml:space="preserve">., 2017), cashew (Tokoré </w:t>
      </w:r>
      <w:r>
        <w:rPr>
          <w:rFonts w:ascii="Arial" w:hAnsi="Arial" w:cs="Arial"/>
          <w:i/>
          <w:sz w:val="20"/>
          <w:szCs w:val="20"/>
        </w:rPr>
        <w:t>et al</w:t>
      </w:r>
      <w:r>
        <w:rPr>
          <w:rFonts w:ascii="Arial" w:hAnsi="Arial" w:cs="Arial"/>
          <w:sz w:val="20"/>
          <w:szCs w:val="20"/>
        </w:rPr>
        <w:t xml:space="preserve">., 2022). This improvement in growth could be explained by the fact that the application of mineral fertilizer makes the mineral elements necessary for plant growth immediately accessible. Then, the constituents of organic fertilizer take over after their mineralization. Indeed, according to Segnou </w:t>
      </w:r>
      <w:r>
        <w:rPr>
          <w:rFonts w:ascii="Arial" w:hAnsi="Arial" w:cs="Arial"/>
          <w:i/>
          <w:sz w:val="20"/>
          <w:szCs w:val="20"/>
        </w:rPr>
        <w:t>et al</w:t>
      </w:r>
      <w:r>
        <w:rPr>
          <w:rFonts w:ascii="Arial" w:hAnsi="Arial" w:cs="Arial"/>
          <w:sz w:val="20"/>
          <w:szCs w:val="20"/>
        </w:rPr>
        <w:t xml:space="preserve">. (2012), the constituents of organic fertilizers are not directly available. They must undergo mineralization before being used. Poultry manure is mineralized in the first months following spreading, whereas cattle manure requires a longer time (Etter, 2017). However, according to Yolou </w:t>
      </w:r>
      <w:r>
        <w:rPr>
          <w:rFonts w:ascii="Arial" w:hAnsi="Arial" w:cs="Arial"/>
          <w:i/>
          <w:sz w:val="20"/>
          <w:szCs w:val="20"/>
        </w:rPr>
        <w:t>et al</w:t>
      </w:r>
      <w:r>
        <w:rPr>
          <w:rFonts w:ascii="Arial" w:hAnsi="Arial" w:cs="Arial"/>
          <w:sz w:val="20"/>
          <w:szCs w:val="20"/>
        </w:rPr>
        <w:t xml:space="preserve">. (2016), the improvement in growth would be due to the fact that the assimilation of mineral fertilizers by the plant is higher in soils amended with organic matter than in unamended soils. Indeed, Hounkpodoté and Tossou (2001) showed that organic fertilizers improve the water retention capacity and the water and air permeability of the soil. This promotes better assimilation of mineral fertilizer by the plant after application of organic fertilizer (Yolou </w:t>
      </w:r>
      <w:r>
        <w:rPr>
          <w:rFonts w:ascii="Arial" w:hAnsi="Arial" w:cs="Arial"/>
          <w:i/>
          <w:sz w:val="20"/>
          <w:szCs w:val="20"/>
        </w:rPr>
        <w:t>et al</w:t>
      </w:r>
      <w:r>
        <w:rPr>
          <w:rFonts w:ascii="Arial" w:hAnsi="Arial" w:cs="Arial"/>
          <w:sz w:val="20"/>
          <w:szCs w:val="20"/>
        </w:rPr>
        <w:t>., 2016). The results obtained in this study are however contrary to those of Thiam (2017) who obtained no difference for the growth parameters of the tomato with the type of fertilizer. Organic fertilizers allowed growth of tomato plants equivalent to that of mineral fertilizer.</w:t>
      </w:r>
    </w:p>
    <w:p w14:paraId="279EB922">
      <w:pPr>
        <w:spacing w:line="360" w:lineRule="auto"/>
        <w:jc w:val="both"/>
        <w:rPr>
          <w:rFonts w:ascii="Arial" w:hAnsi="Arial" w:cs="Arial"/>
          <w:sz w:val="20"/>
          <w:szCs w:val="20"/>
        </w:rPr>
      </w:pPr>
      <w:r>
        <w:rPr>
          <w:rFonts w:ascii="Arial" w:hAnsi="Arial" w:cs="Arial"/>
          <w:sz w:val="20"/>
          <w:szCs w:val="20"/>
        </w:rPr>
        <w:t>Regarding production parameters, the results initially showed a high number of flower buds.</w:t>
      </w:r>
      <w:bookmarkStart w:id="0" w:name="_GoBack"/>
      <w:r>
        <w:rPr>
          <w:rFonts w:ascii="Arial" w:hAnsi="Arial" w:cs="Arial"/>
          <w:sz w:val="20"/>
          <w:szCs w:val="20"/>
        </w:rPr>
        <w:t xml:space="preserve"> But with GAP, not all flower buds were converted into flowers, whereas APMGK allowed the conversion of all flower buds into flowers. This ultimately resulted in a number of fruits harvested and a mass of fruits harvested that were statistically non-different for the two types of agricultural practice. The conversion of all flower buds into flowers with APMGK would be due to the application of organic fertilizer.</w:t>
      </w:r>
      <w:bookmarkEnd w:id="0"/>
      <w:r>
        <w:rPr>
          <w:rFonts w:ascii="Arial" w:hAnsi="Arial" w:cs="Arial"/>
          <w:sz w:val="20"/>
          <w:szCs w:val="20"/>
        </w:rPr>
        <w:t xml:space="preserve"> Indeed, according to Yolou </w:t>
      </w:r>
      <w:r>
        <w:rPr>
          <w:rFonts w:ascii="Arial" w:hAnsi="Arial" w:cs="Arial"/>
          <w:i/>
          <w:sz w:val="20"/>
          <w:szCs w:val="20"/>
        </w:rPr>
        <w:t>et al</w:t>
      </w:r>
      <w:r>
        <w:rPr>
          <w:rFonts w:ascii="Arial" w:hAnsi="Arial" w:cs="Arial"/>
          <w:sz w:val="20"/>
          <w:szCs w:val="20"/>
        </w:rPr>
        <w:t xml:space="preserve">. (2016), organic matter allows for faster development of tomato plants, thus accelerating flowering. Flowering being accelerated, this prevented the loss of flower buds, hence the equal number of flower buds and flowers. APMGK and GAP yielded a statistically identical average number of fruits and average mass of harvested fruits. The difference between the two agricultural practices being the application of organic fertilizer and mineral fertilizer separately or in combination, this result stipulates that the type of fertilizer alone would not be sufficient to obtain a high harvest. These results are similar to those of Coulibaly </w:t>
      </w:r>
      <w:r>
        <w:rPr>
          <w:rFonts w:ascii="Arial" w:hAnsi="Arial" w:cs="Arial"/>
          <w:i/>
          <w:sz w:val="20"/>
          <w:szCs w:val="20"/>
        </w:rPr>
        <w:t>et al</w:t>
      </w:r>
      <w:r>
        <w:rPr>
          <w:rFonts w:ascii="Arial" w:hAnsi="Arial" w:cs="Arial"/>
          <w:sz w:val="20"/>
          <w:szCs w:val="20"/>
        </w:rPr>
        <w:t xml:space="preserve">. (2020) who showed that the yield of a crop would depend on the characteristics of the growing medium, the plant material used and the production techniques applied. Furthermore, N’diaye </w:t>
      </w:r>
      <w:r>
        <w:rPr>
          <w:rFonts w:ascii="Arial" w:hAnsi="Arial" w:cs="Arial"/>
          <w:i/>
          <w:sz w:val="20"/>
          <w:szCs w:val="20"/>
        </w:rPr>
        <w:t>et al</w:t>
      </w:r>
      <w:r>
        <w:rPr>
          <w:rFonts w:ascii="Arial" w:hAnsi="Arial" w:cs="Arial"/>
          <w:sz w:val="20"/>
          <w:szCs w:val="20"/>
        </w:rPr>
        <w:t>. (2019) showed that organo-mineral fertilization had no effect on millet yield. However, this result is contrary to those of Akanza and Yao (2011) and Somda (2017) who obtained a significant increase in sorghum and cassava yield following organo-mineral fertilization.</w:t>
      </w:r>
    </w:p>
    <w:p w14:paraId="6437EA2F">
      <w:pPr>
        <w:spacing w:line="360" w:lineRule="auto"/>
        <w:jc w:val="both"/>
        <w:rPr>
          <w:rFonts w:ascii="Arial" w:hAnsi="Arial" w:cs="Arial"/>
          <w:sz w:val="20"/>
          <w:szCs w:val="20"/>
        </w:rPr>
      </w:pPr>
      <w:r>
        <w:rPr>
          <w:rFonts w:ascii="Arial" w:hAnsi="Arial" w:cs="Arial"/>
          <w:b/>
          <w:szCs w:val="24"/>
        </w:rPr>
        <w:t>4. CONCLUSION</w:t>
      </w:r>
    </w:p>
    <w:p w14:paraId="35A5C71B">
      <w:pPr>
        <w:spacing w:line="360" w:lineRule="auto"/>
        <w:jc w:val="both"/>
        <w:rPr>
          <w:rFonts w:ascii="Arial" w:hAnsi="Arial" w:cs="Arial"/>
          <w:sz w:val="20"/>
          <w:szCs w:val="24"/>
        </w:rPr>
      </w:pPr>
      <w:r>
        <w:rPr>
          <w:rFonts w:ascii="Arial" w:hAnsi="Arial" w:cs="Arial"/>
          <w:sz w:val="20"/>
          <w:szCs w:val="24"/>
        </w:rPr>
        <w:t>At the end of this work, it appears that there are some differences between the agricultural practices of market gardeners in Korhogo (APMGK) and good agricultural practices (GAP), particularly concerning the type of fertilizer applied. Indeed, the GAP recommends organo-mineral fertilization while the APMGK mainly recommends the use of organic fertilizer. This difference did not prevent a statistically identical harvest for the two agricultural practices. However, the GAP promoted good growth of tomato plants in terms of the length and circumference of the stems and the number of leaves.</w:t>
      </w:r>
    </w:p>
    <w:p w14:paraId="4327FACB">
      <w:pPr>
        <w:spacing w:before="240" w:after="0" w:line="360" w:lineRule="auto"/>
        <w:jc w:val="both"/>
        <w:rPr>
          <w:rFonts w:ascii="Arial" w:hAnsi="Arial" w:cs="Arial"/>
          <w:b/>
        </w:rPr>
      </w:pPr>
      <w:r>
        <w:rPr>
          <w:rFonts w:ascii="Arial" w:hAnsi="Arial" w:cs="Arial"/>
          <w:b/>
        </w:rPr>
        <w:t xml:space="preserve">DISCLAIMER (ARTIFICIAL INTELLIGENCE) </w:t>
      </w:r>
    </w:p>
    <w:p w14:paraId="00EFC600">
      <w:pPr>
        <w:spacing w:line="360" w:lineRule="auto"/>
        <w:jc w:val="both"/>
        <w:rPr>
          <w:rFonts w:ascii="Arial" w:hAnsi="Arial" w:cs="Arial"/>
        </w:rPr>
      </w:pPr>
      <w:r>
        <w:rPr>
          <w:rFonts w:ascii="Arial" w:hAnsi="Arial" w:cs="Arial"/>
        </w:rPr>
        <w:t>Author(s) hereby declare that NO generative AI technologies such as Large Language Models (ChatGPT, COPILOT, etc) and text-to-image generators have been used during writing or editing of this manuscript.</w:t>
      </w:r>
    </w:p>
    <w:p w14:paraId="216F2565">
      <w:pPr>
        <w:spacing w:line="360" w:lineRule="auto"/>
        <w:jc w:val="both"/>
        <w:rPr>
          <w:rFonts w:ascii="Arial" w:hAnsi="Arial" w:cs="Arial"/>
          <w:sz w:val="20"/>
          <w:szCs w:val="24"/>
        </w:rPr>
      </w:pPr>
    </w:p>
    <w:p w14:paraId="5B245C6C">
      <w:pPr>
        <w:spacing w:before="240" w:line="360" w:lineRule="auto"/>
        <w:jc w:val="both"/>
        <w:rPr>
          <w:rFonts w:ascii="Arial" w:hAnsi="Arial" w:cs="Arial"/>
          <w:b/>
          <w:szCs w:val="24"/>
          <w:lang w:val="zh-CN"/>
        </w:rPr>
      </w:pPr>
      <w:r>
        <w:rPr>
          <w:rFonts w:ascii="Arial" w:hAnsi="Arial" w:cs="Arial"/>
          <w:b/>
          <w:szCs w:val="24"/>
          <w:lang w:val="zh-CN"/>
        </w:rPr>
        <w:t>REFERENCES</w:t>
      </w:r>
    </w:p>
    <w:p w14:paraId="346F38C4">
      <w:pPr>
        <w:rPr>
          <w:rFonts w:ascii="Arial" w:hAnsi="Arial" w:cs="Arial"/>
          <w:sz w:val="20"/>
          <w:szCs w:val="20"/>
          <w:lang w:val="zh-CN"/>
        </w:rPr>
      </w:pPr>
      <w:r>
        <w:rPr>
          <w:rFonts w:ascii="Arial" w:hAnsi="Arial" w:cs="Arial"/>
          <w:sz w:val="20"/>
          <w:szCs w:val="20"/>
          <w:lang w:val="zh-CN"/>
        </w:rPr>
        <w:t>Akanza, K. P. (2015). Effects of Fertilization on Fertility, Yield Components, and Diagnosis of Soil Deficiencies in Cassava Cultivation on Ferralsols in Côte d'Ivoire. Life, Earth, and Agronomy Sciences, 03(01), 2424-7235.</w:t>
      </w:r>
    </w:p>
    <w:p w14:paraId="599385FB">
      <w:pPr>
        <w:rPr>
          <w:rFonts w:ascii="Arial" w:hAnsi="Arial" w:cs="Arial"/>
          <w:sz w:val="20"/>
          <w:szCs w:val="20"/>
          <w:lang w:val="zh-CN"/>
        </w:rPr>
      </w:pPr>
      <w:r>
        <w:rPr>
          <w:rFonts w:ascii="Arial" w:hAnsi="Arial" w:cs="Arial"/>
          <w:sz w:val="20"/>
          <w:szCs w:val="20"/>
          <w:lang w:val="zh-CN"/>
        </w:rPr>
        <w:t>Akanza, K. P., &amp; Yayo, K. A. (2011). Organo-Mineral Fertilization of Cassava (Manihot esculenta Crantz) and Diagnosis of Soil Deficiencies. Journal of Applied Biosciences, 46, 3163–3172.</w:t>
      </w:r>
    </w:p>
    <w:p w14:paraId="56CE2845">
      <w:pPr>
        <w:rPr>
          <w:rFonts w:ascii="Arial" w:hAnsi="Arial" w:cs="Arial"/>
          <w:sz w:val="20"/>
          <w:szCs w:val="20"/>
          <w:lang w:val="zh-CN"/>
        </w:rPr>
      </w:pPr>
      <w:r>
        <w:rPr>
          <w:rFonts w:ascii="Arial" w:hAnsi="Arial" w:cs="Arial"/>
          <w:sz w:val="20"/>
          <w:szCs w:val="20"/>
          <w:lang w:val="zh-CN"/>
        </w:rPr>
        <w:t>Akpo, A. F. (2022). Implementation of a Method for Preserving Tomatoes (Solanum lycopersicum) by Applying Cold and Plant Extracts with Anti-Ripening and Antifungal Effects. Thesis in Earth Sciences, Nangui Abrogoua University, Abidjan, Ivory Coast, 169.</w:t>
      </w:r>
    </w:p>
    <w:p w14:paraId="5E62A80B">
      <w:pPr>
        <w:rPr>
          <w:rFonts w:ascii="Arial" w:hAnsi="Arial" w:cs="Arial"/>
          <w:sz w:val="20"/>
          <w:szCs w:val="20"/>
          <w:lang w:val="zh-CN"/>
        </w:rPr>
      </w:pPr>
      <w:r>
        <w:rPr>
          <w:rFonts w:ascii="Arial" w:hAnsi="Arial" w:cs="Arial"/>
          <w:sz w:val="20"/>
          <w:szCs w:val="20"/>
          <w:lang w:val="zh-CN"/>
        </w:rPr>
        <w:t>Aouine, H., &amp; Mahmoudi, F. Z. (2023). Contribution to the study of factors linked to tomato infestation by Tuta absoluta (Meyrick, 1917). Master's thesis, Department of Agronomy/Echahid Hamma Lakhdar University –El Oued, Algeria.</w:t>
      </w:r>
    </w:p>
    <w:p w14:paraId="18B60B72">
      <w:pPr>
        <w:rPr>
          <w:rFonts w:ascii="Arial" w:hAnsi="Arial" w:cs="Arial"/>
          <w:sz w:val="20"/>
          <w:szCs w:val="20"/>
          <w:lang w:val="zh-CN"/>
        </w:rPr>
      </w:pPr>
      <w:r>
        <w:rPr>
          <w:rFonts w:ascii="Arial" w:hAnsi="Arial" w:cs="Arial"/>
          <w:sz w:val="20"/>
          <w:szCs w:val="20"/>
          <w:lang w:val="zh-CN"/>
        </w:rPr>
        <w:t>Camille, B. (2009). Study of the impact of nitrogen nutrition and growing conditions on polyphenol content in tomatoes. Doctoral thesis, National Polytechnic Institute of Lorraine (INP)/University of Lorraine, France.</w:t>
      </w:r>
    </w:p>
    <w:p w14:paraId="0AD835A8">
      <w:pPr>
        <w:rPr>
          <w:rFonts w:ascii="Arial" w:hAnsi="Arial" w:cs="Arial"/>
          <w:sz w:val="20"/>
          <w:szCs w:val="20"/>
          <w:lang w:val="zh-CN"/>
        </w:rPr>
      </w:pPr>
      <w:r>
        <w:rPr>
          <w:rFonts w:ascii="Arial" w:hAnsi="Arial" w:cs="Arial"/>
          <w:sz w:val="20"/>
          <w:szCs w:val="20"/>
          <w:lang w:val="zh-CN"/>
        </w:rPr>
        <w:t>Coulibaly, J. A., Sawadogo, J., Bambara, F. J., Savadogo, A. C., Compaoré, E., &amp; Legma, J. B. (2020). Effects of organic fertilizers on soil physicochemical parameters and on onion (Allium cepa L.) productivity in the West-Central region of Burkina Faso. Afrique Science, 17(6), 44–57.</w:t>
      </w:r>
    </w:p>
    <w:p w14:paraId="7AF9BAD1">
      <w:pPr>
        <w:rPr>
          <w:rFonts w:ascii="Arial" w:hAnsi="Arial" w:cs="Arial"/>
          <w:sz w:val="20"/>
          <w:szCs w:val="20"/>
          <w:lang w:val="zh-CN"/>
        </w:rPr>
      </w:pPr>
      <w:r>
        <w:rPr>
          <w:rFonts w:ascii="Arial" w:hAnsi="Arial" w:cs="Arial"/>
          <w:sz w:val="20"/>
          <w:szCs w:val="20"/>
          <w:lang w:val="zh-CN"/>
        </w:rPr>
        <w:t>Dosso, M., Koffi, A., Glou Bi, I., Traoré, A., &amp; Avadí, A. (2023). Functional analysis of the peri-urban market gardening sector in Côte d’Ivoire (2021–2022). WP2 report – Diagnosis and evaluation of the MARIGO project. CIRAD and ESA/INP-HB, Yamoussoukro, Côte d’Ivoire.</w:t>
      </w:r>
    </w:p>
    <w:p w14:paraId="7FE715B7">
      <w:pPr>
        <w:rPr>
          <w:rFonts w:ascii="Arial" w:hAnsi="Arial" w:cs="Arial"/>
          <w:sz w:val="20"/>
          <w:szCs w:val="20"/>
          <w:lang w:val="zh-CN"/>
        </w:rPr>
      </w:pPr>
      <w:r>
        <w:rPr>
          <w:rFonts w:ascii="Arial" w:hAnsi="Arial" w:cs="Arial"/>
          <w:sz w:val="20"/>
          <w:szCs w:val="20"/>
          <w:lang w:val="zh-CN"/>
        </w:rPr>
        <w:t>Etter, A. (2017). Organic fertilizers: yield and quality. Revu UFA, 10(2).</w:t>
      </w:r>
    </w:p>
    <w:p w14:paraId="7383611F">
      <w:pPr>
        <w:rPr>
          <w:rFonts w:ascii="Arial" w:hAnsi="Arial" w:cs="Arial"/>
          <w:sz w:val="20"/>
          <w:szCs w:val="20"/>
          <w:lang w:val="zh-CN"/>
        </w:rPr>
      </w:pPr>
      <w:r>
        <w:rPr>
          <w:rFonts w:ascii="Arial" w:hAnsi="Arial" w:cs="Arial"/>
          <w:sz w:val="20"/>
          <w:szCs w:val="20"/>
          <w:lang w:val="zh-CN"/>
        </w:rPr>
        <w:t>Gueye, M. (2016). Improving sowing, fertilization, and harvesting techniques for white fonio (Digitaria exilis Stapf; Poaceae) in Eastern Senegal and Casamance (Senegal). Doctoral thesis, Faculty of Science and Technology, Cheikh Anta Diop University of Dakar, 137.</w:t>
      </w:r>
    </w:p>
    <w:p w14:paraId="646983CE">
      <w:pPr>
        <w:rPr>
          <w:rFonts w:ascii="Arial" w:hAnsi="Arial" w:cs="Arial"/>
          <w:sz w:val="20"/>
          <w:szCs w:val="20"/>
          <w:lang w:val="zh-CN"/>
        </w:rPr>
      </w:pPr>
      <w:r>
        <w:rPr>
          <w:rFonts w:ascii="Arial" w:hAnsi="Arial" w:cs="Arial"/>
          <w:sz w:val="20"/>
          <w:szCs w:val="20"/>
          <w:lang w:val="zh-CN"/>
        </w:rPr>
        <w:t>Hounkpodote, M. R., &amp; Tossou, C.C. (2001). Profile of interactions between land issues and the development of urban agriculture in the city of Cotonou and surrounding areas. Chamber of Agriculture of Benin, Cotonou, report, 81.</w:t>
      </w:r>
    </w:p>
    <w:p w14:paraId="0A32BB02">
      <w:pPr>
        <w:rPr>
          <w:rFonts w:ascii="Arial" w:hAnsi="Arial" w:cs="Arial"/>
          <w:sz w:val="20"/>
          <w:szCs w:val="20"/>
          <w:lang w:val="zh-CN"/>
        </w:rPr>
      </w:pPr>
      <w:r>
        <w:rPr>
          <w:rFonts w:ascii="Arial" w:hAnsi="Arial" w:cs="Arial"/>
          <w:sz w:val="20"/>
          <w:szCs w:val="20"/>
          <w:lang w:val="zh-CN"/>
        </w:rPr>
        <w:t>Kouamé, K. F., Agré, D. J., Komoé, K., Baka, Y. R., &amp; Kouadio, E. Y. G. (2023). In Vitro Effect of Algae Extracts [Sargassum natans (Børgesen) Børgesen and Sargassum fluitans (Børgesen) Børgesen, Sargassaceae] on Fusarium sp, Causal Agent of Fusarium vascular wilt of tomato (Solanum lycopersicum L., Solanaceae). European Scientific Journal, 15, 119-135.</w:t>
      </w:r>
    </w:p>
    <w:p w14:paraId="0FE5FB6A">
      <w:pPr>
        <w:rPr>
          <w:rFonts w:ascii="Arial" w:hAnsi="Arial" w:cs="Arial"/>
          <w:sz w:val="20"/>
          <w:szCs w:val="20"/>
          <w:lang w:val="zh-CN"/>
        </w:rPr>
      </w:pPr>
      <w:r>
        <w:rPr>
          <w:rFonts w:ascii="Arial" w:hAnsi="Arial" w:cs="Arial"/>
          <w:sz w:val="20"/>
          <w:szCs w:val="20"/>
          <w:lang w:val="zh-CN"/>
        </w:rPr>
        <w:t>Ndiaye, A., Ndiaye, O., Bamba, B., Guèye, M., &amp; Sawané, O. (2019). Effects of organo-mineral fertilization on the growth and yield of “millet sanio” (Pennisetum glaucum L. R. Br) in Haute Casamance (Senegal). European Scientific Journal, 15(33), 155-170. URL: http://dx.doi.org/10.19044/esj.2019.v15n33p155</w:t>
      </w:r>
    </w:p>
    <w:p w14:paraId="1F98C778">
      <w:pPr>
        <w:rPr>
          <w:rFonts w:ascii="Arial" w:hAnsi="Arial" w:cs="Arial"/>
          <w:sz w:val="20"/>
          <w:szCs w:val="20"/>
          <w:lang w:val="zh-CN"/>
        </w:rPr>
      </w:pPr>
      <w:r>
        <w:rPr>
          <w:rFonts w:ascii="Arial" w:hAnsi="Arial" w:cs="Arial"/>
          <w:sz w:val="20"/>
          <w:szCs w:val="20"/>
          <w:lang w:val="zh-CN"/>
        </w:rPr>
        <w:t>Segnou, J., Akoa, A., Youmbi, E., &amp; Njoya, J., (2012). Effect of Mineral and Organic Fertilization on Pepper (Capsicum annuum L.; Solanaceae) Fruit Yield in Lowland Forest Zones of Cameroon. 10.</w:t>
      </w:r>
    </w:p>
    <w:p w14:paraId="5008C030">
      <w:pPr>
        <w:rPr>
          <w:rFonts w:ascii="Arial" w:hAnsi="Arial" w:cs="Arial"/>
          <w:sz w:val="20"/>
          <w:szCs w:val="20"/>
          <w:lang w:val="zh-CN"/>
        </w:rPr>
      </w:pPr>
      <w:r>
        <w:rPr>
          <w:rFonts w:ascii="Arial" w:hAnsi="Arial" w:cs="Arial"/>
          <w:sz w:val="20"/>
          <w:szCs w:val="20"/>
          <w:lang w:val="zh-CN"/>
        </w:rPr>
        <w:t>Somda, B. B., Ouattara, B., Serme, I., Pouya, M. B., Lompo, F., Taonda, S. J. B., &amp; Sedogo, P. M. (2017). Determination of Optimal Doses of Microdose Organo-Mineral Fertilization in the Sudano-Sahelian Zone of Burkina Faso. International Journal of Biological and Chemical Sciences, 11(2), 670-683.</w:t>
      </w:r>
    </w:p>
    <w:p w14:paraId="5CE0A4B6">
      <w:pPr>
        <w:rPr>
          <w:rFonts w:ascii="Arial" w:hAnsi="Arial" w:cs="Arial"/>
          <w:sz w:val="20"/>
          <w:szCs w:val="20"/>
          <w:lang w:val="zh-CN"/>
        </w:rPr>
      </w:pPr>
      <w:r>
        <w:rPr>
          <w:rFonts w:ascii="Arial" w:hAnsi="Arial" w:cs="Arial"/>
          <w:sz w:val="20"/>
          <w:szCs w:val="20"/>
          <w:lang w:val="zh-CN"/>
        </w:rPr>
        <w:t>Soro, S., Doumbia, M., Dao, D.A., &amp; Girardin, O. (2007). Performance of six Lycopersicon esculentum Mill. tomato cultivars against leaf curl, bacterial wilt, and root-knot nematodes. Science and Nature, 2(4), 123-130.</w:t>
      </w:r>
    </w:p>
    <w:p w14:paraId="18664874">
      <w:pPr>
        <w:rPr>
          <w:rFonts w:ascii="Arial" w:hAnsi="Arial" w:cs="Arial"/>
          <w:sz w:val="20"/>
          <w:szCs w:val="20"/>
          <w:lang w:val="zh-CN"/>
        </w:rPr>
      </w:pPr>
      <w:r>
        <w:rPr>
          <w:rFonts w:ascii="Arial" w:hAnsi="Arial" w:cs="Arial"/>
          <w:sz w:val="20"/>
          <w:szCs w:val="20"/>
          <w:lang w:val="zh-CN"/>
        </w:rPr>
        <w:t>Thiaw, W. (2017). Comparison of different organic fertilizers on tomato crops in the Niayes region. Master's thesis in Sustainable Management of Horticultural Agroecosystems. Faculty of Science and Technology, CHEIKH ANTA DIOP UNIVERSITY OF DAKAR, Senegal, 30.</w:t>
      </w:r>
    </w:p>
    <w:p w14:paraId="75F6BC54">
      <w:pPr>
        <w:rPr>
          <w:rFonts w:ascii="Arial" w:hAnsi="Arial" w:cs="Arial"/>
          <w:sz w:val="20"/>
          <w:szCs w:val="20"/>
          <w:lang w:val="zh-CN"/>
        </w:rPr>
      </w:pPr>
      <w:r>
        <w:rPr>
          <w:rFonts w:ascii="Arial" w:hAnsi="Arial" w:cs="Arial"/>
          <w:sz w:val="20"/>
          <w:szCs w:val="20"/>
          <w:lang w:val="zh-CN"/>
        </w:rPr>
        <w:t>Tokoré, O. M. S.B. J., Batamoussi, H. M., &amp; Tassiki, A. (2022). Effects of mineral and organic fertilizers as basal dressing on the recovery and growth of cashew grafted plants in the field. African Agronomy Sp, 34(1), 101-115.</w:t>
      </w:r>
    </w:p>
    <w:p w14:paraId="2A8E2583">
      <w:pPr>
        <w:rPr>
          <w:rFonts w:ascii="Arial" w:hAnsi="Arial" w:cs="Arial"/>
          <w:sz w:val="20"/>
          <w:szCs w:val="20"/>
          <w:lang w:val="zh-CN"/>
        </w:rPr>
      </w:pPr>
      <w:r>
        <w:rPr>
          <w:rFonts w:ascii="Arial" w:hAnsi="Arial" w:cs="Arial"/>
          <w:sz w:val="20"/>
          <w:szCs w:val="20"/>
          <w:lang w:val="zh-CN"/>
        </w:rPr>
        <w:t>Yao., J. J, Kouassi., J. N., Groga., N. &amp; Yatty, J. K. (2022). Effect of organic fertilization on the production of two tomato varieties (Lycopersicum esculentum Mill.) grown under semi-controlled conditions in Daloa, Central-West, Ivory Coast. Africa Science, 21(6), 92–101.</w:t>
      </w:r>
    </w:p>
    <w:p w14:paraId="5AD6A4DE">
      <w:r>
        <w:rPr>
          <w:rFonts w:ascii="Arial" w:hAnsi="Arial" w:cs="Arial"/>
          <w:sz w:val="20"/>
          <w:szCs w:val="20"/>
          <w:lang w:val="zh-CN"/>
        </w:rPr>
        <w:t>Yolou, I., Akiyo, R. O L., Batamoussi, M. H., Tokoré, O. M. S. B. J., Oloufade, A-A., &amp; Essegnon, M. I. (2016). Effect of organic and mineral fertilizers on the growth and yield of tomato (Lycopersicum esculentum) in the commune of Parakou in northern Benin. Afrique Science, 12(4), 334–342.</w:t>
      </w:r>
    </w:p>
    <w:sectPr>
      <w:headerReference r:id="rId9" w:type="first"/>
      <w:footerReference r:id="rId12" w:type="first"/>
      <w:headerReference r:id="rId7" w:type="default"/>
      <w:footerReference r:id="rId10" w:type="default"/>
      <w:headerReference r:id="rId8" w:type="even"/>
      <w:footerReference r:id="rId11" w:type="even"/>
      <w:pgSz w:w="12240" w:h="15840"/>
      <w:pgMar w:top="1417" w:right="1417"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OF. HARUNA LAWAL" w:date="2025-08-20T21:55:07Z" w:initials="P">
    <w:p w14:paraId="3B878230">
      <w:pPr>
        <w:pStyle w:val="4"/>
        <w:rPr>
          <w:rFonts w:hint="default"/>
          <w:lang w:val="en-US"/>
        </w:rPr>
      </w:pPr>
      <w:r>
        <w:rPr>
          <w:rFonts w:hint="default"/>
          <w:lang w:val="en-US"/>
        </w:rPr>
        <w:t>Change to Data Collection</w:t>
      </w:r>
    </w:p>
  </w:comment>
  <w:comment w:id="1" w:author="PROF. HARUNA LAWAL" w:date="2025-08-20T21:56:44Z" w:initials="P">
    <w:p w14:paraId="2C64DB07">
      <w:pPr>
        <w:pStyle w:val="4"/>
        <w:rPr>
          <w:rFonts w:hint="default"/>
          <w:lang w:val="en-US"/>
        </w:rPr>
      </w:pPr>
      <w:r>
        <w:rPr>
          <w:rFonts w:hint="default"/>
          <w:lang w:val="en-US"/>
        </w:rPr>
        <w:t>Recorded in cm</w:t>
      </w:r>
    </w:p>
  </w:comment>
  <w:comment w:id="2" w:author="PROF. HARUNA LAWAL" w:date="2025-08-20T21:58:17Z" w:initials="P">
    <w:p w14:paraId="0A4704F5">
      <w:pPr>
        <w:pStyle w:val="4"/>
        <w:rPr>
          <w:rFonts w:hint="default"/>
          <w:lang w:val="en-US"/>
        </w:rPr>
      </w:pPr>
      <w:r>
        <w:rPr>
          <w:rFonts w:hint="default"/>
          <w:lang w:val="en-US"/>
        </w:rPr>
        <w:t>weight</w:t>
      </w:r>
    </w:p>
  </w:comment>
  <w:comment w:id="3" w:author="PROF. HARUNA LAWAL" w:date="2025-08-20T21:58:49Z" w:initials="P">
    <w:p w14:paraId="7410B530">
      <w:pPr>
        <w:pStyle w:val="4"/>
        <w:rPr>
          <w:rFonts w:hint="default"/>
          <w:lang w:val="en-US"/>
        </w:rPr>
      </w:pPr>
      <w:r>
        <w:rPr>
          <w:rFonts w:hint="default"/>
          <w:lang w:val="en-US"/>
        </w:rPr>
        <w:t>recorded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878230" w15:done="0"/>
  <w15:commentEx w15:paraId="2C64DB07" w15:done="0"/>
  <w15:commentEx w15:paraId="0A4704F5" w15:done="0"/>
  <w15:commentEx w15:paraId="7410B5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5EB0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751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3A1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79718">
    <w:pPr>
      <w:pStyle w:val="6"/>
    </w:pPr>
    <w:r>
      <w:pict>
        <v:shape id="PowerPlusWaterMarkObject1140227548" o:spid="_x0000_s2051" o:spt="136" type="#_x0000_t136" style="position:absolute;left:0pt;height:104.65pt;width:558.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1201">
    <w:pPr>
      <w:pStyle w:val="6"/>
    </w:pPr>
    <w:r>
      <w:pict>
        <v:shape id="PowerPlusWaterMarkObject1140227547" o:spid="_x0000_s2050" o:spt="136" type="#_x0000_t136" style="position:absolute;left:0pt;height:104.65pt;width:558.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1E355">
    <w:pPr>
      <w:pStyle w:val="6"/>
    </w:pPr>
    <w:r>
      <w:pict>
        <v:shape id="PowerPlusWaterMarkObject1140227546" o:spid="_x0000_s2049" o:spt="136" type="#_x0000_t136" style="position:absolute;left:0pt;height:104.65pt;width:558.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OF. HARUNA LAWAL">
    <w15:presenceInfo w15:providerId="None" w15:userId="PROF. HARUNA LA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F2"/>
    <w:rsid w:val="000913C8"/>
    <w:rsid w:val="00093695"/>
    <w:rsid w:val="00176D4B"/>
    <w:rsid w:val="0019329B"/>
    <w:rsid w:val="001C367D"/>
    <w:rsid w:val="001C5B4A"/>
    <w:rsid w:val="002E1CFC"/>
    <w:rsid w:val="003763F2"/>
    <w:rsid w:val="003E3931"/>
    <w:rsid w:val="004E26B2"/>
    <w:rsid w:val="00502BCB"/>
    <w:rsid w:val="00516F70"/>
    <w:rsid w:val="0052709E"/>
    <w:rsid w:val="005332A2"/>
    <w:rsid w:val="00546C76"/>
    <w:rsid w:val="0084072B"/>
    <w:rsid w:val="008C61A3"/>
    <w:rsid w:val="008D2B16"/>
    <w:rsid w:val="008E7773"/>
    <w:rsid w:val="009C4791"/>
    <w:rsid w:val="009D3E7D"/>
    <w:rsid w:val="00A51E5A"/>
    <w:rsid w:val="00B51747"/>
    <w:rsid w:val="00B54C6B"/>
    <w:rsid w:val="00BB3B90"/>
    <w:rsid w:val="00BE28CF"/>
    <w:rsid w:val="00DD6390"/>
    <w:rsid w:val="00F479A2"/>
    <w:rsid w:val="00FD385F"/>
    <w:rsid w:val="3D06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1"/>
    <w:unhideWhenUsed/>
    <w:uiPriority w:val="99"/>
    <w:pPr>
      <w:tabs>
        <w:tab w:val="center" w:pos="4680"/>
        <w:tab w:val="right" w:pos="9360"/>
      </w:tabs>
      <w:spacing w:after="0" w:line="240" w:lineRule="auto"/>
    </w:pPr>
  </w:style>
  <w:style w:type="paragraph" w:styleId="6">
    <w:name w:val="header"/>
    <w:basedOn w:val="1"/>
    <w:link w:val="10"/>
    <w:unhideWhenUsed/>
    <w:uiPriority w:val="99"/>
    <w:pPr>
      <w:tabs>
        <w:tab w:val="center" w:pos="4680"/>
        <w:tab w:val="right" w:pos="9360"/>
      </w:tabs>
      <w:spacing w:after="0" w:line="240" w:lineRule="auto"/>
    </w:pPr>
  </w:style>
  <w:style w:type="character" w:styleId="7">
    <w:name w:val="Hyperlink"/>
    <w:basedOn w:val="2"/>
    <w:unhideWhenUsed/>
    <w:uiPriority w:val="99"/>
    <w:rPr>
      <w:color w:val="0563C1" w:themeColor="hyperlink"/>
      <w:u w:val="single"/>
      <w14:textFill>
        <w14:solidFill>
          <w14:schemeClr w14:val="hlink"/>
        </w14:solidFill>
      </w14:textFill>
    </w:rPr>
  </w:style>
  <w:style w:type="table" w:customStyle="1" w:styleId="8">
    <w:name w:val="Plain Table 2"/>
    <w:basedOn w:val="3"/>
    <w:uiPriority w:val="42"/>
    <w:pPr>
      <w:spacing w:after="0" w:line="240" w:lineRule="auto"/>
    </w:pPr>
    <w:rPr>
      <w:kern w:val="2"/>
      <w:sz w:val="24"/>
      <w:szCs w:val="24"/>
      <w:lang w:val="fr-FR"/>
      <w14:ligatures w14:val="standardContextual"/>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styleId="9">
    <w:name w:val="List Paragraph"/>
    <w:basedOn w:val="1"/>
    <w:qFormat/>
    <w:uiPriority w:val="34"/>
    <w:pPr>
      <w:ind w:left="720"/>
      <w:contextualSpacing/>
    </w:pPr>
  </w:style>
  <w:style w:type="character" w:customStyle="1" w:styleId="10">
    <w:name w:val="Header Char"/>
    <w:basedOn w:val="2"/>
    <w:link w:val="6"/>
    <w:uiPriority w:val="99"/>
  </w:style>
  <w:style w:type="character" w:customStyle="1" w:styleId="11">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2876</Words>
  <Characters>16395</Characters>
  <Lines>136</Lines>
  <Paragraphs>38</Paragraphs>
  <TotalTime>667</TotalTime>
  <ScaleCrop>false</ScaleCrop>
  <LinksUpToDate>false</LinksUpToDate>
  <CharactersWithSpaces>19233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2025-08-17T23:11:00Z</dcterms:created>
  <dc:creator>DR BLA</dc:creator>
  <cp:lastModifiedBy>PROF. HARUNA LAWAL</cp:lastModifiedBy>
  <dcterms:modified xsi:type="dcterms:W3CDTF">2025-08-20T22:39:07Z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29C39621B7714D98B21BEEBCA42FD7E7_12</vt:lpwstr>
  </property>
</Properties>
</file>