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D8F" w:rsidRDefault="00E56D8F" w:rsidP="00E56D8F">
      <w:pPr>
        <w:spacing w:line="360" w:lineRule="auto"/>
        <w:jc w:val="center"/>
        <w:rPr>
          <w:rFonts w:ascii="Arial" w:hAnsi="Arial" w:cs="Arial"/>
          <w:b/>
          <w:bCs/>
          <w:sz w:val="28"/>
          <w:szCs w:val="28"/>
        </w:rPr>
      </w:pPr>
      <w:r>
        <w:rPr>
          <w:rFonts w:ascii="Arial" w:hAnsi="Arial" w:cs="Arial"/>
          <w:b/>
          <w:bCs/>
          <w:sz w:val="28"/>
          <w:szCs w:val="28"/>
        </w:rPr>
        <w:t xml:space="preserve">Acute Oral Toxicity Assessment of </w:t>
      </w:r>
      <w:bookmarkStart w:id="0" w:name="_Hlk190980497"/>
      <w:proofErr w:type="spellStart"/>
      <w:r>
        <w:rPr>
          <w:rFonts w:ascii="Arial" w:hAnsi="Arial" w:cs="Arial"/>
          <w:b/>
          <w:bCs/>
          <w:sz w:val="28"/>
          <w:szCs w:val="28"/>
        </w:rPr>
        <w:t>Xlivpro</w:t>
      </w:r>
      <w:proofErr w:type="spellEnd"/>
      <w:r>
        <w:rPr>
          <w:rFonts w:ascii="Arial" w:hAnsi="Arial" w:cs="Arial"/>
          <w:b/>
          <w:bCs/>
          <w:sz w:val="28"/>
          <w:szCs w:val="28"/>
        </w:rPr>
        <w:t xml:space="preserve"> premix </w:t>
      </w:r>
      <w:bookmarkEnd w:id="0"/>
      <w:r>
        <w:rPr>
          <w:rFonts w:ascii="Arial" w:hAnsi="Arial" w:cs="Arial"/>
          <w:b/>
          <w:bCs/>
          <w:sz w:val="28"/>
          <w:szCs w:val="28"/>
        </w:rPr>
        <w:t xml:space="preserve">in </w:t>
      </w:r>
      <w:proofErr w:type="spellStart"/>
      <w:r>
        <w:rPr>
          <w:rFonts w:ascii="Arial" w:hAnsi="Arial" w:cs="Arial"/>
          <w:b/>
          <w:bCs/>
          <w:sz w:val="28"/>
          <w:szCs w:val="28"/>
        </w:rPr>
        <w:t>Wistar</w:t>
      </w:r>
      <w:proofErr w:type="spellEnd"/>
      <w:r>
        <w:rPr>
          <w:rFonts w:ascii="Arial" w:hAnsi="Arial" w:cs="Arial"/>
          <w:b/>
          <w:bCs/>
          <w:sz w:val="28"/>
          <w:szCs w:val="28"/>
        </w:rPr>
        <w:t xml:space="preserve"> Rats: A Liver protective Herbal Premix </w:t>
      </w:r>
    </w:p>
    <w:p w:rsidR="006035D1" w:rsidRDefault="006035D1" w:rsidP="00E56D8F">
      <w:pPr>
        <w:jc w:val="both"/>
        <w:rPr>
          <w:rFonts w:ascii="Arial" w:hAnsi="Arial" w:cs="Arial"/>
          <w:b/>
          <w:bCs/>
        </w:rPr>
      </w:pPr>
    </w:p>
    <w:p w:rsidR="006035D1" w:rsidRDefault="006035D1" w:rsidP="00E56D8F">
      <w:pPr>
        <w:jc w:val="both"/>
        <w:rPr>
          <w:rFonts w:ascii="Arial" w:hAnsi="Arial" w:cs="Arial"/>
          <w:b/>
          <w:bCs/>
        </w:rPr>
      </w:pPr>
    </w:p>
    <w:p w:rsidR="00E56D8F" w:rsidRDefault="00E56D8F" w:rsidP="00E56D8F">
      <w:pPr>
        <w:jc w:val="both"/>
        <w:rPr>
          <w:rFonts w:ascii="Arial" w:hAnsi="Arial" w:cs="Arial"/>
          <w:b/>
          <w:bCs/>
        </w:rPr>
      </w:pPr>
      <w:r>
        <w:rPr>
          <w:rFonts w:ascii="Arial" w:hAnsi="Arial" w:cs="Arial"/>
          <w:b/>
          <w:bCs/>
        </w:rPr>
        <w:t>ABSTRACT</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Aims:</w:t>
      </w:r>
      <w:r>
        <w:rPr>
          <w:rFonts w:ascii="Arial" w:hAnsi="Arial" w:cs="Arial"/>
          <w:sz w:val="20"/>
          <w:szCs w:val="20"/>
          <w:lang w:val="en-IN"/>
        </w:rPr>
        <w:t xml:space="preserve"> To evaluate the acute oral toxicity and safety profile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in accordance with OECD-423 guidelines.</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Study Design:</w:t>
      </w:r>
      <w:r>
        <w:rPr>
          <w:rFonts w:ascii="Arial" w:hAnsi="Arial" w:cs="Arial"/>
          <w:sz w:val="20"/>
          <w:szCs w:val="20"/>
          <w:lang w:val="en-IN"/>
        </w:rPr>
        <w:t xml:space="preserve"> Experimental study involving the assessment of toxic effects and mortality in adult Wistar rats following oral administration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Place and Duration of Study:</w:t>
      </w:r>
      <w:r>
        <w:rPr>
          <w:rFonts w:ascii="Arial" w:hAnsi="Arial" w:cs="Arial"/>
          <w:sz w:val="20"/>
          <w:szCs w:val="20"/>
          <w:lang w:val="en-IN"/>
        </w:rPr>
        <w:t xml:space="preserve"> the study was conducted </w:t>
      </w:r>
      <w:r>
        <w:rPr>
          <w:rFonts w:ascii="Arial" w:hAnsi="Arial" w:cs="Arial"/>
          <w:sz w:val="20"/>
          <w:szCs w:val="20"/>
        </w:rPr>
        <w:t xml:space="preserve">at the Department of Veterinary Pharmacology and Toxicology, Post Graduate Institute of Veterinary and Animal Sciences (PGIVAS), Akola, Maharashtra, India </w:t>
      </w:r>
      <w:r>
        <w:rPr>
          <w:rFonts w:ascii="Arial" w:hAnsi="Arial" w:cs="Arial"/>
          <w:sz w:val="20"/>
          <w:szCs w:val="20"/>
          <w:lang w:val="en-IN"/>
        </w:rPr>
        <w:t>over a period of 14 days.</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Methodology:</w:t>
      </w:r>
      <w:r>
        <w:rPr>
          <w:rFonts w:ascii="Arial" w:hAnsi="Arial" w:cs="Arial"/>
          <w:sz w:val="20"/>
          <w:szCs w:val="20"/>
          <w:lang w:val="en-IN"/>
        </w:rPr>
        <w:t xml:space="preserve"> Six healthy adult Wistar rats (113–134 grams) were administered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orally at doses of 300 mg/kg and 2000 mg/kg body weight. Observations for toxic effects and mortality were recorded for 14 days. Blood biochemical parameters i including AST, ALT, ALP, and creatinine were measured. At the end of the </w:t>
      </w:r>
      <w:proofErr w:type="spellStart"/>
      <w:r>
        <w:rPr>
          <w:rFonts w:ascii="Arial" w:hAnsi="Arial" w:cs="Arial"/>
          <w:sz w:val="20"/>
          <w:szCs w:val="20"/>
          <w:lang w:val="en-IN"/>
        </w:rPr>
        <w:t>study</w:t>
      </w:r>
      <w:proofErr w:type="gramStart"/>
      <w:r>
        <w:rPr>
          <w:rFonts w:ascii="Arial" w:hAnsi="Arial" w:cs="Arial"/>
          <w:sz w:val="20"/>
          <w:szCs w:val="20"/>
          <w:lang w:val="en-IN"/>
        </w:rPr>
        <w:t>,histopathological</w:t>
      </w:r>
      <w:proofErr w:type="spellEnd"/>
      <w:proofErr w:type="gramEnd"/>
      <w:r>
        <w:rPr>
          <w:rFonts w:ascii="Arial" w:hAnsi="Arial" w:cs="Arial"/>
          <w:sz w:val="20"/>
          <w:szCs w:val="20"/>
          <w:lang w:val="en-IN"/>
        </w:rPr>
        <w:t xml:space="preserve"> examinations of vital organs including the heart, liver, kidneys, and lungs were performed.</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Results:</w:t>
      </w:r>
      <w:r>
        <w:rPr>
          <w:rFonts w:ascii="Arial" w:hAnsi="Arial" w:cs="Arial"/>
          <w:sz w:val="20"/>
          <w:szCs w:val="20"/>
          <w:lang w:val="en-IN"/>
        </w:rPr>
        <w:t xml:space="preserve"> No toxic effects or mortality were observed in </w:t>
      </w:r>
      <w:proofErr w:type="spellStart"/>
      <w:r>
        <w:rPr>
          <w:rFonts w:ascii="Arial" w:hAnsi="Arial" w:cs="Arial"/>
          <w:sz w:val="20"/>
          <w:szCs w:val="20"/>
          <w:lang w:val="en-IN"/>
        </w:rPr>
        <w:t>Xlivpro</w:t>
      </w:r>
      <w:proofErr w:type="spellEnd"/>
      <w:r>
        <w:rPr>
          <w:rFonts w:ascii="Arial" w:hAnsi="Arial" w:cs="Arial"/>
          <w:sz w:val="20"/>
          <w:szCs w:val="20"/>
          <w:lang w:val="en-IN"/>
        </w:rPr>
        <w:t xml:space="preserve">-treated rats during the experimental period. Changes in body weight over the 14-day period remained within normal limits. Biochemical parameters and histopathological evaluations indicated no significant abnormalities. The LD50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exceeded 2000 mg/kg, confirming the safety of formulation.</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Conclusion:</w:t>
      </w:r>
      <w:r>
        <w:rPr>
          <w:rFonts w:ascii="Arial" w:hAnsi="Arial" w:cs="Arial"/>
          <w:sz w:val="20"/>
          <w:szCs w:val="20"/>
          <w:lang w:val="en-IN"/>
        </w:rPr>
        <w:t xml:space="preserve"> The study outcome demonstrated that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at tested dose levels did not induce acute oral toxicity in </w:t>
      </w:r>
      <w:proofErr w:type="spellStart"/>
      <w:r>
        <w:rPr>
          <w:rFonts w:ascii="Arial" w:hAnsi="Arial" w:cs="Arial"/>
          <w:sz w:val="20"/>
          <w:szCs w:val="20"/>
          <w:lang w:val="en-IN"/>
        </w:rPr>
        <w:t>wistar</w:t>
      </w:r>
      <w:proofErr w:type="spellEnd"/>
      <w:r>
        <w:rPr>
          <w:rFonts w:ascii="Arial" w:hAnsi="Arial" w:cs="Arial"/>
          <w:sz w:val="20"/>
          <w:szCs w:val="20"/>
          <w:lang w:val="en-IN"/>
        </w:rPr>
        <w:t xml:space="preserve"> rats, supporting its safety for poultry, fish and </w:t>
      </w:r>
      <w:proofErr w:type="spellStart"/>
      <w:r>
        <w:rPr>
          <w:rFonts w:ascii="Arial" w:hAnsi="Arial" w:cs="Arial"/>
          <w:sz w:val="20"/>
          <w:szCs w:val="20"/>
          <w:lang w:val="en-IN"/>
        </w:rPr>
        <w:t>shrimpuse</w:t>
      </w:r>
      <w:proofErr w:type="spellEnd"/>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Keywords: </w:t>
      </w:r>
      <w:proofErr w:type="spellStart"/>
      <w:r>
        <w:rPr>
          <w:rFonts w:ascii="Arial" w:hAnsi="Arial" w:cs="Arial"/>
          <w:sz w:val="20"/>
          <w:szCs w:val="20"/>
        </w:rPr>
        <w:t>Xlivpro</w:t>
      </w:r>
      <w:proofErr w:type="spellEnd"/>
      <w:r>
        <w:rPr>
          <w:rFonts w:ascii="Arial" w:hAnsi="Arial" w:cs="Arial"/>
          <w:sz w:val="20"/>
          <w:szCs w:val="20"/>
        </w:rPr>
        <w:t xml:space="preserve"> Premix; acute; OECD-423; poultry; Wistar rat</w:t>
      </w:r>
    </w:p>
    <w:p w:rsidR="00E56D8F" w:rsidRDefault="00E56D8F" w:rsidP="00E56D8F">
      <w:pPr>
        <w:jc w:val="both"/>
        <w:rPr>
          <w:rFonts w:ascii="Arial" w:hAnsi="Arial" w:cs="Arial"/>
          <w:sz w:val="24"/>
          <w:szCs w:val="24"/>
        </w:rPr>
      </w:pPr>
    </w:p>
    <w:p w:rsidR="00E56D8F" w:rsidRDefault="00E56D8F" w:rsidP="00E56D8F">
      <w:pPr>
        <w:pStyle w:val="ListParagraph"/>
        <w:numPr>
          <w:ilvl w:val="0"/>
          <w:numId w:val="1"/>
        </w:numPr>
        <w:ind w:left="360"/>
        <w:jc w:val="both"/>
        <w:rPr>
          <w:rFonts w:ascii="Arial" w:hAnsi="Arial" w:cs="Arial"/>
          <w:b/>
          <w:bCs/>
        </w:rPr>
      </w:pPr>
      <w:commentRangeStart w:id="1"/>
      <w:r>
        <w:rPr>
          <w:rFonts w:ascii="Arial" w:hAnsi="Arial" w:cs="Arial"/>
          <w:b/>
          <w:bCs/>
        </w:rPr>
        <w:t>INTRODUCTION</w:t>
      </w:r>
      <w:commentRangeEnd w:id="1"/>
      <w:r w:rsidR="00E12DC3">
        <w:rPr>
          <w:rStyle w:val="CommentReference"/>
        </w:rPr>
        <w:commentReference w:id="1"/>
      </w:r>
      <w:r>
        <w:rPr>
          <w:rFonts w:ascii="Arial" w:hAnsi="Arial" w:cs="Arial"/>
          <w:b/>
          <w:bCs/>
        </w:rPr>
        <w:t>:</w:t>
      </w:r>
    </w:p>
    <w:p w:rsidR="00E56D8F" w:rsidRDefault="00E56D8F" w:rsidP="00E56D8F">
      <w:pPr>
        <w:pStyle w:val="ListParagraph"/>
        <w:ind w:left="360"/>
        <w:jc w:val="both"/>
        <w:rPr>
          <w:rFonts w:ascii="Arial" w:hAnsi="Arial" w:cs="Arial"/>
          <w:b/>
          <w:bCs/>
        </w:rPr>
      </w:pPr>
    </w:p>
    <w:p w:rsidR="00E56D8F" w:rsidRDefault="00E56D8F" w:rsidP="00E56D8F">
      <w:pPr>
        <w:spacing w:line="360" w:lineRule="auto"/>
        <w:jc w:val="both"/>
        <w:rPr>
          <w:rFonts w:ascii="Arial" w:hAnsi="Arial" w:cs="Arial"/>
          <w:sz w:val="20"/>
          <w:szCs w:val="20"/>
        </w:rPr>
      </w:pPr>
      <w:r>
        <w:rPr>
          <w:rFonts w:ascii="Arial" w:hAnsi="Arial" w:cs="Arial"/>
          <w:sz w:val="20"/>
          <w:szCs w:val="20"/>
        </w:rPr>
        <w:t>Livestock is vital to India's agriculture and economy, providing essential nutrients, income, and employment, especially in rural areas. Poultry holds significant economic importance by generating employment, providing livelihood to small farmers by generation of regular income from the sale of eggs and meat, enhancing food security with high-quality protein, and boosting exports. According to the 20th Livestock Census of India, the total livestock population was 535.78 million, and the total poultry population was 851.81 million in 2019. India is the world's fifth-largest producer of chicken and third-largest producer of eggs (BAHS 2023, DAHD-Govt. of India). The health and productivity of poultry rely on optimal feed utilization, increased body weight, absence of disease, and low mortality rates (Singh et al., 2009). Seasonal changes pose disease risks, with the liver being the most affected organ. Achieving optimal growth with efficient feed utilization is crucial for profitable broiler production, as feed accounts for approximately 70% of the total expenditure on poultry farming.</w:t>
      </w:r>
    </w:p>
    <w:p w:rsidR="00E56D8F" w:rsidRDefault="00E56D8F" w:rsidP="00E56D8F">
      <w:pPr>
        <w:spacing w:line="360" w:lineRule="auto"/>
        <w:jc w:val="both"/>
        <w:rPr>
          <w:rFonts w:ascii="Arial" w:hAnsi="Arial" w:cs="Arial"/>
          <w:sz w:val="20"/>
          <w:szCs w:val="20"/>
        </w:rPr>
      </w:pPr>
      <w:r>
        <w:rPr>
          <w:rFonts w:ascii="Arial" w:hAnsi="Arial" w:cs="Arial"/>
          <w:sz w:val="20"/>
          <w:szCs w:val="20"/>
        </w:rPr>
        <w:t>In poultry, the liver, along with other vital organs, plays a crucial role in laying the groundwork for birds to achieve optimal productivity and maximum profitability (</w:t>
      </w:r>
      <w:proofErr w:type="spellStart"/>
      <w:r>
        <w:rPr>
          <w:rFonts w:ascii="Arial" w:hAnsi="Arial" w:cs="Arial"/>
          <w:sz w:val="20"/>
          <w:szCs w:val="20"/>
        </w:rPr>
        <w:t>Dhumal</w:t>
      </w:r>
      <w:proofErr w:type="spellEnd"/>
      <w:r>
        <w:rPr>
          <w:rFonts w:ascii="Arial" w:hAnsi="Arial" w:cs="Arial"/>
          <w:sz w:val="20"/>
          <w:szCs w:val="20"/>
        </w:rPr>
        <w:t xml:space="preserve"> et al., 2018). The rising demand for poultry meat has led to the growing use of synthetic compounds in feed. However, these compounds </w:t>
      </w:r>
      <w:r>
        <w:rPr>
          <w:rFonts w:ascii="Arial" w:hAnsi="Arial" w:cs="Arial"/>
          <w:sz w:val="20"/>
          <w:szCs w:val="20"/>
        </w:rPr>
        <w:lastRenderedPageBreak/>
        <w:t>come at a high cost, which, in turn, raises the overall cost of poultry feed. Moreover, concerns regarding the safety of such practices have recently surfaced, leading to restrictions on their use in various parts of the world. As a result, there is a strong renewed interest in developing natural alternative supplements to ensure the productivity, performance and wellbeing of animals (Chattopadhyay et al., 2006).</w:t>
      </w:r>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Over the years, the use of chemicals as drugs and antibiotics at sub-therapeutic levels to promote growth and immunity in birds has become increasingly limited due to the risk of developing resistant bacteria and other drug related side effects. As an alternative, the use of </w:t>
      </w:r>
      <w:proofErr w:type="spellStart"/>
      <w:r>
        <w:rPr>
          <w:rFonts w:ascii="Arial" w:hAnsi="Arial" w:cs="Arial"/>
          <w:sz w:val="20"/>
          <w:szCs w:val="20"/>
        </w:rPr>
        <w:t>phytobiotics</w:t>
      </w:r>
      <w:proofErr w:type="spellEnd"/>
      <w:r>
        <w:rPr>
          <w:rFonts w:ascii="Arial" w:hAnsi="Arial" w:cs="Arial"/>
          <w:sz w:val="20"/>
          <w:szCs w:val="20"/>
        </w:rPr>
        <w:t xml:space="preserve"> in poultry feeding is emerging as a novel approach to enhance neonatal growth and immunocompetence traits in birds. </w:t>
      </w:r>
      <w:proofErr w:type="spellStart"/>
      <w:r>
        <w:rPr>
          <w:rFonts w:ascii="Arial" w:hAnsi="Arial" w:cs="Arial"/>
          <w:sz w:val="20"/>
          <w:szCs w:val="20"/>
        </w:rPr>
        <w:t>Phytobiotics</w:t>
      </w:r>
      <w:proofErr w:type="spellEnd"/>
      <w:r>
        <w:rPr>
          <w:rFonts w:ascii="Arial" w:hAnsi="Arial" w:cs="Arial"/>
          <w:sz w:val="20"/>
          <w:szCs w:val="20"/>
        </w:rPr>
        <w:t xml:space="preserve">, which are plant derivatives such as herbs, plant extracts, or spices, offer a wide range of benefits, including stimulating feed intake, growth, and endogenous secretions in the gut. They serve as immunomodulators, resulting in reduced mortality rates and possessing </w:t>
      </w:r>
      <w:proofErr w:type="spellStart"/>
      <w:r>
        <w:rPr>
          <w:rFonts w:ascii="Arial" w:hAnsi="Arial" w:cs="Arial"/>
          <w:sz w:val="20"/>
          <w:szCs w:val="20"/>
        </w:rPr>
        <w:t>coccidiostatic</w:t>
      </w:r>
      <w:proofErr w:type="spellEnd"/>
      <w:r>
        <w:rPr>
          <w:rFonts w:ascii="Arial" w:hAnsi="Arial" w:cs="Arial"/>
          <w:sz w:val="20"/>
          <w:szCs w:val="20"/>
        </w:rPr>
        <w:t xml:space="preserve">, antimicrobial, anthelmintic, and anti-inflammatory properties (Abbas et al., 2010; </w:t>
      </w:r>
      <w:proofErr w:type="spellStart"/>
      <w:r>
        <w:rPr>
          <w:rFonts w:ascii="Arial" w:hAnsi="Arial" w:cs="Arial"/>
          <w:sz w:val="20"/>
          <w:szCs w:val="20"/>
        </w:rPr>
        <w:t>Grashorn</w:t>
      </w:r>
      <w:proofErr w:type="spellEnd"/>
      <w:r>
        <w:rPr>
          <w:rFonts w:ascii="Arial" w:hAnsi="Arial" w:cs="Arial"/>
          <w:sz w:val="20"/>
          <w:szCs w:val="20"/>
        </w:rPr>
        <w:t>, 2010).</w:t>
      </w:r>
    </w:p>
    <w:p w:rsidR="00E56D8F" w:rsidRDefault="00E56D8F" w:rsidP="00E56D8F">
      <w:pPr>
        <w:spacing w:line="360" w:lineRule="auto"/>
        <w:jc w:val="both"/>
        <w:rPr>
          <w:rFonts w:ascii="Arial" w:hAnsi="Arial" w:cs="Arial"/>
          <w:sz w:val="20"/>
          <w:szCs w:val="20"/>
        </w:rPr>
      </w:pPr>
      <w:r>
        <w:rPr>
          <w:rFonts w:ascii="Arial" w:hAnsi="Arial" w:cs="Arial"/>
          <w:sz w:val="20"/>
          <w:szCs w:val="20"/>
        </w:rPr>
        <w:t>There is increasing evidence that plants and their extracts, due to their phytoconstituents, are valuable in various aspects of medicine and overall wellbeing. In the poultry industry, specialized feed ingredients are added to boost growth performance and improve feed conversion ratios (FCR) (</w:t>
      </w:r>
      <w:proofErr w:type="spellStart"/>
      <w:r>
        <w:rPr>
          <w:rFonts w:ascii="Arial" w:hAnsi="Arial" w:cs="Arial"/>
          <w:sz w:val="20"/>
          <w:szCs w:val="20"/>
        </w:rPr>
        <w:t>Babazadeh</w:t>
      </w:r>
      <w:proofErr w:type="spellEnd"/>
      <w:r>
        <w:rPr>
          <w:rFonts w:ascii="Arial" w:hAnsi="Arial" w:cs="Arial"/>
          <w:sz w:val="20"/>
          <w:szCs w:val="20"/>
        </w:rPr>
        <w:t xml:space="preserve"> et al., 2011; Mirza et al., 2016). Since the 1990s, with the global ban on antibiotic use, researchers have been focusing on phytogenic growth promoters to achieve better animal performance. Today, growth promoters derived from herbal sources are commonly used (Gong et al., 2014; </w:t>
      </w:r>
      <w:proofErr w:type="spellStart"/>
      <w:r>
        <w:rPr>
          <w:rFonts w:ascii="Arial" w:hAnsi="Arial" w:cs="Arial"/>
          <w:sz w:val="20"/>
          <w:szCs w:val="20"/>
        </w:rPr>
        <w:t>Dhama</w:t>
      </w:r>
      <w:proofErr w:type="spellEnd"/>
      <w:r>
        <w:rPr>
          <w:rFonts w:ascii="Arial" w:hAnsi="Arial" w:cs="Arial"/>
          <w:sz w:val="20"/>
          <w:szCs w:val="20"/>
        </w:rPr>
        <w:t xml:space="preserve"> et al., 2015).</w:t>
      </w:r>
    </w:p>
    <w:p w:rsidR="00E56D8F" w:rsidRDefault="00E56D8F" w:rsidP="00E56D8F">
      <w:pPr>
        <w:spacing w:line="360" w:lineRule="auto"/>
        <w:jc w:val="both"/>
        <w:rPr>
          <w:rFonts w:ascii="Arial" w:hAnsi="Arial" w:cs="Arial"/>
          <w:sz w:val="20"/>
          <w:szCs w:val="20"/>
        </w:rPr>
      </w:pPr>
      <w:r>
        <w:rPr>
          <w:rFonts w:ascii="Arial" w:hAnsi="Arial" w:cs="Arial"/>
          <w:sz w:val="20"/>
          <w:szCs w:val="20"/>
        </w:rPr>
        <w:t>In broilers, the liver must contend with high-energy diets, the use of coccidiostats, and chemotherapeutic agents, which pose health risks and create complex prognostic situations. Researchers are actively seeking viable alternatives to replace antibiotics due to the ban on their use and growing concerns over antimicrobial resistance. One promising class of alternatives is herbs and medicinal plants. Herbal liver tonics protect the liver from toxins and stimulate liver function, thereby enhancing growth and production performance (</w:t>
      </w:r>
      <w:proofErr w:type="spellStart"/>
      <w:r>
        <w:rPr>
          <w:rFonts w:ascii="Arial" w:hAnsi="Arial" w:cs="Arial"/>
          <w:sz w:val="20"/>
          <w:szCs w:val="20"/>
        </w:rPr>
        <w:t>Hajare</w:t>
      </w:r>
      <w:proofErr w:type="spellEnd"/>
      <w:r>
        <w:rPr>
          <w:rFonts w:ascii="Arial" w:hAnsi="Arial" w:cs="Arial"/>
          <w:sz w:val="20"/>
          <w:szCs w:val="20"/>
        </w:rPr>
        <w:t xml:space="preserve"> et al., 2020). </w:t>
      </w:r>
    </w:p>
    <w:p w:rsidR="00E56D8F" w:rsidRDefault="00E56D8F" w:rsidP="00E56D8F">
      <w:pPr>
        <w:spacing w:line="360" w:lineRule="auto"/>
        <w:jc w:val="both"/>
        <w:rPr>
          <w:rFonts w:ascii="Arial" w:hAnsi="Arial" w:cs="Arial"/>
          <w:sz w:val="20"/>
          <w:szCs w:val="20"/>
        </w:rPr>
      </w:pPr>
      <w:r>
        <w:rPr>
          <w:rFonts w:ascii="Arial" w:hAnsi="Arial" w:cs="Arial"/>
          <w:sz w:val="20"/>
          <w:szCs w:val="20"/>
        </w:rPr>
        <w:t>Good liver health is crucial for layer birds as it supports the immune system by producing immune factors and filtering pathogens, and regulates hormones necessary for consistent egg laying and reproductive health. Additionally, the liver stores glycogen for energy regulation, metabolizes fats vital for egg yolk formation, and enhances disease resistance, helping birds withstand infections and stresses. Thus, maintaining liver health is essential for optimizing productivity, improving egg quality, and ensuring overall wellbeing. Integrating liver-supporting herbs and supplements into their diet can significantly contribute to the health and performance of layer birds.</w:t>
      </w:r>
    </w:p>
    <w:p w:rsidR="00E56D8F" w:rsidRDefault="00E56D8F" w:rsidP="00E56D8F">
      <w:pPr>
        <w:spacing w:line="360" w:lineRule="auto"/>
        <w:jc w:val="both"/>
        <w:rPr>
          <w:rFonts w:ascii="Arial" w:hAnsi="Arial" w:cs="Arial"/>
          <w:sz w:val="20"/>
          <w:szCs w:val="20"/>
        </w:rPr>
      </w:pPr>
      <w:proofErr w:type="spellStart"/>
      <w:r>
        <w:rPr>
          <w:rFonts w:ascii="Arial" w:hAnsi="Arial" w:cs="Arial"/>
          <w:sz w:val="20"/>
          <w:szCs w:val="20"/>
        </w:rPr>
        <w:t>Xlivpro</w:t>
      </w:r>
      <w:proofErr w:type="spellEnd"/>
      <w:r>
        <w:rPr>
          <w:rFonts w:ascii="Arial" w:hAnsi="Arial" w:cs="Arial"/>
          <w:sz w:val="20"/>
          <w:szCs w:val="20"/>
        </w:rPr>
        <w:t xml:space="preserve"> Premix contains herbs such as </w:t>
      </w:r>
      <w:proofErr w:type="spellStart"/>
      <w:r>
        <w:rPr>
          <w:rFonts w:ascii="Arial" w:hAnsi="Arial" w:cs="Arial"/>
          <w:i/>
          <w:iCs/>
          <w:sz w:val="20"/>
          <w:szCs w:val="20"/>
        </w:rPr>
        <w:t>Andrographis</w:t>
      </w:r>
      <w:proofErr w:type="spellEnd"/>
      <w:r>
        <w:rPr>
          <w:rFonts w:ascii="Arial" w:hAnsi="Arial" w:cs="Arial"/>
          <w:i/>
          <w:iCs/>
          <w:sz w:val="20"/>
          <w:szCs w:val="20"/>
        </w:rPr>
        <w:t xml:space="preserve"> </w:t>
      </w:r>
      <w:proofErr w:type="spellStart"/>
      <w:r>
        <w:rPr>
          <w:rFonts w:ascii="Arial" w:hAnsi="Arial" w:cs="Arial"/>
          <w:i/>
          <w:iCs/>
          <w:sz w:val="20"/>
          <w:szCs w:val="20"/>
        </w:rPr>
        <w:t>paniculata</w:t>
      </w:r>
      <w:proofErr w:type="spellEnd"/>
      <w:r>
        <w:rPr>
          <w:rFonts w:ascii="Arial" w:hAnsi="Arial" w:cs="Arial"/>
          <w:sz w:val="20"/>
          <w:szCs w:val="20"/>
        </w:rPr>
        <w:t xml:space="preserve">, </w:t>
      </w: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and </w:t>
      </w:r>
      <w:proofErr w:type="spellStart"/>
      <w:r>
        <w:rPr>
          <w:rFonts w:ascii="Arial" w:hAnsi="Arial" w:cs="Arial"/>
          <w:i/>
          <w:iCs/>
          <w:sz w:val="20"/>
          <w:szCs w:val="20"/>
        </w:rPr>
        <w:t>Boerhaaviadiffusa</w:t>
      </w:r>
      <w:proofErr w:type="spellEnd"/>
      <w:r>
        <w:rPr>
          <w:rFonts w:ascii="Arial" w:hAnsi="Arial" w:cs="Arial"/>
          <w:sz w:val="20"/>
          <w:szCs w:val="20"/>
        </w:rPr>
        <w:t xml:space="preserve">, which possess </w:t>
      </w:r>
      <w:proofErr w:type="spellStart"/>
      <w:r>
        <w:rPr>
          <w:rFonts w:ascii="Arial" w:hAnsi="Arial" w:cs="Arial"/>
          <w:sz w:val="20"/>
          <w:szCs w:val="20"/>
        </w:rPr>
        <w:t>hepatoprotective</w:t>
      </w:r>
      <w:proofErr w:type="spellEnd"/>
      <w:r>
        <w:rPr>
          <w:rFonts w:ascii="Arial" w:hAnsi="Arial" w:cs="Arial"/>
          <w:sz w:val="20"/>
          <w:szCs w:val="20"/>
        </w:rPr>
        <w:t xml:space="preserve">, choleretic, immunomodulatory, immunostimulatory, and free radical scavenging activities. </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Andrographis</w:t>
      </w:r>
      <w:proofErr w:type="spellEnd"/>
      <w:r>
        <w:rPr>
          <w:rFonts w:ascii="Arial" w:hAnsi="Arial" w:cs="Arial"/>
          <w:i/>
          <w:iCs/>
          <w:sz w:val="20"/>
          <w:szCs w:val="20"/>
        </w:rPr>
        <w:t xml:space="preserve"> </w:t>
      </w:r>
      <w:proofErr w:type="spellStart"/>
      <w:r>
        <w:rPr>
          <w:rFonts w:ascii="Arial" w:hAnsi="Arial" w:cs="Arial"/>
          <w:i/>
          <w:iCs/>
          <w:sz w:val="20"/>
          <w:szCs w:val="20"/>
        </w:rPr>
        <w:t>paniculata</w:t>
      </w:r>
      <w:proofErr w:type="spellEnd"/>
      <w:r>
        <w:rPr>
          <w:rFonts w:ascii="Arial" w:hAnsi="Arial" w:cs="Arial"/>
          <w:sz w:val="20"/>
          <w:szCs w:val="20"/>
        </w:rPr>
        <w:t xml:space="preserve">, commonly known as </w:t>
      </w:r>
      <w:proofErr w:type="spellStart"/>
      <w:r>
        <w:rPr>
          <w:rFonts w:ascii="Arial" w:hAnsi="Arial" w:cs="Arial"/>
          <w:sz w:val="20"/>
          <w:szCs w:val="20"/>
        </w:rPr>
        <w:t>Kalmegh</w:t>
      </w:r>
      <w:proofErr w:type="spellEnd"/>
      <w:r>
        <w:rPr>
          <w:rFonts w:ascii="Arial" w:hAnsi="Arial" w:cs="Arial"/>
          <w:sz w:val="20"/>
          <w:szCs w:val="20"/>
        </w:rPr>
        <w:t xml:space="preserve"> contains </w:t>
      </w:r>
      <w:proofErr w:type="spellStart"/>
      <w:r>
        <w:rPr>
          <w:rFonts w:ascii="Arial" w:hAnsi="Arial" w:cs="Arial"/>
          <w:sz w:val="20"/>
          <w:szCs w:val="20"/>
        </w:rPr>
        <w:t>andrographolide</w:t>
      </w:r>
      <w:proofErr w:type="spellEnd"/>
      <w:r>
        <w:rPr>
          <w:rFonts w:ascii="Arial" w:hAnsi="Arial" w:cs="Arial"/>
          <w:sz w:val="20"/>
          <w:szCs w:val="20"/>
        </w:rPr>
        <w:t xml:space="preserve"> as primary active component. Among its many benefits, its liver protective properties are particularly significant for poultry wellbeing. </w:t>
      </w:r>
      <w:proofErr w:type="spellStart"/>
      <w:r>
        <w:rPr>
          <w:rFonts w:ascii="Arial" w:hAnsi="Arial" w:cs="Arial"/>
          <w:i/>
          <w:iCs/>
          <w:sz w:val="20"/>
          <w:szCs w:val="20"/>
        </w:rPr>
        <w:t>Andrographis</w:t>
      </w:r>
      <w:proofErr w:type="spellEnd"/>
      <w:r>
        <w:rPr>
          <w:rFonts w:ascii="Arial" w:hAnsi="Arial" w:cs="Arial"/>
          <w:i/>
          <w:iCs/>
          <w:sz w:val="20"/>
          <w:szCs w:val="20"/>
        </w:rPr>
        <w:t xml:space="preserve"> </w:t>
      </w:r>
      <w:proofErr w:type="spellStart"/>
      <w:r>
        <w:rPr>
          <w:rFonts w:ascii="Arial" w:hAnsi="Arial" w:cs="Arial"/>
          <w:i/>
          <w:iCs/>
          <w:sz w:val="20"/>
          <w:szCs w:val="20"/>
        </w:rPr>
        <w:t>paniculata</w:t>
      </w:r>
      <w:proofErr w:type="spellEnd"/>
      <w:r>
        <w:rPr>
          <w:rFonts w:ascii="Arial" w:hAnsi="Arial" w:cs="Arial"/>
          <w:sz w:val="20"/>
          <w:szCs w:val="20"/>
        </w:rPr>
        <w:t xml:space="preserve"> has been found to exhibit liver protective effects by enhancing the activity of antioxidant enzymes such as superoxide dismutase, catalase, glutathione </w:t>
      </w:r>
      <w:r>
        <w:rPr>
          <w:rFonts w:ascii="Arial" w:hAnsi="Arial" w:cs="Arial"/>
          <w:sz w:val="20"/>
          <w:szCs w:val="20"/>
        </w:rPr>
        <w:lastRenderedPageBreak/>
        <w:t>peroxidase, and decreasing lipid peroxidase activity. These actions help mitigate the generation of free radicals that can damage liver cells and thus making it a valuable addition to poultry feed for enhancing liver health and overall wellbeing(Shukla et al.,1992 and Trivedi et al., 2001).</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commonly known as Neem, belongs to the </w:t>
      </w:r>
      <w:proofErr w:type="spellStart"/>
      <w:r>
        <w:rPr>
          <w:rFonts w:ascii="Arial" w:hAnsi="Arial" w:cs="Arial"/>
          <w:sz w:val="20"/>
          <w:szCs w:val="20"/>
        </w:rPr>
        <w:t>Meliaceae</w:t>
      </w:r>
      <w:proofErr w:type="spellEnd"/>
      <w:r>
        <w:rPr>
          <w:rFonts w:ascii="Arial" w:hAnsi="Arial" w:cs="Arial"/>
          <w:sz w:val="20"/>
          <w:szCs w:val="20"/>
        </w:rPr>
        <w:t xml:space="preserve"> family. The dried leaves of Neem contain triterpenoids, sterols, and bitter principles such as </w:t>
      </w:r>
      <w:proofErr w:type="spellStart"/>
      <w:r>
        <w:rPr>
          <w:rFonts w:ascii="Arial" w:hAnsi="Arial" w:cs="Arial"/>
          <w:sz w:val="20"/>
          <w:szCs w:val="20"/>
        </w:rPr>
        <w:t>nimbin</w:t>
      </w:r>
      <w:proofErr w:type="spellEnd"/>
      <w:r>
        <w:rPr>
          <w:rFonts w:ascii="Arial" w:hAnsi="Arial" w:cs="Arial"/>
          <w:sz w:val="20"/>
          <w:szCs w:val="20"/>
        </w:rPr>
        <w:t xml:space="preserve"> and </w:t>
      </w:r>
      <w:proofErr w:type="spellStart"/>
      <w:r>
        <w:rPr>
          <w:rFonts w:ascii="Arial" w:hAnsi="Arial" w:cs="Arial"/>
          <w:sz w:val="20"/>
          <w:szCs w:val="20"/>
        </w:rPr>
        <w:t>nimbiol</w:t>
      </w:r>
      <w:proofErr w:type="spellEnd"/>
      <w:r>
        <w:rPr>
          <w:rFonts w:ascii="Arial" w:hAnsi="Arial" w:cs="Arial"/>
          <w:sz w:val="20"/>
          <w:szCs w:val="20"/>
        </w:rPr>
        <w:t>. Neem bark, with its cooling, bitter, astringent, acrid and refrigerant properties, is highly beneficial. For poultry wellbeing, Neem leaves are particularly valuable for their benefits in addressing various disorders and infections, making them a viable alternative to antibiotics for promoting the health and productivity of poultry.</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Boerhaaviadiffusa</w:t>
      </w:r>
      <w:proofErr w:type="spellEnd"/>
      <w:r>
        <w:rPr>
          <w:rFonts w:ascii="Arial" w:hAnsi="Arial" w:cs="Arial"/>
          <w:sz w:val="20"/>
          <w:szCs w:val="20"/>
        </w:rPr>
        <w:t xml:space="preserve">, also known as Spreading Hog Weed. It contains bioactive compounds such as </w:t>
      </w:r>
      <w:proofErr w:type="spellStart"/>
      <w:r>
        <w:rPr>
          <w:rFonts w:ascii="Arial" w:hAnsi="Arial" w:cs="Arial"/>
          <w:sz w:val="20"/>
          <w:szCs w:val="20"/>
        </w:rPr>
        <w:t>Boeravinones</w:t>
      </w:r>
      <w:proofErr w:type="spellEnd"/>
      <w:r>
        <w:rPr>
          <w:rFonts w:ascii="Arial" w:hAnsi="Arial" w:cs="Arial"/>
          <w:sz w:val="20"/>
          <w:szCs w:val="20"/>
        </w:rPr>
        <w:t xml:space="preserve"> G and H, which contribute to its various health benefits</w:t>
      </w:r>
      <w:r>
        <w:rPr>
          <w:rFonts w:ascii="Arial" w:hAnsi="Arial" w:cs="Arial"/>
          <w:i/>
          <w:iCs/>
          <w:sz w:val="20"/>
          <w:szCs w:val="20"/>
        </w:rPr>
        <w:t xml:space="preserve">. </w:t>
      </w:r>
      <w:proofErr w:type="spellStart"/>
      <w:r>
        <w:rPr>
          <w:rFonts w:ascii="Arial" w:hAnsi="Arial" w:cs="Arial"/>
          <w:i/>
          <w:iCs/>
          <w:sz w:val="20"/>
          <w:szCs w:val="20"/>
        </w:rPr>
        <w:t>Boerhaaviadiffusa</w:t>
      </w:r>
      <w:proofErr w:type="spellEnd"/>
      <w:r>
        <w:rPr>
          <w:rFonts w:ascii="Arial" w:hAnsi="Arial" w:cs="Arial"/>
          <w:sz w:val="20"/>
          <w:szCs w:val="20"/>
        </w:rPr>
        <w:t xml:space="preserve"> has demonstrated significant antioxidant and hepatoprotective properties, enhancing the activity of antioxidant enzymes and reducing oxidative stress. This is particularly beneficial for poultry liver health. The plant also possesses diuretic properties, helping manage fluid balance, and has shown antibacterial activity against Gram-negative bacteria, which aids in preventing infections and making it a valuable addition to poultry liver premixes (</w:t>
      </w:r>
      <w:proofErr w:type="spellStart"/>
      <w:r>
        <w:rPr>
          <w:rFonts w:ascii="Arial" w:hAnsi="Arial" w:cs="Arial"/>
          <w:sz w:val="20"/>
          <w:szCs w:val="20"/>
        </w:rPr>
        <w:t>Somvanshi</w:t>
      </w:r>
      <w:proofErr w:type="spellEnd"/>
      <w:r>
        <w:rPr>
          <w:rFonts w:ascii="Arial" w:hAnsi="Arial" w:cs="Arial"/>
          <w:sz w:val="20"/>
          <w:szCs w:val="20"/>
        </w:rPr>
        <w:t xml:space="preserve"> et al., 2020).</w:t>
      </w:r>
    </w:p>
    <w:p w:rsidR="00E56D8F" w:rsidRDefault="00E56D8F" w:rsidP="00E56D8F">
      <w:pPr>
        <w:spacing w:line="360" w:lineRule="auto"/>
        <w:jc w:val="both"/>
        <w:rPr>
          <w:rFonts w:ascii="Arial" w:hAnsi="Arial" w:cs="Arial"/>
          <w:sz w:val="20"/>
          <w:szCs w:val="20"/>
        </w:rPr>
      </w:pPr>
      <w:proofErr w:type="spellStart"/>
      <w:r>
        <w:rPr>
          <w:rFonts w:ascii="Arial" w:hAnsi="Arial" w:cs="Arial"/>
          <w:sz w:val="20"/>
          <w:szCs w:val="20"/>
        </w:rPr>
        <w:t>Xlivpro</w:t>
      </w:r>
      <w:proofErr w:type="spellEnd"/>
      <w:r>
        <w:rPr>
          <w:rFonts w:ascii="Arial" w:hAnsi="Arial" w:cs="Arial"/>
          <w:sz w:val="20"/>
          <w:szCs w:val="20"/>
        </w:rPr>
        <w:t xml:space="preserve"> Premix may also act as a depurative, enhancing erythropoiesis and the immune system. </w:t>
      </w:r>
      <w:proofErr w:type="spellStart"/>
      <w:r>
        <w:rPr>
          <w:rFonts w:ascii="Arial" w:hAnsi="Arial" w:cs="Arial"/>
          <w:sz w:val="20"/>
          <w:szCs w:val="20"/>
        </w:rPr>
        <w:t>Xlivpro</w:t>
      </w:r>
      <w:proofErr w:type="spellEnd"/>
      <w:r>
        <w:rPr>
          <w:rFonts w:ascii="Arial" w:hAnsi="Arial" w:cs="Arial"/>
          <w:sz w:val="20"/>
          <w:szCs w:val="20"/>
        </w:rPr>
        <w:t xml:space="preserve"> Premix in poultry is recommended for mitigating the damaging effects of aflatoxins, restoring reduced feed intake, improving liver function, and optimizing feed utilization, growth, and production. In a study, </w:t>
      </w:r>
      <w:proofErr w:type="spellStart"/>
      <w:r>
        <w:rPr>
          <w:rFonts w:ascii="Arial" w:hAnsi="Arial" w:cs="Arial"/>
          <w:sz w:val="20"/>
          <w:szCs w:val="20"/>
        </w:rPr>
        <w:t>Xlivpro</w:t>
      </w:r>
      <w:proofErr w:type="spellEnd"/>
      <w:r>
        <w:rPr>
          <w:rFonts w:ascii="Arial" w:hAnsi="Arial" w:cs="Arial"/>
          <w:sz w:val="20"/>
          <w:szCs w:val="20"/>
        </w:rPr>
        <w:t xml:space="preserve"> Premix was found to improve feed efficiency, body weight, breast muscle mass, and reduce fat pad size, suggesting an enhancement of muscle protein synthesis and a reduction of fat deposition through the inhibition of lipogenesis or the increase of the lipolysis process. Considering the high commercial value of </w:t>
      </w:r>
      <w:proofErr w:type="spellStart"/>
      <w:r>
        <w:rPr>
          <w:rFonts w:ascii="Arial" w:hAnsi="Arial" w:cs="Arial"/>
          <w:sz w:val="20"/>
          <w:szCs w:val="20"/>
        </w:rPr>
        <w:t>Xlivpro</w:t>
      </w:r>
      <w:proofErr w:type="spellEnd"/>
      <w:r>
        <w:rPr>
          <w:rFonts w:ascii="Arial" w:hAnsi="Arial" w:cs="Arial"/>
          <w:sz w:val="20"/>
          <w:szCs w:val="20"/>
        </w:rPr>
        <w:t xml:space="preserve"> Premix the present study aimed at </w:t>
      </w:r>
      <w:proofErr w:type="spellStart"/>
      <w:r>
        <w:rPr>
          <w:rFonts w:ascii="Arial" w:hAnsi="Arial" w:cs="Arial"/>
          <w:sz w:val="20"/>
          <w:szCs w:val="20"/>
        </w:rPr>
        <w:t>studing</w:t>
      </w:r>
      <w:proofErr w:type="spellEnd"/>
      <w:r>
        <w:rPr>
          <w:rFonts w:ascii="Arial" w:hAnsi="Arial" w:cs="Arial"/>
          <w:sz w:val="20"/>
          <w:szCs w:val="20"/>
        </w:rPr>
        <w:t xml:space="preserve"> its safety by determining the acute oral toxicity potential of </w:t>
      </w:r>
      <w:proofErr w:type="spellStart"/>
      <w:r>
        <w:rPr>
          <w:rFonts w:ascii="Arial" w:hAnsi="Arial" w:cs="Arial"/>
          <w:sz w:val="20"/>
          <w:szCs w:val="20"/>
        </w:rPr>
        <w:t>Xlivpro</w:t>
      </w:r>
      <w:proofErr w:type="spellEnd"/>
      <w:r>
        <w:rPr>
          <w:rFonts w:ascii="Arial" w:hAnsi="Arial" w:cs="Arial"/>
          <w:sz w:val="20"/>
          <w:szCs w:val="20"/>
        </w:rPr>
        <w:t xml:space="preserve"> Premix.</w:t>
      </w:r>
    </w:p>
    <w:p w:rsidR="00E56D8F" w:rsidRDefault="00E56D8F" w:rsidP="00E56D8F">
      <w:pPr>
        <w:spacing w:line="360" w:lineRule="auto"/>
        <w:jc w:val="both"/>
        <w:rPr>
          <w:rFonts w:ascii="Arial" w:hAnsi="Arial" w:cs="Arial"/>
          <w:sz w:val="20"/>
          <w:szCs w:val="20"/>
        </w:rPr>
      </w:pPr>
    </w:p>
    <w:p w:rsidR="00E56D8F" w:rsidRPr="008C150C" w:rsidRDefault="008C150C" w:rsidP="008C150C">
      <w:pPr>
        <w:spacing w:line="360" w:lineRule="auto"/>
        <w:jc w:val="both"/>
        <w:rPr>
          <w:rFonts w:ascii="Arial" w:hAnsi="Arial" w:cs="Arial"/>
          <w:b/>
          <w:bCs/>
        </w:rPr>
      </w:pPr>
      <w:r>
        <w:rPr>
          <w:rFonts w:ascii="Arial" w:hAnsi="Arial" w:cs="Arial"/>
          <w:b/>
          <w:bCs/>
        </w:rPr>
        <w:t xml:space="preserve">2. </w:t>
      </w:r>
      <w:r w:rsidR="00E56D8F" w:rsidRPr="008C150C">
        <w:rPr>
          <w:rFonts w:ascii="Arial" w:hAnsi="Arial" w:cs="Arial"/>
          <w:b/>
          <w:bCs/>
        </w:rPr>
        <w:t>MATERIALS AND METHODS</w:t>
      </w:r>
    </w:p>
    <w:p w:rsidR="00E56D8F" w:rsidRDefault="00E56D8F" w:rsidP="00E56D8F">
      <w:pPr>
        <w:spacing w:line="360" w:lineRule="auto"/>
        <w:jc w:val="both"/>
        <w:rPr>
          <w:rFonts w:ascii="Arial" w:hAnsi="Arial" w:cs="Arial"/>
          <w:sz w:val="20"/>
          <w:szCs w:val="20"/>
        </w:rPr>
      </w:pPr>
      <w:r>
        <w:rPr>
          <w:rFonts w:ascii="Arial" w:hAnsi="Arial" w:cs="Arial"/>
          <w:sz w:val="20"/>
          <w:szCs w:val="20"/>
        </w:rPr>
        <w:t>The study was conducted at the Department of Veterinary Pharmacology and Toxicology, Post Graduate Institute of Veterinary and Animal Sciences (PGIVAS), Akola, Maharashtra, India. The institute is situated at a latitude of 20.70</w:t>
      </w:r>
      <w:r>
        <w:rPr>
          <w:rFonts w:ascii="Arial" w:hAnsi="Arial" w:cs="Arial"/>
          <w:sz w:val="20"/>
          <w:szCs w:val="20"/>
          <w:vertAlign w:val="superscript"/>
        </w:rPr>
        <w:t xml:space="preserve">0 </w:t>
      </w:r>
      <w:r>
        <w:rPr>
          <w:rFonts w:ascii="Arial" w:hAnsi="Arial" w:cs="Arial"/>
          <w:sz w:val="20"/>
          <w:szCs w:val="20"/>
        </w:rPr>
        <w:t>N and a longitude of 77.070</w:t>
      </w:r>
      <w:r>
        <w:rPr>
          <w:rFonts w:ascii="Arial" w:hAnsi="Arial" w:cs="Arial"/>
          <w:sz w:val="20"/>
          <w:szCs w:val="20"/>
          <w:vertAlign w:val="superscript"/>
        </w:rPr>
        <w:t xml:space="preserve">0 </w:t>
      </w:r>
      <w:r>
        <w:rPr>
          <w:rFonts w:ascii="Arial" w:hAnsi="Arial" w:cs="Arial"/>
          <w:sz w:val="20"/>
          <w:szCs w:val="20"/>
        </w:rPr>
        <w:t xml:space="preserve">E, with an elevation between 287 and 316 meters above sea level, and experiences a tropical climate. Six healthy young adults female Wistar rats, weighing 113 to 134 g, were used in this </w:t>
      </w:r>
      <w:proofErr w:type="spellStart"/>
      <w:r>
        <w:rPr>
          <w:rFonts w:ascii="Arial" w:hAnsi="Arial" w:cs="Arial"/>
          <w:sz w:val="20"/>
          <w:szCs w:val="20"/>
        </w:rPr>
        <w:t>study.The</w:t>
      </w:r>
      <w:proofErr w:type="spellEnd"/>
      <w:r>
        <w:rPr>
          <w:rFonts w:ascii="Arial" w:hAnsi="Arial" w:cs="Arial"/>
          <w:sz w:val="20"/>
          <w:szCs w:val="20"/>
        </w:rPr>
        <w:t xml:space="preserve"> study was conducted from </w:t>
      </w:r>
      <w:r>
        <w:rPr>
          <w:rFonts w:ascii="Arial" w:hAnsi="Arial" w:cs="Arial"/>
          <w:color w:val="000000" w:themeColor="text1"/>
          <w:sz w:val="20"/>
          <w:szCs w:val="20"/>
        </w:rPr>
        <w:t>13</w:t>
      </w:r>
      <w:r>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April to 26</w:t>
      </w:r>
      <w:r>
        <w:rPr>
          <w:rFonts w:ascii="Arial" w:hAnsi="Arial" w:cs="Arial"/>
          <w:color w:val="000000" w:themeColor="text1"/>
          <w:sz w:val="20"/>
          <w:szCs w:val="20"/>
          <w:vertAlign w:val="superscript"/>
        </w:rPr>
        <w:t xml:space="preserve">th </w:t>
      </w:r>
      <w:r>
        <w:rPr>
          <w:rFonts w:ascii="Arial" w:hAnsi="Arial" w:cs="Arial"/>
          <w:color w:val="000000" w:themeColor="text1"/>
          <w:sz w:val="20"/>
          <w:szCs w:val="20"/>
        </w:rPr>
        <w:t>April 2022</w:t>
      </w:r>
      <w:r>
        <w:rPr>
          <w:rFonts w:ascii="Arial" w:hAnsi="Arial" w:cs="Arial"/>
          <w:color w:val="FF0000"/>
          <w:sz w:val="20"/>
          <w:szCs w:val="20"/>
        </w:rPr>
        <w:t xml:space="preserve">. </w:t>
      </w:r>
      <w:r>
        <w:rPr>
          <w:rFonts w:ascii="Arial" w:hAnsi="Arial" w:cs="Arial"/>
          <w:sz w:val="20"/>
          <w:szCs w:val="20"/>
        </w:rPr>
        <w:t xml:space="preserve">The animals were acquired from the Laboratory Animal Resource Section at PGIVAS, Akola. A total of four animals in one cage with corn cob as bedding material were used for ease of monitoring. Picric acid was used for animal identification. During the experiment the ambient temperature of 25±2 </w:t>
      </w:r>
      <w:r>
        <w:rPr>
          <w:rFonts w:ascii="Arial" w:hAnsi="Arial" w:cs="Arial"/>
          <w:sz w:val="20"/>
          <w:szCs w:val="20"/>
          <w:vertAlign w:val="superscript"/>
        </w:rPr>
        <w:t xml:space="preserve">0 </w:t>
      </w:r>
      <w:r>
        <w:rPr>
          <w:rFonts w:ascii="Arial" w:hAnsi="Arial" w:cs="Arial"/>
          <w:sz w:val="20"/>
          <w:szCs w:val="20"/>
        </w:rPr>
        <w:t>C was maintained and humidity was in the range of 50-70% during the experiment period. The animals were kept under a 12hour light-dark cycle and had access to standard pelleted feed and water ad libitum. The animals were housed in polypropylene cages 5 days prior to experimentation as a period of acclimatization (OECD, 2001).</w:t>
      </w: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E56D8F" w:rsidRDefault="00E56D8F" w:rsidP="00E56D8F">
      <w:pPr>
        <w:pStyle w:val="ListParagraph"/>
        <w:shd w:val="clear" w:color="auto" w:fill="FFFFFF"/>
        <w:spacing w:before="136" w:after="136" w:line="360" w:lineRule="auto"/>
        <w:ind w:left="-142"/>
        <w:rPr>
          <w:rFonts w:ascii="Arial" w:hAnsi="Arial" w:cs="Arial"/>
          <w:b/>
          <w:color w:val="000000" w:themeColor="text1"/>
          <w:sz w:val="20"/>
          <w:szCs w:val="20"/>
        </w:rPr>
      </w:pPr>
      <w:r>
        <w:rPr>
          <w:rFonts w:ascii="Arial" w:hAnsi="Arial" w:cs="Arial"/>
          <w:b/>
          <w:color w:val="000000" w:themeColor="text1"/>
          <w:sz w:val="20"/>
          <w:szCs w:val="20"/>
        </w:rPr>
        <w:t xml:space="preserve">Table 1: Design of acute oral toxicity study </w:t>
      </w:r>
    </w:p>
    <w:tbl>
      <w:tblPr>
        <w:tblW w:w="9576" w:type="dxa"/>
        <w:tblCellMar>
          <w:top w:w="34" w:type="dxa"/>
          <w:right w:w="291" w:type="dxa"/>
        </w:tblCellMar>
        <w:tblLook w:val="04A0" w:firstRow="1" w:lastRow="0" w:firstColumn="1" w:lastColumn="0" w:noHBand="0" w:noVBand="1"/>
      </w:tblPr>
      <w:tblGrid>
        <w:gridCol w:w="1833"/>
        <w:gridCol w:w="2361"/>
        <w:gridCol w:w="2296"/>
        <w:gridCol w:w="3086"/>
      </w:tblGrid>
      <w:tr w:rsidR="00E56D8F" w:rsidTr="000E7748">
        <w:trPr>
          <w:trHeight w:val="258"/>
        </w:trPr>
        <w:tc>
          <w:tcPr>
            <w:tcW w:w="1833"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 xml:space="preserve">  Group No.</w:t>
            </w:r>
          </w:p>
        </w:tc>
        <w:tc>
          <w:tcPr>
            <w:tcW w:w="2361"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Type of Study Used</w:t>
            </w:r>
          </w:p>
        </w:tc>
        <w:tc>
          <w:tcPr>
            <w:tcW w:w="2296"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 xml:space="preserve">Number of Animals </w:t>
            </w:r>
          </w:p>
        </w:tc>
        <w:tc>
          <w:tcPr>
            <w:tcW w:w="3086"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Dose (mg/kg body weight)</w:t>
            </w:r>
          </w:p>
        </w:tc>
      </w:tr>
      <w:tr w:rsidR="00E56D8F" w:rsidTr="000E7748">
        <w:trPr>
          <w:trHeight w:val="755"/>
        </w:trPr>
        <w:tc>
          <w:tcPr>
            <w:tcW w:w="1833"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I</w:t>
            </w:r>
          </w:p>
          <w:p w:rsidR="00E56D8F" w:rsidRDefault="00E56D8F" w:rsidP="000E7748">
            <w:pPr>
              <w:spacing w:line="360" w:lineRule="auto"/>
              <w:jc w:val="center"/>
              <w:rPr>
                <w:rFonts w:ascii="Arial" w:hAnsi="Arial" w:cs="Arial"/>
                <w:sz w:val="20"/>
                <w:szCs w:val="20"/>
              </w:rPr>
            </w:pPr>
            <w:r>
              <w:rPr>
                <w:rFonts w:ascii="Arial" w:hAnsi="Arial" w:cs="Arial"/>
                <w:sz w:val="20"/>
                <w:szCs w:val="20"/>
              </w:rPr>
              <w:t>II</w:t>
            </w:r>
          </w:p>
          <w:p w:rsidR="00E56D8F" w:rsidRDefault="00E56D8F" w:rsidP="000E7748">
            <w:pPr>
              <w:spacing w:line="360" w:lineRule="auto"/>
              <w:jc w:val="center"/>
              <w:rPr>
                <w:rFonts w:ascii="Arial" w:hAnsi="Arial" w:cs="Arial"/>
                <w:sz w:val="20"/>
                <w:szCs w:val="20"/>
              </w:rPr>
            </w:pPr>
            <w:r>
              <w:rPr>
                <w:rFonts w:ascii="Arial" w:hAnsi="Arial" w:cs="Arial"/>
                <w:sz w:val="20"/>
                <w:szCs w:val="20"/>
              </w:rPr>
              <w:t>III</w:t>
            </w:r>
          </w:p>
        </w:tc>
        <w:tc>
          <w:tcPr>
            <w:tcW w:w="2361"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Step 1: Sighting study</w:t>
            </w:r>
          </w:p>
          <w:p w:rsidR="00E56D8F" w:rsidRDefault="00E56D8F" w:rsidP="000E7748">
            <w:pPr>
              <w:spacing w:line="360" w:lineRule="auto"/>
              <w:rPr>
                <w:rFonts w:ascii="Arial" w:hAnsi="Arial" w:cs="Arial"/>
                <w:sz w:val="20"/>
                <w:szCs w:val="20"/>
              </w:rPr>
            </w:pPr>
            <w:r>
              <w:rPr>
                <w:rFonts w:ascii="Arial" w:hAnsi="Arial" w:cs="Arial"/>
                <w:sz w:val="20"/>
                <w:szCs w:val="20"/>
              </w:rPr>
              <w:t>Step 2: Sighting study</w:t>
            </w:r>
          </w:p>
          <w:p w:rsidR="00E56D8F" w:rsidRDefault="00E56D8F" w:rsidP="000E7748">
            <w:pPr>
              <w:spacing w:line="360" w:lineRule="auto"/>
              <w:rPr>
                <w:rFonts w:ascii="Arial" w:hAnsi="Arial" w:cs="Arial"/>
                <w:sz w:val="20"/>
                <w:szCs w:val="20"/>
              </w:rPr>
            </w:pPr>
            <w:r>
              <w:rPr>
                <w:rFonts w:ascii="Arial" w:hAnsi="Arial" w:cs="Arial"/>
                <w:sz w:val="20"/>
                <w:szCs w:val="20"/>
              </w:rPr>
              <w:t xml:space="preserve">Main study                  </w:t>
            </w:r>
          </w:p>
        </w:tc>
        <w:tc>
          <w:tcPr>
            <w:tcW w:w="2296"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01</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01</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04</w:t>
            </w:r>
          </w:p>
        </w:tc>
        <w:tc>
          <w:tcPr>
            <w:tcW w:w="3086"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300</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2000</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2000</w:t>
            </w:r>
          </w:p>
        </w:tc>
      </w:tr>
    </w:tbl>
    <w:p w:rsidR="00E56D8F" w:rsidRDefault="00E56D8F" w:rsidP="00E56D8F">
      <w:pPr>
        <w:spacing w:line="360" w:lineRule="auto"/>
        <w:rPr>
          <w:rFonts w:ascii="Arial" w:hAnsi="Arial" w:cs="Arial"/>
          <w:sz w:val="20"/>
          <w:szCs w:val="20"/>
        </w:rPr>
      </w:pPr>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The rats were divided into three distinct experimental categories (Table 1) and were deprived of food, but not water, overnight prior to dosing. Post-fasting, the weights of all the rats were recorded. The </w:t>
      </w:r>
      <w:proofErr w:type="spellStart"/>
      <w:r>
        <w:rPr>
          <w:rFonts w:ascii="Arial" w:hAnsi="Arial" w:cs="Arial"/>
          <w:sz w:val="20"/>
          <w:szCs w:val="20"/>
        </w:rPr>
        <w:t>Xlivpro</w:t>
      </w:r>
      <w:proofErr w:type="spellEnd"/>
      <w:r>
        <w:rPr>
          <w:rFonts w:ascii="Arial" w:hAnsi="Arial" w:cs="Arial"/>
          <w:sz w:val="20"/>
          <w:szCs w:val="20"/>
        </w:rPr>
        <w:t xml:space="preserve"> Premix test substance (provided by M/s </w:t>
      </w:r>
      <w:bookmarkStart w:id="2" w:name="_Hlk204953256"/>
      <w:proofErr w:type="spellStart"/>
      <w:r>
        <w:rPr>
          <w:rFonts w:ascii="Arial" w:hAnsi="Arial" w:cs="Arial"/>
          <w:sz w:val="20"/>
          <w:szCs w:val="20"/>
        </w:rPr>
        <w:t>Zenex</w:t>
      </w:r>
      <w:proofErr w:type="spellEnd"/>
      <w:r>
        <w:rPr>
          <w:rFonts w:ascii="Arial" w:hAnsi="Arial" w:cs="Arial"/>
          <w:sz w:val="20"/>
          <w:szCs w:val="20"/>
        </w:rPr>
        <w:t xml:space="preserve"> Animal Health India Private </w:t>
      </w:r>
      <w:bookmarkEnd w:id="2"/>
      <w:r>
        <w:rPr>
          <w:rFonts w:ascii="Arial" w:hAnsi="Arial" w:cs="Arial"/>
          <w:sz w:val="20"/>
          <w:szCs w:val="20"/>
        </w:rPr>
        <w:t>Limited) was dissolved in distilled water and administered to one rat each from Group I and Group II, at doses of 300 mg/kg and 2000 mg/kg of body weight, respectively. Observations were made to note any signs of toxicity. Since no toxic symptoms were observed in the sighting study for Group I and Group II, the main study commenced, in which all four rats in Group III were given the test substance at a dose of 2000 mg/kg of body weight. After dosing, rats in Groups I, II, and III were deprived of food for an additional 1-2 hours.</w:t>
      </w:r>
    </w:p>
    <w:p w:rsidR="00732C73" w:rsidRDefault="00E56D8F" w:rsidP="00E56D8F">
      <w:pPr>
        <w:spacing w:line="360" w:lineRule="auto"/>
        <w:jc w:val="both"/>
        <w:rPr>
          <w:rFonts w:ascii="Arial" w:hAnsi="Arial" w:cs="Arial"/>
          <w:sz w:val="20"/>
          <w:szCs w:val="20"/>
        </w:rPr>
      </w:pPr>
      <w:r>
        <w:rPr>
          <w:rFonts w:ascii="Arial" w:hAnsi="Arial" w:cs="Arial"/>
          <w:sz w:val="20"/>
          <w:szCs w:val="20"/>
        </w:rPr>
        <w:t xml:space="preserve">The animals were monitored for any signs of mortality, convulsions, tremors, labored breathing, piloerection, salivation, lethargy, coma, or any other abnormal behaviors. Any changes in body weight, coat condition, eyes, mucous membranes, and behavior were documented. After a 14-day observation period, the animals were euthanized using high thiopental sodium and vital organs (heart, liver, kidneys, and lungs) were collected and preserved in 10% neutral buffered formalin for histopathological examination. Sections of 4-6 µm were prepared using a rotary microtome and stained with H&amp;E stain for histopathological analysis, as per Luna (1968). A sample of 1-2 ml of blood was drawn from the retro-orbital plexus with a capillary tube and collected in EDTA vials for biochemical estimation of alanine transaminase </w:t>
      </w:r>
      <w:r w:rsidR="00F20A72">
        <w:rPr>
          <w:rFonts w:ascii="Arial" w:hAnsi="Arial" w:cs="Arial"/>
          <w:sz w:val="20"/>
          <w:szCs w:val="20"/>
        </w:rPr>
        <w:t>(ALT), aspartate aminotransferase (AST), alkaline phosphatase (ALP)and creatinine.</w:t>
      </w:r>
    </w:p>
    <w:p w:rsidR="00732C73" w:rsidRDefault="00732C73">
      <w:pPr>
        <w:spacing w:line="360" w:lineRule="auto"/>
        <w:jc w:val="both"/>
        <w:rPr>
          <w:rFonts w:ascii="Arial" w:hAnsi="Arial" w:cs="Arial"/>
          <w:sz w:val="20"/>
          <w:szCs w:val="20"/>
        </w:rPr>
      </w:pPr>
    </w:p>
    <w:p w:rsidR="00732C73" w:rsidRDefault="00F20A72">
      <w:pPr>
        <w:spacing w:line="360" w:lineRule="auto"/>
        <w:jc w:val="both"/>
        <w:rPr>
          <w:rFonts w:ascii="Arial" w:hAnsi="Arial" w:cs="Arial"/>
          <w:b/>
          <w:bCs/>
        </w:rPr>
      </w:pPr>
      <w:r>
        <w:rPr>
          <w:rFonts w:ascii="Arial" w:hAnsi="Arial" w:cs="Arial"/>
          <w:b/>
          <w:bCs/>
        </w:rPr>
        <w:t xml:space="preserve">3. RESULT AND </w:t>
      </w:r>
      <w:commentRangeStart w:id="3"/>
      <w:r>
        <w:rPr>
          <w:rFonts w:ascii="Arial" w:hAnsi="Arial" w:cs="Arial"/>
          <w:b/>
          <w:bCs/>
        </w:rPr>
        <w:t>DISCUSSION</w:t>
      </w:r>
      <w:commentRangeEnd w:id="3"/>
      <w:r w:rsidR="00E12DC3">
        <w:rPr>
          <w:rStyle w:val="CommentReference"/>
        </w:rPr>
        <w:commentReference w:id="3"/>
      </w:r>
    </w:p>
    <w:p w:rsidR="00732C73" w:rsidRDefault="00F20A72">
      <w:pPr>
        <w:spacing w:line="360" w:lineRule="auto"/>
        <w:jc w:val="both"/>
        <w:rPr>
          <w:rFonts w:ascii="Arial" w:hAnsi="Arial" w:cs="Arial"/>
          <w:sz w:val="20"/>
          <w:szCs w:val="20"/>
        </w:rPr>
      </w:pPr>
      <w:r>
        <w:rPr>
          <w:rFonts w:ascii="Arial" w:hAnsi="Arial" w:cs="Arial"/>
          <w:sz w:val="20"/>
          <w:szCs w:val="20"/>
        </w:rPr>
        <w:t xml:space="preserve">The body weights of each rat were recorded individually on days 0, 7, and 14 of the study. During this period, rats in the main test group (Group III) exhibited a normal increase in body weight (Table 2). Biochemical analysis indicated that the levels of ALT, AST, ALP, and creatinine remained within their respective normal ranges (Table 3). </w:t>
      </w:r>
      <w:proofErr w:type="spellStart"/>
      <w:r>
        <w:rPr>
          <w:rFonts w:ascii="Arial" w:hAnsi="Arial" w:cs="Arial"/>
          <w:sz w:val="20"/>
          <w:szCs w:val="20"/>
        </w:rPr>
        <w:t>Xlivpro</w:t>
      </w:r>
      <w:proofErr w:type="spellEnd"/>
      <w:r>
        <w:rPr>
          <w:rFonts w:ascii="Arial" w:hAnsi="Arial" w:cs="Arial"/>
          <w:sz w:val="20"/>
          <w:szCs w:val="20"/>
        </w:rPr>
        <w:t xml:space="preserve"> Premix orally at a dosage of 2000 mg/kg did not result in any mortality among the rats, establishing the LD50 of the compound to be greater than 2000 mg/kg of body weight. Furthermore, no abnormal symptoms such as tremors, labored breathing, piloerection, convulsions, salivation, lethargy, or coma were observed over the experimental duration of 14days. Additionally, there were no significant gross or histological abnormalities detected in the heart, liver, kidney, or lungs that could be attributed to the toxicity of the test substance (Fig. 1).</w:t>
      </w:r>
    </w:p>
    <w:p w:rsidR="00732C73" w:rsidRDefault="00732C73">
      <w:pPr>
        <w:pStyle w:val="BodyText2"/>
        <w:jc w:val="left"/>
        <w:rPr>
          <w:rFonts w:ascii="Arial" w:hAnsi="Arial" w:cs="Arial"/>
          <w:b/>
          <w:sz w:val="20"/>
        </w:rPr>
      </w:pPr>
    </w:p>
    <w:p w:rsidR="00BA3DB5" w:rsidRPr="009E68A1" w:rsidRDefault="00BA3DB5" w:rsidP="00BA3DB5">
      <w:pPr>
        <w:rPr>
          <w:rFonts w:ascii="Arial" w:hAnsi="Arial" w:cs="Arial"/>
          <w:b/>
          <w:snapToGrid w:val="0"/>
          <w:color w:val="000000"/>
          <w:sz w:val="20"/>
          <w:szCs w:val="20"/>
        </w:rPr>
      </w:pPr>
      <w:r w:rsidRPr="009E68A1">
        <w:rPr>
          <w:rFonts w:ascii="Arial" w:hAnsi="Arial" w:cs="Arial"/>
          <w:b/>
          <w:sz w:val="20"/>
          <w:szCs w:val="20"/>
        </w:rPr>
        <w:t xml:space="preserve">Table </w:t>
      </w:r>
      <w:r w:rsidR="009E68A1" w:rsidRPr="009E68A1">
        <w:rPr>
          <w:rFonts w:ascii="Arial" w:hAnsi="Arial" w:cs="Arial"/>
          <w:b/>
          <w:sz w:val="20"/>
          <w:szCs w:val="20"/>
        </w:rPr>
        <w:t>2</w:t>
      </w:r>
      <w:r w:rsidRPr="009E68A1">
        <w:rPr>
          <w:rFonts w:ascii="Arial" w:hAnsi="Arial" w:cs="Arial"/>
          <w:b/>
          <w:sz w:val="20"/>
          <w:szCs w:val="20"/>
        </w:rPr>
        <w:t xml:space="preserve">:  Weekly body weight of rats received </w:t>
      </w:r>
      <w:proofErr w:type="spellStart"/>
      <w:r w:rsidRPr="009E68A1">
        <w:rPr>
          <w:rFonts w:ascii="Arial" w:hAnsi="Arial" w:cs="Arial"/>
          <w:b/>
          <w:color w:val="000000" w:themeColor="text1"/>
          <w:sz w:val="20"/>
          <w:szCs w:val="20"/>
        </w:rPr>
        <w:t>XlivPro</w:t>
      </w:r>
      <w:proofErr w:type="spellEnd"/>
      <w:r w:rsidRPr="009E68A1">
        <w:rPr>
          <w:rFonts w:ascii="Arial" w:hAnsi="Arial" w:cs="Arial"/>
          <w:b/>
          <w:color w:val="000000" w:themeColor="text1"/>
          <w:sz w:val="20"/>
          <w:szCs w:val="20"/>
        </w:rPr>
        <w:t xml:space="preserve"> Premix @ </w:t>
      </w:r>
      <w:r w:rsidRPr="009E68A1">
        <w:rPr>
          <w:rFonts w:ascii="Arial" w:hAnsi="Arial" w:cs="Arial"/>
          <w:b/>
          <w:snapToGrid w:val="0"/>
          <w:color w:val="000000"/>
          <w:sz w:val="20"/>
          <w:szCs w:val="20"/>
        </w:rPr>
        <w:t>2000mg/kg</w:t>
      </w:r>
    </w:p>
    <w:tbl>
      <w:tblPr>
        <w:tblW w:w="9158" w:type="dxa"/>
        <w:jc w:val="center"/>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1767"/>
        <w:gridCol w:w="1276"/>
        <w:gridCol w:w="1843"/>
        <w:gridCol w:w="2126"/>
        <w:gridCol w:w="2146"/>
      </w:tblGrid>
      <w:tr w:rsidR="007B2111" w:rsidRPr="009E68A1" w:rsidTr="007B2111">
        <w:trPr>
          <w:cantSplit/>
          <w:trHeight w:val="422"/>
          <w:jc w:val="center"/>
        </w:trPr>
        <w:tc>
          <w:tcPr>
            <w:tcW w:w="1767" w:type="dxa"/>
            <w:vMerge w:val="restart"/>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lastRenderedPageBreak/>
              <w:t xml:space="preserve">Dose of </w:t>
            </w:r>
            <w:proofErr w:type="spellStart"/>
            <w:r w:rsidRPr="009E68A1">
              <w:rPr>
                <w:rFonts w:ascii="Arial" w:hAnsi="Arial" w:cs="Arial"/>
                <w:color w:val="000000" w:themeColor="text1"/>
                <w:sz w:val="20"/>
                <w:szCs w:val="20"/>
              </w:rPr>
              <w:t>XlivPro</w:t>
            </w:r>
            <w:proofErr w:type="spellEnd"/>
            <w:r w:rsidRPr="009E68A1">
              <w:rPr>
                <w:rFonts w:ascii="Arial" w:hAnsi="Arial" w:cs="Arial"/>
                <w:color w:val="000000" w:themeColor="text1"/>
                <w:sz w:val="20"/>
                <w:szCs w:val="20"/>
              </w:rPr>
              <w:t xml:space="preserve"> Premix</w:t>
            </w:r>
          </w:p>
        </w:tc>
        <w:tc>
          <w:tcPr>
            <w:tcW w:w="1276" w:type="dxa"/>
            <w:vMerge w:val="restart"/>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Rat No.</w:t>
            </w:r>
          </w:p>
        </w:tc>
        <w:tc>
          <w:tcPr>
            <w:tcW w:w="6115" w:type="dxa"/>
            <w:gridSpan w:val="3"/>
            <w:vAlign w:val="center"/>
          </w:tcPr>
          <w:p w:rsidR="007B2111" w:rsidRPr="009E68A1" w:rsidRDefault="007B2111" w:rsidP="007B2111">
            <w:pPr>
              <w:spacing w:line="240" w:lineRule="auto"/>
              <w:rPr>
                <w:rFonts w:ascii="Arial" w:hAnsi="Arial" w:cs="Arial"/>
                <w:bCs/>
                <w:snapToGrid w:val="0"/>
                <w:color w:val="000000"/>
                <w:sz w:val="20"/>
                <w:szCs w:val="20"/>
              </w:rPr>
            </w:pPr>
            <w:r w:rsidRPr="009E68A1">
              <w:rPr>
                <w:rFonts w:ascii="Arial" w:hAnsi="Arial" w:cs="Arial"/>
                <w:b/>
                <w:snapToGrid w:val="0"/>
                <w:color w:val="000000" w:themeColor="text1"/>
                <w:sz w:val="20"/>
                <w:szCs w:val="20"/>
              </w:rPr>
              <w:t xml:space="preserve">                       </w:t>
            </w:r>
            <w:r w:rsidRPr="009E68A1">
              <w:rPr>
                <w:rFonts w:ascii="Arial" w:hAnsi="Arial" w:cs="Arial"/>
                <w:bCs/>
                <w:snapToGrid w:val="0"/>
                <w:color w:val="000000" w:themeColor="text1"/>
                <w:sz w:val="20"/>
                <w:szCs w:val="20"/>
              </w:rPr>
              <w:t>Body Weight (g) on Day</w:t>
            </w:r>
          </w:p>
        </w:tc>
      </w:tr>
      <w:tr w:rsidR="007B2111" w:rsidRPr="009E68A1" w:rsidTr="007B2111">
        <w:trPr>
          <w:cantSplit/>
          <w:trHeight w:val="413"/>
          <w:jc w:val="center"/>
        </w:trPr>
        <w:tc>
          <w:tcPr>
            <w:tcW w:w="1767" w:type="dxa"/>
            <w:vMerge/>
            <w:vAlign w:val="center"/>
          </w:tcPr>
          <w:p w:rsidR="007B2111" w:rsidRPr="009E68A1" w:rsidRDefault="007B2111" w:rsidP="00A95BEB">
            <w:pPr>
              <w:spacing w:line="240" w:lineRule="auto"/>
              <w:jc w:val="center"/>
              <w:rPr>
                <w:rFonts w:ascii="Arial" w:hAnsi="Arial" w:cs="Arial"/>
                <w:snapToGrid w:val="0"/>
                <w:color w:val="000000"/>
                <w:sz w:val="20"/>
                <w:szCs w:val="20"/>
              </w:rPr>
            </w:pPr>
          </w:p>
        </w:tc>
        <w:tc>
          <w:tcPr>
            <w:tcW w:w="1276" w:type="dxa"/>
            <w:vMerge/>
            <w:vAlign w:val="center"/>
          </w:tcPr>
          <w:p w:rsidR="007B2111" w:rsidRPr="009E68A1" w:rsidRDefault="007B2111" w:rsidP="00A95BEB">
            <w:pPr>
              <w:spacing w:line="240" w:lineRule="auto"/>
              <w:jc w:val="center"/>
              <w:rPr>
                <w:rFonts w:ascii="Arial" w:hAnsi="Arial" w:cs="Arial"/>
                <w:snapToGrid w:val="0"/>
                <w:color w:val="000000"/>
                <w:sz w:val="20"/>
                <w:szCs w:val="20"/>
              </w:rPr>
            </w:pPr>
          </w:p>
        </w:tc>
        <w:tc>
          <w:tcPr>
            <w:tcW w:w="1843" w:type="dxa"/>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0</w:t>
            </w:r>
          </w:p>
        </w:tc>
        <w:tc>
          <w:tcPr>
            <w:tcW w:w="2126" w:type="dxa"/>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7</w:t>
            </w:r>
          </w:p>
        </w:tc>
        <w:tc>
          <w:tcPr>
            <w:tcW w:w="2146" w:type="dxa"/>
            <w:vAlign w:val="center"/>
          </w:tcPr>
          <w:p w:rsidR="007B2111" w:rsidRPr="009E68A1" w:rsidRDefault="007B2111" w:rsidP="007B2111">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14</w:t>
            </w:r>
          </w:p>
        </w:tc>
      </w:tr>
      <w:tr w:rsidR="009E68A1" w:rsidRPr="009E68A1" w:rsidTr="007B2111">
        <w:trPr>
          <w:cantSplit/>
          <w:trHeight w:val="623"/>
          <w:jc w:val="center"/>
        </w:trPr>
        <w:tc>
          <w:tcPr>
            <w:tcW w:w="1767" w:type="dxa"/>
            <w:vMerge w:val="restart"/>
            <w:vAlign w:val="center"/>
          </w:tcPr>
          <w:p w:rsidR="009E68A1" w:rsidRPr="009E68A1" w:rsidRDefault="009E68A1" w:rsidP="009E68A1">
            <w:pPr>
              <w:spacing w:line="240" w:lineRule="auto"/>
              <w:rPr>
                <w:rFonts w:ascii="Arial" w:hAnsi="Arial" w:cs="Arial"/>
                <w:snapToGrid w:val="0"/>
                <w:color w:val="000000"/>
                <w:sz w:val="20"/>
                <w:szCs w:val="20"/>
              </w:rPr>
            </w:pPr>
            <w:r w:rsidRPr="009E68A1">
              <w:rPr>
                <w:rFonts w:ascii="Arial" w:hAnsi="Arial" w:cs="Arial"/>
                <w:snapToGrid w:val="0"/>
                <w:color w:val="000000"/>
                <w:sz w:val="20"/>
                <w:szCs w:val="20"/>
              </w:rPr>
              <w:t>2000mg/kg</w:t>
            </w: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1</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138</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152</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164</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2</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117</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129</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135</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3</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120</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134</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152</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4</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126</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141</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155</w:t>
            </w:r>
          </w:p>
        </w:tc>
      </w:tr>
      <w:tr w:rsidR="009E68A1" w:rsidRPr="009E68A1" w:rsidTr="00D44FB4">
        <w:trPr>
          <w:cantSplit/>
          <w:trHeight w:val="623"/>
          <w:jc w:val="center"/>
        </w:trPr>
        <w:tc>
          <w:tcPr>
            <w:tcW w:w="1767"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Total</w:t>
            </w:r>
          </w:p>
        </w:tc>
        <w:tc>
          <w:tcPr>
            <w:tcW w:w="1843"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125.25</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4.64</w:t>
            </w:r>
          </w:p>
        </w:tc>
        <w:tc>
          <w:tcPr>
            <w:tcW w:w="2126"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139</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4.98</w:t>
            </w:r>
          </w:p>
        </w:tc>
        <w:tc>
          <w:tcPr>
            <w:tcW w:w="2146"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151.5</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6.06</w:t>
            </w:r>
          </w:p>
        </w:tc>
      </w:tr>
    </w:tbl>
    <w:p w:rsidR="00732C73" w:rsidRDefault="00BA3DB5" w:rsidP="00BA3DB5">
      <w:pPr>
        <w:pStyle w:val="BodyText2"/>
        <w:spacing w:line="240" w:lineRule="auto"/>
        <w:jc w:val="left"/>
        <w:rPr>
          <w:rFonts w:ascii="Arial" w:hAnsi="Arial" w:cs="Arial"/>
          <w:b/>
          <w:sz w:val="20"/>
        </w:rPr>
      </w:pPr>
      <w:r>
        <w:rPr>
          <w:sz w:val="16"/>
          <w:szCs w:val="16"/>
        </w:rPr>
        <w:t xml:space="preserve">Key: F= Female, </w:t>
      </w:r>
      <w:r>
        <w:rPr>
          <w:snapToGrid w:val="0"/>
          <w:color w:val="000000" w:themeColor="text1"/>
          <w:sz w:val="18"/>
          <w:szCs w:val="18"/>
        </w:rPr>
        <w:t xml:space="preserve">Total values are expressed </w:t>
      </w:r>
      <w:proofErr w:type="spellStart"/>
      <w:r>
        <w:rPr>
          <w:snapToGrid w:val="0"/>
          <w:sz w:val="18"/>
          <w:szCs w:val="18"/>
        </w:rPr>
        <w:t>asMean±SE</w:t>
      </w:r>
      <w:proofErr w:type="spellEnd"/>
      <w:r>
        <w:rPr>
          <w:snapToGrid w:val="0"/>
          <w:sz w:val="18"/>
          <w:szCs w:val="18"/>
        </w:rPr>
        <w:t xml:space="preserve"> (standard </w:t>
      </w:r>
      <w:proofErr w:type="gramStart"/>
      <w:r>
        <w:rPr>
          <w:snapToGrid w:val="0"/>
          <w:sz w:val="18"/>
          <w:szCs w:val="18"/>
        </w:rPr>
        <w:t>error )</w:t>
      </w:r>
      <w:proofErr w:type="gramEnd"/>
    </w:p>
    <w:p w:rsidR="00732C73" w:rsidRDefault="00732C73">
      <w:pPr>
        <w:pStyle w:val="BodyText2"/>
        <w:jc w:val="left"/>
        <w:rPr>
          <w:rFonts w:ascii="Arial" w:hAnsi="Arial" w:cs="Arial"/>
          <w:b/>
          <w:sz w:val="20"/>
        </w:rPr>
      </w:pPr>
    </w:p>
    <w:p w:rsidR="00732C73" w:rsidRDefault="00732C73">
      <w:pPr>
        <w:pStyle w:val="BodyText2"/>
        <w:jc w:val="left"/>
        <w:rPr>
          <w:rFonts w:ascii="Arial" w:hAnsi="Arial" w:cs="Arial"/>
          <w:b/>
          <w:sz w:val="20"/>
        </w:rPr>
      </w:pPr>
    </w:p>
    <w:p w:rsidR="00732C73" w:rsidRDefault="00F20A72" w:rsidP="009E68A1">
      <w:pPr>
        <w:pStyle w:val="BodyText2"/>
        <w:spacing w:line="240" w:lineRule="auto"/>
        <w:jc w:val="left"/>
        <w:rPr>
          <w:rFonts w:ascii="Arial" w:hAnsi="Arial" w:cs="Arial"/>
          <w:snapToGrid w:val="0"/>
          <w:color w:val="000000"/>
          <w:sz w:val="20"/>
        </w:rPr>
      </w:pPr>
      <w:r>
        <w:rPr>
          <w:rFonts w:ascii="Arial" w:hAnsi="Arial" w:cs="Arial"/>
          <w:b/>
          <w:sz w:val="20"/>
        </w:rPr>
        <w:t xml:space="preserve">Table </w:t>
      </w:r>
      <w:r w:rsidR="009E68A1">
        <w:rPr>
          <w:rFonts w:ascii="Arial" w:hAnsi="Arial" w:cs="Arial"/>
          <w:b/>
          <w:sz w:val="20"/>
        </w:rPr>
        <w:t>3</w:t>
      </w:r>
      <w:r>
        <w:rPr>
          <w:rFonts w:ascii="Arial" w:hAnsi="Arial" w:cs="Arial"/>
          <w:b/>
          <w:sz w:val="20"/>
        </w:rPr>
        <w:t xml:space="preserve">: AST, ALT, ALP and creatinine values in experimental rats treated with </w:t>
      </w:r>
      <w:proofErr w:type="spellStart"/>
      <w:r>
        <w:rPr>
          <w:rFonts w:ascii="Arial" w:hAnsi="Arial" w:cs="Arial"/>
          <w:b/>
          <w:bCs/>
          <w:color w:val="000000" w:themeColor="text1"/>
          <w:sz w:val="20"/>
        </w:rPr>
        <w:t>XlivPro</w:t>
      </w:r>
      <w:proofErr w:type="spellEnd"/>
      <w:r>
        <w:rPr>
          <w:rFonts w:ascii="Arial" w:hAnsi="Arial" w:cs="Arial"/>
          <w:b/>
          <w:bCs/>
          <w:color w:val="000000" w:themeColor="text1"/>
          <w:sz w:val="20"/>
        </w:rPr>
        <w:t xml:space="preserve"> Premix</w:t>
      </w:r>
      <w:r>
        <w:rPr>
          <w:rFonts w:ascii="Arial" w:hAnsi="Arial" w:cs="Arial"/>
          <w:b/>
          <w:sz w:val="20"/>
        </w:rPr>
        <w:t>@</w:t>
      </w:r>
      <w:r>
        <w:rPr>
          <w:rFonts w:ascii="Arial" w:hAnsi="Arial" w:cs="Arial"/>
          <w:b/>
          <w:bCs/>
          <w:snapToGrid w:val="0"/>
          <w:color w:val="000000"/>
          <w:sz w:val="20"/>
        </w:rPr>
        <w:t>2000mg/kg</w:t>
      </w:r>
    </w:p>
    <w:tbl>
      <w:tblPr>
        <w:tblW w:w="9158" w:type="dxa"/>
        <w:jc w:val="center"/>
        <w:tblLayout w:type="fixed"/>
        <w:tblCellMar>
          <w:left w:w="30" w:type="dxa"/>
          <w:right w:w="30" w:type="dxa"/>
        </w:tblCellMar>
        <w:tblLook w:val="04A0" w:firstRow="1" w:lastRow="0" w:firstColumn="1" w:lastColumn="0" w:noHBand="0" w:noVBand="1"/>
      </w:tblPr>
      <w:tblGrid>
        <w:gridCol w:w="1418"/>
        <w:gridCol w:w="1104"/>
        <w:gridCol w:w="1619"/>
        <w:gridCol w:w="1620"/>
        <w:gridCol w:w="1782"/>
        <w:gridCol w:w="1615"/>
      </w:tblGrid>
      <w:tr w:rsidR="00732C73">
        <w:trPr>
          <w:cantSplit/>
          <w:trHeight w:val="422"/>
          <w:jc w:val="center"/>
        </w:trPr>
        <w:tc>
          <w:tcPr>
            <w:tcW w:w="1418"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 xml:space="preserve">Dose of </w:t>
            </w:r>
            <w:proofErr w:type="spellStart"/>
            <w:r>
              <w:rPr>
                <w:rFonts w:ascii="Arial" w:hAnsi="Arial" w:cs="Arial"/>
                <w:color w:val="000000" w:themeColor="text1"/>
                <w:sz w:val="20"/>
                <w:szCs w:val="20"/>
              </w:rPr>
              <w:t>XlivPro</w:t>
            </w:r>
            <w:proofErr w:type="spellEnd"/>
            <w:r>
              <w:rPr>
                <w:rFonts w:ascii="Arial" w:hAnsi="Arial" w:cs="Arial"/>
                <w:color w:val="000000" w:themeColor="text1"/>
                <w:sz w:val="20"/>
                <w:szCs w:val="20"/>
              </w:rPr>
              <w:t xml:space="preserve"> Premix</w:t>
            </w:r>
          </w:p>
        </w:tc>
        <w:tc>
          <w:tcPr>
            <w:tcW w:w="1104"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Rat No.</w:t>
            </w:r>
          </w:p>
        </w:tc>
        <w:tc>
          <w:tcPr>
            <w:tcW w:w="6636" w:type="dxa"/>
            <w:gridSpan w:val="4"/>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Biochemical parameters</w:t>
            </w:r>
          </w:p>
        </w:tc>
      </w:tr>
      <w:tr w:rsidR="00732C73">
        <w:trPr>
          <w:cantSplit/>
          <w:trHeight w:val="413"/>
          <w:jc w:val="center"/>
        </w:trPr>
        <w:tc>
          <w:tcPr>
            <w:tcW w:w="1418" w:type="dxa"/>
            <w:tcBorders>
              <w:top w:val="single" w:sz="4" w:space="0" w:color="auto"/>
              <w:bottom w:val="single" w:sz="4" w:space="0" w:color="auto"/>
            </w:tcBorders>
            <w:vAlign w:val="center"/>
          </w:tcPr>
          <w:p w:rsidR="00732C73" w:rsidRDefault="00732C73">
            <w:pPr>
              <w:spacing w:line="240" w:lineRule="auto"/>
              <w:jc w:val="center"/>
              <w:rPr>
                <w:rFonts w:ascii="Arial" w:hAnsi="Arial" w:cs="Arial"/>
                <w:snapToGrid w:val="0"/>
                <w:color w:val="000000"/>
                <w:sz w:val="20"/>
                <w:szCs w:val="20"/>
              </w:rPr>
            </w:pPr>
          </w:p>
        </w:tc>
        <w:tc>
          <w:tcPr>
            <w:tcW w:w="1104" w:type="dxa"/>
            <w:tcBorders>
              <w:top w:val="single" w:sz="4" w:space="0" w:color="auto"/>
              <w:bottom w:val="single" w:sz="4" w:space="0" w:color="auto"/>
            </w:tcBorders>
            <w:vAlign w:val="center"/>
          </w:tcPr>
          <w:p w:rsidR="00732C73" w:rsidRDefault="00732C73">
            <w:pPr>
              <w:spacing w:line="240" w:lineRule="auto"/>
              <w:jc w:val="center"/>
              <w:rPr>
                <w:rFonts w:ascii="Arial" w:hAnsi="Arial" w:cs="Arial"/>
                <w:snapToGrid w:val="0"/>
                <w:color w:val="000000"/>
                <w:sz w:val="20"/>
                <w:szCs w:val="20"/>
              </w:rPr>
            </w:pPr>
          </w:p>
        </w:tc>
        <w:tc>
          <w:tcPr>
            <w:tcW w:w="1619"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AST</w:t>
            </w:r>
          </w:p>
        </w:tc>
        <w:tc>
          <w:tcPr>
            <w:tcW w:w="1620"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ALT</w:t>
            </w:r>
          </w:p>
        </w:tc>
        <w:tc>
          <w:tcPr>
            <w:tcW w:w="1782"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ALP</w:t>
            </w:r>
          </w:p>
        </w:tc>
        <w:tc>
          <w:tcPr>
            <w:tcW w:w="1615"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Creatinine</w:t>
            </w:r>
          </w:p>
        </w:tc>
      </w:tr>
      <w:tr w:rsidR="00732C73">
        <w:trPr>
          <w:cantSplit/>
          <w:trHeight w:val="623"/>
          <w:jc w:val="center"/>
        </w:trPr>
        <w:tc>
          <w:tcPr>
            <w:tcW w:w="1418" w:type="dxa"/>
            <w:vMerge w:val="restart"/>
            <w:tcBorders>
              <w:top w:val="single" w:sz="4" w:space="0" w:color="auto"/>
            </w:tcBorders>
            <w:vAlign w:val="center"/>
          </w:tcPr>
          <w:p w:rsidR="00732C73" w:rsidRDefault="00F20A72">
            <w:pPr>
              <w:spacing w:line="240" w:lineRule="auto"/>
              <w:rPr>
                <w:rFonts w:ascii="Arial" w:hAnsi="Arial" w:cs="Arial"/>
                <w:snapToGrid w:val="0"/>
                <w:color w:val="000000"/>
                <w:sz w:val="20"/>
                <w:szCs w:val="20"/>
              </w:rPr>
            </w:pPr>
            <w:r>
              <w:rPr>
                <w:rFonts w:ascii="Arial" w:hAnsi="Arial" w:cs="Arial"/>
                <w:snapToGrid w:val="0"/>
                <w:color w:val="000000"/>
                <w:sz w:val="20"/>
                <w:szCs w:val="20"/>
              </w:rPr>
              <w:t>2000mg/kg</w:t>
            </w:r>
          </w:p>
        </w:tc>
        <w:tc>
          <w:tcPr>
            <w:tcW w:w="1104" w:type="dxa"/>
            <w:tcBorders>
              <w:top w:val="single" w:sz="4" w:space="0" w:color="auto"/>
            </w:tcBorders>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1</w:t>
            </w:r>
          </w:p>
        </w:tc>
        <w:tc>
          <w:tcPr>
            <w:tcW w:w="1619"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62.79</w:t>
            </w:r>
          </w:p>
        </w:tc>
        <w:tc>
          <w:tcPr>
            <w:tcW w:w="1620"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26.09</w:t>
            </w:r>
          </w:p>
        </w:tc>
        <w:tc>
          <w:tcPr>
            <w:tcW w:w="1782"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82.06</w:t>
            </w:r>
          </w:p>
        </w:tc>
        <w:tc>
          <w:tcPr>
            <w:tcW w:w="1615" w:type="dxa"/>
            <w:tcBorders>
              <w:top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0.55</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2</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40.52</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20.11</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79.25</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0.51</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bCs/>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3</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56.60</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27.43</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67.44</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0.57</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bCs/>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4</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47.92</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22.70</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86.32</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0.46</w:t>
            </w:r>
          </w:p>
        </w:tc>
      </w:tr>
      <w:tr w:rsidR="00732C73">
        <w:trPr>
          <w:cantSplit/>
          <w:trHeight w:val="623"/>
          <w:jc w:val="center"/>
        </w:trPr>
        <w:tc>
          <w:tcPr>
            <w:tcW w:w="1418" w:type="dxa"/>
            <w:tcBorders>
              <w:bottom w:val="single" w:sz="4" w:space="0" w:color="auto"/>
            </w:tcBorders>
            <w:vAlign w:val="center"/>
          </w:tcPr>
          <w:p w:rsidR="00732C73" w:rsidRDefault="00732C73">
            <w:pPr>
              <w:spacing w:line="240" w:lineRule="auto"/>
              <w:jc w:val="center"/>
              <w:rPr>
                <w:rFonts w:ascii="Arial" w:hAnsi="Arial" w:cs="Arial"/>
                <w:bCs/>
                <w:snapToGrid w:val="0"/>
                <w:color w:val="000000"/>
                <w:sz w:val="20"/>
                <w:szCs w:val="20"/>
              </w:rPr>
            </w:pPr>
          </w:p>
        </w:tc>
        <w:tc>
          <w:tcPr>
            <w:tcW w:w="1104" w:type="dxa"/>
            <w:tcBorders>
              <w:bottom w:val="single" w:sz="4" w:space="0" w:color="auto"/>
            </w:tcBorders>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Total</w:t>
            </w:r>
          </w:p>
        </w:tc>
        <w:tc>
          <w:tcPr>
            <w:tcW w:w="1619" w:type="dxa"/>
            <w:tcBorders>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51.95</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4.88</w:t>
            </w:r>
          </w:p>
        </w:tc>
        <w:tc>
          <w:tcPr>
            <w:tcW w:w="1620" w:type="dxa"/>
            <w:tcBorders>
              <w:bottom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eastAsia="Times New Roman" w:hAnsi="Arial" w:cs="Arial"/>
                <w:color w:val="000000"/>
                <w:sz w:val="20"/>
                <w:szCs w:val="20"/>
              </w:rPr>
              <w:t>24.08</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1.65</w:t>
            </w:r>
          </w:p>
        </w:tc>
        <w:tc>
          <w:tcPr>
            <w:tcW w:w="1782" w:type="dxa"/>
            <w:tcBorders>
              <w:bottom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eastAsia="Times New Roman" w:hAnsi="Arial" w:cs="Arial"/>
                <w:color w:val="000000"/>
                <w:sz w:val="20"/>
                <w:szCs w:val="20"/>
              </w:rPr>
              <w:t>78.76</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4.04</w:t>
            </w:r>
          </w:p>
        </w:tc>
        <w:tc>
          <w:tcPr>
            <w:tcW w:w="1615" w:type="dxa"/>
            <w:tcBorders>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0.52</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0.02</w:t>
            </w:r>
          </w:p>
        </w:tc>
      </w:tr>
    </w:tbl>
    <w:p w:rsidR="00732C73" w:rsidRDefault="00F20A72">
      <w:pPr>
        <w:pStyle w:val="BodyText2"/>
        <w:rPr>
          <w:rFonts w:ascii="Arial" w:hAnsi="Arial" w:cs="Arial"/>
          <w:snapToGrid w:val="0"/>
          <w:sz w:val="18"/>
          <w:szCs w:val="18"/>
        </w:rPr>
      </w:pPr>
      <w:r>
        <w:rPr>
          <w:rFonts w:ascii="Arial" w:hAnsi="Arial" w:cs="Arial"/>
          <w:color w:val="000000" w:themeColor="text1"/>
          <w:sz w:val="18"/>
          <w:szCs w:val="18"/>
        </w:rPr>
        <w:t>Rat No. 1, 2 3 and</w:t>
      </w:r>
      <w:r>
        <w:rPr>
          <w:rFonts w:ascii="Arial" w:hAnsi="Arial" w:cs="Arial"/>
          <w:snapToGrid w:val="0"/>
          <w:color w:val="000000" w:themeColor="text1"/>
          <w:sz w:val="18"/>
          <w:szCs w:val="18"/>
        </w:rPr>
        <w:t xml:space="preserve"> 4 </w:t>
      </w:r>
      <w:r>
        <w:rPr>
          <w:rFonts w:ascii="Arial" w:hAnsi="Arial" w:cs="Arial"/>
          <w:color w:val="000000" w:themeColor="text1"/>
          <w:sz w:val="18"/>
          <w:szCs w:val="18"/>
        </w:rPr>
        <w:t>are</w:t>
      </w:r>
      <w:r>
        <w:rPr>
          <w:rFonts w:ascii="Arial" w:hAnsi="Arial" w:cs="Arial"/>
          <w:snapToGrid w:val="0"/>
          <w:color w:val="000000" w:themeColor="text1"/>
          <w:sz w:val="18"/>
          <w:szCs w:val="18"/>
        </w:rPr>
        <w:t xml:space="preserve"> from main test group III, Total values are expressed </w:t>
      </w:r>
      <w:r>
        <w:rPr>
          <w:rFonts w:ascii="Arial" w:hAnsi="Arial" w:cs="Arial"/>
          <w:snapToGrid w:val="0"/>
          <w:sz w:val="18"/>
          <w:szCs w:val="18"/>
        </w:rPr>
        <w:t xml:space="preserve">as </w:t>
      </w:r>
      <w:proofErr w:type="spellStart"/>
      <w:r>
        <w:rPr>
          <w:rFonts w:ascii="Arial" w:hAnsi="Arial" w:cs="Arial"/>
          <w:snapToGrid w:val="0"/>
          <w:sz w:val="18"/>
          <w:szCs w:val="18"/>
        </w:rPr>
        <w:t>Mean±SE</w:t>
      </w:r>
      <w:proofErr w:type="spellEnd"/>
      <w:r>
        <w:rPr>
          <w:rFonts w:ascii="Arial" w:hAnsi="Arial" w:cs="Arial"/>
          <w:snapToGrid w:val="0"/>
          <w:sz w:val="18"/>
          <w:szCs w:val="18"/>
        </w:rPr>
        <w:t xml:space="preserve"> (standard error)</w:t>
      </w:r>
    </w:p>
    <w:p w:rsidR="00732C73" w:rsidRDefault="00732C73">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732C73" w:rsidRDefault="00F20A72">
      <w:pPr>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146685</wp:posOffset>
            </wp:positionV>
            <wp:extent cx="2780030" cy="2164080"/>
            <wp:effectExtent l="19050" t="0" r="1270" b="0"/>
            <wp:wrapSquare wrapText="bothSides"/>
            <wp:docPr id="1646754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38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80030" cy="2164080"/>
                    </a:xfrm>
                    <a:prstGeom prst="rect">
                      <a:avLst/>
                    </a:prstGeom>
                    <a:noFill/>
                  </pic:spPr>
                </pic:pic>
              </a:graphicData>
            </a:graphic>
          </wp:anchor>
        </w:drawing>
      </w:r>
    </w:p>
    <w:p w:rsidR="00732C73" w:rsidRDefault="00DF3C2D">
      <w:pPr>
        <w:rPr>
          <w:rFonts w:ascii="Arial" w:hAnsi="Arial" w:cs="Arial"/>
          <w:color w:val="000000" w:themeColor="text1"/>
          <w:sz w:val="20"/>
          <w:szCs w:val="20"/>
        </w:rPr>
      </w:pPr>
      <w:r>
        <w:rPr>
          <w:rFonts w:ascii="Arial" w:hAnsi="Arial" w:cs="Arial"/>
          <w:sz w:val="20"/>
          <w:szCs w:val="20"/>
          <w:lang w:bidi="mr-IN"/>
        </w:rPr>
        <w:pict>
          <v:shapetype id="_x0000_t202" coordsize="21600,21600" o:spt="202" path="m,l,21600r21600,l21600,xe">
            <v:stroke joinstyle="miter"/>
            <v:path gradientshapeok="t" o:connecttype="rect"/>
          </v:shapetype>
          <v:shape id="_x0000_s1034" type="#_x0000_t202" style="position:absolute;margin-left:229.45pt;margin-top:148.55pt;width:19.8pt;height:19.8pt;z-index:251661312" filled="f" stroked="f">
            <v:textbox>
              <w:txbxContent>
                <w:p w:rsidR="00732C73" w:rsidRDefault="00F20A72">
                  <w:pPr>
                    <w:rPr>
                      <w:b/>
                      <w:bCs/>
                    </w:rPr>
                  </w:pPr>
                  <w:r>
                    <w:rPr>
                      <w:b/>
                      <w:bCs/>
                    </w:rPr>
                    <w:t>B</w:t>
                  </w:r>
                </w:p>
              </w:txbxContent>
            </v:textbox>
          </v:shape>
        </w:pict>
      </w:r>
      <w:r>
        <w:rPr>
          <w:rFonts w:ascii="Arial" w:hAnsi="Arial" w:cs="Arial"/>
          <w:color w:val="000000" w:themeColor="text1"/>
          <w:sz w:val="20"/>
          <w:szCs w:val="20"/>
          <w:lang w:bidi="mr-IN"/>
        </w:rPr>
        <w:pict>
          <v:shape id="_x0000_s1033" type="#_x0000_t202" style="position:absolute;margin-left:2.4pt;margin-top:148.55pt;width:19.8pt;height:19.8pt;z-index:251660288" filled="f" stroked="f">
            <v:textbox>
              <w:txbxContent>
                <w:p w:rsidR="00732C73" w:rsidRDefault="00F20A72">
                  <w:pPr>
                    <w:rPr>
                      <w:b/>
                      <w:bCs/>
                    </w:rPr>
                  </w:pPr>
                  <w:r>
                    <w:rPr>
                      <w:b/>
                      <w:bCs/>
                    </w:rPr>
                    <w:t>A</w:t>
                  </w:r>
                </w:p>
              </w:txbxContent>
            </v:textbox>
          </v:shape>
        </w:pict>
      </w:r>
      <w:r w:rsidR="00F20A72">
        <w:rPr>
          <w:rFonts w:ascii="Arial" w:hAnsi="Arial" w:cs="Arial"/>
          <w:noProof/>
          <w:sz w:val="20"/>
          <w:szCs w:val="20"/>
          <w:lang w:val="en-IN" w:eastAsia="en-IN"/>
        </w:rPr>
        <w:drawing>
          <wp:inline distT="0" distB="0" distL="0" distR="0">
            <wp:extent cx="2806700" cy="2139950"/>
            <wp:effectExtent l="19050" t="0" r="0" b="0"/>
            <wp:docPr id="23" name="Picture 11" descr="G:\Hajre SIr Toxicity Trial\Heart\G10B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G:\Hajre SIr Toxicity Trial\Heart\G10B 10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06700" cy="2139950"/>
                    </a:xfrm>
                    <a:prstGeom prst="rect">
                      <a:avLst/>
                    </a:prstGeom>
                    <a:noFill/>
                    <a:ln w="9525">
                      <a:noFill/>
                      <a:miter lim="800000"/>
                      <a:headEnd/>
                      <a:tailEnd/>
                    </a:ln>
                  </pic:spPr>
                </pic:pic>
              </a:graphicData>
            </a:graphic>
          </wp:inline>
        </w:drawing>
      </w:r>
    </w:p>
    <w:p w:rsidR="00732C73" w:rsidRDefault="00732C73">
      <w:pPr>
        <w:rPr>
          <w:rFonts w:ascii="Arial" w:hAnsi="Arial" w:cs="Arial"/>
          <w:color w:val="000000" w:themeColor="text1"/>
          <w:sz w:val="20"/>
          <w:szCs w:val="20"/>
        </w:rPr>
      </w:pPr>
    </w:p>
    <w:p w:rsidR="00732C73" w:rsidRDefault="00DF3C2D">
      <w:pPr>
        <w:rPr>
          <w:rFonts w:ascii="Arial" w:hAnsi="Arial" w:cs="Arial"/>
          <w:color w:val="000000" w:themeColor="text1"/>
          <w:sz w:val="20"/>
          <w:szCs w:val="20"/>
        </w:rPr>
      </w:pPr>
      <w:r>
        <w:rPr>
          <w:rFonts w:ascii="Arial" w:hAnsi="Arial" w:cs="Arial"/>
          <w:color w:val="000000" w:themeColor="text1"/>
          <w:sz w:val="20"/>
          <w:szCs w:val="20"/>
          <w:lang w:bidi="mr-IN"/>
        </w:rPr>
        <w:pict>
          <v:shape id="_x0000_s1036" type="#_x0000_t202" style="position:absolute;margin-left:2.4pt;margin-top:143.65pt;width:34.2pt;height:31.8pt;z-index:251663360" filled="f" stroked="f">
            <v:textbox>
              <w:txbxContent>
                <w:p w:rsidR="00732C73" w:rsidRDefault="00F20A72">
                  <w:pPr>
                    <w:rPr>
                      <w:b/>
                      <w:bCs/>
                    </w:rPr>
                  </w:pPr>
                  <w:r>
                    <w:rPr>
                      <w:b/>
                      <w:bCs/>
                    </w:rPr>
                    <w:t>C</w:t>
                  </w:r>
                </w:p>
              </w:txbxContent>
            </v:textbox>
          </v:shape>
        </w:pict>
      </w:r>
      <w:r>
        <w:rPr>
          <w:rFonts w:ascii="Arial" w:hAnsi="Arial" w:cs="Arial"/>
          <w:color w:val="000000" w:themeColor="text1"/>
          <w:sz w:val="20"/>
          <w:szCs w:val="20"/>
          <w:lang w:bidi="mr-IN"/>
        </w:rPr>
        <w:pict>
          <v:shape id="_x0000_s1035" type="#_x0000_t202" style="position:absolute;margin-left:229.45pt;margin-top:146.65pt;width:19.8pt;height:27pt;z-index:251662336" filled="f" stroked="f">
            <v:textbox>
              <w:txbxContent>
                <w:p w:rsidR="00732C73" w:rsidRDefault="00F20A72">
                  <w:pPr>
                    <w:rPr>
                      <w:b/>
                      <w:bCs/>
                    </w:rPr>
                  </w:pPr>
                  <w:r>
                    <w:rPr>
                      <w:b/>
                      <w:bCs/>
                    </w:rPr>
                    <w:t>D</w:t>
                  </w:r>
                </w:p>
              </w:txbxContent>
            </v:textbox>
          </v:shape>
        </w:pict>
      </w:r>
      <w:r w:rsidR="00F20A72">
        <w:rPr>
          <w:rFonts w:ascii="Arial" w:hAnsi="Arial" w:cs="Arial"/>
          <w:noProof/>
          <w:color w:val="000000" w:themeColor="text1"/>
          <w:sz w:val="20"/>
          <w:szCs w:val="20"/>
          <w:lang w:val="en-IN" w:eastAsia="en-IN"/>
        </w:rPr>
        <w:drawing>
          <wp:inline distT="0" distB="0" distL="0" distR="0">
            <wp:extent cx="2799715" cy="2095500"/>
            <wp:effectExtent l="19050" t="0" r="47" b="0"/>
            <wp:docPr id="51" name="Picture 22" descr="D:\Ayurvet-21\Hajre SIr Toxicity Trial\Liver\G10H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D:\Ayurvet-21\Hajre SIr Toxicity Trial\Liver\G10H 100X.jpg"/>
                    <pic:cNvPicPr>
                      <a:picLocks noChangeAspect="1" noChangeArrowheads="1"/>
                    </pic:cNvPicPr>
                  </pic:nvPicPr>
                  <pic:blipFill>
                    <a:blip r:embed="rId12" cstate="print"/>
                    <a:srcRect/>
                    <a:stretch>
                      <a:fillRect/>
                    </a:stretch>
                  </pic:blipFill>
                  <pic:spPr>
                    <a:xfrm>
                      <a:off x="0" y="0"/>
                      <a:ext cx="2800350" cy="2095535"/>
                    </a:xfrm>
                    <a:prstGeom prst="rect">
                      <a:avLst/>
                    </a:prstGeom>
                    <a:noFill/>
                    <a:ln w="9525">
                      <a:noFill/>
                      <a:miter lim="800000"/>
                      <a:headEnd/>
                      <a:tailEnd/>
                    </a:ln>
                  </pic:spPr>
                </pic:pic>
              </a:graphicData>
            </a:graphic>
          </wp:inline>
        </w:drawing>
      </w:r>
      <w:r w:rsidR="00F20A72">
        <w:rPr>
          <w:rFonts w:ascii="Arial" w:hAnsi="Arial" w:cs="Arial"/>
          <w:color w:val="000000" w:themeColor="text1"/>
          <w:sz w:val="20"/>
          <w:szCs w:val="20"/>
        </w:rPr>
        <w:t>..</w:t>
      </w:r>
      <w:r w:rsidR="00F20A72">
        <w:rPr>
          <w:rFonts w:ascii="Arial" w:hAnsi="Arial" w:cs="Arial"/>
          <w:noProof/>
          <w:color w:val="000000" w:themeColor="text1"/>
          <w:sz w:val="20"/>
          <w:szCs w:val="20"/>
          <w:lang w:val="en-IN" w:eastAsia="en-IN"/>
        </w:rPr>
        <w:drawing>
          <wp:inline distT="0" distB="0" distL="0" distR="0">
            <wp:extent cx="2714625" cy="2095500"/>
            <wp:effectExtent l="19050" t="0" r="9525" b="0"/>
            <wp:docPr id="53" name="Picture 24" descr="D:\Ayurvet-21\Hajre SIr Toxicity Trial\lung\G10B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descr="D:\Ayurvet-21\Hajre SIr Toxicity Trial\lung\G10B 100X.jpg"/>
                    <pic:cNvPicPr>
                      <a:picLocks noChangeAspect="1" noChangeArrowheads="1"/>
                    </pic:cNvPicPr>
                  </pic:nvPicPr>
                  <pic:blipFill>
                    <a:blip r:embed="rId13" cstate="print"/>
                    <a:srcRect/>
                    <a:stretch>
                      <a:fillRect/>
                    </a:stretch>
                  </pic:blipFill>
                  <pic:spPr>
                    <a:xfrm>
                      <a:off x="0" y="0"/>
                      <a:ext cx="2717800" cy="2097951"/>
                    </a:xfrm>
                    <a:prstGeom prst="rect">
                      <a:avLst/>
                    </a:prstGeom>
                    <a:noFill/>
                    <a:ln w="9525">
                      <a:noFill/>
                      <a:miter lim="800000"/>
                      <a:headEnd/>
                      <a:tailEnd/>
                    </a:ln>
                  </pic:spPr>
                </pic:pic>
              </a:graphicData>
            </a:graphic>
          </wp:inline>
        </w:drawing>
      </w:r>
    </w:p>
    <w:p w:rsidR="00732C73" w:rsidRDefault="00F20A72">
      <w:pPr>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Fig 1 Histopathological observations of tissue sections showing normal histoarchitecture of Heart (A), Kidney(B), Liver(C) and Lung (D)from group III rats received </w:t>
      </w:r>
      <w:proofErr w:type="spellStart"/>
      <w:r>
        <w:rPr>
          <w:rFonts w:ascii="Arial" w:hAnsi="Arial" w:cs="Arial"/>
          <w:b/>
          <w:bCs/>
          <w:color w:val="000000" w:themeColor="text1"/>
          <w:sz w:val="20"/>
          <w:szCs w:val="20"/>
        </w:rPr>
        <w:t>XlivPro</w:t>
      </w:r>
      <w:proofErr w:type="spellEnd"/>
      <w:r>
        <w:rPr>
          <w:rFonts w:ascii="Arial" w:hAnsi="Arial" w:cs="Arial"/>
          <w:b/>
          <w:bCs/>
          <w:color w:val="000000" w:themeColor="text1"/>
          <w:sz w:val="20"/>
          <w:szCs w:val="20"/>
        </w:rPr>
        <w:t xml:space="preserve"> Premix </w:t>
      </w:r>
      <w:r>
        <w:rPr>
          <w:rFonts w:ascii="Arial" w:eastAsia="Times New Roman" w:hAnsi="Arial" w:cs="Arial"/>
          <w:b/>
          <w:bCs/>
          <w:color w:val="000000" w:themeColor="text1"/>
          <w:sz w:val="20"/>
          <w:szCs w:val="20"/>
        </w:rPr>
        <w:t>formulation @2000mg/kg BW</w:t>
      </w:r>
    </w:p>
    <w:p w:rsidR="00732C73" w:rsidRDefault="00732C73">
      <w:pPr>
        <w:rPr>
          <w:rFonts w:ascii="Arial" w:eastAsia="Times New Roman" w:hAnsi="Arial" w:cs="Arial"/>
          <w:b/>
          <w:bCs/>
          <w:color w:val="000000" w:themeColor="text1"/>
          <w:sz w:val="20"/>
          <w:szCs w:val="20"/>
        </w:rPr>
      </w:pPr>
    </w:p>
    <w:p w:rsidR="00732C73" w:rsidRDefault="00732C73">
      <w:pPr>
        <w:rPr>
          <w:rFonts w:ascii="Arial" w:eastAsia="Times New Roman" w:hAnsi="Arial" w:cs="Arial"/>
          <w:b/>
          <w:bCs/>
          <w:color w:val="000000" w:themeColor="text1"/>
          <w:sz w:val="20"/>
          <w:szCs w:val="20"/>
        </w:rPr>
      </w:pPr>
    </w:p>
    <w:p w:rsidR="00732C73" w:rsidRDefault="00F20A72">
      <w:pPr>
        <w:rPr>
          <w:rFonts w:ascii="Arial" w:hAnsi="Arial" w:cs="Arial"/>
          <w:b/>
        </w:rPr>
      </w:pPr>
      <w:r>
        <w:rPr>
          <w:rFonts w:ascii="Arial" w:hAnsi="Arial" w:cs="Arial"/>
          <w:b/>
        </w:rPr>
        <w:t xml:space="preserve">4. </w:t>
      </w:r>
      <w:commentRangeStart w:id="4"/>
      <w:r>
        <w:rPr>
          <w:rFonts w:ascii="Arial" w:hAnsi="Arial" w:cs="Arial"/>
          <w:b/>
        </w:rPr>
        <w:t>CONCLUSION:</w:t>
      </w:r>
      <w:commentRangeEnd w:id="4"/>
      <w:r w:rsidR="00E12DC3">
        <w:rPr>
          <w:rStyle w:val="CommentReference"/>
        </w:rPr>
        <w:commentReference w:id="4"/>
      </w:r>
    </w:p>
    <w:p w:rsidR="00732C73" w:rsidRDefault="00732C73">
      <w:pPr>
        <w:rPr>
          <w:rFonts w:ascii="Arial" w:hAnsi="Arial" w:cs="Arial"/>
          <w:b/>
        </w:rPr>
      </w:pPr>
    </w:p>
    <w:p w:rsidR="00732C73" w:rsidRDefault="00F20A72">
      <w:pPr>
        <w:spacing w:line="360" w:lineRule="auto"/>
        <w:jc w:val="both"/>
        <w:rPr>
          <w:rFonts w:ascii="Arial" w:hAnsi="Arial"/>
          <w:sz w:val="20"/>
          <w:szCs w:val="18"/>
          <w:lang w:bidi="mr-IN"/>
        </w:rPr>
      </w:pPr>
      <w:r>
        <w:rPr>
          <w:rFonts w:ascii="Arial" w:hAnsi="Arial" w:cs="Arial"/>
          <w:sz w:val="20"/>
          <w:szCs w:val="20"/>
        </w:rPr>
        <w:t xml:space="preserve">The present study concludes that </w:t>
      </w:r>
      <w:proofErr w:type="spellStart"/>
      <w:r>
        <w:rPr>
          <w:rFonts w:ascii="Arial" w:hAnsi="Arial" w:cs="Arial"/>
          <w:sz w:val="20"/>
          <w:szCs w:val="20"/>
        </w:rPr>
        <w:t>Xlivpro</w:t>
      </w:r>
      <w:proofErr w:type="spellEnd"/>
      <w:r>
        <w:rPr>
          <w:rFonts w:ascii="Arial" w:hAnsi="Arial" w:cs="Arial"/>
          <w:sz w:val="20"/>
          <w:szCs w:val="20"/>
        </w:rPr>
        <w:t xml:space="preserve"> Premix, a liver-protective herbal formulation intended for poultry, does not elicit any signs of acute toxicity, behavioral abnormalities, or mortality when administered orally at a limit dose of 2000 mg/kg body weight in Wistar rats. The absence of clinical signs, gross pathological lesions, and mortality strongly indicates a wide margin of safety of product. Based on these findings, </w:t>
      </w:r>
      <w:proofErr w:type="spellStart"/>
      <w:r>
        <w:rPr>
          <w:rFonts w:ascii="Arial" w:hAnsi="Arial" w:cs="Arial"/>
          <w:sz w:val="20"/>
          <w:szCs w:val="20"/>
        </w:rPr>
        <w:t>Xlivpro</w:t>
      </w:r>
      <w:proofErr w:type="spellEnd"/>
      <w:r>
        <w:rPr>
          <w:rFonts w:ascii="Arial" w:hAnsi="Arial" w:cs="Arial"/>
          <w:sz w:val="20"/>
          <w:szCs w:val="20"/>
        </w:rPr>
        <w:t xml:space="preserve"> Premix can be considered non-toxic under acute oral exposure conditions, supporting its safe use as an oral feed supplement in poultry.</w:t>
      </w:r>
    </w:p>
    <w:p w:rsidR="00732C73" w:rsidRDefault="00732C73">
      <w:pPr>
        <w:spacing w:line="360" w:lineRule="auto"/>
        <w:jc w:val="both"/>
        <w:rPr>
          <w:rFonts w:ascii="Arial" w:hAnsi="Arial"/>
          <w:sz w:val="20"/>
          <w:szCs w:val="18"/>
          <w:lang w:bidi="mr-IN"/>
        </w:rPr>
      </w:pPr>
    </w:p>
    <w:p w:rsidR="006035D1" w:rsidRDefault="006035D1">
      <w:pPr>
        <w:spacing w:line="360" w:lineRule="auto"/>
        <w:jc w:val="both"/>
        <w:rPr>
          <w:rFonts w:ascii="Arial" w:hAnsi="Arial" w:cs="Arial"/>
          <w:b/>
          <w:bCs/>
          <w:color w:val="000000" w:themeColor="text1"/>
        </w:rPr>
      </w:pPr>
    </w:p>
    <w:p w:rsidR="00732C73" w:rsidRDefault="00F20A72">
      <w:pPr>
        <w:spacing w:line="360" w:lineRule="auto"/>
        <w:jc w:val="both"/>
        <w:rPr>
          <w:rFonts w:ascii="Arial" w:hAnsi="Arial" w:cs="Arial"/>
          <w:b/>
          <w:bCs/>
          <w:color w:val="000000" w:themeColor="text1"/>
        </w:rPr>
      </w:pPr>
      <w:r>
        <w:rPr>
          <w:rFonts w:ascii="Arial" w:hAnsi="Arial" w:cs="Arial"/>
          <w:b/>
          <w:bCs/>
          <w:color w:val="000000" w:themeColor="text1"/>
        </w:rPr>
        <w:t>DISCLAIMER (ARTIFICIAL INTELLIGENCE)</w:t>
      </w:r>
    </w:p>
    <w:p w:rsidR="00732C73" w:rsidRDefault="00F20A72">
      <w:pPr>
        <w:spacing w:line="360" w:lineRule="auto"/>
        <w:jc w:val="both"/>
        <w:rPr>
          <w:rFonts w:ascii="Arial" w:hAnsi="Arial" w:cs="Arial"/>
          <w:sz w:val="20"/>
          <w:szCs w:val="20"/>
        </w:rPr>
      </w:pPr>
      <w:r>
        <w:rPr>
          <w:rFonts w:ascii="Arial" w:hAnsi="Arial" w:cs="Arial"/>
          <w:sz w:val="20"/>
          <w:szCs w:val="20"/>
        </w:rPr>
        <w:lastRenderedPageBreak/>
        <w:t>Author(s) hereby declares that no generative AI technologies such as Large Language Models (</w:t>
      </w:r>
      <w:proofErr w:type="spellStart"/>
      <w:r>
        <w:rPr>
          <w:rFonts w:ascii="Arial" w:hAnsi="Arial" w:cs="Arial"/>
          <w:sz w:val="20"/>
          <w:szCs w:val="20"/>
        </w:rPr>
        <w:t>ChatGPT</w:t>
      </w:r>
      <w:proofErr w:type="gramStart"/>
      <w:r>
        <w:rPr>
          <w:rFonts w:ascii="Arial" w:hAnsi="Arial" w:cs="Arial"/>
          <w:sz w:val="20"/>
          <w:szCs w:val="20"/>
        </w:rPr>
        <w:t>,COPILOT</w:t>
      </w:r>
      <w:proofErr w:type="spellEnd"/>
      <w:proofErr w:type="gramEnd"/>
      <w:r>
        <w:rPr>
          <w:rFonts w:ascii="Arial" w:hAnsi="Arial" w:cs="Arial"/>
          <w:sz w:val="20"/>
          <w:szCs w:val="20"/>
        </w:rPr>
        <w:t>, etc.)   and text-to-image generators have been used during the writing or editing of this manuscript.</w:t>
      </w:r>
    </w:p>
    <w:p w:rsidR="00732C73" w:rsidRDefault="00F20A72">
      <w:pPr>
        <w:pStyle w:val="BodyText2"/>
        <w:spacing w:before="240" w:after="240"/>
        <w:rPr>
          <w:rFonts w:ascii="Arial" w:hAnsi="Arial" w:cs="Arial"/>
          <w:b/>
          <w:sz w:val="22"/>
          <w:szCs w:val="22"/>
        </w:rPr>
      </w:pPr>
      <w:r>
        <w:rPr>
          <w:rFonts w:ascii="Arial" w:hAnsi="Arial" w:cs="Arial"/>
          <w:b/>
          <w:sz w:val="22"/>
          <w:szCs w:val="22"/>
        </w:rPr>
        <w:t>REFERENCES</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Abbas, R.Z., Iqbal, Z., Khan, M.N., Zafar, M.A. and Zia, M.A. 2010. Anticoccidial activity of Curcuma longa L. in broilers. Brazilian Archives of Biology and Technology, 53: 63-67.</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Babazadeh</w:t>
      </w:r>
      <w:proofErr w:type="spellEnd"/>
      <w:r>
        <w:rPr>
          <w:rFonts w:ascii="Arial" w:hAnsi="Arial" w:cs="Arial"/>
          <w:sz w:val="20"/>
          <w:szCs w:val="20"/>
        </w:rPr>
        <w:t xml:space="preserve">, D., </w:t>
      </w:r>
      <w:proofErr w:type="spellStart"/>
      <w:r>
        <w:rPr>
          <w:rFonts w:ascii="Arial" w:hAnsi="Arial" w:cs="Arial"/>
          <w:sz w:val="20"/>
          <w:szCs w:val="20"/>
        </w:rPr>
        <w:t>Vahdatpour</w:t>
      </w:r>
      <w:proofErr w:type="spellEnd"/>
      <w:r>
        <w:rPr>
          <w:rFonts w:ascii="Arial" w:hAnsi="Arial" w:cs="Arial"/>
          <w:sz w:val="20"/>
          <w:szCs w:val="20"/>
        </w:rPr>
        <w:t xml:space="preserve">, T., </w:t>
      </w:r>
      <w:proofErr w:type="spellStart"/>
      <w:r>
        <w:rPr>
          <w:rFonts w:ascii="Arial" w:hAnsi="Arial" w:cs="Arial"/>
          <w:sz w:val="20"/>
          <w:szCs w:val="20"/>
        </w:rPr>
        <w:t>Nikpiran</w:t>
      </w:r>
      <w:proofErr w:type="spellEnd"/>
      <w:r>
        <w:rPr>
          <w:rFonts w:ascii="Arial" w:hAnsi="Arial" w:cs="Arial"/>
          <w:sz w:val="20"/>
          <w:szCs w:val="20"/>
        </w:rPr>
        <w:t xml:space="preserve">, H., </w:t>
      </w:r>
      <w:proofErr w:type="spellStart"/>
      <w:r>
        <w:rPr>
          <w:rFonts w:ascii="Arial" w:hAnsi="Arial" w:cs="Arial"/>
          <w:sz w:val="20"/>
          <w:szCs w:val="20"/>
        </w:rPr>
        <w:t>Jafargholipour</w:t>
      </w:r>
      <w:proofErr w:type="spellEnd"/>
      <w:r>
        <w:rPr>
          <w:rFonts w:ascii="Arial" w:hAnsi="Arial" w:cs="Arial"/>
          <w:sz w:val="20"/>
          <w:szCs w:val="20"/>
        </w:rPr>
        <w:t>, M. A., &amp;</w:t>
      </w:r>
      <w:proofErr w:type="spellStart"/>
      <w:r>
        <w:rPr>
          <w:rFonts w:ascii="Arial" w:hAnsi="Arial" w:cs="Arial"/>
          <w:sz w:val="20"/>
          <w:szCs w:val="20"/>
        </w:rPr>
        <w:t>Vahdatpour</w:t>
      </w:r>
      <w:proofErr w:type="spellEnd"/>
      <w:r>
        <w:rPr>
          <w:rFonts w:ascii="Arial" w:hAnsi="Arial" w:cs="Arial"/>
          <w:sz w:val="20"/>
          <w:szCs w:val="20"/>
        </w:rPr>
        <w:t xml:space="preserve">, S. (2011). Effects of probiotic, prebiotic and </w:t>
      </w:r>
      <w:proofErr w:type="spellStart"/>
      <w:r>
        <w:rPr>
          <w:rFonts w:ascii="Arial" w:hAnsi="Arial" w:cs="Arial"/>
          <w:sz w:val="20"/>
          <w:szCs w:val="20"/>
        </w:rPr>
        <w:t>synbiotic</w:t>
      </w:r>
      <w:proofErr w:type="spellEnd"/>
      <w:r>
        <w:rPr>
          <w:rFonts w:ascii="Arial" w:hAnsi="Arial" w:cs="Arial"/>
          <w:sz w:val="20"/>
          <w:szCs w:val="20"/>
        </w:rPr>
        <w:t xml:space="preserve"> intake on blood enzymes and performance of Japanese quails (Coturnix japonica). </w:t>
      </w:r>
      <w:r>
        <w:rPr>
          <w:rFonts w:ascii="Arial" w:hAnsi="Arial" w:cs="Arial"/>
          <w:i/>
          <w:iCs/>
          <w:sz w:val="20"/>
          <w:szCs w:val="20"/>
        </w:rPr>
        <w:t>The Indian Journal of Animal Sciences</w:t>
      </w:r>
      <w:r>
        <w:rPr>
          <w:rFonts w:ascii="Arial" w:hAnsi="Arial" w:cs="Arial"/>
          <w:sz w:val="20"/>
          <w:szCs w:val="20"/>
        </w:rPr>
        <w:t>, </w:t>
      </w:r>
      <w:r>
        <w:rPr>
          <w:rFonts w:ascii="Arial" w:hAnsi="Arial" w:cs="Arial"/>
          <w:i/>
          <w:iCs/>
          <w:sz w:val="20"/>
          <w:szCs w:val="20"/>
        </w:rPr>
        <w:t>81</w:t>
      </w:r>
      <w:r>
        <w:rPr>
          <w:rFonts w:ascii="Arial" w:hAnsi="Arial" w:cs="Arial"/>
          <w:sz w:val="20"/>
          <w:szCs w:val="20"/>
        </w:rPr>
        <w:t>(8).</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Basic Animal Husbandry Statistics for the year 2023, published by the Department of Animal Husbandry and Dairying (DAHD), Government of India.https://dahd.gov.in/sites/default/files/2024-05/BAHS2023.pdf</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Chattopadhyay K., Mondal M.K. and Roy (2006). Comparative efficacy of DL methionine and herbal methionine on performance of chicken. Int. J. </w:t>
      </w:r>
      <w:proofErr w:type="spellStart"/>
      <w:r>
        <w:rPr>
          <w:rFonts w:ascii="Arial" w:hAnsi="Arial" w:cs="Arial"/>
          <w:sz w:val="20"/>
          <w:szCs w:val="20"/>
        </w:rPr>
        <w:t>Poult</w:t>
      </w:r>
      <w:proofErr w:type="spellEnd"/>
      <w:r>
        <w:rPr>
          <w:rFonts w:ascii="Arial" w:hAnsi="Arial" w:cs="Arial"/>
          <w:sz w:val="20"/>
          <w:szCs w:val="20"/>
        </w:rPr>
        <w:t>. Sci. 5:1034-1039</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Dhumal</w:t>
      </w:r>
      <w:proofErr w:type="spellEnd"/>
      <w:r>
        <w:rPr>
          <w:rFonts w:ascii="Arial" w:hAnsi="Arial" w:cs="Arial"/>
          <w:sz w:val="20"/>
          <w:szCs w:val="20"/>
        </w:rPr>
        <w:t xml:space="preserve">, M. V., </w:t>
      </w:r>
      <w:proofErr w:type="spellStart"/>
      <w:r>
        <w:rPr>
          <w:rFonts w:ascii="Arial" w:hAnsi="Arial" w:cs="Arial"/>
          <w:sz w:val="20"/>
          <w:szCs w:val="20"/>
        </w:rPr>
        <w:t>Nikam</w:t>
      </w:r>
      <w:proofErr w:type="spellEnd"/>
      <w:r>
        <w:rPr>
          <w:rFonts w:ascii="Arial" w:hAnsi="Arial" w:cs="Arial"/>
          <w:sz w:val="20"/>
          <w:szCs w:val="20"/>
        </w:rPr>
        <w:t xml:space="preserve">, M. G., </w:t>
      </w:r>
      <w:proofErr w:type="spellStart"/>
      <w:r>
        <w:rPr>
          <w:rFonts w:ascii="Arial" w:hAnsi="Arial" w:cs="Arial"/>
          <w:sz w:val="20"/>
          <w:szCs w:val="20"/>
        </w:rPr>
        <w:t>Nandedkar</w:t>
      </w:r>
      <w:proofErr w:type="spellEnd"/>
      <w:r>
        <w:rPr>
          <w:rFonts w:ascii="Arial" w:hAnsi="Arial" w:cs="Arial"/>
          <w:sz w:val="20"/>
          <w:szCs w:val="20"/>
        </w:rPr>
        <w:t xml:space="preserve">, P. V., </w:t>
      </w:r>
      <w:proofErr w:type="spellStart"/>
      <w:r>
        <w:rPr>
          <w:rFonts w:ascii="Arial" w:hAnsi="Arial" w:cs="Arial"/>
          <w:sz w:val="20"/>
          <w:szCs w:val="20"/>
        </w:rPr>
        <w:t>Majee</w:t>
      </w:r>
      <w:proofErr w:type="spellEnd"/>
      <w:r>
        <w:rPr>
          <w:rFonts w:ascii="Arial" w:hAnsi="Arial" w:cs="Arial"/>
          <w:sz w:val="20"/>
          <w:szCs w:val="20"/>
        </w:rPr>
        <w:t xml:space="preserve">, S. B., &amp; </w:t>
      </w:r>
      <w:proofErr w:type="spellStart"/>
      <w:r>
        <w:rPr>
          <w:rFonts w:ascii="Arial" w:hAnsi="Arial" w:cs="Arial"/>
          <w:sz w:val="20"/>
          <w:szCs w:val="20"/>
        </w:rPr>
        <w:t>Kotagiri</w:t>
      </w:r>
      <w:proofErr w:type="spellEnd"/>
      <w:r>
        <w:rPr>
          <w:rFonts w:ascii="Arial" w:hAnsi="Arial" w:cs="Arial"/>
          <w:sz w:val="20"/>
          <w:szCs w:val="20"/>
        </w:rPr>
        <w:t>, R. (2018). Efficacy of herbal liver tonic (</w:t>
      </w:r>
      <w:proofErr w:type="spellStart"/>
      <w:r>
        <w:rPr>
          <w:rFonts w:ascii="Arial" w:hAnsi="Arial" w:cs="Arial"/>
          <w:sz w:val="20"/>
          <w:szCs w:val="20"/>
        </w:rPr>
        <w:t>superliv</w:t>
      </w:r>
      <w:proofErr w:type="spellEnd"/>
      <w:r>
        <w:rPr>
          <w:rFonts w:ascii="Arial" w:hAnsi="Arial" w:cs="Arial"/>
          <w:sz w:val="20"/>
          <w:szCs w:val="20"/>
        </w:rPr>
        <w:t>) in improving growth performance, nutrient utilization, carcass traits and economics of broiler chicken. </w:t>
      </w:r>
      <w:r>
        <w:rPr>
          <w:rFonts w:ascii="Arial" w:hAnsi="Arial" w:cs="Arial"/>
          <w:i/>
          <w:iCs/>
          <w:sz w:val="20"/>
          <w:szCs w:val="20"/>
        </w:rPr>
        <w:t>International Journal of Livestock Research</w:t>
      </w:r>
      <w:r>
        <w:rPr>
          <w:rFonts w:ascii="Arial" w:hAnsi="Arial" w:cs="Arial"/>
          <w:sz w:val="20"/>
          <w:szCs w:val="20"/>
        </w:rPr>
        <w:t>, </w:t>
      </w:r>
      <w:r>
        <w:rPr>
          <w:rFonts w:ascii="Arial" w:hAnsi="Arial" w:cs="Arial"/>
          <w:i/>
          <w:iCs/>
          <w:sz w:val="20"/>
          <w:szCs w:val="20"/>
        </w:rPr>
        <w:t>8</w:t>
      </w:r>
      <w:r>
        <w:rPr>
          <w:rFonts w:ascii="Arial" w:hAnsi="Arial" w:cs="Arial"/>
          <w:sz w:val="20"/>
          <w:szCs w:val="20"/>
        </w:rPr>
        <w:t>(6), 266-278.</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Gong, J., Yin, F., Hou, Y., &amp; Yin, Y. (2014). Chinese herbs as alternatives to antibiotics in feed for swine and poultry production: potential and challenges in application. </w:t>
      </w:r>
      <w:r>
        <w:rPr>
          <w:rFonts w:ascii="Arial" w:hAnsi="Arial" w:cs="Arial"/>
          <w:i/>
          <w:iCs/>
          <w:sz w:val="20"/>
          <w:szCs w:val="20"/>
        </w:rPr>
        <w:t>Canadian Journal of Animal Science</w:t>
      </w:r>
      <w:r>
        <w:rPr>
          <w:rFonts w:ascii="Arial" w:hAnsi="Arial" w:cs="Arial"/>
          <w:sz w:val="20"/>
          <w:szCs w:val="20"/>
        </w:rPr>
        <w:t>, </w:t>
      </w:r>
      <w:r>
        <w:rPr>
          <w:rFonts w:ascii="Arial" w:hAnsi="Arial" w:cs="Arial"/>
          <w:i/>
          <w:iCs/>
          <w:sz w:val="20"/>
          <w:szCs w:val="20"/>
        </w:rPr>
        <w:t>94</w:t>
      </w:r>
      <w:r>
        <w:rPr>
          <w:rFonts w:ascii="Arial" w:hAnsi="Arial" w:cs="Arial"/>
          <w:sz w:val="20"/>
          <w:szCs w:val="20"/>
        </w:rPr>
        <w:t>(2), 223-241.</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Grashorn</w:t>
      </w:r>
      <w:proofErr w:type="spellEnd"/>
      <w:r>
        <w:rPr>
          <w:rFonts w:ascii="Arial" w:hAnsi="Arial" w:cs="Arial"/>
          <w:sz w:val="20"/>
          <w:szCs w:val="20"/>
        </w:rPr>
        <w:t xml:space="preserve">, M.A. 2010. Use of </w:t>
      </w:r>
      <w:proofErr w:type="spellStart"/>
      <w:r>
        <w:rPr>
          <w:rFonts w:ascii="Arial" w:hAnsi="Arial" w:cs="Arial"/>
          <w:sz w:val="20"/>
          <w:szCs w:val="20"/>
        </w:rPr>
        <w:t>phytobiotics</w:t>
      </w:r>
      <w:proofErr w:type="spellEnd"/>
      <w:r>
        <w:rPr>
          <w:rFonts w:ascii="Arial" w:hAnsi="Arial" w:cs="Arial"/>
          <w:sz w:val="20"/>
          <w:szCs w:val="20"/>
        </w:rPr>
        <w:t xml:space="preserve"> in broiler nutrition- An alternative to infeed antibiotics? Journal of Animal and Feed Sciences, 19: 338-47.</w:t>
      </w:r>
    </w:p>
    <w:p w:rsidR="00732C73" w:rsidRDefault="00F20A72">
      <w:pPr>
        <w:spacing w:line="360" w:lineRule="auto"/>
        <w:ind w:left="720" w:hanging="720"/>
        <w:jc w:val="both"/>
        <w:rPr>
          <w:rFonts w:ascii="Arial" w:hAnsi="Arial" w:cs="Arial"/>
          <w:color w:val="000000" w:themeColor="text1"/>
          <w:sz w:val="20"/>
          <w:szCs w:val="20"/>
        </w:rPr>
      </w:pPr>
      <w:proofErr w:type="spellStart"/>
      <w:r>
        <w:rPr>
          <w:rFonts w:ascii="Arial" w:hAnsi="Arial" w:cs="Arial"/>
          <w:color w:val="000000" w:themeColor="text1"/>
          <w:sz w:val="20"/>
          <w:szCs w:val="20"/>
        </w:rPr>
        <w:t>Hajare</w:t>
      </w:r>
      <w:proofErr w:type="spellEnd"/>
      <w:r>
        <w:rPr>
          <w:rFonts w:ascii="Arial" w:hAnsi="Arial" w:cs="Arial"/>
          <w:color w:val="000000" w:themeColor="text1"/>
          <w:sz w:val="20"/>
          <w:szCs w:val="20"/>
        </w:rPr>
        <w:t xml:space="preserve">, S., </w:t>
      </w:r>
      <w:proofErr w:type="spellStart"/>
      <w:r>
        <w:rPr>
          <w:rFonts w:ascii="Arial" w:hAnsi="Arial" w:cs="Arial"/>
          <w:color w:val="000000" w:themeColor="text1"/>
          <w:sz w:val="20"/>
          <w:szCs w:val="20"/>
        </w:rPr>
        <w:t>Ingole</w:t>
      </w:r>
      <w:proofErr w:type="spellEnd"/>
      <w:r>
        <w:rPr>
          <w:rFonts w:ascii="Arial" w:hAnsi="Arial" w:cs="Arial"/>
          <w:color w:val="000000" w:themeColor="text1"/>
          <w:sz w:val="20"/>
          <w:szCs w:val="20"/>
        </w:rPr>
        <w:t xml:space="preserve">, R. S., </w:t>
      </w:r>
      <w:proofErr w:type="spellStart"/>
      <w:r>
        <w:rPr>
          <w:rFonts w:ascii="Arial" w:hAnsi="Arial" w:cs="Arial"/>
          <w:color w:val="000000" w:themeColor="text1"/>
          <w:sz w:val="20"/>
          <w:szCs w:val="20"/>
        </w:rPr>
        <w:t>Kotagiri</w:t>
      </w:r>
      <w:proofErr w:type="spellEnd"/>
      <w:r>
        <w:rPr>
          <w:rFonts w:ascii="Arial" w:hAnsi="Arial" w:cs="Arial"/>
          <w:color w:val="000000" w:themeColor="text1"/>
          <w:sz w:val="20"/>
          <w:szCs w:val="20"/>
        </w:rPr>
        <w:t xml:space="preserve">, R., &amp; </w:t>
      </w:r>
      <w:proofErr w:type="spellStart"/>
      <w:r>
        <w:rPr>
          <w:rFonts w:ascii="Arial" w:hAnsi="Arial" w:cs="Arial"/>
          <w:color w:val="000000" w:themeColor="text1"/>
          <w:sz w:val="20"/>
          <w:szCs w:val="20"/>
        </w:rPr>
        <w:t>Ganguly</w:t>
      </w:r>
      <w:proofErr w:type="spellEnd"/>
      <w:r>
        <w:rPr>
          <w:rFonts w:ascii="Arial" w:hAnsi="Arial" w:cs="Arial"/>
          <w:color w:val="000000" w:themeColor="text1"/>
          <w:sz w:val="20"/>
          <w:szCs w:val="20"/>
        </w:rPr>
        <w:t>, B. (2020). Evaluation of acute oral toxicity of a polyherbal liver tonic for poultry. </w:t>
      </w:r>
      <w:r>
        <w:rPr>
          <w:rFonts w:ascii="Arial" w:hAnsi="Arial" w:cs="Arial"/>
          <w:i/>
          <w:iCs/>
          <w:color w:val="000000" w:themeColor="text1"/>
          <w:sz w:val="20"/>
          <w:szCs w:val="20"/>
        </w:rPr>
        <w:t>Biosciences Biotechnology Research Asia</w:t>
      </w:r>
      <w:r>
        <w:rPr>
          <w:rFonts w:ascii="Arial" w:hAnsi="Arial" w:cs="Arial"/>
          <w:color w:val="000000" w:themeColor="text1"/>
          <w:sz w:val="20"/>
          <w:szCs w:val="20"/>
        </w:rPr>
        <w:t>, </w:t>
      </w:r>
      <w:r>
        <w:rPr>
          <w:rFonts w:ascii="Arial" w:hAnsi="Arial" w:cs="Arial"/>
          <w:i/>
          <w:iCs/>
          <w:color w:val="000000" w:themeColor="text1"/>
          <w:sz w:val="20"/>
          <w:szCs w:val="20"/>
        </w:rPr>
        <w:t>17</w:t>
      </w:r>
      <w:r>
        <w:rPr>
          <w:rFonts w:ascii="Arial" w:hAnsi="Arial" w:cs="Arial"/>
          <w:color w:val="000000" w:themeColor="text1"/>
          <w:sz w:val="20"/>
          <w:szCs w:val="20"/>
        </w:rPr>
        <w:t>(1), 85.</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Kapoor LD. CRC Handbook of Ayurvedic Medicinal Plants. Boca Raton (FL): CRC Press. 1990.</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Mirza, M. W., &amp; Mukhtar, N. (2016). Use of organic acids as potential feed additives in poultry production. </w:t>
      </w:r>
      <w:r>
        <w:rPr>
          <w:rFonts w:ascii="Arial" w:hAnsi="Arial" w:cs="Arial"/>
          <w:i/>
          <w:iCs/>
          <w:sz w:val="20"/>
          <w:szCs w:val="20"/>
        </w:rPr>
        <w:t>Journal of World's Poultry Research</w:t>
      </w:r>
      <w:r>
        <w:rPr>
          <w:rFonts w:ascii="Arial" w:hAnsi="Arial" w:cs="Arial"/>
          <w:sz w:val="20"/>
          <w:szCs w:val="20"/>
        </w:rPr>
        <w:t>, </w:t>
      </w:r>
      <w:r>
        <w:rPr>
          <w:rFonts w:ascii="Arial" w:hAnsi="Arial" w:cs="Arial"/>
          <w:i/>
          <w:iCs/>
          <w:sz w:val="20"/>
          <w:szCs w:val="20"/>
        </w:rPr>
        <w:t>6</w:t>
      </w:r>
      <w:r>
        <w:rPr>
          <w:rFonts w:ascii="Arial" w:hAnsi="Arial" w:cs="Arial"/>
          <w:sz w:val="20"/>
          <w:szCs w:val="20"/>
        </w:rPr>
        <w:t>(3), 105-116.</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Shukla, B., </w:t>
      </w:r>
      <w:proofErr w:type="spellStart"/>
      <w:r>
        <w:rPr>
          <w:rFonts w:ascii="Arial" w:hAnsi="Arial" w:cs="Arial"/>
          <w:sz w:val="20"/>
          <w:szCs w:val="20"/>
        </w:rPr>
        <w:t>Visen</w:t>
      </w:r>
      <w:proofErr w:type="spellEnd"/>
      <w:r>
        <w:rPr>
          <w:rFonts w:ascii="Arial" w:hAnsi="Arial" w:cs="Arial"/>
          <w:sz w:val="20"/>
          <w:szCs w:val="20"/>
        </w:rPr>
        <w:t>, P. K. S., Patnaik, G. K., &amp; Dhawan, B. N. (1992). Choleretic effect of andrographolide in rats and guinea pigs1. </w:t>
      </w:r>
      <w:proofErr w:type="spellStart"/>
      <w:r>
        <w:rPr>
          <w:rFonts w:ascii="Arial" w:hAnsi="Arial" w:cs="Arial"/>
          <w:i/>
          <w:iCs/>
          <w:sz w:val="20"/>
          <w:szCs w:val="20"/>
        </w:rPr>
        <w:t>Planta</w:t>
      </w:r>
      <w:proofErr w:type="spellEnd"/>
      <w:r>
        <w:rPr>
          <w:rFonts w:ascii="Arial" w:hAnsi="Arial" w:cs="Arial"/>
          <w:i/>
          <w:iCs/>
          <w:sz w:val="20"/>
          <w:szCs w:val="20"/>
        </w:rPr>
        <w:t xml:space="preserve"> </w:t>
      </w:r>
      <w:proofErr w:type="spellStart"/>
      <w:r>
        <w:rPr>
          <w:rFonts w:ascii="Arial" w:hAnsi="Arial" w:cs="Arial"/>
          <w:i/>
          <w:iCs/>
          <w:sz w:val="20"/>
          <w:szCs w:val="20"/>
        </w:rPr>
        <w:t>medica</w:t>
      </w:r>
      <w:proofErr w:type="spellEnd"/>
      <w:r>
        <w:rPr>
          <w:rFonts w:ascii="Arial" w:hAnsi="Arial" w:cs="Arial"/>
          <w:sz w:val="20"/>
          <w:szCs w:val="20"/>
        </w:rPr>
        <w:t>, </w:t>
      </w:r>
      <w:r>
        <w:rPr>
          <w:rFonts w:ascii="Arial" w:hAnsi="Arial" w:cs="Arial"/>
          <w:i/>
          <w:iCs/>
          <w:sz w:val="20"/>
          <w:szCs w:val="20"/>
        </w:rPr>
        <w:t>58</w:t>
      </w:r>
      <w:r>
        <w:rPr>
          <w:rFonts w:ascii="Arial" w:hAnsi="Arial" w:cs="Arial"/>
          <w:sz w:val="20"/>
          <w:szCs w:val="20"/>
        </w:rPr>
        <w:t>(02), 146-149.</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Singh, V. K., Chauhan, S. S., </w:t>
      </w:r>
      <w:proofErr w:type="spellStart"/>
      <w:r>
        <w:rPr>
          <w:rFonts w:ascii="Arial" w:hAnsi="Arial" w:cs="Arial"/>
          <w:sz w:val="20"/>
          <w:szCs w:val="20"/>
        </w:rPr>
        <w:t>Ravikanth</w:t>
      </w:r>
      <w:proofErr w:type="spellEnd"/>
      <w:r>
        <w:rPr>
          <w:rFonts w:ascii="Arial" w:hAnsi="Arial" w:cs="Arial"/>
          <w:sz w:val="20"/>
          <w:szCs w:val="20"/>
        </w:rPr>
        <w:t>, K., Maini, S., &amp;</w:t>
      </w:r>
      <w:proofErr w:type="spellStart"/>
      <w:r>
        <w:rPr>
          <w:rFonts w:ascii="Arial" w:hAnsi="Arial" w:cs="Arial"/>
          <w:sz w:val="20"/>
          <w:szCs w:val="20"/>
        </w:rPr>
        <w:t>Rekhe</w:t>
      </w:r>
      <w:proofErr w:type="spellEnd"/>
      <w:r>
        <w:rPr>
          <w:rFonts w:ascii="Arial" w:hAnsi="Arial" w:cs="Arial"/>
          <w:sz w:val="20"/>
          <w:szCs w:val="20"/>
        </w:rPr>
        <w:t>, D. S. (2009). Effect of dietary supplementation of polyherbal liver stimulant on growth performance and nutrient utilization in broiler chicken. </w:t>
      </w:r>
      <w:r>
        <w:rPr>
          <w:rFonts w:ascii="Arial" w:hAnsi="Arial" w:cs="Arial"/>
          <w:i/>
          <w:iCs/>
          <w:sz w:val="20"/>
          <w:szCs w:val="20"/>
        </w:rPr>
        <w:t>Veterinary World</w:t>
      </w:r>
      <w:r>
        <w:rPr>
          <w:rFonts w:ascii="Arial" w:hAnsi="Arial" w:cs="Arial"/>
          <w:sz w:val="20"/>
          <w:szCs w:val="20"/>
        </w:rPr>
        <w:t>, </w:t>
      </w:r>
      <w:r>
        <w:rPr>
          <w:rFonts w:ascii="Arial" w:hAnsi="Arial" w:cs="Arial"/>
          <w:i/>
          <w:iCs/>
          <w:sz w:val="20"/>
          <w:szCs w:val="20"/>
        </w:rPr>
        <w:t>2</w:t>
      </w:r>
      <w:r>
        <w:rPr>
          <w:rFonts w:ascii="Arial" w:hAnsi="Arial" w:cs="Arial"/>
          <w:sz w:val="20"/>
          <w:szCs w:val="20"/>
        </w:rPr>
        <w:t>(9).</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Somvanshi</w:t>
      </w:r>
      <w:proofErr w:type="spellEnd"/>
      <w:r>
        <w:rPr>
          <w:rFonts w:ascii="Arial" w:hAnsi="Arial" w:cs="Arial"/>
          <w:sz w:val="20"/>
          <w:szCs w:val="20"/>
        </w:rPr>
        <w:t>, S. P. S., Gupta, R., Kaur, N., Kumar, A., &amp; Pandey, N. K. (2020). Effect of herbal liver stimulants on growth and performance of broiler chicks. </w:t>
      </w:r>
      <w:r>
        <w:rPr>
          <w:rFonts w:ascii="Arial" w:hAnsi="Arial" w:cs="Arial"/>
          <w:i/>
          <w:iCs/>
          <w:sz w:val="20"/>
          <w:szCs w:val="20"/>
        </w:rPr>
        <w:t>Indian Journal of Extension Education</w:t>
      </w:r>
      <w:r>
        <w:rPr>
          <w:rFonts w:ascii="Arial" w:hAnsi="Arial" w:cs="Arial"/>
          <w:sz w:val="20"/>
          <w:szCs w:val="20"/>
        </w:rPr>
        <w:t>, </w:t>
      </w:r>
      <w:r>
        <w:rPr>
          <w:rFonts w:ascii="Arial" w:hAnsi="Arial" w:cs="Arial"/>
          <w:i/>
          <w:iCs/>
          <w:sz w:val="20"/>
          <w:szCs w:val="20"/>
        </w:rPr>
        <w:t>56</w:t>
      </w:r>
      <w:r>
        <w:rPr>
          <w:rFonts w:ascii="Arial" w:hAnsi="Arial" w:cs="Arial"/>
          <w:sz w:val="20"/>
          <w:szCs w:val="20"/>
        </w:rPr>
        <w:t>(1), 69-72.</w:t>
      </w:r>
    </w:p>
    <w:p w:rsidR="00732C73" w:rsidRDefault="00F20A72">
      <w:pPr>
        <w:spacing w:line="360" w:lineRule="auto"/>
        <w:ind w:left="720" w:hanging="720"/>
        <w:jc w:val="both"/>
        <w:rPr>
          <w:rFonts w:ascii="Arial" w:hAnsi="Arial" w:cs="Arial"/>
          <w:color w:val="000000" w:themeColor="text1"/>
          <w:sz w:val="20"/>
          <w:szCs w:val="20"/>
        </w:rPr>
      </w:pPr>
      <w:r>
        <w:rPr>
          <w:rFonts w:ascii="Arial" w:hAnsi="Arial" w:cs="Arial"/>
          <w:color w:val="000000" w:themeColor="text1"/>
          <w:sz w:val="20"/>
          <w:szCs w:val="20"/>
        </w:rPr>
        <w:t xml:space="preserve">The Ayurvedic pharmacopoeia of India, Government of India, Ministry of Health and Family Welfare, Department of </w:t>
      </w:r>
      <w:proofErr w:type="spellStart"/>
      <w:r>
        <w:rPr>
          <w:rFonts w:ascii="Arial" w:hAnsi="Arial" w:cs="Arial"/>
          <w:color w:val="000000" w:themeColor="text1"/>
          <w:sz w:val="20"/>
          <w:szCs w:val="20"/>
        </w:rPr>
        <w:t>Ayush</w:t>
      </w:r>
      <w:proofErr w:type="spellEnd"/>
      <w:r>
        <w:rPr>
          <w:rFonts w:ascii="Arial" w:hAnsi="Arial" w:cs="Arial"/>
          <w:color w:val="000000" w:themeColor="text1"/>
          <w:sz w:val="20"/>
          <w:szCs w:val="20"/>
        </w:rPr>
        <w:t>. Part-I, Vol-I, 6, 27, 38, 39, 60, 63, 70, 79.https://dravyagunatvpm.wordpress.com/wp-content/uploads/2019/10/api-part-1-vol-6-monographs.pdf</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lastRenderedPageBreak/>
        <w:t xml:space="preserve">Trivedi, N. P., &amp; Rawal, U. M. (2001). Hepatoprotective and antioxidant property of </w:t>
      </w:r>
      <w:proofErr w:type="spellStart"/>
      <w:r>
        <w:rPr>
          <w:rFonts w:ascii="Arial" w:hAnsi="Arial" w:cs="Arial"/>
          <w:sz w:val="20"/>
          <w:szCs w:val="20"/>
        </w:rPr>
        <w:t>Andrographis</w:t>
      </w:r>
      <w:proofErr w:type="spellEnd"/>
      <w:r>
        <w:rPr>
          <w:rFonts w:ascii="Arial" w:hAnsi="Arial" w:cs="Arial"/>
          <w:sz w:val="20"/>
          <w:szCs w:val="20"/>
        </w:rPr>
        <w:t xml:space="preserve"> </w:t>
      </w:r>
      <w:proofErr w:type="spellStart"/>
      <w:r>
        <w:rPr>
          <w:rFonts w:ascii="Arial" w:hAnsi="Arial" w:cs="Arial"/>
          <w:sz w:val="20"/>
          <w:szCs w:val="20"/>
        </w:rPr>
        <w:t>paniculata</w:t>
      </w:r>
      <w:proofErr w:type="spellEnd"/>
      <w:r>
        <w:rPr>
          <w:rFonts w:ascii="Arial" w:hAnsi="Arial" w:cs="Arial"/>
          <w:sz w:val="20"/>
          <w:szCs w:val="20"/>
        </w:rPr>
        <w:t xml:space="preserve"> (</w:t>
      </w:r>
      <w:proofErr w:type="spellStart"/>
      <w:r>
        <w:rPr>
          <w:rFonts w:ascii="Arial" w:hAnsi="Arial" w:cs="Arial"/>
          <w:sz w:val="20"/>
          <w:szCs w:val="20"/>
        </w:rPr>
        <w:t>Neem</w:t>
      </w:r>
      <w:proofErr w:type="spellEnd"/>
      <w:r>
        <w:rPr>
          <w:rFonts w:ascii="Arial" w:hAnsi="Arial" w:cs="Arial"/>
          <w:sz w:val="20"/>
          <w:szCs w:val="20"/>
        </w:rPr>
        <w:t>) in BHC induced liver damage in mice.</w:t>
      </w:r>
    </w:p>
    <w:p w:rsidR="00732C73" w:rsidRDefault="00732C73">
      <w:pPr>
        <w:tabs>
          <w:tab w:val="left" w:pos="1462"/>
        </w:tabs>
        <w:spacing w:line="360" w:lineRule="auto"/>
        <w:rPr>
          <w:rFonts w:ascii="Arial" w:hAnsi="Arial" w:cs="Arial"/>
          <w:sz w:val="24"/>
          <w:szCs w:val="24"/>
        </w:rPr>
      </w:pPr>
    </w:p>
    <w:p w:rsidR="00732C73" w:rsidRDefault="00732C73">
      <w:pPr>
        <w:spacing w:line="360" w:lineRule="auto"/>
        <w:rPr>
          <w:rFonts w:ascii="Arial" w:hAnsi="Arial"/>
          <w:sz w:val="20"/>
          <w:szCs w:val="18"/>
          <w:lang w:bidi="mr-IN"/>
        </w:rPr>
      </w:pPr>
    </w:p>
    <w:sectPr w:rsidR="00732C73" w:rsidSect="00732C7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urugesan Sannasi" w:date="2025-08-03T21:36:00Z" w:initials="MS">
    <w:p w:rsidR="00E12DC3" w:rsidRDefault="00E12DC3">
      <w:pPr>
        <w:pStyle w:val="CommentText"/>
      </w:pPr>
      <w:r>
        <w:rPr>
          <w:rStyle w:val="CommentReference"/>
        </w:rPr>
        <w:annotationRef/>
      </w:r>
      <w:r>
        <w:t>The introduction lacks detailed information on prior toxicological evaluations of the individual herbal components in animal models, which could strengthen the rationale for testing the formulation.</w:t>
      </w:r>
    </w:p>
  </w:comment>
  <w:comment w:id="3" w:author="Murugesan Sannasi" w:date="2025-08-03T21:39:00Z" w:initials="MS">
    <w:p w:rsidR="00E12DC3" w:rsidRDefault="00E12DC3">
      <w:pPr>
        <w:pStyle w:val="CommentText"/>
      </w:pPr>
      <w:r>
        <w:rPr>
          <w:rStyle w:val="CommentReference"/>
        </w:rPr>
        <w:annotationRef/>
      </w:r>
      <w:r>
        <w:t>The discussion does not compare findings with existing toxicological data of similar herbal formulations, which would contextualize the results more effectively.</w:t>
      </w:r>
    </w:p>
  </w:comment>
  <w:comment w:id="4" w:author="Murugesan Sannasi" w:date="2025-08-03T21:39:00Z" w:initials="MS">
    <w:p w:rsidR="00E12DC3" w:rsidRDefault="00E12DC3">
      <w:pPr>
        <w:pStyle w:val="CommentText"/>
      </w:pPr>
      <w:r>
        <w:rPr>
          <w:rStyle w:val="CommentReference"/>
        </w:rPr>
        <w:annotationRef/>
      </w:r>
      <w:r>
        <w:t xml:space="preserve">The conclusion is based solely on acute toxicity; no sub-chronic or chronic toxicity data are presented, which limits the comprehensive safety evaluation of </w:t>
      </w:r>
      <w:proofErr w:type="spellStart"/>
      <w:r>
        <w:t>Xlivpro</w:t>
      </w:r>
      <w:proofErr w:type="spellEnd"/>
      <w:r>
        <w:t xml:space="preserve"> Premix.</w:t>
      </w:r>
      <w:bookmarkStart w:id="5" w:name="_GoBack"/>
      <w:bookmarkEnd w:id="5"/>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C2D" w:rsidRDefault="00DF3C2D">
      <w:pPr>
        <w:spacing w:line="240" w:lineRule="auto"/>
      </w:pPr>
      <w:r>
        <w:separator/>
      </w:r>
    </w:p>
  </w:endnote>
  <w:endnote w:type="continuationSeparator" w:id="0">
    <w:p w:rsidR="00DF3C2D" w:rsidRDefault="00DF3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6035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6035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603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C2D" w:rsidRDefault="00DF3C2D">
      <w:r>
        <w:separator/>
      </w:r>
    </w:p>
  </w:footnote>
  <w:footnote w:type="continuationSeparator" w:id="0">
    <w:p w:rsidR="00DF3C2D" w:rsidRDefault="00DF3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DF3C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DF3C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DF3C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DF7049"/>
    <w:multiLevelType w:val="multilevel"/>
    <w:tmpl w:val="77DF70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9577E"/>
    <w:rsid w:val="00000FE3"/>
    <w:rsid w:val="00014A1B"/>
    <w:rsid w:val="0002272A"/>
    <w:rsid w:val="0002643E"/>
    <w:rsid w:val="00036831"/>
    <w:rsid w:val="00046DF7"/>
    <w:rsid w:val="0005253C"/>
    <w:rsid w:val="000545EC"/>
    <w:rsid w:val="00083C58"/>
    <w:rsid w:val="0009646A"/>
    <w:rsid w:val="000A4A9F"/>
    <w:rsid w:val="000B4123"/>
    <w:rsid w:val="000C41B3"/>
    <w:rsid w:val="000D0961"/>
    <w:rsid w:val="000D222D"/>
    <w:rsid w:val="000E612A"/>
    <w:rsid w:val="000F5245"/>
    <w:rsid w:val="00112B42"/>
    <w:rsid w:val="00112F8D"/>
    <w:rsid w:val="00150EE1"/>
    <w:rsid w:val="00170275"/>
    <w:rsid w:val="001737F2"/>
    <w:rsid w:val="00196703"/>
    <w:rsid w:val="001C04F8"/>
    <w:rsid w:val="001E7D2B"/>
    <w:rsid w:val="001F388E"/>
    <w:rsid w:val="002155F9"/>
    <w:rsid w:val="00216671"/>
    <w:rsid w:val="00232ADF"/>
    <w:rsid w:val="002375EF"/>
    <w:rsid w:val="00240E79"/>
    <w:rsid w:val="00254D98"/>
    <w:rsid w:val="0026577A"/>
    <w:rsid w:val="002C4ADC"/>
    <w:rsid w:val="002D46D8"/>
    <w:rsid w:val="002D5955"/>
    <w:rsid w:val="002E647D"/>
    <w:rsid w:val="0030496D"/>
    <w:rsid w:val="0031078D"/>
    <w:rsid w:val="0031167B"/>
    <w:rsid w:val="00314B6B"/>
    <w:rsid w:val="003256E0"/>
    <w:rsid w:val="00340A63"/>
    <w:rsid w:val="003501D8"/>
    <w:rsid w:val="0037106C"/>
    <w:rsid w:val="003719AF"/>
    <w:rsid w:val="00382DF8"/>
    <w:rsid w:val="003A055A"/>
    <w:rsid w:val="003B0075"/>
    <w:rsid w:val="003D2294"/>
    <w:rsid w:val="003F079C"/>
    <w:rsid w:val="00405E9C"/>
    <w:rsid w:val="00415FA4"/>
    <w:rsid w:val="0041638A"/>
    <w:rsid w:val="00431E59"/>
    <w:rsid w:val="004448A8"/>
    <w:rsid w:val="004555B6"/>
    <w:rsid w:val="00456216"/>
    <w:rsid w:val="00464BBB"/>
    <w:rsid w:val="004719C4"/>
    <w:rsid w:val="004753AC"/>
    <w:rsid w:val="00477F36"/>
    <w:rsid w:val="004B34CA"/>
    <w:rsid w:val="004C023C"/>
    <w:rsid w:val="004C0AC4"/>
    <w:rsid w:val="004E073B"/>
    <w:rsid w:val="004E4C85"/>
    <w:rsid w:val="0051067F"/>
    <w:rsid w:val="00512B75"/>
    <w:rsid w:val="00513D9F"/>
    <w:rsid w:val="005218AC"/>
    <w:rsid w:val="00531B21"/>
    <w:rsid w:val="005413A6"/>
    <w:rsid w:val="005419E3"/>
    <w:rsid w:val="0054388E"/>
    <w:rsid w:val="00550956"/>
    <w:rsid w:val="0056104F"/>
    <w:rsid w:val="005643EB"/>
    <w:rsid w:val="005653BA"/>
    <w:rsid w:val="00565800"/>
    <w:rsid w:val="0057453B"/>
    <w:rsid w:val="005954E1"/>
    <w:rsid w:val="00596472"/>
    <w:rsid w:val="005A5E3F"/>
    <w:rsid w:val="005A73C3"/>
    <w:rsid w:val="005B7020"/>
    <w:rsid w:val="005D3C73"/>
    <w:rsid w:val="005E6116"/>
    <w:rsid w:val="006035D1"/>
    <w:rsid w:val="00606E38"/>
    <w:rsid w:val="006118D8"/>
    <w:rsid w:val="006205EA"/>
    <w:rsid w:val="00644A5B"/>
    <w:rsid w:val="00656ACB"/>
    <w:rsid w:val="00665DC6"/>
    <w:rsid w:val="0067182A"/>
    <w:rsid w:val="00687C08"/>
    <w:rsid w:val="006B1A9C"/>
    <w:rsid w:val="006B1D51"/>
    <w:rsid w:val="006D58C5"/>
    <w:rsid w:val="006E2218"/>
    <w:rsid w:val="006E5718"/>
    <w:rsid w:val="006E795D"/>
    <w:rsid w:val="006F7F78"/>
    <w:rsid w:val="0070206E"/>
    <w:rsid w:val="00732C73"/>
    <w:rsid w:val="00746C35"/>
    <w:rsid w:val="00747635"/>
    <w:rsid w:val="00753728"/>
    <w:rsid w:val="00772D5E"/>
    <w:rsid w:val="0077773E"/>
    <w:rsid w:val="00777EE4"/>
    <w:rsid w:val="007929C0"/>
    <w:rsid w:val="007A01FF"/>
    <w:rsid w:val="007B2111"/>
    <w:rsid w:val="007C0134"/>
    <w:rsid w:val="007E0B57"/>
    <w:rsid w:val="007F10DF"/>
    <w:rsid w:val="007F5B61"/>
    <w:rsid w:val="00833E55"/>
    <w:rsid w:val="00852A00"/>
    <w:rsid w:val="00856DC3"/>
    <w:rsid w:val="008662FD"/>
    <w:rsid w:val="00881B38"/>
    <w:rsid w:val="008829CB"/>
    <w:rsid w:val="00893545"/>
    <w:rsid w:val="008C150C"/>
    <w:rsid w:val="008C32CA"/>
    <w:rsid w:val="00901A0D"/>
    <w:rsid w:val="00917D06"/>
    <w:rsid w:val="0092220B"/>
    <w:rsid w:val="009266E8"/>
    <w:rsid w:val="0098627D"/>
    <w:rsid w:val="00990EB6"/>
    <w:rsid w:val="009A1029"/>
    <w:rsid w:val="009A4A31"/>
    <w:rsid w:val="009E68A1"/>
    <w:rsid w:val="009F20A9"/>
    <w:rsid w:val="00A032BD"/>
    <w:rsid w:val="00A07FA1"/>
    <w:rsid w:val="00A41325"/>
    <w:rsid w:val="00A52AF2"/>
    <w:rsid w:val="00A83D6B"/>
    <w:rsid w:val="00A87F68"/>
    <w:rsid w:val="00A91F30"/>
    <w:rsid w:val="00A9711E"/>
    <w:rsid w:val="00AA3E01"/>
    <w:rsid w:val="00AB6A1C"/>
    <w:rsid w:val="00AC5B8B"/>
    <w:rsid w:val="00AD1B44"/>
    <w:rsid w:val="00AE3D27"/>
    <w:rsid w:val="00B13301"/>
    <w:rsid w:val="00B52C6C"/>
    <w:rsid w:val="00B547DD"/>
    <w:rsid w:val="00B70716"/>
    <w:rsid w:val="00B75538"/>
    <w:rsid w:val="00B80BA1"/>
    <w:rsid w:val="00B832BA"/>
    <w:rsid w:val="00BA3DB5"/>
    <w:rsid w:val="00BE79A5"/>
    <w:rsid w:val="00C1190E"/>
    <w:rsid w:val="00C24018"/>
    <w:rsid w:val="00C32A0C"/>
    <w:rsid w:val="00C51AE2"/>
    <w:rsid w:val="00C61CA3"/>
    <w:rsid w:val="00C85DEA"/>
    <w:rsid w:val="00C8709D"/>
    <w:rsid w:val="00CA5413"/>
    <w:rsid w:val="00CB75DF"/>
    <w:rsid w:val="00CD3676"/>
    <w:rsid w:val="00CF749F"/>
    <w:rsid w:val="00D10B66"/>
    <w:rsid w:val="00D206DC"/>
    <w:rsid w:val="00D210B9"/>
    <w:rsid w:val="00D756B6"/>
    <w:rsid w:val="00D90E37"/>
    <w:rsid w:val="00D9577E"/>
    <w:rsid w:val="00DE1814"/>
    <w:rsid w:val="00DF3C2D"/>
    <w:rsid w:val="00DF449A"/>
    <w:rsid w:val="00E12DC3"/>
    <w:rsid w:val="00E46C90"/>
    <w:rsid w:val="00E56D8F"/>
    <w:rsid w:val="00E6624D"/>
    <w:rsid w:val="00E84052"/>
    <w:rsid w:val="00E84232"/>
    <w:rsid w:val="00EA1EFB"/>
    <w:rsid w:val="00ED6BC1"/>
    <w:rsid w:val="00EF43AE"/>
    <w:rsid w:val="00EF67E9"/>
    <w:rsid w:val="00F04FA5"/>
    <w:rsid w:val="00F20A72"/>
    <w:rsid w:val="00F21605"/>
    <w:rsid w:val="00F23FA0"/>
    <w:rsid w:val="00F41C69"/>
    <w:rsid w:val="00F44625"/>
    <w:rsid w:val="00F71325"/>
    <w:rsid w:val="00F76DBB"/>
    <w:rsid w:val="00F877A4"/>
    <w:rsid w:val="00FA4485"/>
    <w:rsid w:val="00FB17D1"/>
    <w:rsid w:val="00FC7B0C"/>
    <w:rsid w:val="00FC7E8B"/>
    <w:rsid w:val="00FE1D2F"/>
    <w:rsid w:val="00FE489F"/>
    <w:rsid w:val="00FE5824"/>
    <w:rsid w:val="00FF7965"/>
    <w:rsid w:val="41FD7A7B"/>
    <w:rsid w:val="68EA603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C73"/>
    <w:pPr>
      <w:spacing w:line="259" w:lineRule="auto"/>
    </w:pPr>
    <w:rPr>
      <w:kern w:val="2"/>
      <w:sz w:val="22"/>
      <w:szCs w:val="22"/>
      <w:lang w:bidi="ar-SA"/>
    </w:rPr>
  </w:style>
  <w:style w:type="paragraph" w:styleId="Heading1">
    <w:name w:val="heading 1"/>
    <w:basedOn w:val="Normal"/>
    <w:next w:val="Normal"/>
    <w:link w:val="Heading1Char"/>
    <w:uiPriority w:val="9"/>
    <w:qFormat/>
    <w:rsid w:val="00732C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C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C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C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C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C7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C7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C7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C7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732C73"/>
    <w:pPr>
      <w:spacing w:line="240" w:lineRule="auto"/>
    </w:pPr>
    <w:rPr>
      <w:rFonts w:ascii="Tahoma" w:hAnsi="Tahoma" w:cs="Tahoma"/>
      <w:sz w:val="16"/>
      <w:szCs w:val="16"/>
    </w:rPr>
  </w:style>
  <w:style w:type="paragraph" w:styleId="BodyText2">
    <w:name w:val="Body Text 2"/>
    <w:basedOn w:val="Normal"/>
    <w:link w:val="BodyText2Char"/>
    <w:qFormat/>
    <w:rsid w:val="00732C73"/>
    <w:pPr>
      <w:spacing w:line="360" w:lineRule="auto"/>
      <w:jc w:val="both"/>
    </w:pPr>
    <w:rPr>
      <w:rFonts w:ascii="Times New Roman" w:eastAsia="Times New Roman" w:hAnsi="Times New Roman" w:cs="Times New Roman"/>
      <w:kern w:val="0"/>
      <w:sz w:val="24"/>
      <w:szCs w:val="20"/>
    </w:rPr>
  </w:style>
  <w:style w:type="paragraph" w:styleId="Footer">
    <w:name w:val="footer"/>
    <w:basedOn w:val="Normal"/>
    <w:link w:val="FooterChar"/>
    <w:uiPriority w:val="99"/>
    <w:unhideWhenUsed/>
    <w:qFormat/>
    <w:rsid w:val="00732C73"/>
    <w:pPr>
      <w:tabs>
        <w:tab w:val="center" w:pos="4513"/>
        <w:tab w:val="right" w:pos="9026"/>
      </w:tabs>
      <w:spacing w:line="240" w:lineRule="auto"/>
    </w:pPr>
  </w:style>
  <w:style w:type="paragraph" w:styleId="Header">
    <w:name w:val="header"/>
    <w:basedOn w:val="Normal"/>
    <w:link w:val="HeaderChar"/>
    <w:uiPriority w:val="99"/>
    <w:unhideWhenUsed/>
    <w:qFormat/>
    <w:rsid w:val="00732C73"/>
    <w:pPr>
      <w:tabs>
        <w:tab w:val="center" w:pos="4513"/>
        <w:tab w:val="right" w:pos="9026"/>
      </w:tabs>
      <w:spacing w:line="240" w:lineRule="auto"/>
    </w:pPr>
  </w:style>
  <w:style w:type="character" w:styleId="Hyperlink">
    <w:name w:val="Hyperlink"/>
    <w:basedOn w:val="DefaultParagraphFont"/>
    <w:uiPriority w:val="99"/>
    <w:unhideWhenUsed/>
    <w:qFormat/>
    <w:rsid w:val="00732C73"/>
    <w:rPr>
      <w:color w:val="467886" w:themeColor="hyperlink"/>
      <w:u w:val="single"/>
    </w:rPr>
  </w:style>
  <w:style w:type="paragraph" w:styleId="Subtitle">
    <w:name w:val="Subtitle"/>
    <w:basedOn w:val="Normal"/>
    <w:next w:val="Normal"/>
    <w:link w:val="SubtitleChar"/>
    <w:uiPriority w:val="11"/>
    <w:qFormat/>
    <w:rsid w:val="00732C73"/>
    <w:pPr>
      <w:ind w:firstLine="284"/>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32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32C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732C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732C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C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732C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732C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32C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C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32C73"/>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32C7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732C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C73"/>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732C73"/>
    <w:rPr>
      <w:i/>
      <w:iCs/>
      <w:color w:val="404040" w:themeColor="text1" w:themeTint="BF"/>
    </w:rPr>
  </w:style>
  <w:style w:type="paragraph" w:styleId="ListParagraph">
    <w:name w:val="List Paragraph"/>
    <w:basedOn w:val="Normal"/>
    <w:uiPriority w:val="34"/>
    <w:qFormat/>
    <w:rsid w:val="00732C73"/>
    <w:pPr>
      <w:ind w:left="720"/>
      <w:contextualSpacing/>
    </w:pPr>
  </w:style>
  <w:style w:type="character" w:customStyle="1" w:styleId="IntenseEmphasis1">
    <w:name w:val="Intense Emphasis1"/>
    <w:basedOn w:val="DefaultParagraphFont"/>
    <w:uiPriority w:val="21"/>
    <w:qFormat/>
    <w:rsid w:val="00732C73"/>
    <w:rPr>
      <w:i/>
      <w:iCs/>
      <w:color w:val="0F4761" w:themeColor="accent1" w:themeShade="BF"/>
    </w:rPr>
  </w:style>
  <w:style w:type="paragraph" w:styleId="IntenseQuote">
    <w:name w:val="Intense Quote"/>
    <w:basedOn w:val="Normal"/>
    <w:next w:val="Normal"/>
    <w:link w:val="IntenseQuoteChar"/>
    <w:uiPriority w:val="30"/>
    <w:qFormat/>
    <w:rsid w:val="00732C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732C73"/>
    <w:rPr>
      <w:i/>
      <w:iCs/>
      <w:color w:val="0F4761" w:themeColor="accent1" w:themeShade="BF"/>
    </w:rPr>
  </w:style>
  <w:style w:type="character" w:customStyle="1" w:styleId="IntenseReference1">
    <w:name w:val="Intense Reference1"/>
    <w:basedOn w:val="DefaultParagraphFont"/>
    <w:uiPriority w:val="32"/>
    <w:qFormat/>
    <w:rsid w:val="00732C73"/>
    <w:rPr>
      <w:b/>
      <w:bCs/>
      <w:smallCaps/>
      <w:color w:val="0F4761" w:themeColor="accent1" w:themeShade="BF"/>
      <w:spacing w:val="5"/>
    </w:rPr>
  </w:style>
  <w:style w:type="character" w:customStyle="1" w:styleId="HeaderChar">
    <w:name w:val="Header Char"/>
    <w:basedOn w:val="DefaultParagraphFont"/>
    <w:link w:val="Header"/>
    <w:uiPriority w:val="99"/>
    <w:qFormat/>
    <w:rsid w:val="00732C73"/>
    <w:rPr>
      <w:sz w:val="22"/>
      <w:szCs w:val="22"/>
      <w:lang w:val="en-US"/>
    </w:rPr>
  </w:style>
  <w:style w:type="character" w:customStyle="1" w:styleId="FooterChar">
    <w:name w:val="Footer Char"/>
    <w:basedOn w:val="DefaultParagraphFont"/>
    <w:link w:val="Footer"/>
    <w:uiPriority w:val="99"/>
    <w:rsid w:val="00732C73"/>
    <w:rPr>
      <w:sz w:val="22"/>
      <w:szCs w:val="22"/>
      <w:lang w:val="en-US"/>
    </w:rPr>
  </w:style>
  <w:style w:type="character" w:customStyle="1" w:styleId="BodyText2Char">
    <w:name w:val="Body Text 2 Char"/>
    <w:basedOn w:val="DefaultParagraphFont"/>
    <w:link w:val="BodyText2"/>
    <w:rsid w:val="00732C73"/>
    <w:rPr>
      <w:rFonts w:ascii="Times New Roman" w:eastAsia="Times New Roman" w:hAnsi="Times New Roman" w:cs="Times New Roman"/>
      <w:kern w:val="0"/>
      <w:szCs w:val="20"/>
      <w:lang w:val="en-US"/>
    </w:rPr>
  </w:style>
  <w:style w:type="character" w:customStyle="1" w:styleId="UnresolvedMention1">
    <w:name w:val="Unresolved Mention1"/>
    <w:basedOn w:val="DefaultParagraphFont"/>
    <w:uiPriority w:val="99"/>
    <w:semiHidden/>
    <w:unhideWhenUsed/>
    <w:qFormat/>
    <w:rsid w:val="00732C73"/>
    <w:rPr>
      <w:color w:val="605E5C"/>
      <w:shd w:val="clear" w:color="auto" w:fill="E1DFDD"/>
    </w:rPr>
  </w:style>
  <w:style w:type="character" w:customStyle="1" w:styleId="BalloonTextChar">
    <w:name w:val="Balloon Text Char"/>
    <w:basedOn w:val="DefaultParagraphFont"/>
    <w:link w:val="BalloonText"/>
    <w:uiPriority w:val="99"/>
    <w:semiHidden/>
    <w:qFormat/>
    <w:rsid w:val="00732C73"/>
    <w:rPr>
      <w:rFonts w:ascii="Tahoma" w:hAnsi="Tahoma" w:cs="Tahoma"/>
      <w:sz w:val="16"/>
      <w:szCs w:val="16"/>
      <w:lang w:val="en-US"/>
    </w:rPr>
  </w:style>
  <w:style w:type="paragraph" w:customStyle="1" w:styleId="AcknHead">
    <w:name w:val="Ackn Head"/>
    <w:basedOn w:val="Normal"/>
    <w:rsid w:val="00732C73"/>
    <w:pPr>
      <w:keepNext/>
      <w:spacing w:after="240" w:line="240" w:lineRule="auto"/>
    </w:pPr>
    <w:rPr>
      <w:rFonts w:ascii="Helvetica" w:eastAsia="Times New Roman" w:hAnsi="Helvetica" w:cs="Times New Roman"/>
      <w:b/>
      <w:caps/>
      <w:kern w:val="0"/>
      <w:szCs w:val="20"/>
    </w:rPr>
  </w:style>
  <w:style w:type="character" w:styleId="CommentReference">
    <w:name w:val="annotation reference"/>
    <w:basedOn w:val="DefaultParagraphFont"/>
    <w:uiPriority w:val="99"/>
    <w:semiHidden/>
    <w:unhideWhenUsed/>
    <w:rsid w:val="00E12DC3"/>
    <w:rPr>
      <w:sz w:val="16"/>
      <w:szCs w:val="16"/>
    </w:rPr>
  </w:style>
  <w:style w:type="paragraph" w:styleId="CommentText">
    <w:name w:val="annotation text"/>
    <w:basedOn w:val="Normal"/>
    <w:link w:val="CommentTextChar"/>
    <w:uiPriority w:val="99"/>
    <w:semiHidden/>
    <w:unhideWhenUsed/>
    <w:rsid w:val="00E12DC3"/>
    <w:pPr>
      <w:spacing w:line="240" w:lineRule="auto"/>
    </w:pPr>
    <w:rPr>
      <w:sz w:val="20"/>
      <w:szCs w:val="20"/>
    </w:rPr>
  </w:style>
  <w:style w:type="character" w:customStyle="1" w:styleId="CommentTextChar">
    <w:name w:val="Comment Text Char"/>
    <w:basedOn w:val="DefaultParagraphFont"/>
    <w:link w:val="CommentText"/>
    <w:uiPriority w:val="99"/>
    <w:semiHidden/>
    <w:rsid w:val="00E12DC3"/>
    <w:rPr>
      <w:kern w:val="2"/>
      <w:lang w:bidi="ar-SA"/>
    </w:rPr>
  </w:style>
  <w:style w:type="paragraph" w:styleId="CommentSubject">
    <w:name w:val="annotation subject"/>
    <w:basedOn w:val="CommentText"/>
    <w:next w:val="CommentText"/>
    <w:link w:val="CommentSubjectChar"/>
    <w:uiPriority w:val="99"/>
    <w:semiHidden/>
    <w:unhideWhenUsed/>
    <w:rsid w:val="00E12DC3"/>
    <w:rPr>
      <w:b/>
      <w:bCs/>
    </w:rPr>
  </w:style>
  <w:style w:type="character" w:customStyle="1" w:styleId="CommentSubjectChar">
    <w:name w:val="Comment Subject Char"/>
    <w:basedOn w:val="CommentTextChar"/>
    <w:link w:val="CommentSubject"/>
    <w:uiPriority w:val="99"/>
    <w:semiHidden/>
    <w:rsid w:val="00E12DC3"/>
    <w:rPr>
      <w:b/>
      <w:bCs/>
      <w:kern w:val="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643030">
      <w:bodyDiv w:val="1"/>
      <w:marLeft w:val="0"/>
      <w:marRight w:val="0"/>
      <w:marTop w:val="0"/>
      <w:marBottom w:val="0"/>
      <w:divBdr>
        <w:top w:val="none" w:sz="0" w:space="0" w:color="auto"/>
        <w:left w:val="none" w:sz="0" w:space="0" w:color="auto"/>
        <w:bottom w:val="none" w:sz="0" w:space="0" w:color="auto"/>
        <w:right w:val="none" w:sz="0" w:space="0" w:color="auto"/>
      </w:divBdr>
    </w:div>
    <w:div w:id="1500728726">
      <w:bodyDiv w:val="1"/>
      <w:marLeft w:val="0"/>
      <w:marRight w:val="0"/>
      <w:marTop w:val="0"/>
      <w:marBottom w:val="0"/>
      <w:divBdr>
        <w:top w:val="none" w:sz="0" w:space="0" w:color="auto"/>
        <w:left w:val="none" w:sz="0" w:space="0" w:color="auto"/>
        <w:bottom w:val="none" w:sz="0" w:space="0" w:color="auto"/>
        <w:right w:val="none" w:sz="0" w:space="0" w:color="auto"/>
      </w:divBdr>
    </w:div>
    <w:div w:id="2060938956">
      <w:bodyDiv w:val="1"/>
      <w:marLeft w:val="0"/>
      <w:marRight w:val="0"/>
      <w:marTop w:val="0"/>
      <w:marBottom w:val="0"/>
      <w:divBdr>
        <w:top w:val="none" w:sz="0" w:space="0" w:color="auto"/>
        <w:left w:val="none" w:sz="0" w:space="0" w:color="auto"/>
        <w:bottom w:val="none" w:sz="0" w:space="0" w:color="auto"/>
        <w:right w:val="none" w:sz="0" w:space="0" w:color="auto"/>
      </w:divBdr>
      <w:divsChild>
        <w:div w:id="2132629206">
          <w:marLeft w:val="0"/>
          <w:marRight w:val="0"/>
          <w:marTop w:val="0"/>
          <w:marBottom w:val="0"/>
          <w:divBdr>
            <w:top w:val="none" w:sz="0" w:space="0" w:color="auto"/>
            <w:left w:val="none" w:sz="0" w:space="0" w:color="auto"/>
            <w:bottom w:val="none" w:sz="0" w:space="0" w:color="auto"/>
            <w:right w:val="none" w:sz="0" w:space="0" w:color="auto"/>
          </w:divBdr>
        </w:div>
        <w:div w:id="1739666904">
          <w:marLeft w:val="0"/>
          <w:marRight w:val="0"/>
          <w:marTop w:val="0"/>
          <w:marBottom w:val="0"/>
          <w:divBdr>
            <w:top w:val="none" w:sz="0" w:space="0" w:color="auto"/>
            <w:left w:val="none" w:sz="0" w:space="0" w:color="auto"/>
            <w:bottom w:val="none" w:sz="0" w:space="0" w:color="auto"/>
            <w:right w:val="none" w:sz="0" w:space="0" w:color="auto"/>
          </w:divBdr>
        </w:div>
        <w:div w:id="11016866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4"/>
    <customShpInfo spid="_x0000_s1033"/>
    <customShpInfo spid="_x0000_s1036"/>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8</Pages>
  <Words>2673</Words>
  <Characters>15238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Saundarya Damekar</dc:creator>
  <cp:lastModifiedBy>Murugesan Sannasi</cp:lastModifiedBy>
  <cp:revision>43</cp:revision>
  <dcterms:created xsi:type="dcterms:W3CDTF">2025-07-09T13:56:00Z</dcterms:created>
  <dcterms:modified xsi:type="dcterms:W3CDTF">2025-08-03T16:09:00Z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CE327E0113A34197AEDF8AEB84D8F27D_12</vt:lpwstr>
  </property>
</Properties>
</file>