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F57F" w14:textId="6E5AA281" w:rsidR="008248B8" w:rsidRDefault="008248B8" w:rsidP="00441B6F">
      <w:pPr>
        <w:pStyle w:val="Author"/>
        <w:spacing w:line="240" w:lineRule="auto"/>
        <w:rPr>
          <w:rFonts w:ascii="Arial" w:hAnsi="Arial" w:cs="Arial"/>
          <w:bCs/>
          <w:i/>
          <w:iCs/>
          <w:kern w:val="28"/>
          <w:sz w:val="36"/>
          <w:u w:val="single"/>
        </w:rPr>
      </w:pPr>
      <w:r w:rsidRPr="008248B8">
        <w:rPr>
          <w:rFonts w:ascii="Arial" w:hAnsi="Arial" w:cs="Arial"/>
          <w:bCs/>
          <w:i/>
          <w:iCs/>
          <w:kern w:val="28"/>
          <w:sz w:val="36"/>
          <w:u w:val="single"/>
        </w:rPr>
        <w:t>Original Research Article</w:t>
      </w:r>
    </w:p>
    <w:p w14:paraId="43ED275B" w14:textId="77777777" w:rsidR="008248B8" w:rsidRDefault="008248B8" w:rsidP="00441B6F">
      <w:pPr>
        <w:pStyle w:val="Author"/>
        <w:spacing w:line="240" w:lineRule="auto"/>
        <w:rPr>
          <w:rFonts w:ascii="Arial" w:hAnsi="Arial" w:cs="Arial"/>
          <w:bCs/>
          <w:iCs/>
          <w:kern w:val="28"/>
          <w:sz w:val="36"/>
        </w:rPr>
      </w:pPr>
    </w:p>
    <w:p w14:paraId="16200B49" w14:textId="77967C21" w:rsidR="00163BC4" w:rsidRPr="00163BC4" w:rsidRDefault="0060737C" w:rsidP="00441B6F">
      <w:pPr>
        <w:pStyle w:val="Author"/>
        <w:spacing w:line="240" w:lineRule="auto"/>
        <w:rPr>
          <w:rFonts w:ascii="Arial" w:hAnsi="Arial" w:cs="Arial"/>
          <w:bCs/>
          <w:iCs/>
          <w:kern w:val="28"/>
          <w:sz w:val="36"/>
        </w:rPr>
      </w:pPr>
      <w:commentRangeStart w:id="0"/>
      <w:r w:rsidRPr="0060737C">
        <w:rPr>
          <w:rFonts w:ascii="Arial" w:hAnsi="Arial" w:cs="Arial"/>
          <w:bCs/>
          <w:iCs/>
          <w:kern w:val="28"/>
          <w:sz w:val="36"/>
        </w:rPr>
        <w:t xml:space="preserve">Expert perspectives on the </w:t>
      </w:r>
      <w:bookmarkStart w:id="1" w:name="_Hlk207877991"/>
      <w:r w:rsidRPr="0060737C">
        <w:rPr>
          <w:rFonts w:ascii="Arial" w:hAnsi="Arial" w:cs="Arial"/>
          <w:bCs/>
          <w:iCs/>
          <w:kern w:val="28"/>
          <w:sz w:val="36"/>
        </w:rPr>
        <w:t>use of ursodeoxycholic acid in managing liver disorders</w:t>
      </w:r>
      <w:bookmarkEnd w:id="1"/>
      <w:r w:rsidRPr="0060737C">
        <w:rPr>
          <w:rFonts w:ascii="Arial" w:hAnsi="Arial" w:cs="Arial"/>
          <w:bCs/>
          <w:iCs/>
          <w:kern w:val="28"/>
          <w:sz w:val="36"/>
        </w:rPr>
        <w:t xml:space="preserve"> in Indian settings</w:t>
      </w:r>
      <w:r w:rsidR="00231920">
        <w:rPr>
          <w:rFonts w:ascii="Arial" w:hAnsi="Arial" w:cs="Arial"/>
          <w:bCs/>
          <w:iCs/>
          <w:kern w:val="28"/>
          <w:sz w:val="36"/>
        </w:rPr>
        <w:t xml:space="preserve"> </w:t>
      </w:r>
      <w:commentRangeEnd w:id="0"/>
      <w:r w:rsidR="00A86CD1">
        <w:rPr>
          <w:rStyle w:val="CommentReference"/>
          <w:rFonts w:ascii="Times New Roman" w:hAnsi="Times New Roman"/>
          <w:b w:val="0"/>
          <w:lang w:val="nb-NO" w:eastAsia="nb-NO"/>
        </w:rPr>
        <w:commentReference w:id="0"/>
      </w:r>
    </w:p>
    <w:p w14:paraId="665DC011" w14:textId="77777777" w:rsidR="00A258C3" w:rsidRPr="00790ADA" w:rsidRDefault="00A258C3" w:rsidP="00441B6F">
      <w:pPr>
        <w:pStyle w:val="Author"/>
        <w:spacing w:line="240" w:lineRule="auto"/>
        <w:jc w:val="both"/>
        <w:rPr>
          <w:rFonts w:ascii="Arial" w:hAnsi="Arial" w:cs="Arial"/>
          <w:sz w:val="36"/>
        </w:rPr>
      </w:pPr>
    </w:p>
    <w:p w14:paraId="290E86C8" w14:textId="77777777" w:rsidR="006A00B8" w:rsidRDefault="006A00B8" w:rsidP="006A00B8">
      <w:pPr>
        <w:pStyle w:val="Affiliation"/>
        <w:spacing w:after="0" w:line="240" w:lineRule="auto"/>
        <w:jc w:val="both"/>
        <w:rPr>
          <w:rFonts w:ascii="Arial" w:hAnsi="Arial" w:cs="Arial"/>
        </w:rPr>
      </w:pPr>
    </w:p>
    <w:p w14:paraId="3F2D537D" w14:textId="0DBB724B" w:rsidR="00B01FCD" w:rsidRPr="00FB3A86" w:rsidRDefault="00A86CD1" w:rsidP="00441B6F">
      <w:pPr>
        <w:pStyle w:val="Copyright"/>
        <w:spacing w:after="0" w:line="240" w:lineRule="auto"/>
        <w:jc w:val="both"/>
        <w:rPr>
          <w:rFonts w:ascii="Arial" w:hAnsi="Arial" w:cs="Arial"/>
        </w:rPr>
        <w:sectPr w:rsidR="00B01FCD" w:rsidRPr="00FB3A86" w:rsidSect="00DC3E2D">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2995003" wp14:editId="0B59C3DB">
                <wp:extent cx="5303520" cy="635"/>
                <wp:effectExtent l="13335" t="18415" r="17145" b="10160"/>
                <wp:docPr id="15989990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294E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08A6277" w14:textId="77777777" w:rsidTr="001E44FE">
        <w:tc>
          <w:tcPr>
            <w:tcW w:w="9576" w:type="dxa"/>
            <w:shd w:val="clear" w:color="auto" w:fill="F2F2F2"/>
          </w:tcPr>
          <w:p w14:paraId="09ECB09E" w14:textId="77777777" w:rsidR="0060737C" w:rsidRPr="0060737C" w:rsidRDefault="0060737C" w:rsidP="0060737C">
            <w:pPr>
              <w:pStyle w:val="Body"/>
              <w:rPr>
                <w:rFonts w:ascii="Arial" w:eastAsia="Calibri" w:hAnsi="Arial" w:cs="Arial"/>
                <w:b/>
                <w:szCs w:val="22"/>
                <w:lang w:val="en-IN"/>
              </w:rPr>
            </w:pPr>
            <w:r w:rsidRPr="0060737C">
              <w:rPr>
                <w:rFonts w:ascii="Arial" w:eastAsia="Calibri" w:hAnsi="Arial" w:cs="Arial"/>
                <w:b/>
                <w:szCs w:val="22"/>
                <w:lang w:val="en-IN"/>
              </w:rPr>
              <w:t xml:space="preserve">Objective: </w:t>
            </w:r>
            <w:r w:rsidRPr="0060737C">
              <w:rPr>
                <w:rFonts w:ascii="Arial" w:eastAsia="Calibri" w:hAnsi="Arial" w:cs="Arial"/>
                <w:bCs/>
                <w:szCs w:val="22"/>
                <w:lang w:val="en-IN"/>
              </w:rPr>
              <w:t>To gather expert opinion on the use of ursodeoxycholic acid (UDCA) in the management of liver disorders in Indian settings.</w:t>
            </w:r>
          </w:p>
          <w:p w14:paraId="58405212" w14:textId="77777777" w:rsidR="0060737C" w:rsidRPr="0060737C" w:rsidRDefault="0060737C" w:rsidP="0060737C">
            <w:pPr>
              <w:pStyle w:val="Body"/>
              <w:rPr>
                <w:rFonts w:ascii="Arial" w:eastAsia="Calibri" w:hAnsi="Arial" w:cs="Arial"/>
                <w:bCs/>
                <w:szCs w:val="22"/>
                <w:lang w:val="en-IN"/>
              </w:rPr>
            </w:pPr>
            <w:r w:rsidRPr="0060737C">
              <w:rPr>
                <w:rFonts w:ascii="Arial" w:eastAsia="Calibri" w:hAnsi="Arial" w:cs="Arial"/>
                <w:b/>
                <w:szCs w:val="22"/>
                <w:lang w:val="en-IN"/>
              </w:rPr>
              <w:t xml:space="preserve">Methodology: </w:t>
            </w:r>
            <w:r w:rsidRPr="0060737C">
              <w:rPr>
                <w:rFonts w:ascii="Arial" w:eastAsia="Calibri" w:hAnsi="Arial" w:cs="Arial"/>
                <w:bCs/>
                <w:szCs w:val="22"/>
                <w:lang w:val="en-IN"/>
              </w:rPr>
              <w:t xml:space="preserve">The cross-sectional study used a 22-item, multiple-response questionnaire to capture expert insights on diagnosis, clinical spectrum, therapeutic indications, dosing preferences, and experiences with UDCA. The study included specialists experienced in managing liver diseases in routine Indian settings. Data were </w:t>
            </w:r>
            <w:commentRangeStart w:id="2"/>
            <w:r w:rsidRPr="0060737C">
              <w:rPr>
                <w:rFonts w:ascii="Arial" w:eastAsia="Calibri" w:hAnsi="Arial" w:cs="Arial"/>
                <w:bCs/>
                <w:szCs w:val="22"/>
                <w:lang w:val="en-IN"/>
              </w:rPr>
              <w:t>analyzed</w:t>
            </w:r>
            <w:commentRangeEnd w:id="2"/>
            <w:r w:rsidR="00187CF9">
              <w:rPr>
                <w:rStyle w:val="CommentReference"/>
                <w:rFonts w:ascii="Times New Roman" w:hAnsi="Times New Roman"/>
                <w:lang w:val="nb-NO" w:eastAsia="nb-NO"/>
              </w:rPr>
              <w:commentReference w:id="2"/>
            </w:r>
            <w:r w:rsidRPr="0060737C">
              <w:rPr>
                <w:rFonts w:ascii="Arial" w:eastAsia="Calibri" w:hAnsi="Arial" w:cs="Arial"/>
                <w:bCs/>
                <w:szCs w:val="22"/>
                <w:lang w:val="en-IN"/>
              </w:rPr>
              <w:t xml:space="preserve"> using descriptive statistics.</w:t>
            </w:r>
          </w:p>
          <w:p w14:paraId="369970FB" w14:textId="72B61681" w:rsidR="0060737C" w:rsidRPr="0060737C" w:rsidRDefault="0060737C" w:rsidP="0060737C">
            <w:pPr>
              <w:pStyle w:val="Body"/>
              <w:rPr>
                <w:rFonts w:ascii="Arial" w:eastAsia="Calibri" w:hAnsi="Arial" w:cs="Arial"/>
                <w:bCs/>
                <w:szCs w:val="22"/>
                <w:lang w:val="en-IN"/>
              </w:rPr>
            </w:pPr>
            <w:r w:rsidRPr="0060737C">
              <w:rPr>
                <w:rFonts w:ascii="Arial" w:eastAsia="Calibri" w:hAnsi="Arial" w:cs="Arial"/>
                <w:b/>
                <w:szCs w:val="22"/>
                <w:lang w:val="en-IN"/>
              </w:rPr>
              <w:t xml:space="preserve">Results: </w:t>
            </w:r>
            <w:r w:rsidRPr="0060737C">
              <w:rPr>
                <w:rFonts w:ascii="Arial" w:eastAsia="Calibri" w:hAnsi="Arial" w:cs="Arial"/>
                <w:bCs/>
                <w:szCs w:val="22"/>
                <w:lang w:val="en-IN"/>
              </w:rPr>
              <w:t xml:space="preserve">The </w:t>
            </w:r>
            <w:r w:rsidR="00296F36" w:rsidRPr="0060737C">
              <w:rPr>
                <w:rFonts w:ascii="Arial" w:eastAsia="Calibri" w:hAnsi="Arial" w:cs="Arial"/>
                <w:bCs/>
                <w:szCs w:val="22"/>
                <w:lang w:val="en-IN"/>
              </w:rPr>
              <w:t xml:space="preserve">study </w:t>
            </w:r>
            <w:r w:rsidRPr="0060737C">
              <w:rPr>
                <w:rFonts w:ascii="Arial" w:eastAsia="Calibri" w:hAnsi="Arial" w:cs="Arial"/>
                <w:bCs/>
                <w:szCs w:val="22"/>
                <w:lang w:val="en-IN"/>
              </w:rPr>
              <w:t>comprised 519 clinicians, with approximately 53% identifying metabolically-dysfunction-associated fatty liver disease (MAFLD) as the most common liver condition. According to 79% of participants, the advantages of UDCA in managing liver diseases include inhibition of bile acid synthesis, reduction of cholesterol absorption in the intestines, protection of cholangiocytes from the toxic effects of bile acids, and stimulation of hepatocellular regeneration. As reported by 77% of clinicians, the preferred UDCA dose for patients with MAFLD was 300 mg twice daily. UDCA is considered a first-line treatment by 70% of experts for conditions such as hepatic encephalopathy, primary biliary cholangitis (PBC), hepatocellular carcinoma, alcoholic liver disease, MAFLD, and NASH. About 46% of respondents found UDCA very effective in treating primary cirrhosis. Most clinicians (81.7%) indicated that UDCA therapy improves liver enzyme levels, slows disease progression, and enhances liver histology in patients with chronic cholestatic liver disease, particularly PBC.</w:t>
            </w:r>
          </w:p>
          <w:p w14:paraId="45CBA51F" w14:textId="22A9036A" w:rsidR="00505F06" w:rsidRPr="006A00B8" w:rsidRDefault="0060737C" w:rsidP="0060737C">
            <w:pPr>
              <w:pStyle w:val="Body"/>
              <w:spacing w:after="0"/>
              <w:rPr>
                <w:rFonts w:ascii="Arial" w:eastAsia="Calibri" w:hAnsi="Arial" w:cs="Arial"/>
                <w:szCs w:val="22"/>
                <w:lang w:val="en-IN"/>
              </w:rPr>
            </w:pPr>
            <w:r w:rsidRPr="0060737C">
              <w:rPr>
                <w:rFonts w:ascii="Arial" w:eastAsia="Calibri" w:hAnsi="Arial" w:cs="Arial"/>
                <w:b/>
                <w:szCs w:val="22"/>
                <w:lang w:val="en-IN"/>
              </w:rPr>
              <w:t xml:space="preserve">Conclusion: </w:t>
            </w:r>
            <w:r w:rsidRPr="0060737C">
              <w:rPr>
                <w:rFonts w:ascii="Arial" w:eastAsia="Calibri" w:hAnsi="Arial" w:cs="Arial"/>
                <w:bCs/>
                <w:szCs w:val="22"/>
                <w:lang w:val="en-IN"/>
              </w:rPr>
              <w:t xml:space="preserve">The </w:t>
            </w:r>
            <w:r w:rsidR="00296F36" w:rsidRPr="0060737C">
              <w:rPr>
                <w:rFonts w:ascii="Arial" w:eastAsia="Calibri" w:hAnsi="Arial" w:cs="Arial"/>
                <w:bCs/>
                <w:szCs w:val="22"/>
                <w:lang w:val="en-IN"/>
              </w:rPr>
              <w:t xml:space="preserve">study </w:t>
            </w:r>
            <w:r w:rsidRPr="0060737C">
              <w:rPr>
                <w:rFonts w:ascii="Arial" w:eastAsia="Calibri" w:hAnsi="Arial" w:cs="Arial"/>
                <w:bCs/>
                <w:szCs w:val="22"/>
                <w:lang w:val="en-IN"/>
              </w:rPr>
              <w:t>demonstrates that Indian clinicians widely recognize UDCA as a first-line therapy for diverse liver disorders, especially MAFLD and chronic cholestatic conditions such as PBC. UDCA 300 mg twice daily is the preferred regimen, with strong consensus on its efficacy in improving liver enzymes, slowing disease progression, and enhancing liver histology in clinical practice.</w:t>
            </w:r>
          </w:p>
        </w:tc>
      </w:tr>
    </w:tbl>
    <w:p w14:paraId="47F03EA8" w14:textId="77777777" w:rsidR="00636EB2" w:rsidRDefault="00636EB2" w:rsidP="00441B6F">
      <w:pPr>
        <w:pStyle w:val="Body"/>
        <w:spacing w:after="0"/>
        <w:rPr>
          <w:rFonts w:ascii="Arial" w:hAnsi="Arial" w:cs="Arial"/>
          <w:i/>
        </w:rPr>
      </w:pPr>
    </w:p>
    <w:p w14:paraId="66A07B2F" w14:textId="0B28A268"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60737C" w:rsidRPr="0060737C">
        <w:rPr>
          <w:rFonts w:ascii="Arial" w:hAnsi="Arial" w:cs="Arial"/>
          <w:i/>
        </w:rPr>
        <w:t xml:space="preserve">Alcoholic Liver disease, Ursodeoxycholic acid, MAFLD, primary biliary cholangitis </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19C710BD" w14:textId="1C0CAB14" w:rsidR="0060737C" w:rsidRDefault="0060737C" w:rsidP="0060737C">
      <w:pPr>
        <w:jc w:val="both"/>
        <w:rPr>
          <w:rFonts w:ascii="Arial" w:hAnsi="Arial" w:cs="Arial"/>
          <w:vertAlign w:val="superscript"/>
          <w:lang w:val="en-GB"/>
        </w:rPr>
      </w:pPr>
      <w:r w:rsidRPr="0060737C">
        <w:rPr>
          <w:rFonts w:ascii="Arial" w:hAnsi="Arial" w:cs="Arial"/>
          <w:lang w:val="en-GB"/>
        </w:rPr>
        <w:t xml:space="preserve">Liver diseases represent a major global public health challenge, with an increasing burden </w:t>
      </w:r>
      <w:bookmarkStart w:id="3" w:name="_Int_FclwdS6y"/>
      <w:r w:rsidRPr="0060737C">
        <w:rPr>
          <w:rFonts w:ascii="Arial" w:hAnsi="Arial" w:cs="Arial"/>
          <w:lang w:val="en-GB"/>
        </w:rPr>
        <w:t>observed</w:t>
      </w:r>
      <w:bookmarkEnd w:id="3"/>
      <w:r w:rsidRPr="0060737C">
        <w:rPr>
          <w:rFonts w:ascii="Arial" w:hAnsi="Arial" w:cs="Arial"/>
          <w:lang w:val="en-GB"/>
        </w:rPr>
        <w:t xml:space="preserve"> due to metabolic dysfunction–associated fatty liver disease (MAFLD), alcohol-related liver disease, and viral hepatitis.</w:t>
      </w:r>
      <w:r w:rsidRPr="0060737C">
        <w:rPr>
          <w:rFonts w:ascii="Arial" w:hAnsi="Arial" w:cs="Arial"/>
          <w:vertAlign w:val="superscript"/>
          <w:lang w:val="en-GB"/>
        </w:rPr>
        <w:t>1</w:t>
      </w:r>
      <w:r w:rsidRPr="0060737C">
        <w:rPr>
          <w:rFonts w:ascii="Arial" w:hAnsi="Arial" w:cs="Arial"/>
          <w:lang w:val="en-GB"/>
        </w:rPr>
        <w:t xml:space="preserve"> Globally, liver disease accounts for nearly 2 million deaths annually, often progressing to cirrhosis, hepatocellular carcinoma, and cholestatic disorders, thereby contributing substantially to morbidity and mortality. Cirrhosis ranks as the </w:t>
      </w:r>
      <w:r w:rsidRPr="0060737C">
        <w:rPr>
          <w:rFonts w:ascii="Arial" w:hAnsi="Arial" w:cs="Arial"/>
          <w:lang w:val="en-GB"/>
        </w:rPr>
        <w:lastRenderedPageBreak/>
        <w:t>11</w:t>
      </w:r>
      <w:r w:rsidRPr="0060737C">
        <w:rPr>
          <w:rFonts w:ascii="Arial" w:hAnsi="Arial" w:cs="Arial"/>
          <w:vertAlign w:val="superscript"/>
          <w:lang w:val="en-GB"/>
        </w:rPr>
        <w:t>th</w:t>
      </w:r>
      <w:r w:rsidRPr="0060737C">
        <w:rPr>
          <w:rFonts w:ascii="Arial" w:hAnsi="Arial" w:cs="Arial"/>
          <w:lang w:val="en-GB"/>
        </w:rPr>
        <w:t xml:space="preserve"> leading cause of death worldwide, while liver cancer ranks 16th; together, they are responsible for 3.5% of all global deaths.</w:t>
      </w:r>
      <w:r w:rsidRPr="0060737C">
        <w:rPr>
          <w:rFonts w:ascii="Arial" w:hAnsi="Arial" w:cs="Arial"/>
          <w:vertAlign w:val="superscript"/>
          <w:lang w:val="en-GB"/>
        </w:rPr>
        <w:t>2</w:t>
      </w:r>
      <w:r w:rsidRPr="0060737C">
        <w:rPr>
          <w:rFonts w:ascii="Arial" w:hAnsi="Arial" w:cs="Arial"/>
          <w:lang w:val="en-GB"/>
        </w:rPr>
        <w:t xml:space="preserve"> More than 400 million individuals are chronically infected with the hepatitis B virus (HBV) and over 170 million with the hepatitis C virus (HCV).</w:t>
      </w:r>
      <w:r w:rsidRPr="0060737C">
        <w:rPr>
          <w:rFonts w:ascii="Arial" w:hAnsi="Arial" w:cs="Arial"/>
          <w:vertAlign w:val="superscript"/>
          <w:lang w:val="en-GB"/>
        </w:rPr>
        <w:t>3</w:t>
      </w:r>
      <w:r w:rsidRPr="0060737C">
        <w:rPr>
          <w:rFonts w:ascii="Arial" w:hAnsi="Arial" w:cs="Arial"/>
          <w:lang w:val="en-GB"/>
        </w:rPr>
        <w:t xml:space="preserve"> In recent decades, non-alcoholic fatty liver disease (NAFLD) has emerged as the most frequent cause of chronic liver disease worldwide, with prevalence estimates rising from 25.3% during 1990–2006 to nearly 38% in 2016–2019.</w:t>
      </w:r>
      <w:r w:rsidRPr="0060737C">
        <w:rPr>
          <w:rFonts w:ascii="Arial" w:hAnsi="Arial" w:cs="Arial"/>
          <w:vertAlign w:val="superscript"/>
          <w:lang w:val="en-GB"/>
        </w:rPr>
        <w:t>4,5</w:t>
      </w:r>
    </w:p>
    <w:p w14:paraId="70E54609" w14:textId="77777777" w:rsidR="0060737C" w:rsidRPr="0060737C" w:rsidRDefault="0060737C" w:rsidP="0060737C">
      <w:pPr>
        <w:jc w:val="both"/>
        <w:rPr>
          <w:rFonts w:ascii="Arial" w:hAnsi="Arial" w:cs="Arial"/>
          <w:vertAlign w:val="superscript"/>
          <w:lang w:val="en-GB"/>
        </w:rPr>
      </w:pPr>
    </w:p>
    <w:p w14:paraId="77649B79" w14:textId="77777777" w:rsidR="0060737C" w:rsidRDefault="0060737C" w:rsidP="0060737C">
      <w:pPr>
        <w:jc w:val="both"/>
        <w:rPr>
          <w:rFonts w:ascii="Arial" w:hAnsi="Arial" w:cs="Arial"/>
          <w:vertAlign w:val="superscript"/>
          <w:lang w:val="en-GB"/>
        </w:rPr>
      </w:pPr>
      <w:r w:rsidRPr="0060737C">
        <w:rPr>
          <w:rFonts w:ascii="Arial" w:eastAsia="Calibri" w:hAnsi="Arial" w:cs="Arial"/>
          <w:lang w:val="en-GB"/>
        </w:rPr>
        <w:t>According to the latest WHO data (2017), liver disease accounts for nearly 3% of total deaths in India, contributing to one-fifth of all cirrhosis-related mortality worldwide.</w:t>
      </w:r>
      <w:r w:rsidRPr="0060737C">
        <w:rPr>
          <w:rFonts w:ascii="Arial" w:eastAsia="Calibri" w:hAnsi="Arial" w:cs="Arial"/>
          <w:vertAlign w:val="superscript"/>
          <w:lang w:val="en-GB"/>
        </w:rPr>
        <w:t>6</w:t>
      </w:r>
      <w:r w:rsidRPr="0060737C">
        <w:rPr>
          <w:rFonts w:ascii="Arial" w:eastAsia="Calibri" w:hAnsi="Arial" w:cs="Arial"/>
          <w:lang w:val="en-GB"/>
        </w:rPr>
        <w:t xml:space="preserve"> </w:t>
      </w:r>
      <w:r w:rsidRPr="0060737C">
        <w:rPr>
          <w:rFonts w:ascii="Arial" w:hAnsi="Arial" w:cs="Arial"/>
          <w:lang w:val="en-GB"/>
        </w:rPr>
        <w:t xml:space="preserve">The pooled prevalence of NAFLD in India has been reported as 38.6% among adults and 35.4% among children, with no significant sex differences. </w:t>
      </w:r>
      <w:r w:rsidRPr="0060737C">
        <w:rPr>
          <w:rFonts w:ascii="Arial" w:eastAsia="Calibri" w:hAnsi="Arial" w:cs="Arial"/>
          <w:lang w:val="en-GB"/>
        </w:rPr>
        <w:t>The prevalence in both rural and urban Indian populations exceeds the global average, underscoring the urgent need for effective and widely applicable management strategies</w:t>
      </w:r>
      <w:r w:rsidRPr="0060737C">
        <w:rPr>
          <w:rFonts w:ascii="Arial" w:hAnsi="Arial" w:cs="Arial"/>
          <w:lang w:val="en-GB"/>
        </w:rPr>
        <w:t>.</w:t>
      </w:r>
      <w:r w:rsidRPr="0060737C">
        <w:rPr>
          <w:rFonts w:ascii="Arial" w:hAnsi="Arial" w:cs="Arial"/>
          <w:vertAlign w:val="superscript"/>
          <w:lang w:val="en-GB"/>
        </w:rPr>
        <w:t>7</w:t>
      </w:r>
    </w:p>
    <w:p w14:paraId="50E859EF" w14:textId="77777777" w:rsidR="0060737C" w:rsidRPr="0060737C" w:rsidRDefault="0060737C" w:rsidP="0060737C">
      <w:pPr>
        <w:jc w:val="both"/>
        <w:rPr>
          <w:rFonts w:ascii="Arial" w:hAnsi="Arial" w:cs="Arial"/>
          <w:lang w:val="en-GB"/>
        </w:rPr>
      </w:pPr>
    </w:p>
    <w:p w14:paraId="69AD7919" w14:textId="77777777" w:rsidR="0060737C" w:rsidRDefault="0060737C" w:rsidP="0060737C">
      <w:pPr>
        <w:jc w:val="both"/>
        <w:rPr>
          <w:rFonts w:ascii="Arial" w:hAnsi="Arial" w:cs="Arial"/>
          <w:vertAlign w:val="superscript"/>
          <w:lang w:val="en-GB"/>
        </w:rPr>
      </w:pPr>
      <w:r w:rsidRPr="0060737C">
        <w:rPr>
          <w:rFonts w:ascii="Arial" w:hAnsi="Arial" w:cs="Arial"/>
          <w:lang w:val="en-GB"/>
        </w:rPr>
        <w:t xml:space="preserve">Ursodeoxycholic acid (UDCA), a hydrophilic bile acid, has established therapeutic benefits in several liver disorders. It is the first-line treatment for primary biliary cholangitis (PBC), where it improves liver enzyme levels, slows disease progression, and enhances survival. It is also useful in cholesterol gallstone dissolution and has demonstrated benefits in MAFLD by improving hepatic steatosis and normalizing liver enzymes. Its role has further been explored in </w:t>
      </w:r>
      <w:commentRangeStart w:id="4"/>
      <w:r w:rsidRPr="0060737C">
        <w:rPr>
          <w:rFonts w:ascii="Arial" w:hAnsi="Arial" w:cs="Arial"/>
          <w:lang w:val="en-GB"/>
        </w:rPr>
        <w:t xml:space="preserve">nonalcoholic </w:t>
      </w:r>
      <w:commentRangeEnd w:id="4"/>
      <w:r w:rsidR="00187CF9">
        <w:rPr>
          <w:rStyle w:val="CommentReference"/>
          <w:rFonts w:ascii="Times New Roman" w:hAnsi="Times New Roman"/>
          <w:lang w:val="nb-NO" w:eastAsia="nb-NO"/>
        </w:rPr>
        <w:commentReference w:id="4"/>
      </w:r>
      <w:r w:rsidRPr="0060737C">
        <w:rPr>
          <w:rFonts w:ascii="Arial" w:hAnsi="Arial" w:cs="Arial"/>
          <w:lang w:val="en-GB"/>
        </w:rPr>
        <w:t xml:space="preserve">steatohepatitis (NASH) and </w:t>
      </w:r>
      <w:commentRangeStart w:id="5"/>
      <w:r w:rsidRPr="0060737C">
        <w:rPr>
          <w:rFonts w:ascii="Arial" w:hAnsi="Arial" w:cs="Arial"/>
          <w:lang w:val="en-GB"/>
        </w:rPr>
        <w:t>pediatric</w:t>
      </w:r>
      <w:commentRangeEnd w:id="5"/>
      <w:r w:rsidR="00A86CD1">
        <w:rPr>
          <w:rStyle w:val="CommentReference"/>
          <w:rFonts w:ascii="Times New Roman" w:hAnsi="Times New Roman"/>
          <w:lang w:val="nb-NO" w:eastAsia="nb-NO"/>
        </w:rPr>
        <w:commentReference w:id="5"/>
      </w:r>
      <w:r w:rsidRPr="0060737C">
        <w:rPr>
          <w:rFonts w:ascii="Arial" w:hAnsi="Arial" w:cs="Arial"/>
          <w:lang w:val="en-GB"/>
        </w:rPr>
        <w:t xml:space="preserve"> cholestatic disorders.</w:t>
      </w:r>
      <w:r w:rsidRPr="0060737C">
        <w:rPr>
          <w:rFonts w:ascii="Arial" w:hAnsi="Arial" w:cs="Arial"/>
          <w:vertAlign w:val="superscript"/>
          <w:lang w:val="en-GB"/>
        </w:rPr>
        <w:t>8</w:t>
      </w:r>
    </w:p>
    <w:p w14:paraId="77F626CF" w14:textId="77777777" w:rsidR="0060737C" w:rsidRPr="0060737C" w:rsidRDefault="0060737C" w:rsidP="0060737C">
      <w:pPr>
        <w:jc w:val="both"/>
        <w:rPr>
          <w:rFonts w:ascii="Arial" w:hAnsi="Arial" w:cs="Arial"/>
          <w:lang w:val="en-GB"/>
        </w:rPr>
      </w:pPr>
    </w:p>
    <w:p w14:paraId="3F0BB5EF" w14:textId="36085566" w:rsidR="0060737C" w:rsidRDefault="0060737C" w:rsidP="0060737C">
      <w:pPr>
        <w:jc w:val="both"/>
        <w:rPr>
          <w:rFonts w:ascii="Arial" w:hAnsi="Arial" w:cs="Arial"/>
        </w:rPr>
      </w:pPr>
      <w:r w:rsidRPr="0060737C">
        <w:rPr>
          <w:rFonts w:ascii="Arial" w:hAnsi="Arial" w:cs="Arial"/>
        </w:rPr>
        <w:t>The mechanism of action of UDCA is multifaceted. It stimulates bile secretion, improves bile flow, and replaces toxic hydrophobic bile acids, thereby reducing cholestasis and hepatocellular injury. At the cellular level, UDCA protects cholangiocytes from bile salt–induced damage, stabilizes mitochondrial membranes, and prevents hepatocyte apoptosis. In addition, it exerts immunomodulatory and anti-inflammatory effects, reducing cytokine-mediated injury and fibrosis progression. UDCA also enhances hepatocellular regeneration and downregulates bile acid synthesis through feedback inhibition, further reducing hepatotoxic stress.</w:t>
      </w:r>
      <w:r w:rsidRPr="0060737C">
        <w:rPr>
          <w:rFonts w:ascii="Arial" w:hAnsi="Arial" w:cs="Arial"/>
          <w:vertAlign w:val="superscript"/>
        </w:rPr>
        <w:t>9</w:t>
      </w:r>
    </w:p>
    <w:p w14:paraId="6F4ABAD6" w14:textId="77777777" w:rsidR="0060737C" w:rsidRPr="0060737C" w:rsidRDefault="0060737C" w:rsidP="0060737C">
      <w:pPr>
        <w:jc w:val="both"/>
        <w:rPr>
          <w:rFonts w:ascii="Arial" w:hAnsi="Arial" w:cs="Arial"/>
        </w:rPr>
      </w:pPr>
    </w:p>
    <w:p w14:paraId="44A122D9" w14:textId="3F4F6359" w:rsidR="00B01FCD" w:rsidRPr="00C72046" w:rsidRDefault="0060737C" w:rsidP="0060737C">
      <w:pPr>
        <w:jc w:val="both"/>
        <w:rPr>
          <w:rFonts w:ascii="Arial" w:hAnsi="Arial" w:cs="Arial"/>
          <w:lang w:val="en-IN"/>
        </w:rPr>
      </w:pPr>
      <w:r w:rsidRPr="0060737C">
        <w:rPr>
          <w:rFonts w:ascii="Arial" w:eastAsia="Calibri" w:hAnsi="Arial" w:cs="Arial"/>
          <w:lang w:val="en-GB"/>
        </w:rPr>
        <w:t>Despite its long-standing use, variability persists in clinical practice regarding its optimal dosing, treatment duration, and broader applicability across liver diseases. This survey aims to gather clinicians’ perspectives on the use of UDCA in managing liver diseases in Indian settings.</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6994346E" w14:textId="77777777" w:rsidR="00296453" w:rsidRPr="00296453" w:rsidRDefault="00296453" w:rsidP="00296453">
      <w:pPr>
        <w:jc w:val="both"/>
        <w:rPr>
          <w:rFonts w:ascii="Arial" w:hAnsi="Arial" w:cs="Arial"/>
        </w:rPr>
      </w:pPr>
      <w:r w:rsidRPr="00296453">
        <w:rPr>
          <w:rFonts w:ascii="Arial" w:hAnsi="Arial" w:cs="Arial"/>
        </w:rPr>
        <w:t xml:space="preserve">We carried out a cross-sectional study among clinicians actively engaged in </w:t>
      </w:r>
      <w:r w:rsidRPr="00296453">
        <w:rPr>
          <w:rFonts w:ascii="Arial" w:eastAsia="Calibri" w:hAnsi="Arial" w:cs="Arial"/>
          <w:lang w:val="en-GB"/>
        </w:rPr>
        <w:t xml:space="preserve">liver disorders </w:t>
      </w:r>
      <w:r w:rsidRPr="00296453">
        <w:rPr>
          <w:rFonts w:ascii="Arial" w:hAnsi="Arial" w:cs="Arial"/>
        </w:rPr>
        <w:t>management across India from June 2024 to December 2024. The study was conducted after receiving approval from Bangalore Ethics, an Independent Ethics Committee, which was recognized by the Indian Regulatory Authority, the Drug Controller General of India.</w:t>
      </w:r>
    </w:p>
    <w:p w14:paraId="75AC4363" w14:textId="268D3883" w:rsidR="00296453" w:rsidRPr="00296453" w:rsidRDefault="00296453" w:rsidP="00296453">
      <w:pPr>
        <w:spacing w:before="240" w:after="240"/>
        <w:jc w:val="both"/>
        <w:rPr>
          <w:rFonts w:ascii="Arial" w:hAnsi="Arial" w:cs="Arial"/>
        </w:rPr>
      </w:pPr>
      <w:r w:rsidRPr="00296453">
        <w:rPr>
          <w:rFonts w:ascii="Arial" w:hAnsi="Arial" w:cs="Arial"/>
        </w:rPr>
        <w:t xml:space="preserve">A convenient sampling technique was used, and an invitation was sent to leading clinicians in managing </w:t>
      </w:r>
      <w:r w:rsidRPr="00296453">
        <w:rPr>
          <w:rFonts w:ascii="Arial" w:eastAsia="Calibri" w:hAnsi="Arial" w:cs="Arial"/>
          <w:lang w:val="en-GB"/>
        </w:rPr>
        <w:t xml:space="preserve">liver disorders </w:t>
      </w:r>
      <w:r w:rsidRPr="00296453">
        <w:rPr>
          <w:rFonts w:ascii="Arial" w:hAnsi="Arial" w:cs="Arial"/>
        </w:rPr>
        <w:t>in the month of March 2024 for participation in this Indian survey. About 519 clinicians from major cities of all Indian states, representing the geographical distribution, shared their willingness to participate and provide necessary data. The questionnaire booklet titled SOUL (Expert Perspective Study on UDCA in Liver Disorders) was sent to clinicians who were interested in participating in this study. The study questionnaire consisted of 22 items addressing diagnosis, clinical spectrum, therapeutic indications, dosing preferences, and expert experiences with UDCA in liver disorders</w:t>
      </w:r>
      <w:r w:rsidRPr="00296453">
        <w:rPr>
          <w:rFonts w:ascii="Arial" w:eastAsia="Calibri" w:hAnsi="Arial" w:cs="Arial"/>
        </w:rPr>
        <w:t>.</w:t>
      </w:r>
      <w:r w:rsidRPr="00296453">
        <w:rPr>
          <w:rFonts w:ascii="Arial" w:hAnsi="Arial" w:cs="Arial"/>
        </w:rPr>
        <w:t xml:space="preserve"> Reliability, as determined by a split-half test (coefficient alpha), was adequate but should be improved in future versions of the questionnaire. A study of criterion validity was undertaken to test the questionnaire and to develop methods of testing the validity of measures of </w:t>
      </w:r>
      <w:r w:rsidRPr="00296453">
        <w:rPr>
          <w:rFonts w:ascii="Arial" w:hAnsi="Arial" w:cs="Arial"/>
        </w:rPr>
        <w:lastRenderedPageBreak/>
        <w:t>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Written informed consent was obtained from all participants before the study commenced.</w:t>
      </w:r>
    </w:p>
    <w:p w14:paraId="6CA22E97" w14:textId="77777777" w:rsidR="00296453" w:rsidRPr="00296453" w:rsidRDefault="00296453" w:rsidP="00296453">
      <w:pPr>
        <w:jc w:val="both"/>
        <w:rPr>
          <w:rFonts w:ascii="Arial" w:hAnsi="Arial" w:cs="Arial"/>
          <w:b/>
          <w:bCs/>
          <w:lang w:val="en-GB"/>
        </w:rPr>
      </w:pPr>
      <w:r w:rsidRPr="00296453">
        <w:rPr>
          <w:rFonts w:ascii="Arial" w:hAnsi="Arial" w:cs="Arial"/>
          <w:b/>
          <w:bCs/>
          <w:lang w:val="en-GB"/>
        </w:rPr>
        <w:t xml:space="preserve">Statistical analysis  </w:t>
      </w:r>
    </w:p>
    <w:p w14:paraId="2DF73FDC" w14:textId="24E239FD" w:rsidR="003F71EF" w:rsidRPr="00296453" w:rsidRDefault="00296453" w:rsidP="00296453">
      <w:pPr>
        <w:jc w:val="both"/>
        <w:rPr>
          <w:rFonts w:ascii="Arial" w:hAnsi="Arial" w:cs="Arial"/>
        </w:rPr>
      </w:pPr>
      <w:r w:rsidRPr="00296453">
        <w:rPr>
          <w:rFonts w:ascii="Arial" w:eastAsia="Calibri" w:hAnsi="Arial" w:cs="Arial"/>
          <w:lang w:val="en-GB"/>
        </w:rPr>
        <w:t xml:space="preserve">The data were </w:t>
      </w:r>
      <w:commentRangeStart w:id="6"/>
      <w:r w:rsidRPr="00296453">
        <w:rPr>
          <w:rFonts w:ascii="Arial" w:eastAsia="Calibri" w:hAnsi="Arial" w:cs="Arial"/>
          <w:lang w:val="en-GB"/>
        </w:rPr>
        <w:t xml:space="preserve">analyzed </w:t>
      </w:r>
      <w:commentRangeEnd w:id="6"/>
      <w:r w:rsidR="00A86CD1">
        <w:rPr>
          <w:rStyle w:val="CommentReference"/>
          <w:rFonts w:ascii="Times New Roman" w:hAnsi="Times New Roman"/>
          <w:lang w:val="nb-NO" w:eastAsia="nb-NO"/>
        </w:rPr>
        <w:commentReference w:id="6"/>
      </w:r>
      <w:r w:rsidRPr="00296453">
        <w:rPr>
          <w:rFonts w:ascii="Arial" w:eastAsia="Calibri" w:hAnsi="Arial" w:cs="Arial"/>
          <w:lang w:val="en-GB"/>
        </w:rPr>
        <w:t>using descriptive statistics. Categorical variables were expressed as percentages to illustrate their distribution, with frequencies and corresponding percentages used to represent each variable. Graphs were generated in Microsoft Excel (version 16.0.18025.20030) to visualize the distribution of categorical variables.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2B8BC69E" w:rsidR="004F4227" w:rsidRDefault="00296453" w:rsidP="004F4227">
      <w:pPr>
        <w:pStyle w:val="Body"/>
        <w:rPr>
          <w:rFonts w:ascii="Arial" w:hAnsi="Arial" w:cs="Arial"/>
        </w:rPr>
      </w:pPr>
      <w:r w:rsidRPr="00296453">
        <w:rPr>
          <w:rFonts w:ascii="Arial" w:hAnsi="Arial" w:cs="Arial"/>
        </w:rPr>
        <w:t xml:space="preserve">The </w:t>
      </w:r>
      <w:r w:rsidR="00296F36" w:rsidRPr="0060737C">
        <w:rPr>
          <w:rFonts w:ascii="Arial" w:eastAsia="Calibri" w:hAnsi="Arial" w:cs="Arial"/>
          <w:bCs/>
          <w:szCs w:val="22"/>
          <w:lang w:val="en-IN"/>
        </w:rPr>
        <w:t xml:space="preserve">study </w:t>
      </w:r>
      <w:r w:rsidRPr="00296453">
        <w:rPr>
          <w:rFonts w:ascii="Arial" w:hAnsi="Arial" w:cs="Arial"/>
        </w:rPr>
        <w:t>included 519 clinicians, of whom approximately 53% considered MAFLD the most common liver disease in routine practice, while 41% reported alcoholic liver disease as the most prevalent (Table 1). According to 56% of respondents, an average of 6 to 10 cases of MAFLD are diagnosed monthly. About 61% of respondents indicated that the 31–45 years age group is most affected by MAFLD. Half of the participants (50.48%) reported that MAFLD occurs equally in both urban and rural populations.</w:t>
      </w:r>
    </w:p>
    <w:p w14:paraId="4DF2340E" w14:textId="7B7D547F" w:rsidR="00296453" w:rsidRPr="007306BB" w:rsidRDefault="00296453" w:rsidP="004F4227">
      <w:pPr>
        <w:pStyle w:val="Body"/>
        <w:rPr>
          <w:rFonts w:ascii="Arial" w:hAnsi="Arial" w:cs="Arial"/>
          <w:b/>
          <w:bCs/>
        </w:rPr>
      </w:pPr>
      <w:r w:rsidRPr="007306BB">
        <w:rPr>
          <w:rFonts w:ascii="Arial" w:hAnsi="Arial" w:cs="Arial"/>
          <w:b/>
          <w:bCs/>
        </w:rPr>
        <w:t>Table 1: Distribution of responses to the most common liver disease in routine practice</w:t>
      </w:r>
    </w:p>
    <w:tbl>
      <w:tblPr>
        <w:tblW w:w="7595" w:type="dxa"/>
        <w:jc w:val="center"/>
        <w:tblCellMar>
          <w:left w:w="0" w:type="dxa"/>
          <w:right w:w="0" w:type="dxa"/>
        </w:tblCellMar>
        <w:tblLook w:val="04A0" w:firstRow="1" w:lastRow="0" w:firstColumn="1" w:lastColumn="0" w:noHBand="0" w:noVBand="1"/>
      </w:tblPr>
      <w:tblGrid>
        <w:gridCol w:w="4382"/>
        <w:gridCol w:w="3213"/>
      </w:tblGrid>
      <w:tr w:rsidR="007306BB" w:rsidRPr="00F53142" w14:paraId="0ACE7678" w14:textId="77777777" w:rsidTr="007306BB">
        <w:trPr>
          <w:trHeight w:val="280"/>
          <w:jc w:val="center"/>
        </w:trPr>
        <w:tc>
          <w:tcPr>
            <w:tcW w:w="438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4BD4044" w14:textId="77777777" w:rsidR="007306BB" w:rsidRPr="007306BB" w:rsidRDefault="007306BB" w:rsidP="00200071">
            <w:pPr>
              <w:jc w:val="center"/>
              <w:rPr>
                <w:rFonts w:ascii="Arial" w:hAnsi="Arial" w:cs="Arial"/>
                <w:b/>
                <w:bCs/>
              </w:rPr>
            </w:pPr>
            <w:r w:rsidRPr="007306BB">
              <w:rPr>
                <w:rFonts w:ascii="Arial" w:hAnsi="Arial" w:cs="Arial"/>
                <w:b/>
                <w:bCs/>
              </w:rPr>
              <w:t>Liver diseases</w:t>
            </w:r>
          </w:p>
        </w:tc>
        <w:tc>
          <w:tcPr>
            <w:tcW w:w="3213"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6B572FB7" w14:textId="77777777" w:rsidR="007306BB" w:rsidRPr="007306BB" w:rsidRDefault="007306BB" w:rsidP="00200071">
            <w:pPr>
              <w:jc w:val="center"/>
              <w:rPr>
                <w:rFonts w:ascii="Arial" w:hAnsi="Arial" w:cs="Arial"/>
                <w:b/>
                <w:bCs/>
              </w:rPr>
            </w:pPr>
            <w:r w:rsidRPr="007306BB">
              <w:rPr>
                <w:rFonts w:ascii="Arial" w:hAnsi="Arial" w:cs="Arial"/>
                <w:b/>
                <w:bCs/>
              </w:rPr>
              <w:t>Response rate (n = 519)</w:t>
            </w:r>
          </w:p>
        </w:tc>
      </w:tr>
      <w:tr w:rsidR="007306BB" w:rsidRPr="00F53142" w14:paraId="3B88E914"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A39E28" w14:textId="77777777" w:rsidR="007306BB" w:rsidRPr="007306BB" w:rsidRDefault="007306BB" w:rsidP="00200071">
            <w:pPr>
              <w:jc w:val="center"/>
              <w:rPr>
                <w:rFonts w:ascii="Arial" w:hAnsi="Arial" w:cs="Arial"/>
              </w:rPr>
            </w:pPr>
            <w:r w:rsidRPr="007306BB">
              <w:rPr>
                <w:rFonts w:ascii="Arial" w:hAnsi="Arial" w:cs="Arial"/>
              </w:rPr>
              <w:t>Alcoholic liver disease</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71FB9" w14:textId="77777777" w:rsidR="007306BB" w:rsidRPr="007306BB" w:rsidRDefault="007306BB" w:rsidP="00200071">
            <w:pPr>
              <w:jc w:val="center"/>
              <w:rPr>
                <w:rFonts w:ascii="Arial" w:hAnsi="Arial" w:cs="Arial"/>
              </w:rPr>
            </w:pPr>
            <w:r w:rsidRPr="007306BB">
              <w:rPr>
                <w:rFonts w:ascii="Arial" w:hAnsi="Arial" w:cs="Arial"/>
              </w:rPr>
              <w:t>40.46%</w:t>
            </w:r>
          </w:p>
        </w:tc>
      </w:tr>
      <w:tr w:rsidR="007306BB" w:rsidRPr="00F53142" w14:paraId="16F4C73B"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627B43" w14:textId="77777777" w:rsidR="007306BB" w:rsidRPr="007306BB" w:rsidRDefault="007306BB" w:rsidP="00200071">
            <w:pPr>
              <w:jc w:val="center"/>
              <w:rPr>
                <w:rFonts w:ascii="Arial" w:hAnsi="Arial" w:cs="Arial"/>
              </w:rPr>
            </w:pPr>
            <w:r w:rsidRPr="007306BB">
              <w:rPr>
                <w:rFonts w:ascii="Arial" w:hAnsi="Arial" w:cs="Arial"/>
              </w:rPr>
              <w:t>MAFLD</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F6864" w14:textId="77777777" w:rsidR="007306BB" w:rsidRPr="007306BB" w:rsidRDefault="007306BB" w:rsidP="00200071">
            <w:pPr>
              <w:jc w:val="center"/>
              <w:rPr>
                <w:rFonts w:ascii="Arial" w:hAnsi="Arial" w:cs="Arial"/>
              </w:rPr>
            </w:pPr>
            <w:r w:rsidRPr="007306BB">
              <w:rPr>
                <w:rFonts w:ascii="Arial" w:hAnsi="Arial" w:cs="Arial"/>
              </w:rPr>
              <w:t>53.37%</w:t>
            </w:r>
          </w:p>
        </w:tc>
      </w:tr>
      <w:tr w:rsidR="007306BB" w:rsidRPr="00F53142" w14:paraId="43990372"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8BE27F" w14:textId="77777777" w:rsidR="007306BB" w:rsidRPr="007306BB" w:rsidRDefault="007306BB" w:rsidP="00200071">
            <w:pPr>
              <w:jc w:val="center"/>
              <w:rPr>
                <w:rFonts w:ascii="Arial" w:hAnsi="Arial" w:cs="Arial"/>
              </w:rPr>
            </w:pPr>
            <w:r w:rsidRPr="007306BB">
              <w:rPr>
                <w:rFonts w:ascii="Arial" w:hAnsi="Arial" w:cs="Arial"/>
              </w:rPr>
              <w:t>Hepatitis B</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D0797" w14:textId="77777777" w:rsidR="007306BB" w:rsidRPr="007306BB" w:rsidRDefault="007306BB" w:rsidP="00200071">
            <w:pPr>
              <w:jc w:val="center"/>
              <w:rPr>
                <w:rFonts w:ascii="Arial" w:hAnsi="Arial" w:cs="Arial"/>
              </w:rPr>
            </w:pPr>
            <w:r w:rsidRPr="007306BB">
              <w:rPr>
                <w:rFonts w:ascii="Arial" w:hAnsi="Arial" w:cs="Arial"/>
              </w:rPr>
              <w:t>3.85%</w:t>
            </w:r>
          </w:p>
        </w:tc>
      </w:tr>
      <w:tr w:rsidR="007306BB" w:rsidRPr="00F53142" w14:paraId="5B6201FE"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261337" w14:textId="77777777" w:rsidR="007306BB" w:rsidRPr="007306BB" w:rsidRDefault="007306BB" w:rsidP="00200071">
            <w:pPr>
              <w:jc w:val="center"/>
              <w:rPr>
                <w:rFonts w:ascii="Arial" w:hAnsi="Arial" w:cs="Arial"/>
              </w:rPr>
            </w:pPr>
            <w:r w:rsidRPr="007306BB">
              <w:rPr>
                <w:rFonts w:ascii="Arial" w:hAnsi="Arial" w:cs="Arial"/>
              </w:rPr>
              <w:t>Hepatitis C</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C06EA" w14:textId="77777777" w:rsidR="007306BB" w:rsidRPr="007306BB" w:rsidRDefault="007306BB" w:rsidP="00200071">
            <w:pPr>
              <w:jc w:val="center"/>
              <w:rPr>
                <w:rFonts w:ascii="Arial" w:hAnsi="Arial" w:cs="Arial"/>
              </w:rPr>
            </w:pPr>
            <w:r w:rsidRPr="007306BB">
              <w:rPr>
                <w:rFonts w:ascii="Arial" w:hAnsi="Arial" w:cs="Arial"/>
              </w:rPr>
              <w:t>2.31%</w:t>
            </w:r>
          </w:p>
        </w:tc>
      </w:tr>
    </w:tbl>
    <w:p w14:paraId="6DD4FFE8" w14:textId="77777777" w:rsidR="007306BB" w:rsidRDefault="007306BB" w:rsidP="004F4227">
      <w:pPr>
        <w:pStyle w:val="Body"/>
        <w:rPr>
          <w:rFonts w:ascii="Arial" w:hAnsi="Arial" w:cs="Arial"/>
        </w:rPr>
      </w:pPr>
    </w:p>
    <w:p w14:paraId="092A00A3" w14:textId="77777777" w:rsidR="007306BB" w:rsidRPr="007306BB" w:rsidRDefault="007306BB" w:rsidP="007306BB">
      <w:pPr>
        <w:pStyle w:val="Body"/>
        <w:rPr>
          <w:rFonts w:ascii="Arial" w:hAnsi="Arial" w:cs="Arial"/>
        </w:rPr>
      </w:pPr>
      <w:r w:rsidRPr="007306BB">
        <w:rPr>
          <w:rFonts w:ascii="Arial" w:hAnsi="Arial" w:cs="Arial"/>
        </w:rPr>
        <w:t>Almost half (49.52%) of the clinicians opined that a sedentary lifestyle is a major contributor to liver diseases in the Indian population, while 38% stated that excessive alcohol consumption is the major contributor to liver disease. According to 53% of the clinicians, about 6 to 10 cases of cholelithiasis are diagnosed per month. As indicated by 46% of the participants, acute liver failure is most commonly caused by alcohol abuse. Around 72% opined that the risk of developing liver cirrhosis is significantly associated with obesity, diabetes, hepatitis B and C coinfection, and genetically inherited conditions. According to 70% of the participants, the prevalence of hepatocellular carcinoma has increased in India due to a rise in viral hepatitis infections, increased alcohol consumption, and the high prevalence of NAFLD and NASH (non-alcoholic steatohepatitis).</w:t>
      </w:r>
    </w:p>
    <w:p w14:paraId="2B672111" w14:textId="77777777" w:rsidR="007306BB" w:rsidRPr="007306BB" w:rsidRDefault="007306BB" w:rsidP="007306BB">
      <w:pPr>
        <w:pStyle w:val="Body"/>
        <w:rPr>
          <w:rFonts w:ascii="Arial" w:hAnsi="Arial" w:cs="Arial"/>
        </w:rPr>
      </w:pPr>
      <w:r w:rsidRPr="007306BB">
        <w:rPr>
          <w:rFonts w:ascii="Arial" w:hAnsi="Arial" w:cs="Arial"/>
        </w:rPr>
        <w:t>Nearly 51% of clinicians reported a rising trend in NAFLD among children, and 41% stated that it may regress with appropriate management of the underlying cause. According to 79% of participants, the benefits of UDCA in managing liver diseases include inhibition of bile acid synthesis, reduction of cholesterol absorption in the intestines, protection of cholangiocytes from the toxic effects of bile acids, and stimulation of hepatocellular regeneration (Table 2). Around 77% of clinicians preferred 300 mg twice daily (BID) as the UDCA dose for patients with MAFLD (Table 3).</w:t>
      </w:r>
    </w:p>
    <w:tbl>
      <w:tblPr>
        <w:tblpPr w:leftFromText="180" w:rightFromText="180" w:vertAnchor="text" w:horzAnchor="margin" w:tblpY="862"/>
        <w:tblW w:w="8861" w:type="dxa"/>
        <w:tblCellMar>
          <w:left w:w="0" w:type="dxa"/>
          <w:right w:w="0" w:type="dxa"/>
        </w:tblCellMar>
        <w:tblLook w:val="04A0" w:firstRow="1" w:lastRow="0" w:firstColumn="1" w:lastColumn="0" w:noHBand="0" w:noVBand="1"/>
      </w:tblPr>
      <w:tblGrid>
        <w:gridCol w:w="6092"/>
        <w:gridCol w:w="2769"/>
      </w:tblGrid>
      <w:tr w:rsidR="007306BB" w:rsidRPr="00F53142" w14:paraId="3D9AB88E" w14:textId="77777777" w:rsidTr="007306BB">
        <w:trPr>
          <w:trHeight w:val="286"/>
        </w:trPr>
        <w:tc>
          <w:tcPr>
            <w:tcW w:w="609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1702E1D" w14:textId="77777777" w:rsidR="007306BB" w:rsidRPr="007306BB" w:rsidRDefault="007306BB" w:rsidP="007306BB">
            <w:pPr>
              <w:jc w:val="center"/>
              <w:rPr>
                <w:rFonts w:ascii="Arial" w:hAnsi="Arial" w:cs="Arial"/>
                <w:b/>
                <w:bCs/>
              </w:rPr>
            </w:pPr>
            <w:bookmarkStart w:id="7" w:name="_Hlk207023131"/>
            <w:r w:rsidRPr="007306BB">
              <w:rPr>
                <w:rFonts w:ascii="Arial" w:hAnsi="Arial" w:cs="Arial"/>
                <w:b/>
                <w:bCs/>
              </w:rPr>
              <w:lastRenderedPageBreak/>
              <w:t xml:space="preserve">Advantages </w:t>
            </w:r>
            <w:bookmarkEnd w:id="7"/>
          </w:p>
        </w:tc>
        <w:tc>
          <w:tcPr>
            <w:tcW w:w="2769"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47A5C59B" w14:textId="77777777" w:rsidR="007306BB" w:rsidRPr="007306BB" w:rsidRDefault="007306BB" w:rsidP="007306BB">
            <w:pPr>
              <w:jc w:val="center"/>
              <w:rPr>
                <w:rFonts w:ascii="Arial" w:hAnsi="Arial" w:cs="Arial"/>
                <w:b/>
                <w:bCs/>
              </w:rPr>
            </w:pPr>
            <w:r w:rsidRPr="007306BB">
              <w:rPr>
                <w:rFonts w:ascii="Arial" w:hAnsi="Arial" w:cs="Arial"/>
                <w:b/>
                <w:bCs/>
              </w:rPr>
              <w:t>Response rate (n = 519)</w:t>
            </w:r>
          </w:p>
        </w:tc>
      </w:tr>
      <w:tr w:rsidR="007306BB" w:rsidRPr="00F53142" w14:paraId="7FD49334"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A6FE71" w14:textId="77777777" w:rsidR="007306BB" w:rsidRPr="007306BB" w:rsidRDefault="007306BB" w:rsidP="007306BB">
            <w:pPr>
              <w:jc w:val="center"/>
              <w:rPr>
                <w:rFonts w:ascii="Arial" w:hAnsi="Arial" w:cs="Arial"/>
              </w:rPr>
            </w:pPr>
            <w:r w:rsidRPr="007306BB">
              <w:rPr>
                <w:rFonts w:ascii="Arial" w:hAnsi="Arial" w:cs="Arial"/>
              </w:rPr>
              <w:t>Inhibition of bile acid synthesis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C339A" w14:textId="77777777" w:rsidR="007306BB" w:rsidRPr="007306BB" w:rsidRDefault="007306BB" w:rsidP="007306BB">
            <w:pPr>
              <w:jc w:val="center"/>
              <w:rPr>
                <w:rFonts w:ascii="Arial" w:hAnsi="Arial" w:cs="Arial"/>
              </w:rPr>
            </w:pPr>
            <w:r w:rsidRPr="007306BB">
              <w:rPr>
                <w:rFonts w:ascii="Arial" w:hAnsi="Arial" w:cs="Arial"/>
              </w:rPr>
              <w:t>4.82%</w:t>
            </w:r>
          </w:p>
        </w:tc>
      </w:tr>
      <w:tr w:rsidR="007306BB" w:rsidRPr="00F53142" w14:paraId="3942BDDA"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02030" w14:textId="77777777" w:rsidR="007306BB" w:rsidRPr="007306BB" w:rsidRDefault="007306BB" w:rsidP="007306BB">
            <w:pPr>
              <w:jc w:val="center"/>
              <w:rPr>
                <w:rFonts w:ascii="Arial" w:hAnsi="Arial" w:cs="Arial"/>
              </w:rPr>
            </w:pPr>
            <w:r w:rsidRPr="007306BB">
              <w:rPr>
                <w:rFonts w:ascii="Arial" w:hAnsi="Arial" w:cs="Arial"/>
              </w:rPr>
              <w:t>Reduction of cholesterol absorption in the intestines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F934E" w14:textId="77777777" w:rsidR="007306BB" w:rsidRPr="007306BB" w:rsidRDefault="007306BB" w:rsidP="007306BB">
            <w:pPr>
              <w:jc w:val="center"/>
              <w:rPr>
                <w:rFonts w:ascii="Arial" w:hAnsi="Arial" w:cs="Arial"/>
              </w:rPr>
            </w:pPr>
            <w:r w:rsidRPr="007306BB">
              <w:rPr>
                <w:rFonts w:ascii="Arial" w:hAnsi="Arial" w:cs="Arial"/>
              </w:rPr>
              <w:t>8.86%</w:t>
            </w:r>
          </w:p>
        </w:tc>
      </w:tr>
      <w:tr w:rsidR="007306BB" w:rsidRPr="00F53142" w14:paraId="53834ACC"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7A159C" w14:textId="77777777" w:rsidR="007306BB" w:rsidRPr="007306BB" w:rsidRDefault="007306BB" w:rsidP="007306BB">
            <w:pPr>
              <w:jc w:val="center"/>
              <w:rPr>
                <w:rFonts w:ascii="Arial" w:hAnsi="Arial" w:cs="Arial"/>
              </w:rPr>
            </w:pPr>
            <w:r w:rsidRPr="007306BB">
              <w:rPr>
                <w:rFonts w:ascii="Arial" w:hAnsi="Arial" w:cs="Arial"/>
              </w:rPr>
              <w:t>Protection of cholangiocytes against the toxic effects of bile acids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BD690" w14:textId="77777777" w:rsidR="007306BB" w:rsidRPr="007306BB" w:rsidRDefault="007306BB" w:rsidP="007306BB">
            <w:pPr>
              <w:jc w:val="center"/>
              <w:rPr>
                <w:rFonts w:ascii="Arial" w:hAnsi="Arial" w:cs="Arial"/>
              </w:rPr>
            </w:pPr>
            <w:r w:rsidRPr="007306BB">
              <w:rPr>
                <w:rFonts w:ascii="Arial" w:hAnsi="Arial" w:cs="Arial"/>
              </w:rPr>
              <w:t>3.28%</w:t>
            </w:r>
          </w:p>
        </w:tc>
      </w:tr>
      <w:tr w:rsidR="007306BB" w:rsidRPr="00F53142" w14:paraId="6F4CB371"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950F1" w14:textId="77777777" w:rsidR="007306BB" w:rsidRPr="007306BB" w:rsidRDefault="007306BB" w:rsidP="007306BB">
            <w:pPr>
              <w:jc w:val="center"/>
              <w:rPr>
                <w:rFonts w:ascii="Arial" w:hAnsi="Arial" w:cs="Arial"/>
              </w:rPr>
            </w:pPr>
            <w:r w:rsidRPr="007306BB">
              <w:rPr>
                <w:rFonts w:ascii="Arial" w:hAnsi="Arial" w:cs="Arial"/>
              </w:rPr>
              <w:t xml:space="preserve">Stimulation of hepatocellular regeneration </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32FC7" w14:textId="77777777" w:rsidR="007306BB" w:rsidRPr="007306BB" w:rsidRDefault="007306BB" w:rsidP="007306BB">
            <w:pPr>
              <w:jc w:val="center"/>
              <w:rPr>
                <w:rFonts w:ascii="Arial" w:hAnsi="Arial" w:cs="Arial"/>
              </w:rPr>
            </w:pPr>
            <w:r w:rsidRPr="007306BB">
              <w:rPr>
                <w:rFonts w:ascii="Arial" w:hAnsi="Arial" w:cs="Arial"/>
              </w:rPr>
              <w:t>2.89%</w:t>
            </w:r>
          </w:p>
        </w:tc>
      </w:tr>
      <w:tr w:rsidR="007306BB" w:rsidRPr="00F53142" w14:paraId="168A6774"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8CE132" w14:textId="77777777" w:rsidR="007306BB" w:rsidRPr="007306BB" w:rsidRDefault="007306BB" w:rsidP="007306BB">
            <w:pPr>
              <w:jc w:val="center"/>
              <w:rPr>
                <w:rFonts w:ascii="Arial" w:hAnsi="Arial" w:cs="Arial"/>
              </w:rPr>
            </w:pPr>
            <w:r w:rsidRPr="007306BB">
              <w:rPr>
                <w:rFonts w:ascii="Arial" w:hAnsi="Arial" w:cs="Arial"/>
              </w:rPr>
              <w:t>All of the above</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831C6" w14:textId="77777777" w:rsidR="007306BB" w:rsidRPr="007306BB" w:rsidRDefault="007306BB" w:rsidP="007306BB">
            <w:pPr>
              <w:jc w:val="center"/>
              <w:rPr>
                <w:rFonts w:ascii="Arial" w:hAnsi="Arial" w:cs="Arial"/>
              </w:rPr>
            </w:pPr>
            <w:r w:rsidRPr="007306BB">
              <w:rPr>
                <w:rFonts w:ascii="Arial" w:hAnsi="Arial" w:cs="Arial"/>
              </w:rPr>
              <w:t>79%</w:t>
            </w:r>
          </w:p>
        </w:tc>
      </w:tr>
      <w:tr w:rsidR="007306BB" w:rsidRPr="00F53142" w14:paraId="4876A34D"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AF7D9E" w14:textId="77777777" w:rsidR="007306BB" w:rsidRPr="007306BB" w:rsidRDefault="007306BB" w:rsidP="007306BB">
            <w:pPr>
              <w:jc w:val="center"/>
              <w:rPr>
                <w:rFonts w:ascii="Arial" w:hAnsi="Arial" w:cs="Arial"/>
              </w:rPr>
            </w:pPr>
            <w:r w:rsidRPr="007306BB">
              <w:rPr>
                <w:rFonts w:ascii="Arial" w:hAnsi="Arial" w:cs="Arial"/>
              </w:rPr>
              <w:t>Not attempted</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3043F" w14:textId="77777777" w:rsidR="007306BB" w:rsidRPr="007306BB" w:rsidRDefault="007306BB" w:rsidP="007306BB">
            <w:pPr>
              <w:jc w:val="center"/>
              <w:rPr>
                <w:rFonts w:ascii="Arial" w:hAnsi="Arial" w:cs="Arial"/>
              </w:rPr>
            </w:pPr>
            <w:r w:rsidRPr="007306BB">
              <w:rPr>
                <w:rFonts w:ascii="Arial" w:hAnsi="Arial" w:cs="Arial"/>
              </w:rPr>
              <w:t>1.16%</w:t>
            </w:r>
          </w:p>
        </w:tc>
      </w:tr>
    </w:tbl>
    <w:p w14:paraId="0508FBDE" w14:textId="2E6C5754" w:rsidR="007306BB" w:rsidRDefault="007306BB" w:rsidP="007306BB">
      <w:pPr>
        <w:pStyle w:val="Body"/>
        <w:rPr>
          <w:rFonts w:ascii="Arial" w:hAnsi="Arial" w:cs="Arial"/>
          <w:b/>
          <w:bCs/>
        </w:rPr>
      </w:pPr>
      <w:r w:rsidRPr="007306BB">
        <w:rPr>
          <w:rFonts w:ascii="Arial" w:hAnsi="Arial" w:cs="Arial"/>
          <w:b/>
          <w:bCs/>
        </w:rPr>
        <w:t>Table 2: Distribution of responses on the advantages of UDCA in the management of liver diseases</w:t>
      </w:r>
    </w:p>
    <w:p w14:paraId="5B1FA08E" w14:textId="77777777" w:rsidR="007306BB" w:rsidRDefault="007306BB" w:rsidP="007306BB">
      <w:pPr>
        <w:pStyle w:val="Body"/>
        <w:rPr>
          <w:rFonts w:ascii="Arial" w:hAnsi="Arial" w:cs="Arial"/>
          <w:b/>
          <w:bCs/>
        </w:rPr>
      </w:pPr>
    </w:p>
    <w:p w14:paraId="6D7FE162" w14:textId="2EDFE867" w:rsidR="007306BB" w:rsidRDefault="007306BB" w:rsidP="007306BB">
      <w:pPr>
        <w:pStyle w:val="Body"/>
        <w:rPr>
          <w:rFonts w:ascii="Arial" w:hAnsi="Arial" w:cs="Arial"/>
          <w:b/>
          <w:bCs/>
        </w:rPr>
      </w:pPr>
      <w:r w:rsidRPr="007306BB">
        <w:rPr>
          <w:rFonts w:ascii="Arial" w:hAnsi="Arial" w:cs="Arial"/>
          <w:b/>
          <w:bCs/>
        </w:rPr>
        <w:t xml:space="preserve">Table 3: </w:t>
      </w:r>
      <w:commentRangeStart w:id="8"/>
      <w:r w:rsidRPr="007306BB">
        <w:rPr>
          <w:rFonts w:ascii="Arial" w:hAnsi="Arial" w:cs="Arial"/>
          <w:b/>
          <w:bCs/>
        </w:rPr>
        <w:t>Distribution of responses on the preferred dose of UDCA in MAFLD patients</w:t>
      </w:r>
      <w:commentRangeEnd w:id="8"/>
      <w:r w:rsidR="00A86CD1">
        <w:rPr>
          <w:rStyle w:val="CommentReference"/>
          <w:rFonts w:ascii="Times New Roman" w:hAnsi="Times New Roman"/>
          <w:lang w:val="nb-NO" w:eastAsia="nb-NO"/>
        </w:rPr>
        <w:commentReference w:id="8"/>
      </w:r>
    </w:p>
    <w:tbl>
      <w:tblPr>
        <w:tblW w:w="7451" w:type="dxa"/>
        <w:tblInd w:w="471" w:type="dxa"/>
        <w:tblCellMar>
          <w:left w:w="0" w:type="dxa"/>
          <w:right w:w="0" w:type="dxa"/>
        </w:tblCellMar>
        <w:tblLook w:val="04A0" w:firstRow="1" w:lastRow="0" w:firstColumn="1" w:lastColumn="0" w:noHBand="0" w:noVBand="1"/>
      </w:tblPr>
      <w:tblGrid>
        <w:gridCol w:w="4394"/>
        <w:gridCol w:w="3057"/>
      </w:tblGrid>
      <w:tr w:rsidR="007306BB" w:rsidRPr="00F53142" w14:paraId="02301307" w14:textId="77777777" w:rsidTr="007306BB">
        <w:trPr>
          <w:trHeight w:val="283"/>
        </w:trPr>
        <w:tc>
          <w:tcPr>
            <w:tcW w:w="4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31E5C048" w14:textId="77777777" w:rsidR="007306BB" w:rsidRPr="007306BB" w:rsidRDefault="007306BB" w:rsidP="00200071">
            <w:pPr>
              <w:jc w:val="center"/>
              <w:rPr>
                <w:rFonts w:ascii="Arial" w:hAnsi="Arial" w:cs="Arial"/>
                <w:b/>
                <w:bCs/>
              </w:rPr>
            </w:pPr>
            <w:r w:rsidRPr="007306BB">
              <w:rPr>
                <w:rFonts w:ascii="Arial" w:hAnsi="Arial" w:cs="Arial"/>
                <w:b/>
                <w:bCs/>
              </w:rPr>
              <w:t>Dose of UDCA</w:t>
            </w:r>
          </w:p>
        </w:tc>
        <w:tc>
          <w:tcPr>
            <w:tcW w:w="3057"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560E6B1D" w14:textId="77777777" w:rsidR="007306BB" w:rsidRPr="007306BB" w:rsidRDefault="007306BB" w:rsidP="00200071">
            <w:pPr>
              <w:jc w:val="center"/>
              <w:rPr>
                <w:rFonts w:ascii="Arial" w:hAnsi="Arial" w:cs="Arial"/>
                <w:b/>
                <w:bCs/>
              </w:rPr>
            </w:pPr>
            <w:r w:rsidRPr="007306BB">
              <w:rPr>
                <w:rFonts w:ascii="Arial" w:hAnsi="Arial" w:cs="Arial"/>
                <w:b/>
                <w:bCs/>
              </w:rPr>
              <w:t>Response rate (n = 519)</w:t>
            </w:r>
          </w:p>
        </w:tc>
      </w:tr>
      <w:tr w:rsidR="007306BB" w:rsidRPr="00F53142" w14:paraId="095F8DEF"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9569EB5" w14:textId="77777777" w:rsidR="007306BB" w:rsidRPr="007306BB" w:rsidRDefault="007306BB" w:rsidP="00200071">
            <w:pPr>
              <w:jc w:val="center"/>
              <w:rPr>
                <w:rFonts w:ascii="Arial" w:hAnsi="Arial" w:cs="Arial"/>
              </w:rPr>
            </w:pPr>
            <w:r w:rsidRPr="007306BB">
              <w:rPr>
                <w:rFonts w:ascii="Arial" w:hAnsi="Arial" w:cs="Arial"/>
              </w:rPr>
              <w:t>UDCA 300 mg BID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B132AD8" w14:textId="77777777" w:rsidR="007306BB" w:rsidRPr="007306BB" w:rsidRDefault="007306BB" w:rsidP="00200071">
            <w:pPr>
              <w:jc w:val="center"/>
              <w:rPr>
                <w:rFonts w:ascii="Arial" w:hAnsi="Arial" w:cs="Arial"/>
              </w:rPr>
            </w:pPr>
            <w:r w:rsidRPr="007306BB">
              <w:rPr>
                <w:rFonts w:ascii="Arial" w:hAnsi="Arial" w:cs="Arial"/>
              </w:rPr>
              <w:t>77.07%</w:t>
            </w:r>
          </w:p>
        </w:tc>
      </w:tr>
      <w:tr w:rsidR="007306BB" w:rsidRPr="00F53142" w14:paraId="060B7A8A"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1D4BC7A" w14:textId="77777777" w:rsidR="007306BB" w:rsidRPr="007306BB" w:rsidRDefault="007306BB" w:rsidP="00200071">
            <w:pPr>
              <w:jc w:val="center"/>
              <w:rPr>
                <w:rFonts w:ascii="Arial" w:hAnsi="Arial" w:cs="Arial"/>
              </w:rPr>
            </w:pPr>
            <w:r w:rsidRPr="007306BB">
              <w:rPr>
                <w:rFonts w:ascii="Arial" w:hAnsi="Arial" w:cs="Arial"/>
              </w:rPr>
              <w:t>UDCA 300 mg TID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94F6611" w14:textId="77777777" w:rsidR="007306BB" w:rsidRPr="007306BB" w:rsidRDefault="007306BB" w:rsidP="00200071">
            <w:pPr>
              <w:jc w:val="center"/>
              <w:rPr>
                <w:rFonts w:ascii="Arial" w:hAnsi="Arial" w:cs="Arial"/>
              </w:rPr>
            </w:pPr>
            <w:r w:rsidRPr="007306BB">
              <w:rPr>
                <w:rFonts w:ascii="Arial" w:hAnsi="Arial" w:cs="Arial"/>
              </w:rPr>
              <w:t>21.77%</w:t>
            </w:r>
          </w:p>
        </w:tc>
      </w:tr>
      <w:tr w:rsidR="007306BB" w:rsidRPr="00F53142" w14:paraId="5544E152"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168A3E1" w14:textId="77777777" w:rsidR="007306BB" w:rsidRPr="007306BB" w:rsidRDefault="007306BB" w:rsidP="00200071">
            <w:pPr>
              <w:jc w:val="center"/>
              <w:rPr>
                <w:rFonts w:ascii="Arial" w:hAnsi="Arial" w:cs="Arial"/>
              </w:rPr>
            </w:pPr>
            <w:r w:rsidRPr="007306BB">
              <w:rPr>
                <w:rFonts w:ascii="Arial" w:hAnsi="Arial" w:cs="Arial"/>
              </w:rPr>
              <w:t>Not attempted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6639481" w14:textId="77777777" w:rsidR="007306BB" w:rsidRPr="007306BB" w:rsidRDefault="007306BB" w:rsidP="00200071">
            <w:pPr>
              <w:jc w:val="center"/>
              <w:rPr>
                <w:rFonts w:ascii="Arial" w:hAnsi="Arial" w:cs="Arial"/>
              </w:rPr>
            </w:pPr>
            <w:r w:rsidRPr="007306BB">
              <w:rPr>
                <w:rFonts w:ascii="Arial" w:hAnsi="Arial" w:cs="Arial"/>
              </w:rPr>
              <w:t>1.16%</w:t>
            </w:r>
          </w:p>
        </w:tc>
      </w:tr>
    </w:tbl>
    <w:p w14:paraId="3BE13BC6" w14:textId="77777777" w:rsidR="007306BB" w:rsidRDefault="007306BB" w:rsidP="007306BB">
      <w:pPr>
        <w:pStyle w:val="Body"/>
        <w:rPr>
          <w:rFonts w:ascii="Arial" w:hAnsi="Arial" w:cs="Arial"/>
          <w:b/>
          <w:bCs/>
        </w:rPr>
      </w:pPr>
    </w:p>
    <w:p w14:paraId="4C5240A5" w14:textId="6AADA9B5" w:rsidR="007306BB" w:rsidRDefault="007306BB" w:rsidP="007306BB">
      <w:pPr>
        <w:pStyle w:val="Body"/>
        <w:rPr>
          <w:rFonts w:ascii="Arial" w:hAnsi="Arial" w:cs="Arial"/>
        </w:rPr>
      </w:pPr>
      <w:r w:rsidRPr="007306BB">
        <w:rPr>
          <w:rFonts w:ascii="Arial" w:hAnsi="Arial" w:cs="Arial"/>
        </w:rPr>
        <w:t>According to 70% of the experts, UDCA is considered one of the first-line treatments for conditions such as hepatic encephalopathy, PBC, hepatocellular carcinoma, alcoholic liver disease, MAFLD, and NASH (Fig. 1). About 46% of the participants reported that UDCA is very effective in treating primary cirrhosis (Fig. 2). Approximately 66% opined that, in pediatric liver disease management, UDCA is commonly used for the treatment of biliary atresia, acute liver disease, and neonatal hepatitis. Most respondents (81.7%) indicated that UDCA therapy improves liver enzyme levels, slows disease progression, and enhances liver histology in patients with chronic cholestatic liver disease, particularly PBC (Fig. 3).</w:t>
      </w:r>
    </w:p>
    <w:p w14:paraId="73F5FBE2" w14:textId="59A8268E" w:rsidR="007306BB" w:rsidRDefault="007306BB" w:rsidP="007306BB">
      <w:pPr>
        <w:pStyle w:val="Body"/>
        <w:rPr>
          <w:rFonts w:ascii="Arial" w:hAnsi="Arial" w:cs="Arial"/>
        </w:rPr>
      </w:pPr>
      <w:r>
        <w:rPr>
          <w:noProof/>
        </w:rPr>
        <w:drawing>
          <wp:inline distT="0" distB="0" distL="0" distR="0" wp14:anchorId="22DBEF21" wp14:editId="12299B7C">
            <wp:extent cx="5212080" cy="1890646"/>
            <wp:effectExtent l="0" t="0" r="0" b="0"/>
            <wp:docPr id="1829547508" name="Picture 1" descr="A graph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47508" name="Picture 1" descr="A graph with numbers and symbol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1890646"/>
                    </a:xfrm>
                    <a:prstGeom prst="rect">
                      <a:avLst/>
                    </a:prstGeom>
                    <a:noFill/>
                  </pic:spPr>
                </pic:pic>
              </a:graphicData>
            </a:graphic>
          </wp:inline>
        </w:drawing>
      </w:r>
    </w:p>
    <w:p w14:paraId="108902D6" w14:textId="4644348D" w:rsidR="007306BB" w:rsidRDefault="007306BB" w:rsidP="007306BB">
      <w:pPr>
        <w:pStyle w:val="Body"/>
        <w:rPr>
          <w:rFonts w:ascii="Arial" w:hAnsi="Arial" w:cs="Arial"/>
          <w:b/>
          <w:bCs/>
        </w:rPr>
      </w:pPr>
      <w:r w:rsidRPr="007306BB">
        <w:rPr>
          <w:rFonts w:ascii="Arial" w:hAnsi="Arial" w:cs="Arial"/>
          <w:b/>
          <w:bCs/>
        </w:rPr>
        <w:t>Fig. 1: Distribution of responses regarding conditions in which UDCA is considered a first-line treatment</w:t>
      </w:r>
    </w:p>
    <w:p w14:paraId="4ADBA9DA" w14:textId="2AFF1238" w:rsidR="007306BB" w:rsidRDefault="007306BB" w:rsidP="007306BB">
      <w:pPr>
        <w:pStyle w:val="Body"/>
        <w:rPr>
          <w:rFonts w:ascii="Arial" w:hAnsi="Arial" w:cs="Arial"/>
          <w:b/>
          <w:bCs/>
        </w:rPr>
      </w:pPr>
      <w:r>
        <w:rPr>
          <w:noProof/>
        </w:rPr>
        <w:lastRenderedPageBreak/>
        <w:drawing>
          <wp:inline distT="0" distB="0" distL="0" distR="0" wp14:anchorId="166AB11C" wp14:editId="5E71D039">
            <wp:extent cx="4584700" cy="2755900"/>
            <wp:effectExtent l="0" t="0" r="0" b="0"/>
            <wp:docPr id="1475634851" name="Picture 2" descr="A graph with blue bar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34851" name="Picture 2" descr="A graph with blue bars and white tex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410929A" w14:textId="307FAA04" w:rsidR="007306BB" w:rsidRDefault="007306BB" w:rsidP="007306BB">
      <w:pPr>
        <w:pStyle w:val="Body"/>
        <w:rPr>
          <w:rFonts w:ascii="Arial" w:hAnsi="Arial" w:cs="Arial"/>
          <w:b/>
          <w:bCs/>
        </w:rPr>
      </w:pPr>
      <w:r w:rsidRPr="007306BB">
        <w:rPr>
          <w:rFonts w:ascii="Arial" w:hAnsi="Arial" w:cs="Arial"/>
          <w:b/>
          <w:bCs/>
        </w:rPr>
        <w:t>Fig. 2: Distribution of responses on the effectiveness of UDCA in primary biliary cirrhosis</w:t>
      </w:r>
    </w:p>
    <w:p w14:paraId="20362954" w14:textId="7CFAB7B6" w:rsidR="007306BB" w:rsidRDefault="007306BB" w:rsidP="007306BB">
      <w:pPr>
        <w:pStyle w:val="Body"/>
        <w:rPr>
          <w:rFonts w:ascii="Arial" w:hAnsi="Arial" w:cs="Arial"/>
          <w:b/>
          <w:bCs/>
        </w:rPr>
      </w:pPr>
      <w:r>
        <w:rPr>
          <w:noProof/>
        </w:rPr>
        <w:drawing>
          <wp:inline distT="0" distB="0" distL="0" distR="0" wp14:anchorId="3966C717" wp14:editId="36F08E81">
            <wp:extent cx="4572000" cy="2743200"/>
            <wp:effectExtent l="0" t="0" r="0" b="0"/>
            <wp:docPr id="1675017220" name="Chart 1">
              <a:extLst xmlns:a="http://schemas.openxmlformats.org/drawingml/2006/main">
                <a:ext uri="{FF2B5EF4-FFF2-40B4-BE49-F238E27FC236}">
                  <a16:creationId xmlns:a16="http://schemas.microsoft.com/office/drawing/2014/main" id="{C966D542-5227-2DBE-DC8C-0EB328ED9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310DB6" w14:textId="5B1394EA" w:rsidR="007306BB" w:rsidRDefault="007306BB" w:rsidP="007306BB">
      <w:pPr>
        <w:pStyle w:val="Body"/>
        <w:rPr>
          <w:b/>
          <w:bCs/>
        </w:rPr>
      </w:pPr>
      <w:r w:rsidRPr="3294BE25">
        <w:rPr>
          <w:b/>
          <w:bCs/>
        </w:rPr>
        <w:t>Fig.</w:t>
      </w:r>
      <w:r>
        <w:rPr>
          <w:b/>
          <w:bCs/>
        </w:rPr>
        <w:t xml:space="preserve"> </w:t>
      </w:r>
      <w:r w:rsidRPr="3294BE25">
        <w:rPr>
          <w:b/>
          <w:bCs/>
        </w:rPr>
        <w:t xml:space="preserve">3: Distribution of </w:t>
      </w:r>
      <w:r>
        <w:rPr>
          <w:b/>
          <w:bCs/>
        </w:rPr>
        <w:t>responses</w:t>
      </w:r>
      <w:r w:rsidRPr="3294BE25">
        <w:rPr>
          <w:b/>
          <w:bCs/>
        </w:rPr>
        <w:t xml:space="preserve"> on the clinician perspectives on the benefits of UDCA therapy in chronic cholestatic liver diseases</w:t>
      </w:r>
    </w:p>
    <w:p w14:paraId="6F324A28" w14:textId="7C457A45" w:rsidR="004E3A9E" w:rsidRPr="007306BB" w:rsidRDefault="007306BB" w:rsidP="007306BB">
      <w:pPr>
        <w:pStyle w:val="Body"/>
        <w:rPr>
          <w:rFonts w:ascii="Arial" w:hAnsi="Arial" w:cs="Arial"/>
        </w:rPr>
      </w:pPr>
      <w:r w:rsidRPr="007306BB">
        <w:rPr>
          <w:rFonts w:ascii="Arial" w:hAnsi="Arial" w:cs="Arial"/>
        </w:rPr>
        <w:t>A significant proportion (92.29%) of clinicians preferred UDCA as the treatment of choice for gallstone management. According to 58% of experts, the average duration of UDCA therapy in patients with gallbladder stones is 12 to 24 weeks. More than half (62.24%) of the participants reported diagnosing 3 to 5 cases of NASH per month on average. About 54% of respondents stated that UDCA is prescribed to 11–25% of patients with NASH. Around 52% identified good tolerability as the key advantage of UDCA in the management of hepatobiliary disorders.</w:t>
      </w:r>
    </w:p>
    <w:p w14:paraId="39F6E958" w14:textId="77777777" w:rsidR="00902823" w:rsidRDefault="00C4190C" w:rsidP="00441B6F">
      <w:pPr>
        <w:pStyle w:val="Head1"/>
        <w:spacing w:after="0"/>
        <w:jc w:val="both"/>
        <w:rPr>
          <w:rFonts w:ascii="Arial" w:hAnsi="Arial" w:cs="Arial"/>
        </w:rPr>
      </w:pPr>
      <w:r>
        <w:rPr>
          <w:rFonts w:ascii="Arial" w:hAnsi="Arial" w:cs="Arial"/>
        </w:rPr>
        <w:lastRenderedPageBreak/>
        <w:t>4</w:t>
      </w:r>
      <w:r w:rsidR="00902823">
        <w:rPr>
          <w:rFonts w:ascii="Arial" w:hAnsi="Arial" w:cs="Arial"/>
        </w:rPr>
        <w:t xml:space="preserve">. </w:t>
      </w:r>
      <w:r w:rsidR="00000F8F">
        <w:rPr>
          <w:rFonts w:ascii="Arial" w:hAnsi="Arial" w:cs="Arial"/>
        </w:rPr>
        <w:t>discussion</w:t>
      </w:r>
    </w:p>
    <w:p w14:paraId="49AB9B97" w14:textId="6045D357" w:rsidR="007306BB" w:rsidRPr="007306BB" w:rsidRDefault="007306BB" w:rsidP="007306BB">
      <w:pPr>
        <w:spacing w:before="240" w:after="240"/>
        <w:jc w:val="both"/>
        <w:rPr>
          <w:rFonts w:ascii="Arial" w:eastAsia="Calibri" w:hAnsi="Arial" w:cs="Arial"/>
        </w:rPr>
      </w:pPr>
      <w:r w:rsidRPr="007306BB">
        <w:rPr>
          <w:rFonts w:ascii="Arial" w:eastAsia="Calibri" w:hAnsi="Arial" w:cs="Arial"/>
        </w:rPr>
        <w:t xml:space="preserve">The </w:t>
      </w:r>
      <w:r w:rsidR="00296F36" w:rsidRPr="0060737C">
        <w:rPr>
          <w:rFonts w:ascii="Arial" w:eastAsia="Calibri" w:hAnsi="Arial" w:cs="Arial"/>
          <w:bCs/>
          <w:szCs w:val="22"/>
          <w:lang w:val="en-IN"/>
        </w:rPr>
        <w:t xml:space="preserve">study </w:t>
      </w:r>
      <w:r w:rsidRPr="007306BB">
        <w:rPr>
          <w:rFonts w:ascii="Arial" w:eastAsia="Calibri" w:hAnsi="Arial" w:cs="Arial"/>
        </w:rPr>
        <w:t>highlights the growing burden of MAFLD in routine clinical practice, particularly among younger adults, with sedentary lifestyle and alcohol consumption perceived as major contributors. Rising trends of pediatric NAFLD and the increasing prevalence of hepatocellular carcinoma linked to obesity, diabetes, viral hepatitis, and alcohol use underscore the shifting epidemiology of liver diseases in India. These findings align with a meta-analysis indicating that approximately one-third of adults and children in India have NAFLD, with pediatric prevalence around 35.4%, rising to over 60% among obese children.</w:t>
      </w:r>
      <w:r w:rsidRPr="007306BB">
        <w:rPr>
          <w:rFonts w:ascii="Arial" w:eastAsia="Calibri" w:hAnsi="Arial" w:cs="Arial"/>
          <w:vertAlign w:val="superscript"/>
        </w:rPr>
        <w:t>7</w:t>
      </w:r>
      <w:r w:rsidRPr="007306BB">
        <w:rPr>
          <w:rFonts w:ascii="Arial" w:eastAsia="Calibri" w:hAnsi="Arial" w:cs="Arial"/>
        </w:rPr>
        <w:t xml:space="preserve"> Similarly, a cross-sectional study from India by Prabhakar et al. reported a higher prevalence of MAFLD (56.4%) in the general population, with a threefold increased occurrence of advanced liver fibrosis in the MAFLD group.</w:t>
      </w:r>
      <w:r w:rsidRPr="007306BB">
        <w:rPr>
          <w:rFonts w:ascii="Arial" w:eastAsia="Calibri" w:hAnsi="Arial" w:cs="Arial"/>
          <w:vertAlign w:val="superscript"/>
        </w:rPr>
        <w:t>10</w:t>
      </w:r>
    </w:p>
    <w:p w14:paraId="577CC439" w14:textId="77777777" w:rsidR="007306BB" w:rsidRDefault="007306BB" w:rsidP="007306BB">
      <w:pPr>
        <w:jc w:val="both"/>
        <w:rPr>
          <w:rFonts w:ascii="Arial" w:hAnsi="Arial" w:cs="Arial"/>
          <w:vertAlign w:val="superscript"/>
        </w:rPr>
      </w:pPr>
      <w:r w:rsidRPr="007306BB">
        <w:rPr>
          <w:rFonts w:ascii="Arial" w:eastAsia="Calibri" w:hAnsi="Arial" w:cs="Arial"/>
        </w:rPr>
        <w:t>The survey highlighted the key</w:t>
      </w:r>
      <w:r w:rsidRPr="007306BB">
        <w:rPr>
          <w:rFonts w:ascii="Arial" w:eastAsia="Calibri" w:hAnsi="Arial" w:cs="Arial"/>
          <w:lang w:val="en-GB"/>
        </w:rPr>
        <w:t xml:space="preserve"> advantages of UDCA in the management of liver diseases, such as inhibition of bile acid synthesis, reduction of cholesterol absorption in the intestines, protection of cholangiocytes against the toxic effects of bile acids, and stimulation of hepatocellular regeneration.</w:t>
      </w:r>
      <w:r w:rsidRPr="007306BB">
        <w:rPr>
          <w:rFonts w:ascii="Arial" w:hAnsi="Arial" w:cs="Arial"/>
        </w:rPr>
        <w:t xml:space="preserve"> </w:t>
      </w:r>
      <w:r w:rsidRPr="007306BB">
        <w:rPr>
          <w:rFonts w:ascii="Arial" w:eastAsia="Calibri" w:hAnsi="Arial" w:cs="Arial"/>
        </w:rPr>
        <w:t>Supporting these observations, Sauter et al. reported that long-term UDCA therapy enhances bile acid synthesis, thereby contributing to improved bile flow and detoxification</w:t>
      </w:r>
      <w:r w:rsidRPr="007306BB">
        <w:rPr>
          <w:rFonts w:ascii="Arial" w:hAnsi="Arial" w:cs="Arial"/>
        </w:rPr>
        <w:t>.</w:t>
      </w:r>
      <w:r w:rsidRPr="007306BB">
        <w:rPr>
          <w:rFonts w:ascii="Arial" w:hAnsi="Arial" w:cs="Arial"/>
          <w:vertAlign w:val="superscript"/>
        </w:rPr>
        <w:t>11</w:t>
      </w:r>
      <w:r w:rsidRPr="007306BB">
        <w:rPr>
          <w:rFonts w:ascii="Arial" w:hAnsi="Arial" w:cs="Arial"/>
        </w:rPr>
        <w:t xml:space="preserve"> </w:t>
      </w:r>
      <w:r w:rsidRPr="007306BB">
        <w:rPr>
          <w:rFonts w:ascii="Arial" w:eastAsia="Calibri" w:hAnsi="Arial" w:cs="Arial"/>
        </w:rPr>
        <w:t>Similarly, Achufusi et al. demonstrated that UDCA decreases intestinal cholesterol absorption, lowers biliary cholesterol saturation, and protects hepatocytes and cholangiocytes from bile-acid–induced injury by shifting the bile acid pool toward hydrophilicity and reducing cytotoxic hydrophobic bile acids</w:t>
      </w:r>
      <w:r w:rsidRPr="007306BB">
        <w:rPr>
          <w:rFonts w:ascii="Arial" w:hAnsi="Arial" w:cs="Arial"/>
        </w:rPr>
        <w:t>.</w:t>
      </w:r>
      <w:r w:rsidRPr="007306BB">
        <w:rPr>
          <w:rFonts w:ascii="Arial" w:hAnsi="Arial" w:cs="Arial"/>
          <w:vertAlign w:val="superscript"/>
        </w:rPr>
        <w:t>8</w:t>
      </w:r>
      <w:r w:rsidRPr="007306BB">
        <w:rPr>
          <w:rFonts w:ascii="Arial" w:hAnsi="Arial" w:cs="Arial"/>
        </w:rPr>
        <w:t xml:space="preserve">  Patel et al. also reported that UCDA was beneficial in patients diagnosed with NAFLD as it significantly reduced aspartate transaminase (AST), alanine aminotransferase (ALT), and gamma-glutamyl transferase (GGT) levels.</w:t>
      </w:r>
      <w:r w:rsidRPr="007306BB">
        <w:rPr>
          <w:rFonts w:ascii="Arial" w:hAnsi="Arial" w:cs="Arial"/>
          <w:vertAlign w:val="superscript"/>
        </w:rPr>
        <w:t xml:space="preserve">12  </w:t>
      </w:r>
      <w:r w:rsidRPr="007306BB">
        <w:rPr>
          <w:rFonts w:ascii="Arial" w:eastAsia="Calibri" w:hAnsi="Arial" w:cs="Arial"/>
        </w:rPr>
        <w:t>Furthermore, a prospective, randomized, double-blind trial by Aloun et al. showed that UDCA significantly improved liver function markers (ALT, AST, ALP, GGT, bilirubin) and International Normalized Ratio (INR) in the early postoperative period, suggesting its role in enhancing liver regeneration and recovery</w:t>
      </w:r>
      <w:r w:rsidRPr="007306BB">
        <w:rPr>
          <w:rFonts w:ascii="Arial" w:hAnsi="Arial" w:cs="Arial"/>
        </w:rPr>
        <w:t>.</w:t>
      </w:r>
      <w:r w:rsidRPr="007306BB">
        <w:rPr>
          <w:rFonts w:ascii="Arial" w:hAnsi="Arial" w:cs="Arial"/>
          <w:vertAlign w:val="superscript"/>
        </w:rPr>
        <w:t>13</w:t>
      </w:r>
    </w:p>
    <w:p w14:paraId="1FA53612" w14:textId="77777777" w:rsidR="007306BB" w:rsidRPr="007306BB" w:rsidRDefault="007306BB" w:rsidP="007306BB">
      <w:pPr>
        <w:jc w:val="both"/>
        <w:rPr>
          <w:rFonts w:ascii="Arial" w:hAnsi="Arial" w:cs="Arial"/>
        </w:rPr>
      </w:pPr>
    </w:p>
    <w:p w14:paraId="6880ACC6" w14:textId="77777777" w:rsidR="007306BB" w:rsidRDefault="007306BB" w:rsidP="007306BB">
      <w:pPr>
        <w:jc w:val="both"/>
        <w:rPr>
          <w:rFonts w:ascii="Arial" w:hAnsi="Arial" w:cs="Arial"/>
          <w:vertAlign w:val="superscript"/>
        </w:rPr>
      </w:pPr>
      <w:r w:rsidRPr="007306BB">
        <w:rPr>
          <w:rFonts w:ascii="Arial" w:hAnsi="Arial" w:cs="Arial"/>
        </w:rPr>
        <w:t>The majority of the survey respondents prefer 300 mg BID as the preferred dosage of UDCA for patients in routine practice.</w:t>
      </w:r>
      <w:r w:rsidRPr="007306BB">
        <w:rPr>
          <w:rFonts w:ascii="Arial" w:eastAsia="Calibri" w:hAnsi="Arial" w:cs="Arial"/>
        </w:rPr>
        <w:t xml:space="preserve"> Supporting this observation, a pilot study from North India by Duseja et al. evaluated 100 patients with NAFLD who received lifestyle interventions combined with UDCA 300 mg twice daily for six months. The study reported that 74% of patients achieved a biochemical response in liver enzymes, with 64 showing a complete response and 10 showing a partial response</w:t>
      </w:r>
      <w:r w:rsidRPr="007306BB">
        <w:rPr>
          <w:rFonts w:ascii="Arial" w:hAnsi="Arial" w:cs="Arial"/>
        </w:rPr>
        <w:t>.</w:t>
      </w:r>
      <w:r w:rsidRPr="007306BB">
        <w:rPr>
          <w:rFonts w:ascii="Arial" w:hAnsi="Arial" w:cs="Arial"/>
          <w:vertAlign w:val="superscript"/>
        </w:rPr>
        <w:t xml:space="preserve">14 </w:t>
      </w:r>
      <w:r w:rsidRPr="007306BB">
        <w:rPr>
          <w:rFonts w:ascii="Arial" w:eastAsia="Calibri" w:hAnsi="Arial" w:cs="Arial"/>
        </w:rPr>
        <w:t>Similarly, Yoon et al. demonstrated that UDCA 300 mg BID significantly reduced ALT and miR-122 levels without adverse effects, further confirming its efficacy and tolerability.</w:t>
      </w:r>
      <w:r w:rsidRPr="007306BB">
        <w:rPr>
          <w:rFonts w:ascii="Arial" w:eastAsia="Calibri" w:hAnsi="Arial" w:cs="Arial"/>
          <w:vertAlign w:val="superscript"/>
        </w:rPr>
        <w:t>15</w:t>
      </w:r>
      <w:r w:rsidRPr="007306BB">
        <w:rPr>
          <w:rFonts w:ascii="Arial" w:hAnsi="Arial" w:cs="Arial"/>
          <w:vertAlign w:val="superscript"/>
        </w:rPr>
        <w:t xml:space="preserve"> </w:t>
      </w:r>
    </w:p>
    <w:p w14:paraId="1D732099" w14:textId="77777777" w:rsidR="007306BB" w:rsidRPr="007306BB" w:rsidRDefault="007306BB" w:rsidP="007306BB">
      <w:pPr>
        <w:jc w:val="both"/>
        <w:rPr>
          <w:rFonts w:ascii="Arial" w:hAnsi="Arial" w:cs="Arial"/>
          <w:lang w:val="en-GB"/>
        </w:rPr>
      </w:pPr>
    </w:p>
    <w:p w14:paraId="2B71219D" w14:textId="77777777" w:rsidR="007306BB" w:rsidRDefault="007306BB" w:rsidP="007306BB">
      <w:pPr>
        <w:jc w:val="both"/>
        <w:rPr>
          <w:rFonts w:ascii="Arial" w:eastAsia="Calibri" w:hAnsi="Arial" w:cs="Arial"/>
          <w:lang w:val="en-GB"/>
        </w:rPr>
      </w:pPr>
      <w:r w:rsidRPr="007306BB">
        <w:rPr>
          <w:rFonts w:ascii="Arial" w:eastAsia="Calibri" w:hAnsi="Arial" w:cs="Arial"/>
          <w:lang w:val="en-GB"/>
        </w:rPr>
        <w:t>The survey findings validated the recognition of UDCA as a first-line treatment for conditions such as hepatic encephalopathy, PBC, hepatocellular carcinoma, alcoholic liver disease, MAFLD, and NASH. The findings also indicated that UDCA is highly effective in treating primary biliary cirrhosis.</w:t>
      </w:r>
      <w:r w:rsidRPr="007306BB">
        <w:rPr>
          <w:rFonts w:ascii="Arial" w:hAnsi="Arial" w:cs="Arial"/>
          <w:lang w:val="en-GB"/>
        </w:rPr>
        <w:t xml:space="preserve"> </w:t>
      </w:r>
      <w:r w:rsidRPr="007306BB">
        <w:rPr>
          <w:rFonts w:ascii="Arial" w:eastAsia="Calibri" w:hAnsi="Arial" w:cs="Arial"/>
          <w:lang w:val="en-GB"/>
        </w:rPr>
        <w:t>MacDonald et al. and Kumar and Tandon reported that UDCA is the preferred first-line pharmacologic agent for PBC, recommended for all patients with this disorder, and that treatment with UDCA improves biochemical indices, delays disease progression, and enhances survival</w:t>
      </w:r>
      <w:r w:rsidRPr="007306BB">
        <w:rPr>
          <w:rFonts w:ascii="Arial" w:hAnsi="Arial" w:cs="Arial"/>
          <w:lang w:val="en-GB"/>
        </w:rPr>
        <w:t>.</w:t>
      </w:r>
      <w:r w:rsidRPr="007306BB">
        <w:rPr>
          <w:rFonts w:ascii="Arial" w:hAnsi="Arial" w:cs="Arial"/>
          <w:vertAlign w:val="superscript"/>
          <w:lang w:val="en-GB"/>
        </w:rPr>
        <w:t>16,9</w:t>
      </w:r>
      <w:r w:rsidRPr="007306BB">
        <w:rPr>
          <w:rFonts w:ascii="Arial" w:hAnsi="Arial" w:cs="Arial"/>
          <w:lang w:val="en-GB"/>
        </w:rPr>
        <w:t xml:space="preserve"> Parikh et al., in a prospective, open-label randomized control study, found that UDCA is as effective as vitamin E in nondiabetic, noncirrhotic NAFLD, now largely encompassed under MAFLD/NASH, patients for improving biochemical markers, with good tolerability and minimal side effects.</w:t>
      </w:r>
      <w:r w:rsidRPr="007306BB">
        <w:rPr>
          <w:rFonts w:ascii="Arial" w:hAnsi="Arial" w:cs="Arial"/>
          <w:vertAlign w:val="superscript"/>
          <w:lang w:val="en-GB"/>
        </w:rPr>
        <w:t>17</w:t>
      </w:r>
      <w:r w:rsidRPr="007306BB">
        <w:rPr>
          <w:rFonts w:ascii="Arial" w:hAnsi="Arial" w:cs="Arial"/>
          <w:lang w:val="en-GB"/>
        </w:rPr>
        <w:t xml:space="preserve"> Shrikant Mukewar showed that UDCA significantly reduced liver enzymes and demonstrated efficacy for hepatic biochemistry and symptom improvement.</w:t>
      </w:r>
      <w:r w:rsidRPr="007306BB">
        <w:rPr>
          <w:rFonts w:ascii="Arial" w:hAnsi="Arial" w:cs="Arial"/>
          <w:vertAlign w:val="superscript"/>
          <w:lang w:val="en-GB"/>
        </w:rPr>
        <w:t>18</w:t>
      </w:r>
      <w:r w:rsidRPr="007306BB">
        <w:rPr>
          <w:rFonts w:ascii="Arial" w:hAnsi="Arial" w:cs="Arial"/>
          <w:lang w:val="en-GB"/>
        </w:rPr>
        <w:t xml:space="preserve"> </w:t>
      </w:r>
      <w:r w:rsidRPr="007306BB">
        <w:rPr>
          <w:rFonts w:ascii="Arial" w:eastAsia="Calibri" w:hAnsi="Arial" w:cs="Arial"/>
          <w:lang w:val="en-GB"/>
        </w:rPr>
        <w:t xml:space="preserve">An observational study by Lawate et al. further showed that in patients with chronic cholestatic liver disease, including PBC, UDCA not only prolonged survival but also improved biochemical parameters associated with </w:t>
      </w:r>
      <w:r w:rsidRPr="007306BB">
        <w:rPr>
          <w:rFonts w:ascii="Arial" w:eastAsia="Calibri" w:hAnsi="Arial" w:cs="Arial"/>
          <w:lang w:val="en-GB"/>
        </w:rPr>
        <w:lastRenderedPageBreak/>
        <w:t>cholestasis</w:t>
      </w:r>
      <w:r w:rsidRPr="007306BB">
        <w:rPr>
          <w:rFonts w:ascii="Arial" w:hAnsi="Arial" w:cs="Arial"/>
          <w:lang w:val="en-GB"/>
        </w:rPr>
        <w:t>.</w:t>
      </w:r>
      <w:r w:rsidRPr="007306BB">
        <w:rPr>
          <w:rFonts w:ascii="Arial" w:hAnsi="Arial" w:cs="Arial"/>
          <w:vertAlign w:val="superscript"/>
          <w:lang w:val="en-GB"/>
        </w:rPr>
        <w:t>19</w:t>
      </w:r>
      <w:r w:rsidRPr="007306BB">
        <w:rPr>
          <w:rFonts w:ascii="Arial" w:eastAsia="Calibri" w:hAnsi="Arial" w:cs="Arial"/>
          <w:lang w:val="en-GB"/>
        </w:rPr>
        <w:t xml:space="preserve"> These findings underscore the broad efficacy and safety profile of UDCA across diverse liver disorders.</w:t>
      </w:r>
    </w:p>
    <w:p w14:paraId="12F64C8A" w14:textId="77777777" w:rsidR="007306BB" w:rsidRPr="007306BB" w:rsidRDefault="007306BB" w:rsidP="007306BB">
      <w:pPr>
        <w:jc w:val="both"/>
        <w:rPr>
          <w:rFonts w:ascii="Arial" w:hAnsi="Arial" w:cs="Arial"/>
          <w:lang w:val="en-GB"/>
        </w:rPr>
      </w:pPr>
    </w:p>
    <w:p w14:paraId="2E235D47" w14:textId="77777777" w:rsidR="007306BB" w:rsidRDefault="007306BB" w:rsidP="007306BB">
      <w:pPr>
        <w:jc w:val="both"/>
        <w:rPr>
          <w:rFonts w:ascii="Arial" w:eastAsia="Calibri" w:hAnsi="Arial" w:cs="Arial"/>
          <w:vertAlign w:val="superscript"/>
          <w:lang w:val="en-GB"/>
        </w:rPr>
      </w:pPr>
      <w:r w:rsidRPr="007306BB">
        <w:rPr>
          <w:rFonts w:ascii="Arial" w:eastAsia="Calibri" w:hAnsi="Arial" w:cs="Arial"/>
          <w:lang w:val="en-GB"/>
        </w:rPr>
        <w:t>The present survey also indicated that UDCA therapy can improve liver enzyme levels, slow disease progression, and enhance liver histology in patients with chronic cholestatic liver disease, particularly in those with PBC.</w:t>
      </w:r>
      <w:r w:rsidRPr="007306BB">
        <w:rPr>
          <w:rFonts w:ascii="Arial" w:hAnsi="Arial" w:cs="Arial"/>
          <w:lang w:val="en-GB"/>
        </w:rPr>
        <w:t xml:space="preserve"> </w:t>
      </w:r>
      <w:r w:rsidRPr="007306BB">
        <w:rPr>
          <w:rFonts w:ascii="Arial" w:eastAsia="Calibri" w:hAnsi="Arial" w:cs="Arial"/>
          <w:lang w:val="en-GB"/>
        </w:rPr>
        <w:t>Ravindra et al. highlighted that 60% of physicians recommended UDCA to more than half of their patients with chronic cholestatic liver diseases, especially those with alcoholic liver disease accompanied by cholestasis and drug-induced liver injury. Their findings demonstrated that UDCA is well-tolerated and effective, leading to improvements in symptoms and biochemical markers of cholestasis over weeks to months of treatment.</w:t>
      </w:r>
      <w:r w:rsidRPr="007306BB">
        <w:rPr>
          <w:rFonts w:ascii="Arial" w:eastAsia="Calibri" w:hAnsi="Arial" w:cs="Arial"/>
          <w:vertAlign w:val="superscript"/>
          <w:lang w:val="en-GB"/>
        </w:rPr>
        <w:t>20</w:t>
      </w:r>
      <w:r w:rsidRPr="007306BB">
        <w:rPr>
          <w:rFonts w:ascii="Arial" w:hAnsi="Arial" w:cs="Arial"/>
          <w:lang w:val="en-GB"/>
        </w:rPr>
        <w:t xml:space="preserve"> </w:t>
      </w:r>
      <w:r w:rsidRPr="007306BB">
        <w:rPr>
          <w:rFonts w:ascii="Arial" w:eastAsia="Calibri" w:hAnsi="Arial" w:cs="Arial"/>
          <w:lang w:val="en-GB"/>
        </w:rPr>
        <w:t>Similarly, Manav Wadhawan emphasized UDCA as the first-line therapy for PBC and other chronic cholestatic conditions, noting its benefits in enhancing biochemical indices, including liver enzymes, delaying histological progression, and improving transplant-free survival.</w:t>
      </w:r>
      <w:r w:rsidRPr="007306BB">
        <w:rPr>
          <w:rFonts w:ascii="Arial" w:eastAsia="Calibri" w:hAnsi="Arial" w:cs="Arial"/>
          <w:vertAlign w:val="superscript"/>
          <w:lang w:val="en-GB"/>
        </w:rPr>
        <w:t>21</w:t>
      </w:r>
    </w:p>
    <w:p w14:paraId="259C794B" w14:textId="77777777" w:rsidR="007306BB" w:rsidRPr="007306BB" w:rsidRDefault="007306BB" w:rsidP="007306BB">
      <w:pPr>
        <w:jc w:val="both"/>
        <w:rPr>
          <w:rFonts w:ascii="Arial" w:eastAsia="Calibri" w:hAnsi="Arial" w:cs="Arial"/>
          <w:lang w:val="en-GB"/>
        </w:rPr>
      </w:pPr>
    </w:p>
    <w:p w14:paraId="5EC7BA63" w14:textId="1DBE2D15" w:rsidR="00790ADA" w:rsidRPr="004F4227" w:rsidRDefault="007306BB" w:rsidP="007306BB">
      <w:pPr>
        <w:pStyle w:val="Body"/>
        <w:rPr>
          <w:rFonts w:ascii="Arial" w:hAnsi="Arial" w:cs="Arial"/>
          <w:lang w:val="en-IN"/>
        </w:rPr>
      </w:pPr>
      <w:r w:rsidRPr="007306BB">
        <w:rPr>
          <w:rFonts w:ascii="Arial" w:eastAsia="Calibri" w:hAnsi="Arial" w:cs="Arial"/>
          <w:lang w:val="en-GB"/>
        </w:rPr>
        <w:t>The present survey provides valuable insights into the clinical perspectives of Indian experts on the use of UDCA in liver disorders. The findings support the integration of UDCA into routine clinical practice and underscore the importance of early identification and management of liver disease risk factors to improve patient outcomes. However, several limitations must be acknowledged. As the survey was based on expert opinion, responses may be influenced by subjective judgment and individual clinical experience, introducing potential bias. In addition, the cross-sectional design captures practices and perceptions at a single point in time and may not fully reflect evolving trends in clinical management. The survey also did not include patient-level data or objective clinical outcomes, which limits the generalizability of the findings. These factors should be considered when interpreting the results, and future studies incorporating prospective clinical data are warranted to validate and extend these insights.</w:t>
      </w:r>
      <w:r w:rsidR="00C30A0F" w:rsidRPr="004F4227">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7132AD15" w:rsidR="00B01FCD" w:rsidRDefault="00D06252" w:rsidP="00441B6F">
      <w:pPr>
        <w:pStyle w:val="Body"/>
        <w:spacing w:after="0"/>
        <w:rPr>
          <w:rFonts w:ascii="Arial" w:hAnsi="Arial" w:cs="Arial"/>
        </w:rPr>
      </w:pPr>
      <w:r w:rsidRPr="00D06252">
        <w:t xml:space="preserve">This </w:t>
      </w:r>
      <w:r w:rsidR="00296F36" w:rsidRPr="0060737C">
        <w:rPr>
          <w:rFonts w:ascii="Arial" w:eastAsia="Calibri" w:hAnsi="Arial" w:cs="Arial"/>
          <w:bCs/>
          <w:szCs w:val="22"/>
          <w:lang w:val="en-IN"/>
        </w:rPr>
        <w:t xml:space="preserve">study </w:t>
      </w:r>
      <w:r w:rsidRPr="00D06252">
        <w:t>underscores the widespread use of UDCA in the management of liver disorders in India and reinforces its established therapeutic value and favorable tolerability. MAFLD emerges as the most common liver condition, with UDCA 300 mg twice daily being the preferred regimen. Experts highlight the benefits of UDCA in improving liver enzyme levels, slowing disease progression, and enhancing liver histology, particularly in PBC, while also confirming its effectiveness in gallstone management.</w:t>
      </w:r>
    </w:p>
    <w:p w14:paraId="20D13E0E" w14:textId="77777777" w:rsidR="00790ADA" w:rsidRPr="00FB3A86" w:rsidRDefault="00790ADA" w:rsidP="00441B6F">
      <w:pPr>
        <w:pStyle w:val="Body"/>
        <w:spacing w:after="0"/>
        <w:rPr>
          <w:rFonts w:ascii="Arial" w:hAnsi="Arial" w:cs="Arial"/>
        </w:rPr>
      </w:pPr>
    </w:p>
    <w:p w14:paraId="23E8A405" w14:textId="77777777" w:rsidR="002B715B" w:rsidRDefault="002B715B" w:rsidP="00592C36">
      <w:pPr>
        <w:pStyle w:val="ReferHead"/>
        <w:spacing w:after="0"/>
        <w:jc w:val="both"/>
        <w:rPr>
          <w:rFonts w:ascii="Arial" w:hAnsi="Arial" w:cs="Arial"/>
          <w:b w:val="0"/>
          <w:caps w:val="0"/>
          <w:sz w:val="20"/>
        </w:rPr>
      </w:pPr>
    </w:p>
    <w:p w14:paraId="6ECA2C00" w14:textId="77777777" w:rsidR="002B715B" w:rsidRPr="003A29C6" w:rsidRDefault="002B715B" w:rsidP="002B715B">
      <w:pPr>
        <w:jc w:val="both"/>
        <w:outlineLvl w:val="0"/>
        <w:rPr>
          <w:rFonts w:ascii="Arial" w:hAnsi="Arial" w:cs="Arial"/>
        </w:rPr>
      </w:pPr>
      <w:r w:rsidRPr="003A29C6">
        <w:rPr>
          <w:rFonts w:ascii="Arial" w:hAnsi="Arial" w:cs="Arial"/>
          <w:b/>
          <w:bCs/>
        </w:rPr>
        <w:t>COMPETING INTERESTS DISCLAIMER:</w:t>
      </w:r>
    </w:p>
    <w:p w14:paraId="5D06EA85" w14:textId="77777777" w:rsidR="002B715B" w:rsidRDefault="002B715B" w:rsidP="002B715B">
      <w:r w:rsidRPr="00A10EDE">
        <w:t>Authors have declared that they have no known competing financial interests OR non-financial interests OR personal relationships that could have appeared to influence the work reported in this paper.</w:t>
      </w:r>
    </w:p>
    <w:p w14:paraId="13DCD153" w14:textId="77777777" w:rsidR="002B715B" w:rsidRPr="00745BE1" w:rsidRDefault="002B715B" w:rsidP="00592C36">
      <w:pPr>
        <w:pStyle w:val="ReferHead"/>
        <w:spacing w:after="0"/>
        <w:jc w:val="both"/>
        <w:rPr>
          <w:rFonts w:ascii="Arial" w:hAnsi="Arial" w:cs="Arial"/>
          <w:b w:val="0"/>
          <w:caps w:val="0"/>
          <w:sz w:val="20"/>
        </w:rPr>
      </w:pPr>
    </w:p>
    <w:p w14:paraId="6A08E617" w14:textId="77777777" w:rsidR="00592C36" w:rsidRDefault="00592C36"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4860E16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Mondal D, Das K, Chowdhury A. Epidemiology of Liver Diseases in India. Clin Liver Dis (Hoboken). 2022 Jan 28;19(3):114–7. </w:t>
      </w:r>
    </w:p>
    <w:p w14:paraId="47B44ABE"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Asrani SK, Devarbhavi H, Eaton J, Kamath PS. Burden of liver diseases in the world. J Hepatol. 2019 Jan;70(1):151–71. </w:t>
      </w:r>
    </w:p>
    <w:p w14:paraId="6AA42D71"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lastRenderedPageBreak/>
        <w:t xml:space="preserve">Zhou K, Lu LG. Assessment of fibrosis in chronic liver diseases. J Dig Dis. 2009 Feb;10(1):7–14. </w:t>
      </w:r>
    </w:p>
    <w:p w14:paraId="377040C3"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Romeo S, Sanyal A, Valenti L. Leveraging Human Genetics to Identify Potential New Treatments for Fatty Liver Disease. Cell Metab. 2020 Jan 7;31(1):35–45. </w:t>
      </w:r>
    </w:p>
    <w:p w14:paraId="6871443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Paik JM, Henry L, Younossi Y, Ong J, Alqahtani S, Younossi ZM. The burden of nonalcoholic fatty liver disease (NAFLD) is rapidly growing in every region of the world from 1990 to 2019. Hepatol Commun. 2023 Oct 2;7(10):e0251. </w:t>
      </w:r>
    </w:p>
    <w:p w14:paraId="5C52E7D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187CF9">
        <w:rPr>
          <w:rFonts w:ascii="Arial" w:eastAsia="Calibri" w:hAnsi="Arial" w:cs="Arial"/>
          <w:lang w:val="pt-PT" w:eastAsia="en-IN"/>
        </w:rPr>
        <w:t xml:space="preserve">Mishra D, Dash KR, Khatua C, Panigrahi S, Parida PK, Behera SK, et al. </w:t>
      </w:r>
      <w:r w:rsidRPr="00D06252">
        <w:rPr>
          <w:rFonts w:ascii="Arial" w:eastAsia="Calibri" w:hAnsi="Arial" w:cs="Arial"/>
          <w:lang w:val="en-IN" w:eastAsia="en-IN"/>
        </w:rPr>
        <w:t xml:space="preserve">A Study on the Temporal Trends in the Etiology of Cirrhosis of Liver in Coastal Eastern Odisha. Euroasian J Hepatogastroenterol. 2020;10(1):1–6. </w:t>
      </w:r>
    </w:p>
    <w:p w14:paraId="7395189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187CF9">
        <w:rPr>
          <w:rFonts w:ascii="Arial" w:eastAsia="Calibri" w:hAnsi="Arial" w:cs="Arial"/>
          <w:lang w:val="pt-PT" w:eastAsia="en-IN"/>
        </w:rPr>
        <w:t xml:space="preserve">Shalimar, Elhence A, Bansal B, Gupta H, Anand A, Singh TP, et al. </w:t>
      </w:r>
      <w:r w:rsidRPr="00D06252">
        <w:rPr>
          <w:rFonts w:ascii="Arial" w:eastAsia="Calibri" w:hAnsi="Arial" w:cs="Arial"/>
          <w:lang w:val="en-IN" w:eastAsia="en-IN"/>
        </w:rPr>
        <w:t xml:space="preserve">Prevalence of Non-alcoholic Fatty Liver Disease in India: A Systematic Review and Meta-analysis. Journal of Clinical and Experimental Hepatology. 2022 May 1;12(3):818–29. </w:t>
      </w:r>
    </w:p>
    <w:p w14:paraId="39DD51DE" w14:textId="37D0C4E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Achufusi TGO, Safadi AO, Mahabadi N. Ursodeoxycholic Acid. In: StatPearls [Internet]. Treasure Island (FL): StatPearls Publishing; 2025 [cited 2025 Aug 26]. Available from: </w:t>
      </w:r>
      <w:hyperlink r:id="rId21" w:history="1">
        <w:r w:rsidRPr="00042742">
          <w:rPr>
            <w:rStyle w:val="Hyperlink"/>
            <w:rFonts w:ascii="Arial" w:eastAsia="Calibri" w:hAnsi="Arial" w:cs="Arial"/>
            <w:lang w:val="en-IN" w:eastAsia="en-IN"/>
          </w:rPr>
          <w:t>http://www.ncbi.nlm.nih.gov/books/NBK545303/</w:t>
        </w:r>
      </w:hyperlink>
      <w:r>
        <w:rPr>
          <w:rFonts w:ascii="Arial" w:eastAsia="Calibri" w:hAnsi="Arial" w:cs="Arial"/>
          <w:lang w:val="en-IN" w:eastAsia="en-IN"/>
        </w:rPr>
        <w:t xml:space="preserve"> </w:t>
      </w:r>
    </w:p>
    <w:p w14:paraId="7A9A729C"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Kumar D, Tandon RK. Use of ursodeoxycholic acid in liver diseases. J Gastroenterol Hepatol. 2001 Jan;16(1):3–14. </w:t>
      </w:r>
    </w:p>
    <w:p w14:paraId="122BB705"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Prabhakar T, Prasad M, Kumar G, Kaushal K, Shenoy PS, Dubey S, et al. High prevalence of MAFLD in general population: A large cross-sectional study calls for concerted public health action. Aliment Pharmacol Ther. 2024 Apr;59(7):843–51. </w:t>
      </w:r>
    </w:p>
    <w:p w14:paraId="3219077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Sauter GH, Thiessen K, Parhofer KG, Jüngst C, Fischer S, Jüngst D. Effects of ursodeoxycholic acid on synthesis of cholesterol and bile acids in healthy subjects. Digestion. 2004;70(2):79–83. </w:t>
      </w:r>
    </w:p>
    <w:p w14:paraId="0540597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Patel VS, Mahmood SF, Bhatt KH, Khemkar RM, Jariwala DR, Harris B et al. Ursodeoxycholic Acid’s Effectiveness in the Management of Nonalcoholic Fatty Liver Disease: A Systematic Review and Metaanalysis. Euroasian J Hepato-Gastroenterol. 2024;14(1):92–98. </w:t>
      </w:r>
    </w:p>
    <w:p w14:paraId="10B5000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Aloun A, Akbulut S, Garzali IU, Gonultas F, Baskiran A, Hargura AS, et al. Effect of ursodeoxycholic acid on liver regeneration capacity after living donor hepatectomy: a prospective, randomized, double-blind clinical trial. Eur Rev Med Pharmacol Sci. 2023 Feb;27(3):999–1006. </w:t>
      </w:r>
    </w:p>
    <w:p w14:paraId="0ACEBF33"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Duseja A, Singh SP, Saraswat VA, Acharya SK, Chawla YK, Chowdhury S, et al. Non-alcoholic Fatty Liver Disease and Metabolic Syndrome—Position Paper of the Indian National Association for the Study of the Liver, Endocrine Society of India, Indian College of Cardiology and Indian Society of Gastroenterology. J Clin Exp Hepatol. 2015 Mar;5(1):51–68. </w:t>
      </w:r>
    </w:p>
    <w:p w14:paraId="3889B2E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Yoon S, Lee H, Ji SC, Yoon SH, Cho JY, Chung JY. Pharmacokinetics and Pharmacodynamics of Ursodeoxycholic Acid in an Overweight Population With Abnormal Liver Function. Clin Pharmacol Drug Dev. 2021 Jan;10(1):68–77. </w:t>
      </w:r>
    </w:p>
    <w:p w14:paraId="15A17501"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lastRenderedPageBreak/>
        <w:t xml:space="preserve">MacDonald N, Loh R, Fenkel JM, Sass DA, Halegoua-DeMarzio D. Pharmacotherapy for primary biliary cholangitis: an assessment of medication candidacy and rates of treatment. BMC Gastroenterol. 2024 Jan 4;24:18. </w:t>
      </w:r>
    </w:p>
    <w:p w14:paraId="6E12717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Parikh P, Ingle M, Patel J, Bhate P, Pandey V, Sawant P. An Open-label Randomized Control Study to Compare the Efficacy of Vitamin E versus Ursodeoxycholic Acid in Nondiabetic and Noncirrhotic Indian NAFLD Patients. Saudi J Gastroenterol. 2016;22(3):192–7. </w:t>
      </w:r>
    </w:p>
    <w:p w14:paraId="5497D4B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Mukewar S. Recent advances in diagnosis and management of chronic cholestatic liver diseases: expert consensus. International Journal of Research in Medical Sciences. 2025 Jan 30;13(2):967–76. </w:t>
      </w:r>
    </w:p>
    <w:p w14:paraId="5FC885A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Lawate P, Rooprai R, Choudhury G, Dutta S. A prospective, multicentre, observational study of patients with chronic cholestatic liver diseases receiving Udiliv® in India: Splendid study. International Journal of Basic &amp; Clinical Pharmacology. 2016 Dec 21;5(6):2621–9. </w:t>
      </w:r>
    </w:p>
    <w:p w14:paraId="2ABC970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Ravindra BS, Lahoti D, Das K. Epidemiology and treatment practices of chronic cholestatic liver disease in India: a physician survey-based study. International Journal of Scientific Reports. 2023;9(1):17–27. </w:t>
      </w:r>
    </w:p>
    <w:p w14:paraId="2B634C7F" w14:textId="1FFB0AAA" w:rsidR="00315186" w:rsidRPr="00193629" w:rsidRDefault="00D06252" w:rsidP="00D06252">
      <w:pPr>
        <w:numPr>
          <w:ilvl w:val="0"/>
          <w:numId w:val="31"/>
        </w:numPr>
        <w:tabs>
          <w:tab w:val="left" w:pos="4035"/>
        </w:tabs>
        <w:spacing w:line="324" w:lineRule="auto"/>
        <w:ind w:right="80"/>
        <w:jc w:val="both"/>
        <w:rPr>
          <w:rFonts w:ascii="Arial" w:hAnsi="Arial" w:cs="Arial"/>
        </w:rPr>
      </w:pPr>
      <w:r w:rsidRPr="00D06252">
        <w:rPr>
          <w:rFonts w:ascii="Arial" w:eastAsia="Calibri" w:hAnsi="Arial" w:cs="Arial"/>
          <w:lang w:val="en-IN" w:eastAsia="en-IN"/>
        </w:rPr>
        <w:t>Wadhawan M. Updates in chronic cholestatic liver diseases: Indian expert recommendations for diagnosing and managing complex cases. International Journal of Research in Medical Sciences. 2025 Jan 30;13(2):949–57.</w:t>
      </w:r>
    </w:p>
    <w:sectPr w:rsidR="00315186" w:rsidRPr="00193629" w:rsidSect="00DC3E2D">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hmi Zebari" w:date="2025-09-09T19:56:00Z" w:initials="FZ">
    <w:p w14:paraId="24B822F2" w14:textId="60C6D8F6" w:rsidR="00A86CD1" w:rsidRDefault="00A86CD1">
      <w:pPr>
        <w:pStyle w:val="CommentText"/>
      </w:pPr>
      <w:r>
        <w:rPr>
          <w:rStyle w:val="CommentReference"/>
        </w:rPr>
        <w:annotationRef/>
      </w:r>
      <w:r>
        <w:t xml:space="preserve">A copy of the </w:t>
      </w:r>
      <w:r w:rsidRPr="00A86CD1">
        <w:t>questionnaire</w:t>
      </w:r>
      <w:r>
        <w:t xml:space="preserve"> to be included or at least attached </w:t>
      </w:r>
      <w:r w:rsidRPr="00A86CD1">
        <w:t>to</w:t>
      </w:r>
      <w:r>
        <w:t xml:space="preserve"> the document</w:t>
      </w:r>
    </w:p>
  </w:comment>
  <w:comment w:id="2" w:author="Fahmi Zebari" w:date="2025-09-09T19:44:00Z" w:initials="FZ">
    <w:p w14:paraId="1AAEB58B" w14:textId="77777777" w:rsidR="00187CF9" w:rsidRDefault="00187CF9" w:rsidP="00187CF9">
      <w:pPr>
        <w:pStyle w:val="CommentText"/>
      </w:pPr>
      <w:r>
        <w:rPr>
          <w:rStyle w:val="CommentReference"/>
        </w:rPr>
        <w:annotationRef/>
      </w:r>
      <w:r>
        <w:t>analysed</w:t>
      </w:r>
    </w:p>
  </w:comment>
  <w:comment w:id="4" w:author="Fahmi Zebari" w:date="2025-09-09T19:47:00Z" w:initials="FZ">
    <w:p w14:paraId="1C9240C0" w14:textId="77777777" w:rsidR="00187CF9" w:rsidRDefault="00187CF9" w:rsidP="00187CF9">
      <w:pPr>
        <w:pStyle w:val="CommentText"/>
      </w:pPr>
      <w:r>
        <w:rPr>
          <w:rStyle w:val="CommentReference"/>
        </w:rPr>
        <w:annotationRef/>
      </w:r>
      <w:r>
        <w:t>Non-alcoholic</w:t>
      </w:r>
    </w:p>
  </w:comment>
  <w:comment w:id="5" w:author="Fahmi Zebari" w:date="2025-09-09T19:48:00Z" w:initials="FZ">
    <w:p w14:paraId="6ACCBB3C" w14:textId="77777777" w:rsidR="00A86CD1" w:rsidRDefault="00A86CD1" w:rsidP="00A86CD1">
      <w:pPr>
        <w:pStyle w:val="CommentText"/>
      </w:pPr>
      <w:r>
        <w:rPr>
          <w:rStyle w:val="CommentReference"/>
        </w:rPr>
        <w:annotationRef/>
      </w:r>
      <w:r>
        <w:t>paediatric</w:t>
      </w:r>
    </w:p>
  </w:comment>
  <w:comment w:id="6" w:author="Fahmi Zebari" w:date="2025-09-09T19:51:00Z" w:initials="FZ">
    <w:p w14:paraId="4EA7F269" w14:textId="77777777" w:rsidR="00A86CD1" w:rsidRDefault="00A86CD1" w:rsidP="00A86CD1">
      <w:pPr>
        <w:pStyle w:val="CommentText"/>
      </w:pPr>
      <w:r>
        <w:rPr>
          <w:rStyle w:val="CommentReference"/>
        </w:rPr>
        <w:annotationRef/>
      </w:r>
      <w:r>
        <w:t>analysed</w:t>
      </w:r>
    </w:p>
  </w:comment>
  <w:comment w:id="8" w:author="Fahmi Zebari" w:date="2025-09-09T19:56:00Z" w:initials="FZ">
    <w:p w14:paraId="55A76D34" w14:textId="77777777" w:rsidR="00A86CD1" w:rsidRDefault="00A86CD1" w:rsidP="00A86CD1">
      <w:pPr>
        <w:pStyle w:val="CommentText"/>
      </w:pPr>
      <w:r>
        <w:rPr>
          <w:rStyle w:val="CommentReference"/>
        </w:rPr>
        <w:annotationRef/>
      </w:r>
      <w:r>
        <w:t>Do all the treating physicians used the same UDCA brand , if not then kindly address the reason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B822F2" w15:done="0"/>
  <w15:commentEx w15:paraId="1AAEB58B" w15:done="0"/>
  <w15:commentEx w15:paraId="1C9240C0" w15:done="0"/>
  <w15:commentEx w15:paraId="6ACCBB3C" w15:done="0"/>
  <w15:commentEx w15:paraId="4EA7F269" w15:done="0"/>
  <w15:commentEx w15:paraId="55A76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42E42" w16cex:dateUtc="2025-09-09T16:56:00Z"/>
  <w16cex:commentExtensible w16cex:durableId="475CC700" w16cex:dateUtc="2025-09-09T16:44:00Z"/>
  <w16cex:commentExtensible w16cex:durableId="35CADB33" w16cex:dateUtc="2025-09-09T16:47:00Z"/>
  <w16cex:commentExtensible w16cex:durableId="1712F444" w16cex:dateUtc="2025-09-09T16:48:00Z"/>
  <w16cex:commentExtensible w16cex:durableId="42427F11" w16cex:dateUtc="2025-09-09T16:51:00Z"/>
  <w16cex:commentExtensible w16cex:durableId="7CDD5506" w16cex:dateUtc="2025-09-09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822F2" w16cid:durableId="45042E42"/>
  <w16cid:commentId w16cid:paraId="1AAEB58B" w16cid:durableId="475CC700"/>
  <w16cid:commentId w16cid:paraId="1C9240C0" w16cid:durableId="35CADB33"/>
  <w16cid:commentId w16cid:paraId="6ACCBB3C" w16cid:durableId="1712F444"/>
  <w16cid:commentId w16cid:paraId="4EA7F269" w16cid:durableId="42427F11"/>
  <w16cid:commentId w16cid:paraId="55A76D34" w16cid:durableId="7CDD55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6DDA" w14:textId="77777777" w:rsidR="00E7221D" w:rsidRDefault="00E7221D" w:rsidP="00C37E61">
      <w:r>
        <w:separator/>
      </w:r>
    </w:p>
  </w:endnote>
  <w:endnote w:type="continuationSeparator" w:id="0">
    <w:p w14:paraId="53B75651" w14:textId="77777777" w:rsidR="00E7221D" w:rsidRDefault="00E722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B00" w14:textId="77777777" w:rsidR="00DC3E2D" w:rsidRDefault="00DC3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2362" w14:textId="77777777" w:rsidR="00DC3E2D" w:rsidRDefault="00DC3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5892" w14:textId="0251D5B7" w:rsidR="00754C9A" w:rsidRPr="00DC3E2D" w:rsidRDefault="00754C9A" w:rsidP="00DC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B009" w14:textId="77777777" w:rsidR="00E7221D" w:rsidRDefault="00E7221D" w:rsidP="00C37E61">
      <w:r>
        <w:separator/>
      </w:r>
    </w:p>
  </w:footnote>
  <w:footnote w:type="continuationSeparator" w:id="0">
    <w:p w14:paraId="7D9DC245" w14:textId="77777777" w:rsidR="00E7221D" w:rsidRDefault="00E722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4056" w14:textId="1DC9B0FC" w:rsidR="00DC3E2D" w:rsidRDefault="00000000">
    <w:pPr>
      <w:pStyle w:val="Header"/>
    </w:pPr>
    <w:r>
      <w:rPr>
        <w:noProof/>
      </w:rPr>
      <w:pict w14:anchorId="71EFF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BF41" w14:textId="32F79821" w:rsidR="00DC3E2D" w:rsidRDefault="00000000">
    <w:pPr>
      <w:pStyle w:val="Header"/>
    </w:pPr>
    <w:r>
      <w:rPr>
        <w:noProof/>
      </w:rPr>
      <w:pict w14:anchorId="5DC03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3DFF" w14:textId="16E496D4" w:rsidR="00296529" w:rsidRPr="00296529" w:rsidRDefault="00000000" w:rsidP="00296529">
    <w:pPr>
      <w:ind w:left="2160"/>
      <w:jc w:val="center"/>
      <w:rPr>
        <w:rFonts w:ascii="Times New Roman" w:eastAsia="Calibri" w:hAnsi="Times New Roman"/>
        <w:i/>
        <w:sz w:val="18"/>
        <w:szCs w:val="22"/>
      </w:rPr>
    </w:pPr>
    <w:r>
      <w:rPr>
        <w:noProof/>
      </w:rPr>
      <w:pict w14:anchorId="325C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82787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981707">
    <w:abstractNumId w:val="17"/>
  </w:num>
  <w:num w:numId="3" w16cid:durableId="835803155">
    <w:abstractNumId w:val="26"/>
  </w:num>
  <w:num w:numId="4" w16cid:durableId="12956496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23853784">
    <w:abstractNumId w:val="8"/>
  </w:num>
  <w:num w:numId="6" w16cid:durableId="505021244">
    <w:abstractNumId w:val="6"/>
  </w:num>
  <w:num w:numId="7" w16cid:durableId="205722630">
    <w:abstractNumId w:val="1"/>
  </w:num>
  <w:num w:numId="8" w16cid:durableId="759570693">
    <w:abstractNumId w:val="13"/>
  </w:num>
  <w:num w:numId="9" w16cid:durableId="1883789582">
    <w:abstractNumId w:val="28"/>
  </w:num>
  <w:num w:numId="10" w16cid:durableId="1080559282">
    <w:abstractNumId w:val="2"/>
  </w:num>
  <w:num w:numId="11" w16cid:durableId="1114056801">
    <w:abstractNumId w:val="21"/>
  </w:num>
  <w:num w:numId="12" w16cid:durableId="1041054619">
    <w:abstractNumId w:val="3"/>
  </w:num>
  <w:num w:numId="13" w16cid:durableId="886723924">
    <w:abstractNumId w:val="20"/>
  </w:num>
  <w:num w:numId="14" w16cid:durableId="1344236125">
    <w:abstractNumId w:val="9"/>
  </w:num>
  <w:num w:numId="15" w16cid:durableId="1517885778">
    <w:abstractNumId w:val="24"/>
  </w:num>
  <w:num w:numId="16" w16cid:durableId="334067607">
    <w:abstractNumId w:val="5"/>
  </w:num>
  <w:num w:numId="17" w16cid:durableId="2069182463">
    <w:abstractNumId w:val="25"/>
  </w:num>
  <w:num w:numId="18" w16cid:durableId="30957780">
    <w:abstractNumId w:val="15"/>
  </w:num>
  <w:num w:numId="19" w16cid:durableId="22675921">
    <w:abstractNumId w:val="31"/>
  </w:num>
  <w:num w:numId="20" w16cid:durableId="128668546">
    <w:abstractNumId w:val="12"/>
  </w:num>
  <w:num w:numId="21" w16cid:durableId="1084886586">
    <w:abstractNumId w:val="10"/>
  </w:num>
  <w:num w:numId="22" w16cid:durableId="1898085141">
    <w:abstractNumId w:val="14"/>
  </w:num>
  <w:num w:numId="23" w16cid:durableId="1305967983">
    <w:abstractNumId w:val="22"/>
  </w:num>
  <w:num w:numId="24" w16cid:durableId="1866862762">
    <w:abstractNumId w:val="29"/>
  </w:num>
  <w:num w:numId="25" w16cid:durableId="767115380">
    <w:abstractNumId w:val="4"/>
  </w:num>
  <w:num w:numId="26" w16cid:durableId="785778846">
    <w:abstractNumId w:val="18"/>
  </w:num>
  <w:num w:numId="27" w16cid:durableId="288780635">
    <w:abstractNumId w:val="23"/>
  </w:num>
  <w:num w:numId="28" w16cid:durableId="1943415655">
    <w:abstractNumId w:val="30"/>
  </w:num>
  <w:num w:numId="29" w16cid:durableId="1662387161">
    <w:abstractNumId w:val="27"/>
  </w:num>
  <w:num w:numId="30" w16cid:durableId="835848064">
    <w:abstractNumId w:val="11"/>
  </w:num>
  <w:num w:numId="31" w16cid:durableId="167987954">
    <w:abstractNumId w:val="7"/>
  </w:num>
  <w:num w:numId="32" w16cid:durableId="611402229">
    <w:abstractNumId w:val="16"/>
  </w:num>
  <w:num w:numId="33" w16cid:durableId="205989047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hmi Zebari">
    <w15:presenceInfo w15:providerId="Windows Live" w15:userId="25a280fba468f2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C2C"/>
    <w:rsid w:val="00030174"/>
    <w:rsid w:val="00036DDF"/>
    <w:rsid w:val="0004579C"/>
    <w:rsid w:val="000505D0"/>
    <w:rsid w:val="000A117B"/>
    <w:rsid w:val="000A47FA"/>
    <w:rsid w:val="000A65D3"/>
    <w:rsid w:val="000B1E33"/>
    <w:rsid w:val="000D689F"/>
    <w:rsid w:val="000E7B7B"/>
    <w:rsid w:val="000E7D62"/>
    <w:rsid w:val="000F1414"/>
    <w:rsid w:val="000F509C"/>
    <w:rsid w:val="00103357"/>
    <w:rsid w:val="001139E2"/>
    <w:rsid w:val="00123C9F"/>
    <w:rsid w:val="00126190"/>
    <w:rsid w:val="00130F17"/>
    <w:rsid w:val="001320BF"/>
    <w:rsid w:val="00141B78"/>
    <w:rsid w:val="00157EFD"/>
    <w:rsid w:val="00163BC4"/>
    <w:rsid w:val="00187CF9"/>
    <w:rsid w:val="00191062"/>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56F6"/>
    <w:rsid w:val="00257A90"/>
    <w:rsid w:val="00260FE1"/>
    <w:rsid w:val="00283105"/>
    <w:rsid w:val="00284C4C"/>
    <w:rsid w:val="0028742F"/>
    <w:rsid w:val="00296453"/>
    <w:rsid w:val="00296529"/>
    <w:rsid w:val="00296F36"/>
    <w:rsid w:val="002B27FB"/>
    <w:rsid w:val="002B685A"/>
    <w:rsid w:val="002B715B"/>
    <w:rsid w:val="002C57D2"/>
    <w:rsid w:val="002E0D56"/>
    <w:rsid w:val="002F1568"/>
    <w:rsid w:val="002F4609"/>
    <w:rsid w:val="00315186"/>
    <w:rsid w:val="003235AC"/>
    <w:rsid w:val="00326C02"/>
    <w:rsid w:val="0033343E"/>
    <w:rsid w:val="003512C2"/>
    <w:rsid w:val="00360A0E"/>
    <w:rsid w:val="003612DF"/>
    <w:rsid w:val="00371FB6"/>
    <w:rsid w:val="003763C1"/>
    <w:rsid w:val="00376BBE"/>
    <w:rsid w:val="0039224F"/>
    <w:rsid w:val="003A43A4"/>
    <w:rsid w:val="003A7E18"/>
    <w:rsid w:val="003C4C86"/>
    <w:rsid w:val="003C6258"/>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B0365"/>
    <w:rsid w:val="004B4BBD"/>
    <w:rsid w:val="004C2ACB"/>
    <w:rsid w:val="004D305E"/>
    <w:rsid w:val="004D4277"/>
    <w:rsid w:val="004E3A9E"/>
    <w:rsid w:val="004E6B2D"/>
    <w:rsid w:val="004F4227"/>
    <w:rsid w:val="00502516"/>
    <w:rsid w:val="00505F06"/>
    <w:rsid w:val="00506828"/>
    <w:rsid w:val="0053056E"/>
    <w:rsid w:val="005321B2"/>
    <w:rsid w:val="00535DFF"/>
    <w:rsid w:val="00554FDA"/>
    <w:rsid w:val="00592C36"/>
    <w:rsid w:val="005C784C"/>
    <w:rsid w:val="005D17F6"/>
    <w:rsid w:val="005E5539"/>
    <w:rsid w:val="00602BF5"/>
    <w:rsid w:val="0060737C"/>
    <w:rsid w:val="00617892"/>
    <w:rsid w:val="00617FDD"/>
    <w:rsid w:val="00633614"/>
    <w:rsid w:val="00633F68"/>
    <w:rsid w:val="00636EB2"/>
    <w:rsid w:val="006375B8"/>
    <w:rsid w:val="00637E93"/>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14E31"/>
    <w:rsid w:val="0072429A"/>
    <w:rsid w:val="007306BB"/>
    <w:rsid w:val="00733B63"/>
    <w:rsid w:val="007369E6"/>
    <w:rsid w:val="00746E59"/>
    <w:rsid w:val="00754C9A"/>
    <w:rsid w:val="0075599A"/>
    <w:rsid w:val="00761D52"/>
    <w:rsid w:val="0077749E"/>
    <w:rsid w:val="00790ADA"/>
    <w:rsid w:val="00795DCE"/>
    <w:rsid w:val="007C70B7"/>
    <w:rsid w:val="007D2288"/>
    <w:rsid w:val="007E088F"/>
    <w:rsid w:val="007F5920"/>
    <w:rsid w:val="007F7B32"/>
    <w:rsid w:val="00804BC2"/>
    <w:rsid w:val="0081431A"/>
    <w:rsid w:val="00817F59"/>
    <w:rsid w:val="008248B8"/>
    <w:rsid w:val="0083216F"/>
    <w:rsid w:val="0083766E"/>
    <w:rsid w:val="00844BC9"/>
    <w:rsid w:val="00860000"/>
    <w:rsid w:val="00863BD3"/>
    <w:rsid w:val="00866D66"/>
    <w:rsid w:val="008671C6"/>
    <w:rsid w:val="008707BB"/>
    <w:rsid w:val="00871B4D"/>
    <w:rsid w:val="00875803"/>
    <w:rsid w:val="008B459E"/>
    <w:rsid w:val="008E13AE"/>
    <w:rsid w:val="008E1506"/>
    <w:rsid w:val="008E710C"/>
    <w:rsid w:val="008F4CB0"/>
    <w:rsid w:val="008F69D6"/>
    <w:rsid w:val="00902823"/>
    <w:rsid w:val="00915CA6"/>
    <w:rsid w:val="00927834"/>
    <w:rsid w:val="009340FE"/>
    <w:rsid w:val="00945077"/>
    <w:rsid w:val="009500A6"/>
    <w:rsid w:val="00957C18"/>
    <w:rsid w:val="009659BA"/>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3B96"/>
    <w:rsid w:val="00A05B19"/>
    <w:rsid w:val="00A1134E"/>
    <w:rsid w:val="00A14FDC"/>
    <w:rsid w:val="00A242B0"/>
    <w:rsid w:val="00A24E7E"/>
    <w:rsid w:val="00A258C3"/>
    <w:rsid w:val="00A347C0"/>
    <w:rsid w:val="00A34BDB"/>
    <w:rsid w:val="00A41B41"/>
    <w:rsid w:val="00A44996"/>
    <w:rsid w:val="00A51431"/>
    <w:rsid w:val="00A539AD"/>
    <w:rsid w:val="00A5519B"/>
    <w:rsid w:val="00A81B1D"/>
    <w:rsid w:val="00A86CD1"/>
    <w:rsid w:val="00A94063"/>
    <w:rsid w:val="00A968EF"/>
    <w:rsid w:val="00AA6219"/>
    <w:rsid w:val="00AA74E0"/>
    <w:rsid w:val="00AB04ED"/>
    <w:rsid w:val="00AB703F"/>
    <w:rsid w:val="00AC6BB8"/>
    <w:rsid w:val="00AE008F"/>
    <w:rsid w:val="00AE3F52"/>
    <w:rsid w:val="00B01FCD"/>
    <w:rsid w:val="00B1776C"/>
    <w:rsid w:val="00B374D4"/>
    <w:rsid w:val="00B52896"/>
    <w:rsid w:val="00B81055"/>
    <w:rsid w:val="00B92D56"/>
    <w:rsid w:val="00B95236"/>
    <w:rsid w:val="00B96BD9"/>
    <w:rsid w:val="00BA1B01"/>
    <w:rsid w:val="00BA2641"/>
    <w:rsid w:val="00BA7620"/>
    <w:rsid w:val="00BB37AA"/>
    <w:rsid w:val="00BC53A0"/>
    <w:rsid w:val="00BE37B9"/>
    <w:rsid w:val="00BE62AD"/>
    <w:rsid w:val="00BF121F"/>
    <w:rsid w:val="00BF1F80"/>
    <w:rsid w:val="00C03762"/>
    <w:rsid w:val="00C166EF"/>
    <w:rsid w:val="00C17EB0"/>
    <w:rsid w:val="00C27F5F"/>
    <w:rsid w:val="00C30A0F"/>
    <w:rsid w:val="00C37E61"/>
    <w:rsid w:val="00C4190C"/>
    <w:rsid w:val="00C70F1B"/>
    <w:rsid w:val="00C71A47"/>
    <w:rsid w:val="00C72046"/>
    <w:rsid w:val="00C7464C"/>
    <w:rsid w:val="00C81BDB"/>
    <w:rsid w:val="00C85588"/>
    <w:rsid w:val="00C87634"/>
    <w:rsid w:val="00CC3D82"/>
    <w:rsid w:val="00CD6755"/>
    <w:rsid w:val="00CD6856"/>
    <w:rsid w:val="00CE0089"/>
    <w:rsid w:val="00CE793C"/>
    <w:rsid w:val="00D06252"/>
    <w:rsid w:val="00D16ADB"/>
    <w:rsid w:val="00D173F1"/>
    <w:rsid w:val="00D510B7"/>
    <w:rsid w:val="00D8295D"/>
    <w:rsid w:val="00DC2A65"/>
    <w:rsid w:val="00DC3E2D"/>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221D"/>
    <w:rsid w:val="00E769F6"/>
    <w:rsid w:val="00E8407C"/>
    <w:rsid w:val="00E84F3C"/>
    <w:rsid w:val="00EA012C"/>
    <w:rsid w:val="00EB32BA"/>
    <w:rsid w:val="00ED0288"/>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06252"/>
    <w:rPr>
      <w:color w:val="605E5C"/>
      <w:shd w:val="clear" w:color="auto" w:fill="E1DFDD"/>
    </w:rPr>
  </w:style>
  <w:style w:type="paragraph" w:styleId="CommentSubject">
    <w:name w:val="annotation subject"/>
    <w:basedOn w:val="CommentText"/>
    <w:next w:val="CommentText"/>
    <w:link w:val="CommentSubjectChar"/>
    <w:semiHidden/>
    <w:unhideWhenUsed/>
    <w:rsid w:val="00187CF9"/>
    <w:rPr>
      <w:rFonts w:ascii="Helvetica" w:hAnsi="Helvetica"/>
      <w:b/>
      <w:bCs/>
      <w:lang w:val="en-US" w:eastAsia="en-US"/>
    </w:rPr>
  </w:style>
  <w:style w:type="character" w:customStyle="1" w:styleId="CommentSubjectChar">
    <w:name w:val="Comment Subject Char"/>
    <w:basedOn w:val="CommentTextChar"/>
    <w:link w:val="CommentSubject"/>
    <w:semiHidden/>
    <w:rsid w:val="00187CF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ncbi.nlm.nih.gov/books/NBK545303/"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SOUL%20Stud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499999999999994E-2"/>
          <c:y val="0.25109215514727323"/>
          <c:w val="0.81388888888888888"/>
          <c:h val="0.6921908719743366"/>
        </c:manualLayout>
      </c:layout>
      <c:pie3DChart>
        <c:varyColors val="1"/>
        <c:ser>
          <c:idx val="0"/>
          <c:order val="0"/>
          <c:tx>
            <c:strRef>
              <c:f>Graphs!$P$2</c:f>
              <c:strCache>
                <c:ptCount val="1"/>
                <c:pt idx="0">
                  <c:v>Response rate (n = 519)</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34-4633-93AD-F190013841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34-4633-93AD-F190013841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34-4633-93AD-F190013841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34-4633-93AD-F1900138414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734-4633-93AD-F1900138414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Graphs!$O$3:$O$7</c:f>
              <c:strCache>
                <c:ptCount val="5"/>
                <c:pt idx="0">
                  <c:v>Improve liver enzyme levels</c:v>
                </c:pt>
                <c:pt idx="1">
                  <c:v>Slow disease progression</c:v>
                </c:pt>
                <c:pt idx="2">
                  <c:v>Improve liver histology</c:v>
                </c:pt>
                <c:pt idx="3">
                  <c:v>All of the above</c:v>
                </c:pt>
                <c:pt idx="4">
                  <c:v>Not attempted</c:v>
                </c:pt>
              </c:strCache>
            </c:strRef>
          </c:cat>
          <c:val>
            <c:numRef>
              <c:f>Graphs!$P$3:$P$7</c:f>
              <c:numCache>
                <c:formatCode>0.00%</c:formatCode>
                <c:ptCount val="5"/>
                <c:pt idx="0">
                  <c:v>7.7100000000000002E-2</c:v>
                </c:pt>
                <c:pt idx="1">
                  <c:v>6.9400000000000003E-2</c:v>
                </c:pt>
                <c:pt idx="2">
                  <c:v>2.5000000000000001E-2</c:v>
                </c:pt>
                <c:pt idx="3">
                  <c:v>0.81699999999999995</c:v>
                </c:pt>
                <c:pt idx="4">
                  <c:v>1.1599999999999999E-2</c:v>
                </c:pt>
              </c:numCache>
            </c:numRef>
          </c:val>
          <c:extLst>
            <c:ext xmlns:c16="http://schemas.microsoft.com/office/drawing/2014/chart" uri="{C3380CC4-5D6E-409C-BE32-E72D297353CC}">
              <c16:uniqueId val="{0000000A-1734-4633-93AD-F19001384147}"/>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91F72-0C1E-4C40-9FE1-711011C6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9</Pages>
  <Words>3331</Words>
  <Characters>19890</Characters>
  <Application>Microsoft Office Word</Application>
  <DocSecurity>0</DocSecurity>
  <Lines>361</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Fahmi Zebari</cp:lastModifiedBy>
  <cp:revision>2</cp:revision>
  <cp:lastPrinted>1999-07-06T11:00:00Z</cp:lastPrinted>
  <dcterms:created xsi:type="dcterms:W3CDTF">2025-09-09T16:58:00Z</dcterms:created>
  <dcterms:modified xsi:type="dcterms:W3CDTF">2025-09-09T16:58:00Z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