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921D" w14:textId="1DEDC2CC" w:rsidR="00754C9A" w:rsidRPr="00C40FC2" w:rsidRDefault="00C40FC2" w:rsidP="00441B6F">
      <w:pPr>
        <w:pStyle w:val="Title"/>
        <w:spacing w:after="0"/>
        <w:jc w:val="both"/>
        <w:rPr>
          <w:rFonts w:ascii="Arial" w:hAnsi="Arial" w:cs="Arial"/>
          <w:sz w:val="32"/>
          <w:szCs w:val="18"/>
          <w:u w:val="single"/>
        </w:rPr>
      </w:pPr>
      <w:r w:rsidRPr="00C40FC2">
        <w:rPr>
          <w:rFonts w:ascii="Arial" w:hAnsi="Arial" w:cs="Arial"/>
          <w:sz w:val="32"/>
          <w:szCs w:val="18"/>
          <w:u w:val="single"/>
        </w:rPr>
        <w:t>Original Research Article</w:t>
      </w:r>
    </w:p>
    <w:p w14:paraId="24C8297F" w14:textId="77777777" w:rsidR="00943307" w:rsidRPr="00074AC2" w:rsidRDefault="00943307" w:rsidP="00943307">
      <w:pPr>
        <w:spacing w:after="200"/>
        <w:jc w:val="both"/>
        <w:rPr>
          <w:rFonts w:ascii="Times New Roman" w:eastAsia="Calibri" w:hAnsi="Times New Roman"/>
          <w:b/>
          <w:sz w:val="28"/>
          <w:szCs w:val="28"/>
          <w:lang w:val="en-GB"/>
        </w:rPr>
      </w:pPr>
      <w:commentRangeStart w:id="0"/>
      <w:r>
        <w:rPr>
          <w:rFonts w:ascii="Times New Roman" w:eastAsia="Calibri" w:hAnsi="Times New Roman"/>
          <w:b/>
          <w:sz w:val="28"/>
          <w:szCs w:val="28"/>
          <w:lang w:val="en-GB"/>
        </w:rPr>
        <w:t>Comparative analysis of amino acid and sugar profiles in Broad beans (</w:t>
      </w:r>
      <w:r w:rsidRPr="00074AC2">
        <w:rPr>
          <w:rFonts w:ascii="Times New Roman" w:eastAsia="Calibri" w:hAnsi="Times New Roman"/>
          <w:b/>
          <w:i/>
          <w:sz w:val="28"/>
          <w:szCs w:val="28"/>
          <w:lang w:val="en-GB"/>
        </w:rPr>
        <w:t>Vicia faba</w:t>
      </w:r>
      <w:r>
        <w:rPr>
          <w:rFonts w:ascii="Times New Roman" w:eastAsia="Calibri" w:hAnsi="Times New Roman"/>
          <w:b/>
          <w:sz w:val="28"/>
          <w:szCs w:val="28"/>
          <w:lang w:val="en-GB"/>
        </w:rPr>
        <w:t>) and A</w:t>
      </w:r>
      <w:r w:rsidRPr="00074AC2">
        <w:rPr>
          <w:rFonts w:ascii="Times New Roman" w:eastAsia="Calibri" w:hAnsi="Times New Roman"/>
          <w:b/>
          <w:sz w:val="28"/>
          <w:szCs w:val="28"/>
          <w:lang w:val="en-GB"/>
        </w:rPr>
        <w:t>lfalfa (</w:t>
      </w:r>
      <w:r w:rsidRPr="00074AC2">
        <w:rPr>
          <w:rFonts w:ascii="Times New Roman" w:eastAsia="Calibri" w:hAnsi="Times New Roman"/>
          <w:b/>
          <w:i/>
          <w:sz w:val="28"/>
          <w:szCs w:val="28"/>
          <w:lang w:val="en-GB"/>
        </w:rPr>
        <w:t>Medicago sativa</w:t>
      </w:r>
      <w:r>
        <w:rPr>
          <w:rFonts w:ascii="Times New Roman" w:eastAsia="Calibri" w:hAnsi="Times New Roman"/>
          <w:b/>
          <w:sz w:val="28"/>
          <w:szCs w:val="28"/>
          <w:lang w:val="en-GB"/>
        </w:rPr>
        <w:t>): Implications for s</w:t>
      </w:r>
      <w:r w:rsidRPr="00074AC2">
        <w:rPr>
          <w:rFonts w:ascii="Times New Roman" w:eastAsia="Calibri" w:hAnsi="Times New Roman"/>
          <w:b/>
          <w:sz w:val="28"/>
          <w:szCs w:val="28"/>
          <w:lang w:val="en-GB"/>
        </w:rPr>
        <w:t>uitabil</w:t>
      </w:r>
      <w:r>
        <w:rPr>
          <w:rFonts w:ascii="Times New Roman" w:eastAsia="Calibri" w:hAnsi="Times New Roman"/>
          <w:b/>
          <w:sz w:val="28"/>
          <w:szCs w:val="28"/>
          <w:lang w:val="en-GB"/>
        </w:rPr>
        <w:t>ity as host plants for s</w:t>
      </w:r>
      <w:r w:rsidRPr="00074AC2">
        <w:rPr>
          <w:rFonts w:ascii="Times New Roman" w:eastAsia="Calibri" w:hAnsi="Times New Roman"/>
          <w:b/>
          <w:sz w:val="28"/>
          <w:szCs w:val="28"/>
          <w:lang w:val="en-GB"/>
        </w:rPr>
        <w:t>ap</w:t>
      </w:r>
      <w:r>
        <w:rPr>
          <w:rFonts w:ascii="Times New Roman" w:eastAsia="Calibri" w:hAnsi="Times New Roman"/>
          <w:b/>
          <w:sz w:val="28"/>
          <w:szCs w:val="28"/>
          <w:lang w:val="en-GB"/>
        </w:rPr>
        <w:t>-sucking insects (e.g., Pea aphids)</w:t>
      </w:r>
      <w:commentRangeEnd w:id="0"/>
      <w:r w:rsidR="00A75543">
        <w:rPr>
          <w:rStyle w:val="CommentReference"/>
          <w:rFonts w:ascii="Times New Roman" w:hAnsi="Times New Roman"/>
          <w:lang w:val="nb-NO" w:eastAsia="nb-NO"/>
        </w:rPr>
        <w:commentReference w:id="0"/>
      </w:r>
    </w:p>
    <w:p w14:paraId="7767C6F8" w14:textId="0A4039E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3491F7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6E4CC5E" w14:textId="77777777" w:rsidTr="001E44FE">
        <w:tc>
          <w:tcPr>
            <w:tcW w:w="9576" w:type="dxa"/>
            <w:shd w:val="clear" w:color="auto" w:fill="F2F2F2"/>
          </w:tcPr>
          <w:p w14:paraId="0749E0F2" w14:textId="77777777" w:rsidR="00A03B96" w:rsidRDefault="00A03B96" w:rsidP="00441B6F">
            <w:pPr>
              <w:pStyle w:val="Body"/>
              <w:spacing w:after="0"/>
              <w:rPr>
                <w:rFonts w:ascii="Arial" w:eastAsia="Calibri" w:hAnsi="Arial" w:cs="Arial"/>
                <w:szCs w:val="22"/>
              </w:rPr>
            </w:pPr>
          </w:p>
          <w:p w14:paraId="384751EC" w14:textId="77777777" w:rsidR="00E3114E" w:rsidRDefault="00BF3F26" w:rsidP="00441B6F">
            <w:pPr>
              <w:pStyle w:val="Body"/>
              <w:spacing w:after="0"/>
              <w:rPr>
                <w:rFonts w:ascii="Arial" w:eastAsia="Calibri" w:hAnsi="Arial" w:cs="Arial"/>
                <w:b/>
                <w:szCs w:val="22"/>
              </w:rPr>
            </w:pPr>
            <w:r w:rsidRPr="00BF3F26">
              <w:rPr>
                <w:rFonts w:ascii="Arial" w:eastAsia="Calibri" w:hAnsi="Arial" w:cs="Arial"/>
                <w:b/>
                <w:szCs w:val="22"/>
              </w:rPr>
              <w:t>Pea aphids need amino acids for growth and reproduction, and sugars for energy. Broad beans (</w:t>
            </w:r>
            <w:commentRangeStart w:id="1"/>
            <w:commentRangeStart w:id="2"/>
            <w:r w:rsidRPr="00BF3F26">
              <w:rPr>
                <w:rFonts w:ascii="Arial" w:eastAsia="Calibri" w:hAnsi="Arial" w:cs="Arial"/>
                <w:b/>
                <w:szCs w:val="22"/>
              </w:rPr>
              <w:t>Vicia faba</w:t>
            </w:r>
            <w:commentRangeEnd w:id="1"/>
            <w:r w:rsidR="00A75543">
              <w:rPr>
                <w:rStyle w:val="CommentReference"/>
                <w:rFonts w:ascii="Times New Roman" w:hAnsi="Times New Roman"/>
                <w:lang w:val="nb-NO" w:eastAsia="nb-NO"/>
              </w:rPr>
              <w:commentReference w:id="1"/>
            </w:r>
            <w:commentRangeEnd w:id="2"/>
            <w:r w:rsidR="00A75543">
              <w:rPr>
                <w:rStyle w:val="CommentReference"/>
                <w:rFonts w:ascii="Times New Roman" w:hAnsi="Times New Roman"/>
                <w:lang w:val="nb-NO" w:eastAsia="nb-NO"/>
              </w:rPr>
              <w:commentReference w:id="2"/>
            </w:r>
            <w:r w:rsidRPr="00BF3F26">
              <w:rPr>
                <w:rFonts w:ascii="Arial" w:eastAsia="Calibri" w:hAnsi="Arial" w:cs="Arial"/>
                <w:b/>
                <w:szCs w:val="22"/>
              </w:rPr>
              <w:t xml:space="preserve">) and alfalfa (Medicago sativa), their common host plants, may offer different amino acid and sugar profiles, which can impact aphid rearing conditions. Thus, this study examined the quantity of these two key nutritional factors in the leaf samples of broad beans and alfalfa. </w:t>
            </w:r>
            <w:r>
              <w:rPr>
                <w:rFonts w:ascii="Arial" w:eastAsia="Calibri" w:hAnsi="Arial" w:cs="Arial"/>
                <w:b/>
                <w:szCs w:val="22"/>
              </w:rPr>
              <w:t xml:space="preserve">The study was conducted at the college of plant protection, Northwest A&amp; F University, Yangling, China. </w:t>
            </w:r>
            <w:r w:rsidRPr="00BF3F26">
              <w:rPr>
                <w:rFonts w:ascii="Arial" w:eastAsia="Calibri" w:hAnsi="Arial" w:cs="Arial"/>
                <w:b/>
                <w:szCs w:val="22"/>
              </w:rPr>
              <w:t>Linear Ion Trap mass spectrometer with Liquid chromatography separations were used to analyze the two nutrients in the leaf samples. The results showed that Vicia faba had higher concentrations of certain amino acids compared to Medicago sativa. In M. sativa, the most abundant amino acids were non-essential, including asparagine (36.03%), glutamic acid (17.37%), and serine (11.92%). Similarly, in V. faba, the most abundant amino acids were also non-essential, including asparagine (60%), tyrosine (7.08%), and glutamic acid (3.91%). The most abundant essential amino acids in M. sativa were threonine (31.28%), leucine (16.1%), and valine (15.72%), while in V. faba, they were histidine (48.4%), lysine (14.04%), and valine (9.7%). Essential amino acids contributed 9.65% to the total amount of amino acids in M. sativa and 12.35% in V. faba. The most varied essential amino acids in the two plants were histidine, lysine, and phenylalanine. The total concentration of fructose, glucose, and sucrose differed significantly between the two plants, with individual sugars in V. faba being significantly higher than those in M. sativa. Moreover, the analysis revealed that both total amino acids and sugars were significantly higher in V. faba than in M. sativa. These findings suggest that the broad bean may be a more suitable host plant for rearing pea aphids than alfalfa.</w:t>
            </w:r>
          </w:p>
          <w:p w14:paraId="231E9271" w14:textId="77777777" w:rsidR="00505F06" w:rsidRPr="00BA1B01" w:rsidRDefault="00505F06" w:rsidP="00441B6F">
            <w:pPr>
              <w:pStyle w:val="Body"/>
              <w:spacing w:after="0"/>
              <w:rPr>
                <w:rFonts w:ascii="Arial" w:eastAsia="Calibri" w:hAnsi="Arial" w:cs="Arial"/>
                <w:szCs w:val="22"/>
              </w:rPr>
            </w:pPr>
          </w:p>
        </w:tc>
      </w:tr>
    </w:tbl>
    <w:p w14:paraId="728131C0" w14:textId="77777777" w:rsidR="00636EB2" w:rsidRDefault="00636EB2" w:rsidP="00441B6F">
      <w:pPr>
        <w:pStyle w:val="Body"/>
        <w:spacing w:after="0"/>
        <w:rPr>
          <w:rFonts w:ascii="Arial" w:hAnsi="Arial" w:cs="Arial"/>
          <w:i/>
        </w:rPr>
      </w:pPr>
    </w:p>
    <w:p w14:paraId="615E7966" w14:textId="77777777" w:rsidR="00A24E7E" w:rsidRDefault="00BF3F26" w:rsidP="00441B6F">
      <w:pPr>
        <w:pStyle w:val="Body"/>
        <w:spacing w:after="0"/>
        <w:rPr>
          <w:rFonts w:ascii="Arial" w:hAnsi="Arial" w:cs="Arial"/>
          <w:i/>
        </w:rPr>
      </w:pPr>
      <w:r>
        <w:rPr>
          <w:rFonts w:ascii="Arial" w:hAnsi="Arial" w:cs="Arial"/>
          <w:i/>
        </w:rPr>
        <w:t xml:space="preserve">Keywords: </w:t>
      </w:r>
      <w:r w:rsidRPr="00BF3F26">
        <w:rPr>
          <w:rFonts w:ascii="Arial" w:hAnsi="Arial" w:cs="Arial"/>
          <w:i/>
        </w:rPr>
        <w:t>Amino acids, sugars, pea aphid, broad beans, alfalfa, rearing, suitable host plant.</w:t>
      </w:r>
    </w:p>
    <w:p w14:paraId="00643891" w14:textId="77777777" w:rsidR="00790ADA" w:rsidRDefault="00790ADA" w:rsidP="00441B6F">
      <w:pPr>
        <w:pStyle w:val="Body"/>
        <w:spacing w:after="0"/>
        <w:rPr>
          <w:rFonts w:ascii="Arial" w:hAnsi="Arial" w:cs="Arial"/>
          <w:i/>
        </w:rPr>
      </w:pPr>
    </w:p>
    <w:p w14:paraId="1FDAC57B" w14:textId="77777777" w:rsidR="0024282C" w:rsidRDefault="0024282C" w:rsidP="00441B6F">
      <w:pPr>
        <w:pStyle w:val="Body"/>
        <w:spacing w:after="0"/>
        <w:rPr>
          <w:rFonts w:ascii="Arial" w:hAnsi="Arial" w:cs="Arial"/>
          <w:i/>
          <w:sz w:val="18"/>
        </w:rPr>
      </w:pPr>
    </w:p>
    <w:p w14:paraId="26D6B902" w14:textId="77777777" w:rsidR="00505F06" w:rsidRPr="00A24E7E" w:rsidRDefault="00505F06" w:rsidP="00441B6F">
      <w:pPr>
        <w:pStyle w:val="Body"/>
        <w:spacing w:after="0"/>
        <w:rPr>
          <w:rFonts w:ascii="Arial" w:hAnsi="Arial" w:cs="Arial"/>
          <w:i/>
        </w:rPr>
      </w:pPr>
    </w:p>
    <w:p w14:paraId="168441DE" w14:textId="630E3F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DFA7B4" w14:textId="77777777" w:rsidR="00790ADA" w:rsidRPr="00FB3A86" w:rsidRDefault="00790ADA" w:rsidP="00441B6F">
      <w:pPr>
        <w:pStyle w:val="AbstHead"/>
        <w:spacing w:after="0"/>
        <w:jc w:val="both"/>
        <w:rPr>
          <w:rFonts w:ascii="Arial" w:hAnsi="Arial" w:cs="Arial"/>
        </w:rPr>
      </w:pPr>
    </w:p>
    <w:p w14:paraId="21319E3A" w14:textId="77777777" w:rsidR="00BF3F26" w:rsidRPr="00BF3F26" w:rsidRDefault="00BF3F26" w:rsidP="00BF3F26">
      <w:pPr>
        <w:pStyle w:val="Body"/>
        <w:rPr>
          <w:rFonts w:ascii="Arial" w:hAnsi="Arial" w:cs="Arial"/>
        </w:rPr>
      </w:pPr>
      <w:r w:rsidRPr="00BF3F26">
        <w:rPr>
          <w:rFonts w:ascii="Arial" w:hAnsi="Arial" w:cs="Arial"/>
        </w:rPr>
        <w:t xml:space="preserve">The leaves of broad beans and alfalfa are the main sites where pea aphids feed. Therefore, it is very important to measure the individual amino acids and sugars in the leaves to study how these two nutrients affect the physiology of the aphids. While there are other important nutritional factors for the aphids, amino acids and sugars are the main nutrients found in the phloem sap that are known to influence the aphids' physiology (Karley et al., 2002; Clissold et al., 2015; </w:t>
      </w:r>
      <w:proofErr w:type="spellStart"/>
      <w:r w:rsidRPr="00BF3F26">
        <w:rPr>
          <w:rFonts w:ascii="Arial" w:hAnsi="Arial" w:cs="Arial"/>
        </w:rPr>
        <w:t>Nalam</w:t>
      </w:r>
      <w:proofErr w:type="spellEnd"/>
      <w:r w:rsidRPr="00BF3F26">
        <w:rPr>
          <w:rFonts w:ascii="Arial" w:hAnsi="Arial" w:cs="Arial"/>
        </w:rPr>
        <w:t xml:space="preserve"> et al., 2019). Factors such as water, lipids, and secondary metabolites may influence phloem sap quality, but they are not as crucial as amino acids and sugars (Sandstrom et al., 1994; Sandstrom, 2000; Karley et al., 2002). The quality of phloem sap plays a significant role in determining the suitability of plants for aphids (Karley et al., 2002). </w:t>
      </w:r>
    </w:p>
    <w:p w14:paraId="078FD809" w14:textId="77777777" w:rsidR="00790ADA" w:rsidRDefault="00BF3F26" w:rsidP="00BF3F26">
      <w:pPr>
        <w:pStyle w:val="Body"/>
        <w:spacing w:after="0"/>
        <w:rPr>
          <w:rFonts w:ascii="Arial" w:hAnsi="Arial" w:cs="Arial"/>
        </w:rPr>
      </w:pPr>
      <w:r w:rsidRPr="00BF3F26">
        <w:rPr>
          <w:rFonts w:ascii="Arial" w:hAnsi="Arial" w:cs="Arial"/>
        </w:rPr>
        <w:t xml:space="preserve">The phloem sap of plants contains high levels of sugars and low levels of amino acids (Sandstrom et al., 1994; Dixit et al., 2013; </w:t>
      </w:r>
      <w:proofErr w:type="spellStart"/>
      <w:r w:rsidRPr="00BF3F26">
        <w:rPr>
          <w:rFonts w:ascii="Arial" w:hAnsi="Arial" w:cs="Arial"/>
        </w:rPr>
        <w:t>Nalam</w:t>
      </w:r>
      <w:proofErr w:type="spellEnd"/>
      <w:r w:rsidRPr="00BF3F26">
        <w:rPr>
          <w:rFonts w:ascii="Arial" w:hAnsi="Arial" w:cs="Arial"/>
        </w:rPr>
        <w:t xml:space="preserve"> et al., 2019). Amino acids are crucial for the </w:t>
      </w:r>
      <w:r w:rsidRPr="00BF3F26">
        <w:rPr>
          <w:rFonts w:ascii="Arial" w:hAnsi="Arial" w:cs="Arial"/>
        </w:rPr>
        <w:lastRenderedPageBreak/>
        <w:t>nutrition of pea aphids and are strongly linked to their population growth, survival, and reproductive success (Sandstrom et al., 1994; Weibull et al., 1990; Awmack et al., 2002). Plants with lower concentrations of total amino acids are more resistant to aphids compared to those with higher amino acid concentrations (Maltais et al., 1957). Stressed plants have altered nutritional quality and improved defense against aphids (Xie et al., 2020). The nutritional quality of plants plays a significant role in plant-insect interactions (Cao et al., 2016). Therefore, it is important to analyze the amounts of sugars and amino acids in the plants used to rear the test insects. This study investigated the amount of amino acids and sugars in broad beans and alfalfa leaves. Although other plant qualities, such as secondary metabolites, are also present, sap-sucking insects like pea aphids have developed mechanisms to tolerate and store these secondary metabolites for protection against various threats. These metabolites do not therefore significantly hinder aphid feeding on phloem sap compared to amino acids and sugars. Sugars and amino acids make up about 90% of the total dry matter in phloem sap and are the primary nutritional factors for the aphid diet (Cao et al., 2016).</w:t>
      </w:r>
    </w:p>
    <w:p w14:paraId="35CBED95" w14:textId="77777777" w:rsidR="00E463F3" w:rsidRPr="00FB3A86" w:rsidRDefault="00E463F3" w:rsidP="00BF3F26">
      <w:pPr>
        <w:pStyle w:val="Body"/>
        <w:spacing w:after="0"/>
        <w:rPr>
          <w:rFonts w:ascii="Arial" w:hAnsi="Arial" w:cs="Arial"/>
        </w:rPr>
      </w:pPr>
    </w:p>
    <w:p w14:paraId="345F9741" w14:textId="51AEF21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23A651D" w14:textId="77777777" w:rsidR="00790ADA" w:rsidRPr="00FB3A86" w:rsidRDefault="00790ADA" w:rsidP="00441B6F">
      <w:pPr>
        <w:pStyle w:val="AbstHead"/>
        <w:spacing w:after="0"/>
        <w:jc w:val="both"/>
        <w:rPr>
          <w:rFonts w:ascii="Arial" w:hAnsi="Arial" w:cs="Arial"/>
        </w:rPr>
      </w:pPr>
    </w:p>
    <w:p w14:paraId="2545F4D6" w14:textId="77777777" w:rsidR="00BF3F26" w:rsidRPr="00BF3F26" w:rsidRDefault="00BF3F26" w:rsidP="00BF3F26">
      <w:pPr>
        <w:pStyle w:val="Body"/>
        <w:rPr>
          <w:rFonts w:ascii="Arial" w:hAnsi="Arial" w:cs="Arial"/>
          <w:b/>
          <w:sz w:val="22"/>
          <w:szCs w:val="22"/>
        </w:rPr>
      </w:pPr>
      <w:r>
        <w:rPr>
          <w:rFonts w:ascii="Arial" w:hAnsi="Arial" w:cs="Arial"/>
          <w:b/>
          <w:sz w:val="22"/>
          <w:szCs w:val="22"/>
        </w:rPr>
        <w:t xml:space="preserve">2.1 </w:t>
      </w:r>
      <w:r w:rsidRPr="00BF3F26">
        <w:rPr>
          <w:rFonts w:ascii="Arial" w:hAnsi="Arial" w:cs="Arial"/>
          <w:b/>
          <w:sz w:val="22"/>
          <w:szCs w:val="22"/>
        </w:rPr>
        <w:t>Plants</w:t>
      </w:r>
    </w:p>
    <w:p w14:paraId="07CE6D6B" w14:textId="77777777" w:rsidR="00BF3F26" w:rsidRPr="00BF3F26" w:rsidRDefault="00BF3F26" w:rsidP="00BF3F26">
      <w:pPr>
        <w:pStyle w:val="Body"/>
        <w:rPr>
          <w:rFonts w:ascii="Arial" w:hAnsi="Arial" w:cs="Arial"/>
        </w:rPr>
      </w:pPr>
      <w:r w:rsidRPr="00BF3F26">
        <w:rPr>
          <w:rFonts w:ascii="Arial" w:hAnsi="Arial" w:cs="Arial"/>
        </w:rPr>
        <w:t xml:space="preserve">Broad bean (Vicia faba) and alfalfa (Medicago sativa) seeds were purchased from </w:t>
      </w:r>
      <w:proofErr w:type="spellStart"/>
      <w:r w:rsidRPr="00BF3F26">
        <w:rPr>
          <w:rFonts w:ascii="Arial" w:hAnsi="Arial" w:cs="Arial"/>
        </w:rPr>
        <w:t>ShouHe</w:t>
      </w:r>
      <w:proofErr w:type="spellEnd"/>
      <w:r w:rsidRPr="00BF3F26">
        <w:rPr>
          <w:rFonts w:ascii="Arial" w:hAnsi="Arial" w:cs="Arial"/>
        </w:rPr>
        <w:t xml:space="preserve"> Seed Industry in Shandong, China. In the laboratory, broad bean seeds were soaked in water for three days and then planted in plastic pots (16.5 cm × 12 cm) containing a soil mixture of sand, humus, and black loamy soil in a 1:3:3 ratios. The pots were kept at room temperature (25°C) until the seeds germinated. After germination, the seedlings were transplanted into small plastic pots (9.7 cm × 8.5 cm), with one seedling per pot. Seedlings at the four-leaf stage were used for the extraction of amino acids and sugars. Alfalfa seeds were also planted in plastic pots (16.5 cm × 12 cm) containing the same soil mixture used for the broad beans and watered with tap water as needed. Seedlings at 2-3 weeks after germination were then transplanted into small plastic pots (9.7 cm × 8.5 cm), with four seedlings in each pot. Seedlings at the 5-6 leaf stage were used for extracting amino acids and sugars.</w:t>
      </w:r>
    </w:p>
    <w:p w14:paraId="154853C7" w14:textId="77777777" w:rsidR="00BF3F26" w:rsidRPr="00BF3F26" w:rsidRDefault="00BF3F26" w:rsidP="00BF3F26">
      <w:pPr>
        <w:pStyle w:val="Body"/>
        <w:rPr>
          <w:rFonts w:ascii="Arial" w:hAnsi="Arial" w:cs="Arial"/>
        </w:rPr>
      </w:pPr>
    </w:p>
    <w:p w14:paraId="12C2ABB9" w14:textId="77777777" w:rsidR="00BF3F26" w:rsidRPr="00FB678D" w:rsidRDefault="00FB678D" w:rsidP="00BF3F26">
      <w:pPr>
        <w:pStyle w:val="Body"/>
        <w:rPr>
          <w:rFonts w:ascii="Arial" w:hAnsi="Arial" w:cs="Arial"/>
          <w:b/>
          <w:sz w:val="22"/>
          <w:szCs w:val="22"/>
        </w:rPr>
      </w:pPr>
      <w:r w:rsidRPr="00FB678D">
        <w:rPr>
          <w:rFonts w:ascii="Arial" w:hAnsi="Arial" w:cs="Arial"/>
          <w:b/>
          <w:sz w:val="22"/>
          <w:szCs w:val="22"/>
        </w:rPr>
        <w:t xml:space="preserve">2.2 </w:t>
      </w:r>
      <w:r w:rsidR="00BF3F26" w:rsidRPr="00FB678D">
        <w:rPr>
          <w:rFonts w:ascii="Arial" w:hAnsi="Arial" w:cs="Arial"/>
          <w:b/>
          <w:sz w:val="22"/>
          <w:szCs w:val="22"/>
        </w:rPr>
        <w:t>Extraction and analysis of free amino acids and sugars from the broad bean and alfalfa leaves</w:t>
      </w:r>
    </w:p>
    <w:p w14:paraId="5142950C" w14:textId="77777777" w:rsidR="00BF3F26" w:rsidRPr="00BF3F26" w:rsidRDefault="00BF3F26" w:rsidP="00BF3F26">
      <w:pPr>
        <w:pStyle w:val="Body"/>
        <w:rPr>
          <w:rFonts w:ascii="Arial" w:hAnsi="Arial" w:cs="Arial"/>
        </w:rPr>
      </w:pPr>
      <w:r w:rsidRPr="00BF3F26">
        <w:rPr>
          <w:rFonts w:ascii="Arial" w:hAnsi="Arial" w:cs="Arial"/>
        </w:rPr>
        <w:t xml:space="preserve">Amino acids and sugars were extracted separately from whole leaves of alfalfa and broad bean according to Thiele et al. (2008), </w:t>
      </w:r>
      <w:proofErr w:type="spellStart"/>
      <w:r w:rsidRPr="00BF3F26">
        <w:rPr>
          <w:rFonts w:ascii="Arial" w:hAnsi="Arial" w:cs="Arial"/>
        </w:rPr>
        <w:t>Paracios</w:t>
      </w:r>
      <w:proofErr w:type="spellEnd"/>
      <w:r w:rsidRPr="00BF3F26">
        <w:rPr>
          <w:rFonts w:ascii="Arial" w:hAnsi="Arial" w:cs="Arial"/>
        </w:rPr>
        <w:t xml:space="preserve"> et al. (2015), Liu et al. (2016), Cao et al. (2018), and Liu et al. (2020). Briefly, when alfalfa and broad bean grew to 4-6 leaf stage, the 2nd and 3rd fresh leaves from the top of the plant were cut (Liu et al., 2016) and weighed (about 50mg). Each weighed leaf sample was added into a 1.5mL Eppendorf tube containing 200µL of 50mM of 37% pure Hydrochloric acid (HCL) and ground fully using a tissue grinder. 800 µL of 50mM of HCL was then added to each grounded sample, mixed well, and centrifuged (Hitachi, CF 16RXII, Tokyo, Japan) at 12000g for 10 minutes. The supernatant filtered through 0.22µm syringe filters into analysis bottles (Liu et al., 2016). Nine (9) biological repeats were performed for each plant.  The filtered samples were analyzed for amino acids and sugars by LTQ XL™   Linear Ion Trap mass spectrometer (Thermo Scientific, Waltham, MA, USA). For amino acids, Liquid chromatography separations were carried out with Intersil OSD-3 C18 Column (250 mm ×3.0 mm; GL Sciences </w:t>
      </w:r>
      <w:proofErr w:type="spellStart"/>
      <w:r w:rsidRPr="00BF3F26">
        <w:rPr>
          <w:rFonts w:ascii="Arial" w:hAnsi="Arial" w:cs="Arial"/>
        </w:rPr>
        <w:t>Inc</w:t>
      </w:r>
      <w:r w:rsidRPr="00BF3F26">
        <w:rPr>
          <w:rFonts w:ascii="MS Gothic" w:eastAsia="MS Gothic" w:hAnsi="MS Gothic" w:cs="MS Gothic" w:hint="eastAsia"/>
        </w:rPr>
        <w:t>；</w:t>
      </w:r>
      <w:r w:rsidRPr="00BF3F26">
        <w:rPr>
          <w:rFonts w:ascii="Arial" w:hAnsi="Arial" w:cs="Arial"/>
        </w:rPr>
        <w:t>Japan</w:t>
      </w:r>
      <w:proofErr w:type="spellEnd"/>
      <w:r w:rsidRPr="00BF3F26">
        <w:rPr>
          <w:rFonts w:ascii="Arial" w:hAnsi="Arial" w:cs="Arial"/>
        </w:rPr>
        <w:t>). The elution was performed by applying a three-step gradient, A 100% for 8 min, 0–80% B linear for 1 min, 80% B for another 5 min, and 0</w:t>
      </w:r>
      <w:r w:rsidRPr="00BF3F26">
        <w:rPr>
          <w:rFonts w:ascii="Arial" w:hAnsi="Arial" w:cs="Arial" w:hint="eastAsia"/>
        </w:rPr>
        <w:t>–</w:t>
      </w:r>
      <w:r w:rsidRPr="00BF3F26">
        <w:rPr>
          <w:rFonts w:ascii="Arial" w:hAnsi="Arial" w:cs="Arial"/>
        </w:rPr>
        <w:t xml:space="preserve">80% A linear for 1 minute, holding the system at 100% A for 8 minutes (Liu et al., 2016).  Two Mobile phases were used, ‘A’ was an aqueous solution containing 5% acetonitrile and 0.1% formic acid, and ‘B’ was 100% acetonitrile with 0.1% formic acid. The </w:t>
      </w:r>
      <w:r w:rsidRPr="00BF3F26">
        <w:rPr>
          <w:rFonts w:ascii="Arial" w:hAnsi="Arial" w:cs="Arial"/>
        </w:rPr>
        <w:lastRenderedPageBreak/>
        <w:t xml:space="preserve">flow rate was set at 260μL/min. Mass spectrometer worked in the positive electrospray ionization (ESI) mode, and the spray voltage was set at 4.5 </w:t>
      </w:r>
      <w:proofErr w:type="spellStart"/>
      <w:r w:rsidRPr="00BF3F26">
        <w:rPr>
          <w:rFonts w:ascii="Arial" w:hAnsi="Arial" w:cs="Arial"/>
        </w:rPr>
        <w:t>Kv</w:t>
      </w:r>
      <w:proofErr w:type="spellEnd"/>
      <w:r w:rsidRPr="00BF3F26">
        <w:rPr>
          <w:rFonts w:ascii="Arial" w:hAnsi="Arial" w:cs="Arial"/>
        </w:rPr>
        <w:t xml:space="preserve"> while the ion transfer capillary temperature was set at 275°C. Masses of precursor, product ions, and collision energy are listed in Table 1.  The data were processed using </w:t>
      </w:r>
      <w:proofErr w:type="spellStart"/>
      <w:r w:rsidRPr="00BF3F26">
        <w:rPr>
          <w:rFonts w:ascii="Arial" w:hAnsi="Arial" w:cs="Arial"/>
        </w:rPr>
        <w:t>Xcalibur</w:t>
      </w:r>
      <w:proofErr w:type="spellEnd"/>
      <w:r w:rsidRPr="00BF3F26">
        <w:rPr>
          <w:rFonts w:ascii="Arial" w:hAnsi="Arial" w:cs="Arial"/>
        </w:rPr>
        <w:t xml:space="preserve"> 2.1 software (</w:t>
      </w:r>
      <w:proofErr w:type="spellStart"/>
      <w:r w:rsidRPr="00BF3F26">
        <w:rPr>
          <w:rFonts w:ascii="Arial" w:hAnsi="Arial" w:cs="Arial"/>
        </w:rPr>
        <w:t>Thermo</w:t>
      </w:r>
      <w:proofErr w:type="spellEnd"/>
      <w:r w:rsidRPr="00BF3F26">
        <w:rPr>
          <w:rFonts w:ascii="Arial" w:hAnsi="Arial" w:cs="Arial"/>
        </w:rPr>
        <w:t xml:space="preserve"> Scientific, Waltham, MA, USA). The quantification of amino acids was achieved by an external standard amino acid mixture of known concentrations (AAS-18, Sigma) supplemented with tryptophan, asparagine, cysteine, and glutamine. The limit of detection for amino acids are listed in Table 2. </w:t>
      </w:r>
    </w:p>
    <w:p w14:paraId="025CDA16" w14:textId="77777777" w:rsidR="00BF3F26" w:rsidRPr="00BF3F26" w:rsidRDefault="00BF3F26" w:rsidP="00BF3F26">
      <w:pPr>
        <w:pStyle w:val="Body"/>
        <w:rPr>
          <w:rFonts w:ascii="Arial" w:hAnsi="Arial" w:cs="Arial"/>
        </w:rPr>
      </w:pPr>
      <w:r w:rsidRPr="00BF3F26">
        <w:rPr>
          <w:rFonts w:ascii="Arial" w:hAnsi="Arial" w:cs="Arial"/>
        </w:rPr>
        <w:t xml:space="preserve">On the other hand, for sugars analysis, liquid chromatography separations were carried out with </w:t>
      </w:r>
      <w:proofErr w:type="spellStart"/>
      <w:r w:rsidRPr="00BF3F26">
        <w:rPr>
          <w:rFonts w:ascii="Arial" w:hAnsi="Arial" w:cs="Arial"/>
        </w:rPr>
        <w:t>XBridge</w:t>
      </w:r>
      <w:proofErr w:type="spellEnd"/>
      <w:r w:rsidRPr="00BF3F26">
        <w:rPr>
          <w:rFonts w:ascii="Arial" w:hAnsi="Arial" w:cs="Arial"/>
        </w:rPr>
        <w:t xml:space="preserve"> Amide column 50 mm × 4.6 mm (Waters, Milford, MA, USA), and the elution was performed by applying isocratic elution for 30 minutes, Mobile phase was 70/30 acetonitrile/water with 0.1% ammonium hydroxide. The flow rate was 500 </w:t>
      </w:r>
      <w:proofErr w:type="spellStart"/>
      <w:r w:rsidRPr="00BF3F26">
        <w:rPr>
          <w:rFonts w:ascii="Arial" w:hAnsi="Arial" w:cs="Arial"/>
        </w:rPr>
        <w:t>μL</w:t>
      </w:r>
      <w:proofErr w:type="spellEnd"/>
      <w:r w:rsidRPr="00BF3F26">
        <w:rPr>
          <w:rFonts w:ascii="Arial" w:hAnsi="Arial" w:cs="Arial"/>
        </w:rPr>
        <w:t>/minutes, and the mass spectrometer worked in the negative electrospray ionization (ESI) mode. We set spray voltage at 4.5 kV, and the ion transfer capillary temperature was 275°C.  The masses of precursor and product ions and collision energy for each sugar are listed in Table 3.  The data were processed as amino acids described above using an external standard mixture of known concentrations.  The limit of detection for quantification of sugars are listed in Table 4.</w:t>
      </w:r>
    </w:p>
    <w:p w14:paraId="3F27209C" w14:textId="77777777" w:rsidR="00BF3F26" w:rsidRPr="00BF3F26" w:rsidRDefault="00BF3F26" w:rsidP="00BF3F26">
      <w:pPr>
        <w:pStyle w:val="Body"/>
        <w:rPr>
          <w:rFonts w:ascii="Arial" w:hAnsi="Arial" w:cs="Arial"/>
        </w:rPr>
      </w:pPr>
    </w:p>
    <w:p w14:paraId="5B1AD75D" w14:textId="77777777" w:rsidR="00BF3F26" w:rsidRPr="00FB678D" w:rsidRDefault="00FB678D" w:rsidP="00BF3F26">
      <w:pPr>
        <w:pStyle w:val="Body"/>
        <w:rPr>
          <w:rFonts w:ascii="Arial" w:hAnsi="Arial" w:cs="Arial"/>
          <w:b/>
          <w:sz w:val="22"/>
          <w:szCs w:val="22"/>
        </w:rPr>
      </w:pPr>
      <w:r w:rsidRPr="00FB678D">
        <w:rPr>
          <w:rFonts w:ascii="Arial" w:hAnsi="Arial" w:cs="Arial"/>
          <w:b/>
          <w:sz w:val="22"/>
          <w:szCs w:val="22"/>
        </w:rPr>
        <w:t xml:space="preserve">2.3 </w:t>
      </w:r>
      <w:r w:rsidR="00BF3F26" w:rsidRPr="00FB678D">
        <w:rPr>
          <w:rFonts w:ascii="Arial" w:hAnsi="Arial" w:cs="Arial"/>
          <w:b/>
          <w:sz w:val="22"/>
          <w:szCs w:val="22"/>
        </w:rPr>
        <w:t>Statistical Analysis</w:t>
      </w:r>
    </w:p>
    <w:p w14:paraId="2FC501B3" w14:textId="77777777" w:rsidR="00A03B96" w:rsidRDefault="00BF3F26" w:rsidP="00BF3F26">
      <w:pPr>
        <w:pStyle w:val="Body"/>
        <w:spacing w:after="0"/>
        <w:rPr>
          <w:rFonts w:ascii="Arial" w:hAnsi="Arial" w:cs="Arial"/>
        </w:rPr>
      </w:pPr>
      <w:r w:rsidRPr="00BF3F26">
        <w:rPr>
          <w:rFonts w:ascii="Arial" w:hAnsi="Arial" w:cs="Arial"/>
        </w:rPr>
        <w:t>The concentration of individual amino acids, the total concentration of free amino acids, the total concentration of essential amino acids, and the total concentration of individual sugars were all checked for normal distribution using the Kolmogorov-Smirnov test. One-way ANOVA was used to analyze the data on the individual concentration of amino acids, total concentration of essential amino acids, and total concentration of sugars, while the total concentration of free amino acids was analyzed using the independent samples Mann-Whitney U-test. A statistical significance level of P= 0.05 was considered for all analyses, and the IBM SPSS Statistics Package V.26.0 (SPSS Inc., NY, USA) was utilized for the analyses.</w:t>
      </w:r>
    </w:p>
    <w:p w14:paraId="33DEED9F" w14:textId="77777777" w:rsidR="00A03B96" w:rsidRDefault="00A03B96" w:rsidP="00441B6F">
      <w:pPr>
        <w:pStyle w:val="Body"/>
        <w:spacing w:after="0"/>
        <w:rPr>
          <w:rFonts w:ascii="Arial" w:hAnsi="Arial" w:cs="Arial"/>
        </w:rPr>
      </w:pPr>
    </w:p>
    <w:p w14:paraId="0A4EAC14" w14:textId="77777777" w:rsidR="00790ADA" w:rsidRPr="00FB3A86" w:rsidRDefault="00790ADA" w:rsidP="00441B6F">
      <w:pPr>
        <w:pStyle w:val="Body"/>
        <w:spacing w:after="0"/>
        <w:rPr>
          <w:rFonts w:ascii="Arial" w:hAnsi="Arial" w:cs="Arial"/>
        </w:rPr>
      </w:pPr>
    </w:p>
    <w:p w14:paraId="072C41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D5C07E" w14:textId="77777777" w:rsidR="00E053D0" w:rsidRDefault="00E053D0" w:rsidP="00441B6F">
      <w:pPr>
        <w:pStyle w:val="Body"/>
        <w:spacing w:after="0"/>
        <w:rPr>
          <w:rFonts w:ascii="Arial" w:hAnsi="Arial" w:cs="Arial"/>
        </w:rPr>
      </w:pPr>
    </w:p>
    <w:p w14:paraId="6E4684D3" w14:textId="77777777" w:rsidR="00FB678D" w:rsidRPr="00FB678D" w:rsidRDefault="00FB678D" w:rsidP="00FB678D">
      <w:pPr>
        <w:pStyle w:val="Body"/>
        <w:rPr>
          <w:rFonts w:ascii="Arial" w:hAnsi="Arial" w:cs="Arial"/>
          <w:b/>
          <w:sz w:val="22"/>
          <w:szCs w:val="22"/>
        </w:rPr>
      </w:pPr>
      <w:r w:rsidRPr="00FB678D">
        <w:rPr>
          <w:rFonts w:ascii="Arial" w:hAnsi="Arial" w:cs="Arial"/>
          <w:b/>
          <w:sz w:val="22"/>
          <w:szCs w:val="22"/>
        </w:rPr>
        <w:t xml:space="preserve">3.1 </w:t>
      </w:r>
      <w:r>
        <w:rPr>
          <w:rFonts w:ascii="Arial" w:hAnsi="Arial" w:cs="Arial"/>
          <w:b/>
          <w:sz w:val="22"/>
          <w:szCs w:val="22"/>
        </w:rPr>
        <w:t>Results</w:t>
      </w:r>
    </w:p>
    <w:p w14:paraId="226297CD" w14:textId="77777777" w:rsidR="00FB678D" w:rsidRPr="00FB678D" w:rsidRDefault="00FB678D" w:rsidP="00FB678D">
      <w:pPr>
        <w:pStyle w:val="Body"/>
        <w:rPr>
          <w:rFonts w:ascii="Arial" w:hAnsi="Arial" w:cs="Arial"/>
        </w:rPr>
      </w:pPr>
      <w:r w:rsidRPr="00FB678D">
        <w:rPr>
          <w:rFonts w:ascii="Arial" w:hAnsi="Arial" w:cs="Arial"/>
        </w:rPr>
        <w:t xml:space="preserve">Eighteen amino acids were detected in both plants (Fig. 1a). Glycine and Cysteine were below detectable limits. The mean concentration of eight amino acids varied significantly between the two plants, arginine F (1, 17) = 6.315, P =0.023, histidine F (1,17) = 40.484, P &lt;0.0001, lysine F (1,17) = 9.092, P= 0.008, proline F (1,17) = 10.324, P =0.005, asparagine F (1,17) = 59.996, P &lt;0.0001, Glutamine F (1,17) =8.312, P =0.011, tyrosine F (1,17) =14.429, P =0.002 and phenylalanine F (1,17) = 10.324, P =0.005 all of these amino acids were present in higher concentration in broad bean than in alfalfa (P&lt; 0.05). Moreover, in alfalfa, the most abundant amino acids were all non-essential amino acids, asparagine (36.03%), glutamic acid (17.37%) and Serine (11.92%). Similarly, in broad bean most abundant amino acids were non-essential amino acids, asparagine (60%), tyrosine (7.08%) and glutamic acid (3.91%) (Table 5). Total concentration of free amino acids in broad bean (Median: 86.3928, Q1:32.6571-Q3:150.4747µMol/L) was significantly higher (U =236, P = 0.019) than in alfalfa (Median = 13.12, Q1:6.2868-Q3:99.60 µMol/L) (Fig. 1b). Similarly, total concentration of essential amino acids in broad bean were higher than in alfalfa (P &lt; 0.0001) (Fig. 1c). Three most abundant essential amino acids in alfalfa were Threonine (31.28%), Leucine (16.1%) and Valine </w:t>
      </w:r>
      <w:r w:rsidRPr="00FB678D">
        <w:rPr>
          <w:rFonts w:ascii="Arial" w:hAnsi="Arial" w:cs="Arial"/>
        </w:rPr>
        <w:lastRenderedPageBreak/>
        <w:t>(15.72%) while in broad bean the three most abundant essential amino acids were Histidine (48.4%), Lysine (14.04%) and Valine (9.70%) (Table 6).</w:t>
      </w:r>
    </w:p>
    <w:p w14:paraId="3B6664C5" w14:textId="77777777" w:rsidR="00FB678D" w:rsidRPr="00FB678D" w:rsidRDefault="00FB678D" w:rsidP="00FB678D">
      <w:pPr>
        <w:pStyle w:val="Body"/>
        <w:rPr>
          <w:rFonts w:ascii="Arial" w:hAnsi="Arial" w:cs="Arial"/>
        </w:rPr>
      </w:pPr>
      <w:r w:rsidRPr="00FB678D">
        <w:rPr>
          <w:rFonts w:ascii="Arial" w:hAnsi="Arial" w:cs="Arial"/>
        </w:rPr>
        <w:t>Fructose, glucose, and sucrose were identified in the two plants. The total concentration of individual sugars varied significantly between the two plants (Table 7). However, sugars contained in the broad bean were all significantly higher than those in alfalfa, fructose F (1,6) = 12.634, P=0.003, glucose F1,6= 8.078, P=0.012 and sucrose F (1,6) = 24.877, P &lt; 0.0001 (Fig. 2).</w:t>
      </w:r>
    </w:p>
    <w:p w14:paraId="6234B67A" w14:textId="77777777" w:rsidR="00FB678D" w:rsidRPr="00FB678D" w:rsidRDefault="00FB678D" w:rsidP="00FB678D">
      <w:pPr>
        <w:pStyle w:val="Body"/>
        <w:rPr>
          <w:rFonts w:ascii="Arial" w:hAnsi="Arial" w:cs="Arial"/>
          <w:b/>
          <w:sz w:val="22"/>
          <w:szCs w:val="22"/>
        </w:rPr>
      </w:pPr>
      <w:r w:rsidRPr="00FB678D">
        <w:rPr>
          <w:rFonts w:ascii="Arial" w:hAnsi="Arial" w:cs="Arial"/>
          <w:b/>
          <w:sz w:val="22"/>
          <w:szCs w:val="22"/>
        </w:rPr>
        <w:t xml:space="preserve">3.2 </w:t>
      </w:r>
      <w:r>
        <w:rPr>
          <w:rFonts w:ascii="Arial" w:hAnsi="Arial" w:cs="Arial"/>
          <w:b/>
          <w:sz w:val="22"/>
          <w:szCs w:val="22"/>
        </w:rPr>
        <w:t>Discussion</w:t>
      </w:r>
    </w:p>
    <w:p w14:paraId="1B494927" w14:textId="77777777" w:rsidR="00FB678D" w:rsidRPr="00FB678D" w:rsidRDefault="00FB678D" w:rsidP="00FB678D">
      <w:pPr>
        <w:pStyle w:val="Body"/>
        <w:rPr>
          <w:rFonts w:ascii="Arial" w:hAnsi="Arial" w:cs="Arial"/>
        </w:rPr>
      </w:pPr>
      <w:r w:rsidRPr="00FB678D">
        <w:rPr>
          <w:rFonts w:ascii="Arial" w:hAnsi="Arial" w:cs="Arial"/>
        </w:rPr>
        <w:t>Determinants of host plant quality by aphids are the allelochemicals, anatomical features, and nutrients (Agrawal et al., 2001; Liu et al., 2016). However, nutrients play a significant role as it constitutes of a wide range of elements such as amino acids, sugars, lipids, water, metals and other compounds useful for growth and development of the plant. Amino acids and sugar account for more than 90 percent of phloem sap dry matter (Cao et al., 2018). Generally, the analysis found that both broad beans and alfalfa contained a higher total amount of sugars than amino acids. Liu et al. (2016) also found that sugars were present in excess than amino acids in aphid diets. This could be because sugars are the available energy source and provide energy for the metabolic process associated with the plants and insects' humoral and cellular immune reactions (Hoffman et al., 2015; Mohammad et al., 2012; Bala et al., 2018). The excess sugars in aphid diets are advantageous to aphids because these insects use excess sugars to detoxify toxic plant compounds, which normally pose a feeding hindrance (Osnat et al., 2020).</w:t>
      </w:r>
    </w:p>
    <w:p w14:paraId="6588270C" w14:textId="77777777" w:rsidR="00FB678D" w:rsidRPr="00FB678D" w:rsidRDefault="00FB678D" w:rsidP="00FB678D">
      <w:pPr>
        <w:pStyle w:val="Body"/>
        <w:rPr>
          <w:rFonts w:ascii="Arial" w:hAnsi="Arial" w:cs="Arial"/>
        </w:rPr>
      </w:pPr>
      <w:r w:rsidRPr="00FB678D">
        <w:rPr>
          <w:rFonts w:ascii="Arial" w:hAnsi="Arial" w:cs="Arial"/>
        </w:rPr>
        <w:t xml:space="preserve">Furthermore, results showed that broad beans contained a higher sucrose amount while alfalfa contained a higher glucose amount. This may be because natural diets of aphids contain higher sucrose concentrations (Ashford et al., 2000; Terra et al., 2005). The differences seen in the total amount of sugars have implications for insects' carbon nutrition and osmoregulation; see detail in Ashford et al. (2000). A low total amount of amino acids in broad beans and alfalfa was expected and are in accord with the available literature that plant phloem sap contains a lower concentration of total amino acids than sugars, and that is the limiting factor for aphid feeding (Ashford et al., 2000; Wilkinson et al., 2001; Awmack et al., 2002; </w:t>
      </w:r>
      <w:proofErr w:type="spellStart"/>
      <w:r w:rsidRPr="00FB678D">
        <w:rPr>
          <w:rFonts w:ascii="Arial" w:hAnsi="Arial" w:cs="Arial"/>
        </w:rPr>
        <w:t>Alaux</w:t>
      </w:r>
      <w:proofErr w:type="spellEnd"/>
      <w:r w:rsidRPr="00FB678D">
        <w:rPr>
          <w:rFonts w:ascii="Arial" w:hAnsi="Arial" w:cs="Arial"/>
        </w:rPr>
        <w:t xml:space="preserve"> et al., 2010; </w:t>
      </w:r>
      <w:proofErr w:type="spellStart"/>
      <w:r w:rsidRPr="00FB678D">
        <w:rPr>
          <w:rFonts w:ascii="Arial" w:hAnsi="Arial" w:cs="Arial"/>
        </w:rPr>
        <w:t>Dexit</w:t>
      </w:r>
      <w:proofErr w:type="spellEnd"/>
      <w:r w:rsidRPr="00FB678D">
        <w:rPr>
          <w:rFonts w:ascii="Arial" w:hAnsi="Arial" w:cs="Arial"/>
        </w:rPr>
        <w:t xml:space="preserve"> et al., 2013; Liu et al., 2016; Wilson et al., 2019). </w:t>
      </w:r>
    </w:p>
    <w:p w14:paraId="334ED4F2" w14:textId="77777777" w:rsidR="00FB678D" w:rsidRPr="00FB678D" w:rsidRDefault="00FB678D" w:rsidP="00FB678D">
      <w:pPr>
        <w:pStyle w:val="Body"/>
        <w:rPr>
          <w:rFonts w:ascii="Arial" w:hAnsi="Arial" w:cs="Arial"/>
        </w:rPr>
      </w:pPr>
      <w:r w:rsidRPr="00FB678D">
        <w:rPr>
          <w:rFonts w:ascii="Arial" w:hAnsi="Arial" w:cs="Arial"/>
        </w:rPr>
        <w:t>In both plants, Asparagine was the most dominant amino acid than any other amino acid. This may be because of its storage and transport role of nitrogenous compounds in plants (Pate et al., 1981; Lea et al., 2007). These results are in parallel with many past publications. Wilkinson et al. (2000) found that broad beans had a higher concentration of asparagine than any other amino acids. Correspondingly, Ta et al. (1986) found that asparagine was present in a higher amount in the nodules and root xylem exudates of alfalfa. Also, Scharff et al. (2003) reported that pea root nodules contained a high concentration total amount of asparagine. Similarly, in apple trees, asparagine was the dominating free amino acid (Malaguti et al., 2001). In white lupin (Lupinus albus), asparagine was the major amino acid in all plant parts, and it accounted for 60-80% of the total free amino acids quantified (Pate et al., 1981). Asparagine is the most dominating amino acids in leaves, seeds, and roots of plants (</w:t>
      </w:r>
      <w:proofErr w:type="spellStart"/>
      <w:r w:rsidRPr="00FB678D">
        <w:rPr>
          <w:rFonts w:ascii="Arial" w:hAnsi="Arial" w:cs="Arial"/>
        </w:rPr>
        <w:t>Sieciechowicz</w:t>
      </w:r>
      <w:proofErr w:type="spellEnd"/>
      <w:r w:rsidRPr="00FB678D">
        <w:rPr>
          <w:rFonts w:ascii="Arial" w:hAnsi="Arial" w:cs="Arial"/>
        </w:rPr>
        <w:t xml:space="preserve"> et al., 1988); it has a significant role in the storage and transport of nitrogen in many plants due to its N: C ratio of 2:4 (high) which makes it an efficient molecule for storage and transportation of Nitrogen in leguminous plants (Lea et al., 2007).  </w:t>
      </w:r>
    </w:p>
    <w:p w14:paraId="724C1CBB" w14:textId="77777777" w:rsidR="00FB678D" w:rsidRPr="00FB678D" w:rsidRDefault="00FB678D" w:rsidP="00FB678D">
      <w:pPr>
        <w:pStyle w:val="Body"/>
        <w:rPr>
          <w:rFonts w:ascii="Arial" w:hAnsi="Arial" w:cs="Arial"/>
        </w:rPr>
      </w:pPr>
      <w:r w:rsidRPr="00FB678D">
        <w:rPr>
          <w:rFonts w:ascii="Arial" w:hAnsi="Arial" w:cs="Arial"/>
        </w:rPr>
        <w:t xml:space="preserve">The second most abundant amino acid was tyrosine (Fig. 1a), and it was more abundant in broad beans than in alfalfa. Sandstrom et al. (1994) also found that tyrosine concentration was higher in broad beans than in alfalfa. Both insects and plants require tyrosine; in plants, it is a </w:t>
      </w:r>
      <w:r w:rsidRPr="00FB678D">
        <w:rPr>
          <w:rFonts w:ascii="Arial" w:hAnsi="Arial" w:cs="Arial"/>
        </w:rPr>
        <w:lastRenderedPageBreak/>
        <w:t xml:space="preserve">precursor for lignin synthesis and melanin in insects (Schenck et al., 2018). Results further showed that in alfalfa, the three most abundant amino acids were all non-essential amino acids, Asparagine (36.03%), Glutamic acid (17.37%), and serine (11.92%). Similarly, in broad beans, the three most abundant amino acids were all non-essential amino acids, Asparagine (60%), tyrosine (7.08%), and glutamic acid (3.91%), so the two plants are predominantly comprised of non-essential amino acids.  Similarly, Liu et al. (2016) and Liu et al. (2020) found that plant phloem saps are dominated by non-essential amino acids. </w:t>
      </w:r>
    </w:p>
    <w:p w14:paraId="6CF72373" w14:textId="77777777" w:rsidR="00FB678D" w:rsidRPr="00FB678D" w:rsidRDefault="00FB678D" w:rsidP="00FB678D">
      <w:pPr>
        <w:pStyle w:val="Body"/>
        <w:rPr>
          <w:rFonts w:ascii="Arial" w:hAnsi="Arial" w:cs="Arial"/>
        </w:rPr>
      </w:pPr>
      <w:r w:rsidRPr="00FB678D">
        <w:rPr>
          <w:rFonts w:ascii="Arial" w:hAnsi="Arial" w:cs="Arial"/>
        </w:rPr>
        <w:t xml:space="preserve">Also, results indicated that the total concentration of essential amino acids was high in broad beans than in alfalfa. Similarly, Sandstrom et al. (1994) found that the total concentration of essential amino acids was high in broad beans than in alfalfa. In this regard, broad beans are more nutritious than alfalfa because the nitrogen content of plant phloem sap, mainly the essential amino acids, is commonly used to index the plant's nutritional value for sap sucking insects (Liu et al., 2020). The low quality of alfalfa might be caused by Glutamic acid, which was higher in alfalfa than in broad beans (Liu et al., 2020). </w:t>
      </w:r>
    </w:p>
    <w:p w14:paraId="6017D3CF" w14:textId="77777777" w:rsidR="00790ADA" w:rsidRPr="00FB678D" w:rsidRDefault="00FB678D" w:rsidP="00FB678D">
      <w:pPr>
        <w:pStyle w:val="Body"/>
        <w:rPr>
          <w:rFonts w:ascii="Arial" w:hAnsi="Arial" w:cs="Arial"/>
        </w:rPr>
      </w:pPr>
      <w:r w:rsidRPr="00FB678D">
        <w:rPr>
          <w:rFonts w:ascii="Arial" w:hAnsi="Arial" w:cs="Arial"/>
        </w:rPr>
        <w:t xml:space="preserve">The most dominant essential amino acid was histidine, which was also most abundant in broad bean. This amino acid cannot be synthesized </w:t>
      </w:r>
      <w:proofErr w:type="spellStart"/>
      <w:r w:rsidRPr="00FB678D">
        <w:rPr>
          <w:rFonts w:ascii="Arial" w:hAnsi="Arial" w:cs="Arial"/>
        </w:rPr>
        <w:t>denovo</w:t>
      </w:r>
      <w:proofErr w:type="spellEnd"/>
      <w:r w:rsidRPr="00FB678D">
        <w:rPr>
          <w:rFonts w:ascii="Arial" w:hAnsi="Arial" w:cs="Arial"/>
        </w:rPr>
        <w:t xml:space="preserve"> by animals, so they have to get it from plants. It is crucial for the growth and repair of the body cells. It functions as a chelator and transporter of metal ions (Stepansky et al., 2006). In higher plants, histidine is essential for plant growth and survival (Mo et al., 2006). It is necessary for protein synthesis and is required by all living organisms (Mo et al., 2006).</w:t>
      </w:r>
    </w:p>
    <w:p w14:paraId="0D258EB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4E1704D" w14:textId="77777777" w:rsidR="00790ADA" w:rsidRPr="00FB3A86" w:rsidRDefault="00790ADA" w:rsidP="00441B6F">
      <w:pPr>
        <w:pStyle w:val="ConcHead"/>
        <w:spacing w:after="0"/>
        <w:jc w:val="both"/>
        <w:rPr>
          <w:rFonts w:ascii="Arial" w:hAnsi="Arial" w:cs="Arial"/>
        </w:rPr>
      </w:pPr>
    </w:p>
    <w:p w14:paraId="079E280C" w14:textId="77777777" w:rsidR="00790ADA" w:rsidRDefault="00FB678D" w:rsidP="00441B6F">
      <w:pPr>
        <w:pStyle w:val="Body"/>
        <w:spacing w:after="0"/>
        <w:rPr>
          <w:rFonts w:ascii="Arial" w:hAnsi="Arial" w:cs="Arial"/>
        </w:rPr>
      </w:pPr>
      <w:r w:rsidRPr="00FB678D">
        <w:rPr>
          <w:rFonts w:ascii="Arial" w:hAnsi="Arial" w:cs="Arial"/>
        </w:rPr>
        <w:t>The analysis of amino acids and sugars in leaves of broad beans and alfalfa indicated that broad beans are more nutritious than alfalfa. Due to the low nutrients in alfalfa, aphids feeding on this plant might have poorer growth, survival, and reproduction compared to those feeding on more nutritious plants like broad beans. Therefore, broad bean is an ideal host plant for rearing pea aphids in the laboratory for research purposes. This information could be valuable for researchers working with pea aphids in controlled laboratory settings.</w:t>
      </w:r>
    </w:p>
    <w:p w14:paraId="59730164" w14:textId="77777777" w:rsidR="00FB678D" w:rsidRPr="00FB3A86" w:rsidRDefault="00FB678D" w:rsidP="00441B6F">
      <w:pPr>
        <w:pStyle w:val="Body"/>
        <w:spacing w:after="0"/>
        <w:rPr>
          <w:rFonts w:ascii="Arial" w:hAnsi="Arial" w:cs="Arial"/>
        </w:rPr>
      </w:pPr>
    </w:p>
    <w:p w14:paraId="3BEDCA9B" w14:textId="77777777" w:rsidR="00B62F90" w:rsidRDefault="00B62F90" w:rsidP="00441B6F">
      <w:pPr>
        <w:pStyle w:val="ReferHead"/>
        <w:spacing w:after="0"/>
        <w:jc w:val="both"/>
        <w:rPr>
          <w:rFonts w:ascii="Arial" w:hAnsi="Arial" w:cs="Arial"/>
          <w:b w:val="0"/>
          <w:caps w:val="0"/>
          <w:sz w:val="20"/>
        </w:rPr>
      </w:pPr>
    </w:p>
    <w:p w14:paraId="2C825E8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sidR="00B62F90">
        <w:rPr>
          <w:rFonts w:ascii="Arial" w:hAnsi="Arial" w:cs="Arial"/>
          <w:bCs/>
        </w:rPr>
        <w:t xml:space="preserve"> </w:t>
      </w:r>
    </w:p>
    <w:p w14:paraId="2071EA37" w14:textId="77777777" w:rsidR="002B685A" w:rsidRPr="002B685A" w:rsidRDefault="002B685A" w:rsidP="00441B6F">
      <w:pPr>
        <w:pStyle w:val="ReferHead"/>
        <w:spacing w:after="0"/>
        <w:jc w:val="both"/>
        <w:rPr>
          <w:rFonts w:ascii="Arial" w:hAnsi="Arial" w:cs="Arial"/>
          <w:bCs/>
        </w:rPr>
      </w:pPr>
    </w:p>
    <w:p w14:paraId="4D331327" w14:textId="77777777" w:rsidR="001A29D8" w:rsidRDefault="00B62F90"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3B728A79" w14:textId="77777777" w:rsidR="005C784C" w:rsidRDefault="005C784C" w:rsidP="00441B6F">
      <w:pPr>
        <w:pStyle w:val="ReferHead"/>
        <w:spacing w:after="0"/>
        <w:jc w:val="both"/>
        <w:rPr>
          <w:rFonts w:ascii="Arial" w:hAnsi="Arial" w:cs="Arial"/>
          <w:b w:val="0"/>
          <w:caps w:val="0"/>
          <w:sz w:val="20"/>
        </w:rPr>
      </w:pPr>
    </w:p>
    <w:p w14:paraId="34370C7D" w14:textId="77777777" w:rsidR="005C784C" w:rsidRDefault="00B62F90" w:rsidP="00441B6F">
      <w:pPr>
        <w:pStyle w:val="ReferHead"/>
        <w:spacing w:after="0"/>
        <w:jc w:val="both"/>
        <w:rPr>
          <w:rFonts w:ascii="Arial" w:hAnsi="Arial" w:cs="Arial"/>
          <w:bCs/>
        </w:rPr>
      </w:pPr>
      <w:r>
        <w:rPr>
          <w:rFonts w:ascii="Arial" w:hAnsi="Arial" w:cs="Arial"/>
          <w:bCs/>
        </w:rPr>
        <w:t xml:space="preserve">Ethical approval </w:t>
      </w:r>
    </w:p>
    <w:p w14:paraId="3EE6EAA8" w14:textId="77777777" w:rsidR="005C784C" w:rsidRPr="002B685A" w:rsidRDefault="005C784C" w:rsidP="00441B6F">
      <w:pPr>
        <w:pStyle w:val="ReferHead"/>
        <w:spacing w:after="0"/>
        <w:jc w:val="both"/>
        <w:rPr>
          <w:rFonts w:ascii="Arial" w:hAnsi="Arial" w:cs="Arial"/>
          <w:bCs/>
        </w:rPr>
      </w:pPr>
    </w:p>
    <w:p w14:paraId="3BC5014E" w14:textId="77777777" w:rsidR="00860000" w:rsidRDefault="00B62F90"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0FCFD1C0" w14:textId="77777777" w:rsidR="00B62F90" w:rsidRDefault="00B62F90" w:rsidP="00441B6F">
      <w:pPr>
        <w:pStyle w:val="ReferHead"/>
        <w:spacing w:after="0"/>
        <w:jc w:val="both"/>
        <w:rPr>
          <w:rFonts w:ascii="Arial" w:hAnsi="Arial" w:cs="Arial"/>
        </w:rPr>
      </w:pPr>
    </w:p>
    <w:p w14:paraId="32AE600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A5FB79" w14:textId="77777777" w:rsidR="00790ADA" w:rsidRPr="00FB3A86" w:rsidRDefault="00790ADA" w:rsidP="00441B6F">
      <w:pPr>
        <w:pStyle w:val="ReferHead"/>
        <w:spacing w:after="0"/>
        <w:jc w:val="both"/>
        <w:rPr>
          <w:rFonts w:ascii="Arial" w:hAnsi="Arial" w:cs="Arial"/>
        </w:rPr>
      </w:pPr>
    </w:p>
    <w:p w14:paraId="08AD4D7E" w14:textId="77777777" w:rsidR="00B62F90" w:rsidRPr="00B62F90" w:rsidRDefault="00B62F90" w:rsidP="00B62F90">
      <w:pPr>
        <w:jc w:val="both"/>
        <w:rPr>
          <w:rFonts w:ascii="Arial" w:hAnsi="Arial" w:cs="Arial"/>
        </w:rPr>
      </w:pPr>
      <w:r w:rsidRPr="00B62F90">
        <w:rPr>
          <w:rFonts w:ascii="Arial" w:hAnsi="Arial" w:cs="Arial"/>
        </w:rPr>
        <w:t xml:space="preserve">Agrawal AA. 2000. Mechanisms, ecological consequences, and agricultural implications of tri-trophic interactions. </w:t>
      </w:r>
      <w:r w:rsidRPr="00B62F90">
        <w:rPr>
          <w:rFonts w:ascii="Arial" w:hAnsi="Arial" w:cs="Arial"/>
          <w:i/>
        </w:rPr>
        <w:t>Current Opinion in Plant Biology, 3</w:t>
      </w:r>
      <w:r w:rsidRPr="00B62F90">
        <w:rPr>
          <w:rFonts w:ascii="Arial" w:hAnsi="Arial" w:cs="Arial"/>
        </w:rPr>
        <w:t xml:space="preserve">, 329-335. </w:t>
      </w:r>
      <w:hyperlink r:id="rId12" w:history="1">
        <w:r w:rsidRPr="00B62F90">
          <w:rPr>
            <w:rStyle w:val="Hyperlink"/>
            <w:rFonts w:ascii="Arial" w:hAnsi="Arial" w:cs="Arial"/>
          </w:rPr>
          <w:t>https://doi.org/10.1016/S1369-5266(00)00089-3</w:t>
        </w:r>
      </w:hyperlink>
      <w:r w:rsidRPr="00B62F90">
        <w:rPr>
          <w:rFonts w:ascii="Arial" w:hAnsi="Arial" w:cs="Arial"/>
        </w:rPr>
        <w:t>.</w:t>
      </w:r>
    </w:p>
    <w:p w14:paraId="7B8289E6" w14:textId="77777777" w:rsidR="00B62F90" w:rsidRPr="00B62F90" w:rsidRDefault="00B62F90" w:rsidP="00B62F90">
      <w:pPr>
        <w:jc w:val="both"/>
        <w:rPr>
          <w:rFonts w:ascii="Arial" w:hAnsi="Arial" w:cs="Arial"/>
        </w:rPr>
      </w:pPr>
      <w:proofErr w:type="spellStart"/>
      <w:r w:rsidRPr="00B62F90">
        <w:rPr>
          <w:rFonts w:ascii="Arial" w:hAnsi="Arial" w:cs="Arial"/>
        </w:rPr>
        <w:t>Alaux</w:t>
      </w:r>
      <w:proofErr w:type="spellEnd"/>
      <w:r w:rsidRPr="00B62F90">
        <w:rPr>
          <w:rFonts w:ascii="Arial" w:hAnsi="Arial" w:cs="Arial"/>
        </w:rPr>
        <w:t xml:space="preserve"> C, </w:t>
      </w:r>
      <w:proofErr w:type="spellStart"/>
      <w:r w:rsidRPr="00B62F90">
        <w:rPr>
          <w:rFonts w:ascii="Arial" w:hAnsi="Arial" w:cs="Arial"/>
        </w:rPr>
        <w:t>Ducloz</w:t>
      </w:r>
      <w:proofErr w:type="spellEnd"/>
      <w:r w:rsidRPr="00B62F90">
        <w:rPr>
          <w:rFonts w:ascii="Arial" w:hAnsi="Arial" w:cs="Arial"/>
        </w:rPr>
        <w:t xml:space="preserve"> F, </w:t>
      </w:r>
      <w:proofErr w:type="spellStart"/>
      <w:r w:rsidRPr="00B62F90">
        <w:rPr>
          <w:rFonts w:ascii="Arial" w:hAnsi="Arial" w:cs="Arial"/>
        </w:rPr>
        <w:t>Crauser</w:t>
      </w:r>
      <w:proofErr w:type="spellEnd"/>
      <w:r w:rsidRPr="00B62F90">
        <w:rPr>
          <w:rFonts w:ascii="Arial" w:hAnsi="Arial" w:cs="Arial"/>
        </w:rPr>
        <w:t xml:space="preserve"> D, Le Conte Y. 2010. Diet effects on honeybee immunocompetence. </w:t>
      </w:r>
      <w:r w:rsidRPr="00B62F90">
        <w:rPr>
          <w:rFonts w:ascii="Arial" w:hAnsi="Arial" w:cs="Arial"/>
          <w:i/>
        </w:rPr>
        <w:t>Biology Letters, 6,</w:t>
      </w:r>
      <w:r w:rsidRPr="00B62F90">
        <w:rPr>
          <w:rFonts w:ascii="Arial" w:hAnsi="Arial" w:cs="Arial"/>
        </w:rPr>
        <w:t xml:space="preserve"> 562-565. </w:t>
      </w:r>
      <w:hyperlink r:id="rId13" w:history="1">
        <w:r w:rsidRPr="00B62F90">
          <w:rPr>
            <w:rStyle w:val="Hyperlink"/>
            <w:rFonts w:ascii="Arial" w:hAnsi="Arial" w:cs="Arial"/>
          </w:rPr>
          <w:t>https://doi.org/10.1098/rsbl.2009.0986</w:t>
        </w:r>
      </w:hyperlink>
      <w:r w:rsidRPr="00B62F90">
        <w:rPr>
          <w:rFonts w:ascii="Arial" w:hAnsi="Arial" w:cs="Arial"/>
        </w:rPr>
        <w:t>.</w:t>
      </w:r>
    </w:p>
    <w:p w14:paraId="59F1466C" w14:textId="77777777" w:rsidR="00B62F90" w:rsidRPr="00B62F90" w:rsidRDefault="00B62F90" w:rsidP="00B62F90">
      <w:pPr>
        <w:jc w:val="both"/>
        <w:rPr>
          <w:rFonts w:ascii="Arial" w:hAnsi="Arial" w:cs="Arial"/>
        </w:rPr>
      </w:pPr>
      <w:r w:rsidRPr="00B62F90">
        <w:rPr>
          <w:rFonts w:ascii="Arial" w:hAnsi="Arial" w:cs="Arial"/>
        </w:rPr>
        <w:t xml:space="preserve">Ashford DA, Smith WA, Douglas AE. 2000. Living on a high sugar diet: The fate of sucrose ingested by the phloem-feeding insect, the pea aphid </w:t>
      </w:r>
      <w:proofErr w:type="spellStart"/>
      <w:r w:rsidRPr="00B62F90">
        <w:rPr>
          <w:rFonts w:ascii="Arial" w:hAnsi="Arial" w:cs="Arial"/>
        </w:rPr>
        <w:t>Acyrthosiphon</w:t>
      </w:r>
      <w:proofErr w:type="spellEnd"/>
      <w:r w:rsidRPr="00B62F90">
        <w:rPr>
          <w:rFonts w:ascii="Arial" w:hAnsi="Arial" w:cs="Arial"/>
        </w:rPr>
        <w:t xml:space="preserve"> </w:t>
      </w:r>
      <w:proofErr w:type="spellStart"/>
      <w:r w:rsidRPr="00B62F90">
        <w:rPr>
          <w:rFonts w:ascii="Arial" w:hAnsi="Arial" w:cs="Arial"/>
        </w:rPr>
        <w:t>pisum</w:t>
      </w:r>
      <w:proofErr w:type="spellEnd"/>
      <w:r w:rsidRPr="00B62F90">
        <w:rPr>
          <w:rFonts w:ascii="Arial" w:hAnsi="Arial" w:cs="Arial"/>
        </w:rPr>
        <w:t xml:space="preserve">. </w:t>
      </w:r>
      <w:r w:rsidRPr="00B62F90">
        <w:rPr>
          <w:rFonts w:ascii="Arial" w:hAnsi="Arial" w:cs="Arial"/>
          <w:i/>
        </w:rPr>
        <w:t>Journal of Insect Physiology, 46</w:t>
      </w:r>
      <w:r w:rsidRPr="00B62F90">
        <w:rPr>
          <w:rFonts w:ascii="Arial" w:hAnsi="Arial" w:cs="Arial"/>
        </w:rPr>
        <w:t xml:space="preserve">, 335-341. </w:t>
      </w:r>
      <w:hyperlink r:id="rId14" w:history="1">
        <w:r w:rsidRPr="00B62F90">
          <w:rPr>
            <w:rStyle w:val="Hyperlink"/>
            <w:rFonts w:ascii="Arial" w:hAnsi="Arial" w:cs="Arial"/>
          </w:rPr>
          <w:t>https://doi.org/10.1016/S0022-1910(99)00186-9</w:t>
        </w:r>
      </w:hyperlink>
      <w:r w:rsidRPr="00B62F90">
        <w:rPr>
          <w:rFonts w:ascii="Arial" w:hAnsi="Arial" w:cs="Arial"/>
        </w:rPr>
        <w:t>.</w:t>
      </w:r>
    </w:p>
    <w:p w14:paraId="18277F78" w14:textId="77777777" w:rsidR="00B62F90" w:rsidRPr="00B62F90" w:rsidRDefault="00B62F90" w:rsidP="00B62F90">
      <w:pPr>
        <w:jc w:val="both"/>
        <w:rPr>
          <w:rFonts w:ascii="Arial" w:hAnsi="Arial" w:cs="Arial"/>
        </w:rPr>
      </w:pPr>
      <w:r w:rsidRPr="00B62F90">
        <w:rPr>
          <w:rFonts w:ascii="Arial" w:hAnsi="Arial" w:cs="Arial"/>
        </w:rPr>
        <w:lastRenderedPageBreak/>
        <w:t xml:space="preserve">Awmack CS, Leather SR. 2002. Host plant quality and fecundity in herbivorous insects. </w:t>
      </w:r>
      <w:r w:rsidRPr="00B62F90">
        <w:rPr>
          <w:rFonts w:ascii="Arial" w:hAnsi="Arial" w:cs="Arial"/>
          <w:i/>
        </w:rPr>
        <w:t>Annual Review of Entomology, 47</w:t>
      </w:r>
      <w:r w:rsidRPr="00B62F90">
        <w:rPr>
          <w:rFonts w:ascii="Arial" w:hAnsi="Arial" w:cs="Arial"/>
        </w:rPr>
        <w:t xml:space="preserve">,817-844. </w:t>
      </w:r>
      <w:hyperlink r:id="rId15" w:history="1">
        <w:r w:rsidRPr="00B62F90">
          <w:rPr>
            <w:rStyle w:val="Hyperlink"/>
            <w:rFonts w:ascii="Arial" w:hAnsi="Arial" w:cs="Arial"/>
          </w:rPr>
          <w:t>https://doi.org/10.1146/annurev.ento.47.091201.145300</w:t>
        </w:r>
      </w:hyperlink>
      <w:r w:rsidRPr="00B62F90">
        <w:rPr>
          <w:rFonts w:ascii="Arial" w:hAnsi="Arial" w:cs="Arial"/>
        </w:rPr>
        <w:t>.</w:t>
      </w:r>
    </w:p>
    <w:p w14:paraId="3E51D717" w14:textId="77777777" w:rsidR="00B62F90" w:rsidRPr="00B62F90" w:rsidRDefault="00B62F90" w:rsidP="00B62F90">
      <w:pPr>
        <w:jc w:val="both"/>
        <w:rPr>
          <w:rFonts w:ascii="Arial" w:hAnsi="Arial" w:cs="Arial"/>
        </w:rPr>
      </w:pPr>
      <w:r w:rsidRPr="00B62F90">
        <w:rPr>
          <w:rFonts w:ascii="Arial" w:hAnsi="Arial" w:cs="Arial"/>
        </w:rPr>
        <w:t xml:space="preserve">Bala K, Sood A, Thakur S, Singh V. 2018. Effect of plant nutrition in insect pest management: A review. </w:t>
      </w:r>
      <w:r w:rsidRPr="00B62F90">
        <w:rPr>
          <w:rFonts w:ascii="Arial" w:hAnsi="Arial" w:cs="Arial"/>
          <w:i/>
        </w:rPr>
        <w:t>Journal of Pharmacognosy and Phytochemistry, 7</w:t>
      </w:r>
      <w:r w:rsidRPr="00B62F90">
        <w:rPr>
          <w:rFonts w:ascii="Arial" w:hAnsi="Arial" w:cs="Arial"/>
        </w:rPr>
        <w:t>, 2737-2742.</w:t>
      </w:r>
    </w:p>
    <w:p w14:paraId="64B5658B" w14:textId="77777777" w:rsidR="00B62F90" w:rsidRPr="00B62F90" w:rsidRDefault="00B62F90" w:rsidP="00B62F90">
      <w:pPr>
        <w:jc w:val="both"/>
        <w:rPr>
          <w:rFonts w:ascii="Arial" w:hAnsi="Arial" w:cs="Arial"/>
        </w:rPr>
      </w:pPr>
      <w:r w:rsidRPr="00B62F90">
        <w:rPr>
          <w:rFonts w:ascii="Arial" w:hAnsi="Arial" w:cs="Arial"/>
        </w:rPr>
        <w:t xml:space="preserve">Cao H-H, Liu H-R, Zhang Z-F, Liu T-X. 2016. The green peach aphid </w:t>
      </w:r>
      <w:proofErr w:type="spellStart"/>
      <w:r w:rsidRPr="00B62F90">
        <w:rPr>
          <w:rFonts w:ascii="Arial" w:hAnsi="Arial" w:cs="Arial"/>
        </w:rPr>
        <w:t>Myzus</w:t>
      </w:r>
      <w:proofErr w:type="spellEnd"/>
      <w:r w:rsidRPr="00B62F90">
        <w:rPr>
          <w:rFonts w:ascii="Arial" w:hAnsi="Arial" w:cs="Arial"/>
        </w:rPr>
        <w:t xml:space="preserve"> </w:t>
      </w:r>
      <w:proofErr w:type="spellStart"/>
      <w:r w:rsidRPr="00B62F90">
        <w:rPr>
          <w:rFonts w:ascii="Arial" w:hAnsi="Arial" w:cs="Arial"/>
        </w:rPr>
        <w:t>persicae</w:t>
      </w:r>
      <w:proofErr w:type="spellEnd"/>
      <w:r w:rsidRPr="00B62F90">
        <w:rPr>
          <w:rFonts w:ascii="Arial" w:hAnsi="Arial" w:cs="Arial"/>
        </w:rPr>
        <w:t xml:space="preserve"> perform better on pre-infested Chinese cabbage Brassica </w:t>
      </w:r>
      <w:proofErr w:type="spellStart"/>
      <w:r w:rsidRPr="00B62F90">
        <w:rPr>
          <w:rFonts w:ascii="Arial" w:hAnsi="Arial" w:cs="Arial"/>
        </w:rPr>
        <w:t>pekinensis</w:t>
      </w:r>
      <w:proofErr w:type="spellEnd"/>
      <w:r w:rsidRPr="00B62F90">
        <w:rPr>
          <w:rFonts w:ascii="Arial" w:hAnsi="Arial" w:cs="Arial"/>
        </w:rPr>
        <w:t xml:space="preserve"> by enhancing host plant nutritional quality. </w:t>
      </w:r>
      <w:r w:rsidRPr="00B62F90">
        <w:rPr>
          <w:rFonts w:ascii="Arial" w:hAnsi="Arial" w:cs="Arial"/>
          <w:i/>
        </w:rPr>
        <w:t>Scientific reports,6,</w:t>
      </w:r>
      <w:r w:rsidRPr="00B62F90">
        <w:rPr>
          <w:rFonts w:ascii="Arial" w:hAnsi="Arial" w:cs="Arial"/>
        </w:rPr>
        <w:t xml:space="preserve"> 21954. </w:t>
      </w:r>
      <w:hyperlink r:id="rId16" w:history="1">
        <w:r w:rsidRPr="00B62F90">
          <w:rPr>
            <w:rStyle w:val="Hyperlink"/>
            <w:rFonts w:ascii="Arial" w:hAnsi="Arial" w:cs="Arial"/>
          </w:rPr>
          <w:t>https://doi.org/10.1038/srep21954</w:t>
        </w:r>
      </w:hyperlink>
      <w:r w:rsidRPr="00B62F90">
        <w:rPr>
          <w:rFonts w:ascii="Arial" w:hAnsi="Arial" w:cs="Arial"/>
        </w:rPr>
        <w:t>.</w:t>
      </w:r>
    </w:p>
    <w:p w14:paraId="1E057DAF" w14:textId="77777777" w:rsidR="00B62F90" w:rsidRPr="00B62F90" w:rsidRDefault="00B62F90" w:rsidP="00B62F90">
      <w:pPr>
        <w:jc w:val="both"/>
        <w:rPr>
          <w:rFonts w:ascii="Arial" w:hAnsi="Arial" w:cs="Arial"/>
        </w:rPr>
      </w:pPr>
      <w:r w:rsidRPr="00B62F90">
        <w:rPr>
          <w:rFonts w:ascii="Arial" w:hAnsi="Arial" w:cs="Arial"/>
        </w:rPr>
        <w:t xml:space="preserve">Cao H-H, Zhang Z-F, Wang X-F, Liu T-X. 2018. Nutrition versus defense: Why </w:t>
      </w:r>
      <w:proofErr w:type="spellStart"/>
      <w:r w:rsidRPr="00B62F90">
        <w:rPr>
          <w:rFonts w:ascii="Arial" w:hAnsi="Arial" w:cs="Arial"/>
        </w:rPr>
        <w:t>Myzus</w:t>
      </w:r>
      <w:proofErr w:type="spellEnd"/>
      <w:r w:rsidRPr="00B62F90">
        <w:rPr>
          <w:rFonts w:ascii="Arial" w:hAnsi="Arial" w:cs="Arial"/>
        </w:rPr>
        <w:t xml:space="preserve"> </w:t>
      </w:r>
      <w:proofErr w:type="spellStart"/>
      <w:r w:rsidRPr="00B62F90">
        <w:rPr>
          <w:rFonts w:ascii="Arial" w:hAnsi="Arial" w:cs="Arial"/>
        </w:rPr>
        <w:t>persicae</w:t>
      </w:r>
      <w:proofErr w:type="spellEnd"/>
      <w:r w:rsidRPr="00B62F90">
        <w:rPr>
          <w:rFonts w:ascii="Arial" w:hAnsi="Arial" w:cs="Arial"/>
        </w:rPr>
        <w:t xml:space="preserve"> (green peach aphid) prefers and performs better on young leaves of cabbage. </w:t>
      </w:r>
      <w:r w:rsidRPr="00B62F90">
        <w:rPr>
          <w:rFonts w:ascii="Arial" w:hAnsi="Arial" w:cs="Arial"/>
          <w:i/>
        </w:rPr>
        <w:t>PLOS ONE, 13</w:t>
      </w:r>
      <w:r w:rsidRPr="00B62F90">
        <w:rPr>
          <w:rFonts w:ascii="Arial" w:hAnsi="Arial" w:cs="Arial"/>
        </w:rPr>
        <w:t xml:space="preserve">, e0196219. </w:t>
      </w:r>
      <w:hyperlink r:id="rId17" w:history="1">
        <w:r w:rsidRPr="00B62F90">
          <w:rPr>
            <w:rStyle w:val="Hyperlink"/>
            <w:rFonts w:ascii="Arial" w:hAnsi="Arial" w:cs="Arial"/>
          </w:rPr>
          <w:t>https://doi.org/10.1371/journal.pone.0196219</w:t>
        </w:r>
      </w:hyperlink>
    </w:p>
    <w:p w14:paraId="53B36389" w14:textId="77777777" w:rsidR="00B62F90" w:rsidRPr="00B62F90" w:rsidRDefault="00B62F90" w:rsidP="00B62F90">
      <w:pPr>
        <w:jc w:val="both"/>
        <w:rPr>
          <w:rFonts w:ascii="Arial" w:hAnsi="Arial" w:cs="Arial"/>
        </w:rPr>
      </w:pPr>
      <w:r w:rsidRPr="00B62F90">
        <w:rPr>
          <w:rFonts w:ascii="Arial" w:hAnsi="Arial" w:cs="Arial"/>
        </w:rPr>
        <w:t xml:space="preserve">Clissold FJ, Simpson SJ. 2015. Temperature, food quality, and life-history traits of herbivorous insects. </w:t>
      </w:r>
      <w:r w:rsidRPr="00B62F90">
        <w:rPr>
          <w:rFonts w:ascii="Arial" w:hAnsi="Arial" w:cs="Arial"/>
          <w:i/>
        </w:rPr>
        <w:t>Current Opinion in Insect Science, 11</w:t>
      </w:r>
      <w:r w:rsidRPr="00B62F90">
        <w:rPr>
          <w:rFonts w:ascii="Arial" w:hAnsi="Arial" w:cs="Arial"/>
        </w:rPr>
        <w:t xml:space="preserve">, 63-70. </w:t>
      </w:r>
      <w:hyperlink r:id="rId18" w:history="1">
        <w:r w:rsidRPr="00B62F90">
          <w:rPr>
            <w:rStyle w:val="Hyperlink"/>
            <w:rFonts w:ascii="Arial" w:hAnsi="Arial" w:cs="Arial"/>
          </w:rPr>
          <w:t>https://doi.org/10.1016/j.cois.2015.10.011</w:t>
        </w:r>
      </w:hyperlink>
    </w:p>
    <w:p w14:paraId="23FE6B1E" w14:textId="77777777" w:rsidR="00B62F90" w:rsidRPr="00B62F90" w:rsidRDefault="00B62F90" w:rsidP="00B62F90">
      <w:pPr>
        <w:jc w:val="both"/>
        <w:rPr>
          <w:rFonts w:ascii="Arial" w:hAnsi="Arial" w:cs="Arial"/>
        </w:rPr>
      </w:pPr>
      <w:r w:rsidRPr="00B62F90">
        <w:rPr>
          <w:rFonts w:ascii="Arial" w:hAnsi="Arial" w:cs="Arial"/>
        </w:rPr>
        <w:t xml:space="preserve">Dixit S, Yadav S, Upadhyay S, Verma P, Chandrashekar K. 2013. A method to produce insect resistance in the plant by altering amino acid content in sap. </w:t>
      </w:r>
      <w:r w:rsidRPr="00B62F90">
        <w:rPr>
          <w:rFonts w:ascii="Arial" w:hAnsi="Arial" w:cs="Arial"/>
          <w:i/>
        </w:rPr>
        <w:t>International Journal of Bio-Technology and Research, 3</w:t>
      </w:r>
      <w:r w:rsidRPr="00B62F90">
        <w:rPr>
          <w:rFonts w:ascii="Arial" w:hAnsi="Arial" w:cs="Arial"/>
        </w:rPr>
        <w:t xml:space="preserve">, 13-20. </w:t>
      </w:r>
      <w:hyperlink r:id="rId19" w:history="1">
        <w:r w:rsidRPr="00B62F90">
          <w:rPr>
            <w:rStyle w:val="Hyperlink"/>
            <w:rFonts w:ascii="Arial" w:hAnsi="Arial" w:cs="Arial"/>
          </w:rPr>
          <w:t>https://doi.org/10.1093/jxb/eraa017</w:t>
        </w:r>
      </w:hyperlink>
    </w:p>
    <w:p w14:paraId="72602A66" w14:textId="77777777" w:rsidR="00B62F90" w:rsidRPr="00B62F90" w:rsidRDefault="00B62F90" w:rsidP="00B62F90">
      <w:pPr>
        <w:jc w:val="both"/>
        <w:rPr>
          <w:rFonts w:ascii="Arial" w:hAnsi="Arial" w:cs="Arial"/>
        </w:rPr>
      </w:pPr>
      <w:r w:rsidRPr="00B62F90">
        <w:rPr>
          <w:rFonts w:ascii="Arial" w:hAnsi="Arial" w:cs="Arial"/>
        </w:rPr>
        <w:t xml:space="preserve">Hoffman G, Chen Y. 2015. Nutrition, immunity, and viral infections in honey bees. </w:t>
      </w:r>
      <w:r w:rsidRPr="00B62F90">
        <w:rPr>
          <w:rFonts w:ascii="Arial" w:hAnsi="Arial" w:cs="Arial"/>
          <w:i/>
        </w:rPr>
        <w:t xml:space="preserve">Current Opinion in Insect Science, 10, </w:t>
      </w:r>
      <w:r w:rsidRPr="00B62F90">
        <w:rPr>
          <w:rFonts w:ascii="Arial" w:hAnsi="Arial" w:cs="Arial"/>
        </w:rPr>
        <w:t xml:space="preserve">170-176. </w:t>
      </w:r>
      <w:hyperlink r:id="rId20" w:history="1">
        <w:r w:rsidRPr="00B62F90">
          <w:rPr>
            <w:rStyle w:val="Hyperlink"/>
            <w:rFonts w:ascii="Arial" w:hAnsi="Arial" w:cs="Arial"/>
          </w:rPr>
          <w:t>https://doi.org/10.1016/j.cois.2015.05.007</w:t>
        </w:r>
      </w:hyperlink>
    </w:p>
    <w:p w14:paraId="6E477659" w14:textId="77777777" w:rsidR="00B62F90" w:rsidRPr="00B62F90" w:rsidRDefault="00B62F90" w:rsidP="00B62F90">
      <w:pPr>
        <w:jc w:val="both"/>
        <w:rPr>
          <w:rFonts w:ascii="Arial" w:hAnsi="Arial" w:cs="Arial"/>
        </w:rPr>
      </w:pPr>
      <w:r w:rsidRPr="00B62F90">
        <w:rPr>
          <w:rFonts w:ascii="Arial" w:hAnsi="Arial" w:cs="Arial"/>
        </w:rPr>
        <w:t xml:space="preserve">Karley AJ, Douglas AE, Parker WE. 2002. Amino acid composition and nutritional quality of potato leaf phloem sap for aphids. </w:t>
      </w:r>
      <w:r w:rsidRPr="00B62F90">
        <w:rPr>
          <w:rFonts w:ascii="Arial" w:hAnsi="Arial" w:cs="Arial"/>
          <w:i/>
        </w:rPr>
        <w:t>Journal of Experimental Biology, 205</w:t>
      </w:r>
      <w:r w:rsidRPr="00B62F90">
        <w:rPr>
          <w:rFonts w:ascii="Arial" w:hAnsi="Arial" w:cs="Arial"/>
        </w:rPr>
        <w:t xml:space="preserve">, 3009. </w:t>
      </w:r>
      <w:hyperlink r:id="rId21" w:history="1">
        <w:r w:rsidRPr="00B62F90">
          <w:rPr>
            <w:rStyle w:val="Hyperlink"/>
            <w:rFonts w:ascii="Arial" w:hAnsi="Arial" w:cs="Arial"/>
          </w:rPr>
          <w:t>https://doi.org/10.1242/jeb.205.19.3009</w:t>
        </w:r>
      </w:hyperlink>
    </w:p>
    <w:p w14:paraId="469438BB" w14:textId="77777777" w:rsidR="00B62F90" w:rsidRPr="00B62F90" w:rsidRDefault="00B62F90" w:rsidP="00B62F90">
      <w:pPr>
        <w:jc w:val="both"/>
        <w:rPr>
          <w:rFonts w:ascii="Arial" w:hAnsi="Arial" w:cs="Arial"/>
        </w:rPr>
      </w:pPr>
      <w:r w:rsidRPr="00B62F90">
        <w:rPr>
          <w:rFonts w:ascii="Arial" w:hAnsi="Arial" w:cs="Arial"/>
        </w:rPr>
        <w:t xml:space="preserve">Lea PJ, Sodek L, Parry MAJ, </w:t>
      </w:r>
      <w:proofErr w:type="spellStart"/>
      <w:r w:rsidRPr="00B62F90">
        <w:rPr>
          <w:rFonts w:ascii="Arial" w:hAnsi="Arial" w:cs="Arial"/>
        </w:rPr>
        <w:t>Shewry</w:t>
      </w:r>
      <w:proofErr w:type="spellEnd"/>
      <w:r w:rsidRPr="00B62F90">
        <w:rPr>
          <w:rFonts w:ascii="Arial" w:hAnsi="Arial" w:cs="Arial"/>
        </w:rPr>
        <w:t xml:space="preserve"> PR, Halford NG. 2007. Asparagine in plants. </w:t>
      </w:r>
      <w:r w:rsidRPr="00B62F90">
        <w:rPr>
          <w:rFonts w:ascii="Arial" w:hAnsi="Arial" w:cs="Arial"/>
          <w:i/>
        </w:rPr>
        <w:t>Annals of Applied Biology, 150</w:t>
      </w:r>
      <w:r w:rsidRPr="00B62F90">
        <w:rPr>
          <w:rFonts w:ascii="Arial" w:hAnsi="Arial" w:cs="Arial"/>
        </w:rPr>
        <w:t xml:space="preserve">, 1-26. </w:t>
      </w:r>
      <w:hyperlink r:id="rId22" w:history="1">
        <w:r w:rsidRPr="00B62F90">
          <w:rPr>
            <w:rStyle w:val="Hyperlink"/>
            <w:rFonts w:ascii="Arial" w:hAnsi="Arial" w:cs="Arial"/>
          </w:rPr>
          <w:t>https://doi.org/10.1111/j.1744-7348.2006.00104.x</w:t>
        </w:r>
      </w:hyperlink>
    </w:p>
    <w:p w14:paraId="3F513646" w14:textId="77777777" w:rsidR="00B62F90" w:rsidRPr="00B62F90" w:rsidRDefault="00B62F90" w:rsidP="00B62F90">
      <w:pPr>
        <w:jc w:val="both"/>
        <w:rPr>
          <w:rFonts w:ascii="Arial" w:hAnsi="Arial" w:cs="Arial"/>
        </w:rPr>
      </w:pPr>
      <w:r w:rsidRPr="00B62F90">
        <w:rPr>
          <w:rFonts w:ascii="Arial" w:hAnsi="Arial" w:cs="Arial"/>
        </w:rPr>
        <w:t xml:space="preserve">Liu Y-H, Kang Z-W, Guo Y, Zhu G-S, Rahman Shah MM, Song Y, Fan Y-L, Jing X, Liu T-X. 2016. Nitrogen hurdle of host alternation for a polyphagous aphid and the associated changes of endosymbionts. </w:t>
      </w:r>
      <w:r w:rsidRPr="00B62F90">
        <w:rPr>
          <w:rFonts w:ascii="Arial" w:hAnsi="Arial" w:cs="Arial"/>
          <w:i/>
        </w:rPr>
        <w:t>Scientific reports, 6,</w:t>
      </w:r>
      <w:r w:rsidRPr="00B62F90">
        <w:rPr>
          <w:rFonts w:ascii="Arial" w:hAnsi="Arial" w:cs="Arial"/>
        </w:rPr>
        <w:t xml:space="preserve"> 24781. </w:t>
      </w:r>
      <w:hyperlink r:id="rId23" w:history="1">
        <w:r w:rsidRPr="00B62F90">
          <w:rPr>
            <w:rStyle w:val="Hyperlink"/>
            <w:rFonts w:ascii="Arial" w:hAnsi="Arial" w:cs="Arial"/>
          </w:rPr>
          <w:t>https://doi.org/10.1038/srep24781</w:t>
        </w:r>
      </w:hyperlink>
      <w:r w:rsidRPr="00B62F90">
        <w:rPr>
          <w:rFonts w:ascii="Arial" w:hAnsi="Arial" w:cs="Arial"/>
        </w:rPr>
        <w:t>.</w:t>
      </w:r>
    </w:p>
    <w:p w14:paraId="299BFB31" w14:textId="77777777" w:rsidR="00B62F90" w:rsidRPr="00B62F90" w:rsidRDefault="00B62F90" w:rsidP="00B62F90">
      <w:pPr>
        <w:jc w:val="both"/>
        <w:rPr>
          <w:rFonts w:ascii="Arial" w:hAnsi="Arial" w:cs="Arial"/>
        </w:rPr>
      </w:pPr>
      <w:r w:rsidRPr="00B62F90">
        <w:rPr>
          <w:rFonts w:ascii="Arial" w:hAnsi="Arial" w:cs="Arial"/>
        </w:rPr>
        <w:t xml:space="preserve">Liu Y-H, Shah MM, Song Y, Liu T-X. 2020. Host plant effects symbiont abundance in </w:t>
      </w:r>
      <w:proofErr w:type="spellStart"/>
      <w:r w:rsidRPr="00B62F90">
        <w:rPr>
          <w:rFonts w:ascii="Arial" w:hAnsi="Arial" w:cs="Arial"/>
        </w:rPr>
        <w:t>Bemisia</w:t>
      </w:r>
      <w:proofErr w:type="spellEnd"/>
      <w:r w:rsidRPr="00B62F90">
        <w:rPr>
          <w:rFonts w:ascii="Arial" w:hAnsi="Arial" w:cs="Arial"/>
        </w:rPr>
        <w:t xml:space="preserve"> </w:t>
      </w:r>
      <w:proofErr w:type="spellStart"/>
      <w:r w:rsidRPr="00B62F90">
        <w:rPr>
          <w:rFonts w:ascii="Arial" w:hAnsi="Arial" w:cs="Arial"/>
        </w:rPr>
        <w:t>tabaci</w:t>
      </w:r>
      <w:proofErr w:type="spellEnd"/>
      <w:r w:rsidRPr="00B62F90">
        <w:rPr>
          <w:rFonts w:ascii="Arial" w:hAnsi="Arial" w:cs="Arial"/>
        </w:rPr>
        <w:t xml:space="preserve"> (Hemiptera: Aleyrodidae). </w:t>
      </w:r>
      <w:r w:rsidRPr="00B62F90">
        <w:rPr>
          <w:rFonts w:ascii="Arial" w:hAnsi="Arial" w:cs="Arial"/>
          <w:i/>
        </w:rPr>
        <w:t>Insects, 11</w:t>
      </w:r>
      <w:r w:rsidRPr="00B62F90">
        <w:rPr>
          <w:rFonts w:ascii="Arial" w:hAnsi="Arial" w:cs="Arial"/>
        </w:rPr>
        <w:t xml:space="preserve">, 501. </w:t>
      </w:r>
      <w:hyperlink r:id="rId24" w:history="1">
        <w:r w:rsidRPr="00B62F90">
          <w:rPr>
            <w:rStyle w:val="Hyperlink"/>
            <w:rFonts w:ascii="Arial" w:hAnsi="Arial" w:cs="Arial"/>
          </w:rPr>
          <w:t>https://doi.org/10.3390/insects11080501</w:t>
        </w:r>
      </w:hyperlink>
    </w:p>
    <w:p w14:paraId="60003F85" w14:textId="77777777" w:rsidR="00B62F90" w:rsidRPr="00B62F90" w:rsidRDefault="00B62F90" w:rsidP="00B62F90">
      <w:pPr>
        <w:jc w:val="both"/>
        <w:rPr>
          <w:rFonts w:ascii="Arial" w:hAnsi="Arial" w:cs="Arial"/>
        </w:rPr>
      </w:pPr>
      <w:r w:rsidRPr="00B62F90">
        <w:rPr>
          <w:rFonts w:ascii="Arial" w:hAnsi="Arial" w:cs="Arial"/>
        </w:rPr>
        <w:t xml:space="preserve">Malka, O., Easson, M.L.A.E., Paetz, C. et al. (2020). </w:t>
      </w:r>
      <w:proofErr w:type="spellStart"/>
      <w:r w:rsidRPr="00B62F90">
        <w:rPr>
          <w:rFonts w:ascii="Arial" w:hAnsi="Arial" w:cs="Arial"/>
        </w:rPr>
        <w:t>Glucosylation</w:t>
      </w:r>
      <w:proofErr w:type="spellEnd"/>
      <w:r w:rsidRPr="00B62F90">
        <w:rPr>
          <w:rFonts w:ascii="Arial" w:hAnsi="Arial" w:cs="Arial"/>
        </w:rPr>
        <w:t xml:space="preserve"> prevents plant defense activation in phloem-feeding insects. </w:t>
      </w:r>
      <w:r w:rsidRPr="00B62F90">
        <w:rPr>
          <w:rFonts w:ascii="Arial" w:hAnsi="Arial" w:cs="Arial"/>
          <w:i/>
        </w:rPr>
        <w:t>Nature Chemical Biology 16</w:t>
      </w:r>
      <w:r w:rsidRPr="00B62F90">
        <w:rPr>
          <w:rFonts w:ascii="Arial" w:hAnsi="Arial" w:cs="Arial"/>
        </w:rPr>
        <w:t xml:space="preserve">, 1420–1426 (2020). </w:t>
      </w:r>
      <w:hyperlink r:id="rId25" w:history="1">
        <w:r w:rsidRPr="00B62F90">
          <w:rPr>
            <w:rStyle w:val="Hyperlink"/>
            <w:rFonts w:ascii="Arial" w:hAnsi="Arial" w:cs="Arial"/>
          </w:rPr>
          <w:t>https://doi.org/10.1038/s41589-020-00658-6</w:t>
        </w:r>
      </w:hyperlink>
    </w:p>
    <w:p w14:paraId="0491BE6A" w14:textId="77777777" w:rsidR="00B62F90" w:rsidRPr="00B62F90" w:rsidRDefault="00B62F90" w:rsidP="00B62F90">
      <w:pPr>
        <w:jc w:val="both"/>
        <w:rPr>
          <w:rFonts w:ascii="Arial" w:hAnsi="Arial" w:cs="Arial"/>
        </w:rPr>
      </w:pPr>
      <w:r w:rsidRPr="00B62F90">
        <w:rPr>
          <w:rFonts w:ascii="Arial" w:hAnsi="Arial" w:cs="Arial"/>
        </w:rPr>
        <w:t xml:space="preserve">Maltais JB, Auclair JL. 1957. Factors in resistance of peas to the pea aphid, </w:t>
      </w:r>
      <w:proofErr w:type="spellStart"/>
      <w:r w:rsidRPr="00B62F90">
        <w:rPr>
          <w:rFonts w:ascii="Arial" w:hAnsi="Arial" w:cs="Arial"/>
        </w:rPr>
        <w:t>Acyrthosiphon</w:t>
      </w:r>
      <w:proofErr w:type="spellEnd"/>
      <w:r w:rsidRPr="00B62F90">
        <w:rPr>
          <w:rFonts w:ascii="Arial" w:hAnsi="Arial" w:cs="Arial"/>
        </w:rPr>
        <w:t xml:space="preserve"> </w:t>
      </w:r>
      <w:proofErr w:type="spellStart"/>
      <w:r w:rsidRPr="00B62F90">
        <w:rPr>
          <w:rFonts w:ascii="Arial" w:hAnsi="Arial" w:cs="Arial"/>
        </w:rPr>
        <w:t>pisum</w:t>
      </w:r>
      <w:proofErr w:type="spellEnd"/>
      <w:r w:rsidRPr="00B62F90">
        <w:rPr>
          <w:rFonts w:ascii="Arial" w:hAnsi="Arial" w:cs="Arial"/>
        </w:rPr>
        <w:t xml:space="preserve"> (Harr.) (</w:t>
      </w:r>
      <w:proofErr w:type="spellStart"/>
      <w:r w:rsidRPr="00B62F90">
        <w:rPr>
          <w:rFonts w:ascii="Arial" w:hAnsi="Arial" w:cs="Arial"/>
        </w:rPr>
        <w:t>Homoptera</w:t>
      </w:r>
      <w:proofErr w:type="spellEnd"/>
      <w:r w:rsidRPr="00B62F90">
        <w:rPr>
          <w:rFonts w:ascii="Arial" w:hAnsi="Arial" w:cs="Arial"/>
        </w:rPr>
        <w:t xml:space="preserve">: Aphididae). I. The sugar-nitrogen ratio. </w:t>
      </w:r>
      <w:r w:rsidRPr="00B62F90">
        <w:rPr>
          <w:rFonts w:ascii="Arial" w:hAnsi="Arial" w:cs="Arial"/>
          <w:i/>
        </w:rPr>
        <w:t>The Canadian Entomologist, 89</w:t>
      </w:r>
      <w:r w:rsidRPr="00B62F90">
        <w:rPr>
          <w:rFonts w:ascii="Arial" w:hAnsi="Arial" w:cs="Arial"/>
        </w:rPr>
        <w:t xml:space="preserve">, 365-370. </w:t>
      </w:r>
      <w:hyperlink r:id="rId26" w:history="1">
        <w:r w:rsidRPr="00B62F90">
          <w:rPr>
            <w:rStyle w:val="Hyperlink"/>
            <w:rFonts w:ascii="Arial" w:hAnsi="Arial" w:cs="Arial"/>
          </w:rPr>
          <w:t>https://doi.org/10.4039/Ent89457-10</w:t>
        </w:r>
      </w:hyperlink>
    </w:p>
    <w:p w14:paraId="6642ADF7" w14:textId="77777777" w:rsidR="00B62F90" w:rsidRPr="00B62F90" w:rsidRDefault="00B62F90" w:rsidP="00B62F90">
      <w:pPr>
        <w:jc w:val="both"/>
        <w:rPr>
          <w:rFonts w:ascii="Arial" w:hAnsi="Arial" w:cs="Arial"/>
        </w:rPr>
      </w:pPr>
      <w:r w:rsidRPr="00B62F90">
        <w:rPr>
          <w:rFonts w:ascii="Arial" w:hAnsi="Arial" w:cs="Arial"/>
        </w:rPr>
        <w:t xml:space="preserve">Malaguti D, Millard P, Wendler R, Hepburn A, </w:t>
      </w:r>
      <w:proofErr w:type="spellStart"/>
      <w:r w:rsidRPr="00B62F90">
        <w:rPr>
          <w:rFonts w:ascii="Arial" w:hAnsi="Arial" w:cs="Arial"/>
        </w:rPr>
        <w:t>Tagliavini</w:t>
      </w:r>
      <w:proofErr w:type="spellEnd"/>
      <w:r w:rsidRPr="00B62F90">
        <w:rPr>
          <w:rFonts w:ascii="Arial" w:hAnsi="Arial" w:cs="Arial"/>
        </w:rPr>
        <w:t xml:space="preserve"> M. 2001. Translocation of amino acids in the xylem of apple (Malus domestica Borkh.) trees in spring as a consequence of both N- remobilization and root uptake. </w:t>
      </w:r>
      <w:r w:rsidRPr="00B62F90">
        <w:rPr>
          <w:rFonts w:ascii="Arial" w:hAnsi="Arial" w:cs="Arial"/>
          <w:i/>
        </w:rPr>
        <w:t>Journal of Experimental Botany, 52</w:t>
      </w:r>
      <w:r w:rsidRPr="00B62F90">
        <w:rPr>
          <w:rFonts w:ascii="Arial" w:hAnsi="Arial" w:cs="Arial"/>
        </w:rPr>
        <w:t xml:space="preserve">, 1665-1671. </w:t>
      </w:r>
      <w:hyperlink r:id="rId27" w:history="1">
        <w:r w:rsidRPr="00B62F90">
          <w:rPr>
            <w:rStyle w:val="Hyperlink"/>
            <w:rFonts w:ascii="Arial" w:hAnsi="Arial" w:cs="Arial"/>
          </w:rPr>
          <w:t>https://doi.org/10.1093/jexbot/52.361.1665</w:t>
        </w:r>
      </w:hyperlink>
      <w:r w:rsidRPr="00B62F90">
        <w:rPr>
          <w:rFonts w:ascii="Arial" w:hAnsi="Arial" w:cs="Arial"/>
        </w:rPr>
        <w:t>.</w:t>
      </w:r>
    </w:p>
    <w:p w14:paraId="2718C52F" w14:textId="77777777" w:rsidR="00B62F90" w:rsidRPr="00B62F90" w:rsidRDefault="00B62F90" w:rsidP="00B62F90">
      <w:pPr>
        <w:jc w:val="both"/>
        <w:rPr>
          <w:rFonts w:ascii="Arial" w:hAnsi="Arial" w:cs="Arial"/>
        </w:rPr>
      </w:pPr>
      <w:r w:rsidRPr="00B62F90">
        <w:rPr>
          <w:rFonts w:ascii="Arial" w:hAnsi="Arial" w:cs="Arial"/>
        </w:rPr>
        <w:t xml:space="preserve">Mo X, Zhu Q, Li X, Li J, Zeng Q, Rong H, Zhang H, Wu P. 2006. The hpa1 mutant of Arabidopsis reveals a crucial role of histidine homeostasis in root meristem maintenance. </w:t>
      </w:r>
      <w:r w:rsidRPr="00B62F90">
        <w:rPr>
          <w:rFonts w:ascii="Arial" w:hAnsi="Arial" w:cs="Arial"/>
          <w:i/>
        </w:rPr>
        <w:t>Plant Physiology, 141</w:t>
      </w:r>
      <w:r w:rsidRPr="00B62F90">
        <w:rPr>
          <w:rFonts w:ascii="Arial" w:hAnsi="Arial" w:cs="Arial"/>
        </w:rPr>
        <w:t xml:space="preserve">,1425. </w:t>
      </w:r>
      <w:hyperlink r:id="rId28" w:history="1">
        <w:r w:rsidRPr="00B62F90">
          <w:rPr>
            <w:rStyle w:val="Hyperlink"/>
            <w:rFonts w:ascii="Arial" w:hAnsi="Arial" w:cs="Arial"/>
          </w:rPr>
          <w:t>https://doi.org/10.1104/pp.106.084178</w:t>
        </w:r>
      </w:hyperlink>
      <w:r w:rsidRPr="00B62F90">
        <w:rPr>
          <w:rFonts w:ascii="Arial" w:hAnsi="Arial" w:cs="Arial"/>
        </w:rPr>
        <w:t>.</w:t>
      </w:r>
    </w:p>
    <w:p w14:paraId="7C51577D" w14:textId="77777777" w:rsidR="00B62F90" w:rsidRPr="00B62F90" w:rsidRDefault="00B62F90" w:rsidP="00B62F90">
      <w:pPr>
        <w:jc w:val="both"/>
        <w:rPr>
          <w:rFonts w:ascii="Arial" w:hAnsi="Arial" w:cs="Arial"/>
        </w:rPr>
      </w:pPr>
      <w:proofErr w:type="spellStart"/>
      <w:r w:rsidRPr="00B62F90">
        <w:rPr>
          <w:rFonts w:ascii="Arial" w:hAnsi="Arial" w:cs="Arial"/>
        </w:rPr>
        <w:t>Nalam</w:t>
      </w:r>
      <w:proofErr w:type="spellEnd"/>
      <w:r w:rsidRPr="00B62F90">
        <w:rPr>
          <w:rFonts w:ascii="Arial" w:hAnsi="Arial" w:cs="Arial"/>
        </w:rPr>
        <w:t xml:space="preserve"> V, Louis J, Shah J. 2019. Plant defense against aphids, the pest extraordinaire. </w:t>
      </w:r>
      <w:r w:rsidRPr="00B62F90">
        <w:rPr>
          <w:rFonts w:ascii="Arial" w:hAnsi="Arial" w:cs="Arial"/>
          <w:i/>
        </w:rPr>
        <w:t>Plant Science, 279</w:t>
      </w:r>
      <w:r w:rsidRPr="00B62F90">
        <w:rPr>
          <w:rFonts w:ascii="Arial" w:hAnsi="Arial" w:cs="Arial"/>
        </w:rPr>
        <w:t xml:space="preserve">, 96-107. </w:t>
      </w:r>
      <w:hyperlink r:id="rId29" w:history="1">
        <w:r w:rsidRPr="00B62F90">
          <w:rPr>
            <w:rStyle w:val="Hyperlink"/>
            <w:rFonts w:ascii="Arial" w:hAnsi="Arial" w:cs="Arial"/>
          </w:rPr>
          <w:t>https://doi.org/10.1104/pp.106.084178</w:t>
        </w:r>
      </w:hyperlink>
    </w:p>
    <w:p w14:paraId="5796582F" w14:textId="77777777" w:rsidR="00B62F90" w:rsidRPr="00B62F90" w:rsidRDefault="00B62F90" w:rsidP="00B62F90">
      <w:pPr>
        <w:jc w:val="both"/>
        <w:rPr>
          <w:rFonts w:ascii="Arial" w:hAnsi="Arial" w:cs="Arial"/>
        </w:rPr>
      </w:pPr>
      <w:r w:rsidRPr="00B62F90">
        <w:rPr>
          <w:rFonts w:ascii="Arial" w:hAnsi="Arial" w:cs="Arial"/>
        </w:rPr>
        <w:t xml:space="preserve">Pate JS, Atkins CA, Herridge DF, </w:t>
      </w:r>
      <w:proofErr w:type="spellStart"/>
      <w:r w:rsidRPr="00B62F90">
        <w:rPr>
          <w:rFonts w:ascii="Arial" w:hAnsi="Arial" w:cs="Arial"/>
        </w:rPr>
        <w:t>Layzell</w:t>
      </w:r>
      <w:proofErr w:type="spellEnd"/>
      <w:r w:rsidRPr="00B62F90">
        <w:rPr>
          <w:rFonts w:ascii="Arial" w:hAnsi="Arial" w:cs="Arial"/>
        </w:rPr>
        <w:t xml:space="preserve"> DB. 1981. Synthesis, storage, and utilization of amino compounds in white lupin (Lupinus albus L.). </w:t>
      </w:r>
      <w:r w:rsidRPr="00B62F90">
        <w:rPr>
          <w:rFonts w:ascii="Arial" w:hAnsi="Arial" w:cs="Arial"/>
          <w:i/>
        </w:rPr>
        <w:t>Plant Physiology, 67,</w:t>
      </w:r>
      <w:r w:rsidRPr="00B62F90">
        <w:rPr>
          <w:rFonts w:ascii="Arial" w:hAnsi="Arial" w:cs="Arial"/>
        </w:rPr>
        <w:t xml:space="preserve"> 37-42. </w:t>
      </w:r>
      <w:hyperlink r:id="rId30" w:history="1">
        <w:r w:rsidRPr="00B62F90">
          <w:rPr>
            <w:rStyle w:val="Hyperlink"/>
            <w:rFonts w:ascii="Arial" w:hAnsi="Arial" w:cs="Arial"/>
          </w:rPr>
          <w:t>https://doi.org/10.1104/pp.67.1.37</w:t>
        </w:r>
      </w:hyperlink>
    </w:p>
    <w:p w14:paraId="3DC1F3FE" w14:textId="77777777" w:rsidR="00B62F90" w:rsidRPr="00B62F90" w:rsidRDefault="00B62F90" w:rsidP="00B62F90">
      <w:pPr>
        <w:jc w:val="both"/>
        <w:rPr>
          <w:rFonts w:ascii="Arial" w:hAnsi="Arial" w:cs="Arial"/>
        </w:rPr>
      </w:pPr>
      <w:r w:rsidRPr="00B62F90">
        <w:rPr>
          <w:rFonts w:ascii="Arial" w:hAnsi="Arial" w:cs="Arial"/>
        </w:rPr>
        <w:t xml:space="preserve">Sandström J. 2000. Nutritional quality of phloem sap in relation to host plant-alternation in the bird cherry-oat aphid. </w:t>
      </w:r>
      <w:proofErr w:type="spellStart"/>
      <w:r w:rsidRPr="00B62F90">
        <w:rPr>
          <w:rFonts w:ascii="Arial" w:hAnsi="Arial" w:cs="Arial"/>
          <w:i/>
        </w:rPr>
        <w:t>Chemoecology</w:t>
      </w:r>
      <w:proofErr w:type="spellEnd"/>
      <w:r w:rsidRPr="00B62F90">
        <w:rPr>
          <w:rFonts w:ascii="Arial" w:hAnsi="Arial" w:cs="Arial"/>
          <w:i/>
        </w:rPr>
        <w:t>, 10</w:t>
      </w:r>
      <w:r w:rsidRPr="00B62F90">
        <w:rPr>
          <w:rFonts w:ascii="Arial" w:hAnsi="Arial" w:cs="Arial"/>
        </w:rPr>
        <w:t xml:space="preserve">, 17-24. </w:t>
      </w:r>
      <w:hyperlink r:id="rId31" w:history="1">
        <w:r w:rsidRPr="00B62F90">
          <w:rPr>
            <w:rStyle w:val="Hyperlink"/>
            <w:rFonts w:ascii="Arial" w:hAnsi="Arial" w:cs="Arial"/>
          </w:rPr>
          <w:t>https://doi.org/10.1104/pp.67.1.37</w:t>
        </w:r>
      </w:hyperlink>
    </w:p>
    <w:p w14:paraId="54BA26D9" w14:textId="77777777" w:rsidR="00B62F90" w:rsidRPr="00B62F90" w:rsidRDefault="00B62F90" w:rsidP="00B62F90">
      <w:pPr>
        <w:jc w:val="both"/>
        <w:rPr>
          <w:rFonts w:ascii="Arial" w:hAnsi="Arial" w:cs="Arial"/>
        </w:rPr>
      </w:pPr>
      <w:r w:rsidRPr="00B62F90">
        <w:rPr>
          <w:rFonts w:ascii="Arial" w:hAnsi="Arial" w:cs="Arial"/>
        </w:rPr>
        <w:t>Sandström J, Pettersson J. 1994. Amino acid composition of phloem sap and the relation to intraspecific variation in pea aphid (</w:t>
      </w:r>
      <w:proofErr w:type="spellStart"/>
      <w:r w:rsidRPr="00B62F90">
        <w:rPr>
          <w:rFonts w:ascii="Arial" w:hAnsi="Arial" w:cs="Arial"/>
        </w:rPr>
        <w:t>Acyrthosiphon</w:t>
      </w:r>
      <w:proofErr w:type="spellEnd"/>
      <w:r w:rsidRPr="00B62F90">
        <w:rPr>
          <w:rFonts w:ascii="Arial" w:hAnsi="Arial" w:cs="Arial"/>
        </w:rPr>
        <w:t xml:space="preserve"> </w:t>
      </w:r>
      <w:proofErr w:type="spellStart"/>
      <w:r w:rsidRPr="00B62F90">
        <w:rPr>
          <w:rFonts w:ascii="Arial" w:hAnsi="Arial" w:cs="Arial"/>
        </w:rPr>
        <w:t>pisum</w:t>
      </w:r>
      <w:proofErr w:type="spellEnd"/>
      <w:r w:rsidRPr="00B62F90">
        <w:rPr>
          <w:rFonts w:ascii="Arial" w:hAnsi="Arial" w:cs="Arial"/>
        </w:rPr>
        <w:t xml:space="preserve">) performance. </w:t>
      </w:r>
      <w:r w:rsidRPr="00B62F90">
        <w:rPr>
          <w:rFonts w:ascii="Arial" w:hAnsi="Arial" w:cs="Arial"/>
          <w:i/>
        </w:rPr>
        <w:t>Journal of Insect Physiology, 40</w:t>
      </w:r>
      <w:r w:rsidRPr="00B62F90">
        <w:rPr>
          <w:rFonts w:ascii="Arial" w:hAnsi="Arial" w:cs="Arial"/>
        </w:rPr>
        <w:t xml:space="preserve">, 947-955. </w:t>
      </w:r>
      <w:hyperlink r:id="rId32" w:history="1">
        <w:r w:rsidRPr="00B62F90">
          <w:rPr>
            <w:rStyle w:val="Hyperlink"/>
            <w:rFonts w:ascii="Arial" w:hAnsi="Arial" w:cs="Arial"/>
          </w:rPr>
          <w:t>https://doi.org/10.1016/0022-1910(94)90133-3</w:t>
        </w:r>
      </w:hyperlink>
    </w:p>
    <w:p w14:paraId="047128EE" w14:textId="77777777" w:rsidR="00B62F90" w:rsidRPr="00B62F90" w:rsidRDefault="00B62F90" w:rsidP="00B62F90">
      <w:pPr>
        <w:jc w:val="both"/>
        <w:rPr>
          <w:rFonts w:ascii="Arial" w:hAnsi="Arial" w:cs="Arial"/>
        </w:rPr>
      </w:pPr>
      <w:r w:rsidRPr="00B62F90">
        <w:rPr>
          <w:rFonts w:ascii="Arial" w:hAnsi="Arial" w:cs="Arial"/>
        </w:rPr>
        <w:t xml:space="preserve">Scharff AM, Egsgaard H, Hansen PE, Rosendahl L. 2003. Exploring symbiotic nitrogen fixation and assimilation in pea root nodules by in vivo 15N nuclear magnetic resonance spectroscopy </w:t>
      </w:r>
      <w:r w:rsidRPr="00B62F90">
        <w:rPr>
          <w:rFonts w:ascii="Arial" w:hAnsi="Arial" w:cs="Arial"/>
        </w:rPr>
        <w:lastRenderedPageBreak/>
        <w:t xml:space="preserve">and liquid chromatography-mass spectrometry. </w:t>
      </w:r>
      <w:r w:rsidRPr="00B62F90">
        <w:rPr>
          <w:rFonts w:ascii="Arial" w:hAnsi="Arial" w:cs="Arial"/>
          <w:i/>
        </w:rPr>
        <w:t>Plant Physiology, 131</w:t>
      </w:r>
      <w:r w:rsidRPr="00B62F90">
        <w:rPr>
          <w:rFonts w:ascii="Arial" w:hAnsi="Arial" w:cs="Arial"/>
        </w:rPr>
        <w:t xml:space="preserve">, 367-378. </w:t>
      </w:r>
      <w:hyperlink r:id="rId33" w:history="1">
        <w:r w:rsidRPr="00B62F90">
          <w:rPr>
            <w:rStyle w:val="Hyperlink"/>
            <w:rFonts w:ascii="Arial" w:hAnsi="Arial" w:cs="Arial"/>
          </w:rPr>
          <w:t>https://doi.org/10.1104/pp.015156</w:t>
        </w:r>
      </w:hyperlink>
    </w:p>
    <w:p w14:paraId="043BDAA0" w14:textId="77777777" w:rsidR="00B62F90" w:rsidRPr="00B62F90" w:rsidRDefault="00B62F90" w:rsidP="00B62F90">
      <w:pPr>
        <w:jc w:val="both"/>
        <w:rPr>
          <w:rFonts w:ascii="Arial" w:hAnsi="Arial" w:cs="Arial"/>
        </w:rPr>
      </w:pPr>
      <w:r w:rsidRPr="00B62F90">
        <w:rPr>
          <w:rFonts w:ascii="Arial" w:hAnsi="Arial" w:cs="Arial"/>
        </w:rPr>
        <w:t xml:space="preserve">Schenck CA, Maeda HA. 2018. Tyrosine biosynthesis, metabolism, and catabolism in plants. </w:t>
      </w:r>
      <w:r w:rsidRPr="00B62F90">
        <w:rPr>
          <w:rFonts w:ascii="Arial" w:hAnsi="Arial" w:cs="Arial"/>
          <w:i/>
        </w:rPr>
        <w:t>Phytochemistry, 149</w:t>
      </w:r>
      <w:r w:rsidRPr="00B62F90">
        <w:rPr>
          <w:rFonts w:ascii="Arial" w:hAnsi="Arial" w:cs="Arial"/>
        </w:rPr>
        <w:t xml:space="preserve">, 82-102. </w:t>
      </w:r>
      <w:hyperlink r:id="rId34" w:history="1">
        <w:r w:rsidRPr="00B62F90">
          <w:rPr>
            <w:rStyle w:val="Hyperlink"/>
            <w:rFonts w:ascii="Arial" w:hAnsi="Arial" w:cs="Arial"/>
          </w:rPr>
          <w:t>https://doi.org/10.1016/j.phytochem.2018.02.003</w:t>
        </w:r>
      </w:hyperlink>
    </w:p>
    <w:p w14:paraId="073EED64" w14:textId="77777777" w:rsidR="00B62F90" w:rsidRPr="00B62F90" w:rsidRDefault="00B62F90" w:rsidP="00B62F90">
      <w:pPr>
        <w:jc w:val="both"/>
        <w:rPr>
          <w:rFonts w:ascii="Arial" w:hAnsi="Arial" w:cs="Arial"/>
        </w:rPr>
      </w:pPr>
      <w:proofErr w:type="spellStart"/>
      <w:r w:rsidRPr="00B62F90">
        <w:rPr>
          <w:rFonts w:ascii="Arial" w:hAnsi="Arial" w:cs="Arial"/>
        </w:rPr>
        <w:t>Sieciechowicz</w:t>
      </w:r>
      <w:proofErr w:type="spellEnd"/>
      <w:r w:rsidRPr="00B62F90">
        <w:rPr>
          <w:rFonts w:ascii="Arial" w:hAnsi="Arial" w:cs="Arial"/>
        </w:rPr>
        <w:t xml:space="preserve"> KA, Joy KW, Ireland RJ. 1988. The metabolism of asparagine in plants. </w:t>
      </w:r>
      <w:r w:rsidRPr="00B62F90">
        <w:rPr>
          <w:rFonts w:ascii="Arial" w:hAnsi="Arial" w:cs="Arial"/>
          <w:i/>
        </w:rPr>
        <w:t>Phytochemistry, 27</w:t>
      </w:r>
      <w:r w:rsidRPr="00B62F90">
        <w:rPr>
          <w:rFonts w:ascii="Arial" w:hAnsi="Arial" w:cs="Arial"/>
        </w:rPr>
        <w:t xml:space="preserve">, 663-671. </w:t>
      </w:r>
      <w:hyperlink r:id="rId35" w:history="1">
        <w:r w:rsidRPr="00B62F90">
          <w:rPr>
            <w:rStyle w:val="Hyperlink"/>
            <w:rFonts w:ascii="Arial" w:hAnsi="Arial" w:cs="Arial"/>
          </w:rPr>
          <w:t>https://doi.org/10.1016/0031-9422(88)84071-8</w:t>
        </w:r>
      </w:hyperlink>
    </w:p>
    <w:p w14:paraId="1425D0D3" w14:textId="77777777" w:rsidR="00B62F90" w:rsidRPr="00B62F90" w:rsidRDefault="00B62F90" w:rsidP="00B62F90">
      <w:pPr>
        <w:jc w:val="both"/>
        <w:rPr>
          <w:rFonts w:ascii="Arial" w:hAnsi="Arial" w:cs="Arial"/>
        </w:rPr>
      </w:pPr>
      <w:r w:rsidRPr="00B62F90">
        <w:rPr>
          <w:rFonts w:ascii="Arial" w:hAnsi="Arial" w:cs="Arial"/>
        </w:rPr>
        <w:t xml:space="preserve">Stepansky A, </w:t>
      </w:r>
      <w:proofErr w:type="spellStart"/>
      <w:r w:rsidRPr="00B62F90">
        <w:rPr>
          <w:rFonts w:ascii="Arial" w:hAnsi="Arial" w:cs="Arial"/>
        </w:rPr>
        <w:t>Leustek</w:t>
      </w:r>
      <w:proofErr w:type="spellEnd"/>
      <w:r w:rsidRPr="00B62F90">
        <w:rPr>
          <w:rFonts w:ascii="Arial" w:hAnsi="Arial" w:cs="Arial"/>
        </w:rPr>
        <w:t xml:space="preserve"> T. 2006. Histidine biosynthesis in plants. </w:t>
      </w:r>
      <w:r w:rsidRPr="00B62F90">
        <w:rPr>
          <w:rFonts w:ascii="Arial" w:hAnsi="Arial" w:cs="Arial"/>
          <w:i/>
        </w:rPr>
        <w:t>Amino Acids, 30</w:t>
      </w:r>
      <w:r w:rsidRPr="00B62F90">
        <w:rPr>
          <w:rFonts w:ascii="Arial" w:hAnsi="Arial" w:cs="Arial"/>
        </w:rPr>
        <w:t xml:space="preserve">, 127-142. </w:t>
      </w:r>
      <w:hyperlink r:id="rId36" w:history="1">
        <w:r w:rsidRPr="00B62F90">
          <w:rPr>
            <w:rStyle w:val="Hyperlink"/>
            <w:rFonts w:ascii="Arial" w:hAnsi="Arial" w:cs="Arial"/>
          </w:rPr>
          <w:t>https://doi.org/10.1007/s00726-005-0247-0</w:t>
        </w:r>
      </w:hyperlink>
    </w:p>
    <w:p w14:paraId="09C8EAAC" w14:textId="77777777" w:rsidR="00B62F90" w:rsidRPr="00B62F90" w:rsidRDefault="00B62F90" w:rsidP="00B62F90">
      <w:pPr>
        <w:jc w:val="both"/>
        <w:rPr>
          <w:rFonts w:ascii="Arial" w:hAnsi="Arial" w:cs="Arial"/>
        </w:rPr>
      </w:pPr>
      <w:r w:rsidRPr="00B62F90">
        <w:rPr>
          <w:rFonts w:ascii="Arial" w:hAnsi="Arial" w:cs="Arial"/>
        </w:rPr>
        <w:t xml:space="preserve">Ta TC, Faris MA, Macdowall FD. 1986. Pathways of nitrogen metabolism in nodules of alfalfa (Medicago sativa L.). </w:t>
      </w:r>
      <w:r w:rsidRPr="00B62F90">
        <w:rPr>
          <w:rFonts w:ascii="Arial" w:hAnsi="Arial" w:cs="Arial"/>
          <w:i/>
        </w:rPr>
        <w:t>Plant Physiology, 80</w:t>
      </w:r>
      <w:r w:rsidRPr="00B62F90">
        <w:rPr>
          <w:rFonts w:ascii="Arial" w:hAnsi="Arial" w:cs="Arial"/>
        </w:rPr>
        <w:t xml:space="preserve">, 1002-1005. </w:t>
      </w:r>
      <w:hyperlink r:id="rId37" w:history="1">
        <w:r w:rsidRPr="00B62F90">
          <w:rPr>
            <w:rStyle w:val="Hyperlink"/>
            <w:rFonts w:ascii="Arial" w:hAnsi="Arial" w:cs="Arial"/>
          </w:rPr>
          <w:t>https://doi.org/10.1104/pp.80.4.1002</w:t>
        </w:r>
      </w:hyperlink>
    </w:p>
    <w:p w14:paraId="7BDF8EEA" w14:textId="77777777" w:rsidR="00B62F90" w:rsidRPr="00B62F90" w:rsidRDefault="00B62F90" w:rsidP="00B62F90">
      <w:pPr>
        <w:jc w:val="both"/>
        <w:rPr>
          <w:rFonts w:ascii="Arial" w:hAnsi="Arial" w:cs="Arial"/>
        </w:rPr>
      </w:pPr>
      <w:r w:rsidRPr="00B62F90">
        <w:rPr>
          <w:rFonts w:ascii="Arial" w:hAnsi="Arial" w:cs="Arial"/>
        </w:rPr>
        <w:t xml:space="preserve">Terra WR, Ferreira C. Biochemistry of Digestion. In: Gilbert LI (Ed), </w:t>
      </w:r>
      <w:r w:rsidRPr="00B62F90">
        <w:rPr>
          <w:rFonts w:ascii="Arial" w:hAnsi="Arial" w:cs="Arial"/>
          <w:i/>
        </w:rPr>
        <w:t>Comprehensive molecular insect science</w:t>
      </w:r>
      <w:r w:rsidRPr="00B62F90">
        <w:rPr>
          <w:rFonts w:ascii="Arial" w:hAnsi="Arial" w:cs="Arial"/>
        </w:rPr>
        <w:t xml:space="preserve">. Elsevier, Amsterdam, 2005, 171-224. </w:t>
      </w:r>
      <w:hyperlink r:id="rId38" w:history="1">
        <w:r w:rsidRPr="00B62F90">
          <w:rPr>
            <w:rStyle w:val="Hyperlink"/>
            <w:rFonts w:ascii="Arial" w:hAnsi="Arial" w:cs="Arial"/>
          </w:rPr>
          <w:t>https://doi.org/10.1016/B978-0-12-384747-8.10011-X</w:t>
        </w:r>
      </w:hyperlink>
    </w:p>
    <w:p w14:paraId="4A7A9D52" w14:textId="77777777" w:rsidR="00B62F90" w:rsidRPr="00B62F90" w:rsidRDefault="00B62F90" w:rsidP="00B62F90">
      <w:pPr>
        <w:jc w:val="both"/>
        <w:rPr>
          <w:rFonts w:ascii="Arial" w:hAnsi="Arial" w:cs="Arial"/>
        </w:rPr>
      </w:pPr>
      <w:r w:rsidRPr="00B62F90">
        <w:rPr>
          <w:rFonts w:ascii="Arial" w:hAnsi="Arial" w:cs="Arial"/>
        </w:rPr>
        <w:t xml:space="preserve">Thiele B, </w:t>
      </w:r>
      <w:proofErr w:type="spellStart"/>
      <w:r w:rsidRPr="00B62F90">
        <w:rPr>
          <w:rFonts w:ascii="Arial" w:hAnsi="Arial" w:cs="Arial"/>
        </w:rPr>
        <w:t>Füllner</w:t>
      </w:r>
      <w:proofErr w:type="spellEnd"/>
      <w:r w:rsidRPr="00B62F90">
        <w:rPr>
          <w:rFonts w:ascii="Arial" w:hAnsi="Arial" w:cs="Arial"/>
        </w:rPr>
        <w:t xml:space="preserve"> K, Stein N, Oldiges M, Kuhn AJ, Hofmann D. 2008. Analysis of amino acids without derivatization in barley extracts by LC-MS-MS. </w:t>
      </w:r>
      <w:r w:rsidRPr="00B62F90">
        <w:rPr>
          <w:rFonts w:ascii="Arial" w:hAnsi="Arial" w:cs="Arial"/>
          <w:i/>
        </w:rPr>
        <w:t>Analytical and Bioanalytical Chemistry, 391,</w:t>
      </w:r>
      <w:r w:rsidRPr="00B62F90">
        <w:rPr>
          <w:rFonts w:ascii="Arial" w:hAnsi="Arial" w:cs="Arial"/>
        </w:rPr>
        <w:t xml:space="preserve"> 2663-2672. </w:t>
      </w:r>
      <w:hyperlink r:id="rId39" w:history="1">
        <w:r w:rsidRPr="00B62F90">
          <w:rPr>
            <w:rStyle w:val="Hyperlink"/>
            <w:rFonts w:ascii="Arial" w:hAnsi="Arial" w:cs="Arial"/>
          </w:rPr>
          <w:t>https://doi.org/10.1007/s00216-008-2167-9</w:t>
        </w:r>
      </w:hyperlink>
    </w:p>
    <w:p w14:paraId="5CF2256F" w14:textId="77777777" w:rsidR="00B62F90" w:rsidRPr="00B62F90" w:rsidRDefault="00B62F90" w:rsidP="00B62F90">
      <w:pPr>
        <w:rPr>
          <w:rFonts w:ascii="Arial" w:hAnsi="Arial" w:cs="Arial"/>
        </w:rPr>
      </w:pPr>
      <w:r w:rsidRPr="00B62F90">
        <w:rPr>
          <w:rFonts w:ascii="Arial" w:hAnsi="Arial" w:cs="Arial"/>
        </w:rPr>
        <w:t xml:space="preserve">Weibull J, </w:t>
      </w:r>
      <w:proofErr w:type="spellStart"/>
      <w:r w:rsidRPr="00B62F90">
        <w:rPr>
          <w:rFonts w:ascii="Arial" w:hAnsi="Arial" w:cs="Arial"/>
        </w:rPr>
        <w:t>Ronquist</w:t>
      </w:r>
      <w:proofErr w:type="spellEnd"/>
      <w:r w:rsidRPr="00B62F90">
        <w:rPr>
          <w:rFonts w:ascii="Arial" w:hAnsi="Arial" w:cs="Arial"/>
        </w:rPr>
        <w:t xml:space="preserve"> F, </w:t>
      </w:r>
      <w:proofErr w:type="spellStart"/>
      <w:r w:rsidRPr="00B62F90">
        <w:rPr>
          <w:rFonts w:ascii="Arial" w:hAnsi="Arial" w:cs="Arial"/>
        </w:rPr>
        <w:t>Brishammar</w:t>
      </w:r>
      <w:proofErr w:type="spellEnd"/>
      <w:r w:rsidRPr="00B62F90">
        <w:rPr>
          <w:rFonts w:ascii="Arial" w:hAnsi="Arial" w:cs="Arial"/>
        </w:rPr>
        <w:t xml:space="preserve"> S. 1990. Free amino acid composition of leaf exudates and phloem sap. </w:t>
      </w:r>
      <w:r w:rsidRPr="00B62F90">
        <w:rPr>
          <w:rFonts w:ascii="Arial" w:hAnsi="Arial" w:cs="Arial"/>
          <w:i/>
        </w:rPr>
        <w:t>Plant Physiology, 92</w:t>
      </w:r>
      <w:r w:rsidRPr="00B62F90">
        <w:rPr>
          <w:rFonts w:ascii="Arial" w:hAnsi="Arial" w:cs="Arial"/>
        </w:rPr>
        <w:t xml:space="preserve">, 222-226. </w:t>
      </w:r>
      <w:hyperlink r:id="rId40" w:history="1">
        <w:r w:rsidRPr="00B62F90">
          <w:rPr>
            <w:rStyle w:val="Hyperlink"/>
            <w:rFonts w:ascii="Arial" w:hAnsi="Arial" w:cs="Arial"/>
          </w:rPr>
          <w:t>https://doi.org/10.1104/pp.92.1.222</w:t>
        </w:r>
      </w:hyperlink>
    </w:p>
    <w:p w14:paraId="5092FA93" w14:textId="77777777" w:rsidR="00B62F90" w:rsidRPr="00B62F90" w:rsidRDefault="00B62F90" w:rsidP="00B62F90">
      <w:pPr>
        <w:jc w:val="both"/>
        <w:rPr>
          <w:rFonts w:ascii="Arial" w:hAnsi="Arial" w:cs="Arial"/>
        </w:rPr>
      </w:pPr>
      <w:r w:rsidRPr="00B62F90">
        <w:rPr>
          <w:rFonts w:ascii="Arial" w:hAnsi="Arial" w:cs="Arial"/>
        </w:rPr>
        <w:t xml:space="preserve">Wilkinson TL, Douglas AE. 2001. Phloem amino acids and the host plant range of the polyphagous aphid, Aphis fabae. </w:t>
      </w:r>
      <w:proofErr w:type="spellStart"/>
      <w:r w:rsidRPr="00B62F90">
        <w:rPr>
          <w:rFonts w:ascii="Arial" w:hAnsi="Arial" w:cs="Arial"/>
          <w:i/>
        </w:rPr>
        <w:t>Entomologia</w:t>
      </w:r>
      <w:proofErr w:type="spellEnd"/>
      <w:r w:rsidRPr="00B62F90">
        <w:rPr>
          <w:rFonts w:ascii="Arial" w:hAnsi="Arial" w:cs="Arial"/>
          <w:i/>
        </w:rPr>
        <w:t xml:space="preserve"> </w:t>
      </w:r>
      <w:proofErr w:type="spellStart"/>
      <w:r w:rsidRPr="00B62F90">
        <w:rPr>
          <w:rFonts w:ascii="Arial" w:hAnsi="Arial" w:cs="Arial"/>
          <w:i/>
        </w:rPr>
        <w:t>Experimentalis</w:t>
      </w:r>
      <w:proofErr w:type="spellEnd"/>
      <w:r w:rsidRPr="00B62F90">
        <w:rPr>
          <w:rFonts w:ascii="Arial" w:hAnsi="Arial" w:cs="Arial"/>
          <w:i/>
        </w:rPr>
        <w:t xml:space="preserve"> et </w:t>
      </w:r>
      <w:proofErr w:type="spellStart"/>
      <w:r w:rsidRPr="00B62F90">
        <w:rPr>
          <w:rFonts w:ascii="Arial" w:hAnsi="Arial" w:cs="Arial"/>
          <w:i/>
        </w:rPr>
        <w:t>Applicata</w:t>
      </w:r>
      <w:proofErr w:type="spellEnd"/>
      <w:r w:rsidRPr="00B62F90">
        <w:rPr>
          <w:rFonts w:ascii="Arial" w:hAnsi="Arial" w:cs="Arial"/>
          <w:i/>
        </w:rPr>
        <w:t>, 106</w:t>
      </w:r>
      <w:r w:rsidRPr="00B62F90">
        <w:rPr>
          <w:rFonts w:ascii="Arial" w:hAnsi="Arial" w:cs="Arial"/>
        </w:rPr>
        <w:t xml:space="preserve">,103-113. </w:t>
      </w:r>
      <w:hyperlink r:id="rId41" w:history="1">
        <w:r w:rsidRPr="00B62F90">
          <w:rPr>
            <w:rStyle w:val="Hyperlink"/>
            <w:rFonts w:ascii="Arial" w:hAnsi="Arial" w:cs="Arial"/>
          </w:rPr>
          <w:t>https://doi.org/10.1104/pp.92.1.222</w:t>
        </w:r>
      </w:hyperlink>
    </w:p>
    <w:p w14:paraId="31A3BEC8" w14:textId="77777777" w:rsidR="00B62F90" w:rsidRPr="00B62F90" w:rsidRDefault="00B62F90" w:rsidP="00B62F90">
      <w:pPr>
        <w:jc w:val="both"/>
        <w:rPr>
          <w:rFonts w:ascii="Arial" w:hAnsi="Arial" w:cs="Arial"/>
        </w:rPr>
      </w:pPr>
      <w:r w:rsidRPr="00B62F90">
        <w:rPr>
          <w:rFonts w:ascii="Arial" w:hAnsi="Arial" w:cs="Arial"/>
        </w:rPr>
        <w:t xml:space="preserve">Wilson JK, Ruiz L, Duarte J, Davidowitz G. 2019. The nutritional landscape of host plants for a specialist insect herbivore. </w:t>
      </w:r>
      <w:r w:rsidRPr="00B62F90">
        <w:rPr>
          <w:rFonts w:ascii="Arial" w:hAnsi="Arial" w:cs="Arial"/>
          <w:i/>
        </w:rPr>
        <w:t>Ecology and Evolution, 9</w:t>
      </w:r>
      <w:r w:rsidRPr="00B62F90">
        <w:rPr>
          <w:rFonts w:ascii="Arial" w:hAnsi="Arial" w:cs="Arial"/>
        </w:rPr>
        <w:t xml:space="preserve">, 13104-13113. </w:t>
      </w:r>
      <w:hyperlink r:id="rId42" w:history="1">
        <w:r w:rsidRPr="00B62F90">
          <w:rPr>
            <w:rStyle w:val="Hyperlink"/>
            <w:rFonts w:ascii="Arial" w:hAnsi="Arial" w:cs="Arial"/>
          </w:rPr>
          <w:t>https://doi.org/10.1002/ece3.5730</w:t>
        </w:r>
      </w:hyperlink>
    </w:p>
    <w:p w14:paraId="71DACF47" w14:textId="77777777" w:rsidR="00B62F90" w:rsidRPr="00B62F90" w:rsidRDefault="00B62F90" w:rsidP="00B62F90">
      <w:pPr>
        <w:jc w:val="both"/>
        <w:rPr>
          <w:rFonts w:ascii="Arial" w:hAnsi="Arial" w:cs="Arial"/>
        </w:rPr>
      </w:pPr>
      <w:r w:rsidRPr="00B62F90">
        <w:rPr>
          <w:rFonts w:ascii="Arial" w:hAnsi="Arial" w:cs="Arial"/>
        </w:rPr>
        <w:t xml:space="preserve">Xie H, Shi J, Shi F, Xu H, He K, Wang Z. 2020. Aphid fecundity and defenses in wheat exposed to a combination of heat and drought stress. </w:t>
      </w:r>
      <w:r w:rsidRPr="00B62F90">
        <w:rPr>
          <w:rFonts w:ascii="Arial" w:hAnsi="Arial" w:cs="Arial"/>
          <w:i/>
        </w:rPr>
        <w:t>Journal of Experimental Botany</w:t>
      </w:r>
      <w:r w:rsidRPr="00B62F90">
        <w:rPr>
          <w:rFonts w:ascii="Arial" w:hAnsi="Arial" w:cs="Arial"/>
        </w:rPr>
        <w:t xml:space="preserve">, 71, 2713-2722. </w:t>
      </w:r>
      <w:hyperlink r:id="rId43" w:history="1">
        <w:r w:rsidRPr="00B62F90">
          <w:rPr>
            <w:rStyle w:val="Hyperlink"/>
            <w:rFonts w:ascii="Arial" w:hAnsi="Arial" w:cs="Arial"/>
          </w:rPr>
          <w:t>https://doi.org/10.1093/jxb/eraa017</w:t>
        </w:r>
      </w:hyperlink>
    </w:p>
    <w:p w14:paraId="724EC1B7" w14:textId="77777777" w:rsidR="00790ADA" w:rsidRPr="00B62F90" w:rsidRDefault="00790ADA" w:rsidP="00441B6F">
      <w:pPr>
        <w:pStyle w:val="Body"/>
        <w:spacing w:after="0"/>
        <w:rPr>
          <w:rFonts w:ascii="Arial" w:hAnsi="Arial" w:cs="Arial"/>
        </w:rPr>
      </w:pPr>
    </w:p>
    <w:p w14:paraId="526A6B1C" w14:textId="77777777" w:rsidR="008B459E" w:rsidRPr="002C57D2" w:rsidRDefault="008B459E" w:rsidP="00441B6F">
      <w:pPr>
        <w:pStyle w:val="Body"/>
        <w:spacing w:after="0"/>
        <w:rPr>
          <w:rFonts w:ascii="Arial" w:hAnsi="Arial" w:cs="Arial"/>
        </w:rPr>
      </w:pPr>
    </w:p>
    <w:p w14:paraId="579C0516" w14:textId="77777777" w:rsidR="00790ADA" w:rsidRPr="00FB3A86" w:rsidRDefault="00790ADA" w:rsidP="00441B6F">
      <w:pPr>
        <w:pStyle w:val="Body"/>
        <w:spacing w:after="0"/>
        <w:rPr>
          <w:rFonts w:ascii="Arial" w:hAnsi="Arial" w:cs="Arial"/>
        </w:rPr>
      </w:pPr>
    </w:p>
    <w:p w14:paraId="177BF6C2" w14:textId="77777777" w:rsidR="004D4277" w:rsidRPr="00FB3A86" w:rsidRDefault="00B01FCD" w:rsidP="003875CC">
      <w:pPr>
        <w:pStyle w:val="Appendix"/>
        <w:spacing w:after="0"/>
        <w:jc w:val="center"/>
        <w:rPr>
          <w:rFonts w:ascii="Arial" w:hAnsi="Arial" w:cs="Arial"/>
          <w:b w:val="0"/>
        </w:rPr>
        <w:sectPr w:rsidR="004D4277" w:rsidRPr="00FB3A86" w:rsidSect="00754B31">
          <w:headerReference w:type="even" r:id="rId44"/>
          <w:headerReference w:type="default" r:id="rId45"/>
          <w:footerReference w:type="even" r:id="rId46"/>
          <w:footerReference w:type="default" r:id="rId47"/>
          <w:headerReference w:type="first" r:id="rId48"/>
          <w:footerReference w:type="first" r:id="rId49"/>
          <w:type w:val="continuous"/>
          <w:pgSz w:w="12240" w:h="15840"/>
          <w:pgMar w:top="1440" w:right="2016" w:bottom="2016" w:left="2016" w:header="720" w:footer="1123" w:gutter="0"/>
          <w:cols w:space="720"/>
          <w:docGrid w:linePitch="272"/>
        </w:sectPr>
      </w:pPr>
      <w:r w:rsidRPr="00FB3A86">
        <w:rPr>
          <w:rFonts w:ascii="Arial" w:hAnsi="Arial" w:cs="Arial"/>
        </w:rPr>
        <w:t>APPENDIX</w:t>
      </w:r>
    </w:p>
    <w:p w14:paraId="09B63B2F" w14:textId="77777777" w:rsidR="00B62F90" w:rsidRDefault="00B62F90" w:rsidP="00441B6F">
      <w:pPr>
        <w:pStyle w:val="Appendix"/>
        <w:spacing w:after="0"/>
        <w:jc w:val="both"/>
        <w:rPr>
          <w:rFonts w:ascii="Arial" w:hAnsi="Arial" w:cs="Arial"/>
          <w:b w:val="0"/>
        </w:rPr>
      </w:pPr>
    </w:p>
    <w:p w14:paraId="2F093139" w14:textId="77777777" w:rsidR="00B62F90" w:rsidRDefault="00B62F90" w:rsidP="00B62F90"/>
    <w:p w14:paraId="0EB22590" w14:textId="77777777" w:rsidR="00B62F90" w:rsidRDefault="00B62F90" w:rsidP="00B62F90">
      <w:pPr>
        <w:jc w:val="center"/>
        <w:rPr>
          <w:rFonts w:ascii="Arial" w:eastAsia="Calibri" w:hAnsi="Arial" w:cs="Arial"/>
          <w:b/>
          <w:sz w:val="22"/>
          <w:szCs w:val="22"/>
        </w:rPr>
      </w:pPr>
      <w:r>
        <w:tab/>
      </w:r>
      <w:commentRangeStart w:id="3"/>
      <w:r w:rsidRPr="003875CC">
        <w:rPr>
          <w:rFonts w:ascii="Arial" w:eastAsia="Calibri" w:hAnsi="Arial" w:cs="Arial"/>
          <w:b/>
          <w:sz w:val="22"/>
          <w:szCs w:val="22"/>
        </w:rPr>
        <w:t>LIST OF TABLES &amp; FIGURES</w:t>
      </w:r>
      <w:commentRangeEnd w:id="3"/>
      <w:r w:rsidR="00A75543">
        <w:rPr>
          <w:rStyle w:val="CommentReference"/>
          <w:rFonts w:ascii="Times New Roman" w:hAnsi="Times New Roman"/>
          <w:lang w:val="nb-NO" w:eastAsia="nb-NO"/>
        </w:rPr>
        <w:commentReference w:id="3"/>
      </w:r>
    </w:p>
    <w:p w14:paraId="6357AE39" w14:textId="77777777" w:rsidR="003875CC" w:rsidRPr="003875CC" w:rsidRDefault="003875CC" w:rsidP="00B62F90">
      <w:pPr>
        <w:jc w:val="center"/>
        <w:rPr>
          <w:rFonts w:ascii="Arial" w:eastAsia="Calibri" w:hAnsi="Arial" w:cs="Arial"/>
          <w:b/>
          <w:sz w:val="22"/>
          <w:szCs w:val="22"/>
        </w:rPr>
      </w:pPr>
    </w:p>
    <w:p w14:paraId="35C3A14A" w14:textId="77777777" w:rsidR="00B62F90" w:rsidRPr="003875CC" w:rsidRDefault="00B62F90" w:rsidP="00B62F90">
      <w:pPr>
        <w:widowControl w:val="0"/>
        <w:autoSpaceDE w:val="0"/>
        <w:autoSpaceDN w:val="0"/>
        <w:adjustRightInd w:val="0"/>
        <w:rPr>
          <w:rFonts w:ascii="Arial" w:eastAsia="SimSun" w:hAnsi="Arial" w:cs="Arial"/>
          <w:b/>
          <w:lang w:val="en" w:eastAsia="zh-CN"/>
        </w:rPr>
      </w:pPr>
      <w:r w:rsidRPr="003875CC">
        <w:rPr>
          <w:rFonts w:ascii="Arial" w:eastAsia="SimSun" w:hAnsi="Arial" w:cs="Arial"/>
          <w:b/>
          <w:lang w:val="en" w:eastAsia="zh-CN"/>
        </w:rPr>
        <w:t>Table 1:  Precursor, product ions, and collision energy for amino acid analysis</w:t>
      </w:r>
    </w:p>
    <w:p w14:paraId="2D0F72E5" w14:textId="77777777" w:rsidR="00B62F90" w:rsidRPr="00B62F90" w:rsidRDefault="00B62F90" w:rsidP="00B62F90">
      <w:pPr>
        <w:widowControl w:val="0"/>
        <w:autoSpaceDE w:val="0"/>
        <w:autoSpaceDN w:val="0"/>
        <w:adjustRightInd w:val="0"/>
        <w:rPr>
          <w:rFonts w:ascii="Times New Roman" w:eastAsia="SimSun" w:hAnsi="Times New Roman"/>
          <w:sz w:val="28"/>
          <w:szCs w:val="28"/>
          <w:lang w:val="en" w:eastAsia="zh-CN"/>
        </w:rPr>
      </w:pPr>
    </w:p>
    <w:tbl>
      <w:tblPr>
        <w:tblStyle w:val="GridTable3-Accent31"/>
        <w:tblW w:w="10046" w:type="dxa"/>
        <w:jc w:val="center"/>
        <w:tblLayout w:type="fixed"/>
        <w:tblLook w:val="0000" w:firstRow="0" w:lastRow="0" w:firstColumn="0" w:lastColumn="0" w:noHBand="0" w:noVBand="0"/>
      </w:tblPr>
      <w:tblGrid>
        <w:gridCol w:w="1953"/>
        <w:gridCol w:w="2690"/>
        <w:gridCol w:w="2348"/>
        <w:gridCol w:w="3055"/>
      </w:tblGrid>
      <w:tr w:rsidR="00B62F90" w:rsidRPr="00B62F90" w14:paraId="79866DD1" w14:textId="77777777" w:rsidTr="00B62F90">
        <w:trPr>
          <w:cnfStyle w:val="000000100000" w:firstRow="0" w:lastRow="0" w:firstColumn="0" w:lastColumn="0" w:oddVBand="0" w:evenVBand="0" w:oddHBand="1" w:evenHBand="0" w:firstRowFirstColumn="0" w:firstRowLastColumn="0" w:lastRowFirstColumn="0" w:lastRowLastColumn="0"/>
          <w:trHeight w:val="715"/>
          <w:jc w:val="center"/>
        </w:trPr>
        <w:tc>
          <w:tcPr>
            <w:cnfStyle w:val="000010000000" w:firstRow="0" w:lastRow="0" w:firstColumn="0" w:lastColumn="0" w:oddVBand="1" w:evenVBand="0" w:oddHBand="0" w:evenHBand="0" w:firstRowFirstColumn="0" w:firstRowLastColumn="0" w:lastRowFirstColumn="0" w:lastRowLastColumn="0"/>
            <w:tcW w:w="1953" w:type="dxa"/>
            <w:tcBorders>
              <w:top w:val="single" w:sz="12" w:space="0" w:color="000000"/>
              <w:bottom w:val="single" w:sz="12" w:space="0" w:color="000000"/>
            </w:tcBorders>
          </w:tcPr>
          <w:p w14:paraId="44B77AF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Amino acid</w:t>
            </w:r>
          </w:p>
        </w:tc>
        <w:tc>
          <w:tcPr>
            <w:tcW w:w="2690" w:type="dxa"/>
            <w:tcBorders>
              <w:top w:val="single" w:sz="12" w:space="0" w:color="000000"/>
              <w:bottom w:val="single" w:sz="12" w:space="0" w:color="000000"/>
            </w:tcBorders>
          </w:tcPr>
          <w:p w14:paraId="4DF4D29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Precursor ion [M+H]</w:t>
            </w:r>
            <w:r w:rsidRPr="00B62F90">
              <w:rPr>
                <w:rFonts w:ascii="Times New Roman" w:hAnsi="Times New Roman"/>
                <w:sz w:val="16"/>
                <w:szCs w:val="16"/>
                <w:vertAlign w:val="superscript"/>
                <w:lang w:eastAsia="zh-CN"/>
              </w:rPr>
              <w:t>+</w:t>
            </w:r>
            <w:r w:rsidRPr="00B62F90">
              <w:rPr>
                <w:rFonts w:ascii="Times New Roman" w:hAnsi="Times New Roman"/>
                <w:sz w:val="23"/>
                <w:szCs w:val="23"/>
                <w:lang w:eastAsia="zh-CN"/>
              </w:rPr>
              <w:t>(</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cnfStyle w:val="000010000000" w:firstRow="0" w:lastRow="0" w:firstColumn="0" w:lastColumn="0" w:oddVBand="1" w:evenVBand="0" w:oddHBand="0" w:evenHBand="0" w:firstRowFirstColumn="0" w:firstRowLastColumn="0" w:lastRowFirstColumn="0" w:lastRowLastColumn="0"/>
            <w:tcW w:w="2348" w:type="dxa"/>
            <w:tcBorders>
              <w:top w:val="single" w:sz="12" w:space="0" w:color="000000"/>
              <w:bottom w:val="single" w:sz="12" w:space="0" w:color="000000"/>
            </w:tcBorders>
          </w:tcPr>
          <w:p w14:paraId="443F8634"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Product ion (</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tcW w:w="3055" w:type="dxa"/>
            <w:tcBorders>
              <w:top w:val="single" w:sz="12" w:space="0" w:color="000000"/>
              <w:bottom w:val="single" w:sz="12" w:space="0" w:color="000000"/>
            </w:tcBorders>
          </w:tcPr>
          <w:p w14:paraId="540C5E31"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Collision    energy (eV)</w:t>
            </w:r>
          </w:p>
        </w:tc>
      </w:tr>
      <w:tr w:rsidR="00B62F90" w:rsidRPr="00B62F90" w14:paraId="7965848B"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top w:val="single" w:sz="12" w:space="0" w:color="000000"/>
            </w:tcBorders>
          </w:tcPr>
          <w:p w14:paraId="352FD9F8"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Glycine</w:t>
            </w:r>
          </w:p>
        </w:tc>
        <w:tc>
          <w:tcPr>
            <w:tcW w:w="2690" w:type="dxa"/>
            <w:tcBorders>
              <w:top w:val="single" w:sz="12" w:space="0" w:color="000000"/>
            </w:tcBorders>
          </w:tcPr>
          <w:p w14:paraId="07C9E06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76</w:t>
            </w:r>
          </w:p>
        </w:tc>
        <w:tc>
          <w:tcPr>
            <w:cnfStyle w:val="000010000000" w:firstRow="0" w:lastRow="0" w:firstColumn="0" w:lastColumn="0" w:oddVBand="1" w:evenVBand="0" w:oddHBand="0" w:evenHBand="0" w:firstRowFirstColumn="0" w:firstRowLastColumn="0" w:lastRowFirstColumn="0" w:lastRowLastColumn="0"/>
            <w:tcW w:w="2348" w:type="dxa"/>
            <w:tcBorders>
              <w:top w:val="single" w:sz="12" w:space="0" w:color="000000"/>
            </w:tcBorders>
          </w:tcPr>
          <w:p w14:paraId="66B38D90"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30</w:t>
            </w:r>
          </w:p>
        </w:tc>
        <w:tc>
          <w:tcPr>
            <w:tcW w:w="3055" w:type="dxa"/>
            <w:tcBorders>
              <w:top w:val="single" w:sz="12" w:space="0" w:color="000000"/>
            </w:tcBorders>
          </w:tcPr>
          <w:p w14:paraId="114AB09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50</w:t>
            </w:r>
          </w:p>
        </w:tc>
      </w:tr>
      <w:tr w:rsidR="00B62F90" w:rsidRPr="00B62F90" w14:paraId="06B2EEB9"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69AB3B8"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Alanine</w:t>
            </w:r>
          </w:p>
        </w:tc>
        <w:tc>
          <w:tcPr>
            <w:tcW w:w="2690" w:type="dxa"/>
          </w:tcPr>
          <w:p w14:paraId="37ED70FC"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90</w:t>
            </w:r>
          </w:p>
        </w:tc>
        <w:tc>
          <w:tcPr>
            <w:cnfStyle w:val="000010000000" w:firstRow="0" w:lastRow="0" w:firstColumn="0" w:lastColumn="0" w:oddVBand="1" w:evenVBand="0" w:oddHBand="0" w:evenHBand="0" w:firstRowFirstColumn="0" w:firstRowLastColumn="0" w:lastRowFirstColumn="0" w:lastRowLastColumn="0"/>
            <w:tcW w:w="2348" w:type="dxa"/>
          </w:tcPr>
          <w:p w14:paraId="2B1456E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44</w:t>
            </w:r>
          </w:p>
        </w:tc>
        <w:tc>
          <w:tcPr>
            <w:tcW w:w="3055" w:type="dxa"/>
          </w:tcPr>
          <w:p w14:paraId="4656B036"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50</w:t>
            </w:r>
          </w:p>
        </w:tc>
      </w:tr>
      <w:tr w:rsidR="00B62F90" w:rsidRPr="00B62F90" w14:paraId="6FC2DCC2"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bottom w:val="single" w:sz="12" w:space="0" w:color="FFFFFF"/>
            </w:tcBorders>
          </w:tcPr>
          <w:p w14:paraId="197CE04A"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Serine</w:t>
            </w:r>
          </w:p>
        </w:tc>
        <w:tc>
          <w:tcPr>
            <w:tcW w:w="2690" w:type="dxa"/>
            <w:tcBorders>
              <w:bottom w:val="single" w:sz="12" w:space="0" w:color="FFFFFF"/>
            </w:tcBorders>
          </w:tcPr>
          <w:p w14:paraId="66B52962"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106</w:t>
            </w:r>
          </w:p>
        </w:tc>
        <w:tc>
          <w:tcPr>
            <w:cnfStyle w:val="000010000000" w:firstRow="0" w:lastRow="0" w:firstColumn="0" w:lastColumn="0" w:oddVBand="1" w:evenVBand="0" w:oddHBand="0" w:evenHBand="0" w:firstRowFirstColumn="0" w:firstRowLastColumn="0" w:lastRowFirstColumn="0" w:lastRowLastColumn="0"/>
            <w:tcW w:w="2348" w:type="dxa"/>
            <w:tcBorders>
              <w:bottom w:val="single" w:sz="12" w:space="0" w:color="FFFFFF"/>
            </w:tcBorders>
          </w:tcPr>
          <w:p w14:paraId="4F017EC6"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60</w:t>
            </w:r>
          </w:p>
        </w:tc>
        <w:tc>
          <w:tcPr>
            <w:tcW w:w="3055" w:type="dxa"/>
            <w:tcBorders>
              <w:bottom w:val="single" w:sz="12" w:space="0" w:color="FFFFFF"/>
            </w:tcBorders>
          </w:tcPr>
          <w:p w14:paraId="07695A8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099ABD23"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top w:val="single" w:sz="12" w:space="0" w:color="FFFFFF"/>
            </w:tcBorders>
          </w:tcPr>
          <w:p w14:paraId="219BF803"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Proline</w:t>
            </w:r>
          </w:p>
        </w:tc>
        <w:tc>
          <w:tcPr>
            <w:tcW w:w="2690" w:type="dxa"/>
            <w:tcBorders>
              <w:top w:val="single" w:sz="12" w:space="0" w:color="FFFFFF"/>
            </w:tcBorders>
          </w:tcPr>
          <w:p w14:paraId="7786568A"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116</w:t>
            </w:r>
          </w:p>
        </w:tc>
        <w:tc>
          <w:tcPr>
            <w:cnfStyle w:val="000010000000" w:firstRow="0" w:lastRow="0" w:firstColumn="0" w:lastColumn="0" w:oddVBand="1" w:evenVBand="0" w:oddHBand="0" w:evenHBand="0" w:firstRowFirstColumn="0" w:firstRowLastColumn="0" w:lastRowFirstColumn="0" w:lastRowLastColumn="0"/>
            <w:tcW w:w="2348" w:type="dxa"/>
            <w:tcBorders>
              <w:top w:val="single" w:sz="12" w:space="0" w:color="FFFFFF"/>
            </w:tcBorders>
          </w:tcPr>
          <w:p w14:paraId="77B2E8F6"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70</w:t>
            </w:r>
          </w:p>
        </w:tc>
        <w:tc>
          <w:tcPr>
            <w:tcW w:w="3055" w:type="dxa"/>
            <w:tcBorders>
              <w:top w:val="single" w:sz="12" w:space="0" w:color="FFFFFF"/>
            </w:tcBorders>
          </w:tcPr>
          <w:p w14:paraId="25A016E3"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05A7822"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1056A3D0"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Valine</w:t>
            </w:r>
          </w:p>
        </w:tc>
        <w:tc>
          <w:tcPr>
            <w:tcW w:w="2690" w:type="dxa"/>
          </w:tcPr>
          <w:p w14:paraId="66D7099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118</w:t>
            </w:r>
          </w:p>
        </w:tc>
        <w:tc>
          <w:tcPr>
            <w:cnfStyle w:val="000010000000" w:firstRow="0" w:lastRow="0" w:firstColumn="0" w:lastColumn="0" w:oddVBand="1" w:evenVBand="0" w:oddHBand="0" w:evenHBand="0" w:firstRowFirstColumn="0" w:firstRowLastColumn="0" w:lastRowFirstColumn="0" w:lastRowLastColumn="0"/>
            <w:tcW w:w="2348" w:type="dxa"/>
          </w:tcPr>
          <w:p w14:paraId="629824C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72</w:t>
            </w:r>
          </w:p>
        </w:tc>
        <w:tc>
          <w:tcPr>
            <w:tcW w:w="3055" w:type="dxa"/>
          </w:tcPr>
          <w:p w14:paraId="01C792E1"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1DA93C87"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09BFAB9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Threonine</w:t>
            </w:r>
          </w:p>
        </w:tc>
        <w:tc>
          <w:tcPr>
            <w:tcW w:w="2690" w:type="dxa"/>
          </w:tcPr>
          <w:p w14:paraId="192768CD"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120</w:t>
            </w:r>
          </w:p>
        </w:tc>
        <w:tc>
          <w:tcPr>
            <w:cnfStyle w:val="000010000000" w:firstRow="0" w:lastRow="0" w:firstColumn="0" w:lastColumn="0" w:oddVBand="1" w:evenVBand="0" w:oddHBand="0" w:evenHBand="0" w:firstRowFirstColumn="0" w:firstRowLastColumn="0" w:lastRowFirstColumn="0" w:lastRowLastColumn="0"/>
            <w:tcW w:w="2348" w:type="dxa"/>
          </w:tcPr>
          <w:p w14:paraId="17EC2DE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74</w:t>
            </w:r>
          </w:p>
        </w:tc>
        <w:tc>
          <w:tcPr>
            <w:tcW w:w="3055" w:type="dxa"/>
          </w:tcPr>
          <w:p w14:paraId="5AA8ED6C"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A9A82C8"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0083B6E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Cysteine</w:t>
            </w:r>
          </w:p>
        </w:tc>
        <w:tc>
          <w:tcPr>
            <w:tcW w:w="2690" w:type="dxa"/>
          </w:tcPr>
          <w:p w14:paraId="580D5832"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hint="eastAsia"/>
                <w:sz w:val="23"/>
                <w:szCs w:val="23"/>
                <w:lang w:eastAsia="zh-CN"/>
              </w:rPr>
              <w:t>122</w:t>
            </w:r>
          </w:p>
        </w:tc>
        <w:tc>
          <w:tcPr>
            <w:cnfStyle w:val="000010000000" w:firstRow="0" w:lastRow="0" w:firstColumn="0" w:lastColumn="0" w:oddVBand="1" w:evenVBand="0" w:oddHBand="0" w:evenHBand="0" w:firstRowFirstColumn="0" w:firstRowLastColumn="0" w:lastRowFirstColumn="0" w:lastRowLastColumn="0"/>
            <w:tcW w:w="2348" w:type="dxa"/>
          </w:tcPr>
          <w:p w14:paraId="12FD558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105</w:t>
            </w:r>
          </w:p>
        </w:tc>
        <w:tc>
          <w:tcPr>
            <w:tcW w:w="3055" w:type="dxa"/>
          </w:tcPr>
          <w:p w14:paraId="1BC7C9E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C63B45C"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74980BE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Isoleucine</w:t>
            </w:r>
          </w:p>
        </w:tc>
        <w:tc>
          <w:tcPr>
            <w:tcW w:w="2690" w:type="dxa"/>
          </w:tcPr>
          <w:p w14:paraId="080D36D9"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132</w:t>
            </w:r>
          </w:p>
        </w:tc>
        <w:tc>
          <w:tcPr>
            <w:cnfStyle w:val="000010000000" w:firstRow="0" w:lastRow="0" w:firstColumn="0" w:lastColumn="0" w:oddVBand="1" w:evenVBand="0" w:oddHBand="0" w:evenHBand="0" w:firstRowFirstColumn="0" w:firstRowLastColumn="0" w:lastRowFirstColumn="0" w:lastRowLastColumn="0"/>
            <w:tcW w:w="2348" w:type="dxa"/>
          </w:tcPr>
          <w:p w14:paraId="7DFDD09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86</w:t>
            </w:r>
          </w:p>
        </w:tc>
        <w:tc>
          <w:tcPr>
            <w:tcW w:w="3055" w:type="dxa"/>
          </w:tcPr>
          <w:p w14:paraId="0D38F03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09D0BC70"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780B137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Leucine</w:t>
            </w:r>
          </w:p>
        </w:tc>
        <w:tc>
          <w:tcPr>
            <w:tcW w:w="2690" w:type="dxa"/>
          </w:tcPr>
          <w:p w14:paraId="5BF6F1E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132</w:t>
            </w:r>
          </w:p>
        </w:tc>
        <w:tc>
          <w:tcPr>
            <w:cnfStyle w:val="000010000000" w:firstRow="0" w:lastRow="0" w:firstColumn="0" w:lastColumn="0" w:oddVBand="1" w:evenVBand="0" w:oddHBand="0" w:evenHBand="0" w:firstRowFirstColumn="0" w:firstRowLastColumn="0" w:lastRowFirstColumn="0" w:lastRowLastColumn="0"/>
            <w:tcW w:w="2348" w:type="dxa"/>
          </w:tcPr>
          <w:p w14:paraId="2BAC23B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86</w:t>
            </w:r>
          </w:p>
        </w:tc>
        <w:tc>
          <w:tcPr>
            <w:tcW w:w="3055" w:type="dxa"/>
          </w:tcPr>
          <w:p w14:paraId="05E3A8D6"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24F486CF"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27D9CBF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Asparagine</w:t>
            </w:r>
          </w:p>
        </w:tc>
        <w:tc>
          <w:tcPr>
            <w:tcW w:w="2690" w:type="dxa"/>
          </w:tcPr>
          <w:p w14:paraId="69735E5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133</w:t>
            </w:r>
          </w:p>
        </w:tc>
        <w:tc>
          <w:tcPr>
            <w:cnfStyle w:val="000010000000" w:firstRow="0" w:lastRow="0" w:firstColumn="0" w:lastColumn="0" w:oddVBand="1" w:evenVBand="0" w:oddHBand="0" w:evenHBand="0" w:firstRowFirstColumn="0" w:firstRowLastColumn="0" w:lastRowFirstColumn="0" w:lastRowLastColumn="0"/>
            <w:tcW w:w="2348" w:type="dxa"/>
          </w:tcPr>
          <w:p w14:paraId="09F6D04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87</w:t>
            </w:r>
          </w:p>
        </w:tc>
        <w:tc>
          <w:tcPr>
            <w:tcW w:w="3055" w:type="dxa"/>
          </w:tcPr>
          <w:p w14:paraId="5CA0EEC3"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2A689D4D"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53E4701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lastRenderedPageBreak/>
              <w:t>Aspartic acid</w:t>
            </w:r>
          </w:p>
        </w:tc>
        <w:tc>
          <w:tcPr>
            <w:tcW w:w="2690" w:type="dxa"/>
          </w:tcPr>
          <w:p w14:paraId="7DADFC3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134</w:t>
            </w:r>
          </w:p>
        </w:tc>
        <w:tc>
          <w:tcPr>
            <w:cnfStyle w:val="000010000000" w:firstRow="0" w:lastRow="0" w:firstColumn="0" w:lastColumn="0" w:oddVBand="1" w:evenVBand="0" w:oddHBand="0" w:evenHBand="0" w:firstRowFirstColumn="0" w:firstRowLastColumn="0" w:lastRowFirstColumn="0" w:lastRowLastColumn="0"/>
            <w:tcW w:w="2348" w:type="dxa"/>
          </w:tcPr>
          <w:p w14:paraId="16B201EF"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116</w:t>
            </w:r>
          </w:p>
        </w:tc>
        <w:tc>
          <w:tcPr>
            <w:tcW w:w="3055" w:type="dxa"/>
          </w:tcPr>
          <w:p w14:paraId="4600DE9A"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30D9334"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0A67674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Lysine</w:t>
            </w:r>
          </w:p>
        </w:tc>
        <w:tc>
          <w:tcPr>
            <w:tcW w:w="2690" w:type="dxa"/>
          </w:tcPr>
          <w:p w14:paraId="3BF182CE"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147</w:t>
            </w:r>
          </w:p>
        </w:tc>
        <w:tc>
          <w:tcPr>
            <w:cnfStyle w:val="000010000000" w:firstRow="0" w:lastRow="0" w:firstColumn="0" w:lastColumn="0" w:oddVBand="1" w:evenVBand="0" w:oddHBand="0" w:evenHBand="0" w:firstRowFirstColumn="0" w:firstRowLastColumn="0" w:lastRowFirstColumn="0" w:lastRowLastColumn="0"/>
            <w:tcW w:w="2348" w:type="dxa"/>
          </w:tcPr>
          <w:p w14:paraId="3B33F047" w14:textId="77777777" w:rsidR="00B62F90" w:rsidRPr="00B62F90" w:rsidRDefault="00B62F90" w:rsidP="00B62F90">
            <w:pPr>
              <w:widowControl w:val="0"/>
              <w:tabs>
                <w:tab w:val="right" w:pos="1800"/>
              </w:tabs>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130</w:t>
            </w:r>
            <w:r w:rsidRPr="00B62F90">
              <w:rPr>
                <w:rFonts w:ascii="Times New Roman" w:hAnsi="Times New Roman"/>
                <w:sz w:val="23"/>
                <w:szCs w:val="23"/>
                <w:lang w:eastAsia="zh-CN"/>
              </w:rPr>
              <w:tab/>
            </w:r>
          </w:p>
        </w:tc>
        <w:tc>
          <w:tcPr>
            <w:tcW w:w="3055" w:type="dxa"/>
          </w:tcPr>
          <w:p w14:paraId="5295ACA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6A69ACC"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AD51A7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Glutamine</w:t>
            </w:r>
          </w:p>
        </w:tc>
        <w:tc>
          <w:tcPr>
            <w:tcW w:w="2690" w:type="dxa"/>
          </w:tcPr>
          <w:p w14:paraId="6C661D20"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147</w:t>
            </w:r>
          </w:p>
        </w:tc>
        <w:tc>
          <w:tcPr>
            <w:cnfStyle w:val="000010000000" w:firstRow="0" w:lastRow="0" w:firstColumn="0" w:lastColumn="0" w:oddVBand="1" w:evenVBand="0" w:oddHBand="0" w:evenHBand="0" w:firstRowFirstColumn="0" w:firstRowLastColumn="0" w:lastRowFirstColumn="0" w:lastRowLastColumn="0"/>
            <w:tcW w:w="2348" w:type="dxa"/>
          </w:tcPr>
          <w:p w14:paraId="24784E2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130</w:t>
            </w:r>
          </w:p>
        </w:tc>
        <w:tc>
          <w:tcPr>
            <w:tcW w:w="3055" w:type="dxa"/>
          </w:tcPr>
          <w:p w14:paraId="365B465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35B5D0D2"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208D757A"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Glutamic acid</w:t>
            </w:r>
          </w:p>
        </w:tc>
        <w:tc>
          <w:tcPr>
            <w:tcW w:w="2690" w:type="dxa"/>
          </w:tcPr>
          <w:p w14:paraId="6DE09C57"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148</w:t>
            </w:r>
          </w:p>
        </w:tc>
        <w:tc>
          <w:tcPr>
            <w:cnfStyle w:val="000010000000" w:firstRow="0" w:lastRow="0" w:firstColumn="0" w:lastColumn="0" w:oddVBand="1" w:evenVBand="0" w:oddHBand="0" w:evenHBand="0" w:firstRowFirstColumn="0" w:firstRowLastColumn="0" w:lastRowFirstColumn="0" w:lastRowLastColumn="0"/>
            <w:tcW w:w="2348" w:type="dxa"/>
          </w:tcPr>
          <w:p w14:paraId="5CDA995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102</w:t>
            </w:r>
          </w:p>
        </w:tc>
        <w:tc>
          <w:tcPr>
            <w:tcW w:w="3055" w:type="dxa"/>
          </w:tcPr>
          <w:p w14:paraId="49394917"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144C09C4"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1B18DD7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Methionine</w:t>
            </w:r>
          </w:p>
        </w:tc>
        <w:tc>
          <w:tcPr>
            <w:tcW w:w="2690" w:type="dxa"/>
          </w:tcPr>
          <w:p w14:paraId="23F5A5A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150</w:t>
            </w:r>
          </w:p>
        </w:tc>
        <w:tc>
          <w:tcPr>
            <w:cnfStyle w:val="000010000000" w:firstRow="0" w:lastRow="0" w:firstColumn="0" w:lastColumn="0" w:oddVBand="1" w:evenVBand="0" w:oddHBand="0" w:evenHBand="0" w:firstRowFirstColumn="0" w:firstRowLastColumn="0" w:lastRowFirstColumn="0" w:lastRowLastColumn="0"/>
            <w:tcW w:w="2348" w:type="dxa"/>
          </w:tcPr>
          <w:p w14:paraId="21E1D091"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104</w:t>
            </w:r>
          </w:p>
        </w:tc>
        <w:tc>
          <w:tcPr>
            <w:tcW w:w="3055" w:type="dxa"/>
          </w:tcPr>
          <w:p w14:paraId="6F0B01AC"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3018B426"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41F556E"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Histidine</w:t>
            </w:r>
          </w:p>
        </w:tc>
        <w:tc>
          <w:tcPr>
            <w:tcW w:w="2690" w:type="dxa"/>
          </w:tcPr>
          <w:p w14:paraId="011D43C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156</w:t>
            </w:r>
          </w:p>
        </w:tc>
        <w:tc>
          <w:tcPr>
            <w:cnfStyle w:val="000010000000" w:firstRow="0" w:lastRow="0" w:firstColumn="0" w:lastColumn="0" w:oddVBand="1" w:evenVBand="0" w:oddHBand="0" w:evenHBand="0" w:firstRowFirstColumn="0" w:firstRowLastColumn="0" w:lastRowFirstColumn="0" w:lastRowLastColumn="0"/>
            <w:tcW w:w="2348" w:type="dxa"/>
          </w:tcPr>
          <w:p w14:paraId="5ABD71C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110</w:t>
            </w:r>
          </w:p>
        </w:tc>
        <w:tc>
          <w:tcPr>
            <w:tcW w:w="3055" w:type="dxa"/>
          </w:tcPr>
          <w:p w14:paraId="30C27BEB"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3D45B01"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3EC3DE1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Phenylalanine</w:t>
            </w:r>
          </w:p>
        </w:tc>
        <w:tc>
          <w:tcPr>
            <w:tcW w:w="2690" w:type="dxa"/>
          </w:tcPr>
          <w:p w14:paraId="7B2CBCDF"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166</w:t>
            </w:r>
          </w:p>
        </w:tc>
        <w:tc>
          <w:tcPr>
            <w:cnfStyle w:val="000010000000" w:firstRow="0" w:lastRow="0" w:firstColumn="0" w:lastColumn="0" w:oddVBand="1" w:evenVBand="0" w:oddHBand="0" w:evenHBand="0" w:firstRowFirstColumn="0" w:firstRowLastColumn="0" w:lastRowFirstColumn="0" w:lastRowLastColumn="0"/>
            <w:tcW w:w="2348" w:type="dxa"/>
          </w:tcPr>
          <w:p w14:paraId="7E56BC0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120</w:t>
            </w:r>
          </w:p>
        </w:tc>
        <w:tc>
          <w:tcPr>
            <w:tcW w:w="3055" w:type="dxa"/>
          </w:tcPr>
          <w:p w14:paraId="60778273"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B7D6C0E"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64B41E6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Arginine</w:t>
            </w:r>
          </w:p>
        </w:tc>
        <w:tc>
          <w:tcPr>
            <w:tcW w:w="2690" w:type="dxa"/>
          </w:tcPr>
          <w:p w14:paraId="6CFF954F"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175</w:t>
            </w:r>
          </w:p>
        </w:tc>
        <w:tc>
          <w:tcPr>
            <w:cnfStyle w:val="000010000000" w:firstRow="0" w:lastRow="0" w:firstColumn="0" w:lastColumn="0" w:oddVBand="1" w:evenVBand="0" w:oddHBand="0" w:evenHBand="0" w:firstRowFirstColumn="0" w:firstRowLastColumn="0" w:lastRowFirstColumn="0" w:lastRowLastColumn="0"/>
            <w:tcW w:w="2348" w:type="dxa"/>
          </w:tcPr>
          <w:p w14:paraId="240FD88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158</w:t>
            </w:r>
          </w:p>
        </w:tc>
        <w:tc>
          <w:tcPr>
            <w:tcW w:w="3055" w:type="dxa"/>
          </w:tcPr>
          <w:p w14:paraId="0EF1C0C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7E415C7"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5A7462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Tyrosine</w:t>
            </w:r>
          </w:p>
        </w:tc>
        <w:tc>
          <w:tcPr>
            <w:tcW w:w="2690" w:type="dxa"/>
          </w:tcPr>
          <w:p w14:paraId="3D3B23C1"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182</w:t>
            </w:r>
          </w:p>
        </w:tc>
        <w:tc>
          <w:tcPr>
            <w:cnfStyle w:val="000010000000" w:firstRow="0" w:lastRow="0" w:firstColumn="0" w:lastColumn="0" w:oddVBand="1" w:evenVBand="0" w:oddHBand="0" w:evenHBand="0" w:firstRowFirstColumn="0" w:firstRowLastColumn="0" w:lastRowFirstColumn="0" w:lastRowLastColumn="0"/>
            <w:tcW w:w="2348" w:type="dxa"/>
          </w:tcPr>
          <w:p w14:paraId="20D777EF"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136</w:t>
            </w:r>
          </w:p>
        </w:tc>
        <w:tc>
          <w:tcPr>
            <w:tcW w:w="3055" w:type="dxa"/>
          </w:tcPr>
          <w:p w14:paraId="0520D6FB"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741277B8"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bottom w:val="single" w:sz="12" w:space="0" w:color="000000"/>
            </w:tcBorders>
          </w:tcPr>
          <w:p w14:paraId="64244EC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Tryptophan</w:t>
            </w:r>
          </w:p>
        </w:tc>
        <w:tc>
          <w:tcPr>
            <w:tcW w:w="2690" w:type="dxa"/>
            <w:tcBorders>
              <w:bottom w:val="single" w:sz="12" w:space="0" w:color="000000"/>
            </w:tcBorders>
          </w:tcPr>
          <w:p w14:paraId="5FEF202D"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205</w:t>
            </w:r>
          </w:p>
        </w:tc>
        <w:tc>
          <w:tcPr>
            <w:cnfStyle w:val="000010000000" w:firstRow="0" w:lastRow="0" w:firstColumn="0" w:lastColumn="0" w:oddVBand="1" w:evenVBand="0" w:oddHBand="0" w:evenHBand="0" w:firstRowFirstColumn="0" w:firstRowLastColumn="0" w:lastRowFirstColumn="0" w:lastRowLastColumn="0"/>
            <w:tcW w:w="2348" w:type="dxa"/>
            <w:tcBorders>
              <w:bottom w:val="single" w:sz="12" w:space="0" w:color="000000"/>
            </w:tcBorders>
          </w:tcPr>
          <w:p w14:paraId="73B2502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188</w:t>
            </w:r>
          </w:p>
        </w:tc>
        <w:tc>
          <w:tcPr>
            <w:tcW w:w="3055" w:type="dxa"/>
            <w:tcBorders>
              <w:bottom w:val="single" w:sz="12" w:space="0" w:color="000000"/>
            </w:tcBorders>
          </w:tcPr>
          <w:p w14:paraId="1ABA31BA"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bl>
    <w:p w14:paraId="0387D52B" w14:textId="77777777" w:rsidR="00B62F90" w:rsidRPr="00B62F90" w:rsidRDefault="00B62F90" w:rsidP="00B62F90">
      <w:pPr>
        <w:widowControl w:val="0"/>
        <w:autoSpaceDE w:val="0"/>
        <w:autoSpaceDN w:val="0"/>
        <w:adjustRightInd w:val="0"/>
        <w:rPr>
          <w:rFonts w:ascii="Times New Roman" w:eastAsia="SimSun" w:hAnsi="Times New Roman"/>
          <w:color w:val="000000"/>
          <w:sz w:val="28"/>
          <w:szCs w:val="28"/>
          <w:lang w:eastAsia="zh-CN"/>
        </w:rPr>
      </w:pPr>
    </w:p>
    <w:p w14:paraId="0D0987E6" w14:textId="77777777" w:rsidR="00B62F90" w:rsidRPr="00B62F90" w:rsidRDefault="00B62F90" w:rsidP="00B62F90">
      <w:pPr>
        <w:widowControl w:val="0"/>
        <w:autoSpaceDE w:val="0"/>
        <w:autoSpaceDN w:val="0"/>
        <w:adjustRightInd w:val="0"/>
        <w:rPr>
          <w:rFonts w:ascii="Times New Roman" w:eastAsia="SimSun" w:hAnsi="Times New Roman"/>
          <w:b/>
          <w:color w:val="000000"/>
          <w:sz w:val="28"/>
          <w:szCs w:val="28"/>
          <w:lang w:eastAsia="zh-CN"/>
        </w:rPr>
      </w:pPr>
    </w:p>
    <w:p w14:paraId="41AF3BA6" w14:textId="77777777" w:rsidR="00B62F90" w:rsidRPr="00B62F90" w:rsidRDefault="00B62F90" w:rsidP="00B62F90">
      <w:pPr>
        <w:widowControl w:val="0"/>
        <w:autoSpaceDE w:val="0"/>
        <w:autoSpaceDN w:val="0"/>
        <w:adjustRightInd w:val="0"/>
        <w:rPr>
          <w:rFonts w:ascii="Times New Roman" w:eastAsia="SimSun" w:hAnsi="Times New Roman"/>
          <w:b/>
          <w:color w:val="000000"/>
          <w:sz w:val="28"/>
          <w:szCs w:val="28"/>
          <w:lang w:eastAsia="zh-CN"/>
        </w:rPr>
      </w:pPr>
    </w:p>
    <w:p w14:paraId="7A9038E0" w14:textId="77777777" w:rsidR="00B62F90" w:rsidRPr="003875CC" w:rsidRDefault="00B62F90" w:rsidP="00B62F90">
      <w:pPr>
        <w:widowControl w:val="0"/>
        <w:autoSpaceDE w:val="0"/>
        <w:autoSpaceDN w:val="0"/>
        <w:adjustRightInd w:val="0"/>
        <w:rPr>
          <w:rFonts w:ascii="Arial" w:eastAsia="SimSun" w:hAnsi="Arial" w:cs="Arial"/>
          <w:color w:val="000000"/>
          <w:lang w:eastAsia="zh-CN"/>
        </w:rPr>
      </w:pPr>
      <w:r w:rsidRPr="003875CC">
        <w:rPr>
          <w:rFonts w:ascii="Arial" w:eastAsia="SimSun" w:hAnsi="Arial" w:cs="Arial"/>
          <w:b/>
          <w:color w:val="000000"/>
          <w:lang w:eastAsia="zh-CN"/>
        </w:rPr>
        <w:t>Table 2</w:t>
      </w:r>
      <w:r w:rsidRPr="003875CC">
        <w:rPr>
          <w:rFonts w:ascii="Arial" w:eastAsia="SimSun" w:hAnsi="Arial" w:cs="Arial"/>
          <w:color w:val="000000"/>
          <w:lang w:eastAsia="zh-CN"/>
        </w:rPr>
        <w:t>: Limit of Quantification (LOQ) for amino acids</w:t>
      </w:r>
    </w:p>
    <w:p w14:paraId="09E2E6F5" w14:textId="77777777" w:rsidR="00B62F90" w:rsidRPr="00B62F90" w:rsidRDefault="00B62F90" w:rsidP="00B62F90">
      <w:pPr>
        <w:widowControl w:val="0"/>
        <w:autoSpaceDE w:val="0"/>
        <w:autoSpaceDN w:val="0"/>
        <w:adjustRightInd w:val="0"/>
        <w:rPr>
          <w:rFonts w:ascii="Times New Roman" w:eastAsia="SimSun" w:hAnsi="Times New Roman"/>
          <w:b/>
          <w:color w:val="000000"/>
          <w:sz w:val="28"/>
          <w:szCs w:val="28"/>
          <w:lang w:eastAsia="zh-CN"/>
        </w:rPr>
      </w:pPr>
    </w:p>
    <w:tbl>
      <w:tblPr>
        <w:tblStyle w:val="PlainTable41"/>
        <w:tblW w:w="5723" w:type="dxa"/>
        <w:tblLayout w:type="fixed"/>
        <w:tblLook w:val="0000" w:firstRow="0" w:lastRow="0" w:firstColumn="0" w:lastColumn="0" w:noHBand="0" w:noVBand="0"/>
      </w:tblPr>
      <w:tblGrid>
        <w:gridCol w:w="1772"/>
        <w:gridCol w:w="3951"/>
      </w:tblGrid>
      <w:tr w:rsidR="00B62F90" w:rsidRPr="00B62F90" w14:paraId="73121A9C" w14:textId="77777777" w:rsidTr="00B62F90">
        <w:trPr>
          <w:cnfStyle w:val="000000100000" w:firstRow="0" w:lastRow="0" w:firstColumn="0" w:lastColumn="0" w:oddVBand="0" w:evenVBand="0" w:oddHBand="1"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000000"/>
              <w:bottom w:val="single" w:sz="12" w:space="0" w:color="000000"/>
            </w:tcBorders>
          </w:tcPr>
          <w:p w14:paraId="60C308F6"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Amino acid</w:t>
            </w:r>
          </w:p>
        </w:tc>
        <w:tc>
          <w:tcPr>
            <w:tcW w:w="3951" w:type="dxa"/>
            <w:tcBorders>
              <w:top w:val="single" w:sz="12" w:space="0" w:color="000000"/>
              <w:bottom w:val="single" w:sz="12" w:space="0" w:color="000000"/>
            </w:tcBorders>
          </w:tcPr>
          <w:p w14:paraId="353BBBE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MT" w:hAnsi="TimesNewRomanPSMT"/>
                <w:color w:val="000000"/>
                <w:lang w:eastAsia="zh-CN"/>
              </w:rPr>
            </w:pPr>
            <w:r w:rsidRPr="00B62F90">
              <w:rPr>
                <w:rFonts w:ascii="TimesNewRomanPSMT" w:hAnsi="TimesNewRomanPSMT"/>
                <w:color w:val="000000"/>
                <w:lang w:eastAsia="zh-CN"/>
              </w:rPr>
              <w:t xml:space="preserve">                       Limit of Quantification</w:t>
            </w:r>
          </w:p>
          <w:p w14:paraId="4FA4746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 w:eastAsia="zh-CN"/>
              </w:rPr>
            </w:pPr>
            <w:r w:rsidRPr="00B62F90">
              <w:rPr>
                <w:rFonts w:ascii="Times New Roman" w:hAnsi="Times New Roman"/>
                <w:color w:val="000000"/>
                <w:sz w:val="24"/>
                <w:szCs w:val="24"/>
                <w:lang w:eastAsia="zh-CN"/>
              </w:rPr>
              <w:t xml:space="preserve">                           </w:t>
            </w:r>
            <w:r w:rsidRPr="00B62F90">
              <w:rPr>
                <w:rFonts w:ascii="Times New Roman" w:hAnsi="Times New Roman" w:hint="eastAsia"/>
                <w:color w:val="000000"/>
                <w:sz w:val="24"/>
                <w:szCs w:val="24"/>
                <w:lang w:val="en" w:eastAsia="zh-CN"/>
              </w:rPr>
              <w:t>(</w:t>
            </w:r>
            <w:r w:rsidRPr="00B62F90">
              <w:rPr>
                <w:rFonts w:ascii="Times New Roman" w:hAnsi="Times New Roman"/>
                <w:color w:val="000000"/>
                <w:sz w:val="24"/>
                <w:szCs w:val="24"/>
                <w:lang w:val="en" w:eastAsia="zh-CN"/>
              </w:rPr>
              <w:t>LOQ,</w:t>
            </w:r>
            <w:r w:rsidRPr="00B62F90">
              <w:rPr>
                <w:rFonts w:ascii="Times New Roman" w:hAnsi="Times New Roman" w:hint="eastAsia"/>
                <w:color w:val="000000"/>
                <w:sz w:val="24"/>
                <w:szCs w:val="24"/>
                <w:lang w:eastAsia="zh-CN"/>
              </w:rPr>
              <w:t xml:space="preserve"> </w:t>
            </w:r>
            <w:proofErr w:type="spellStart"/>
            <w:r w:rsidRPr="00B62F90">
              <w:rPr>
                <w:rFonts w:ascii="Times New Roman" w:hAnsi="Times New Roman"/>
                <w:color w:val="000000"/>
                <w:sz w:val="24"/>
                <w:szCs w:val="24"/>
                <w:lang w:eastAsia="zh-CN"/>
              </w:rPr>
              <w:t>μM</w:t>
            </w:r>
            <w:proofErr w:type="spellEnd"/>
            <w:r w:rsidRPr="00B62F90">
              <w:rPr>
                <w:rFonts w:ascii="Times New Roman" w:hAnsi="Times New Roman"/>
                <w:color w:val="000000"/>
                <w:sz w:val="24"/>
                <w:szCs w:val="24"/>
                <w:lang w:val="en" w:eastAsia="zh-CN"/>
              </w:rPr>
              <w:t>)</w:t>
            </w:r>
          </w:p>
        </w:tc>
      </w:tr>
      <w:tr w:rsidR="00B62F90" w:rsidRPr="00B62F90" w14:paraId="6A803E1B"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1893BD4C"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Glycine</w:t>
            </w:r>
          </w:p>
        </w:tc>
        <w:tc>
          <w:tcPr>
            <w:tcW w:w="3951" w:type="dxa"/>
            <w:tcBorders>
              <w:top w:val="single" w:sz="12" w:space="0" w:color="FFFFFF"/>
            </w:tcBorders>
          </w:tcPr>
          <w:p w14:paraId="76D1D25D"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4.79</w:t>
            </w:r>
          </w:p>
        </w:tc>
      </w:tr>
      <w:tr w:rsidR="00B62F90" w:rsidRPr="00B62F90" w14:paraId="51751479"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Borders>
              <w:bottom w:val="single" w:sz="12" w:space="0" w:color="FFFFFF"/>
            </w:tcBorders>
          </w:tcPr>
          <w:p w14:paraId="54DB899E"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Alanine</w:t>
            </w:r>
          </w:p>
        </w:tc>
        <w:tc>
          <w:tcPr>
            <w:tcW w:w="3951" w:type="dxa"/>
            <w:tcBorders>
              <w:bottom w:val="single" w:sz="12" w:space="0" w:color="FFFFFF"/>
            </w:tcBorders>
          </w:tcPr>
          <w:p w14:paraId="053B5D4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1.99</w:t>
            </w:r>
          </w:p>
        </w:tc>
      </w:tr>
      <w:tr w:rsidR="00B62F90" w:rsidRPr="00B62F90" w14:paraId="00291044"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139F56F4"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Serine</w:t>
            </w:r>
          </w:p>
        </w:tc>
        <w:tc>
          <w:tcPr>
            <w:tcW w:w="3951" w:type="dxa"/>
            <w:tcBorders>
              <w:top w:val="single" w:sz="12" w:space="0" w:color="FFFFFF"/>
            </w:tcBorders>
          </w:tcPr>
          <w:p w14:paraId="62D77ED1"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.35</w:t>
            </w:r>
          </w:p>
        </w:tc>
      </w:tr>
      <w:tr w:rsidR="00B62F90" w:rsidRPr="00B62F90" w14:paraId="06BAA558"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4261A93D"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Proline</w:t>
            </w:r>
          </w:p>
        </w:tc>
        <w:tc>
          <w:tcPr>
            <w:tcW w:w="3951" w:type="dxa"/>
            <w:tcBorders>
              <w:top w:val="single" w:sz="12" w:space="0" w:color="FFFFFF"/>
            </w:tcBorders>
          </w:tcPr>
          <w:p w14:paraId="37A66D4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.11</w:t>
            </w:r>
          </w:p>
        </w:tc>
      </w:tr>
      <w:tr w:rsidR="00B62F90" w:rsidRPr="00B62F90" w14:paraId="664F8A2E"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4165DA10"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Valine</w:t>
            </w:r>
          </w:p>
        </w:tc>
        <w:tc>
          <w:tcPr>
            <w:tcW w:w="3951" w:type="dxa"/>
          </w:tcPr>
          <w:p w14:paraId="7B6B8162"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.03</w:t>
            </w:r>
          </w:p>
        </w:tc>
      </w:tr>
      <w:tr w:rsidR="00B62F90" w:rsidRPr="00B62F90" w14:paraId="3E16F487"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Borders>
              <w:bottom w:val="single" w:sz="12" w:space="0" w:color="FFFFFF"/>
            </w:tcBorders>
          </w:tcPr>
          <w:p w14:paraId="1474F10A"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Threonine</w:t>
            </w:r>
          </w:p>
        </w:tc>
        <w:tc>
          <w:tcPr>
            <w:tcW w:w="3951" w:type="dxa"/>
            <w:tcBorders>
              <w:bottom w:val="single" w:sz="12" w:space="0" w:color="FFFFFF"/>
            </w:tcBorders>
          </w:tcPr>
          <w:p w14:paraId="654FB671"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.15</w:t>
            </w:r>
          </w:p>
        </w:tc>
      </w:tr>
      <w:tr w:rsidR="00B62F90" w:rsidRPr="00B62F90" w14:paraId="472EE2F5"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11AFB2F7"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Cysteine</w:t>
            </w:r>
          </w:p>
        </w:tc>
        <w:tc>
          <w:tcPr>
            <w:tcW w:w="3951" w:type="dxa"/>
            <w:tcBorders>
              <w:top w:val="single" w:sz="12" w:space="0" w:color="FFFFFF"/>
            </w:tcBorders>
          </w:tcPr>
          <w:p w14:paraId="1C7171F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0.21</w:t>
            </w:r>
          </w:p>
        </w:tc>
      </w:tr>
      <w:tr w:rsidR="00B62F90" w:rsidRPr="00B62F90" w14:paraId="7CDD709E"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6CC5A7FE"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Isoleucine</w:t>
            </w:r>
          </w:p>
        </w:tc>
        <w:tc>
          <w:tcPr>
            <w:tcW w:w="3951" w:type="dxa"/>
          </w:tcPr>
          <w:p w14:paraId="75CAB70D"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0.08</w:t>
            </w:r>
          </w:p>
        </w:tc>
      </w:tr>
      <w:tr w:rsidR="00B62F90" w:rsidRPr="00B62F90" w14:paraId="5FBD1A4A"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56366A30"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Leucine</w:t>
            </w:r>
          </w:p>
        </w:tc>
        <w:tc>
          <w:tcPr>
            <w:tcW w:w="3951" w:type="dxa"/>
          </w:tcPr>
          <w:p w14:paraId="009498F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.07</w:t>
            </w:r>
          </w:p>
        </w:tc>
      </w:tr>
      <w:tr w:rsidR="00B62F90" w:rsidRPr="00B62F90" w14:paraId="5E8E4083"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74A66B90"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Asparagine</w:t>
            </w:r>
          </w:p>
        </w:tc>
        <w:tc>
          <w:tcPr>
            <w:tcW w:w="3951" w:type="dxa"/>
          </w:tcPr>
          <w:p w14:paraId="2F79611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2.28</w:t>
            </w:r>
          </w:p>
        </w:tc>
      </w:tr>
      <w:tr w:rsidR="00B62F90" w:rsidRPr="00B62F90" w14:paraId="773314E4"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124DD249"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Aspartic acid</w:t>
            </w:r>
          </w:p>
        </w:tc>
        <w:tc>
          <w:tcPr>
            <w:tcW w:w="3951" w:type="dxa"/>
          </w:tcPr>
          <w:p w14:paraId="4E88F530"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.99</w:t>
            </w:r>
          </w:p>
        </w:tc>
      </w:tr>
      <w:tr w:rsidR="00B62F90" w:rsidRPr="00B62F90" w14:paraId="7993D83F"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7DB56297"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Lysine</w:t>
            </w:r>
          </w:p>
        </w:tc>
        <w:tc>
          <w:tcPr>
            <w:tcW w:w="3951" w:type="dxa"/>
          </w:tcPr>
          <w:p w14:paraId="32942D1F"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.17</w:t>
            </w:r>
          </w:p>
        </w:tc>
      </w:tr>
      <w:tr w:rsidR="00B62F90" w:rsidRPr="00B62F90" w14:paraId="12EB6484"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37DBEEDC"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Glutamine</w:t>
            </w:r>
          </w:p>
        </w:tc>
        <w:tc>
          <w:tcPr>
            <w:tcW w:w="3951" w:type="dxa"/>
          </w:tcPr>
          <w:p w14:paraId="0B673F13"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0.34</w:t>
            </w:r>
          </w:p>
        </w:tc>
      </w:tr>
      <w:tr w:rsidR="00B62F90" w:rsidRPr="00B62F90" w14:paraId="1E83C319"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6B7BE0A9"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Glutamic acid</w:t>
            </w:r>
          </w:p>
        </w:tc>
        <w:tc>
          <w:tcPr>
            <w:tcW w:w="3951" w:type="dxa"/>
          </w:tcPr>
          <w:p w14:paraId="0A66A2E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.67</w:t>
            </w:r>
          </w:p>
        </w:tc>
      </w:tr>
      <w:tr w:rsidR="00B62F90" w:rsidRPr="00B62F90" w14:paraId="41F3E252"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3FE04763"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Methionine</w:t>
            </w:r>
          </w:p>
        </w:tc>
        <w:tc>
          <w:tcPr>
            <w:tcW w:w="3951" w:type="dxa"/>
          </w:tcPr>
          <w:p w14:paraId="1A1F6860"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.39</w:t>
            </w:r>
          </w:p>
        </w:tc>
      </w:tr>
      <w:tr w:rsidR="00B62F90" w:rsidRPr="00B62F90" w14:paraId="50A17E1B"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443E4D83"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Histidine</w:t>
            </w:r>
          </w:p>
        </w:tc>
        <w:tc>
          <w:tcPr>
            <w:tcW w:w="3951" w:type="dxa"/>
          </w:tcPr>
          <w:p w14:paraId="25307FBF"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0.29</w:t>
            </w:r>
          </w:p>
        </w:tc>
      </w:tr>
      <w:tr w:rsidR="00B62F90" w:rsidRPr="00B62F90" w14:paraId="795AA738"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5E6FA2BB"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Phenylalanine</w:t>
            </w:r>
          </w:p>
        </w:tc>
        <w:tc>
          <w:tcPr>
            <w:tcW w:w="3951" w:type="dxa"/>
          </w:tcPr>
          <w:p w14:paraId="7BC2C05D"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.05</w:t>
            </w:r>
          </w:p>
        </w:tc>
      </w:tr>
      <w:tr w:rsidR="00B62F90" w:rsidRPr="00B62F90" w14:paraId="52A65F78"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25CDFDDD"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Arginine</w:t>
            </w:r>
          </w:p>
        </w:tc>
        <w:tc>
          <w:tcPr>
            <w:tcW w:w="3951" w:type="dxa"/>
          </w:tcPr>
          <w:p w14:paraId="6A90DE2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.41</w:t>
            </w:r>
          </w:p>
        </w:tc>
      </w:tr>
      <w:tr w:rsidR="00B62F90" w:rsidRPr="00B62F90" w14:paraId="160E5311"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bottom w:val="single" w:sz="12" w:space="0" w:color="000000"/>
            </w:tcBorders>
          </w:tcPr>
          <w:p w14:paraId="53A9635F"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Tyrosine</w:t>
            </w:r>
          </w:p>
        </w:tc>
        <w:tc>
          <w:tcPr>
            <w:tcW w:w="3951" w:type="dxa"/>
            <w:tcBorders>
              <w:bottom w:val="single" w:sz="12" w:space="0" w:color="000000"/>
            </w:tcBorders>
          </w:tcPr>
          <w:p w14:paraId="2456191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.79</w:t>
            </w:r>
          </w:p>
        </w:tc>
      </w:tr>
    </w:tbl>
    <w:p w14:paraId="3E956B5F" w14:textId="77777777" w:rsidR="00B62F90" w:rsidRPr="003875CC" w:rsidRDefault="00B62F90" w:rsidP="00B62F90">
      <w:pPr>
        <w:shd w:val="clear" w:color="auto" w:fill="FFFFFF"/>
        <w:spacing w:before="100" w:beforeAutospacing="1" w:after="100" w:afterAutospacing="1"/>
        <w:jc w:val="both"/>
        <w:rPr>
          <w:rFonts w:ascii="Arial" w:hAnsi="Arial" w:cs="Arial"/>
          <w:b/>
          <w:lang w:val="en" w:eastAsia="en-GB"/>
        </w:rPr>
      </w:pPr>
    </w:p>
    <w:p w14:paraId="0544FE32" w14:textId="77777777" w:rsidR="00B62F90" w:rsidRPr="003875CC" w:rsidRDefault="00B62F90" w:rsidP="00B62F90">
      <w:pPr>
        <w:shd w:val="clear" w:color="auto" w:fill="FFFFFF"/>
        <w:spacing w:before="100" w:beforeAutospacing="1" w:after="100" w:afterAutospacing="1"/>
        <w:jc w:val="both"/>
        <w:rPr>
          <w:rFonts w:ascii="Arial" w:hAnsi="Arial" w:cs="Arial"/>
          <w:lang w:val="en" w:eastAsia="en-GB"/>
        </w:rPr>
      </w:pPr>
      <w:r w:rsidRPr="003875CC">
        <w:rPr>
          <w:rFonts w:ascii="Arial" w:hAnsi="Arial" w:cs="Arial"/>
          <w:b/>
          <w:lang w:val="en" w:eastAsia="en-GB"/>
        </w:rPr>
        <w:t>Table 3</w:t>
      </w:r>
      <w:r w:rsidRPr="003875CC">
        <w:rPr>
          <w:rFonts w:ascii="Arial" w:hAnsi="Arial" w:cs="Arial"/>
          <w:lang w:val="en" w:eastAsia="en-GB"/>
        </w:rPr>
        <w:t>:  Precursor, product ions, and collision energy used for sugar analysis</w:t>
      </w:r>
    </w:p>
    <w:tbl>
      <w:tblPr>
        <w:tblStyle w:val="PlainTable31"/>
        <w:tblW w:w="5999" w:type="dxa"/>
        <w:tblLayout w:type="fixed"/>
        <w:tblLook w:val="0000" w:firstRow="0" w:lastRow="0" w:firstColumn="0" w:lastColumn="0" w:noHBand="0" w:noVBand="0"/>
      </w:tblPr>
      <w:tblGrid>
        <w:gridCol w:w="1608"/>
        <w:gridCol w:w="1577"/>
        <w:gridCol w:w="1072"/>
        <w:gridCol w:w="1742"/>
      </w:tblGrid>
      <w:tr w:rsidR="00B62F90" w:rsidRPr="00B62F90" w14:paraId="5EB00849" w14:textId="77777777" w:rsidTr="00B62F90">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1608" w:type="dxa"/>
            <w:tcBorders>
              <w:top w:val="single" w:sz="12" w:space="0" w:color="000000"/>
              <w:bottom w:val="single" w:sz="12" w:space="0" w:color="000000"/>
            </w:tcBorders>
          </w:tcPr>
          <w:p w14:paraId="42D8801B"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Sugar</w:t>
            </w:r>
          </w:p>
        </w:tc>
        <w:tc>
          <w:tcPr>
            <w:tcW w:w="1577" w:type="dxa"/>
            <w:tcBorders>
              <w:top w:val="single" w:sz="12" w:space="0" w:color="000000"/>
              <w:bottom w:val="single" w:sz="12" w:space="0" w:color="000000"/>
            </w:tcBorders>
          </w:tcPr>
          <w:p w14:paraId="06B771A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Precursor ion [M-H]</w:t>
            </w:r>
            <w:r w:rsidRPr="00B62F90">
              <w:rPr>
                <w:rFonts w:ascii="Times New Roman" w:hAnsi="Times New Roman"/>
                <w:sz w:val="16"/>
                <w:szCs w:val="16"/>
                <w:vertAlign w:val="superscript"/>
                <w:lang w:eastAsia="zh-CN"/>
              </w:rPr>
              <w:t>-</w:t>
            </w:r>
            <w:r w:rsidRPr="00B62F90">
              <w:rPr>
                <w:rFonts w:ascii="Times New Roman" w:hAnsi="Times New Roman"/>
                <w:sz w:val="23"/>
                <w:szCs w:val="23"/>
                <w:lang w:eastAsia="zh-CN"/>
              </w:rPr>
              <w:t>(</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cnfStyle w:val="000010000000" w:firstRow="0" w:lastRow="0" w:firstColumn="0" w:lastColumn="0" w:oddVBand="1" w:evenVBand="0" w:oddHBand="0" w:evenHBand="0" w:firstRowFirstColumn="0" w:firstRowLastColumn="0" w:lastRowFirstColumn="0" w:lastRowLastColumn="0"/>
            <w:tcW w:w="1072" w:type="dxa"/>
            <w:tcBorders>
              <w:top w:val="single" w:sz="12" w:space="0" w:color="000000"/>
              <w:bottom w:val="single" w:sz="12" w:space="0" w:color="000000"/>
            </w:tcBorders>
          </w:tcPr>
          <w:p w14:paraId="468F4E4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Product ion (</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tcW w:w="1742" w:type="dxa"/>
            <w:tcBorders>
              <w:top w:val="single" w:sz="12" w:space="0" w:color="000000"/>
              <w:bottom w:val="single" w:sz="12" w:space="0" w:color="000000"/>
            </w:tcBorders>
          </w:tcPr>
          <w:p w14:paraId="02BB18B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Collision energy (eV)</w:t>
            </w:r>
          </w:p>
        </w:tc>
      </w:tr>
      <w:tr w:rsidR="00B62F90" w:rsidRPr="00B62F90" w14:paraId="046F8FBB" w14:textId="77777777" w:rsidTr="00B62F90">
        <w:trPr>
          <w:trHeight w:val="144"/>
        </w:trPr>
        <w:tc>
          <w:tcPr>
            <w:cnfStyle w:val="000010000000" w:firstRow="0" w:lastRow="0" w:firstColumn="0" w:lastColumn="0" w:oddVBand="1" w:evenVBand="0" w:oddHBand="0" w:evenHBand="0" w:firstRowFirstColumn="0" w:firstRowLastColumn="0" w:lastRowFirstColumn="0" w:lastRowLastColumn="0"/>
            <w:tcW w:w="1608" w:type="dxa"/>
            <w:tcBorders>
              <w:top w:val="single" w:sz="12" w:space="0" w:color="000000"/>
            </w:tcBorders>
          </w:tcPr>
          <w:p w14:paraId="223AB044"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Fructose</w:t>
            </w:r>
          </w:p>
        </w:tc>
        <w:tc>
          <w:tcPr>
            <w:tcW w:w="1577" w:type="dxa"/>
            <w:tcBorders>
              <w:top w:val="single" w:sz="12" w:space="0" w:color="000000"/>
            </w:tcBorders>
          </w:tcPr>
          <w:p w14:paraId="4088DFB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179</w:t>
            </w:r>
          </w:p>
        </w:tc>
        <w:tc>
          <w:tcPr>
            <w:cnfStyle w:val="000010000000" w:firstRow="0" w:lastRow="0" w:firstColumn="0" w:lastColumn="0" w:oddVBand="1" w:evenVBand="0" w:oddHBand="0" w:evenHBand="0" w:firstRowFirstColumn="0" w:firstRowLastColumn="0" w:lastRowFirstColumn="0" w:lastRowLastColumn="0"/>
            <w:tcW w:w="1072" w:type="dxa"/>
            <w:tcBorders>
              <w:top w:val="single" w:sz="12" w:space="0" w:color="000000"/>
            </w:tcBorders>
          </w:tcPr>
          <w:p w14:paraId="5DFB667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143</w:t>
            </w:r>
          </w:p>
        </w:tc>
        <w:tc>
          <w:tcPr>
            <w:tcW w:w="1742" w:type="dxa"/>
            <w:tcBorders>
              <w:top w:val="single" w:sz="12" w:space="0" w:color="000000"/>
            </w:tcBorders>
          </w:tcPr>
          <w:p w14:paraId="1096CE2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74FF4237" w14:textId="77777777" w:rsidTr="00B62F90">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608" w:type="dxa"/>
          </w:tcPr>
          <w:p w14:paraId="46E99914"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Glucose</w:t>
            </w:r>
          </w:p>
        </w:tc>
        <w:tc>
          <w:tcPr>
            <w:tcW w:w="1577" w:type="dxa"/>
          </w:tcPr>
          <w:p w14:paraId="0AA26B3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179</w:t>
            </w:r>
          </w:p>
        </w:tc>
        <w:tc>
          <w:tcPr>
            <w:cnfStyle w:val="000010000000" w:firstRow="0" w:lastRow="0" w:firstColumn="0" w:lastColumn="0" w:oddVBand="1" w:evenVBand="0" w:oddHBand="0" w:evenHBand="0" w:firstRowFirstColumn="0" w:firstRowLastColumn="0" w:lastRowFirstColumn="0" w:lastRowLastColumn="0"/>
            <w:tcW w:w="1072" w:type="dxa"/>
          </w:tcPr>
          <w:p w14:paraId="13F6B88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143</w:t>
            </w:r>
          </w:p>
        </w:tc>
        <w:tc>
          <w:tcPr>
            <w:tcW w:w="1742" w:type="dxa"/>
          </w:tcPr>
          <w:p w14:paraId="7B11CD5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79885AC0" w14:textId="77777777" w:rsidTr="00B62F90">
        <w:trPr>
          <w:trHeight w:val="144"/>
        </w:trPr>
        <w:tc>
          <w:tcPr>
            <w:cnfStyle w:val="000010000000" w:firstRow="0" w:lastRow="0" w:firstColumn="0" w:lastColumn="0" w:oddVBand="1" w:evenVBand="0" w:oddHBand="0" w:evenHBand="0" w:firstRowFirstColumn="0" w:firstRowLastColumn="0" w:lastRowFirstColumn="0" w:lastRowLastColumn="0"/>
            <w:tcW w:w="1608" w:type="dxa"/>
          </w:tcPr>
          <w:p w14:paraId="7F9C406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hint="eastAsia"/>
                <w:sz w:val="23"/>
                <w:szCs w:val="23"/>
                <w:lang w:eastAsia="zh-CN"/>
              </w:rPr>
              <w:t>S</w:t>
            </w:r>
            <w:r w:rsidRPr="00B62F90">
              <w:rPr>
                <w:rFonts w:ascii="Times New Roman" w:hAnsi="Times New Roman"/>
                <w:sz w:val="23"/>
                <w:szCs w:val="23"/>
                <w:lang w:eastAsia="zh-CN"/>
              </w:rPr>
              <w:t>ucrose</w:t>
            </w:r>
          </w:p>
        </w:tc>
        <w:tc>
          <w:tcPr>
            <w:tcW w:w="1577" w:type="dxa"/>
          </w:tcPr>
          <w:p w14:paraId="2860669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341</w:t>
            </w:r>
          </w:p>
        </w:tc>
        <w:tc>
          <w:tcPr>
            <w:cnfStyle w:val="000010000000" w:firstRow="0" w:lastRow="0" w:firstColumn="0" w:lastColumn="0" w:oddVBand="1" w:evenVBand="0" w:oddHBand="0" w:evenHBand="0" w:firstRowFirstColumn="0" w:firstRowLastColumn="0" w:lastRowFirstColumn="0" w:lastRowLastColumn="0"/>
            <w:tcW w:w="1072" w:type="dxa"/>
          </w:tcPr>
          <w:p w14:paraId="154CBCB3"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179</w:t>
            </w:r>
          </w:p>
        </w:tc>
        <w:tc>
          <w:tcPr>
            <w:tcW w:w="1742" w:type="dxa"/>
          </w:tcPr>
          <w:p w14:paraId="3BEFCC96"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03C424F1" w14:textId="77777777" w:rsidTr="00B62F90">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608" w:type="dxa"/>
          </w:tcPr>
          <w:p w14:paraId="7F0E63CB"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Trehalose</w:t>
            </w:r>
          </w:p>
        </w:tc>
        <w:tc>
          <w:tcPr>
            <w:tcW w:w="1577" w:type="dxa"/>
          </w:tcPr>
          <w:p w14:paraId="6617604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341</w:t>
            </w:r>
          </w:p>
        </w:tc>
        <w:tc>
          <w:tcPr>
            <w:cnfStyle w:val="000010000000" w:firstRow="0" w:lastRow="0" w:firstColumn="0" w:lastColumn="0" w:oddVBand="1" w:evenVBand="0" w:oddHBand="0" w:evenHBand="0" w:firstRowFirstColumn="0" w:firstRowLastColumn="0" w:lastRowFirstColumn="0" w:lastRowLastColumn="0"/>
            <w:tcW w:w="1072" w:type="dxa"/>
          </w:tcPr>
          <w:p w14:paraId="29D45AAE"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179</w:t>
            </w:r>
          </w:p>
        </w:tc>
        <w:tc>
          <w:tcPr>
            <w:tcW w:w="1742" w:type="dxa"/>
          </w:tcPr>
          <w:p w14:paraId="52A7A079"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0FB76374" w14:textId="77777777" w:rsidTr="00B62F90">
        <w:trPr>
          <w:trHeight w:val="144"/>
        </w:trPr>
        <w:tc>
          <w:tcPr>
            <w:cnfStyle w:val="000010000000" w:firstRow="0" w:lastRow="0" w:firstColumn="0" w:lastColumn="0" w:oddVBand="1" w:evenVBand="0" w:oddHBand="0" w:evenHBand="0" w:firstRowFirstColumn="0" w:firstRowLastColumn="0" w:lastRowFirstColumn="0" w:lastRowLastColumn="0"/>
            <w:tcW w:w="1608" w:type="dxa"/>
            <w:tcBorders>
              <w:bottom w:val="single" w:sz="12" w:space="0" w:color="000000"/>
            </w:tcBorders>
          </w:tcPr>
          <w:p w14:paraId="16C9E30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proofErr w:type="spellStart"/>
            <w:r w:rsidRPr="00B62F90">
              <w:rPr>
                <w:rFonts w:ascii="Times New Roman" w:hAnsi="Times New Roman"/>
                <w:sz w:val="23"/>
                <w:szCs w:val="23"/>
                <w:lang w:eastAsia="zh-CN"/>
              </w:rPr>
              <w:t>Melezitose</w:t>
            </w:r>
            <w:proofErr w:type="spellEnd"/>
          </w:p>
        </w:tc>
        <w:tc>
          <w:tcPr>
            <w:tcW w:w="1577" w:type="dxa"/>
            <w:tcBorders>
              <w:bottom w:val="single" w:sz="12" w:space="0" w:color="000000"/>
            </w:tcBorders>
          </w:tcPr>
          <w:p w14:paraId="5A1672B5"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hint="eastAsia"/>
                <w:sz w:val="23"/>
                <w:szCs w:val="23"/>
                <w:lang w:eastAsia="zh-CN"/>
              </w:rPr>
              <w:t>503</w:t>
            </w:r>
          </w:p>
        </w:tc>
        <w:tc>
          <w:tcPr>
            <w:cnfStyle w:val="000010000000" w:firstRow="0" w:lastRow="0" w:firstColumn="0" w:lastColumn="0" w:oddVBand="1" w:evenVBand="0" w:oddHBand="0" w:evenHBand="0" w:firstRowFirstColumn="0" w:firstRowLastColumn="0" w:lastRowFirstColumn="0" w:lastRowLastColumn="0"/>
            <w:tcW w:w="1072" w:type="dxa"/>
            <w:tcBorders>
              <w:bottom w:val="single" w:sz="12" w:space="0" w:color="000000"/>
            </w:tcBorders>
          </w:tcPr>
          <w:p w14:paraId="2A3B5F53"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hint="eastAsia"/>
                <w:sz w:val="23"/>
                <w:szCs w:val="23"/>
                <w:lang w:eastAsia="zh-CN"/>
              </w:rPr>
              <w:t>323</w:t>
            </w:r>
          </w:p>
        </w:tc>
        <w:tc>
          <w:tcPr>
            <w:tcW w:w="1742" w:type="dxa"/>
            <w:tcBorders>
              <w:bottom w:val="single" w:sz="12" w:space="0" w:color="000000"/>
            </w:tcBorders>
          </w:tcPr>
          <w:p w14:paraId="42C4B743"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w:t>
            </w:r>
            <w:r w:rsidRPr="00B62F90">
              <w:rPr>
                <w:rFonts w:ascii="Times New Roman" w:hAnsi="Times New Roman" w:hint="eastAsia"/>
                <w:sz w:val="23"/>
                <w:szCs w:val="23"/>
                <w:lang w:eastAsia="zh-CN"/>
              </w:rPr>
              <w:t>35</w:t>
            </w:r>
          </w:p>
        </w:tc>
      </w:tr>
    </w:tbl>
    <w:p w14:paraId="096F1204" w14:textId="77777777" w:rsidR="00B62F90" w:rsidRPr="00B62F90" w:rsidRDefault="00B62F90" w:rsidP="00B62F90">
      <w:pPr>
        <w:spacing w:after="200" w:line="276" w:lineRule="auto"/>
        <w:rPr>
          <w:rFonts w:ascii="Calibri" w:eastAsia="Calibri" w:hAnsi="Calibri"/>
          <w:sz w:val="22"/>
          <w:szCs w:val="22"/>
          <w:lang w:val="en"/>
        </w:rPr>
      </w:pPr>
    </w:p>
    <w:p w14:paraId="0512D1C3" w14:textId="77777777" w:rsidR="00B62F90" w:rsidRPr="00B62F90" w:rsidRDefault="00B62F90" w:rsidP="00B62F90">
      <w:pPr>
        <w:rPr>
          <w:rFonts w:ascii="Times New Roman" w:eastAsia="Calibri" w:hAnsi="Times New Roman"/>
          <w:b/>
          <w:sz w:val="32"/>
          <w:szCs w:val="32"/>
          <w:lang w:val="en-GB"/>
        </w:rPr>
      </w:pPr>
    </w:p>
    <w:p w14:paraId="3E05E30F" w14:textId="77777777" w:rsidR="00B62F90" w:rsidRPr="003875CC" w:rsidRDefault="00B62F90" w:rsidP="00B62F90">
      <w:pPr>
        <w:widowControl w:val="0"/>
        <w:autoSpaceDE w:val="0"/>
        <w:autoSpaceDN w:val="0"/>
        <w:adjustRightInd w:val="0"/>
        <w:rPr>
          <w:rFonts w:ascii="Arial" w:eastAsia="SimSun" w:hAnsi="Arial" w:cs="Arial"/>
          <w:color w:val="000000"/>
          <w:lang w:eastAsia="zh-CN"/>
        </w:rPr>
      </w:pPr>
      <w:r w:rsidRPr="003875CC">
        <w:rPr>
          <w:rFonts w:ascii="Arial" w:eastAsia="SimSun" w:hAnsi="Arial" w:cs="Arial"/>
          <w:b/>
          <w:color w:val="000000"/>
          <w:lang w:eastAsia="zh-CN"/>
        </w:rPr>
        <w:t>Table 4</w:t>
      </w:r>
      <w:r w:rsidRPr="003875CC">
        <w:rPr>
          <w:rFonts w:ascii="Arial" w:eastAsia="SimSun" w:hAnsi="Arial" w:cs="Arial"/>
          <w:color w:val="000000"/>
          <w:lang w:eastAsia="zh-CN"/>
        </w:rPr>
        <w:t>: Limit of Quantification (LOQ) for sugars</w:t>
      </w:r>
    </w:p>
    <w:tbl>
      <w:tblPr>
        <w:tblStyle w:val="PlainTable31"/>
        <w:tblW w:w="5785" w:type="dxa"/>
        <w:tblLayout w:type="fixed"/>
        <w:tblLook w:val="0000" w:firstRow="0" w:lastRow="0" w:firstColumn="0" w:lastColumn="0" w:noHBand="0" w:noVBand="0"/>
      </w:tblPr>
      <w:tblGrid>
        <w:gridCol w:w="1996"/>
        <w:gridCol w:w="3789"/>
      </w:tblGrid>
      <w:tr w:rsidR="00B62F90" w:rsidRPr="00B62F90" w14:paraId="65D7C5CC" w14:textId="77777777" w:rsidTr="00B62F90">
        <w:trPr>
          <w:cnfStyle w:val="000000100000" w:firstRow="0" w:lastRow="0" w:firstColumn="0" w:lastColumn="0" w:oddVBand="0" w:evenVBand="0" w:oddHBand="1"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1996" w:type="dxa"/>
            <w:tcBorders>
              <w:top w:val="single" w:sz="12" w:space="0" w:color="000000"/>
              <w:bottom w:val="single" w:sz="12" w:space="0" w:color="000000"/>
            </w:tcBorders>
          </w:tcPr>
          <w:p w14:paraId="02E4794A"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Sugar</w:t>
            </w:r>
          </w:p>
        </w:tc>
        <w:tc>
          <w:tcPr>
            <w:tcW w:w="3789" w:type="dxa"/>
            <w:tcBorders>
              <w:top w:val="single" w:sz="12" w:space="0" w:color="000000"/>
              <w:bottom w:val="single" w:sz="12" w:space="0" w:color="000000"/>
            </w:tcBorders>
          </w:tcPr>
          <w:p w14:paraId="120DC043"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Limit of Quantification</w:t>
            </w:r>
          </w:p>
          <w:p w14:paraId="34957C8C"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(LOQ, mg/L)</w:t>
            </w:r>
          </w:p>
        </w:tc>
      </w:tr>
      <w:tr w:rsidR="00B62F90" w:rsidRPr="00B62F90" w14:paraId="7274FE4D" w14:textId="77777777" w:rsidTr="00B62F90">
        <w:trPr>
          <w:trHeight w:val="150"/>
        </w:trPr>
        <w:tc>
          <w:tcPr>
            <w:cnfStyle w:val="000010000000" w:firstRow="0" w:lastRow="0" w:firstColumn="0" w:lastColumn="0" w:oddVBand="1" w:evenVBand="0" w:oddHBand="0" w:evenHBand="0" w:firstRowFirstColumn="0" w:firstRowLastColumn="0" w:lastRowFirstColumn="0" w:lastRowLastColumn="0"/>
            <w:tcW w:w="1996" w:type="dxa"/>
            <w:tcBorders>
              <w:top w:val="single" w:sz="12" w:space="0" w:color="000000"/>
            </w:tcBorders>
          </w:tcPr>
          <w:p w14:paraId="21CC1321"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Fructose</w:t>
            </w:r>
          </w:p>
        </w:tc>
        <w:tc>
          <w:tcPr>
            <w:tcW w:w="3789" w:type="dxa"/>
            <w:tcBorders>
              <w:top w:val="single" w:sz="12" w:space="0" w:color="000000"/>
            </w:tcBorders>
          </w:tcPr>
          <w:p w14:paraId="2D06A1AC"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.80</w:t>
            </w:r>
          </w:p>
        </w:tc>
      </w:tr>
      <w:tr w:rsidR="00B62F90" w:rsidRPr="00B62F90" w14:paraId="4B5EF247" w14:textId="77777777" w:rsidTr="00B62F90">
        <w:trPr>
          <w:cnfStyle w:val="000000100000" w:firstRow="0" w:lastRow="0" w:firstColumn="0" w:lastColumn="0" w:oddVBand="0" w:evenVBand="0" w:oddHBand="1" w:evenHBand="0" w:firstRowFirstColumn="0" w:firstRowLastColumn="0" w:lastRowFirstColumn="0" w:lastRowLastColumn="0"/>
          <w:trHeight w:val="150"/>
        </w:trPr>
        <w:tc>
          <w:tcPr>
            <w:cnfStyle w:val="000010000000" w:firstRow="0" w:lastRow="0" w:firstColumn="0" w:lastColumn="0" w:oddVBand="1" w:evenVBand="0" w:oddHBand="0" w:evenHBand="0" w:firstRowFirstColumn="0" w:firstRowLastColumn="0" w:lastRowFirstColumn="0" w:lastRowLastColumn="0"/>
            <w:tcW w:w="1996" w:type="dxa"/>
          </w:tcPr>
          <w:p w14:paraId="0D4CC05E"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Glucose</w:t>
            </w:r>
          </w:p>
        </w:tc>
        <w:tc>
          <w:tcPr>
            <w:tcW w:w="3789" w:type="dxa"/>
          </w:tcPr>
          <w:p w14:paraId="547C9B4E"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.87</w:t>
            </w:r>
          </w:p>
        </w:tc>
      </w:tr>
      <w:tr w:rsidR="00B62F90" w:rsidRPr="00B62F90" w14:paraId="55A69568" w14:textId="77777777" w:rsidTr="00B62F90">
        <w:trPr>
          <w:trHeight w:val="150"/>
        </w:trPr>
        <w:tc>
          <w:tcPr>
            <w:cnfStyle w:val="000010000000" w:firstRow="0" w:lastRow="0" w:firstColumn="0" w:lastColumn="0" w:oddVBand="1" w:evenVBand="0" w:oddHBand="0" w:evenHBand="0" w:firstRowFirstColumn="0" w:firstRowLastColumn="0" w:lastRowFirstColumn="0" w:lastRowLastColumn="0"/>
            <w:tcW w:w="1996" w:type="dxa"/>
            <w:tcBorders>
              <w:bottom w:val="single" w:sz="12" w:space="0" w:color="000000"/>
            </w:tcBorders>
          </w:tcPr>
          <w:p w14:paraId="148159B3"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hint="eastAsia"/>
                <w:color w:val="000000"/>
                <w:sz w:val="23"/>
                <w:szCs w:val="23"/>
                <w:lang w:eastAsia="zh-CN"/>
              </w:rPr>
              <w:t>S</w:t>
            </w:r>
            <w:r w:rsidRPr="00B62F90">
              <w:rPr>
                <w:rFonts w:ascii="Times New Roman" w:hAnsi="Times New Roman"/>
                <w:color w:val="000000"/>
                <w:sz w:val="23"/>
                <w:szCs w:val="23"/>
                <w:lang w:eastAsia="zh-CN"/>
              </w:rPr>
              <w:t>ucrose</w:t>
            </w:r>
          </w:p>
        </w:tc>
        <w:tc>
          <w:tcPr>
            <w:tcW w:w="3789" w:type="dxa"/>
            <w:tcBorders>
              <w:bottom w:val="single" w:sz="12" w:space="0" w:color="000000"/>
            </w:tcBorders>
          </w:tcPr>
          <w:p w14:paraId="415ADB94"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.50</w:t>
            </w:r>
          </w:p>
        </w:tc>
      </w:tr>
    </w:tbl>
    <w:p w14:paraId="72BE8C0C" w14:textId="77777777" w:rsidR="00B62F90" w:rsidRPr="00B62F90" w:rsidRDefault="00B62F90" w:rsidP="00B62F90">
      <w:pPr>
        <w:rPr>
          <w:rFonts w:ascii="Times New Roman" w:eastAsia="Calibri" w:hAnsi="Times New Roman"/>
          <w:b/>
          <w:sz w:val="32"/>
          <w:szCs w:val="32"/>
          <w:lang w:val="en-GB"/>
        </w:rPr>
      </w:pPr>
    </w:p>
    <w:p w14:paraId="130F9D53" w14:textId="77777777" w:rsidR="00B62F90" w:rsidRPr="00B62F90" w:rsidRDefault="00B62F90" w:rsidP="00B62F90">
      <w:pPr>
        <w:spacing w:after="160" w:line="259" w:lineRule="auto"/>
        <w:rPr>
          <w:rFonts w:ascii="Calibri" w:eastAsia="Calibri" w:hAnsi="Calibri"/>
          <w:sz w:val="22"/>
          <w:szCs w:val="22"/>
        </w:rPr>
      </w:pPr>
    </w:p>
    <w:p w14:paraId="59134175" w14:textId="77777777" w:rsidR="00B62F90" w:rsidRPr="003875CC" w:rsidRDefault="00B62F90" w:rsidP="00B62F90">
      <w:pPr>
        <w:spacing w:after="200" w:line="276" w:lineRule="auto"/>
        <w:jc w:val="both"/>
        <w:rPr>
          <w:rFonts w:ascii="Arial" w:eastAsia="Calibri" w:hAnsi="Arial" w:cs="Arial"/>
          <w:lang w:val="en-GB"/>
        </w:rPr>
      </w:pPr>
      <w:r w:rsidRPr="003875CC">
        <w:rPr>
          <w:rFonts w:ascii="Arial" w:eastAsia="Calibri" w:hAnsi="Arial" w:cs="Arial"/>
          <w:b/>
          <w:lang w:val="en-GB"/>
        </w:rPr>
        <w:t>Table 5</w:t>
      </w:r>
      <w:r w:rsidRPr="003875CC">
        <w:rPr>
          <w:rFonts w:ascii="Arial" w:eastAsia="Calibri" w:hAnsi="Arial" w:cs="Arial"/>
          <w:lang w:val="en-GB"/>
        </w:rPr>
        <w:t xml:space="preserve">: Total concentration (µMol/L) and percentage of amino acids from alfalfa and broad bean leaves, </w:t>
      </w:r>
      <w:r w:rsidRPr="003875CC">
        <w:rPr>
          <w:rFonts w:ascii="Arial" w:eastAsia="Calibri" w:hAnsi="Arial" w:cs="Arial"/>
          <w:i/>
          <w:lang w:val="en-GB"/>
        </w:rPr>
        <w:t xml:space="preserve">n= </w:t>
      </w:r>
      <w:r w:rsidRPr="003875CC">
        <w:rPr>
          <w:rFonts w:ascii="Arial" w:eastAsia="Calibri" w:hAnsi="Arial" w:cs="Arial"/>
          <w:lang w:val="en-GB"/>
        </w:rPr>
        <w:t>9, different letters in the same row indicate significant difference at α= 0.05</w:t>
      </w:r>
    </w:p>
    <w:tbl>
      <w:tblPr>
        <w:tblStyle w:val="PlainTable41"/>
        <w:tblW w:w="0" w:type="auto"/>
        <w:tblLook w:val="04A0" w:firstRow="1" w:lastRow="0" w:firstColumn="1" w:lastColumn="0" w:noHBand="0" w:noVBand="1"/>
      </w:tblPr>
      <w:tblGrid>
        <w:gridCol w:w="1870"/>
        <w:gridCol w:w="1870"/>
        <w:gridCol w:w="1870"/>
        <w:gridCol w:w="1870"/>
        <w:gridCol w:w="1870"/>
      </w:tblGrid>
      <w:tr w:rsidR="00B62F90" w:rsidRPr="00B62F90" w14:paraId="1725BEC8" w14:textId="77777777" w:rsidTr="00B6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auto"/>
              <w:right w:val="single" w:sz="12" w:space="0" w:color="FFFFFF"/>
            </w:tcBorders>
          </w:tcPr>
          <w:p w14:paraId="52C30A35" w14:textId="77777777" w:rsidR="00B62F90" w:rsidRPr="00B62F90" w:rsidRDefault="00B62F90" w:rsidP="00B62F90">
            <w:pPr>
              <w:rPr>
                <w:rFonts w:ascii="Calibri" w:hAnsi="Calibri"/>
              </w:rPr>
            </w:pPr>
          </w:p>
        </w:tc>
        <w:tc>
          <w:tcPr>
            <w:tcW w:w="1870" w:type="dxa"/>
            <w:tcBorders>
              <w:top w:val="single" w:sz="12" w:space="0" w:color="auto"/>
              <w:left w:val="single" w:sz="12" w:space="0" w:color="FFFFFF"/>
              <w:bottom w:val="single" w:sz="12" w:space="0" w:color="auto"/>
            </w:tcBorders>
          </w:tcPr>
          <w:p w14:paraId="1F6B71E4"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 xml:space="preserve">                    Alfalfa</w:t>
            </w:r>
          </w:p>
        </w:tc>
        <w:tc>
          <w:tcPr>
            <w:tcW w:w="1870" w:type="dxa"/>
            <w:tcBorders>
              <w:top w:val="single" w:sz="12" w:space="0" w:color="auto"/>
              <w:bottom w:val="single" w:sz="12" w:space="0" w:color="auto"/>
              <w:right w:val="single" w:sz="12" w:space="0" w:color="auto"/>
            </w:tcBorders>
          </w:tcPr>
          <w:p w14:paraId="77FCFB1C"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p>
        </w:tc>
        <w:tc>
          <w:tcPr>
            <w:tcW w:w="1870" w:type="dxa"/>
            <w:tcBorders>
              <w:top w:val="single" w:sz="12" w:space="0" w:color="auto"/>
              <w:left w:val="single" w:sz="12" w:space="0" w:color="auto"/>
              <w:bottom w:val="single" w:sz="12" w:space="0" w:color="auto"/>
            </w:tcBorders>
          </w:tcPr>
          <w:p w14:paraId="3F3A65B8"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 xml:space="preserve">           Broad bean</w:t>
            </w:r>
          </w:p>
        </w:tc>
        <w:tc>
          <w:tcPr>
            <w:tcW w:w="1870" w:type="dxa"/>
            <w:tcBorders>
              <w:top w:val="single" w:sz="12" w:space="0" w:color="auto"/>
              <w:bottom w:val="single" w:sz="12" w:space="0" w:color="auto"/>
            </w:tcBorders>
          </w:tcPr>
          <w:p w14:paraId="3E5D2A1F"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p>
        </w:tc>
      </w:tr>
      <w:tr w:rsidR="00B62F90" w:rsidRPr="00B62F90" w14:paraId="3E66BEFF"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bottom w:val="single" w:sz="12" w:space="0" w:color="auto"/>
              <w:right w:val="single" w:sz="12" w:space="0" w:color="FFFFFF"/>
            </w:tcBorders>
          </w:tcPr>
          <w:p w14:paraId="1E14B821"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Amino acids</w:t>
            </w:r>
          </w:p>
        </w:tc>
        <w:tc>
          <w:tcPr>
            <w:tcW w:w="1870" w:type="dxa"/>
            <w:tcBorders>
              <w:top w:val="single" w:sz="12" w:space="0" w:color="auto"/>
              <w:left w:val="single" w:sz="12" w:space="0" w:color="FFFFFF"/>
              <w:bottom w:val="single" w:sz="12" w:space="0" w:color="auto"/>
              <w:right w:val="single" w:sz="4" w:space="0" w:color="FFFFFF"/>
            </w:tcBorders>
          </w:tcPr>
          <w:p w14:paraId="1BE889AE"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µ</w:t>
            </w:r>
            <w:r w:rsidRPr="00B62F90">
              <w:rPr>
                <w:rFonts w:ascii="Calibri" w:hAnsi="Calibri"/>
              </w:rPr>
              <w:t>Mol/L</w:t>
            </w:r>
          </w:p>
        </w:tc>
        <w:tc>
          <w:tcPr>
            <w:tcW w:w="1870" w:type="dxa"/>
            <w:tcBorders>
              <w:top w:val="single" w:sz="12" w:space="0" w:color="auto"/>
              <w:left w:val="single" w:sz="4" w:space="0" w:color="FFFFFF"/>
              <w:bottom w:val="single" w:sz="12" w:space="0" w:color="auto"/>
              <w:right w:val="single" w:sz="12" w:space="0" w:color="auto"/>
            </w:tcBorders>
          </w:tcPr>
          <w:p w14:paraId="42F69AD3"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Percent (%)</w:t>
            </w:r>
          </w:p>
        </w:tc>
        <w:tc>
          <w:tcPr>
            <w:tcW w:w="1870" w:type="dxa"/>
            <w:tcBorders>
              <w:top w:val="single" w:sz="12" w:space="0" w:color="auto"/>
              <w:left w:val="single" w:sz="12" w:space="0" w:color="auto"/>
              <w:bottom w:val="single" w:sz="12" w:space="0" w:color="auto"/>
              <w:right w:val="single" w:sz="4" w:space="0" w:color="FFFFFF"/>
            </w:tcBorders>
          </w:tcPr>
          <w:p w14:paraId="099E567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µ</w:t>
            </w:r>
            <w:r w:rsidRPr="00B62F90">
              <w:rPr>
                <w:rFonts w:ascii="Calibri" w:hAnsi="Calibri"/>
              </w:rPr>
              <w:t xml:space="preserve">Mol/L </w:t>
            </w:r>
          </w:p>
        </w:tc>
        <w:tc>
          <w:tcPr>
            <w:tcW w:w="1870" w:type="dxa"/>
            <w:tcBorders>
              <w:top w:val="single" w:sz="12" w:space="0" w:color="auto"/>
              <w:left w:val="single" w:sz="4" w:space="0" w:color="FFFFFF"/>
              <w:bottom w:val="single" w:sz="12" w:space="0" w:color="auto"/>
            </w:tcBorders>
          </w:tcPr>
          <w:p w14:paraId="1A68B7FA"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Percent</w:t>
            </w:r>
            <w:r w:rsidRPr="00B62F90">
              <w:rPr>
                <w:rFonts w:ascii="Calibri" w:hAnsi="Calibri"/>
              </w:rPr>
              <w:t xml:space="preserve"> (%)</w:t>
            </w:r>
          </w:p>
        </w:tc>
      </w:tr>
      <w:tr w:rsidR="00B62F90" w:rsidRPr="00B62F90" w14:paraId="03762164" w14:textId="77777777" w:rsidTr="00B62F90">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FFFFFF"/>
            </w:tcBorders>
          </w:tcPr>
          <w:p w14:paraId="06BA19ED"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 xml:space="preserve"> Arginine</w:t>
            </w:r>
          </w:p>
        </w:tc>
        <w:tc>
          <w:tcPr>
            <w:tcW w:w="1870" w:type="dxa"/>
            <w:tcBorders>
              <w:top w:val="single" w:sz="12" w:space="0" w:color="FFFFFF"/>
            </w:tcBorders>
          </w:tcPr>
          <w:p w14:paraId="2C81520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8.82</w:t>
            </w:r>
          </w:p>
        </w:tc>
        <w:tc>
          <w:tcPr>
            <w:tcW w:w="1870" w:type="dxa"/>
            <w:tcBorders>
              <w:top w:val="single" w:sz="12" w:space="0" w:color="FFFFFF"/>
            </w:tcBorders>
          </w:tcPr>
          <w:p w14:paraId="78354BA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0.86</w:t>
            </w:r>
          </w:p>
        </w:tc>
        <w:tc>
          <w:tcPr>
            <w:tcW w:w="1870" w:type="dxa"/>
            <w:tcBorders>
              <w:top w:val="single" w:sz="12" w:space="0" w:color="FFFFFF"/>
              <w:right w:val="single" w:sz="4" w:space="0" w:color="FFFFFF"/>
            </w:tcBorders>
          </w:tcPr>
          <w:p w14:paraId="2FA3655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110.82</w:t>
            </w:r>
          </w:p>
        </w:tc>
        <w:tc>
          <w:tcPr>
            <w:tcW w:w="1870" w:type="dxa"/>
            <w:tcBorders>
              <w:top w:val="single" w:sz="12" w:space="0" w:color="FFFFFF"/>
              <w:left w:val="single" w:sz="4" w:space="0" w:color="FFFFFF"/>
            </w:tcBorders>
          </w:tcPr>
          <w:p w14:paraId="2A72716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2.86</w:t>
            </w:r>
          </w:p>
        </w:tc>
      </w:tr>
      <w:tr w:rsidR="00B62F90" w:rsidRPr="00B62F90" w14:paraId="2966F780"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5EBB50B"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Histidine</w:t>
            </w:r>
          </w:p>
        </w:tc>
        <w:tc>
          <w:tcPr>
            <w:tcW w:w="1870" w:type="dxa"/>
          </w:tcPr>
          <w:p w14:paraId="1E8D5E49"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6.58</w:t>
            </w:r>
          </w:p>
        </w:tc>
        <w:tc>
          <w:tcPr>
            <w:tcW w:w="1870" w:type="dxa"/>
          </w:tcPr>
          <w:p w14:paraId="3066D097"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0.64</w:t>
            </w:r>
          </w:p>
        </w:tc>
        <w:tc>
          <w:tcPr>
            <w:tcW w:w="1870" w:type="dxa"/>
          </w:tcPr>
          <w:p w14:paraId="735D01E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231.79</w:t>
            </w:r>
          </w:p>
        </w:tc>
        <w:tc>
          <w:tcPr>
            <w:tcW w:w="1870" w:type="dxa"/>
          </w:tcPr>
          <w:p w14:paraId="521FCF77"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5.98</w:t>
            </w:r>
          </w:p>
        </w:tc>
      </w:tr>
      <w:tr w:rsidR="00B62F90" w:rsidRPr="00B62F90" w14:paraId="1E62B862"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6E31B939"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Lysine</w:t>
            </w:r>
          </w:p>
        </w:tc>
        <w:tc>
          <w:tcPr>
            <w:tcW w:w="1870" w:type="dxa"/>
          </w:tcPr>
          <w:p w14:paraId="049BA3BE"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5.40</w:t>
            </w:r>
          </w:p>
        </w:tc>
        <w:tc>
          <w:tcPr>
            <w:tcW w:w="1870" w:type="dxa"/>
          </w:tcPr>
          <w:p w14:paraId="61E55004"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0.53</w:t>
            </w:r>
          </w:p>
        </w:tc>
        <w:tc>
          <w:tcPr>
            <w:tcW w:w="1870" w:type="dxa"/>
          </w:tcPr>
          <w:p w14:paraId="353B98CC"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67.21</w:t>
            </w:r>
          </w:p>
        </w:tc>
        <w:tc>
          <w:tcPr>
            <w:tcW w:w="1870" w:type="dxa"/>
          </w:tcPr>
          <w:p w14:paraId="4A61A0C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1.73</w:t>
            </w:r>
          </w:p>
        </w:tc>
      </w:tr>
      <w:tr w:rsidR="00B62F90" w:rsidRPr="00B62F90" w14:paraId="29783E92"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C484E42"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Serine</w:t>
            </w:r>
          </w:p>
        </w:tc>
        <w:tc>
          <w:tcPr>
            <w:tcW w:w="1870" w:type="dxa"/>
          </w:tcPr>
          <w:p w14:paraId="0CEF1ED5"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122.39</w:t>
            </w:r>
          </w:p>
        </w:tc>
        <w:tc>
          <w:tcPr>
            <w:tcW w:w="1870" w:type="dxa"/>
          </w:tcPr>
          <w:p w14:paraId="4C7E979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11.92</w:t>
            </w:r>
          </w:p>
        </w:tc>
        <w:tc>
          <w:tcPr>
            <w:tcW w:w="1870" w:type="dxa"/>
          </w:tcPr>
          <w:p w14:paraId="2F8A36E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150.12</w:t>
            </w:r>
          </w:p>
        </w:tc>
        <w:tc>
          <w:tcPr>
            <w:tcW w:w="1870" w:type="dxa"/>
          </w:tcPr>
          <w:p w14:paraId="6468F47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3.87</w:t>
            </w:r>
          </w:p>
        </w:tc>
      </w:tr>
      <w:tr w:rsidR="00B62F90" w:rsidRPr="00B62F90" w14:paraId="4815EA89"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050534BE"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Alanine</w:t>
            </w:r>
          </w:p>
        </w:tc>
        <w:tc>
          <w:tcPr>
            <w:tcW w:w="1870" w:type="dxa"/>
          </w:tcPr>
          <w:p w14:paraId="33C51E5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94.34</w:t>
            </w:r>
          </w:p>
        </w:tc>
        <w:tc>
          <w:tcPr>
            <w:tcW w:w="1870" w:type="dxa"/>
          </w:tcPr>
          <w:p w14:paraId="2C2A984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9.19</w:t>
            </w:r>
          </w:p>
        </w:tc>
        <w:tc>
          <w:tcPr>
            <w:tcW w:w="1870" w:type="dxa"/>
          </w:tcPr>
          <w:p w14:paraId="791F872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111.60</w:t>
            </w:r>
          </w:p>
        </w:tc>
        <w:tc>
          <w:tcPr>
            <w:tcW w:w="1870" w:type="dxa"/>
          </w:tcPr>
          <w:p w14:paraId="4990839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2.88</w:t>
            </w:r>
          </w:p>
        </w:tc>
      </w:tr>
      <w:tr w:rsidR="00B62F90" w:rsidRPr="00B62F90" w14:paraId="42538180"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BD37512"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Proline</w:t>
            </w:r>
          </w:p>
        </w:tc>
        <w:tc>
          <w:tcPr>
            <w:tcW w:w="1870" w:type="dxa"/>
          </w:tcPr>
          <w:p w14:paraId="4A3EEB3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10.54</w:t>
            </w:r>
          </w:p>
        </w:tc>
        <w:tc>
          <w:tcPr>
            <w:tcW w:w="1870" w:type="dxa"/>
          </w:tcPr>
          <w:p w14:paraId="6AD24EE1"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1.03</w:t>
            </w:r>
          </w:p>
        </w:tc>
        <w:tc>
          <w:tcPr>
            <w:tcW w:w="1870" w:type="dxa"/>
          </w:tcPr>
          <w:p w14:paraId="21290CE5"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49.14</w:t>
            </w:r>
          </w:p>
        </w:tc>
        <w:tc>
          <w:tcPr>
            <w:tcW w:w="1870" w:type="dxa"/>
          </w:tcPr>
          <w:p w14:paraId="3EE06A1C"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1.27</w:t>
            </w:r>
          </w:p>
        </w:tc>
      </w:tr>
      <w:tr w:rsidR="00B62F90" w:rsidRPr="00B62F90" w14:paraId="6A63FCBE"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189BD05D"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Asparagine</w:t>
            </w:r>
          </w:p>
        </w:tc>
        <w:tc>
          <w:tcPr>
            <w:tcW w:w="1870" w:type="dxa"/>
          </w:tcPr>
          <w:p w14:paraId="2C95307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369.93</w:t>
            </w:r>
          </w:p>
        </w:tc>
        <w:tc>
          <w:tcPr>
            <w:tcW w:w="1870" w:type="dxa"/>
          </w:tcPr>
          <w:p w14:paraId="727207C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36.03</w:t>
            </w:r>
          </w:p>
        </w:tc>
        <w:tc>
          <w:tcPr>
            <w:tcW w:w="1870" w:type="dxa"/>
          </w:tcPr>
          <w:p w14:paraId="1BA1F587"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2316.64</w:t>
            </w:r>
          </w:p>
        </w:tc>
        <w:tc>
          <w:tcPr>
            <w:tcW w:w="1870" w:type="dxa"/>
          </w:tcPr>
          <w:p w14:paraId="2F54FC68"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60.00</w:t>
            </w:r>
          </w:p>
        </w:tc>
      </w:tr>
      <w:tr w:rsidR="00B62F90" w:rsidRPr="00B62F90" w14:paraId="5E2076FB"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8E3F27F"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glutamine</w:t>
            </w:r>
          </w:p>
        </w:tc>
        <w:tc>
          <w:tcPr>
            <w:tcW w:w="1870" w:type="dxa"/>
          </w:tcPr>
          <w:p w14:paraId="7BDAB412"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24.13</w:t>
            </w:r>
          </w:p>
        </w:tc>
        <w:tc>
          <w:tcPr>
            <w:tcW w:w="1870" w:type="dxa"/>
          </w:tcPr>
          <w:p w14:paraId="103B10C0"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2.35</w:t>
            </w:r>
          </w:p>
        </w:tc>
        <w:tc>
          <w:tcPr>
            <w:tcW w:w="1870" w:type="dxa"/>
          </w:tcPr>
          <w:p w14:paraId="44FE531E"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126.94</w:t>
            </w:r>
          </w:p>
        </w:tc>
        <w:tc>
          <w:tcPr>
            <w:tcW w:w="1870" w:type="dxa"/>
          </w:tcPr>
          <w:p w14:paraId="6BC776AB"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3.28</w:t>
            </w:r>
          </w:p>
        </w:tc>
      </w:tr>
      <w:tr w:rsidR="00B62F90" w:rsidRPr="00B62F90" w14:paraId="3336821F"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1E815493"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Threonine</w:t>
            </w:r>
          </w:p>
        </w:tc>
        <w:tc>
          <w:tcPr>
            <w:tcW w:w="1870" w:type="dxa"/>
          </w:tcPr>
          <w:p w14:paraId="629659A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30.99</w:t>
            </w:r>
          </w:p>
        </w:tc>
        <w:tc>
          <w:tcPr>
            <w:tcW w:w="1870" w:type="dxa"/>
          </w:tcPr>
          <w:p w14:paraId="3CF9413E"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3.02</w:t>
            </w:r>
          </w:p>
        </w:tc>
        <w:tc>
          <w:tcPr>
            <w:tcW w:w="1870" w:type="dxa"/>
          </w:tcPr>
          <w:p w14:paraId="4148B38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33.08</w:t>
            </w:r>
          </w:p>
        </w:tc>
        <w:tc>
          <w:tcPr>
            <w:tcW w:w="1870" w:type="dxa"/>
          </w:tcPr>
          <w:p w14:paraId="1D1B1662"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0.85</w:t>
            </w:r>
          </w:p>
        </w:tc>
      </w:tr>
      <w:tr w:rsidR="00B62F90" w:rsidRPr="00B62F90" w14:paraId="2F6F1114"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D2AB4E7"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Glutamic acid</w:t>
            </w:r>
          </w:p>
        </w:tc>
        <w:tc>
          <w:tcPr>
            <w:tcW w:w="1870" w:type="dxa"/>
          </w:tcPr>
          <w:p w14:paraId="7A6AF35B"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178.34</w:t>
            </w:r>
          </w:p>
        </w:tc>
        <w:tc>
          <w:tcPr>
            <w:tcW w:w="1870" w:type="dxa"/>
          </w:tcPr>
          <w:p w14:paraId="7406EA6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17.37</w:t>
            </w:r>
          </w:p>
        </w:tc>
        <w:tc>
          <w:tcPr>
            <w:tcW w:w="1870" w:type="dxa"/>
          </w:tcPr>
          <w:p w14:paraId="485B9DD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151.53</w:t>
            </w:r>
          </w:p>
        </w:tc>
        <w:tc>
          <w:tcPr>
            <w:tcW w:w="1870" w:type="dxa"/>
          </w:tcPr>
          <w:p w14:paraId="7DC2A63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3.91</w:t>
            </w:r>
          </w:p>
        </w:tc>
      </w:tr>
      <w:tr w:rsidR="00B62F90" w:rsidRPr="00B62F90" w14:paraId="49DBAB10"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52EEED3A"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Valine</w:t>
            </w:r>
          </w:p>
        </w:tc>
        <w:tc>
          <w:tcPr>
            <w:tcW w:w="1870" w:type="dxa"/>
          </w:tcPr>
          <w:p w14:paraId="330FB66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15.58</w:t>
            </w:r>
          </w:p>
        </w:tc>
        <w:tc>
          <w:tcPr>
            <w:tcW w:w="1870" w:type="dxa"/>
          </w:tcPr>
          <w:p w14:paraId="7CD5F35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1.52</w:t>
            </w:r>
          </w:p>
        </w:tc>
        <w:tc>
          <w:tcPr>
            <w:tcW w:w="1870" w:type="dxa"/>
          </w:tcPr>
          <w:p w14:paraId="36E66EC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46.45</w:t>
            </w:r>
          </w:p>
        </w:tc>
        <w:tc>
          <w:tcPr>
            <w:tcW w:w="1870" w:type="dxa"/>
          </w:tcPr>
          <w:p w14:paraId="4135D93C"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1.20</w:t>
            </w:r>
          </w:p>
        </w:tc>
      </w:tr>
      <w:tr w:rsidR="00B62F90" w:rsidRPr="00B62F90" w14:paraId="48CCFAF6"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B3E5D9B"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Methionine</w:t>
            </w:r>
          </w:p>
        </w:tc>
        <w:tc>
          <w:tcPr>
            <w:tcW w:w="1870" w:type="dxa"/>
          </w:tcPr>
          <w:p w14:paraId="7299C02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1.85</w:t>
            </w:r>
          </w:p>
        </w:tc>
        <w:tc>
          <w:tcPr>
            <w:tcW w:w="1870" w:type="dxa"/>
          </w:tcPr>
          <w:p w14:paraId="0F6D5E87"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0.18</w:t>
            </w:r>
          </w:p>
        </w:tc>
        <w:tc>
          <w:tcPr>
            <w:tcW w:w="1870" w:type="dxa"/>
          </w:tcPr>
          <w:p w14:paraId="71D02A1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2.48</w:t>
            </w:r>
          </w:p>
        </w:tc>
        <w:tc>
          <w:tcPr>
            <w:tcW w:w="1870" w:type="dxa"/>
          </w:tcPr>
          <w:p w14:paraId="59EBDEBE"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0.06</w:t>
            </w:r>
          </w:p>
        </w:tc>
      </w:tr>
      <w:tr w:rsidR="00B62F90" w:rsidRPr="00B62F90" w14:paraId="326D3A5B"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7AC48455"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Aspartic acid</w:t>
            </w:r>
          </w:p>
        </w:tc>
        <w:tc>
          <w:tcPr>
            <w:tcW w:w="1870" w:type="dxa"/>
          </w:tcPr>
          <w:p w14:paraId="6015B05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115.37</w:t>
            </w:r>
          </w:p>
        </w:tc>
        <w:tc>
          <w:tcPr>
            <w:tcW w:w="1870" w:type="dxa"/>
          </w:tcPr>
          <w:p w14:paraId="3B1A85A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11.24</w:t>
            </w:r>
          </w:p>
        </w:tc>
        <w:tc>
          <w:tcPr>
            <w:tcW w:w="1870" w:type="dxa"/>
          </w:tcPr>
          <w:p w14:paraId="0386D45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105.58</w:t>
            </w:r>
          </w:p>
        </w:tc>
        <w:tc>
          <w:tcPr>
            <w:tcW w:w="1870" w:type="dxa"/>
          </w:tcPr>
          <w:p w14:paraId="668C60D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2.72</w:t>
            </w:r>
          </w:p>
        </w:tc>
      </w:tr>
      <w:tr w:rsidR="00B62F90" w:rsidRPr="00B62F90" w14:paraId="1FF22DDE"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3648BC1"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Tyrosine</w:t>
            </w:r>
          </w:p>
        </w:tc>
        <w:tc>
          <w:tcPr>
            <w:tcW w:w="1870" w:type="dxa"/>
          </w:tcPr>
          <w:p w14:paraId="635224A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3.85</w:t>
            </w:r>
          </w:p>
        </w:tc>
        <w:tc>
          <w:tcPr>
            <w:tcW w:w="1870" w:type="dxa"/>
          </w:tcPr>
          <w:p w14:paraId="61552E0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0.37</w:t>
            </w:r>
          </w:p>
        </w:tc>
        <w:tc>
          <w:tcPr>
            <w:tcW w:w="1870" w:type="dxa"/>
          </w:tcPr>
          <w:p w14:paraId="1BD48D9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274.47</w:t>
            </w:r>
          </w:p>
        </w:tc>
        <w:tc>
          <w:tcPr>
            <w:tcW w:w="1870" w:type="dxa"/>
          </w:tcPr>
          <w:p w14:paraId="44482CF9"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7.08</w:t>
            </w:r>
          </w:p>
        </w:tc>
      </w:tr>
      <w:tr w:rsidR="00B62F90" w:rsidRPr="00B62F90" w14:paraId="0E425545"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28D65639"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Isoleucine</w:t>
            </w:r>
          </w:p>
        </w:tc>
        <w:tc>
          <w:tcPr>
            <w:tcW w:w="1870" w:type="dxa"/>
          </w:tcPr>
          <w:p w14:paraId="41B6818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10.36</w:t>
            </w:r>
          </w:p>
        </w:tc>
        <w:tc>
          <w:tcPr>
            <w:tcW w:w="1870" w:type="dxa"/>
          </w:tcPr>
          <w:p w14:paraId="1192FF9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1.00</w:t>
            </w:r>
          </w:p>
        </w:tc>
        <w:tc>
          <w:tcPr>
            <w:tcW w:w="1870" w:type="dxa"/>
          </w:tcPr>
          <w:p w14:paraId="4F631F03"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31.38</w:t>
            </w:r>
          </w:p>
        </w:tc>
        <w:tc>
          <w:tcPr>
            <w:tcW w:w="1870" w:type="dxa"/>
          </w:tcPr>
          <w:p w14:paraId="28A99EE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0.81</w:t>
            </w:r>
          </w:p>
        </w:tc>
      </w:tr>
      <w:tr w:rsidR="00B62F90" w:rsidRPr="00B62F90" w14:paraId="2ACBD050"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1CDFEE0"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Leucine</w:t>
            </w:r>
          </w:p>
        </w:tc>
        <w:tc>
          <w:tcPr>
            <w:tcW w:w="1870" w:type="dxa"/>
          </w:tcPr>
          <w:p w14:paraId="76B7A3C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15.95</w:t>
            </w:r>
          </w:p>
        </w:tc>
        <w:tc>
          <w:tcPr>
            <w:tcW w:w="1870" w:type="dxa"/>
          </w:tcPr>
          <w:p w14:paraId="7E13D3CC"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1.55</w:t>
            </w:r>
          </w:p>
        </w:tc>
        <w:tc>
          <w:tcPr>
            <w:tcW w:w="1870" w:type="dxa"/>
          </w:tcPr>
          <w:p w14:paraId="59B141B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18.76</w:t>
            </w:r>
          </w:p>
        </w:tc>
        <w:tc>
          <w:tcPr>
            <w:tcW w:w="1870" w:type="dxa"/>
          </w:tcPr>
          <w:p w14:paraId="0032755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0.48</w:t>
            </w:r>
          </w:p>
        </w:tc>
      </w:tr>
      <w:tr w:rsidR="00B62F90" w:rsidRPr="00B62F90" w14:paraId="68010CDD"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68035AC3"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Phenylalanine</w:t>
            </w:r>
          </w:p>
        </w:tc>
        <w:tc>
          <w:tcPr>
            <w:tcW w:w="1870" w:type="dxa"/>
          </w:tcPr>
          <w:p w14:paraId="63BDE0E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10.66</w:t>
            </w:r>
          </w:p>
        </w:tc>
        <w:tc>
          <w:tcPr>
            <w:tcW w:w="1870" w:type="dxa"/>
          </w:tcPr>
          <w:p w14:paraId="066AC82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1.04</w:t>
            </w:r>
          </w:p>
        </w:tc>
        <w:tc>
          <w:tcPr>
            <w:tcW w:w="1870" w:type="dxa"/>
          </w:tcPr>
          <w:p w14:paraId="498C604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43.25</w:t>
            </w:r>
          </w:p>
        </w:tc>
        <w:tc>
          <w:tcPr>
            <w:tcW w:w="1870" w:type="dxa"/>
          </w:tcPr>
          <w:p w14:paraId="29561F7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1.12</w:t>
            </w:r>
          </w:p>
        </w:tc>
      </w:tr>
      <w:tr w:rsidR="00B62F90" w:rsidRPr="00B62F90" w14:paraId="4B183385"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bottom w:val="single" w:sz="12" w:space="0" w:color="auto"/>
            </w:tcBorders>
          </w:tcPr>
          <w:p w14:paraId="0B5759D3"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Tryptophan</w:t>
            </w:r>
          </w:p>
        </w:tc>
        <w:tc>
          <w:tcPr>
            <w:tcW w:w="1870" w:type="dxa"/>
            <w:tcBorders>
              <w:bottom w:val="single" w:sz="12" w:space="0" w:color="auto"/>
            </w:tcBorders>
          </w:tcPr>
          <w:p w14:paraId="311D977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1.72</w:t>
            </w:r>
          </w:p>
        </w:tc>
        <w:tc>
          <w:tcPr>
            <w:tcW w:w="1870" w:type="dxa"/>
            <w:tcBorders>
              <w:bottom w:val="single" w:sz="12" w:space="0" w:color="auto"/>
            </w:tcBorders>
          </w:tcPr>
          <w:p w14:paraId="5748A9B0"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0.17</w:t>
            </w:r>
          </w:p>
        </w:tc>
        <w:tc>
          <w:tcPr>
            <w:tcW w:w="1870" w:type="dxa"/>
            <w:tcBorders>
              <w:bottom w:val="single" w:sz="12" w:space="0" w:color="auto"/>
            </w:tcBorders>
          </w:tcPr>
          <w:p w14:paraId="19A2AFA3"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4.41</w:t>
            </w:r>
          </w:p>
        </w:tc>
        <w:tc>
          <w:tcPr>
            <w:tcW w:w="1870" w:type="dxa"/>
            <w:tcBorders>
              <w:bottom w:val="single" w:sz="12" w:space="0" w:color="auto"/>
            </w:tcBorders>
          </w:tcPr>
          <w:p w14:paraId="1138CCDF"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0.11</w:t>
            </w:r>
          </w:p>
        </w:tc>
      </w:tr>
      <w:tr w:rsidR="00B62F90" w:rsidRPr="00B62F90" w14:paraId="791D8016" w14:textId="77777777" w:rsidTr="00B62F90">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auto"/>
              <w:bottom w:val="single" w:sz="12" w:space="0" w:color="auto"/>
            </w:tcBorders>
          </w:tcPr>
          <w:p w14:paraId="7A7D4B1B"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Total Conc.</w:t>
            </w:r>
          </w:p>
        </w:tc>
        <w:tc>
          <w:tcPr>
            <w:tcW w:w="1870" w:type="dxa"/>
            <w:tcBorders>
              <w:top w:val="single" w:sz="12" w:space="0" w:color="auto"/>
              <w:bottom w:val="single" w:sz="12" w:space="0" w:color="auto"/>
            </w:tcBorders>
          </w:tcPr>
          <w:p w14:paraId="33B74A3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1026.80</w:t>
            </w:r>
            <w:r w:rsidRPr="00B62F90">
              <w:rPr>
                <w:rFonts w:ascii="Times New Roman" w:hAnsi="Times New Roman"/>
                <w:sz w:val="28"/>
                <w:szCs w:val="28"/>
                <w:vertAlign w:val="superscript"/>
              </w:rPr>
              <w:t>a</w:t>
            </w:r>
          </w:p>
        </w:tc>
        <w:tc>
          <w:tcPr>
            <w:tcW w:w="1870" w:type="dxa"/>
            <w:tcBorders>
              <w:top w:val="single" w:sz="12" w:space="0" w:color="auto"/>
              <w:bottom w:val="single" w:sz="12" w:space="0" w:color="auto"/>
            </w:tcBorders>
          </w:tcPr>
          <w:p w14:paraId="19A5E53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870" w:type="dxa"/>
            <w:tcBorders>
              <w:top w:val="single" w:sz="12" w:space="0" w:color="auto"/>
              <w:bottom w:val="single" w:sz="12" w:space="0" w:color="auto"/>
            </w:tcBorders>
          </w:tcPr>
          <w:p w14:paraId="0C561C6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 xml:space="preserve"> 3875.64</w:t>
            </w:r>
            <w:r w:rsidRPr="00B62F90">
              <w:rPr>
                <w:rFonts w:ascii="Times New Roman" w:hAnsi="Times New Roman"/>
                <w:sz w:val="28"/>
                <w:szCs w:val="28"/>
                <w:vertAlign w:val="superscript"/>
              </w:rPr>
              <w:t>b</w:t>
            </w:r>
          </w:p>
        </w:tc>
        <w:tc>
          <w:tcPr>
            <w:tcW w:w="1870" w:type="dxa"/>
            <w:tcBorders>
              <w:top w:val="single" w:sz="12" w:space="0" w:color="auto"/>
              <w:bottom w:val="single" w:sz="12" w:space="0" w:color="auto"/>
            </w:tcBorders>
          </w:tcPr>
          <w:p w14:paraId="5E8D986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7BC7BACF" w14:textId="77777777" w:rsidR="00B62F90" w:rsidRPr="00B62F90" w:rsidRDefault="00B62F90" w:rsidP="00B62F90">
      <w:pPr>
        <w:tabs>
          <w:tab w:val="left" w:pos="1340"/>
        </w:tabs>
        <w:spacing w:after="200" w:line="276" w:lineRule="auto"/>
        <w:rPr>
          <w:rFonts w:ascii="Times New Roman" w:eastAsia="Calibri" w:hAnsi="Times New Roman"/>
          <w:b/>
          <w:sz w:val="24"/>
          <w:szCs w:val="24"/>
          <w:lang w:val="en-GB"/>
        </w:rPr>
      </w:pPr>
    </w:p>
    <w:p w14:paraId="385689EA" w14:textId="77777777" w:rsidR="00B62F90" w:rsidRPr="003875CC" w:rsidRDefault="00B62F90" w:rsidP="00B62F90">
      <w:pPr>
        <w:tabs>
          <w:tab w:val="left" w:pos="1340"/>
        </w:tabs>
        <w:spacing w:after="200" w:line="276" w:lineRule="auto"/>
        <w:rPr>
          <w:rFonts w:ascii="Arial" w:eastAsia="Calibri" w:hAnsi="Arial" w:cs="Arial"/>
          <w:b/>
          <w:lang w:val="en-GB"/>
        </w:rPr>
      </w:pPr>
    </w:p>
    <w:p w14:paraId="6AF5B371" w14:textId="77777777" w:rsidR="00B62F90" w:rsidRPr="00B62F90" w:rsidRDefault="00B62F90" w:rsidP="00B62F90">
      <w:pPr>
        <w:tabs>
          <w:tab w:val="left" w:pos="1340"/>
        </w:tabs>
        <w:spacing w:after="200" w:line="276" w:lineRule="auto"/>
        <w:rPr>
          <w:rFonts w:ascii="Times New Roman" w:eastAsia="Calibri" w:hAnsi="Times New Roman"/>
          <w:sz w:val="24"/>
          <w:szCs w:val="24"/>
          <w:lang w:val="en-GB"/>
        </w:rPr>
      </w:pPr>
      <w:r w:rsidRPr="003875CC">
        <w:rPr>
          <w:rFonts w:ascii="Arial" w:eastAsia="Calibri" w:hAnsi="Arial" w:cs="Arial"/>
          <w:b/>
          <w:lang w:val="en-GB"/>
        </w:rPr>
        <w:t>Table 6</w:t>
      </w:r>
      <w:r w:rsidRPr="003875CC">
        <w:rPr>
          <w:rFonts w:ascii="Arial" w:eastAsia="Calibri" w:hAnsi="Arial" w:cs="Arial"/>
          <w:lang w:val="en-GB"/>
        </w:rPr>
        <w:t xml:space="preserve">: Total concentration of free essential amino acids (µMol/L) and Percentage of each </w:t>
      </w:r>
      <w:proofErr w:type="spellStart"/>
      <w:r w:rsidRPr="003875CC">
        <w:rPr>
          <w:rFonts w:ascii="Arial" w:eastAsia="Calibri" w:hAnsi="Arial" w:cs="Arial"/>
          <w:lang w:val="en-GB"/>
        </w:rPr>
        <w:t>Eaa’s</w:t>
      </w:r>
      <w:proofErr w:type="spellEnd"/>
      <w:r w:rsidRPr="003875CC">
        <w:rPr>
          <w:rFonts w:ascii="Arial" w:eastAsia="Calibri" w:hAnsi="Arial" w:cs="Arial"/>
          <w:lang w:val="en-GB"/>
        </w:rPr>
        <w:t xml:space="preserve"> in alfalfa and broad bean leaves. Different letters indicate a significant difference at </w:t>
      </w:r>
      <w:r w:rsidRPr="003875CC">
        <w:rPr>
          <w:rFonts w:ascii="Arial" w:eastAsia="Calibri" w:hAnsi="Arial" w:cs="Arial"/>
          <w:i/>
          <w:lang w:val="en-GB"/>
        </w:rPr>
        <w:t>P</w:t>
      </w:r>
      <w:r w:rsidRPr="003875CC">
        <w:rPr>
          <w:rFonts w:ascii="Arial" w:eastAsia="Calibri" w:hAnsi="Arial" w:cs="Arial"/>
          <w:lang w:val="en-GB"/>
        </w:rPr>
        <w:t xml:space="preserve"> &lt; 0.05 in the essential amino acids between alfalfa and broad bean leaf samples</w:t>
      </w:r>
      <w:r w:rsidRPr="00B62F90">
        <w:rPr>
          <w:rFonts w:ascii="Times New Roman" w:eastAsia="Calibri" w:hAnsi="Times New Roman"/>
          <w:sz w:val="24"/>
          <w:szCs w:val="24"/>
          <w:lang w:val="en-GB"/>
        </w:rPr>
        <w:t>.</w:t>
      </w:r>
    </w:p>
    <w:tbl>
      <w:tblPr>
        <w:tblStyle w:val="PlainTable41"/>
        <w:tblW w:w="0" w:type="auto"/>
        <w:tblLook w:val="04A0" w:firstRow="1" w:lastRow="0" w:firstColumn="1" w:lastColumn="0" w:noHBand="0" w:noVBand="1"/>
      </w:tblPr>
      <w:tblGrid>
        <w:gridCol w:w="1848"/>
        <w:gridCol w:w="1848"/>
        <w:gridCol w:w="1848"/>
        <w:gridCol w:w="1849"/>
        <w:gridCol w:w="1849"/>
      </w:tblGrid>
      <w:tr w:rsidR="00B62F90" w:rsidRPr="00B62F90" w14:paraId="28E08ACB" w14:textId="77777777" w:rsidTr="00B6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tcBorders>
          </w:tcPr>
          <w:p w14:paraId="6EF1E34B" w14:textId="77777777" w:rsidR="00B62F90" w:rsidRPr="00B62F90" w:rsidRDefault="00B62F90" w:rsidP="00B62F90">
            <w:pPr>
              <w:tabs>
                <w:tab w:val="left" w:pos="1340"/>
              </w:tabs>
              <w:rPr>
                <w:rFonts w:ascii="Times New Roman" w:hAnsi="Times New Roman"/>
                <w:sz w:val="24"/>
                <w:szCs w:val="24"/>
              </w:rPr>
            </w:pPr>
          </w:p>
        </w:tc>
        <w:tc>
          <w:tcPr>
            <w:tcW w:w="1848" w:type="dxa"/>
            <w:tcBorders>
              <w:top w:val="single" w:sz="12" w:space="0" w:color="000000"/>
              <w:bottom w:val="single" w:sz="12" w:space="0" w:color="000000"/>
            </w:tcBorders>
          </w:tcPr>
          <w:p w14:paraId="50A9AE27"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Alfalfa</w:t>
            </w:r>
          </w:p>
        </w:tc>
        <w:tc>
          <w:tcPr>
            <w:tcW w:w="1848" w:type="dxa"/>
            <w:tcBorders>
              <w:top w:val="single" w:sz="12" w:space="0" w:color="000000"/>
              <w:bottom w:val="single" w:sz="12" w:space="0" w:color="000000"/>
              <w:right w:val="single" w:sz="12" w:space="0" w:color="000000"/>
            </w:tcBorders>
          </w:tcPr>
          <w:p w14:paraId="188AFC64"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left w:val="single" w:sz="12" w:space="0" w:color="000000"/>
              <w:bottom w:val="single" w:sz="12" w:space="0" w:color="000000"/>
            </w:tcBorders>
          </w:tcPr>
          <w:p w14:paraId="27014339"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Broad bean</w:t>
            </w:r>
          </w:p>
        </w:tc>
        <w:tc>
          <w:tcPr>
            <w:tcW w:w="1849" w:type="dxa"/>
            <w:tcBorders>
              <w:top w:val="single" w:sz="12" w:space="0" w:color="000000"/>
              <w:bottom w:val="single" w:sz="12" w:space="0" w:color="000000"/>
            </w:tcBorders>
          </w:tcPr>
          <w:p w14:paraId="767CB2B4"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62F90" w:rsidRPr="00B62F90" w14:paraId="28D20EF7"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000000"/>
            </w:tcBorders>
          </w:tcPr>
          <w:p w14:paraId="49395AB2" w14:textId="77777777" w:rsidR="00B62F90" w:rsidRPr="00B62F90" w:rsidRDefault="00B62F90" w:rsidP="00B62F90">
            <w:pPr>
              <w:tabs>
                <w:tab w:val="left" w:pos="1340"/>
              </w:tabs>
              <w:rPr>
                <w:rFonts w:ascii="Times New Roman" w:hAnsi="Times New Roman"/>
                <w:sz w:val="24"/>
                <w:szCs w:val="24"/>
              </w:rPr>
            </w:pPr>
            <w:proofErr w:type="spellStart"/>
            <w:r w:rsidRPr="00B62F90">
              <w:rPr>
                <w:rFonts w:ascii="Times New Roman" w:hAnsi="Times New Roman"/>
                <w:sz w:val="24"/>
                <w:szCs w:val="24"/>
              </w:rPr>
              <w:t>Eaa’s</w:t>
            </w:r>
            <w:proofErr w:type="spellEnd"/>
          </w:p>
        </w:tc>
        <w:tc>
          <w:tcPr>
            <w:tcW w:w="1848" w:type="dxa"/>
            <w:tcBorders>
              <w:top w:val="single" w:sz="12" w:space="0" w:color="000000"/>
              <w:bottom w:val="single" w:sz="12" w:space="0" w:color="000000"/>
            </w:tcBorders>
          </w:tcPr>
          <w:p w14:paraId="38594D69"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µMol/L</w:t>
            </w:r>
          </w:p>
        </w:tc>
        <w:tc>
          <w:tcPr>
            <w:tcW w:w="1848" w:type="dxa"/>
            <w:tcBorders>
              <w:top w:val="single" w:sz="12" w:space="0" w:color="000000"/>
              <w:bottom w:val="single" w:sz="12" w:space="0" w:color="000000"/>
              <w:right w:val="single" w:sz="12" w:space="0" w:color="000000"/>
            </w:tcBorders>
          </w:tcPr>
          <w:p w14:paraId="54FB7A74"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Percent (%)</w:t>
            </w:r>
          </w:p>
        </w:tc>
        <w:tc>
          <w:tcPr>
            <w:tcW w:w="1849" w:type="dxa"/>
            <w:tcBorders>
              <w:top w:val="single" w:sz="12" w:space="0" w:color="000000"/>
              <w:left w:val="single" w:sz="12" w:space="0" w:color="000000"/>
              <w:bottom w:val="single" w:sz="12" w:space="0" w:color="000000"/>
            </w:tcBorders>
          </w:tcPr>
          <w:p w14:paraId="4E958EA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µMol/L</w:t>
            </w:r>
          </w:p>
        </w:tc>
        <w:tc>
          <w:tcPr>
            <w:tcW w:w="1849" w:type="dxa"/>
            <w:tcBorders>
              <w:top w:val="single" w:sz="12" w:space="0" w:color="000000"/>
              <w:bottom w:val="single" w:sz="12" w:space="0" w:color="000000"/>
            </w:tcBorders>
          </w:tcPr>
          <w:p w14:paraId="5A8E86B1"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Percent (%)</w:t>
            </w:r>
          </w:p>
        </w:tc>
      </w:tr>
      <w:tr w:rsidR="00B62F90" w:rsidRPr="00B62F90" w14:paraId="14B25581"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tcBorders>
          </w:tcPr>
          <w:p w14:paraId="1D94EB54"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Histidine</w:t>
            </w:r>
          </w:p>
        </w:tc>
        <w:tc>
          <w:tcPr>
            <w:tcW w:w="1848" w:type="dxa"/>
            <w:tcBorders>
              <w:top w:val="single" w:sz="12" w:space="0" w:color="000000"/>
            </w:tcBorders>
          </w:tcPr>
          <w:p w14:paraId="7514C7EF"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6.58</w:t>
            </w:r>
          </w:p>
        </w:tc>
        <w:tc>
          <w:tcPr>
            <w:tcW w:w="1848" w:type="dxa"/>
            <w:tcBorders>
              <w:top w:val="single" w:sz="12" w:space="0" w:color="000000"/>
            </w:tcBorders>
          </w:tcPr>
          <w:p w14:paraId="39471489"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6.64</w:t>
            </w:r>
          </w:p>
        </w:tc>
        <w:tc>
          <w:tcPr>
            <w:tcW w:w="1849" w:type="dxa"/>
            <w:tcBorders>
              <w:top w:val="single" w:sz="12" w:space="0" w:color="000000"/>
            </w:tcBorders>
          </w:tcPr>
          <w:p w14:paraId="76EB9738"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231.79</w:t>
            </w:r>
          </w:p>
        </w:tc>
        <w:tc>
          <w:tcPr>
            <w:tcW w:w="1849" w:type="dxa"/>
            <w:tcBorders>
              <w:top w:val="single" w:sz="12" w:space="0" w:color="000000"/>
            </w:tcBorders>
          </w:tcPr>
          <w:p w14:paraId="47153C2D"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48.41</w:t>
            </w:r>
          </w:p>
        </w:tc>
      </w:tr>
      <w:tr w:rsidR="00B62F90" w:rsidRPr="00B62F90" w14:paraId="33B2B2A9"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1886F076"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Isoleucine</w:t>
            </w:r>
          </w:p>
        </w:tc>
        <w:tc>
          <w:tcPr>
            <w:tcW w:w="1848" w:type="dxa"/>
          </w:tcPr>
          <w:p w14:paraId="0BC393FF"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10.36</w:t>
            </w:r>
          </w:p>
        </w:tc>
        <w:tc>
          <w:tcPr>
            <w:tcW w:w="1848" w:type="dxa"/>
          </w:tcPr>
          <w:p w14:paraId="691148CB"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10.46</w:t>
            </w:r>
          </w:p>
        </w:tc>
        <w:tc>
          <w:tcPr>
            <w:tcW w:w="1849" w:type="dxa"/>
          </w:tcPr>
          <w:p w14:paraId="57228590"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31.38</w:t>
            </w:r>
          </w:p>
        </w:tc>
        <w:tc>
          <w:tcPr>
            <w:tcW w:w="1849" w:type="dxa"/>
          </w:tcPr>
          <w:p w14:paraId="626ABBC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6.55</w:t>
            </w:r>
          </w:p>
        </w:tc>
      </w:tr>
      <w:tr w:rsidR="00B62F90" w:rsidRPr="00B62F90" w14:paraId="5AFA52FF" w14:textId="77777777" w:rsidTr="00B62F90">
        <w:tc>
          <w:tcPr>
            <w:cnfStyle w:val="001000000000" w:firstRow="0" w:lastRow="0" w:firstColumn="1" w:lastColumn="0" w:oddVBand="0" w:evenVBand="0" w:oddHBand="0" w:evenHBand="0" w:firstRowFirstColumn="0" w:firstRowLastColumn="0" w:lastRowFirstColumn="0" w:lastRowLastColumn="0"/>
            <w:tcW w:w="1848" w:type="dxa"/>
          </w:tcPr>
          <w:p w14:paraId="697CD06A"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Leucine</w:t>
            </w:r>
          </w:p>
        </w:tc>
        <w:tc>
          <w:tcPr>
            <w:tcW w:w="1848" w:type="dxa"/>
          </w:tcPr>
          <w:p w14:paraId="7454563C"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15.95</w:t>
            </w:r>
          </w:p>
        </w:tc>
        <w:tc>
          <w:tcPr>
            <w:tcW w:w="1848" w:type="dxa"/>
          </w:tcPr>
          <w:p w14:paraId="627D32EE"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16.10</w:t>
            </w:r>
          </w:p>
        </w:tc>
        <w:tc>
          <w:tcPr>
            <w:tcW w:w="1849" w:type="dxa"/>
          </w:tcPr>
          <w:p w14:paraId="7817CD78"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18.76</w:t>
            </w:r>
          </w:p>
        </w:tc>
        <w:tc>
          <w:tcPr>
            <w:tcW w:w="1849" w:type="dxa"/>
          </w:tcPr>
          <w:p w14:paraId="44325BD8"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3.92</w:t>
            </w:r>
          </w:p>
        </w:tc>
      </w:tr>
      <w:tr w:rsidR="00B62F90" w:rsidRPr="00B62F90" w14:paraId="68E4470E"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504EDF32"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Lysine</w:t>
            </w:r>
          </w:p>
        </w:tc>
        <w:tc>
          <w:tcPr>
            <w:tcW w:w="1848" w:type="dxa"/>
          </w:tcPr>
          <w:p w14:paraId="7CD563D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5.40</w:t>
            </w:r>
          </w:p>
        </w:tc>
        <w:tc>
          <w:tcPr>
            <w:tcW w:w="1848" w:type="dxa"/>
          </w:tcPr>
          <w:p w14:paraId="216437C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5.5</w:t>
            </w:r>
          </w:p>
        </w:tc>
        <w:tc>
          <w:tcPr>
            <w:tcW w:w="1849" w:type="dxa"/>
          </w:tcPr>
          <w:p w14:paraId="1CBC8CC2"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67.21</w:t>
            </w:r>
          </w:p>
        </w:tc>
        <w:tc>
          <w:tcPr>
            <w:tcW w:w="1849" w:type="dxa"/>
          </w:tcPr>
          <w:p w14:paraId="0870C28D"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14.04</w:t>
            </w:r>
          </w:p>
        </w:tc>
      </w:tr>
      <w:tr w:rsidR="00B62F90" w:rsidRPr="00B62F90" w14:paraId="66CA97F8" w14:textId="77777777" w:rsidTr="00B62F90">
        <w:tc>
          <w:tcPr>
            <w:cnfStyle w:val="001000000000" w:firstRow="0" w:lastRow="0" w:firstColumn="1" w:lastColumn="0" w:oddVBand="0" w:evenVBand="0" w:oddHBand="0" w:evenHBand="0" w:firstRowFirstColumn="0" w:firstRowLastColumn="0" w:lastRowFirstColumn="0" w:lastRowLastColumn="0"/>
            <w:tcW w:w="1848" w:type="dxa"/>
          </w:tcPr>
          <w:p w14:paraId="1886C7E5"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Methionine</w:t>
            </w:r>
          </w:p>
        </w:tc>
        <w:tc>
          <w:tcPr>
            <w:tcW w:w="1848" w:type="dxa"/>
          </w:tcPr>
          <w:p w14:paraId="05AF4D93"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1.85</w:t>
            </w:r>
          </w:p>
        </w:tc>
        <w:tc>
          <w:tcPr>
            <w:tcW w:w="1848" w:type="dxa"/>
          </w:tcPr>
          <w:p w14:paraId="313FA86A"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1.87</w:t>
            </w:r>
          </w:p>
        </w:tc>
        <w:tc>
          <w:tcPr>
            <w:tcW w:w="1849" w:type="dxa"/>
          </w:tcPr>
          <w:p w14:paraId="722CC432"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2.48</w:t>
            </w:r>
          </w:p>
        </w:tc>
        <w:tc>
          <w:tcPr>
            <w:tcW w:w="1849" w:type="dxa"/>
          </w:tcPr>
          <w:p w14:paraId="3A6F9C43"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0.52</w:t>
            </w:r>
          </w:p>
        </w:tc>
      </w:tr>
      <w:tr w:rsidR="00B62F90" w:rsidRPr="00B62F90" w14:paraId="5B176CAC"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0534F8F0"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Phenylalanine</w:t>
            </w:r>
          </w:p>
        </w:tc>
        <w:tc>
          <w:tcPr>
            <w:tcW w:w="1848" w:type="dxa"/>
          </w:tcPr>
          <w:p w14:paraId="5C3EBB9E"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10.66</w:t>
            </w:r>
          </w:p>
        </w:tc>
        <w:tc>
          <w:tcPr>
            <w:tcW w:w="1848" w:type="dxa"/>
          </w:tcPr>
          <w:p w14:paraId="6DB09195"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10.76</w:t>
            </w:r>
          </w:p>
        </w:tc>
        <w:tc>
          <w:tcPr>
            <w:tcW w:w="1849" w:type="dxa"/>
          </w:tcPr>
          <w:p w14:paraId="29CE04A1"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43.25</w:t>
            </w:r>
          </w:p>
        </w:tc>
        <w:tc>
          <w:tcPr>
            <w:tcW w:w="1849" w:type="dxa"/>
          </w:tcPr>
          <w:p w14:paraId="5F9465EF"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9.03</w:t>
            </w:r>
          </w:p>
        </w:tc>
      </w:tr>
      <w:tr w:rsidR="00B62F90" w:rsidRPr="00B62F90" w14:paraId="464D7EFC" w14:textId="77777777" w:rsidTr="00B62F90">
        <w:tc>
          <w:tcPr>
            <w:cnfStyle w:val="001000000000" w:firstRow="0" w:lastRow="0" w:firstColumn="1" w:lastColumn="0" w:oddVBand="0" w:evenVBand="0" w:oddHBand="0" w:evenHBand="0" w:firstRowFirstColumn="0" w:firstRowLastColumn="0" w:lastRowFirstColumn="0" w:lastRowLastColumn="0"/>
            <w:tcW w:w="1848" w:type="dxa"/>
          </w:tcPr>
          <w:p w14:paraId="2CB0DD13"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lastRenderedPageBreak/>
              <w:t>Threonine</w:t>
            </w:r>
          </w:p>
        </w:tc>
        <w:tc>
          <w:tcPr>
            <w:tcW w:w="1848" w:type="dxa"/>
          </w:tcPr>
          <w:p w14:paraId="181DEC89"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30.99</w:t>
            </w:r>
          </w:p>
        </w:tc>
        <w:tc>
          <w:tcPr>
            <w:tcW w:w="1848" w:type="dxa"/>
          </w:tcPr>
          <w:p w14:paraId="4F07F3F3"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31.28</w:t>
            </w:r>
          </w:p>
        </w:tc>
        <w:tc>
          <w:tcPr>
            <w:tcW w:w="1849" w:type="dxa"/>
          </w:tcPr>
          <w:p w14:paraId="7F26833F"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33.08</w:t>
            </w:r>
          </w:p>
        </w:tc>
        <w:tc>
          <w:tcPr>
            <w:tcW w:w="1849" w:type="dxa"/>
          </w:tcPr>
          <w:p w14:paraId="0385FD27"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6.91</w:t>
            </w:r>
          </w:p>
        </w:tc>
      </w:tr>
      <w:tr w:rsidR="00B62F90" w:rsidRPr="00B62F90" w14:paraId="671211AC"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260D5DC5"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Tryptophan</w:t>
            </w:r>
          </w:p>
        </w:tc>
        <w:tc>
          <w:tcPr>
            <w:tcW w:w="1848" w:type="dxa"/>
          </w:tcPr>
          <w:p w14:paraId="69D30855"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1.72</w:t>
            </w:r>
          </w:p>
        </w:tc>
        <w:tc>
          <w:tcPr>
            <w:tcW w:w="1848" w:type="dxa"/>
          </w:tcPr>
          <w:p w14:paraId="5FF3A6CE"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1.74</w:t>
            </w:r>
          </w:p>
        </w:tc>
        <w:tc>
          <w:tcPr>
            <w:tcW w:w="1849" w:type="dxa"/>
          </w:tcPr>
          <w:p w14:paraId="21530554"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4.41</w:t>
            </w:r>
          </w:p>
        </w:tc>
        <w:tc>
          <w:tcPr>
            <w:tcW w:w="1849" w:type="dxa"/>
          </w:tcPr>
          <w:p w14:paraId="09002EDA"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0.92</w:t>
            </w:r>
          </w:p>
        </w:tc>
      </w:tr>
      <w:tr w:rsidR="00B62F90" w:rsidRPr="00B62F90" w14:paraId="7F80C6DC"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000000"/>
            </w:tcBorders>
          </w:tcPr>
          <w:p w14:paraId="3B3CE154"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Valine</w:t>
            </w:r>
          </w:p>
        </w:tc>
        <w:tc>
          <w:tcPr>
            <w:tcW w:w="1848" w:type="dxa"/>
            <w:tcBorders>
              <w:bottom w:val="single" w:sz="12" w:space="0" w:color="000000"/>
            </w:tcBorders>
          </w:tcPr>
          <w:p w14:paraId="299D384C"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15.58</w:t>
            </w:r>
          </w:p>
        </w:tc>
        <w:tc>
          <w:tcPr>
            <w:tcW w:w="1848" w:type="dxa"/>
            <w:tcBorders>
              <w:bottom w:val="single" w:sz="12" w:space="0" w:color="000000"/>
            </w:tcBorders>
          </w:tcPr>
          <w:p w14:paraId="0F857ADA"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15.72</w:t>
            </w:r>
          </w:p>
        </w:tc>
        <w:tc>
          <w:tcPr>
            <w:tcW w:w="1849" w:type="dxa"/>
            <w:tcBorders>
              <w:bottom w:val="single" w:sz="12" w:space="0" w:color="000000"/>
            </w:tcBorders>
          </w:tcPr>
          <w:p w14:paraId="0EC6BC5D"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46.45</w:t>
            </w:r>
          </w:p>
        </w:tc>
        <w:tc>
          <w:tcPr>
            <w:tcW w:w="1849" w:type="dxa"/>
            <w:tcBorders>
              <w:bottom w:val="single" w:sz="12" w:space="0" w:color="000000"/>
            </w:tcBorders>
          </w:tcPr>
          <w:p w14:paraId="7934F3FA"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9.70</w:t>
            </w:r>
          </w:p>
        </w:tc>
      </w:tr>
      <w:tr w:rsidR="00B62F90" w:rsidRPr="00B62F90" w14:paraId="45802355"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0A59EEAB"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Total Conc.</w:t>
            </w:r>
          </w:p>
        </w:tc>
        <w:tc>
          <w:tcPr>
            <w:tcW w:w="1848" w:type="dxa"/>
            <w:tcBorders>
              <w:top w:val="single" w:sz="12" w:space="0" w:color="000000"/>
              <w:bottom w:val="single" w:sz="12" w:space="0" w:color="000000"/>
            </w:tcBorders>
          </w:tcPr>
          <w:p w14:paraId="3725DCA1"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99.09</w:t>
            </w:r>
            <w:r w:rsidRPr="00B62F90">
              <w:rPr>
                <w:rFonts w:ascii="Times New Roman" w:hAnsi="Times New Roman"/>
                <w:sz w:val="36"/>
                <w:szCs w:val="36"/>
                <w:vertAlign w:val="superscript"/>
              </w:rPr>
              <w:t>a</w:t>
            </w:r>
          </w:p>
        </w:tc>
        <w:tc>
          <w:tcPr>
            <w:tcW w:w="1848" w:type="dxa"/>
            <w:tcBorders>
              <w:top w:val="single" w:sz="12" w:space="0" w:color="000000"/>
              <w:bottom w:val="single" w:sz="12" w:space="0" w:color="000000"/>
            </w:tcBorders>
          </w:tcPr>
          <w:p w14:paraId="428DE368"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bottom w:val="single" w:sz="12" w:space="0" w:color="000000"/>
            </w:tcBorders>
          </w:tcPr>
          <w:p w14:paraId="5859DB3B"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478.78</w:t>
            </w:r>
            <w:r w:rsidRPr="00B62F90">
              <w:rPr>
                <w:rFonts w:ascii="Times New Roman" w:hAnsi="Times New Roman"/>
                <w:sz w:val="36"/>
                <w:szCs w:val="36"/>
                <w:vertAlign w:val="superscript"/>
              </w:rPr>
              <w:t>b</w:t>
            </w:r>
          </w:p>
        </w:tc>
        <w:tc>
          <w:tcPr>
            <w:tcW w:w="1849" w:type="dxa"/>
            <w:tcBorders>
              <w:top w:val="single" w:sz="12" w:space="0" w:color="000000"/>
              <w:bottom w:val="single" w:sz="12" w:space="0" w:color="000000"/>
            </w:tcBorders>
          </w:tcPr>
          <w:p w14:paraId="0A3C4718"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5FD855E2" w14:textId="77777777" w:rsidR="00B62F90" w:rsidRPr="00B62F90" w:rsidRDefault="00B62F90" w:rsidP="00B62F90">
      <w:pPr>
        <w:spacing w:after="200" w:line="276" w:lineRule="auto"/>
        <w:rPr>
          <w:rFonts w:ascii="Times New Roman" w:eastAsia="Calibri" w:hAnsi="Times New Roman"/>
          <w:sz w:val="24"/>
          <w:szCs w:val="24"/>
          <w:lang w:val="en-GB"/>
        </w:rPr>
      </w:pPr>
    </w:p>
    <w:p w14:paraId="0963AF6C" w14:textId="77777777" w:rsidR="00B62F90" w:rsidRPr="003875CC" w:rsidRDefault="00B62F90" w:rsidP="00B62F90">
      <w:pPr>
        <w:spacing w:after="200" w:line="276" w:lineRule="auto"/>
        <w:rPr>
          <w:rFonts w:ascii="Arial" w:eastAsia="Calibri" w:hAnsi="Arial" w:cs="Arial"/>
          <w:lang w:val="en-GB"/>
        </w:rPr>
      </w:pPr>
      <w:r w:rsidRPr="003875CC">
        <w:rPr>
          <w:rFonts w:ascii="Arial" w:eastAsia="Calibri" w:hAnsi="Arial" w:cs="Arial"/>
          <w:b/>
          <w:lang w:val="en-GB"/>
        </w:rPr>
        <w:t>Table 7</w:t>
      </w:r>
      <w:r w:rsidRPr="003875CC">
        <w:rPr>
          <w:rFonts w:ascii="Arial" w:eastAsia="Calibri" w:hAnsi="Arial" w:cs="Arial"/>
          <w:lang w:val="en-GB"/>
        </w:rPr>
        <w:t xml:space="preserve">: Total concentration of sugars (mg/L) from leaves of alfalfa and broad beans </w:t>
      </w:r>
      <w:r w:rsidRPr="003875CC">
        <w:rPr>
          <w:rFonts w:ascii="Arial" w:eastAsia="Calibri" w:hAnsi="Arial" w:cs="Arial"/>
          <w:i/>
          <w:lang w:val="en-GB"/>
        </w:rPr>
        <w:t xml:space="preserve">n = </w:t>
      </w:r>
      <w:r w:rsidRPr="003875CC">
        <w:rPr>
          <w:rFonts w:ascii="Arial" w:eastAsia="Calibri" w:hAnsi="Arial" w:cs="Arial"/>
          <w:lang w:val="en-GB"/>
        </w:rPr>
        <w:t>9, different letters in the same row indicate significant difference at α= 0.05</w:t>
      </w:r>
    </w:p>
    <w:tbl>
      <w:tblPr>
        <w:tblStyle w:val="PlainTable41"/>
        <w:tblW w:w="0" w:type="auto"/>
        <w:tblLook w:val="04A0" w:firstRow="1" w:lastRow="0" w:firstColumn="1" w:lastColumn="0" w:noHBand="0" w:noVBand="1"/>
      </w:tblPr>
      <w:tblGrid>
        <w:gridCol w:w="1848"/>
        <w:gridCol w:w="1848"/>
        <w:gridCol w:w="1848"/>
        <w:gridCol w:w="1849"/>
        <w:gridCol w:w="1849"/>
      </w:tblGrid>
      <w:tr w:rsidR="00B62F90" w:rsidRPr="00B62F90" w14:paraId="4056F61E" w14:textId="77777777" w:rsidTr="00B6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504D806D" w14:textId="77777777" w:rsidR="00B62F90" w:rsidRPr="00B62F90" w:rsidRDefault="00B62F90" w:rsidP="00B62F90">
            <w:pPr>
              <w:tabs>
                <w:tab w:val="left" w:pos="345"/>
              </w:tabs>
              <w:rPr>
                <w:rFonts w:ascii="Times New Roman" w:hAnsi="Times New Roman"/>
                <w:sz w:val="24"/>
                <w:szCs w:val="24"/>
              </w:rPr>
            </w:pPr>
          </w:p>
        </w:tc>
        <w:tc>
          <w:tcPr>
            <w:tcW w:w="1848" w:type="dxa"/>
            <w:tcBorders>
              <w:top w:val="single" w:sz="12" w:space="0" w:color="000000"/>
              <w:bottom w:val="single" w:sz="12" w:space="0" w:color="000000"/>
            </w:tcBorders>
          </w:tcPr>
          <w:p w14:paraId="4844A64C"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Alfalfa</w:t>
            </w:r>
          </w:p>
        </w:tc>
        <w:tc>
          <w:tcPr>
            <w:tcW w:w="1848" w:type="dxa"/>
            <w:tcBorders>
              <w:top w:val="single" w:sz="12" w:space="0" w:color="000000"/>
              <w:bottom w:val="single" w:sz="12" w:space="0" w:color="000000"/>
              <w:right w:val="single" w:sz="12" w:space="0" w:color="000000"/>
            </w:tcBorders>
          </w:tcPr>
          <w:p w14:paraId="0CAC7D24"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left w:val="single" w:sz="12" w:space="0" w:color="000000"/>
              <w:bottom w:val="single" w:sz="12" w:space="0" w:color="000000"/>
            </w:tcBorders>
          </w:tcPr>
          <w:p w14:paraId="50498526"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Broad bean</w:t>
            </w:r>
          </w:p>
        </w:tc>
        <w:tc>
          <w:tcPr>
            <w:tcW w:w="1849" w:type="dxa"/>
            <w:tcBorders>
              <w:top w:val="single" w:sz="12" w:space="0" w:color="000000"/>
              <w:bottom w:val="single" w:sz="12" w:space="0" w:color="000000"/>
            </w:tcBorders>
          </w:tcPr>
          <w:p w14:paraId="2F85F00D"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32"/>
                <w:szCs w:val="32"/>
              </w:rPr>
            </w:pPr>
          </w:p>
        </w:tc>
      </w:tr>
      <w:tr w:rsidR="00B62F90" w:rsidRPr="00B62F90" w14:paraId="3F5E2506"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632CBD1B"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Sugar</w:t>
            </w:r>
          </w:p>
        </w:tc>
        <w:tc>
          <w:tcPr>
            <w:tcW w:w="1848" w:type="dxa"/>
            <w:tcBorders>
              <w:top w:val="single" w:sz="12" w:space="0" w:color="000000"/>
              <w:bottom w:val="single" w:sz="12" w:space="0" w:color="000000"/>
            </w:tcBorders>
          </w:tcPr>
          <w:p w14:paraId="465F9757"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mg/L</w:t>
            </w:r>
          </w:p>
        </w:tc>
        <w:tc>
          <w:tcPr>
            <w:tcW w:w="1848" w:type="dxa"/>
            <w:tcBorders>
              <w:top w:val="single" w:sz="12" w:space="0" w:color="000000"/>
              <w:bottom w:val="single" w:sz="12" w:space="0" w:color="000000"/>
              <w:right w:val="single" w:sz="12" w:space="0" w:color="000000"/>
            </w:tcBorders>
          </w:tcPr>
          <w:p w14:paraId="5C3DB8F9"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Percent (%)</w:t>
            </w:r>
          </w:p>
        </w:tc>
        <w:tc>
          <w:tcPr>
            <w:tcW w:w="1849" w:type="dxa"/>
            <w:tcBorders>
              <w:top w:val="single" w:sz="12" w:space="0" w:color="000000"/>
              <w:left w:val="single" w:sz="12" w:space="0" w:color="000000"/>
              <w:bottom w:val="single" w:sz="12" w:space="0" w:color="000000"/>
            </w:tcBorders>
          </w:tcPr>
          <w:p w14:paraId="46EE1687"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mg/L</w:t>
            </w:r>
          </w:p>
        </w:tc>
        <w:tc>
          <w:tcPr>
            <w:tcW w:w="1849" w:type="dxa"/>
            <w:tcBorders>
              <w:top w:val="single" w:sz="12" w:space="0" w:color="000000"/>
              <w:bottom w:val="single" w:sz="12" w:space="0" w:color="000000"/>
            </w:tcBorders>
          </w:tcPr>
          <w:p w14:paraId="36E30C5D"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Percent (%)</w:t>
            </w:r>
          </w:p>
        </w:tc>
      </w:tr>
      <w:tr w:rsidR="00B62F90" w:rsidRPr="00B62F90" w14:paraId="0E10B3A3"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tcBorders>
          </w:tcPr>
          <w:p w14:paraId="19BF3DD6"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Fructose</w:t>
            </w:r>
          </w:p>
        </w:tc>
        <w:tc>
          <w:tcPr>
            <w:tcW w:w="1848" w:type="dxa"/>
            <w:tcBorders>
              <w:top w:val="single" w:sz="12" w:space="0" w:color="000000"/>
            </w:tcBorders>
          </w:tcPr>
          <w:p w14:paraId="58B3E85F"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39.08</w:t>
            </w:r>
          </w:p>
        </w:tc>
        <w:tc>
          <w:tcPr>
            <w:tcW w:w="1848" w:type="dxa"/>
            <w:tcBorders>
              <w:top w:val="single" w:sz="12" w:space="0" w:color="000000"/>
            </w:tcBorders>
          </w:tcPr>
          <w:p w14:paraId="08E6761B"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29.97</w:t>
            </w:r>
          </w:p>
        </w:tc>
        <w:tc>
          <w:tcPr>
            <w:tcW w:w="1849" w:type="dxa"/>
            <w:tcBorders>
              <w:top w:val="single" w:sz="12" w:space="0" w:color="000000"/>
            </w:tcBorders>
          </w:tcPr>
          <w:p w14:paraId="0C4DAB60"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134.60</w:t>
            </w:r>
          </w:p>
        </w:tc>
        <w:tc>
          <w:tcPr>
            <w:tcW w:w="1849" w:type="dxa"/>
            <w:tcBorders>
              <w:top w:val="single" w:sz="12" w:space="0" w:color="000000"/>
            </w:tcBorders>
          </w:tcPr>
          <w:p w14:paraId="1AB432E1"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32.54</w:t>
            </w:r>
          </w:p>
        </w:tc>
      </w:tr>
      <w:tr w:rsidR="00B62F90" w:rsidRPr="00B62F90" w14:paraId="112A0954"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31C83C26"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Glucose</w:t>
            </w:r>
          </w:p>
        </w:tc>
        <w:tc>
          <w:tcPr>
            <w:tcW w:w="1848" w:type="dxa"/>
          </w:tcPr>
          <w:p w14:paraId="69B83FAA"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59.29</w:t>
            </w:r>
          </w:p>
        </w:tc>
        <w:tc>
          <w:tcPr>
            <w:tcW w:w="1848" w:type="dxa"/>
          </w:tcPr>
          <w:p w14:paraId="5C6F4FFF"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45.47</w:t>
            </w:r>
          </w:p>
        </w:tc>
        <w:tc>
          <w:tcPr>
            <w:tcW w:w="1849" w:type="dxa"/>
          </w:tcPr>
          <w:p w14:paraId="355CD16A"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131.44</w:t>
            </w:r>
          </w:p>
        </w:tc>
        <w:tc>
          <w:tcPr>
            <w:tcW w:w="1849" w:type="dxa"/>
          </w:tcPr>
          <w:p w14:paraId="44DA98F0"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31.78</w:t>
            </w:r>
          </w:p>
        </w:tc>
      </w:tr>
      <w:tr w:rsidR="00B62F90" w:rsidRPr="00B62F90" w14:paraId="31399AB3"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000000"/>
            </w:tcBorders>
          </w:tcPr>
          <w:p w14:paraId="14B4A2B3"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Sucrose</w:t>
            </w:r>
          </w:p>
        </w:tc>
        <w:tc>
          <w:tcPr>
            <w:tcW w:w="1848" w:type="dxa"/>
            <w:tcBorders>
              <w:bottom w:val="single" w:sz="12" w:space="0" w:color="000000"/>
            </w:tcBorders>
          </w:tcPr>
          <w:p w14:paraId="70D275EE"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32.02</w:t>
            </w:r>
          </w:p>
        </w:tc>
        <w:tc>
          <w:tcPr>
            <w:tcW w:w="1848" w:type="dxa"/>
            <w:tcBorders>
              <w:bottom w:val="single" w:sz="12" w:space="0" w:color="000000"/>
            </w:tcBorders>
          </w:tcPr>
          <w:p w14:paraId="5503218C"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24.56</w:t>
            </w:r>
          </w:p>
        </w:tc>
        <w:tc>
          <w:tcPr>
            <w:tcW w:w="1849" w:type="dxa"/>
            <w:tcBorders>
              <w:bottom w:val="single" w:sz="12" w:space="0" w:color="000000"/>
            </w:tcBorders>
          </w:tcPr>
          <w:p w14:paraId="742ADBE3"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147.57</w:t>
            </w:r>
          </w:p>
        </w:tc>
        <w:tc>
          <w:tcPr>
            <w:tcW w:w="1849" w:type="dxa"/>
            <w:tcBorders>
              <w:bottom w:val="single" w:sz="12" w:space="0" w:color="000000"/>
            </w:tcBorders>
          </w:tcPr>
          <w:p w14:paraId="2B42801D"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35.68</w:t>
            </w:r>
          </w:p>
        </w:tc>
      </w:tr>
      <w:tr w:rsidR="00B62F90" w:rsidRPr="00B62F90" w14:paraId="19A642D1"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09F0876B"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Total</w:t>
            </w:r>
          </w:p>
        </w:tc>
        <w:tc>
          <w:tcPr>
            <w:tcW w:w="1848" w:type="dxa"/>
            <w:tcBorders>
              <w:top w:val="single" w:sz="12" w:space="0" w:color="000000"/>
              <w:bottom w:val="single" w:sz="12" w:space="0" w:color="000000"/>
            </w:tcBorders>
          </w:tcPr>
          <w:p w14:paraId="6B87C4CC"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130.39</w:t>
            </w:r>
            <w:r w:rsidRPr="00B62F90">
              <w:rPr>
                <w:rFonts w:ascii="Times New Roman" w:hAnsi="Times New Roman"/>
                <w:sz w:val="24"/>
                <w:szCs w:val="24"/>
                <w:vertAlign w:val="superscript"/>
              </w:rPr>
              <w:t>ab</w:t>
            </w:r>
          </w:p>
        </w:tc>
        <w:tc>
          <w:tcPr>
            <w:tcW w:w="1848" w:type="dxa"/>
            <w:tcBorders>
              <w:top w:val="single" w:sz="12" w:space="0" w:color="000000"/>
              <w:bottom w:val="single" w:sz="12" w:space="0" w:color="000000"/>
            </w:tcBorders>
          </w:tcPr>
          <w:p w14:paraId="5295B766"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bottom w:val="single" w:sz="12" w:space="0" w:color="000000"/>
            </w:tcBorders>
          </w:tcPr>
          <w:p w14:paraId="54A9B678"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413.61</w:t>
            </w:r>
            <w:r w:rsidRPr="00B62F90">
              <w:rPr>
                <w:rFonts w:ascii="Times New Roman" w:hAnsi="Times New Roman"/>
                <w:sz w:val="24"/>
                <w:szCs w:val="24"/>
                <w:vertAlign w:val="superscript"/>
              </w:rPr>
              <w:t>bc</w:t>
            </w:r>
          </w:p>
        </w:tc>
        <w:tc>
          <w:tcPr>
            <w:tcW w:w="1849" w:type="dxa"/>
            <w:tcBorders>
              <w:top w:val="single" w:sz="12" w:space="0" w:color="000000"/>
              <w:bottom w:val="single" w:sz="12" w:space="0" w:color="000000"/>
            </w:tcBorders>
          </w:tcPr>
          <w:p w14:paraId="0DCA0173"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1A5DFB95" w14:textId="77777777" w:rsidR="00B62F90" w:rsidRPr="00B62F90" w:rsidRDefault="00B62F90" w:rsidP="00B62F90">
      <w:pPr>
        <w:spacing w:after="160" w:line="259" w:lineRule="auto"/>
        <w:rPr>
          <w:rFonts w:ascii="Times New Roman" w:eastAsia="Calibri" w:hAnsi="Times New Roman"/>
          <w:sz w:val="32"/>
          <w:szCs w:val="32"/>
        </w:rPr>
      </w:pPr>
    </w:p>
    <w:p w14:paraId="22894AB0" w14:textId="77777777" w:rsidR="00B62F90" w:rsidRPr="00B62F90" w:rsidRDefault="00B62F90" w:rsidP="00B62F90">
      <w:pPr>
        <w:spacing w:after="160" w:line="259" w:lineRule="auto"/>
        <w:rPr>
          <w:rFonts w:ascii="Times New Roman" w:eastAsia="Calibri" w:hAnsi="Times New Roman"/>
          <w:b/>
          <w:sz w:val="28"/>
          <w:szCs w:val="28"/>
        </w:rPr>
      </w:pPr>
    </w:p>
    <w:tbl>
      <w:tblPr>
        <w:tblStyle w:val="PlainTable51"/>
        <w:tblpPr w:leftFromText="180" w:rightFromText="180" w:horzAnchor="margin" w:tblpXSpec="center" w:tblpY="-752"/>
        <w:tblW w:w="10260" w:type="dxa"/>
        <w:tblLook w:val="0000" w:firstRow="0" w:lastRow="0" w:firstColumn="0" w:lastColumn="0" w:noHBand="0" w:noVBand="0"/>
      </w:tblPr>
      <w:tblGrid>
        <w:gridCol w:w="10260"/>
      </w:tblGrid>
      <w:tr w:rsidR="00B62F90" w:rsidRPr="00B62F90" w14:paraId="6F295AF7" w14:textId="77777777" w:rsidTr="00B62F90">
        <w:trPr>
          <w:cnfStyle w:val="000000100000" w:firstRow="0" w:lastRow="0" w:firstColumn="0" w:lastColumn="0" w:oddVBand="0" w:evenVBand="0" w:oddHBand="1" w:evenHBand="0" w:firstRowFirstColumn="0" w:firstRowLastColumn="0" w:lastRowFirstColumn="0" w:lastRowLastColumn="0"/>
          <w:trHeight w:val="13170"/>
        </w:trPr>
        <w:tc>
          <w:tcPr>
            <w:cnfStyle w:val="000010000000" w:firstRow="0" w:lastRow="0" w:firstColumn="0" w:lastColumn="0" w:oddVBand="1" w:evenVBand="0" w:oddHBand="0" w:evenHBand="0" w:firstRowFirstColumn="0" w:firstRowLastColumn="0" w:lastRowFirstColumn="0" w:lastRowLastColumn="0"/>
            <w:tcW w:w="10260" w:type="dxa"/>
          </w:tcPr>
          <w:p w14:paraId="08030753" w14:textId="77777777" w:rsidR="00B62F90" w:rsidRPr="00B62F90" w:rsidRDefault="00B62F90" w:rsidP="00B62F90">
            <w:pPr>
              <w:spacing w:line="480" w:lineRule="auto"/>
              <w:ind w:left="870"/>
              <w:jc w:val="both"/>
              <w:rPr>
                <w:rFonts w:ascii="Calibri" w:hAnsi="Calibri"/>
              </w:rPr>
            </w:pPr>
            <w:r w:rsidRPr="00B62F90">
              <w:rPr>
                <w:rFonts w:ascii="Calibri" w:eastAsia="Times New Roman" w:hAnsi="Calibri"/>
                <w:sz w:val="20"/>
                <w:szCs w:val="20"/>
                <w:lang w:val="en-US"/>
              </w:rPr>
              <w:object w:dxaOrig="10051" w:dyaOrig="8208" w14:anchorId="6219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339.6pt" o:ole="">
                  <v:imagedata r:id="rId50" o:title=""/>
                </v:shape>
                <o:OLEObject Type="Embed" ProgID="Prism6.Document" ShapeID="_x0000_i1025" DrawAspect="Content" ObjectID="_1819131209" r:id="rId51"/>
              </w:object>
            </w:r>
            <w:r w:rsidRPr="00B62F90">
              <w:rPr>
                <w:rFonts w:ascii="Calibri" w:hAnsi="Calibri"/>
              </w:rPr>
              <w:t xml:space="preserve"> </w:t>
            </w:r>
          </w:p>
          <w:p w14:paraId="773CB645" w14:textId="77777777" w:rsidR="00B62F90" w:rsidRPr="00B62F90" w:rsidRDefault="00B62F90" w:rsidP="00B62F90">
            <w:pPr>
              <w:spacing w:after="200" w:line="480" w:lineRule="auto"/>
              <w:ind w:left="870"/>
              <w:jc w:val="both"/>
              <w:rPr>
                <w:rFonts w:ascii="Calibri" w:hAnsi="Calibri"/>
              </w:rPr>
            </w:pPr>
            <w:r w:rsidRPr="00B62F90">
              <w:rPr>
                <w:rFonts w:ascii="Calibri" w:hAnsi="Calibri"/>
                <w:noProof/>
                <w:lang w:eastAsia="en-GB"/>
              </w:rPr>
              <w:drawing>
                <wp:inline distT="0" distB="0" distL="0" distR="0" wp14:anchorId="021BBE44" wp14:editId="7D5EF1E5">
                  <wp:extent cx="2643287" cy="28371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49797" cy="2844159"/>
                          </a:xfrm>
                          <a:prstGeom prst="rect">
                            <a:avLst/>
                          </a:prstGeom>
                          <a:noFill/>
                        </pic:spPr>
                      </pic:pic>
                    </a:graphicData>
                  </a:graphic>
                </wp:inline>
              </w:drawing>
            </w:r>
            <w:r w:rsidRPr="00B62F90">
              <w:rPr>
                <w:rFonts w:ascii="Calibri" w:eastAsia="Times New Roman" w:hAnsi="Calibri"/>
                <w:sz w:val="20"/>
                <w:szCs w:val="20"/>
                <w:lang w:val="en-US"/>
              </w:rPr>
              <w:object w:dxaOrig="4289" w:dyaOrig="4550" w14:anchorId="3E72CB11">
                <v:shape id="_x0000_i1026" type="#_x0000_t75" style="width:195.6pt;height:208.2pt" o:ole="">
                  <v:imagedata r:id="rId53" o:title=""/>
                </v:shape>
                <o:OLEObject Type="Embed" ProgID="Prism6.Document" ShapeID="_x0000_i1026" DrawAspect="Content" ObjectID="_1819131210" r:id="rId54"/>
              </w:object>
            </w:r>
          </w:p>
        </w:tc>
      </w:tr>
    </w:tbl>
    <w:p w14:paraId="2093B722" w14:textId="77777777" w:rsidR="00B62F90" w:rsidRPr="003875CC" w:rsidRDefault="00B62F90" w:rsidP="00B62F90">
      <w:pPr>
        <w:spacing w:after="200"/>
        <w:rPr>
          <w:rFonts w:ascii="Arial" w:hAnsi="Arial" w:cs="Arial"/>
        </w:rPr>
      </w:pPr>
      <w:r w:rsidRPr="003875CC">
        <w:rPr>
          <w:rFonts w:ascii="Arial" w:hAnsi="Arial" w:cs="Arial"/>
          <w:b/>
        </w:rPr>
        <w:t>Figure 1</w:t>
      </w:r>
      <w:r w:rsidRPr="003875CC">
        <w:rPr>
          <w:rFonts w:ascii="Arial" w:hAnsi="Arial" w:cs="Arial"/>
        </w:rPr>
        <w:t xml:space="preserve">: Concentration of individual amino acids in alfalfa and broad bean (a), Concentration of total amino acids in alfalfa and broad bean (b), and the total concentration of essential amino acids in alfalfa and broad bean (c). The bars show </w:t>
      </w:r>
      <w:proofErr w:type="spellStart"/>
      <w:r w:rsidRPr="003875CC">
        <w:rPr>
          <w:rFonts w:ascii="Arial" w:hAnsi="Arial" w:cs="Arial"/>
        </w:rPr>
        <w:t>Mean±SE</w:t>
      </w:r>
      <w:proofErr w:type="spellEnd"/>
      <w:r w:rsidRPr="003875CC">
        <w:rPr>
          <w:rFonts w:ascii="Arial" w:hAnsi="Arial" w:cs="Arial"/>
        </w:rPr>
        <w:t xml:space="preserve">. Different letters and asterisks indicate </w:t>
      </w:r>
      <w:r w:rsidRPr="003875CC">
        <w:rPr>
          <w:rFonts w:ascii="Arial" w:hAnsi="Arial" w:cs="Arial"/>
          <w:i/>
        </w:rPr>
        <w:t>P</w:t>
      </w:r>
      <w:r w:rsidRPr="003875CC">
        <w:rPr>
          <w:rFonts w:ascii="Arial" w:hAnsi="Arial" w:cs="Arial"/>
        </w:rPr>
        <w:t xml:space="preserve"> &lt; 0.05.</w:t>
      </w:r>
    </w:p>
    <w:p w14:paraId="5DE56180" w14:textId="77777777" w:rsidR="00B62F90" w:rsidRPr="00B62F90" w:rsidRDefault="00B62F90" w:rsidP="00B62F90">
      <w:pPr>
        <w:spacing w:after="200"/>
        <w:rPr>
          <w:rFonts w:ascii="Times New Roman" w:hAnsi="Times New Roman"/>
          <w:sz w:val="24"/>
          <w:szCs w:val="24"/>
        </w:rPr>
      </w:pPr>
    </w:p>
    <w:tbl>
      <w:tblPr>
        <w:tblStyle w:val="PlainTable51"/>
        <w:tblpPr w:leftFromText="180" w:rightFromText="180" w:vertAnchor="text" w:horzAnchor="margin" w:tblpY="-344"/>
        <w:tblW w:w="0" w:type="auto"/>
        <w:tblLook w:val="0000" w:firstRow="0" w:lastRow="0" w:firstColumn="0" w:lastColumn="0" w:noHBand="0" w:noVBand="0"/>
      </w:tblPr>
      <w:tblGrid>
        <w:gridCol w:w="6763"/>
      </w:tblGrid>
      <w:tr w:rsidR="00B62F90" w:rsidRPr="00B62F90" w14:paraId="2A3AEE68" w14:textId="77777777" w:rsidTr="00B62F90">
        <w:trPr>
          <w:cnfStyle w:val="000000100000" w:firstRow="0" w:lastRow="0" w:firstColumn="0" w:lastColumn="0" w:oddVBand="0" w:evenVBand="0" w:oddHBand="1" w:evenHBand="0" w:firstRowFirstColumn="0" w:firstRowLastColumn="0" w:lastRowFirstColumn="0" w:lastRowLastColumn="0"/>
          <w:trHeight w:val="5368"/>
        </w:trPr>
        <w:tc>
          <w:tcPr>
            <w:cnfStyle w:val="000010000000" w:firstRow="0" w:lastRow="0" w:firstColumn="0" w:lastColumn="0" w:oddVBand="1" w:evenVBand="0" w:oddHBand="0" w:evenHBand="0" w:firstRowFirstColumn="0" w:firstRowLastColumn="0" w:lastRowFirstColumn="0" w:lastRowLastColumn="0"/>
            <w:tcW w:w="6763" w:type="dxa"/>
          </w:tcPr>
          <w:p w14:paraId="43DA56A6" w14:textId="77777777" w:rsidR="00B62F90" w:rsidRPr="00B62F90" w:rsidRDefault="00B62F90" w:rsidP="00B62F90">
            <w:pPr>
              <w:spacing w:after="200"/>
              <w:rPr>
                <w:rFonts w:ascii="Calibri" w:hAnsi="Calibri"/>
              </w:rPr>
            </w:pPr>
            <w:r w:rsidRPr="00B62F90">
              <w:rPr>
                <w:rFonts w:ascii="Calibri" w:eastAsia="Times New Roman" w:hAnsi="Calibri"/>
                <w:sz w:val="20"/>
                <w:szCs w:val="20"/>
                <w:lang w:val="en-US"/>
              </w:rPr>
              <w:object w:dxaOrig="6365" w:dyaOrig="5470" w14:anchorId="54E512BB">
                <v:shape id="_x0000_i1027" type="#_x0000_t75" style="width:289.8pt;height:246.6pt" o:ole="">
                  <v:imagedata r:id="rId55" o:title=""/>
                </v:shape>
                <o:OLEObject Type="Embed" ProgID="Prism6.Document" ShapeID="_x0000_i1027" DrawAspect="Content" ObjectID="_1819131211" r:id="rId56"/>
              </w:object>
            </w:r>
          </w:p>
        </w:tc>
      </w:tr>
    </w:tbl>
    <w:p w14:paraId="31D8C5ED" w14:textId="77777777" w:rsidR="00B62F90" w:rsidRPr="00B62F90" w:rsidRDefault="00B62F90" w:rsidP="00B62F90">
      <w:pPr>
        <w:spacing w:after="200"/>
        <w:rPr>
          <w:rFonts w:ascii="Times New Roman" w:hAnsi="Times New Roman"/>
          <w:sz w:val="24"/>
          <w:szCs w:val="24"/>
        </w:rPr>
      </w:pPr>
    </w:p>
    <w:p w14:paraId="642DED23" w14:textId="77777777" w:rsidR="00B62F90" w:rsidRPr="00B62F90" w:rsidRDefault="00B62F90" w:rsidP="00B62F90">
      <w:pPr>
        <w:spacing w:after="200"/>
        <w:rPr>
          <w:rFonts w:ascii="Times New Roman" w:hAnsi="Times New Roman"/>
          <w:sz w:val="24"/>
          <w:szCs w:val="24"/>
        </w:rPr>
      </w:pPr>
    </w:p>
    <w:p w14:paraId="50EF41F6" w14:textId="77777777" w:rsidR="00B62F90" w:rsidRPr="00B62F90" w:rsidRDefault="00B62F90" w:rsidP="00B62F90">
      <w:pPr>
        <w:spacing w:after="200"/>
        <w:jc w:val="both"/>
        <w:rPr>
          <w:rFonts w:ascii="Times New Roman" w:hAnsi="Times New Roman"/>
          <w:b/>
          <w:sz w:val="24"/>
          <w:szCs w:val="24"/>
        </w:rPr>
      </w:pPr>
    </w:p>
    <w:p w14:paraId="05C269F0" w14:textId="77777777" w:rsidR="00B62F90" w:rsidRPr="00B62F90" w:rsidRDefault="00B62F90" w:rsidP="00B62F90">
      <w:pPr>
        <w:spacing w:after="200"/>
        <w:jc w:val="both"/>
        <w:rPr>
          <w:rFonts w:ascii="Times New Roman" w:hAnsi="Times New Roman"/>
          <w:b/>
          <w:sz w:val="24"/>
          <w:szCs w:val="24"/>
        </w:rPr>
      </w:pPr>
    </w:p>
    <w:p w14:paraId="0E66E16D" w14:textId="77777777" w:rsidR="00B62F90" w:rsidRPr="00B62F90" w:rsidRDefault="00B62F90" w:rsidP="00B62F90">
      <w:pPr>
        <w:spacing w:after="200"/>
        <w:jc w:val="both"/>
        <w:rPr>
          <w:rFonts w:ascii="Times New Roman" w:hAnsi="Times New Roman"/>
          <w:b/>
          <w:sz w:val="24"/>
          <w:szCs w:val="24"/>
        </w:rPr>
      </w:pPr>
    </w:p>
    <w:p w14:paraId="1BE2BFC8" w14:textId="77777777" w:rsidR="00B62F90" w:rsidRPr="00B62F90" w:rsidRDefault="00B62F90" w:rsidP="00B62F90">
      <w:pPr>
        <w:spacing w:after="200"/>
        <w:jc w:val="both"/>
        <w:rPr>
          <w:rFonts w:ascii="Times New Roman" w:hAnsi="Times New Roman"/>
          <w:b/>
          <w:sz w:val="24"/>
          <w:szCs w:val="24"/>
        </w:rPr>
      </w:pPr>
    </w:p>
    <w:p w14:paraId="64E42370" w14:textId="77777777" w:rsidR="00B62F90" w:rsidRPr="00B62F90" w:rsidRDefault="00B62F90" w:rsidP="00B62F90">
      <w:pPr>
        <w:spacing w:after="200"/>
        <w:jc w:val="both"/>
        <w:rPr>
          <w:rFonts w:ascii="Times New Roman" w:hAnsi="Times New Roman"/>
          <w:b/>
          <w:sz w:val="24"/>
          <w:szCs w:val="24"/>
        </w:rPr>
      </w:pPr>
    </w:p>
    <w:p w14:paraId="1F3059FA" w14:textId="77777777" w:rsidR="00B62F90" w:rsidRPr="00B62F90" w:rsidRDefault="00B62F90" w:rsidP="00B62F90">
      <w:pPr>
        <w:spacing w:after="200"/>
        <w:jc w:val="both"/>
        <w:rPr>
          <w:rFonts w:ascii="Times New Roman" w:hAnsi="Times New Roman"/>
          <w:b/>
          <w:sz w:val="24"/>
          <w:szCs w:val="24"/>
        </w:rPr>
      </w:pPr>
    </w:p>
    <w:p w14:paraId="1CF8A0F1" w14:textId="77777777" w:rsidR="00B62F90" w:rsidRPr="00B62F90" w:rsidRDefault="00B62F90" w:rsidP="00B62F90">
      <w:pPr>
        <w:spacing w:after="200"/>
        <w:jc w:val="both"/>
        <w:rPr>
          <w:rFonts w:ascii="Times New Roman" w:hAnsi="Times New Roman"/>
          <w:b/>
          <w:sz w:val="24"/>
          <w:szCs w:val="24"/>
        </w:rPr>
      </w:pPr>
    </w:p>
    <w:p w14:paraId="0942FE38" w14:textId="77777777" w:rsidR="00B62F90" w:rsidRPr="00B62F90" w:rsidRDefault="00B62F90" w:rsidP="00B62F90">
      <w:pPr>
        <w:spacing w:after="200"/>
        <w:jc w:val="both"/>
        <w:rPr>
          <w:rFonts w:ascii="Times New Roman" w:hAnsi="Times New Roman"/>
          <w:b/>
          <w:sz w:val="24"/>
          <w:szCs w:val="24"/>
        </w:rPr>
      </w:pPr>
    </w:p>
    <w:p w14:paraId="6A1F5474" w14:textId="77777777" w:rsidR="00B62F90" w:rsidRPr="00B62F90" w:rsidRDefault="00B62F90" w:rsidP="00B62F90">
      <w:pPr>
        <w:spacing w:after="200"/>
        <w:jc w:val="both"/>
        <w:rPr>
          <w:rFonts w:ascii="Times New Roman" w:hAnsi="Times New Roman"/>
          <w:b/>
          <w:sz w:val="24"/>
          <w:szCs w:val="24"/>
        </w:rPr>
      </w:pPr>
    </w:p>
    <w:p w14:paraId="4EF7C320" w14:textId="77777777" w:rsidR="00B62F90" w:rsidRPr="003875CC" w:rsidRDefault="00B62F90" w:rsidP="00B62F90">
      <w:pPr>
        <w:spacing w:after="200"/>
        <w:jc w:val="both"/>
        <w:rPr>
          <w:rFonts w:ascii="Arial" w:hAnsi="Arial" w:cs="Arial"/>
        </w:rPr>
      </w:pPr>
      <w:r w:rsidRPr="003875CC">
        <w:rPr>
          <w:rFonts w:ascii="Arial" w:hAnsi="Arial" w:cs="Arial"/>
          <w:b/>
        </w:rPr>
        <w:t>Fig. 2</w:t>
      </w:r>
      <w:r w:rsidRPr="003875CC">
        <w:rPr>
          <w:rFonts w:ascii="Arial" w:hAnsi="Arial" w:cs="Arial"/>
        </w:rPr>
        <w:t>: Mean concentration of individual sugars in leaves of broad bean and alfalfa (</w:t>
      </w:r>
      <w:r w:rsidRPr="003875CC">
        <w:rPr>
          <w:rFonts w:ascii="Arial" w:hAnsi="Arial" w:cs="Arial"/>
          <w:i/>
        </w:rPr>
        <w:t>n</w:t>
      </w:r>
      <w:r w:rsidRPr="003875CC">
        <w:rPr>
          <w:rFonts w:ascii="Arial" w:hAnsi="Arial" w:cs="Arial"/>
        </w:rPr>
        <w:t xml:space="preserve"> = 9). Bars show mean ±SE. ***, </w:t>
      </w:r>
      <w:r w:rsidRPr="003875CC">
        <w:rPr>
          <w:rFonts w:ascii="Arial" w:hAnsi="Arial" w:cs="Arial"/>
          <w:i/>
        </w:rPr>
        <w:t>P</w:t>
      </w:r>
      <w:r w:rsidRPr="003875CC">
        <w:rPr>
          <w:rFonts w:ascii="Arial" w:hAnsi="Arial" w:cs="Arial"/>
        </w:rPr>
        <w:t xml:space="preserve"> &lt; 0.001; **, </w:t>
      </w:r>
      <w:r w:rsidRPr="003875CC">
        <w:rPr>
          <w:rFonts w:ascii="Arial" w:hAnsi="Arial" w:cs="Arial"/>
          <w:i/>
        </w:rPr>
        <w:t xml:space="preserve">P </w:t>
      </w:r>
      <w:r w:rsidRPr="003875CC">
        <w:rPr>
          <w:rFonts w:ascii="Arial" w:hAnsi="Arial" w:cs="Arial"/>
        </w:rPr>
        <w:t xml:space="preserve">&lt; 0.01, and *, </w:t>
      </w:r>
      <w:r w:rsidRPr="003875CC">
        <w:rPr>
          <w:rFonts w:ascii="Arial" w:hAnsi="Arial" w:cs="Arial"/>
          <w:i/>
        </w:rPr>
        <w:t>P</w:t>
      </w:r>
      <w:r w:rsidRPr="003875CC">
        <w:rPr>
          <w:rFonts w:ascii="Arial" w:hAnsi="Arial" w:cs="Arial"/>
        </w:rPr>
        <w:t xml:space="preserve"> &lt; 0.05.</w:t>
      </w:r>
    </w:p>
    <w:p w14:paraId="12058C6D" w14:textId="77777777" w:rsidR="00B01FCD" w:rsidRPr="00B62F90" w:rsidRDefault="00B01FCD" w:rsidP="00B62F90">
      <w:pPr>
        <w:tabs>
          <w:tab w:val="left" w:pos="1155"/>
        </w:tabs>
      </w:pPr>
    </w:p>
    <w:sectPr w:rsidR="00B01FCD" w:rsidRPr="00B62F90" w:rsidSect="00754B3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UDRA NARAYAN BORKAKATI" w:date="2025-09-11T21:21:00Z" w:initials="RB">
    <w:p w14:paraId="14C321BF" w14:textId="77777777" w:rsidR="00A75543" w:rsidRDefault="00A75543" w:rsidP="00A75543">
      <w:pPr>
        <w:pStyle w:val="CommentText"/>
      </w:pPr>
      <w:r>
        <w:rPr>
          <w:rStyle w:val="CommentReference"/>
        </w:rPr>
        <w:annotationRef/>
      </w:r>
      <w:r>
        <w:t>Write a proper title of the Research paper</w:t>
      </w:r>
    </w:p>
  </w:comment>
  <w:comment w:id="1" w:author="RUDRA NARAYAN BORKAKATI" w:date="2025-09-11T21:22:00Z" w:initials="RB">
    <w:p w14:paraId="6F55B56C" w14:textId="77777777" w:rsidR="00A75543" w:rsidRDefault="00A75543" w:rsidP="00A75543">
      <w:pPr>
        <w:pStyle w:val="CommentText"/>
      </w:pPr>
      <w:r>
        <w:rPr>
          <w:rStyle w:val="CommentReference"/>
        </w:rPr>
        <w:annotationRef/>
      </w:r>
      <w:r>
        <w:t>Italic</w:t>
      </w:r>
    </w:p>
  </w:comment>
  <w:comment w:id="2" w:author="RUDRA NARAYAN BORKAKATI" w:date="2025-09-11T21:23:00Z" w:initials="RB">
    <w:p w14:paraId="5314FF41" w14:textId="77777777" w:rsidR="00A75543" w:rsidRDefault="00A75543" w:rsidP="00A75543">
      <w:pPr>
        <w:pStyle w:val="CommentText"/>
      </w:pPr>
      <w:r>
        <w:rPr>
          <w:rStyle w:val="CommentReference"/>
        </w:rPr>
        <w:annotationRef/>
      </w:r>
      <w:r>
        <w:t>??</w:t>
      </w:r>
    </w:p>
  </w:comment>
  <w:comment w:id="3" w:author="RUDRA NARAYAN BORKAKATI" w:date="2025-09-11T21:27:00Z" w:initials="RB">
    <w:p w14:paraId="4B8C67A7" w14:textId="77777777" w:rsidR="00A75543" w:rsidRDefault="00A75543" w:rsidP="00A75543">
      <w:pPr>
        <w:pStyle w:val="CommentText"/>
      </w:pPr>
      <w:r>
        <w:rPr>
          <w:rStyle w:val="CommentReference"/>
        </w:rPr>
        <w:annotationRef/>
      </w:r>
      <w:r>
        <w:t>Justify the need of Table 1,2 &amp;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C321BF" w15:done="0"/>
  <w15:commentEx w15:paraId="6F55B56C" w15:done="0"/>
  <w15:commentEx w15:paraId="5314FF41" w15:paraIdParent="6F55B56C" w15:done="0"/>
  <w15:commentEx w15:paraId="4B8C67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41AB53" w16cex:dateUtc="2025-09-11T15:51:00Z"/>
  <w16cex:commentExtensible w16cex:durableId="457EDA27" w16cex:dateUtc="2025-09-11T15:52:00Z"/>
  <w16cex:commentExtensible w16cex:durableId="0A2E7714" w16cex:dateUtc="2025-09-11T15:53:00Z"/>
  <w16cex:commentExtensible w16cex:durableId="541A91C7" w16cex:dateUtc="2025-09-1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C321BF" w16cid:durableId="5D41AB53"/>
  <w16cid:commentId w16cid:paraId="6F55B56C" w16cid:durableId="457EDA27"/>
  <w16cid:commentId w16cid:paraId="5314FF41" w16cid:durableId="0A2E7714"/>
  <w16cid:commentId w16cid:paraId="4B8C67A7" w16cid:durableId="541A9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FCDD" w14:textId="77777777" w:rsidR="00566059" w:rsidRDefault="00566059" w:rsidP="00C37E61">
      <w:r>
        <w:separator/>
      </w:r>
    </w:p>
  </w:endnote>
  <w:endnote w:type="continuationSeparator" w:id="0">
    <w:p w14:paraId="7BA4FF22" w14:textId="77777777" w:rsidR="00566059" w:rsidRDefault="005660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B2B8" w14:textId="77777777" w:rsidR="00636AA9" w:rsidRDefault="00636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76AE" w14:textId="77777777" w:rsidR="00B62F90" w:rsidRPr="00C37E61" w:rsidRDefault="00B62F9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BC9D" w14:textId="77777777" w:rsidR="00636AA9" w:rsidRDefault="0063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2169" w14:textId="77777777" w:rsidR="00566059" w:rsidRDefault="00566059" w:rsidP="00C37E61">
      <w:r>
        <w:separator/>
      </w:r>
    </w:p>
  </w:footnote>
  <w:footnote w:type="continuationSeparator" w:id="0">
    <w:p w14:paraId="1B6CB0C1" w14:textId="77777777" w:rsidR="00566059" w:rsidRDefault="005660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2D30" w14:textId="627A9C55" w:rsidR="00636AA9" w:rsidRDefault="00000000">
    <w:pPr>
      <w:pStyle w:val="Header"/>
    </w:pPr>
    <w:r>
      <w:rPr>
        <w:noProof/>
      </w:rPr>
      <w:pict w14:anchorId="250F9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99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C343" w14:textId="7CC584A5" w:rsidR="00636AA9" w:rsidRDefault="00000000">
    <w:pPr>
      <w:pStyle w:val="Header"/>
    </w:pPr>
    <w:r>
      <w:rPr>
        <w:noProof/>
      </w:rPr>
      <w:pict w14:anchorId="29C81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99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7A3E" w14:textId="319133A6" w:rsidR="00636AA9" w:rsidRDefault="00000000">
    <w:pPr>
      <w:pStyle w:val="Header"/>
    </w:pPr>
    <w:r>
      <w:rPr>
        <w:noProof/>
      </w:rPr>
      <w:pict w14:anchorId="04404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99968"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5220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7611640">
    <w:abstractNumId w:val="15"/>
  </w:num>
  <w:num w:numId="3" w16cid:durableId="1273636512">
    <w:abstractNumId w:val="23"/>
  </w:num>
  <w:num w:numId="4" w16cid:durableId="7888148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90469215">
    <w:abstractNumId w:val="7"/>
  </w:num>
  <w:num w:numId="6" w16cid:durableId="223031424">
    <w:abstractNumId w:val="6"/>
  </w:num>
  <w:num w:numId="7" w16cid:durableId="96488644">
    <w:abstractNumId w:val="1"/>
  </w:num>
  <w:num w:numId="8" w16cid:durableId="1591112029">
    <w:abstractNumId w:val="12"/>
  </w:num>
  <w:num w:numId="9" w16cid:durableId="1474446363">
    <w:abstractNumId w:val="25"/>
  </w:num>
  <w:num w:numId="10" w16cid:durableId="1041367616">
    <w:abstractNumId w:val="2"/>
  </w:num>
  <w:num w:numId="11" w16cid:durableId="2141871794">
    <w:abstractNumId w:val="18"/>
  </w:num>
  <w:num w:numId="12" w16cid:durableId="1121731895">
    <w:abstractNumId w:val="3"/>
  </w:num>
  <w:num w:numId="13" w16cid:durableId="855196545">
    <w:abstractNumId w:val="17"/>
  </w:num>
  <w:num w:numId="14" w16cid:durableId="1390226915">
    <w:abstractNumId w:val="8"/>
  </w:num>
  <w:num w:numId="15" w16cid:durableId="413599031">
    <w:abstractNumId w:val="21"/>
  </w:num>
  <w:num w:numId="16" w16cid:durableId="688992103">
    <w:abstractNumId w:val="5"/>
  </w:num>
  <w:num w:numId="17" w16cid:durableId="1372419607">
    <w:abstractNumId w:val="22"/>
  </w:num>
  <w:num w:numId="18" w16cid:durableId="1003506440">
    <w:abstractNumId w:val="14"/>
  </w:num>
  <w:num w:numId="19" w16cid:durableId="1949048297">
    <w:abstractNumId w:val="28"/>
  </w:num>
  <w:num w:numId="20" w16cid:durableId="249237152">
    <w:abstractNumId w:val="11"/>
  </w:num>
  <w:num w:numId="21" w16cid:durableId="1576937533">
    <w:abstractNumId w:val="9"/>
  </w:num>
  <w:num w:numId="22" w16cid:durableId="1929074387">
    <w:abstractNumId w:val="13"/>
  </w:num>
  <w:num w:numId="23" w16cid:durableId="1011831403">
    <w:abstractNumId w:val="19"/>
  </w:num>
  <w:num w:numId="24" w16cid:durableId="629554133">
    <w:abstractNumId w:val="26"/>
  </w:num>
  <w:num w:numId="25" w16cid:durableId="1494831554">
    <w:abstractNumId w:val="4"/>
  </w:num>
  <w:num w:numId="26" w16cid:durableId="863135870">
    <w:abstractNumId w:val="16"/>
  </w:num>
  <w:num w:numId="27" w16cid:durableId="1693800930">
    <w:abstractNumId w:val="20"/>
  </w:num>
  <w:num w:numId="28" w16cid:durableId="50545273">
    <w:abstractNumId w:val="27"/>
  </w:num>
  <w:num w:numId="29" w16cid:durableId="1700742658">
    <w:abstractNumId w:val="24"/>
  </w:num>
  <w:num w:numId="30" w16cid:durableId="156298046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DRA NARAYAN BORKAKATI">
    <w15:presenceInfo w15:providerId="Windows Live" w15:userId="ba69969332705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3C3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52B"/>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0E94"/>
    <w:rsid w:val="00315186"/>
    <w:rsid w:val="0033343E"/>
    <w:rsid w:val="003512C2"/>
    <w:rsid w:val="00371FB6"/>
    <w:rsid w:val="003763C1"/>
    <w:rsid w:val="00376BBE"/>
    <w:rsid w:val="003875CC"/>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AF0"/>
    <w:rsid w:val="004D305E"/>
    <w:rsid w:val="004D4277"/>
    <w:rsid w:val="00502516"/>
    <w:rsid w:val="00505F06"/>
    <w:rsid w:val="00506828"/>
    <w:rsid w:val="0053056E"/>
    <w:rsid w:val="00554FDA"/>
    <w:rsid w:val="00566059"/>
    <w:rsid w:val="00582971"/>
    <w:rsid w:val="005A2940"/>
    <w:rsid w:val="005C784C"/>
    <w:rsid w:val="005D17F6"/>
    <w:rsid w:val="005E5539"/>
    <w:rsid w:val="00602BF5"/>
    <w:rsid w:val="00617FDD"/>
    <w:rsid w:val="00633614"/>
    <w:rsid w:val="00633F68"/>
    <w:rsid w:val="00636AA9"/>
    <w:rsid w:val="00636EB2"/>
    <w:rsid w:val="006375B8"/>
    <w:rsid w:val="0066510A"/>
    <w:rsid w:val="00673F9F"/>
    <w:rsid w:val="006773E8"/>
    <w:rsid w:val="00686953"/>
    <w:rsid w:val="00687DEA"/>
    <w:rsid w:val="00687E67"/>
    <w:rsid w:val="006967F7"/>
    <w:rsid w:val="006A250C"/>
    <w:rsid w:val="006B21D3"/>
    <w:rsid w:val="006B57D0"/>
    <w:rsid w:val="006D30FF"/>
    <w:rsid w:val="006D6940"/>
    <w:rsid w:val="006F11EC"/>
    <w:rsid w:val="0070082C"/>
    <w:rsid w:val="00720652"/>
    <w:rsid w:val="007369E6"/>
    <w:rsid w:val="00746E59"/>
    <w:rsid w:val="00754B31"/>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3C58"/>
    <w:rsid w:val="00927834"/>
    <w:rsid w:val="00943307"/>
    <w:rsid w:val="009500A6"/>
    <w:rsid w:val="00951AE0"/>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5543"/>
    <w:rsid w:val="00A94063"/>
    <w:rsid w:val="00AA6219"/>
    <w:rsid w:val="00AA74E0"/>
    <w:rsid w:val="00AB703F"/>
    <w:rsid w:val="00AC6BB8"/>
    <w:rsid w:val="00AE008F"/>
    <w:rsid w:val="00AE23FD"/>
    <w:rsid w:val="00B01FCD"/>
    <w:rsid w:val="00B06E94"/>
    <w:rsid w:val="00B1776C"/>
    <w:rsid w:val="00B52583"/>
    <w:rsid w:val="00B52896"/>
    <w:rsid w:val="00B62F90"/>
    <w:rsid w:val="00B95236"/>
    <w:rsid w:val="00B96BD9"/>
    <w:rsid w:val="00BA1B01"/>
    <w:rsid w:val="00BA2641"/>
    <w:rsid w:val="00BB37AA"/>
    <w:rsid w:val="00BC53A0"/>
    <w:rsid w:val="00BE62AD"/>
    <w:rsid w:val="00BF121F"/>
    <w:rsid w:val="00BF1F80"/>
    <w:rsid w:val="00BF22FE"/>
    <w:rsid w:val="00BF3F26"/>
    <w:rsid w:val="00C1123E"/>
    <w:rsid w:val="00C166EF"/>
    <w:rsid w:val="00C17EB0"/>
    <w:rsid w:val="00C27F5F"/>
    <w:rsid w:val="00C30A0F"/>
    <w:rsid w:val="00C37E61"/>
    <w:rsid w:val="00C40FC2"/>
    <w:rsid w:val="00C70F1B"/>
    <w:rsid w:val="00C71A47"/>
    <w:rsid w:val="00C7464C"/>
    <w:rsid w:val="00C85588"/>
    <w:rsid w:val="00CD6755"/>
    <w:rsid w:val="00CD6856"/>
    <w:rsid w:val="00CE0089"/>
    <w:rsid w:val="00CE793C"/>
    <w:rsid w:val="00CF193C"/>
    <w:rsid w:val="00D173F1"/>
    <w:rsid w:val="00D54A7D"/>
    <w:rsid w:val="00D74CB0"/>
    <w:rsid w:val="00D8295D"/>
    <w:rsid w:val="00DC2A65"/>
    <w:rsid w:val="00DE15F0"/>
    <w:rsid w:val="00DE5663"/>
    <w:rsid w:val="00DE78AA"/>
    <w:rsid w:val="00E053D0"/>
    <w:rsid w:val="00E15994"/>
    <w:rsid w:val="00E3114E"/>
    <w:rsid w:val="00E31A70"/>
    <w:rsid w:val="00E35B02"/>
    <w:rsid w:val="00E463F3"/>
    <w:rsid w:val="00E66496"/>
    <w:rsid w:val="00E66B35"/>
    <w:rsid w:val="00E66E10"/>
    <w:rsid w:val="00E769F6"/>
    <w:rsid w:val="00E8407C"/>
    <w:rsid w:val="00E84F3C"/>
    <w:rsid w:val="00EA012C"/>
    <w:rsid w:val="00EC6A55"/>
    <w:rsid w:val="00EC713F"/>
    <w:rsid w:val="00ED0288"/>
    <w:rsid w:val="00EE52CB"/>
    <w:rsid w:val="00EF581D"/>
    <w:rsid w:val="00EF7FD8"/>
    <w:rsid w:val="00F06F59"/>
    <w:rsid w:val="00F17988"/>
    <w:rsid w:val="00F469F0"/>
    <w:rsid w:val="00F53273"/>
    <w:rsid w:val="00F755E4"/>
    <w:rsid w:val="00F77D02"/>
    <w:rsid w:val="00FB3A86"/>
    <w:rsid w:val="00FB678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9ED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41">
    <w:name w:val="Plain Table 41"/>
    <w:basedOn w:val="TableNormal"/>
    <w:next w:val="PlainTable4"/>
    <w:uiPriority w:val="44"/>
    <w:rsid w:val="00B62F90"/>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3-Accent31">
    <w:name w:val="Grid Table 3 - Accent 31"/>
    <w:basedOn w:val="TableNormal"/>
    <w:next w:val="GridTable3-Accent3"/>
    <w:uiPriority w:val="48"/>
    <w:rsid w:val="00B62F90"/>
    <w:rPr>
      <w:rFonts w:ascii="Calibri" w:eastAsia="Calibri" w:hAnsi="Calibri"/>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PlainTable31">
    <w:name w:val="Plain Table 31"/>
    <w:basedOn w:val="TableNormal"/>
    <w:next w:val="PlainTable3"/>
    <w:uiPriority w:val="43"/>
    <w:rsid w:val="00B62F90"/>
    <w:rPr>
      <w:rFonts w:ascii="Calibri" w:eastAsia="Calibri" w:hAnsi="Calibri"/>
      <w:sz w:val="22"/>
      <w:szCs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2F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B62F9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PlainTable3">
    <w:name w:val="Plain Table 3"/>
    <w:basedOn w:val="TableNormal"/>
    <w:uiPriority w:val="43"/>
    <w:rsid w:val="00B62F9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next w:val="PlainTable5"/>
    <w:uiPriority w:val="45"/>
    <w:rsid w:val="00B62F90"/>
    <w:rPr>
      <w:rFonts w:ascii="Calibri" w:eastAsia="Calibri" w:hAnsi="Calibri"/>
      <w:sz w:val="22"/>
      <w:szCs w:val="22"/>
      <w:lang w:val="en-GB"/>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B62F9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582971"/>
    <w:rPr>
      <w:color w:val="605E5C"/>
      <w:shd w:val="clear" w:color="auto" w:fill="E1DFDD"/>
    </w:rPr>
  </w:style>
  <w:style w:type="paragraph" w:styleId="ListParagraph">
    <w:name w:val="List Paragraph"/>
    <w:basedOn w:val="Normal"/>
    <w:uiPriority w:val="34"/>
    <w:qFormat/>
    <w:rsid w:val="004B6AF0"/>
    <w:pPr>
      <w:ind w:left="720"/>
      <w:contextualSpacing/>
    </w:pPr>
  </w:style>
  <w:style w:type="paragraph" w:styleId="CommentSubject">
    <w:name w:val="annotation subject"/>
    <w:basedOn w:val="CommentText"/>
    <w:next w:val="CommentText"/>
    <w:link w:val="CommentSubjectChar"/>
    <w:semiHidden/>
    <w:unhideWhenUsed/>
    <w:rsid w:val="00A75543"/>
    <w:rPr>
      <w:rFonts w:ascii="Helvetica" w:hAnsi="Helvetica"/>
      <w:b/>
      <w:bCs/>
      <w:lang w:val="en-US" w:eastAsia="en-US"/>
    </w:rPr>
  </w:style>
  <w:style w:type="character" w:customStyle="1" w:styleId="CommentSubjectChar">
    <w:name w:val="Comment Subject Char"/>
    <w:basedOn w:val="CommentTextChar"/>
    <w:link w:val="CommentSubject"/>
    <w:semiHidden/>
    <w:rsid w:val="00A7554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8/rsbl.2009.0986" TargetMode="External"/><Relationship Id="rId18" Type="http://schemas.openxmlformats.org/officeDocument/2006/relationships/hyperlink" Target="https://doi.org/10.1016/j.cois.2015.10.011" TargetMode="External"/><Relationship Id="rId26" Type="http://schemas.openxmlformats.org/officeDocument/2006/relationships/hyperlink" Target="https://doi.org/10.4039/Ent89457-10" TargetMode="External"/><Relationship Id="rId39" Type="http://schemas.openxmlformats.org/officeDocument/2006/relationships/hyperlink" Target="https://doi.org/10.1007/s00216-008-2167-9" TargetMode="External"/><Relationship Id="rId21" Type="http://schemas.openxmlformats.org/officeDocument/2006/relationships/hyperlink" Target="https://doi.org/10.1242/jeb.205.19.3009" TargetMode="External"/><Relationship Id="rId34" Type="http://schemas.openxmlformats.org/officeDocument/2006/relationships/hyperlink" Target="https://doi.org/10.1016/j.phytochem.2018.02.003" TargetMode="External"/><Relationship Id="rId42" Type="http://schemas.openxmlformats.org/officeDocument/2006/relationships/hyperlink" Target="https://doi.org/10.1002/ece3.5730" TargetMode="External"/><Relationship Id="rId47" Type="http://schemas.openxmlformats.org/officeDocument/2006/relationships/footer" Target="footer2.xml"/><Relationship Id="rId50" Type="http://schemas.openxmlformats.org/officeDocument/2006/relationships/image" Target="media/image1.emf"/><Relationship Id="rId55"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doi.org/10.1016/S1369-5266(00)00089-3" TargetMode="External"/><Relationship Id="rId17" Type="http://schemas.openxmlformats.org/officeDocument/2006/relationships/hyperlink" Target="https://doi.org/10.1371/journal.pone.0196219" TargetMode="External"/><Relationship Id="rId25" Type="http://schemas.openxmlformats.org/officeDocument/2006/relationships/hyperlink" Target="https://doi.org/10.1038/s41589-020-00658-6" TargetMode="External"/><Relationship Id="rId33" Type="http://schemas.openxmlformats.org/officeDocument/2006/relationships/hyperlink" Target="https://doi.org/10.1104/pp.015156" TargetMode="External"/><Relationship Id="rId38" Type="http://schemas.openxmlformats.org/officeDocument/2006/relationships/hyperlink" Target="https://doi.org/10.1016/B978-0-12-384747-8.10011-X" TargetMode="External"/><Relationship Id="rId46" Type="http://schemas.openxmlformats.org/officeDocument/2006/relationships/footer" Target="footer1.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8/srep21954" TargetMode="External"/><Relationship Id="rId20" Type="http://schemas.openxmlformats.org/officeDocument/2006/relationships/hyperlink" Target="https://doi.org/10.1016/j.cois.2015.05.007" TargetMode="External"/><Relationship Id="rId29" Type="http://schemas.openxmlformats.org/officeDocument/2006/relationships/hyperlink" Target="https://doi.org/10.1104/pp.106.084178" TargetMode="External"/><Relationship Id="rId41" Type="http://schemas.openxmlformats.org/officeDocument/2006/relationships/hyperlink" Target="https://doi.org/10.1104/pp.92.1.222" TargetMode="External"/><Relationship Id="rId54"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390/insects11080501" TargetMode="External"/><Relationship Id="rId32" Type="http://schemas.openxmlformats.org/officeDocument/2006/relationships/hyperlink" Target="https://doi.org/10.1016/0022-1910(94)90133-3" TargetMode="External"/><Relationship Id="rId37" Type="http://schemas.openxmlformats.org/officeDocument/2006/relationships/hyperlink" Target="https://doi.org/10.1104/pp.80.4.1002" TargetMode="External"/><Relationship Id="rId40" Type="http://schemas.openxmlformats.org/officeDocument/2006/relationships/hyperlink" Target="https://doi.org/10.1104/pp.92.1.222" TargetMode="External"/><Relationship Id="rId45" Type="http://schemas.openxmlformats.org/officeDocument/2006/relationships/header" Target="header2.xml"/><Relationship Id="rId53" Type="http://schemas.openxmlformats.org/officeDocument/2006/relationships/image" Target="media/image3.emf"/><Relationship Id="rId58"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146/annurev.ento.47.091201.145300" TargetMode="External"/><Relationship Id="rId23" Type="http://schemas.openxmlformats.org/officeDocument/2006/relationships/hyperlink" Target="https://doi.org/10.1038/srep24781" TargetMode="External"/><Relationship Id="rId28" Type="http://schemas.openxmlformats.org/officeDocument/2006/relationships/hyperlink" Target="https://doi.org/10.1104/pp.106.084178" TargetMode="External"/><Relationship Id="rId36" Type="http://schemas.openxmlformats.org/officeDocument/2006/relationships/hyperlink" Target="https://doi.org/10.1007/s00726-005-0247-0" TargetMode="External"/><Relationship Id="rId49" Type="http://schemas.openxmlformats.org/officeDocument/2006/relationships/footer" Target="footer3.xml"/><Relationship Id="rId57"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93/jxb/eraa017" TargetMode="External"/><Relationship Id="rId31" Type="http://schemas.openxmlformats.org/officeDocument/2006/relationships/hyperlink" Target="https://doi.org/10.1104/pp.67.1.37" TargetMode="External"/><Relationship Id="rId44" Type="http://schemas.openxmlformats.org/officeDocument/2006/relationships/header" Target="header1.xml"/><Relationship Id="rId52"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S0022-1910(99)00186-9" TargetMode="External"/><Relationship Id="rId22" Type="http://schemas.openxmlformats.org/officeDocument/2006/relationships/hyperlink" Target="https://doi.org/10.1111/j.1744-7348.2006.00104.x" TargetMode="External"/><Relationship Id="rId27" Type="http://schemas.openxmlformats.org/officeDocument/2006/relationships/hyperlink" Target="https://doi.org/10.1093/jexbot/52.361.1665" TargetMode="External"/><Relationship Id="rId30" Type="http://schemas.openxmlformats.org/officeDocument/2006/relationships/hyperlink" Target="https://doi.org/10.1104/pp.67.1.37" TargetMode="External"/><Relationship Id="rId35" Type="http://schemas.openxmlformats.org/officeDocument/2006/relationships/hyperlink" Target="https://doi.org/10.1016/0031-9422(88)84071-8" TargetMode="External"/><Relationship Id="rId43" Type="http://schemas.openxmlformats.org/officeDocument/2006/relationships/hyperlink" Target="https://doi.org/10.1093/jxb/eraa017" TargetMode="External"/><Relationship Id="rId48" Type="http://schemas.openxmlformats.org/officeDocument/2006/relationships/header" Target="header3.xml"/><Relationship Id="rId56" Type="http://schemas.openxmlformats.org/officeDocument/2006/relationships/oleObject" Target="embeddings/oleObject3.bin"/><Relationship Id="rId8" Type="http://schemas.openxmlformats.org/officeDocument/2006/relationships/comments" Target="comments.xml"/><Relationship Id="rId51" Type="http://schemas.openxmlformats.org/officeDocument/2006/relationships/oleObject" Target="embeddings/oleObject1.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812A-2FF3-4A38-9A99-3AED87F5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Pages>
  <Words>4570</Words>
  <Characters>26050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RUDRA NARAYAN BORKAKATI</cp:lastModifiedBy>
  <cp:revision>33</cp:revision>
  <cp:lastPrinted>1999-07-06T11:00:00Z</cp:lastPrinted>
  <dcterms:created xsi:type="dcterms:W3CDTF">2025-09-11T08:12:00Z</dcterms:created>
  <dcterms:modified xsi:type="dcterms:W3CDTF">2025-09-11T15:57:00Z</dcterms:modified>
</cp:coreProperties>
</file>