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E4" w:rsidRDefault="000E4256">
      <w:pPr>
        <w:pBdr>
          <w:top w:val="nil"/>
          <w:left w:val="nil"/>
          <w:bottom w:val="nil"/>
          <w:right w:val="nil"/>
          <w:between w:val="nil"/>
        </w:pBdr>
        <w:spacing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Baseline Study of Soil Radioactivity and Gamma Radiation in Historical Monument of Narnaul, Haryana, India.</w:t>
      </w:r>
    </w:p>
    <w:p w:rsidR="00042BE4" w:rsidRDefault="00042BE4">
      <w:pPr>
        <w:jc w:val="both"/>
        <w:rPr>
          <w:rFonts w:ascii="Times New Roman" w:eastAsia="Times New Roman" w:hAnsi="Times New Roman" w:cs="Times New Roman"/>
          <w:sz w:val="24"/>
          <w:szCs w:val="24"/>
        </w:rPr>
      </w:pPr>
    </w:p>
    <w:p w:rsidR="007F4035" w:rsidRDefault="007F4035">
      <w:pPr>
        <w:jc w:val="both"/>
        <w:rPr>
          <w:rFonts w:ascii="Times New Roman" w:eastAsia="Times New Roman" w:hAnsi="Times New Roman" w:cs="Times New Roman"/>
          <w:sz w:val="24"/>
          <w:szCs w:val="24"/>
        </w:rPr>
      </w:pP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 systematic study of the radioactivity concentration in building materials from two historical monuments located in Narnaul, Haryana, India.The survey initiated in April 2024, aimed to establish reliable baseline data on soil radiation level of the region. Countrywide, many areas have been found with elevated background gamma radiation, leading to several types of disorders in human beings effecting human health. Therefore, this study was undertaken as a precautionary measure to highlights the importance of radiation monitoring even in non-industrial areas where hidden health hazards may </w:t>
      </w:r>
      <w:commentRangeStart w:id="0"/>
      <w:r>
        <w:rPr>
          <w:rFonts w:ascii="Times New Roman" w:eastAsia="Times New Roman" w:hAnsi="Times New Roman" w:cs="Times New Roman"/>
          <w:sz w:val="24"/>
          <w:szCs w:val="24"/>
        </w:rPr>
        <w:t>exist</w:t>
      </w:r>
      <w:commentRangeEnd w:id="0"/>
      <w:r w:rsidR="003C2FE3">
        <w:rPr>
          <w:rStyle w:val="CommentReference"/>
        </w:rPr>
        <w:commentReference w:id="0"/>
      </w:r>
      <w:r>
        <w:rPr>
          <w:rFonts w:ascii="Times New Roman" w:eastAsia="Times New Roman" w:hAnsi="Times New Roman" w:cs="Times New Roman"/>
          <w:sz w:val="24"/>
          <w:szCs w:val="24"/>
        </w:rPr>
        <w:t xml:space="preserve">. </w:t>
      </w:r>
    </w:p>
    <w:p w:rsidR="00042BE4" w:rsidRDefault="000E4256">
      <w:pPr>
        <w:jc w:val="both"/>
      </w:pPr>
      <w:r>
        <w:rPr>
          <w:rFonts w:ascii="Times New Roman" w:eastAsia="Times New Roman" w:hAnsi="Times New Roman" w:cs="Times New Roman"/>
          <w:sz w:val="24"/>
          <w:szCs w:val="24"/>
        </w:rPr>
        <w:t xml:space="preserve"> In present study a radiation survey meter (NaI) was employed to measure gamma radiation levels both indoors and outdoors.  All dose rate peaks were recorded and from these the activity concentration was calculated of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 xml:space="preserve"> Ra,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 xml:space="preserve">Th,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w:t>
      </w:r>
      <w:commentRangeStart w:id="1"/>
      <w:r>
        <w:rPr>
          <w:rFonts w:ascii="Times New Roman" w:eastAsia="Times New Roman" w:hAnsi="Times New Roman" w:cs="Times New Roman"/>
          <w:color w:val="222222"/>
          <w:sz w:val="24"/>
          <w:szCs w:val="24"/>
          <w:highlight w:val="white"/>
        </w:rPr>
        <w:t>Average</w:t>
      </w:r>
      <w:commentRangeEnd w:id="1"/>
      <w:r w:rsidR="00746F8C">
        <w:rPr>
          <w:rStyle w:val="CommentReference"/>
        </w:rPr>
        <w:commentReference w:id="1"/>
      </w:r>
      <w:r>
        <w:rPr>
          <w:rFonts w:ascii="Times New Roman" w:eastAsia="Times New Roman" w:hAnsi="Times New Roman" w:cs="Times New Roman"/>
          <w:color w:val="222222"/>
          <w:sz w:val="24"/>
          <w:szCs w:val="24"/>
          <w:highlight w:val="white"/>
        </w:rPr>
        <w:t xml:space="preserve"> of total activity concentration ( for Jal Mahal is 518.08 Bq/kg, and for ChorGhumbad 632.9993 Bq/kg ) expressed as sum of </w:t>
      </w:r>
      <w:r>
        <w:rPr>
          <w:rFonts w:ascii="Times New Roman" w:eastAsia="Times New Roman" w:hAnsi="Times New Roman" w:cs="Times New Roman"/>
          <w:color w:val="222222"/>
          <w:sz w:val="24"/>
          <w:szCs w:val="24"/>
          <w:highlight w:val="white"/>
          <w:vertAlign w:val="superscript"/>
        </w:rPr>
        <w:t>226</w:t>
      </w:r>
      <w:r>
        <w:rPr>
          <w:rFonts w:ascii="Times New Roman" w:eastAsia="Times New Roman" w:hAnsi="Times New Roman" w:cs="Times New Roman"/>
          <w:color w:val="222222"/>
          <w:sz w:val="24"/>
          <w:szCs w:val="24"/>
          <w:highlight w:val="white"/>
        </w:rPr>
        <w:t>Ra and </w:t>
      </w:r>
      <w:r>
        <w:rPr>
          <w:rFonts w:ascii="Times New Roman" w:eastAsia="Times New Roman" w:hAnsi="Times New Roman" w:cs="Times New Roman"/>
          <w:color w:val="222222"/>
          <w:sz w:val="24"/>
          <w:szCs w:val="24"/>
          <w:highlight w:val="white"/>
          <w:vertAlign w:val="superscript"/>
        </w:rPr>
        <w:t>232</w:t>
      </w:r>
      <w:r>
        <w:rPr>
          <w:rFonts w:ascii="Times New Roman" w:eastAsia="Times New Roman" w:hAnsi="Times New Roman" w:cs="Times New Roman"/>
          <w:color w:val="222222"/>
          <w:sz w:val="24"/>
          <w:szCs w:val="24"/>
          <w:highlight w:val="white"/>
        </w:rPr>
        <w:t>Th and </w:t>
      </w:r>
      <w:r>
        <w:rPr>
          <w:rFonts w:ascii="Times New Roman" w:eastAsia="Times New Roman" w:hAnsi="Times New Roman" w:cs="Times New Roman"/>
          <w:color w:val="222222"/>
          <w:sz w:val="24"/>
          <w:szCs w:val="24"/>
          <w:highlight w:val="white"/>
          <w:vertAlign w:val="superscript"/>
        </w:rPr>
        <w:t>40</w:t>
      </w:r>
      <w:r>
        <w:rPr>
          <w:rFonts w:ascii="Times New Roman" w:eastAsia="Times New Roman" w:hAnsi="Times New Roman" w:cs="Times New Roman"/>
          <w:color w:val="222222"/>
          <w:sz w:val="24"/>
          <w:szCs w:val="24"/>
          <w:highlight w:val="white"/>
        </w:rPr>
        <w:t xml:space="preserve">K concentrations is higher than the world average of total activity concentration of these radionuclides in building material samples (420 Bq/kg). The average value of Req for Jal Mahal is </w:t>
      </w:r>
      <w:r>
        <w:rPr>
          <w:rFonts w:ascii="Times New Roman" w:eastAsia="Times New Roman" w:hAnsi="Times New Roman" w:cs="Times New Roman"/>
          <w:sz w:val="24"/>
          <w:szCs w:val="24"/>
        </w:rPr>
        <w:t>130.775833</w:t>
      </w:r>
      <w:r>
        <w:rPr>
          <w:rFonts w:ascii="Times New Roman" w:eastAsia="Times New Roman" w:hAnsi="Times New Roman" w:cs="Times New Roman"/>
          <w:color w:val="222222"/>
          <w:sz w:val="24"/>
          <w:szCs w:val="24"/>
          <w:highlight w:val="white"/>
        </w:rPr>
        <w:t xml:space="preserve"> Bq/kg and for ChorGhumbad is </w:t>
      </w:r>
      <w:r>
        <w:rPr>
          <w:rFonts w:ascii="Times New Roman" w:eastAsia="Times New Roman" w:hAnsi="Times New Roman" w:cs="Times New Roman"/>
          <w:sz w:val="24"/>
          <w:szCs w:val="24"/>
        </w:rPr>
        <w:t>149.86944</w:t>
      </w:r>
      <w:r>
        <w:rPr>
          <w:rFonts w:ascii="Times New Roman" w:eastAsia="Times New Roman" w:hAnsi="Times New Roman" w:cs="Times New Roman"/>
          <w:color w:val="222222"/>
          <w:sz w:val="24"/>
          <w:szCs w:val="24"/>
          <w:highlight w:val="white"/>
        </w:rPr>
        <w:t>Bq/kg. It has been inferred that the radium equivalent activity (Ra</w:t>
      </w:r>
      <w:r>
        <w:rPr>
          <w:rFonts w:ascii="Times New Roman" w:eastAsia="Times New Roman" w:hAnsi="Times New Roman" w:cs="Times New Roman"/>
          <w:color w:val="222222"/>
          <w:sz w:val="24"/>
          <w:szCs w:val="24"/>
          <w:highlight w:val="white"/>
          <w:vertAlign w:val="subscript"/>
        </w:rPr>
        <w:t>eq</w:t>
      </w:r>
      <w:r>
        <w:rPr>
          <w:rFonts w:ascii="Times New Roman" w:eastAsia="Times New Roman" w:hAnsi="Times New Roman" w:cs="Times New Roman"/>
          <w:color w:val="222222"/>
          <w:sz w:val="24"/>
          <w:szCs w:val="24"/>
          <w:highlight w:val="white"/>
        </w:rPr>
        <w:t xml:space="preserve">) lies in the permissible limit of 370 Bq/kg set by United Nations Scientific Committee on the Effects of Atomic Radiation. </w:t>
      </w:r>
      <w:r w:rsidR="00746F8C">
        <w:rPr>
          <w:rFonts w:ascii="Times New Roman" w:eastAsia="Times New Roman" w:hAnsi="Times New Roman" w:cs="Times New Roman"/>
          <w:color w:val="222222"/>
          <w:sz w:val="24"/>
          <w:szCs w:val="24"/>
          <w:highlight w:val="white"/>
        </w:rPr>
        <w:t xml:space="preserve">Average </w:t>
      </w:r>
      <w:r w:rsidR="00746F8C">
        <w:rPr>
          <w:rFonts w:ascii="Arial" w:eastAsia="Arial" w:hAnsi="Arial" w:cs="Arial"/>
          <w:color w:val="222222"/>
          <w:sz w:val="20"/>
          <w:szCs w:val="20"/>
          <w:highlight w:val="white"/>
        </w:rPr>
        <w:t>Absorbed</w:t>
      </w:r>
      <w:r>
        <w:rPr>
          <w:rFonts w:ascii="Times New Roman" w:eastAsia="Times New Roman" w:hAnsi="Times New Roman" w:cs="Times New Roman"/>
          <w:color w:val="222222"/>
          <w:sz w:val="24"/>
          <w:szCs w:val="24"/>
          <w:highlight w:val="white"/>
        </w:rPr>
        <w:t xml:space="preserve"> dose rate (ADR) for Jal Mahal</w:t>
      </w:r>
      <w:r>
        <w:rPr>
          <w:rFonts w:ascii="Times New Roman" w:eastAsia="Times New Roman" w:hAnsi="Times New Roman" w:cs="Times New Roman"/>
          <w:sz w:val="24"/>
          <w:szCs w:val="24"/>
        </w:rPr>
        <w:t xml:space="preserve">  value is 60.635</w:t>
      </w:r>
      <w:r>
        <w:rPr>
          <w:rFonts w:ascii="Times New Roman" w:eastAsia="Times New Roman" w:hAnsi="Times New Roman" w:cs="Times New Roman"/>
          <w:color w:val="222222"/>
          <w:sz w:val="24"/>
          <w:szCs w:val="24"/>
          <w:highlight w:val="white"/>
        </w:rPr>
        <w:t> nGy/h and for ChorGhumbad is</w:t>
      </w:r>
      <w:r>
        <w:rPr>
          <w:rFonts w:ascii="Times New Roman" w:eastAsia="Times New Roman" w:hAnsi="Times New Roman" w:cs="Times New Roman"/>
          <w:sz w:val="24"/>
          <w:szCs w:val="24"/>
        </w:rPr>
        <w:t xml:space="preserve"> 69.570611</w:t>
      </w:r>
      <w:r>
        <w:rPr>
          <w:rFonts w:ascii="Times New Roman" w:eastAsia="Times New Roman" w:hAnsi="Times New Roman" w:cs="Times New Roman"/>
          <w:color w:val="222222"/>
          <w:sz w:val="24"/>
          <w:szCs w:val="24"/>
          <w:highlight w:val="white"/>
        </w:rPr>
        <w:t>nGy/h. . “The values were found to be higher than the world average of 59 nGy/h</w:t>
      </w:r>
      <w:r>
        <w:rPr>
          <w:rFonts w:ascii="Times New Roman" w:eastAsia="Times New Roman" w:hAnsi="Times New Roman" w:cs="Times New Roman"/>
          <w:color w:val="222222"/>
          <w:sz w:val="24"/>
          <w:szCs w:val="24"/>
        </w:rPr>
        <w:t>.”</w:t>
      </w:r>
    </w:p>
    <w:p w:rsidR="00042BE4" w:rsidRDefault="000E4256">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radiological evaluation of Jal Mahal and ChorGhumbad indicates that AED, ELCR, Dorgan, AUI, Iγ, and AGDE values remain well below international safety thresholds, with only a few samples approaching permissible limits. These findings demonstrate minimal radiological risk. </w:t>
      </w:r>
    </w:p>
    <w:p w:rsidR="00042BE4" w:rsidRDefault="00042BE4">
      <w:pPr>
        <w:jc w:val="both"/>
        <w:rPr>
          <w:rFonts w:ascii="Times New Roman" w:eastAsia="Times New Roman" w:hAnsi="Times New Roman" w:cs="Times New Roman"/>
          <w:sz w:val="24"/>
          <w:szCs w:val="24"/>
        </w:rPr>
      </w:pP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Natural background radiation is a pervasive aspect of our environment, arising from sources like the Earth’s crust, cosmic rays, and atmospheric radioactive isotopes. This radiation is crucial for health studies, radiation protection, and risk assessment (Rühm et al., 2018). It serves as a baseline exposure that constantly affects human health, aiding in understanding the risks associated with additional radiation sources and establishing safety standards. This knowledge helps in formulating guidelines and setting protection measures for various occupational and environmental settings. </w:t>
      </w:r>
      <w:commentRangeStart w:id="2"/>
      <w:r>
        <w:rPr>
          <w:rFonts w:ascii="Times New Roman" w:eastAsia="Times New Roman" w:hAnsi="Times New Roman" w:cs="Times New Roman"/>
          <w:sz w:val="24"/>
          <w:szCs w:val="24"/>
        </w:rPr>
        <w:t>Studies</w:t>
      </w:r>
      <w:commentRangeEnd w:id="2"/>
      <w:r w:rsidR="00B24873">
        <w:rPr>
          <w:rStyle w:val="CommentReference"/>
        </w:rPr>
        <w:commentReference w:id="2"/>
      </w:r>
      <w:r>
        <w:rPr>
          <w:rFonts w:ascii="Times New Roman" w:eastAsia="Times New Roman" w:hAnsi="Times New Roman" w:cs="Times New Roman"/>
          <w:sz w:val="24"/>
          <w:szCs w:val="24"/>
        </w:rPr>
        <w:t xml:space="preserve"> have explored the potential health effects linked to high natural </w:t>
      </w:r>
      <w:r>
        <w:rPr>
          <w:rFonts w:ascii="Times New Roman" w:eastAsia="Times New Roman" w:hAnsi="Times New Roman" w:cs="Times New Roman"/>
          <w:sz w:val="24"/>
          <w:szCs w:val="24"/>
        </w:rPr>
        <w:lastRenderedPageBreak/>
        <w:t>background radiation areas, emphasizing the need for comprehensive epidemiological studies (Shankramma, Nagaraja, Sathish, &amp; Kumar, 2022).</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the contribution of natural background radiation is important in assessing the overall radiological risk for the population within different geographical regions. This knowledge is vital for resource allocation and priority setting in radiation protection. Educating the public about the relative risks of various radiation sources is essential to ensure informed decision making, especially in regions with high variability in Naturally Occurring Radioactive Material (NORM) </w:t>
      </w:r>
      <w:commentRangeStart w:id="3"/>
      <w:r>
        <w:rPr>
          <w:rFonts w:ascii="Times New Roman" w:eastAsia="Times New Roman" w:hAnsi="Times New Roman" w:cs="Times New Roman"/>
          <w:sz w:val="24"/>
          <w:szCs w:val="24"/>
        </w:rPr>
        <w:t>(Egidi, 1997</w:t>
      </w:r>
      <w:commentRangeEnd w:id="3"/>
      <w:r w:rsidR="003230F4">
        <w:rPr>
          <w:rStyle w:val="CommentReference"/>
        </w:rPr>
        <w:commentReference w:id="3"/>
      </w:r>
      <w:r>
        <w:rPr>
          <w:rFonts w:ascii="Times New Roman" w:eastAsia="Times New Roman" w:hAnsi="Times New Roman" w:cs="Times New Roman"/>
          <w:sz w:val="24"/>
          <w:szCs w:val="24"/>
        </w:rPr>
        <w:t>; Bossew&amp; Cinelli 2017) and other potential exposure instances (Al-khawlany et al., 2020). Although natural radiation exposure generally poses low health risks, it contributes to setting safety standards and guidelines for radiation use in various applications. Additionally, there is a need for a regulatory framework to mitigate radiological risks. It is essential to account for potential accidents, involving radioactive substances in various sectors, including medical, civil, and military fields, and the potential risks associated with nuclear energy use and nuclear waste management</w:t>
      </w:r>
      <w:r>
        <w:t xml:space="preserve"> (</w:t>
      </w:r>
      <w:r>
        <w:rPr>
          <w:rFonts w:ascii="Times New Roman" w:eastAsia="Times New Roman" w:hAnsi="Times New Roman" w:cs="Times New Roman"/>
          <w:sz w:val="24"/>
          <w:szCs w:val="24"/>
        </w:rPr>
        <w:t>Alwaeli&amp; Mannheim, 2022; Johansson &amp; Steen, 2022; Khan &amp;Alshukri, 2020; Menon &amp; Kumar, 2019; Sahoo &amp; Joseph, 2021).</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spatial distribution of natural radioactivity in various countries is a topic of interest in environmental science and radiation protection. Natural radioactivity primarily arises from the presence of primordial radioactive elements such as </w:t>
      </w:r>
      <w:r>
        <w:rPr>
          <w:rFonts w:ascii="Times New Roman" w:eastAsia="Times New Roman" w:hAnsi="Times New Roman" w:cs="Times New Roman"/>
          <w:sz w:val="24"/>
          <w:szCs w:val="24"/>
          <w:vertAlign w:val="superscript"/>
        </w:rPr>
        <w:t>238</w:t>
      </w:r>
      <w:r>
        <w:rPr>
          <w:rFonts w:ascii="Times New Roman" w:eastAsia="Times New Roman" w:hAnsi="Times New Roman" w:cs="Times New Roman"/>
          <w:sz w:val="24"/>
          <w:szCs w:val="24"/>
        </w:rPr>
        <w:t xml:space="preserve">U,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 xml:space="preserve">Th, and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in the Earth’s crust (Kant &amp; Gupta 2015; Kovler&amp; Friedmann 2017; Lolila&amp;Mazunga 2023; Rene &amp;Akitsu 2017). The distribution of these elements can vary significantly from one region to another and depends on the geological composition of a specific region. Certain rocks, soils, and minerals contain these radioactive elements (Abbasi &amp;Turhan 2020; Malikova&amp;Strakhovenko 2020; Missimer&amp;Teaf 2019; Patel &amp;Sharma 2023; Zanin&amp;Zamirailova 2016). Areas with higher concentrations of these elements tend to exhibit higher natural background radiation levels. Radionuclides from the </w:t>
      </w:r>
      <w:r>
        <w:rPr>
          <w:rFonts w:ascii="Times New Roman" w:eastAsia="Times New Roman" w:hAnsi="Times New Roman" w:cs="Times New Roman"/>
          <w:sz w:val="24"/>
          <w:szCs w:val="24"/>
          <w:vertAlign w:val="superscript"/>
        </w:rPr>
        <w:t>238</w:t>
      </w:r>
      <w:r>
        <w:rPr>
          <w:rFonts w:ascii="Times New Roman" w:eastAsia="Times New Roman" w:hAnsi="Times New Roman" w:cs="Times New Roman"/>
          <w:sz w:val="24"/>
          <w:szCs w:val="24"/>
        </w:rPr>
        <w:t xml:space="preserve">U and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 xml:space="preserve">Th decay series in the Earth’s </w:t>
      </w:r>
      <w:r>
        <w:rPr>
          <w:rFonts w:ascii="Times New Roman" w:eastAsia="Times New Roman" w:hAnsi="Times New Roman" w:cs="Times New Roman"/>
          <w:sz w:val="24"/>
          <w:szCs w:val="24"/>
          <w:vertAlign w:val="superscript"/>
        </w:rPr>
        <w:t>crust</w:t>
      </w:r>
      <w:r>
        <w:rPr>
          <w:rFonts w:ascii="Times New Roman" w:eastAsia="Times New Roman" w:hAnsi="Times New Roman" w:cs="Times New Roman"/>
          <w:sz w:val="24"/>
          <w:szCs w:val="24"/>
        </w:rPr>
        <w:t xml:space="preserve"> undergo beta or alpha decay and may leave the residual nucleus in an excited state. In such instances, the nucleus can emit one or more gamma rays to transition to the ground state. These gamma rays contribute to background radiation. For instance, gamma rays emitted by radon and its decay products, along with those from </w:t>
      </w:r>
      <w:r>
        <w:rPr>
          <w:rFonts w:ascii="Times New Roman" w:eastAsia="Times New Roman" w:hAnsi="Times New Roman" w:cs="Times New Roman"/>
          <w:sz w:val="24"/>
          <w:szCs w:val="24"/>
          <w:vertAlign w:val="superscript"/>
        </w:rPr>
        <w:t>238</w:t>
      </w:r>
      <w:r>
        <w:rPr>
          <w:rFonts w:ascii="Times New Roman" w:eastAsia="Times New Roman" w:hAnsi="Times New Roman" w:cs="Times New Roman"/>
          <w:sz w:val="24"/>
          <w:szCs w:val="24"/>
        </w:rPr>
        <w:t xml:space="preserve">U and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 xml:space="preserve">Th decay chain, contribute significantly to natural background radiation. The actual exposure to gamma rays can vary widely based on geographical location. Some regions have higher natural background radiation due to geological factors, while others have lower levels (Al-khawlany et al., 2018). Certain human activities can also influence local radiation levels. Mining, construction materials sourced from specific geological formation, or areas with higher levels of radioactive minerals can elevate background radiation. Radiation exposure is measured in units called sieverts (Sv). The millisievert (mSv) is a smaller unit used to express doses from natural sources, medical procedures, or occupational exposures. The annual average dose from natural background radiation varies globally, but it typically falls within the range of 1 to 10 mSv per year. Therefore, populations could be exposed to an annual effective dose reaching a maximum of 10 mSv per year, this maximum is equivalent to a dose rate of 1.14 </w:t>
      </w:r>
      <w:commentRangeStart w:id="4"/>
      <w:r>
        <w:rPr>
          <w:rFonts w:ascii="Times New Roman" w:eastAsia="Times New Roman" w:hAnsi="Times New Roman" w:cs="Times New Roman"/>
          <w:sz w:val="24"/>
          <w:szCs w:val="24"/>
        </w:rPr>
        <w:t>μ</w:t>
      </w:r>
      <w:r>
        <w:rPr>
          <w:rFonts w:ascii="Gungsuh" w:eastAsia="Gungsuh" w:hAnsi="Gungsuh" w:cs="Gungsuh"/>
          <w:sz w:val="24"/>
          <w:szCs w:val="24"/>
        </w:rPr>
        <w:t>Sv·h −1</w:t>
      </w:r>
      <w:commentRangeEnd w:id="4"/>
      <w:r w:rsidR="00746F8C">
        <w:rPr>
          <w:rStyle w:val="CommentReference"/>
        </w:rPr>
        <w:commentReference w:id="4"/>
      </w:r>
      <w:r>
        <w:rPr>
          <w:rFonts w:ascii="Gungsuh" w:eastAsia="Gungsuh" w:hAnsi="Gungsuh" w:cs="Gungsuh"/>
          <w:sz w:val="24"/>
          <w:szCs w:val="24"/>
        </w:rPr>
        <w:t xml:space="preserve">. Assuming an annual effective dose of let us say 2.4 </w:t>
      </w:r>
      <w:r>
        <w:rPr>
          <w:rFonts w:ascii="Gungsuh" w:eastAsia="Gungsuh" w:hAnsi="Gungsuh" w:cs="Gungsuh"/>
          <w:sz w:val="24"/>
          <w:szCs w:val="24"/>
        </w:rPr>
        <w:lastRenderedPageBreak/>
        <w:t>mSv per year for a person life time of 70 years is around 168 mSv (UNSCEAR 2020.) The latter is only an estimate since measurements have revealed a larger interval of values, i.e., 70–800 mSv, which is a justification supporting the present study (Till et al., 2008).</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radiation studies are carried out by monitors, nuclear spectroscopy, radon measurements, and geological surveys to quantify the levels of natural radiation levels (Al-khawlanyet  al., 2018; Tye&amp;Milodowski 2017; Marques &amp; Vale 2021; Musa 2019; Omori 2016). The information obtained from these studies often is reported as maps; the values of the radiation levels and dose gradients are crucial for assessing potential health risks, establishing radiation protection guidelines, and developing strategies for managing areas with elevated natural radioactivity (Delacroix et al., 2002; Martin 2006; Shapiro 2002).</w:t>
      </w:r>
    </w:p>
    <w:p w:rsidR="00042BE4" w:rsidRDefault="000E4256">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Human population is exposed by radiation comes from diverse sources, some sources are natural ; others are the consequences / Product of human activities. It means living things are continually and inevitably exposed to varying levels of ionizing radiation on a daily basis. Natural sources of radiation include cosmic radiation, external radiation originating from radionuclides present in the Earth's crust, and internal radiation resulting from radionuclides that are inhaled, ingested, and retained within the body.  Potency of natural exposure depends on the geographical location and on human activity. There are two natural sources of ionizing gamma radiation cosmic (solar or galactic) &amp; terrestrial radiation. Isotopes of heavy elements &amp; their decay products present in the earth’s crust are the major sources of terrestrial radiation.</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context, the present research was conducted in Narnaul, Haryana to evaluate radioactivity in ancient building materials and to measure gamma dose rates in translating from activity concentrations in Becquerels (Bq/kg) In summary, this study underscores the ubiquitous presence of natural radioactivity in the environment, its diverse sources, and the importance of assessing radiation levels to ensure safety and mitigate potential health risks. It supports the development of public health guides for safe access and ancient building usage.</w:t>
      </w:r>
    </w:p>
    <w:p w:rsidR="00042BE4" w:rsidRDefault="00042BE4">
      <w:pPr>
        <w:jc w:val="both"/>
        <w:rPr>
          <w:rFonts w:ascii="Times New Roman" w:eastAsia="Times New Roman" w:hAnsi="Times New Roman" w:cs="Times New Roman"/>
          <w:sz w:val="24"/>
          <w:szCs w:val="24"/>
        </w:rPr>
      </w:pP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MATERIAL AND METHOD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aim of this study was to determine indoor and outdoor background radiation dose rates and to estimate the Radium Equivalent Activity (Raeq), Absorbed Dose Rate (ADR), Annual Effective Dose (AED), Activity Utilization Index (AUI), Gamma Index, Excess Cancer Risk, Effective Dose Rate (ELCR) to whole body organ, Annual gonadal dose equivalent  to the residents of  their nearby area in Narnaul.</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STUDY AREA</w:t>
      </w:r>
    </w:p>
    <w:p w:rsidR="00042BE4" w:rsidRDefault="000E4256">
      <w:pPr>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Haryana located in north-western region of India (27°39′–30°35′N latitude and 74°28′–77°28′ longitude),served as the study site.  Two ancient monuments, Jal Mahal andChorGhumbad,  </w:t>
      </w:r>
      <w:commentRangeStart w:id="5"/>
      <w:r>
        <w:rPr>
          <w:rFonts w:ascii="Times New Roman" w:eastAsia="Times New Roman" w:hAnsi="Times New Roman" w:cs="Times New Roman"/>
          <w:sz w:val="24"/>
          <w:szCs w:val="24"/>
        </w:rPr>
        <w:lastRenderedPageBreak/>
        <w:t>wereselected</w:t>
      </w:r>
      <w:commentRangeEnd w:id="5"/>
      <w:r w:rsidR="000E2329">
        <w:rPr>
          <w:rStyle w:val="CommentReference"/>
        </w:rPr>
        <w:commentReference w:id="5"/>
      </w:r>
      <w:r>
        <w:rPr>
          <w:rFonts w:ascii="Times New Roman" w:eastAsia="Times New Roman" w:hAnsi="Times New Roman" w:cs="Times New Roman"/>
          <w:sz w:val="24"/>
          <w:szCs w:val="24"/>
        </w:rPr>
        <w:t xml:space="preserve"> from Narnaul  (28.1920 °N, 76.6191°E). Narnaul is histrocially significant town, established during the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situated near the Aravalli mountain range. The region is characterized by a hot, dry climate and sandy plains with numerous dunes. Local construction materials traditionally include stone, bricks, lime and </w:t>
      </w:r>
      <w:commentRangeStart w:id="6"/>
      <w:commentRangeStart w:id="7"/>
      <w:r>
        <w:rPr>
          <w:rFonts w:ascii="Times New Roman" w:eastAsia="Times New Roman" w:hAnsi="Times New Roman" w:cs="Times New Roman"/>
          <w:sz w:val="24"/>
          <w:szCs w:val="24"/>
        </w:rPr>
        <w:t>wood</w:t>
      </w:r>
      <w:commentRangeEnd w:id="6"/>
      <w:r w:rsidR="00746F8C">
        <w:rPr>
          <w:rStyle w:val="CommentReference"/>
        </w:rPr>
        <w:commentReference w:id="6"/>
      </w:r>
      <w:commentRangeEnd w:id="7"/>
      <w:r w:rsidR="004911B0">
        <w:rPr>
          <w:rStyle w:val="CommentReference"/>
        </w:rPr>
        <w:commentReference w:id="7"/>
      </w:r>
      <w:r>
        <w:rPr>
          <w:rFonts w:ascii="Times New Roman" w:eastAsia="Times New Roman" w:hAnsi="Times New Roman" w:cs="Times New Roman"/>
          <w:sz w:val="24"/>
          <w:szCs w:val="24"/>
        </w:rPr>
        <w:t xml:space="preserve">. </w:t>
      </w:r>
    </w:p>
    <w:p w:rsidR="00746F8C" w:rsidRDefault="00746F8C">
      <w:pPr>
        <w:jc w:val="both"/>
        <w:rPr>
          <w:rFonts w:ascii="Times New Roman" w:eastAsia="Times New Roman" w:hAnsi="Times New Roman" w:cs="Times New Roman"/>
          <w:sz w:val="24"/>
          <w:szCs w:val="24"/>
        </w:rPr>
      </w:pP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MEASUREMENT TECHNIQUE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radiation measurement, samples from ancient buildings were analyzed using a NaI (sodium iodide) gamma-ray spectrometer. The detector was specifically chosen to assess the health impacts of ancient building material decay radiation. </w:t>
      </w:r>
    </w:p>
    <w:p w:rsidR="00886466" w:rsidRDefault="0088646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CHART 1. </w:t>
      </w:r>
    </w:p>
    <w:p w:rsidR="00042BE4" w:rsidRDefault="00042BE4">
      <w:pPr>
        <w:jc w:val="both"/>
        <w:rPr>
          <w:rFonts w:ascii="Times New Roman" w:eastAsia="Times New Roman" w:hAnsi="Times New Roman" w:cs="Times New Roman"/>
          <w:sz w:val="24"/>
          <w:szCs w:val="24"/>
        </w:rPr>
      </w:pPr>
    </w:p>
    <w:p w:rsidR="00042BE4" w:rsidRDefault="00042BE4">
      <w:pPr>
        <w:jc w:val="both"/>
        <w:rPr>
          <w:rFonts w:ascii="Times New Roman" w:eastAsia="Times New Roman" w:hAnsi="Times New Roman" w:cs="Times New Roman"/>
          <w:sz w:val="24"/>
          <w:szCs w:val="24"/>
        </w:rPr>
      </w:pPr>
    </w:p>
    <w:p w:rsidR="00042BE4" w:rsidRDefault="00042BE4">
      <w:pPr>
        <w:jc w:val="both"/>
        <w:rPr>
          <w:rFonts w:ascii="Times New Roman" w:eastAsia="Times New Roman" w:hAnsi="Times New Roman" w:cs="Times New Roman"/>
          <w:sz w:val="24"/>
          <w:szCs w:val="24"/>
        </w:rPr>
      </w:pPr>
    </w:p>
    <w:p w:rsidR="00042BE4" w:rsidRDefault="000E4256">
      <w:pPr>
        <w:tabs>
          <w:tab w:val="left" w:pos="13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8" w:name="_z2pxe469zgo8" w:colFirst="0" w:colLast="0"/>
      <w:bookmarkEnd w:id="8"/>
      <w:r w:rsidR="00ED7AC1" w:rsidRPr="00ED7AC1">
        <w:rPr>
          <w:noProof/>
        </w:rPr>
        <w:pict>
          <v:rect id="Rectangle 9" o:spid="_x0000_s1026" style="position:absolute;left:0;text-align:left;margin-left:112.5pt;margin-top:3.4pt;width:107.65pt;height:2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" fillcolor="#9bbb59 [3206]" strokecolor="#4e6128 [1606]" strokeweight="2pt">
            <v:stroke startarrowwidth="narrow" startarrowlength="short" endarrowwidth="narrow" endarrowlength="short"/>
            <v:textbox inset="7pt,3pt,7pt,3pt">
              <w:txbxContent>
                <w:p w:rsidR="00746F8C" w:rsidRDefault="00746F8C">
                  <w:pPr>
                    <w:spacing w:line="270" w:lineRule="auto"/>
                    <w:textDirection w:val="btLr"/>
                  </w:pPr>
                  <w:r>
                    <w:rPr>
                      <w:rFonts w:ascii="Times New Roman" w:eastAsia="Times New Roman" w:hAnsi="Times New Roman" w:cs="Times New Roman"/>
                      <w:color w:val="000000"/>
                      <w:sz w:val="24"/>
                    </w:rPr>
                    <w:t xml:space="preserve">     Sampling</w:t>
                  </w:r>
                </w:p>
              </w:txbxContent>
            </v:textbox>
          </v:rect>
        </w:pict>
      </w:r>
    </w:p>
    <w:p w:rsidR="00042BE4" w:rsidRDefault="00ED7AC1">
      <w:pPr>
        <w:jc w:val="both"/>
        <w:rPr>
          <w:rFonts w:ascii="Times New Roman" w:eastAsia="Times New Roman" w:hAnsi="Times New Roman" w:cs="Times New Roman"/>
          <w:sz w:val="24"/>
          <w:szCs w:val="24"/>
        </w:rPr>
      </w:pPr>
      <w:r w:rsidRPr="00ED7AC1">
        <w:rPr>
          <w:noProof/>
        </w:rPr>
        <w:pict>
          <v:shape id="Freeform: Shape 11" o:spid="_x0000_s1027" style="position:absolute;left:0;text-align:left;margin-left:165.6pt;margin-top:13.2pt;width:8.15pt;height:17.5pt;z-index:251659264;visibility:visible;v-text-anchor:middle" coordsize="90805,209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" adj="-11796480,,5400" path="m,157162r22701,l22701,,68103,r,157162l90805,157162,45402,209550,,157162xe" strokeweight="1pt">
            <v:stroke startarrowwidth="narrow" startarrowlength="short" endarrowwidth="narrow" endarrowlength="short" miterlimit="5243f" joinstyle="miter"/>
            <v:formulas/>
            <v:path arrowok="t" o:extrusionok="f" o:connecttype="segments" textboxrect="0,0,90805,209550"/>
            <v:textbox inset="2.53958mm,2.53958mm,2.53958mm,2.53958mm">
              <w:txbxContent>
                <w:p w:rsidR="00746F8C" w:rsidRDefault="00746F8C">
                  <w:pPr>
                    <w:spacing w:after="0" w:line="240" w:lineRule="auto"/>
                    <w:textDirection w:val="btLr"/>
                  </w:pPr>
                </w:p>
              </w:txbxContent>
            </v:textbox>
          </v:shape>
        </w:pict>
      </w:r>
      <w:r w:rsidRPr="00ED7AC1">
        <w:rPr>
          <w:noProof/>
        </w:rPr>
        <w:pict>
          <v:rect id="Rectangle 10" o:spid="_x0000_s1028" style="position:absolute;left:0;text-align:left;margin-left:312.75pt;margin-top:1.8pt;width:135pt;height:10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" fillcolor="#4bacc6 [3208]" stroked="f">
            <v:fill color2="#a5d5e2 [1624]" rotate="t" angle="180" focus="100%" type="gradient">
              <o:fill v:ext="view" type="gradientUnscaled"/>
            </v:fill>
            <v:stroke startarrowwidth="narrow" startarrowlength="short" endarrowwidth="narrow" endarrowlength="short"/>
            <v:shadow on="t" color="black" opacity="22937f" origin=",.5" offset="0,.63889mm"/>
            <v:textbox inset="7pt,3pt,7pt,3pt">
              <w:txbxContent>
                <w:p w:rsidR="00746F8C" w:rsidRDefault="00746F8C">
                  <w:pPr>
                    <w:spacing w:line="270" w:lineRule="auto"/>
                    <w:ind w:left="720" w:firstLine="360"/>
                    <w:textDirection w:val="btLr"/>
                  </w:pPr>
                  <w:r>
                    <w:rPr>
                      <w:rFonts w:ascii="Times New Roman" w:eastAsia="Times New Roman" w:hAnsi="Times New Roman" w:cs="Times New Roman"/>
                      <w:color w:val="000000"/>
                      <w:sz w:val="24"/>
                    </w:rPr>
                    <w:t>Collection</w:t>
                  </w:r>
                </w:p>
                <w:p w:rsidR="00746F8C" w:rsidRDefault="00746F8C">
                  <w:pPr>
                    <w:spacing w:line="270" w:lineRule="auto"/>
                    <w:ind w:left="720" w:firstLine="360"/>
                    <w:textDirection w:val="btLr"/>
                  </w:pPr>
                  <w:r>
                    <w:rPr>
                      <w:rFonts w:ascii="Times New Roman" w:eastAsia="Times New Roman" w:hAnsi="Times New Roman" w:cs="Times New Roman"/>
                      <w:color w:val="000000"/>
                      <w:sz w:val="24"/>
                    </w:rPr>
                    <w:t>Grinding</w:t>
                  </w:r>
                </w:p>
                <w:p w:rsidR="00746F8C" w:rsidRDefault="00746F8C">
                  <w:pPr>
                    <w:spacing w:line="270" w:lineRule="auto"/>
                    <w:ind w:left="720" w:firstLine="360"/>
                    <w:textDirection w:val="btLr"/>
                  </w:pPr>
                  <w:r>
                    <w:rPr>
                      <w:rFonts w:ascii="Times New Roman" w:eastAsia="Times New Roman" w:hAnsi="Times New Roman" w:cs="Times New Roman"/>
                      <w:color w:val="000000"/>
                      <w:sz w:val="24"/>
                    </w:rPr>
                    <w:t>Powdering</w:t>
                  </w:r>
                </w:p>
                <w:p w:rsidR="00746F8C" w:rsidRDefault="00746F8C">
                  <w:pPr>
                    <w:spacing w:line="270" w:lineRule="auto"/>
                    <w:ind w:left="720" w:firstLine="360"/>
                    <w:textDirection w:val="btLr"/>
                  </w:pPr>
                  <w:r>
                    <w:rPr>
                      <w:rFonts w:ascii="Times New Roman" w:eastAsia="Times New Roman" w:hAnsi="Times New Roman" w:cs="Times New Roman"/>
                      <w:color w:val="000000"/>
                      <w:sz w:val="24"/>
                    </w:rPr>
                    <w:t>Drying</w:t>
                  </w:r>
                </w:p>
                <w:p w:rsidR="00746F8C" w:rsidRDefault="00746F8C">
                  <w:pPr>
                    <w:spacing w:line="270" w:lineRule="auto"/>
                    <w:ind w:left="720" w:firstLine="360"/>
                    <w:textDirection w:val="btLr"/>
                  </w:pPr>
                  <w:r>
                    <w:rPr>
                      <w:rFonts w:ascii="Times New Roman" w:eastAsia="Times New Roman" w:hAnsi="Times New Roman" w:cs="Times New Roman"/>
                      <w:color w:val="000000"/>
                      <w:sz w:val="24"/>
                    </w:rPr>
                    <w:t>Homogenization</w:t>
                  </w:r>
                </w:p>
                <w:p w:rsidR="00746F8C" w:rsidRDefault="00746F8C">
                  <w:pPr>
                    <w:spacing w:line="270" w:lineRule="auto"/>
                    <w:ind w:left="720" w:firstLine="360"/>
                    <w:textDirection w:val="btLr"/>
                  </w:pPr>
                </w:p>
              </w:txbxContent>
            </v:textbox>
          </v:rect>
        </w:pict>
      </w:r>
    </w:p>
    <w:p w:rsidR="00042BE4" w:rsidRDefault="00ED7AC1">
      <w:pPr>
        <w:jc w:val="both"/>
        <w:rPr>
          <w:rFonts w:ascii="Times New Roman" w:eastAsia="Times New Roman" w:hAnsi="Times New Roman" w:cs="Times New Roman"/>
          <w:sz w:val="24"/>
          <w:szCs w:val="24"/>
        </w:rPr>
      </w:pPr>
      <w:r w:rsidRPr="00ED7AC1">
        <w:rPr>
          <w:noProof/>
        </w:rPr>
        <w:pict>
          <v:roundrect id="Rectangle: Rounded Corners 6" o:spid="_x0000_s1029" style="position:absolute;left:0;text-align:left;margin-left:78.9pt;margin-top:8.1pt;width:181.75pt;height:24.2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" fillcolor="#4f81bd [3204]" strokecolor="#4579b8 [3044]">
            <v:fill color2="#a7bfde [1620]" rotate="t" angle="180" focus="100%" type="gradient">
              <o:fill v:ext="view" type="gradientUnscaled"/>
            </v:fill>
            <v:stroke startarrowwidth="narrow" startarrowlength="short" endarrowwidth="narrow" endarrowlength="short"/>
            <v:shadow on="t" color="black" opacity="22937f" origin=",.5" offset="0,.63889mm"/>
            <v:textbox inset="7pt,3pt,7pt,3pt">
              <w:txbxContent>
                <w:p w:rsidR="00746F8C" w:rsidRDefault="00746F8C">
                  <w:pPr>
                    <w:spacing w:line="270" w:lineRule="auto"/>
                    <w:textDirection w:val="btLr"/>
                  </w:pPr>
                  <w:r>
                    <w:rPr>
                      <w:rFonts w:ascii="Times New Roman" w:eastAsia="Times New Roman" w:hAnsi="Times New Roman" w:cs="Times New Roman"/>
                      <w:color w:val="000000"/>
                      <w:sz w:val="24"/>
                    </w:rPr>
                    <w:t>Sample preparation for analysis</w:t>
                  </w:r>
                </w:p>
              </w:txbxContent>
            </v:textbox>
          </v:roundrect>
        </w:pic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s">
          <w:drawing>
            <wp:anchor distT="0" distB="0" distL="114300" distR="114300" simplePos="0" relativeHeight="251662336" behindDoc="0" locked="0" layoutInCell="1" hidden="0" allowOverlap="1" wp14:anchorId="2975305E" wp14:editId="0FCD56C6">
              <wp:simplePos x="0" y="0"/>
              <wp:positionH relativeFrom="column">
                <wp:posOffset>3365500</wp:posOffset>
              </wp:positionH>
              <wp:positionV relativeFrom="paragraph">
                <wp:posOffset>210820</wp:posOffset>
              </wp:positionV>
              <wp:extent cx="174625" cy="103505"/>
              <wp:effectExtent l="0" t="19050" r="15875" b="29845"/>
              <wp:wrapNone/>
              <wp:docPr id="5" name="Freeform: Shape 5"/>
              <wp:cNvGraphicFramePr/>
              <a:graphic xmlns:a="http://schemas.openxmlformats.org/drawingml/2006/main">
                <a:graphicData uri="http://schemas.microsoft.com/office/word/2010/wordprocessingShape">
                  <wps:wsp>
                    <wps:cNvSpPr/>
                    <wps:spPr>
                      <a:xfrm>
                        <a:off x="0" y="0"/>
                        <a:ext cx="174625" cy="103505"/>
                      </a:xfrm>
                      <a:custGeom>
                        <a:avLst/>
                        <a:gdLst/>
                        <a:ahLst/>
                        <a:cxnLst/>
                        <a:rect l="l" t="t" r="r" b="b"/>
                        <a:pathLst>
                          <a:path w="161925" h="90805" extrusionOk="0">
                            <a:moveTo>
                              <a:pt x="121443" y="0"/>
                            </a:moveTo>
                            <a:lnTo>
                              <a:pt x="121443" y="22701"/>
                            </a:lnTo>
                            <a:lnTo>
                              <a:pt x="0" y="22701"/>
                            </a:lnTo>
                            <a:lnTo>
                              <a:pt x="0" y="68103"/>
                            </a:lnTo>
                            <a:lnTo>
                              <a:pt x="121443" y="68103"/>
                            </a:lnTo>
                            <a:lnTo>
                              <a:pt x="121443" y="90805"/>
                            </a:lnTo>
                            <a:lnTo>
                              <a:pt x="161925" y="454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ve:Fallback>
          <w:r w:rsidR="000E4256">
            <w:rPr>
              <w:noProof/>
              <w:lang w:val="en-US"/>
            </w:rPr>
            <w:drawing>
              <wp:anchor distT="0" distB="0" distL="114300" distR="114300" simplePos="0" relativeHeight="251662336" behindDoc="0" locked="0" layoutInCell="1" allowOverlap="1">
                <wp:simplePos x="0" y="0"/>
                <wp:positionH relativeFrom="column">
                  <wp:posOffset>3365500</wp:posOffset>
                </wp:positionH>
                <wp:positionV relativeFrom="paragraph">
                  <wp:posOffset>210820</wp:posOffset>
                </wp:positionV>
                <wp:extent cx="190500" cy="152400"/>
                <wp:effectExtent l="0" t="0" r="0" b="0"/>
                <wp:wrapNone/>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7"/>
                        <a:srcRect/>
                        <a:stretch>
                          <a:fillRect/>
                        </a:stretch>
                      </pic:blipFill>
                      <pic:spPr>
                        <a:xfrm>
                          <a:off x="0" y="0"/>
                          <a:ext cx="190500" cy="152400"/>
                        </a:xfrm>
                        <a:prstGeom prst="rect">
                          <a:avLst/>
                        </a:prstGeom>
                        <a:ln/>
                      </pic:spPr>
                    </pic:pic>
                  </a:graphicData>
                </a:graphic>
              </wp:anchor>
            </w:drawing>
          </w:r>
        </ve:Fallback>
      </ve:AlternateContent>
    </w:p>
    <w:p w:rsidR="00042BE4" w:rsidRDefault="00ED7AC1">
      <w:pPr>
        <w:ind w:firstLine="720"/>
        <w:jc w:val="both"/>
        <w:rPr>
          <w:rFonts w:ascii="Times New Roman" w:eastAsia="Times New Roman" w:hAnsi="Times New Roman" w:cs="Times New Roman"/>
          <w:sz w:val="24"/>
          <w:szCs w:val="24"/>
        </w:rPr>
      </w:pPr>
      <w:r w:rsidRPr="00ED7AC1">
        <w:rPr>
          <w:noProof/>
        </w:rPr>
        <w:pict>
          <v:roundrect id="Rectangle: Rounded Corners 4" o:spid="_x0000_s1030" style="position:absolute;left:0;text-align:left;margin-left:303.75pt;margin-top:95.25pt;width:163.5pt;height:49.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" fillcolor="#f79646 [3209]" strokecolor="#f68c36 [3049]">
            <v:fill color2="#fbcaa2 [1625]" rotate="t" angle="180" focus="100%" type="gradient">
              <o:fill v:ext="view" type="gradientUnscaled"/>
            </v:fill>
            <v:stroke startarrowwidth="narrow" startarrowlength="short" endarrowwidth="narrow" endarrowlength="short"/>
            <v:shadow on="t" color="black" opacity="22937f" origin=",.5" offset="0,.63889mm"/>
            <v:textbox inset="7pt,3pt,7pt,3pt">
              <w:txbxContent>
                <w:p w:rsidR="00746F8C" w:rsidRDefault="00746F8C">
                  <w:pPr>
                    <w:spacing w:line="270" w:lineRule="auto"/>
                    <w:textDirection w:val="btLr"/>
                  </w:pPr>
                  <w:r>
                    <w:rPr>
                      <w:rFonts w:ascii="Times New Roman" w:eastAsia="Times New Roman" w:hAnsi="Times New Roman" w:cs="Times New Roman"/>
                      <w:color w:val="000000"/>
                      <w:sz w:val="24"/>
                    </w:rPr>
                    <w:t>Calculation of Radiological indices and doses</w:t>
                  </w:r>
                </w:p>
              </w:txbxContent>
            </v:textbox>
          </v:roundrect>
        </w:pict>
      </w:r>
      <w:r w:rsidRPr="00ED7AC1">
        <w:rPr>
          <w:noProof/>
        </w:rPr>
        <w:pict>
          <v:shape id="Freeform: Shape 8" o:spid="_x0000_s1031" style="position:absolute;left:0;text-align:left;margin-left:162pt;margin-top:14.4pt;width:8.15pt;height:14.9pt;z-index:251664384;visibility:visible;v-text-anchor:middle" coordsize="90805,176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" adj="-11796480,,5400" path="m,132397r22701,l22701,,68103,r,132397l90805,132397,45402,176530,,132397xe" strokeweight="1pt">
            <v:stroke startarrowwidth="narrow" startarrowlength="short" endarrowwidth="narrow" endarrowlength="short" miterlimit="5243f" joinstyle="miter"/>
            <v:formulas/>
            <v:path arrowok="t" o:extrusionok="f" o:connecttype="segments" textboxrect="0,0,90805,176530"/>
            <v:textbox inset="2.53958mm,2.53958mm,2.53958mm,2.53958mm">
              <w:txbxContent>
                <w:p w:rsidR="00746F8C" w:rsidRDefault="00746F8C">
                  <w:pPr>
                    <w:spacing w:after="0" w:line="240" w:lineRule="auto"/>
                    <w:textDirection w:val="btLr"/>
                  </w:pPr>
                </w:p>
              </w:txbxContent>
            </v:textbox>
          </v:shape>
        </w:pict>
      </w:r>
      <w:r w:rsidRPr="00ED7AC1">
        <w:rPr>
          <w:noProof/>
        </w:rPr>
        <w:pict>
          <v:roundrect id="Rectangle: Rounded Corners 7" o:spid="_x0000_s1032" style="position:absolute;left:0;text-align:left;margin-left:71.9pt;margin-top:36.75pt;width:181.75pt;height:24.2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" fillcolor="#c0504d [3205]" stroked="f">
            <v:fill color2="#dfa7a6 [1621]" rotate="t" angle="180" focus="100%" type="gradient">
              <o:fill v:ext="view" type="gradientUnscaled"/>
            </v:fill>
            <v:stroke startarrowwidth="narrow" startarrowlength="short" endarrowwidth="narrow" endarrowlength="short"/>
            <v:shadow on="t" color="black" opacity="22937f" origin=",.5" offset="0,.63889mm"/>
            <v:textbox inset="7pt,3pt,7pt,3pt">
              <w:txbxContent>
                <w:p w:rsidR="00746F8C" w:rsidRDefault="00746F8C">
                  <w:pPr>
                    <w:spacing w:line="270" w:lineRule="auto"/>
                    <w:textDirection w:val="btLr"/>
                  </w:pPr>
                  <w:r>
                    <w:rPr>
                      <w:rFonts w:ascii="Times New Roman" w:eastAsia="Times New Roman" w:hAnsi="Times New Roman" w:cs="Times New Roman"/>
                      <w:color w:val="000000"/>
                      <w:sz w:val="24"/>
                    </w:rPr>
                    <w:t xml:space="preserve">     NaI Gamma ray Spectrometry</w:t>
                  </w:r>
                </w:p>
              </w:txbxContent>
            </v:textbox>
          </v:roundrect>
        </w:pict>
      </w:r>
      <w:r w:rsidRPr="00ED7AC1">
        <w:rPr>
          <w:noProof/>
        </w:rPr>
        <w:pict>
          <v:shape id="Freeform: Shape 2" o:spid="_x0000_s1033" style="position:absolute;left:0;text-align:left;margin-left:158.25pt;margin-top:69.9pt;width:12pt;height:25.5pt;z-index:251666432;visibility:visible;v-text-anchor:middle" coordsize="9080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" adj="-11796480,,5400" path="m,171450r22701,l22701,,68103,r,171450l90805,171450,45402,228600,,171450xe" strokeweight="1pt">
            <v:stroke startarrowwidth="narrow" startarrowlength="short" endarrowwidth="narrow" endarrowlength="short" miterlimit="5243f" joinstyle="miter"/>
            <v:formulas/>
            <v:path arrowok="t" o:extrusionok="f" o:connecttype="segments" textboxrect="0,0,90805,228600"/>
            <v:textbox inset="2.53958mm,2.53958mm,2.53958mm,2.53958mm">
              <w:txbxContent>
                <w:p w:rsidR="00746F8C" w:rsidRDefault="00746F8C">
                  <w:pPr>
                    <w:spacing w:after="0" w:line="240" w:lineRule="auto"/>
                    <w:textDirection w:val="btLr"/>
                  </w:pPr>
                </w:p>
              </w:txbxContent>
            </v:textbox>
          </v:shape>
        </w:pict>
      </w:r>
      <w:r w:rsidRPr="00ED7AC1">
        <w:rPr>
          <w:noProof/>
        </w:rPr>
        <w:pict>
          <v:roundrect id="Rectangle: Rounded Corners 1" o:spid="_x0000_s1034" style="position:absolute;left:0;text-align:left;margin-left:76.5pt;margin-top:101.55pt;width:181.75pt;height:43.3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" fillcolor="#f79646 [3209]" strokecolor="#974706 [1609]" strokeweight="2pt">
            <v:stroke startarrowwidth="narrow" startarrowlength="short" endarrowwidth="narrow" endarrowlength="short"/>
            <v:textbox inset="7pt,3pt,7pt,3pt">
              <w:txbxContent>
                <w:p w:rsidR="00746F8C" w:rsidRDefault="00746F8C">
                  <w:pPr>
                    <w:spacing w:line="270" w:lineRule="auto"/>
                    <w:textDirection w:val="btLr"/>
                  </w:pPr>
                  <w:r>
                    <w:rPr>
                      <w:rFonts w:ascii="Times New Roman" w:eastAsia="Times New Roman" w:hAnsi="Times New Roman" w:cs="Times New Roman"/>
                      <w:color w:val="000000"/>
                      <w:sz w:val="24"/>
                    </w:rPr>
                    <w:t>Measurement of activity concentrations of radionuclides</w:t>
                  </w:r>
                </w:p>
              </w:txbxContent>
            </v:textbox>
          </v:roundrect>
        </w:pic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s">
          <w:drawing>
            <wp:anchor distT="0" distB="0" distL="114300" distR="114300" simplePos="0" relativeHeight="251668480" behindDoc="0" locked="0" layoutInCell="1" hidden="0" allowOverlap="1" wp14:anchorId="46B0BCFB" wp14:editId="054ECAD2">
              <wp:simplePos x="0" y="0"/>
              <wp:positionH relativeFrom="column">
                <wp:posOffset>3444875</wp:posOffset>
              </wp:positionH>
              <wp:positionV relativeFrom="paragraph">
                <wp:posOffset>1498600</wp:posOffset>
              </wp:positionV>
              <wp:extent cx="327025" cy="103505"/>
              <wp:effectExtent l="0" t="19050" r="15875" b="29845"/>
              <wp:wrapNone/>
              <wp:docPr id="3" name="Freeform: Shape 3"/>
              <wp:cNvGraphicFramePr/>
              <a:graphic xmlns:a="http://schemas.openxmlformats.org/drawingml/2006/main">
                <a:graphicData uri="http://schemas.microsoft.com/office/word/2010/wordprocessingShape">
                  <wps:wsp>
                    <wps:cNvSpPr/>
                    <wps:spPr>
                      <a:xfrm>
                        <a:off x="0" y="0"/>
                        <a:ext cx="327025" cy="103505"/>
                      </a:xfrm>
                      <a:custGeom>
                        <a:avLst/>
                        <a:gdLst/>
                        <a:ahLst/>
                        <a:cxnLst/>
                        <a:rect l="l" t="t" r="r" b="b"/>
                        <a:pathLst>
                          <a:path w="314325" h="90805" extrusionOk="0">
                            <a:moveTo>
                              <a:pt x="235743" y="0"/>
                            </a:moveTo>
                            <a:lnTo>
                              <a:pt x="235743" y="22701"/>
                            </a:lnTo>
                            <a:lnTo>
                              <a:pt x="0" y="22701"/>
                            </a:lnTo>
                            <a:lnTo>
                              <a:pt x="0" y="68103"/>
                            </a:lnTo>
                            <a:lnTo>
                              <a:pt x="235743" y="68103"/>
                            </a:lnTo>
                            <a:lnTo>
                              <a:pt x="235743" y="90805"/>
                            </a:lnTo>
                            <a:lnTo>
                              <a:pt x="314325" y="45402"/>
                            </a:lnTo>
                            <a:close/>
                          </a:path>
                        </a:pathLst>
                      </a:custGeom>
                      <a:solidFill>
                        <a:srgbClr val="FFFFFF"/>
                      </a:solidFill>
                      <a:ln w="1270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ve:Fallback>
          <w:r w:rsidR="000E4256">
            <w:rPr>
              <w:noProof/>
              <w:lang w:val="en-US"/>
            </w:rPr>
            <w:drawing>
              <wp:anchor distT="0" distB="0" distL="114300" distR="114300" simplePos="0" relativeHeight="251668480" behindDoc="0" locked="0" layoutInCell="1" allowOverlap="1">
                <wp:simplePos x="0" y="0"/>
                <wp:positionH relativeFrom="column">
                  <wp:posOffset>3444875</wp:posOffset>
                </wp:positionH>
                <wp:positionV relativeFrom="paragraph">
                  <wp:posOffset>1498600</wp:posOffset>
                </wp:positionV>
                <wp:extent cx="342900" cy="1524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342900" cy="152400"/>
                        </a:xfrm>
                        <a:prstGeom prst="rect">
                          <a:avLst/>
                        </a:prstGeom>
                        <a:ln/>
                      </pic:spPr>
                    </pic:pic>
                  </a:graphicData>
                </a:graphic>
              </wp:anchor>
            </w:drawing>
          </w:r>
        </ve:Fallback>
      </ve:AlternateContent>
    </w:p>
    <w:p w:rsidR="00042BE4" w:rsidRDefault="00042BE4">
      <w:pPr>
        <w:jc w:val="both"/>
        <w:rPr>
          <w:rFonts w:ascii="Times New Roman" w:eastAsia="Times New Roman" w:hAnsi="Times New Roman" w:cs="Times New Roman"/>
          <w:sz w:val="28"/>
          <w:szCs w:val="28"/>
        </w:rPr>
      </w:pPr>
    </w:p>
    <w:p w:rsidR="00042BE4" w:rsidRDefault="00042BE4">
      <w:pPr>
        <w:jc w:val="both"/>
        <w:rPr>
          <w:rFonts w:ascii="Times New Roman" w:eastAsia="Times New Roman" w:hAnsi="Times New Roman" w:cs="Times New Roman"/>
          <w:sz w:val="28"/>
          <w:szCs w:val="28"/>
        </w:rPr>
      </w:pPr>
    </w:p>
    <w:p w:rsidR="00042BE4" w:rsidRDefault="00042BE4">
      <w:pPr>
        <w:jc w:val="both"/>
        <w:rPr>
          <w:rFonts w:ascii="Times New Roman" w:eastAsia="Times New Roman" w:hAnsi="Times New Roman" w:cs="Times New Roman"/>
          <w:sz w:val="28"/>
          <w:szCs w:val="28"/>
        </w:rPr>
      </w:pPr>
    </w:p>
    <w:p w:rsidR="00042BE4" w:rsidRDefault="00042BE4">
      <w:pPr>
        <w:jc w:val="both"/>
        <w:rPr>
          <w:rFonts w:ascii="Times New Roman" w:eastAsia="Times New Roman" w:hAnsi="Times New Roman" w:cs="Times New Roman"/>
          <w:sz w:val="28"/>
          <w:szCs w:val="28"/>
        </w:rPr>
      </w:pPr>
    </w:p>
    <w:p w:rsidR="00042BE4" w:rsidRDefault="00042BE4">
      <w:pPr>
        <w:jc w:val="both"/>
        <w:rPr>
          <w:rFonts w:ascii="Times New Roman" w:eastAsia="Times New Roman" w:hAnsi="Times New Roman" w:cs="Times New Roman"/>
          <w:sz w:val="28"/>
          <w:szCs w:val="28"/>
        </w:rPr>
      </w:pPr>
    </w:p>
    <w:p w:rsidR="00042BE4" w:rsidRDefault="00042BE4">
      <w:pPr>
        <w:jc w:val="both"/>
        <w:rPr>
          <w:rFonts w:ascii="Times New Roman" w:eastAsia="Times New Roman" w:hAnsi="Times New Roman" w:cs="Times New Roman"/>
          <w:sz w:val="28"/>
          <w:szCs w:val="28"/>
        </w:rPr>
      </w:pPr>
    </w:p>
    <w:p w:rsidR="00042BE4" w:rsidRDefault="000E4256">
      <w:pPr>
        <w:jc w:val="both"/>
        <w:rPr>
          <w:rFonts w:ascii="Times New Roman" w:eastAsia="Times New Roman" w:hAnsi="Times New Roman" w:cs="Times New Roman"/>
          <w:sz w:val="28"/>
          <w:szCs w:val="28"/>
        </w:rPr>
      </w:pPr>
      <w:r>
        <w:rPr>
          <w:noProof/>
          <w:lang w:val="en-US"/>
        </w:rPr>
        <w:lastRenderedPageBreak/>
        <w:drawing>
          <wp:inline distT="0" distB="0" distL="0" distR="0">
            <wp:extent cx="2733675" cy="2505075"/>
            <wp:effectExtent l="0" t="0" r="0" b="0"/>
            <wp:docPr id="21" name="image19.png" descr="C:\Users\Dell\AppData\Local\Temp\ksohtml6156\wps1.jpg"/>
            <wp:cNvGraphicFramePr/>
            <a:graphic xmlns:a="http://schemas.openxmlformats.org/drawingml/2006/main">
              <a:graphicData uri="http://schemas.openxmlformats.org/drawingml/2006/picture">
                <pic:pic xmlns:pic="http://schemas.openxmlformats.org/drawingml/2006/picture">
                  <pic:nvPicPr>
                    <pic:cNvPr id="0" name="image19.png" descr="C:\Users\Dell\AppData\Local\Temp\ksohtml6156\wps1.jpg"/>
                    <pic:cNvPicPr preferRelativeResize="0"/>
                  </pic:nvPicPr>
                  <pic:blipFill>
                    <a:blip r:embed="rId9"/>
                    <a:srcRect/>
                    <a:stretch>
                      <a:fillRect/>
                    </a:stretch>
                  </pic:blipFill>
                  <pic:spPr>
                    <a:xfrm>
                      <a:off x="0" y="0"/>
                      <a:ext cx="2733675" cy="2505075"/>
                    </a:xfrm>
                    <a:prstGeom prst="rect">
                      <a:avLst/>
                    </a:prstGeom>
                    <a:ln/>
                  </pic:spPr>
                </pic:pic>
              </a:graphicData>
            </a:graphic>
          </wp:inline>
        </w:drawing>
      </w:r>
      <w:r>
        <w:rPr>
          <w:noProof/>
          <w:lang w:val="en-US"/>
        </w:rPr>
        <w:drawing>
          <wp:inline distT="0" distB="0" distL="0" distR="0">
            <wp:extent cx="2505075" cy="2514600"/>
            <wp:effectExtent l="0" t="0" r="0" b="0"/>
            <wp:docPr id="22" name="image20.png" descr="C:\Users\Dell\AppData\Local\Temp\ksohtml6156\wps2.png"/>
            <wp:cNvGraphicFramePr/>
            <a:graphic xmlns:a="http://schemas.openxmlformats.org/drawingml/2006/main">
              <a:graphicData uri="http://schemas.openxmlformats.org/drawingml/2006/picture">
                <pic:pic xmlns:pic="http://schemas.openxmlformats.org/drawingml/2006/picture">
                  <pic:nvPicPr>
                    <pic:cNvPr id="0" name="image20.png" descr="C:\Users\Dell\AppData\Local\Temp\ksohtml6156\wps2.png"/>
                    <pic:cNvPicPr preferRelativeResize="0"/>
                  </pic:nvPicPr>
                  <pic:blipFill>
                    <a:blip r:embed="rId10"/>
                    <a:srcRect/>
                    <a:stretch>
                      <a:fillRect/>
                    </a:stretch>
                  </pic:blipFill>
                  <pic:spPr>
                    <a:xfrm>
                      <a:off x="0" y="0"/>
                      <a:ext cx="2505075" cy="2514600"/>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Representing the NaI Gamma Ray Spectrometer.</w:t>
      </w:r>
    </w:p>
    <w:p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Major Specification of NaI detector used for these materials are-  </w:t>
      </w:r>
    </w:p>
    <w:p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333333"/>
          <w:sz w:val="24"/>
          <w:szCs w:val="24"/>
        </w:rPr>
        <w:t>detector size (63mm×63mm), offered an efficiency of &lt;20%, resolution 7% for </w:t>
      </w:r>
      <w:r>
        <w:rPr>
          <w:rFonts w:ascii="Times New Roman" w:eastAsia="Times New Roman" w:hAnsi="Times New Roman" w:cs="Times New Roman"/>
          <w:color w:val="333333"/>
          <w:sz w:val="24"/>
          <w:szCs w:val="24"/>
          <w:vertAlign w:val="superscript"/>
        </w:rPr>
        <w:t>137</w:t>
      </w:r>
      <w:r>
        <w:rPr>
          <w:rFonts w:ascii="Times New Roman" w:eastAsia="Times New Roman" w:hAnsi="Times New Roman" w:cs="Times New Roman"/>
          <w:color w:val="333333"/>
          <w:sz w:val="24"/>
          <w:szCs w:val="24"/>
        </w:rPr>
        <w:t>Cs at 661keV ( 9kBq activity), and an Energy detection 50keV – 3MeV. The minimum detectable activity of  </w:t>
      </w:r>
      <w:r>
        <w:rPr>
          <w:rFonts w:ascii="Times New Roman" w:eastAsia="Times New Roman" w:hAnsi="Times New Roman" w:cs="Times New Roman"/>
          <w:color w:val="333333"/>
          <w:sz w:val="24"/>
          <w:szCs w:val="24"/>
          <w:vertAlign w:val="superscript"/>
        </w:rPr>
        <w:t>226</w:t>
      </w:r>
      <w:r>
        <w:rPr>
          <w:rFonts w:ascii="Times New Roman" w:eastAsia="Times New Roman" w:hAnsi="Times New Roman" w:cs="Times New Roman"/>
          <w:color w:val="333333"/>
          <w:sz w:val="24"/>
          <w:szCs w:val="24"/>
        </w:rPr>
        <w:t>Ra, </w:t>
      </w:r>
      <w:r>
        <w:rPr>
          <w:rFonts w:ascii="Times New Roman" w:eastAsia="Times New Roman" w:hAnsi="Times New Roman" w:cs="Times New Roman"/>
          <w:color w:val="333333"/>
          <w:sz w:val="24"/>
          <w:szCs w:val="24"/>
          <w:vertAlign w:val="superscript"/>
        </w:rPr>
        <w:t>232</w:t>
      </w:r>
      <w:r>
        <w:rPr>
          <w:rFonts w:ascii="Times New Roman" w:eastAsia="Times New Roman" w:hAnsi="Times New Roman" w:cs="Times New Roman"/>
          <w:color w:val="333333"/>
          <w:sz w:val="24"/>
          <w:szCs w:val="24"/>
        </w:rPr>
        <w:t>Th, </w:t>
      </w:r>
      <w:r>
        <w:rPr>
          <w:rFonts w:ascii="Times New Roman" w:eastAsia="Times New Roman" w:hAnsi="Times New Roman" w:cs="Times New Roman"/>
          <w:color w:val="333333"/>
          <w:sz w:val="24"/>
          <w:szCs w:val="24"/>
          <w:vertAlign w:val="superscript"/>
        </w:rPr>
        <w:t>40</w:t>
      </w:r>
      <w:r>
        <w:rPr>
          <w:rFonts w:ascii="Times New Roman" w:eastAsia="Times New Roman" w:hAnsi="Times New Roman" w:cs="Times New Roman"/>
          <w:color w:val="333333"/>
          <w:sz w:val="24"/>
          <w:szCs w:val="24"/>
        </w:rPr>
        <w:t xml:space="preserve">K: 3, 3, 30 Bq/kg  </w:t>
      </w:r>
      <w:r>
        <w:rPr>
          <w:rFonts w:ascii="Times New Roman" w:eastAsia="Times New Roman" w:hAnsi="Times New Roman" w:cs="Times New Roman"/>
          <w:color w:val="333333"/>
          <w:sz w:val="24"/>
          <w:szCs w:val="24"/>
          <w:vertAlign w:val="superscript"/>
        </w:rPr>
        <w:t> </w:t>
      </w:r>
      <w:r>
        <w:rPr>
          <w:rFonts w:ascii="Times New Roman" w:eastAsia="Times New Roman" w:hAnsi="Times New Roman" w:cs="Times New Roman"/>
          <w:color w:val="333333"/>
          <w:sz w:val="24"/>
          <w:szCs w:val="24"/>
        </w:rPr>
        <w:t xml:space="preserve">respectively. Each measurement was performed for 10,800 seconds using S/W SPTR-ATC (AT-1315) spectral analysis software. </w:t>
      </w:r>
    </w:p>
    <w:p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SAMPLE </w:t>
      </w:r>
      <w:commentRangeStart w:id="9"/>
      <w:r>
        <w:rPr>
          <w:rFonts w:ascii="Times New Roman" w:eastAsia="Times New Roman" w:hAnsi="Times New Roman" w:cs="Times New Roman"/>
          <w:color w:val="333333"/>
          <w:sz w:val="24"/>
          <w:szCs w:val="24"/>
        </w:rPr>
        <w:t>PREPARATION</w:t>
      </w:r>
      <w:commentRangeEnd w:id="9"/>
      <w:r w:rsidR="003C2FE3">
        <w:rPr>
          <w:rStyle w:val="CommentReference"/>
        </w:rPr>
        <w:commentReference w:id="9"/>
      </w:r>
      <w:r>
        <w:rPr>
          <w:rFonts w:ascii="Times New Roman" w:eastAsia="Times New Roman" w:hAnsi="Times New Roman" w:cs="Times New Roman"/>
          <w:color w:val="333333"/>
          <w:sz w:val="24"/>
          <w:szCs w:val="24"/>
        </w:rPr>
        <w:t xml:space="preserve"> </w:t>
      </w:r>
    </w:p>
    <w:p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Samples of different construction materials- white marble, soapstone, brick and lime were collected, ground, powdered, dried and homogenized before measurement. Each sample was then placed in sealed containers for gamma spectrometry analysis. </w:t>
      </w:r>
    </w:p>
    <w:p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Research potential of NaI Detector are as follows- </w:t>
      </w:r>
    </w:p>
    <w:p w:rsidR="00042BE4" w:rsidRDefault="000E4256">
      <w:pPr>
        <w:pBdr>
          <w:top w:val="nil"/>
          <w:left w:val="nil"/>
          <w:bottom w:val="nil"/>
          <w:right w:val="nil"/>
          <w:between w:val="nil"/>
        </w:pBdr>
        <w:shd w:val="clear" w:color="auto" w:fill="FFFFFF"/>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 Regulatory Bodies – Evaluation of radionuclide concentrations (</w:t>
      </w:r>
      <w:r>
        <w:rPr>
          <w:rFonts w:ascii="Times New Roman" w:eastAsia="Times New Roman" w:hAnsi="Times New Roman" w:cs="Times New Roman"/>
          <w:color w:val="333333"/>
          <w:sz w:val="24"/>
          <w:szCs w:val="24"/>
          <w:vertAlign w:val="superscript"/>
        </w:rPr>
        <w:t>226</w:t>
      </w:r>
      <w:r>
        <w:rPr>
          <w:rFonts w:ascii="Times New Roman" w:eastAsia="Times New Roman" w:hAnsi="Times New Roman" w:cs="Times New Roman"/>
          <w:color w:val="333333"/>
          <w:sz w:val="24"/>
          <w:szCs w:val="24"/>
        </w:rPr>
        <w:t>Ra, </w:t>
      </w:r>
      <w:r>
        <w:rPr>
          <w:rFonts w:ascii="Times New Roman" w:eastAsia="Times New Roman" w:hAnsi="Times New Roman" w:cs="Times New Roman"/>
          <w:color w:val="333333"/>
          <w:sz w:val="24"/>
          <w:szCs w:val="24"/>
          <w:vertAlign w:val="superscript"/>
        </w:rPr>
        <w:t>232</w:t>
      </w:r>
      <w:r>
        <w:rPr>
          <w:rFonts w:ascii="Times New Roman" w:eastAsia="Times New Roman" w:hAnsi="Times New Roman" w:cs="Times New Roman"/>
          <w:color w:val="333333"/>
          <w:sz w:val="24"/>
          <w:szCs w:val="24"/>
        </w:rPr>
        <w:t>Th, </w:t>
      </w:r>
      <w:r>
        <w:rPr>
          <w:rFonts w:ascii="Times New Roman" w:eastAsia="Times New Roman" w:hAnsi="Times New Roman" w:cs="Times New Roman"/>
          <w:color w:val="333333"/>
          <w:sz w:val="24"/>
          <w:szCs w:val="24"/>
          <w:vertAlign w:val="superscript"/>
        </w:rPr>
        <w:t>40</w:t>
      </w:r>
      <w:r>
        <w:rPr>
          <w:rFonts w:ascii="Times New Roman" w:eastAsia="Times New Roman" w:hAnsi="Times New Roman" w:cs="Times New Roman"/>
          <w:color w:val="333333"/>
          <w:sz w:val="24"/>
          <w:szCs w:val="24"/>
        </w:rPr>
        <w:t>K) in soils and corresponding construction material.</w:t>
      </w:r>
    </w:p>
    <w:p w:rsidR="00042BE4" w:rsidRDefault="000E4256">
      <w:pPr>
        <w:pBdr>
          <w:top w:val="nil"/>
          <w:left w:val="nil"/>
          <w:bottom w:val="nil"/>
          <w:right w:val="nil"/>
          <w:between w:val="nil"/>
        </w:pBdr>
        <w:shd w:val="clear" w:color="auto" w:fill="FFFFFF"/>
        <w:spacing w:after="150" w:line="240" w:lineRule="auto"/>
        <w:ind w:left="1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 Cement Industry – Assessment of fly ash addition in cement.</w:t>
      </w:r>
    </w:p>
    <w:p w:rsidR="00042BE4" w:rsidRDefault="000E4256">
      <w:pPr>
        <w:pBdr>
          <w:top w:val="nil"/>
          <w:left w:val="nil"/>
          <w:bottom w:val="nil"/>
          <w:right w:val="nil"/>
          <w:between w:val="nil"/>
        </w:pBdr>
        <w:shd w:val="clear" w:color="auto" w:fill="FFFFFF"/>
        <w:spacing w:after="150" w:line="240" w:lineRule="auto"/>
        <w:ind w:left="1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 Food Industry – Measurement of natural radionuclides in dry, powdered food products.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dose rates were recorded from detector display and used to calculate activity concentration.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Radium Equivalent Dose (Raeq) of background radiation was estimated as</w:t>
      </w:r>
    </w:p>
    <w:p w:rsidR="00042BE4" w:rsidRDefault="000E4256">
      <w:pPr>
        <w:jc w:val="both"/>
        <w:rPr>
          <w:rFonts w:ascii="Times New Roman" w:eastAsia="Times New Roman" w:hAnsi="Times New Roman" w:cs="Times New Roman"/>
          <w:sz w:val="24"/>
          <w:szCs w:val="24"/>
        </w:rPr>
      </w:pPr>
      <m:oMath>
        <m:r>
          <w:rPr>
            <w:rFonts w:ascii="Cambria Math" w:eastAsia="Cambria Math" w:hAnsi="Cambria Math" w:cs="Cambria Math"/>
            <w:sz w:val="24"/>
            <w:szCs w:val="24"/>
          </w:rPr>
          <m:t>Raeq=0.077Ak+ARa+1.43AT</m:t>
        </m:r>
        <w:commentRangeStart w:id="10"/>
        <m:r>
          <w:rPr>
            <w:rFonts w:ascii="Times New Roman" w:eastAsia="Times New Roman" w:hAnsi="Times New Roman" w:cs="Times New Roman"/>
            <w:sz w:val="24"/>
            <w:szCs w:val="24"/>
          </w:rPr>
          <m:t>h</m:t>
        </m:r>
        <w:commentRangeEnd w:id="10"/>
        <m:r>
          <m:rPr>
            <m:sty m:val="p"/>
          </m:rPr>
          <w:rPr>
            <w:rStyle w:val="CommentReference"/>
          </w:rPr>
          <w:commentReference w:id="10"/>
        </m:r>
      </m:oMath>
      <w:r>
        <w:rPr>
          <w:rFonts w:ascii="Times New Roman" w:eastAsia="Times New Roman" w:hAnsi="Times New Roman" w:cs="Times New Roman"/>
          <w:sz w:val="24"/>
          <w:szCs w:val="24"/>
        </w:rPr>
        <w:t xml:space="preserve">  (Bq/kg)</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Absorbed Dose Rate (ADR) was estimated as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 = 0.0417 A</w:t>
      </w:r>
      <w:r>
        <w:rPr>
          <w:rFonts w:ascii="Times New Roman" w:eastAsia="Times New Roman" w:hAnsi="Times New Roman" w:cs="Times New Roman"/>
          <w:sz w:val="24"/>
          <w:szCs w:val="24"/>
          <w:vertAlign w:val="subscript"/>
        </w:rPr>
        <w:t xml:space="preserve">K </w:t>
      </w:r>
      <w:r>
        <w:rPr>
          <w:rFonts w:ascii="Times New Roman" w:eastAsia="Times New Roman" w:hAnsi="Times New Roman" w:cs="Times New Roman"/>
          <w:sz w:val="24"/>
          <w:szCs w:val="24"/>
        </w:rPr>
        <w:t xml:space="preserve"> + 0.462 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+ 0.604 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(nGy/h)</w:t>
      </w: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Here, Ra</w:t>
      </w:r>
      <w:r>
        <w:rPr>
          <w:rFonts w:ascii="Times New Roman" w:eastAsia="Times New Roman" w:hAnsi="Times New Roman" w:cs="Times New Roman"/>
          <w:sz w:val="24"/>
          <w:szCs w:val="24"/>
          <w:vertAlign w:val="subscript"/>
        </w:rPr>
        <w:t>eq</w:t>
      </w:r>
      <w:r>
        <w:rPr>
          <w:rFonts w:ascii="Times New Roman" w:eastAsia="Times New Roman" w:hAnsi="Times New Roman" w:cs="Times New Roman"/>
          <w:sz w:val="24"/>
          <w:szCs w:val="24"/>
        </w:rPr>
        <w:t xml:space="preserve">  (Bq/kg) is expression of the specific activities of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Ra,</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 xml:space="preserve">Th, and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K by a single quantity ,which  takes into account the radiation hazards associated with radon and its progeny. The ADR is total Absorbed Dose Rate calculations are expressed in nGy/h per 1 Bq/kg ,  A</w:t>
      </w:r>
      <w:r>
        <w:rPr>
          <w:rFonts w:ascii="Times New Roman" w:eastAsia="Times New Roman" w:hAnsi="Times New Roman" w:cs="Times New Roman"/>
          <w:sz w:val="24"/>
          <w:szCs w:val="24"/>
          <w:vertAlign w:val="subscript"/>
        </w:rPr>
        <w:t xml:space="preserve">k </w:t>
      </w:r>
      <w:r>
        <w:rPr>
          <w:rFonts w:ascii="Times New Roman" w:eastAsia="Times New Roman" w:hAnsi="Times New Roman" w:cs="Times New Roman"/>
          <w:sz w:val="24"/>
          <w:szCs w:val="24"/>
        </w:rPr>
        <w:t xml:space="preserve">  is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activity of </w:t>
      </w:r>
      <w:r>
        <w:rPr>
          <w:rFonts w:ascii="Times New Roman" w:eastAsia="Times New Roman" w:hAnsi="Times New Roman" w:cs="Times New Roman"/>
          <w:sz w:val="24"/>
          <w:szCs w:val="24"/>
          <w:vertAlign w:val="superscript"/>
        </w:rPr>
        <w:t xml:space="preserve"> 40</w:t>
      </w:r>
      <w:r>
        <w:rPr>
          <w:rFonts w:ascii="Times New Roman" w:eastAsia="Times New Roman" w:hAnsi="Times New Roman" w:cs="Times New Roman"/>
          <w:sz w:val="24"/>
          <w:szCs w:val="24"/>
        </w:rPr>
        <w:t xml:space="preserve">K of the analyzed material, measured as the number of spontaneous nuclear transformations of the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K radionuclide per sec. The 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of the analyzed material, measured as the number of spontaneous nuclear transformations of the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radionuclide per sec. TheA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of the analyzed material, measured as the number of spontaneous nuclear transformations of the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radionuclide per sec.</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Effective dose (AED) was estimated by using the formula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AED (mSv/y) = ADR×8760×10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×0.2×0.7 (</w:t>
      </w:r>
      <w:r w:rsidR="004911B0">
        <w:rPr>
          <w:rStyle w:val="CommentReference"/>
        </w:rPr>
        <w:commentReference w:id="11"/>
      </w:r>
      <w:commentRangeStart w:id="12"/>
      <w:r w:rsidR="004911B0">
        <w:rPr>
          <w:rFonts w:ascii="Times New Roman" w:eastAsia="Times New Roman" w:hAnsi="Times New Roman" w:cs="Times New Roman"/>
          <w:sz w:val="24"/>
          <w:szCs w:val="24"/>
        </w:rPr>
        <w:t>S</w:t>
      </w:r>
      <w:commentRangeEnd w:id="12"/>
      <w:r w:rsidR="00C775D1">
        <w:rPr>
          <w:rStyle w:val="CommentReference"/>
        </w:rPr>
        <w:commentReference w:id="12"/>
      </w:r>
      <w:r>
        <w:rPr>
          <w:rFonts w:ascii="Times New Roman" w:eastAsia="Times New Roman" w:hAnsi="Times New Roman" w:cs="Times New Roman"/>
          <w:sz w:val="24"/>
          <w:szCs w:val="24"/>
        </w:rPr>
        <w:t>vGy</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effective dose equivalent is used to estimate the health risk associated with exposure of an individual. To calculate the AED the conversion factor (0.7) and occupancy factor has been used to convert absorbed dose rate to human effective dose equivalent with an occupancy of 20 %. The calculated Radium Equivalent Dose (Raeq) , total Absorbed Dose Rate (ADR), and annual effective dose rate for all the samples (both historic places) are given in table 2 ,3 with their mean values. </w:t>
      </w:r>
      <w:r>
        <w:rPr>
          <w:rFonts w:ascii="Times New Roman" w:eastAsia="Times New Roman" w:hAnsi="Times New Roman" w:cs="Times New Roman"/>
          <w:b/>
          <w:sz w:val="24"/>
          <w:szCs w:val="24"/>
        </w:rPr>
        <w:t>The world average value of ADR is 84nGy/h and the world average value of AED is 0.52mSv/y</w:t>
      </w:r>
      <w:r>
        <w:rPr>
          <w:rFonts w:ascii="Times New Roman" w:eastAsia="Times New Roman" w:hAnsi="Times New Roman" w:cs="Times New Roman"/>
          <w:sz w:val="24"/>
          <w:szCs w:val="24"/>
        </w:rPr>
        <w:t xml:space="preserve">. The International Commission on Radiological Protection (ICRP) has recommended the annual effective dose equivalent limit of 1 mSv/yr for the individual members of the public and 20 mSv/yr for radiation workers [International Commission on Radiological Protection </w:t>
      </w:r>
      <w:commentRangeStart w:id="13"/>
      <w:r>
        <w:rPr>
          <w:rFonts w:ascii="Times New Roman" w:eastAsia="Times New Roman" w:hAnsi="Times New Roman" w:cs="Times New Roman"/>
          <w:sz w:val="24"/>
          <w:szCs w:val="24"/>
        </w:rPr>
        <w:t>(ICRP) , 1993].</w:t>
      </w:r>
      <w:commentRangeEnd w:id="13"/>
      <w:r w:rsidR="003230F4">
        <w:rPr>
          <w:rStyle w:val="CommentReference"/>
        </w:rPr>
        <w:commentReference w:id="13"/>
      </w:r>
    </w:p>
    <w:p w:rsidR="00042BE4" w:rsidRDefault="00042BE4">
      <w:pPr>
        <w:jc w:val="both"/>
        <w:rPr>
          <w:rFonts w:ascii="Times New Roman" w:eastAsia="Times New Roman" w:hAnsi="Times New Roman" w:cs="Times New Roman"/>
          <w:sz w:val="24"/>
          <w:szCs w:val="24"/>
        </w:rPr>
      </w:pPr>
    </w:p>
    <w:tbl>
      <w:tblPr>
        <w:tblStyle w:val="a"/>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40"/>
        <w:gridCol w:w="3150"/>
        <w:gridCol w:w="2250"/>
        <w:gridCol w:w="2430"/>
      </w:tblGrid>
      <w:tr w:rsidR="00042BE4">
        <w:trPr>
          <w:trHeight w:val="446"/>
        </w:trPr>
        <w:tc>
          <w:tcPr>
            <w:tcW w:w="1440" w:type="dxa"/>
          </w:tcPr>
          <w:p w:rsidR="00042BE4" w:rsidRDefault="000E4256">
            <w:pPr>
              <w:spacing w:after="0"/>
              <w:jc w:val="center"/>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Sr.no</w:t>
            </w:r>
          </w:p>
        </w:tc>
        <w:tc>
          <w:tcPr>
            <w:tcW w:w="3150" w:type="dxa"/>
          </w:tcPr>
          <w:p w:rsidR="00042BE4" w:rsidRDefault="000E4256">
            <w:pPr>
              <w:spacing w:after="0"/>
              <w:jc w:val="center"/>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Name of sample</w:t>
            </w:r>
          </w:p>
        </w:tc>
        <w:tc>
          <w:tcPr>
            <w:tcW w:w="2250" w:type="dxa"/>
          </w:tcPr>
          <w:p w:rsidR="00042BE4" w:rsidRDefault="000E4256">
            <w:pPr>
              <w:spacing w:after="0"/>
              <w:jc w:val="center"/>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Types of sample</w:t>
            </w:r>
          </w:p>
        </w:tc>
        <w:tc>
          <w:tcPr>
            <w:tcW w:w="2430" w:type="dxa"/>
          </w:tcPr>
          <w:p w:rsidR="00042BE4" w:rsidRDefault="000E4256">
            <w:pPr>
              <w:spacing w:after="0"/>
              <w:jc w:val="center"/>
              <w:rPr>
                <w:rFonts w:ascii="Times New Roman" w:eastAsia="Times New Roman" w:hAnsi="Times New Roman" w:cs="Times New Roman"/>
                <w:color w:val="366091"/>
                <w:sz w:val="24"/>
                <w:szCs w:val="24"/>
              </w:rPr>
            </w:pPr>
            <w:r>
              <w:rPr>
                <w:rFonts w:ascii="Times New Roman" w:eastAsia="Times New Roman" w:hAnsi="Times New Roman" w:cs="Times New Roman"/>
                <w:color w:val="366091"/>
                <w:sz w:val="24"/>
                <w:szCs w:val="24"/>
              </w:rPr>
              <w:t>Initialization  of samples</w:t>
            </w:r>
          </w:p>
        </w:tc>
      </w:tr>
      <w:tr w:rsidR="00042BE4">
        <w:trPr>
          <w:trHeight w:val="422"/>
        </w:trPr>
        <w:tc>
          <w:tcPr>
            <w:tcW w:w="144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1</w:t>
            </w:r>
          </w:p>
        </w:tc>
        <w:tc>
          <w:tcPr>
            <w:tcW w:w="31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-1</w:t>
            </w:r>
          </w:p>
        </w:tc>
        <w:tc>
          <w:tcPr>
            <w:tcW w:w="22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White Marble</w:t>
            </w:r>
          </w:p>
        </w:tc>
        <w:tc>
          <w:tcPr>
            <w:tcW w:w="243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JMN-1</w:t>
            </w:r>
          </w:p>
        </w:tc>
      </w:tr>
      <w:tr w:rsidR="00042BE4">
        <w:trPr>
          <w:trHeight w:val="422"/>
        </w:trPr>
        <w:tc>
          <w:tcPr>
            <w:tcW w:w="144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2</w:t>
            </w:r>
          </w:p>
        </w:tc>
        <w:tc>
          <w:tcPr>
            <w:tcW w:w="31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-2</w:t>
            </w:r>
          </w:p>
        </w:tc>
        <w:tc>
          <w:tcPr>
            <w:tcW w:w="22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Soap Stone</w:t>
            </w:r>
          </w:p>
        </w:tc>
        <w:tc>
          <w:tcPr>
            <w:tcW w:w="243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JMN-2</w:t>
            </w:r>
          </w:p>
        </w:tc>
      </w:tr>
      <w:tr w:rsidR="00042BE4">
        <w:trPr>
          <w:trHeight w:val="446"/>
        </w:trPr>
        <w:tc>
          <w:tcPr>
            <w:tcW w:w="144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3</w:t>
            </w:r>
          </w:p>
        </w:tc>
        <w:tc>
          <w:tcPr>
            <w:tcW w:w="31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-3</w:t>
            </w:r>
          </w:p>
        </w:tc>
        <w:tc>
          <w:tcPr>
            <w:tcW w:w="22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Brick</w:t>
            </w:r>
          </w:p>
        </w:tc>
        <w:tc>
          <w:tcPr>
            <w:tcW w:w="243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JMN-3</w:t>
            </w:r>
          </w:p>
        </w:tc>
      </w:tr>
      <w:tr w:rsidR="00042BE4">
        <w:trPr>
          <w:trHeight w:val="446"/>
        </w:trPr>
        <w:tc>
          <w:tcPr>
            <w:tcW w:w="144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4</w:t>
            </w:r>
          </w:p>
        </w:tc>
        <w:tc>
          <w:tcPr>
            <w:tcW w:w="31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Jal Mahal -4</w:t>
            </w:r>
          </w:p>
        </w:tc>
        <w:tc>
          <w:tcPr>
            <w:tcW w:w="22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Lime</w:t>
            </w:r>
          </w:p>
        </w:tc>
        <w:tc>
          <w:tcPr>
            <w:tcW w:w="243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JMN-4</w:t>
            </w:r>
          </w:p>
        </w:tc>
      </w:tr>
      <w:tr w:rsidR="00042BE4">
        <w:trPr>
          <w:trHeight w:val="446"/>
        </w:trPr>
        <w:tc>
          <w:tcPr>
            <w:tcW w:w="144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5</w:t>
            </w:r>
          </w:p>
        </w:tc>
        <w:tc>
          <w:tcPr>
            <w:tcW w:w="31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Chor Ghumbad-5</w:t>
            </w:r>
          </w:p>
        </w:tc>
        <w:tc>
          <w:tcPr>
            <w:tcW w:w="22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Lime</w:t>
            </w:r>
          </w:p>
        </w:tc>
        <w:tc>
          <w:tcPr>
            <w:tcW w:w="243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CGN-5</w:t>
            </w:r>
          </w:p>
        </w:tc>
      </w:tr>
      <w:tr w:rsidR="00042BE4">
        <w:trPr>
          <w:trHeight w:val="446"/>
        </w:trPr>
        <w:tc>
          <w:tcPr>
            <w:tcW w:w="144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6</w:t>
            </w:r>
          </w:p>
        </w:tc>
        <w:tc>
          <w:tcPr>
            <w:tcW w:w="31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Chor Ghumbad-6</w:t>
            </w:r>
          </w:p>
        </w:tc>
        <w:tc>
          <w:tcPr>
            <w:tcW w:w="22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White stone</w:t>
            </w:r>
          </w:p>
        </w:tc>
        <w:tc>
          <w:tcPr>
            <w:tcW w:w="243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CGN-6</w:t>
            </w:r>
          </w:p>
        </w:tc>
      </w:tr>
      <w:tr w:rsidR="00042BE4">
        <w:trPr>
          <w:trHeight w:val="460"/>
        </w:trPr>
        <w:tc>
          <w:tcPr>
            <w:tcW w:w="144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7</w:t>
            </w:r>
          </w:p>
        </w:tc>
        <w:tc>
          <w:tcPr>
            <w:tcW w:w="31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Chor Ghumbad-7</w:t>
            </w:r>
          </w:p>
        </w:tc>
        <w:tc>
          <w:tcPr>
            <w:tcW w:w="225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Brick</w:t>
            </w:r>
          </w:p>
        </w:tc>
        <w:tc>
          <w:tcPr>
            <w:tcW w:w="2430" w:type="dxa"/>
          </w:tcPr>
          <w:p w:rsidR="00042BE4" w:rsidRDefault="000E4256">
            <w:pPr>
              <w:spacing w:after="0"/>
              <w:jc w:val="center"/>
              <w:rPr>
                <w:rFonts w:ascii="Times New Roman" w:eastAsia="Times New Roman" w:hAnsi="Times New Roman" w:cs="Times New Roman"/>
                <w:color w:val="244061"/>
                <w:sz w:val="24"/>
                <w:szCs w:val="24"/>
              </w:rPr>
            </w:pPr>
            <w:r>
              <w:rPr>
                <w:rFonts w:ascii="Times New Roman" w:eastAsia="Times New Roman" w:hAnsi="Times New Roman" w:cs="Times New Roman"/>
                <w:color w:val="244061"/>
                <w:sz w:val="24"/>
                <w:szCs w:val="24"/>
              </w:rPr>
              <w:t>CGN-7</w:t>
            </w:r>
          </w:p>
        </w:tc>
      </w:tr>
    </w:tbl>
    <w:p w:rsidR="00042BE4" w:rsidRDefault="00042BE4">
      <w:pPr>
        <w:rPr>
          <w:rFonts w:ascii="Times New Roman" w:eastAsia="Times New Roman" w:hAnsi="Times New Roman" w:cs="Times New Roman"/>
          <w:sz w:val="24"/>
          <w:szCs w:val="24"/>
        </w:rPr>
      </w:pP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1: Introduction of Types of Samples. </w:t>
      </w:r>
      <w:r>
        <w:br w:type="page"/>
      </w:r>
    </w:p>
    <w:p w:rsidR="00042BE4" w:rsidRDefault="00042BE4">
      <w:pPr>
        <w:rPr>
          <w:rFonts w:ascii="Times New Roman" w:eastAsia="Times New Roman" w:hAnsi="Times New Roman" w:cs="Times New Roman"/>
          <w:sz w:val="24"/>
          <w:szCs w:val="24"/>
        </w:rPr>
      </w:pPr>
    </w:p>
    <w:tbl>
      <w:tblPr>
        <w:tblStyle w:val="a0"/>
        <w:tblpPr w:leftFromText="180" w:rightFromText="180" w:vertAnchor="page" w:horzAnchor="page" w:tblpX="1483" w:tblpY="843"/>
        <w:tblW w:w="95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90"/>
        <w:gridCol w:w="1008"/>
        <w:gridCol w:w="1620"/>
        <w:gridCol w:w="1350"/>
        <w:gridCol w:w="1710"/>
        <w:gridCol w:w="1440"/>
        <w:gridCol w:w="1440"/>
      </w:tblGrid>
      <w:tr w:rsidR="00042BE4">
        <w:trPr>
          <w:trHeight w:val="1055"/>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Sample</w:t>
            </w:r>
          </w:p>
        </w:tc>
        <w:tc>
          <w:tcPr>
            <w:tcW w:w="1008" w:type="dxa"/>
            <w:tcBorders>
              <w:top w:val="single" w:sz="4" w:space="0" w:color="000000"/>
              <w:left w:val="single" w:sz="4" w:space="0" w:color="000000"/>
              <w:bottom w:val="single" w:sz="4" w:space="0" w:color="000000"/>
              <w:right w:val="nil"/>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620" w:type="dxa"/>
            <w:tcBorders>
              <w:top w:val="single" w:sz="4" w:space="0" w:color="000000"/>
              <w:left w:val="nil"/>
              <w:bottom w:val="single" w:sz="4" w:space="0" w:color="000000"/>
              <w:right w:val="nil"/>
            </w:tcBorders>
            <w:shd w:val="clear" w:color="auto" w:fill="C2D69B"/>
          </w:tcPr>
          <w:p w:rsidR="00042BE4" w:rsidRDefault="000E4256" w:rsidP="00C775D1">
            <w:pPr>
              <w:spacing w:after="0" w:line="240" w:lineRule="auto"/>
              <w:rPr>
                <w:rFonts w:ascii="Times New Roman" w:eastAsia="Times New Roman" w:hAnsi="Times New Roman" w:cs="Times New Roman"/>
                <w:sz w:val="24"/>
                <w:szCs w:val="24"/>
              </w:rPr>
            </w:pPr>
            <w:commentRangeStart w:id="14"/>
            <w:r>
              <w:rPr>
                <w:rFonts w:ascii="Times New Roman" w:eastAsia="Times New Roman" w:hAnsi="Times New Roman" w:cs="Times New Roman"/>
                <w:sz w:val="24"/>
                <w:szCs w:val="24"/>
              </w:rPr>
              <w:t xml:space="preserve">Activity Concentration </w:t>
            </w:r>
            <w:commentRangeEnd w:id="14"/>
            <w:r w:rsidR="00B24873">
              <w:rPr>
                <w:rStyle w:val="CommentReference"/>
              </w:rPr>
              <w:commentReference w:id="14"/>
            </w:r>
            <w:r>
              <w:rPr>
                <w:rFonts w:ascii="Times New Roman" w:eastAsia="Times New Roman" w:hAnsi="Times New Roman" w:cs="Times New Roman"/>
                <w:sz w:val="24"/>
                <w:szCs w:val="24"/>
              </w:rPr>
              <w:t>(Bq/</w:t>
            </w:r>
            <w:r w:rsidR="00C775D1">
              <w:rPr>
                <w:rFonts w:ascii="Times New Roman" w:eastAsia="Times New Roman" w:hAnsi="Times New Roman" w:cs="Times New Roman"/>
                <w:sz w:val="24"/>
                <w:szCs w:val="24"/>
              </w:rPr>
              <w:t>kg</w:t>
            </w:r>
            <w:r>
              <w:rPr>
                <w:rFonts w:ascii="Times New Roman" w:eastAsia="Times New Roman" w:hAnsi="Times New Roman" w:cs="Times New Roman"/>
                <w:sz w:val="24"/>
                <w:szCs w:val="24"/>
              </w:rPr>
              <w:t xml:space="preserve">)   </w:t>
            </w:r>
          </w:p>
        </w:tc>
        <w:tc>
          <w:tcPr>
            <w:tcW w:w="1350" w:type="dxa"/>
            <w:tcBorders>
              <w:top w:val="single" w:sz="4" w:space="0" w:color="000000"/>
              <w:left w:val="nil"/>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710" w:type="dxa"/>
            <w:tcBorders>
              <w:top w:val="single" w:sz="4" w:space="0" w:color="000000"/>
              <w:left w:val="single" w:sz="4" w:space="0" w:color="000000"/>
              <w:bottom w:val="single" w:sz="4" w:space="0" w:color="BFBFBF"/>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Radium equivalent activity (R</w:t>
            </w:r>
            <w:r>
              <w:rPr>
                <w:rFonts w:ascii="Times New Roman" w:eastAsia="Times New Roman" w:hAnsi="Times New Roman" w:cs="Times New Roman"/>
                <w:sz w:val="24"/>
                <w:szCs w:val="24"/>
                <w:vertAlign w:val="subscript"/>
              </w:rPr>
              <w:t>eq</w:t>
            </w:r>
            <w:r>
              <w:rPr>
                <w:rFonts w:ascii="Times New Roman" w:eastAsia="Times New Roman" w:hAnsi="Times New Roman" w:cs="Times New Roman"/>
                <w:sz w:val="24"/>
                <w:szCs w:val="24"/>
              </w:rPr>
              <w:t>)</w:t>
            </w:r>
            <w:r w:rsidR="004911B0">
              <w:rPr>
                <w:rFonts w:ascii="Times New Roman" w:eastAsia="Times New Roman" w:hAnsi="Times New Roman" w:cs="Times New Roman"/>
                <w:sz w:val="24"/>
                <w:szCs w:val="24"/>
              </w:rPr>
              <w:t xml:space="preserve"> </w:t>
            </w:r>
            <w:commentRangeStart w:id="15"/>
            <w:r w:rsidR="004911B0">
              <w:rPr>
                <w:rFonts w:ascii="Times New Roman" w:eastAsia="Times New Roman" w:hAnsi="Times New Roman" w:cs="Times New Roman"/>
                <w:sz w:val="24"/>
                <w:szCs w:val="24"/>
              </w:rPr>
              <w:t>(</w:t>
            </w:r>
            <w:r w:rsidR="00C775D1">
              <w:rPr>
                <w:rFonts w:ascii="Times New Roman" w:eastAsia="Times New Roman" w:hAnsi="Times New Roman" w:cs="Times New Roman"/>
                <w:sz w:val="24"/>
                <w:szCs w:val="24"/>
              </w:rPr>
              <w:t>Bq/k</w:t>
            </w:r>
            <w:r w:rsidR="004911B0">
              <w:rPr>
                <w:rFonts w:ascii="Times New Roman" w:eastAsia="Times New Roman" w:hAnsi="Times New Roman" w:cs="Times New Roman"/>
                <w:sz w:val="24"/>
                <w:szCs w:val="24"/>
              </w:rPr>
              <w:t>g)</w:t>
            </w:r>
            <w:commentRangeEnd w:id="15"/>
            <w:r w:rsidR="004911B0">
              <w:rPr>
                <w:rStyle w:val="CommentReference"/>
              </w:rPr>
              <w:commentReference w:id="15"/>
            </w:r>
          </w:p>
        </w:tc>
        <w:tc>
          <w:tcPr>
            <w:tcW w:w="1440" w:type="dxa"/>
            <w:tcBorders>
              <w:top w:val="single" w:sz="4" w:space="0" w:color="000000"/>
              <w:left w:val="single" w:sz="4" w:space="0" w:color="000000"/>
              <w:bottom w:val="single" w:sz="4" w:space="0" w:color="BFBFBF"/>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Absorbed Dose Rate      (ADR)</w:t>
            </w:r>
            <w:r w:rsidR="00C775D1">
              <w:rPr>
                <w:rFonts w:ascii="Times New Roman" w:eastAsia="Times New Roman" w:hAnsi="Times New Roman" w:cs="Times New Roman"/>
                <w:sz w:val="24"/>
                <w:szCs w:val="24"/>
              </w:rPr>
              <w:t xml:space="preserve"> </w:t>
            </w:r>
            <w:commentRangeStart w:id="16"/>
            <w:r w:rsidR="00C775D1">
              <w:rPr>
                <w:rFonts w:ascii="Times New Roman" w:eastAsia="Times New Roman" w:hAnsi="Times New Roman" w:cs="Times New Roman"/>
                <w:sz w:val="24"/>
                <w:szCs w:val="24"/>
              </w:rPr>
              <w:t>(nGy/h)</w:t>
            </w:r>
            <w:commentRangeEnd w:id="16"/>
            <w:r w:rsidR="00C775D1">
              <w:rPr>
                <w:rStyle w:val="CommentReference"/>
              </w:rPr>
              <w:commentReference w:id="16"/>
            </w:r>
          </w:p>
        </w:tc>
        <w:tc>
          <w:tcPr>
            <w:tcW w:w="1440" w:type="dxa"/>
            <w:tcBorders>
              <w:top w:val="single" w:sz="4" w:space="0" w:color="000000"/>
              <w:left w:val="single" w:sz="4" w:space="0" w:color="000000"/>
              <w:right w:val="single" w:sz="4" w:space="0" w:color="000000"/>
            </w:tcBorders>
            <w:shd w:val="clear" w:color="auto" w:fill="C2D69B"/>
          </w:tcPr>
          <w:p w:rsidR="00042BE4" w:rsidRPr="00C775D1"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-6</w:t>
            </w:r>
            <w:r w:rsidR="00C775D1">
              <w:rPr>
                <w:rFonts w:ascii="Times New Roman" w:eastAsia="Times New Roman" w:hAnsi="Times New Roman" w:cs="Times New Roman"/>
                <w:sz w:val="24"/>
                <w:szCs w:val="24"/>
              </w:rPr>
              <w:t xml:space="preserve"> </w:t>
            </w:r>
            <w:commentRangeStart w:id="17"/>
            <w:r w:rsidR="00C775D1">
              <w:rPr>
                <w:rFonts w:ascii="Times New Roman" w:eastAsia="Times New Roman" w:hAnsi="Times New Roman" w:cs="Times New Roman"/>
                <w:sz w:val="24"/>
                <w:szCs w:val="24"/>
              </w:rPr>
              <w:t>(SvGy</w:t>
            </w:r>
            <w:r w:rsidR="00C775D1">
              <w:rPr>
                <w:rFonts w:ascii="Times New Roman" w:eastAsia="Times New Roman" w:hAnsi="Times New Roman" w:cs="Times New Roman"/>
                <w:sz w:val="24"/>
                <w:szCs w:val="24"/>
                <w:vertAlign w:val="superscript"/>
              </w:rPr>
              <w:t>-1</w:t>
            </w:r>
            <w:r w:rsidR="00C775D1">
              <w:rPr>
                <w:rFonts w:ascii="Times New Roman" w:eastAsia="Times New Roman" w:hAnsi="Times New Roman" w:cs="Times New Roman"/>
                <w:sz w:val="24"/>
                <w:szCs w:val="24"/>
              </w:rPr>
              <w:t xml:space="preserve">)      </w:t>
            </w:r>
            <w:commentRangeEnd w:id="17"/>
            <w:r w:rsidR="00C775D1">
              <w:rPr>
                <w:rStyle w:val="CommentReference"/>
              </w:rPr>
              <w:commentReference w:id="17"/>
            </w:r>
          </w:p>
        </w:tc>
      </w:tr>
      <w:tr w:rsidR="00042BE4">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w:t>
            </w:r>
          </w:p>
        </w:tc>
        <w:tc>
          <w:tcPr>
            <w:tcW w:w="162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 xml:space="preserve">        Th</w:t>
            </w:r>
          </w:p>
        </w:tc>
        <w:tc>
          <w:tcPr>
            <w:tcW w:w="135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p>
        </w:tc>
        <w:tc>
          <w:tcPr>
            <w:tcW w:w="4590" w:type="dxa"/>
            <w:gridSpan w:val="3"/>
            <w:tcBorders>
              <w:left w:val="single" w:sz="4" w:space="0" w:color="000000"/>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r>
      <w:tr w:rsidR="00042BE4">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008"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2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35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71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80.055</w:t>
            </w:r>
          </w:p>
        </w:tc>
        <w:tc>
          <w:tcPr>
            <w:tcW w:w="144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37.7865</w:t>
            </w:r>
          </w:p>
        </w:tc>
        <w:tc>
          <w:tcPr>
            <w:tcW w:w="144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46341.3636</w:t>
            </w:r>
          </w:p>
        </w:tc>
      </w:tr>
      <w:tr w:rsidR="00042BE4">
        <w:trPr>
          <w:trHeight w:val="290"/>
        </w:trPr>
        <w:tc>
          <w:tcPr>
            <w:tcW w:w="990" w:type="dxa"/>
            <w:tcBorders>
              <w:top w:val="nil"/>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JMN-1</w:t>
            </w:r>
          </w:p>
        </w:tc>
        <w:tc>
          <w:tcPr>
            <w:tcW w:w="1008"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62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35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171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87.653</w:t>
            </w:r>
          </w:p>
        </w:tc>
        <w:tc>
          <w:tcPr>
            <w:tcW w:w="144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41.1513</w:t>
            </w:r>
          </w:p>
        </w:tc>
        <w:tc>
          <w:tcPr>
            <w:tcW w:w="144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50467.9543</w:t>
            </w:r>
          </w:p>
        </w:tc>
      </w:tr>
      <w:tr w:rsidR="00042BE4">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008"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62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35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p>
        </w:tc>
        <w:tc>
          <w:tcPr>
            <w:tcW w:w="171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96.174</w:t>
            </w:r>
          </w:p>
        </w:tc>
        <w:tc>
          <w:tcPr>
            <w:tcW w:w="144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44.9364</w:t>
            </w:r>
          </w:p>
        </w:tc>
        <w:tc>
          <w:tcPr>
            <w:tcW w:w="144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55110.001</w:t>
            </w:r>
          </w:p>
        </w:tc>
      </w:tr>
      <w:tr w:rsidR="00042BE4">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008"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2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35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798</w:t>
            </w:r>
          </w:p>
        </w:tc>
        <w:tc>
          <w:tcPr>
            <w:tcW w:w="171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174.386</w:t>
            </w:r>
          </w:p>
        </w:tc>
        <w:tc>
          <w:tcPr>
            <w:tcW w:w="144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82.1686</w:t>
            </w:r>
          </w:p>
        </w:tc>
        <w:tc>
          <w:tcPr>
            <w:tcW w:w="144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100771.571</w:t>
            </w:r>
          </w:p>
        </w:tc>
      </w:tr>
      <w:tr w:rsidR="00042BE4">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JMN-2</w:t>
            </w:r>
          </w:p>
        </w:tc>
        <w:tc>
          <w:tcPr>
            <w:tcW w:w="1008"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62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35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tc>
        <w:tc>
          <w:tcPr>
            <w:tcW w:w="171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181.907</w:t>
            </w:r>
          </w:p>
        </w:tc>
        <w:tc>
          <w:tcPr>
            <w:tcW w:w="144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85.4917</w:t>
            </w:r>
          </w:p>
        </w:tc>
        <w:tc>
          <w:tcPr>
            <w:tcW w:w="144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104847.021</w:t>
            </w:r>
          </w:p>
        </w:tc>
      </w:tr>
      <w:tr w:rsidR="00042BE4">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008"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2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35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805</w:t>
            </w:r>
          </w:p>
        </w:tc>
        <w:tc>
          <w:tcPr>
            <w:tcW w:w="171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189.505</w:t>
            </w:r>
          </w:p>
        </w:tc>
        <w:tc>
          <w:tcPr>
            <w:tcW w:w="144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88.8565</w:t>
            </w:r>
          </w:p>
        </w:tc>
        <w:tc>
          <w:tcPr>
            <w:tcW w:w="144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108973.612</w:t>
            </w:r>
          </w:p>
        </w:tc>
      </w:tr>
      <w:tr w:rsidR="00042BE4">
        <w:trPr>
          <w:trHeight w:val="290"/>
        </w:trPr>
        <w:tc>
          <w:tcPr>
            <w:tcW w:w="990" w:type="dxa"/>
            <w:tcBorders>
              <w:left w:val="single" w:sz="4" w:space="0" w:color="000000"/>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008"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62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35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w:t>
            </w:r>
          </w:p>
        </w:tc>
        <w:tc>
          <w:tcPr>
            <w:tcW w:w="171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98.686</w:t>
            </w:r>
          </w:p>
        </w:tc>
        <w:tc>
          <w:tcPr>
            <w:tcW w:w="144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45.2516</w:t>
            </w:r>
          </w:p>
        </w:tc>
        <w:tc>
          <w:tcPr>
            <w:tcW w:w="144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55496.5622</w:t>
            </w:r>
          </w:p>
        </w:tc>
      </w:tr>
      <w:tr w:rsidR="00042BE4">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JMN-3</w:t>
            </w:r>
          </w:p>
        </w:tc>
        <w:tc>
          <w:tcPr>
            <w:tcW w:w="1008"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2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35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71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106.56</w:t>
            </w:r>
          </w:p>
        </w:tc>
        <w:tc>
          <w:tcPr>
            <w:tcW w:w="144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48.675</w:t>
            </w:r>
          </w:p>
        </w:tc>
        <w:tc>
          <w:tcPr>
            <w:tcW w:w="144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59695.0200</w:t>
            </w:r>
          </w:p>
        </w:tc>
      </w:tr>
      <w:tr w:rsidR="00042BE4">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008"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62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35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w:t>
            </w:r>
          </w:p>
        </w:tc>
        <w:tc>
          <w:tcPr>
            <w:tcW w:w="171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114.081</w:t>
            </w:r>
          </w:p>
        </w:tc>
        <w:tc>
          <w:tcPr>
            <w:tcW w:w="144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51.9981</w:t>
            </w:r>
          </w:p>
        </w:tc>
        <w:tc>
          <w:tcPr>
            <w:tcW w:w="144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63770.4698</w:t>
            </w:r>
          </w:p>
        </w:tc>
      </w:tr>
      <w:tr w:rsidR="00042BE4">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008"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62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35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c>
          <w:tcPr>
            <w:tcW w:w="171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139.129</w:t>
            </w:r>
          </w:p>
        </w:tc>
        <w:tc>
          <w:tcPr>
            <w:tcW w:w="144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63.7449</w:t>
            </w:r>
          </w:p>
        </w:tc>
        <w:tc>
          <w:tcPr>
            <w:tcW w:w="1440" w:type="dxa"/>
            <w:tcBorders>
              <w:top w:val="single" w:sz="4" w:space="0" w:color="000000"/>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78176.7454</w:t>
            </w:r>
          </w:p>
        </w:tc>
      </w:tr>
      <w:tr w:rsidR="00042BE4">
        <w:trPr>
          <w:trHeight w:val="290"/>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JMN-4</w:t>
            </w:r>
          </w:p>
        </w:tc>
        <w:tc>
          <w:tcPr>
            <w:tcW w:w="1008"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62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35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c>
          <w:tcPr>
            <w:tcW w:w="171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145.573</w:t>
            </w:r>
          </w:p>
        </w:tc>
        <w:tc>
          <w:tcPr>
            <w:tcW w:w="144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66.5643</w:t>
            </w:r>
          </w:p>
        </w:tc>
        <w:tc>
          <w:tcPr>
            <w:tcW w:w="1440" w:type="dxa"/>
            <w:tcBorders>
              <w:left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81634.4575</w:t>
            </w:r>
          </w:p>
        </w:tc>
      </w:tr>
      <w:tr w:rsidR="00042BE4">
        <w:trPr>
          <w:trHeight w:val="281"/>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42BE4">
            <w:pPr>
              <w:spacing w:after="0" w:line="240" w:lineRule="auto"/>
              <w:rPr>
                <w:rFonts w:ascii="Times New Roman" w:eastAsia="Times New Roman" w:hAnsi="Times New Roman" w:cs="Times New Roman"/>
                <w:sz w:val="24"/>
                <w:szCs w:val="24"/>
              </w:rPr>
            </w:pPr>
          </w:p>
        </w:tc>
        <w:tc>
          <w:tcPr>
            <w:tcW w:w="1008"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62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35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w:t>
            </w:r>
          </w:p>
        </w:tc>
        <w:tc>
          <w:tcPr>
            <w:tcW w:w="171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155.601</w:t>
            </w:r>
          </w:p>
        </w:tc>
        <w:tc>
          <w:tcPr>
            <w:tcW w:w="144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70.9951</w:t>
            </w:r>
          </w:p>
        </w:tc>
        <w:tc>
          <w:tcPr>
            <w:tcW w:w="1440" w:type="dxa"/>
            <w:tcBorders>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87068.3906</w:t>
            </w:r>
          </w:p>
        </w:tc>
      </w:tr>
      <w:tr w:rsidR="00042BE4">
        <w:trPr>
          <w:trHeight w:val="612"/>
        </w:trPr>
        <w:tc>
          <w:tcPr>
            <w:tcW w:w="99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008"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34.33</w:t>
            </w:r>
          </w:p>
        </w:tc>
        <w:tc>
          <w:tcPr>
            <w:tcW w:w="162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43.75</w:t>
            </w:r>
          </w:p>
        </w:tc>
        <w:tc>
          <w:tcPr>
            <w:tcW w:w="135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171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130.775833</w:t>
            </w:r>
          </w:p>
        </w:tc>
        <w:tc>
          <w:tcPr>
            <w:tcW w:w="144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60.635</w:t>
            </w:r>
          </w:p>
        </w:tc>
        <w:tc>
          <w:tcPr>
            <w:tcW w:w="1440" w:type="dxa"/>
            <w:tcBorders>
              <w:top w:val="single" w:sz="4" w:space="0" w:color="000000"/>
              <w:left w:val="single" w:sz="4" w:space="0" w:color="000000"/>
              <w:bottom w:val="single" w:sz="4" w:space="0" w:color="000000"/>
              <w:right w:val="single" w:sz="4" w:space="0" w:color="000000"/>
            </w:tcBorders>
            <w:shd w:val="clear" w:color="auto" w:fill="C2D69B"/>
          </w:tcPr>
          <w:p w:rsidR="00042BE4" w:rsidRDefault="000E42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74362.764</w:t>
            </w:r>
          </w:p>
        </w:tc>
      </w:tr>
    </w:tbl>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 2  Sample Calculation of  Jal Mahal Building Material  Req ,ADR ,AED By Using Activity Concentrations.</w:t>
      </w: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34050" cy="3371850"/>
            <wp:effectExtent l="0" t="0" r="0" b="0"/>
            <wp:docPr id="2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1"/>
                    <a:srcRect/>
                    <a:stretch>
                      <a:fillRect/>
                    </a:stretch>
                  </pic:blipFill>
                  <pic:spPr>
                    <a:xfrm>
                      <a:off x="0" y="0"/>
                      <a:ext cx="5734050" cy="3371850"/>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2: Graphical Representation of  Jal Mahal Activity concentrations with Radium equivalent activity(Req).</w:t>
      </w: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981700" cy="3013710"/>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5981700" cy="3013710"/>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3: Graphical Representation of  Jal Mahal Activity concentrations with Absorbed Dose Rate(ADR).</w:t>
      </w:r>
    </w:p>
    <w:p w:rsidR="00042BE4" w:rsidRDefault="00042BE4">
      <w:pPr>
        <w:jc w:val="cente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981700" cy="3228975"/>
            <wp:effectExtent l="0" t="0" r="0" b="0"/>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3"/>
                    <a:srcRect/>
                    <a:stretch>
                      <a:fillRect/>
                    </a:stretch>
                  </pic:blipFill>
                  <pic:spPr>
                    <a:xfrm>
                      <a:off x="0" y="0"/>
                      <a:ext cx="5981700" cy="3228975"/>
                    </a:xfrm>
                    <a:prstGeom prst="rect">
                      <a:avLst/>
                    </a:prstGeom>
                    <a:ln/>
                  </pic:spPr>
                </pic:pic>
              </a:graphicData>
            </a:graphic>
          </wp:inline>
        </w:drawing>
      </w: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Figure 4 : Graphical Representation of  Jal Mahal Absorbed Dose Rate (ADR) with Annual Effective  Dose(AED.</w:t>
      </w:r>
    </w:p>
    <w:p w:rsidR="00042BE4" w:rsidRDefault="00042BE4">
      <w:pPr>
        <w:rPr>
          <w:rFonts w:ascii="Times New Roman" w:eastAsia="Times New Roman" w:hAnsi="Times New Roman" w:cs="Times New Roman"/>
          <w:sz w:val="24"/>
          <w:szCs w:val="24"/>
        </w:rPr>
      </w:pPr>
    </w:p>
    <w:tbl>
      <w:tblPr>
        <w:tblStyle w:val="a1"/>
        <w:tblW w:w="9423" w:type="dxa"/>
        <w:tblInd w:w="-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389"/>
        <w:gridCol w:w="1194"/>
        <w:gridCol w:w="1620"/>
        <w:gridCol w:w="990"/>
        <w:gridCol w:w="1350"/>
        <w:gridCol w:w="1350"/>
        <w:gridCol w:w="1530"/>
      </w:tblGrid>
      <w:tr w:rsidR="00042BE4">
        <w:trPr>
          <w:trHeight w:val="561"/>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Sample</w:t>
            </w:r>
          </w:p>
        </w:tc>
        <w:tc>
          <w:tcPr>
            <w:tcW w:w="1194" w:type="dxa"/>
            <w:tcBorders>
              <w:top w:val="single" w:sz="4" w:space="0" w:color="000000"/>
              <w:left w:val="nil"/>
              <w:bottom w:val="single" w:sz="4" w:space="0" w:color="000000"/>
              <w:right w:val="nil"/>
            </w:tcBorders>
            <w:shd w:val="clear" w:color="auto" w:fill="DBEEF3"/>
          </w:tcPr>
          <w:p w:rsidR="00042BE4" w:rsidRDefault="00042BE4">
            <w:pPr>
              <w:spacing w:after="0" w:line="254" w:lineRule="auto"/>
              <w:rPr>
                <w:rFonts w:ascii="Times New Roman" w:eastAsia="Times New Roman" w:hAnsi="Times New Roman" w:cs="Times New Roman"/>
                <w:sz w:val="24"/>
                <w:szCs w:val="24"/>
              </w:rPr>
            </w:pPr>
          </w:p>
        </w:tc>
        <w:tc>
          <w:tcPr>
            <w:tcW w:w="1620" w:type="dxa"/>
            <w:tcBorders>
              <w:top w:val="single" w:sz="4" w:space="0" w:color="000000"/>
              <w:left w:val="nil"/>
              <w:bottom w:val="single" w:sz="4" w:space="0" w:color="000000"/>
              <w:right w:val="nil"/>
            </w:tcBorders>
            <w:shd w:val="clear" w:color="auto" w:fill="DBEEF3"/>
          </w:tcPr>
          <w:p w:rsidR="00042BE4" w:rsidRDefault="000E4256" w:rsidP="00C775D1">
            <w:pPr>
              <w:spacing w:after="0" w:line="254" w:lineRule="auto"/>
              <w:rPr>
                <w:rFonts w:ascii="Times New Roman" w:eastAsia="Times New Roman" w:hAnsi="Times New Roman" w:cs="Times New Roman"/>
                <w:sz w:val="24"/>
                <w:szCs w:val="24"/>
              </w:rPr>
            </w:pPr>
            <w:commentRangeStart w:id="18"/>
            <w:r>
              <w:rPr>
                <w:rFonts w:ascii="Times New Roman" w:eastAsia="Times New Roman" w:hAnsi="Times New Roman" w:cs="Times New Roman"/>
                <w:sz w:val="24"/>
                <w:szCs w:val="24"/>
              </w:rPr>
              <w:t>Activity Concentration (Bq/</w:t>
            </w:r>
            <w:commentRangeStart w:id="19"/>
            <w:r w:rsidR="00C775D1">
              <w:rPr>
                <w:rFonts w:ascii="Times New Roman" w:eastAsia="Times New Roman" w:hAnsi="Times New Roman" w:cs="Times New Roman"/>
                <w:sz w:val="24"/>
                <w:szCs w:val="24"/>
              </w:rPr>
              <w:t>k</w:t>
            </w:r>
            <w:commentRangeEnd w:id="19"/>
            <w:r w:rsidR="00C775D1">
              <w:rPr>
                <w:rStyle w:val="CommentReference"/>
              </w:rPr>
              <w:commentReference w:id="19"/>
            </w:r>
            <w:r>
              <w:rPr>
                <w:rFonts w:ascii="Times New Roman" w:eastAsia="Times New Roman" w:hAnsi="Times New Roman" w:cs="Times New Roman"/>
                <w:sz w:val="24"/>
                <w:szCs w:val="24"/>
              </w:rPr>
              <w:t xml:space="preserve">g)   </w:t>
            </w:r>
            <w:commentRangeEnd w:id="18"/>
            <w:r w:rsidR="00C775D1">
              <w:rPr>
                <w:rStyle w:val="CommentReference"/>
              </w:rPr>
              <w:commentReference w:id="18"/>
            </w:r>
          </w:p>
        </w:tc>
        <w:tc>
          <w:tcPr>
            <w:tcW w:w="990" w:type="dxa"/>
            <w:tcBorders>
              <w:top w:val="single" w:sz="4" w:space="0" w:color="000000"/>
              <w:left w:val="nil"/>
              <w:bottom w:val="single" w:sz="4" w:space="0" w:color="000000"/>
              <w:right w:val="single" w:sz="4" w:space="0" w:color="000000"/>
            </w:tcBorders>
            <w:shd w:val="clear" w:color="auto" w:fill="DBEEF3"/>
          </w:tcPr>
          <w:p w:rsidR="00042BE4" w:rsidRDefault="00042BE4">
            <w:pPr>
              <w:spacing w:after="0" w:line="254" w:lineRule="auto"/>
              <w:rPr>
                <w:rFonts w:ascii="Times New Roman" w:eastAsia="Times New Roman" w:hAnsi="Times New Roman" w:cs="Times New Roman"/>
                <w:sz w:val="24"/>
                <w:szCs w:val="24"/>
              </w:rPr>
            </w:pPr>
          </w:p>
        </w:tc>
        <w:tc>
          <w:tcPr>
            <w:tcW w:w="135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Radium equivalent activity (R</w:t>
            </w:r>
            <w:r>
              <w:rPr>
                <w:rFonts w:ascii="Times New Roman" w:eastAsia="Times New Roman" w:hAnsi="Times New Roman" w:cs="Times New Roman"/>
                <w:sz w:val="24"/>
                <w:szCs w:val="24"/>
                <w:vertAlign w:val="subscript"/>
              </w:rPr>
              <w:t>eq</w:t>
            </w:r>
            <w:r>
              <w:rPr>
                <w:rFonts w:ascii="Times New Roman" w:eastAsia="Times New Roman" w:hAnsi="Times New Roman" w:cs="Times New Roman"/>
                <w:sz w:val="24"/>
                <w:szCs w:val="24"/>
              </w:rPr>
              <w:t>)</w:t>
            </w:r>
            <w:r w:rsidR="00C775D1">
              <w:rPr>
                <w:rFonts w:ascii="Times New Roman" w:eastAsia="Times New Roman" w:hAnsi="Times New Roman" w:cs="Times New Roman"/>
                <w:sz w:val="24"/>
                <w:szCs w:val="24"/>
              </w:rPr>
              <w:t xml:space="preserve"> </w:t>
            </w:r>
            <w:commentRangeStart w:id="20"/>
            <w:r w:rsidR="00C775D1">
              <w:rPr>
                <w:rFonts w:ascii="Times New Roman" w:eastAsia="Times New Roman" w:hAnsi="Times New Roman" w:cs="Times New Roman"/>
                <w:sz w:val="24"/>
                <w:szCs w:val="24"/>
              </w:rPr>
              <w:t>(Bq/kg)</w:t>
            </w:r>
            <w:commentRangeEnd w:id="20"/>
            <w:r w:rsidR="00C775D1">
              <w:rPr>
                <w:rStyle w:val="CommentReference"/>
              </w:rPr>
              <w:commentReference w:id="20"/>
            </w:r>
            <w:r w:rsidR="00C775D1">
              <w:rPr>
                <w:rFonts w:ascii="Times New Roman" w:eastAsia="Times New Roman" w:hAnsi="Times New Roman" w:cs="Times New Roman"/>
                <w:sz w:val="24"/>
                <w:szCs w:val="24"/>
              </w:rPr>
              <w:t xml:space="preserve">   </w:t>
            </w:r>
          </w:p>
        </w:tc>
        <w:tc>
          <w:tcPr>
            <w:tcW w:w="135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Absorbed Dose Rate      (ADR)</w:t>
            </w:r>
          </w:p>
          <w:p w:rsidR="00C775D1" w:rsidRDefault="00C775D1">
            <w:pPr>
              <w:spacing w:after="0" w:line="254" w:lineRule="auto"/>
              <w:rPr>
                <w:rFonts w:ascii="Times New Roman" w:eastAsia="Times New Roman" w:hAnsi="Times New Roman" w:cs="Times New Roman"/>
                <w:sz w:val="24"/>
                <w:szCs w:val="24"/>
              </w:rPr>
            </w:pPr>
            <w:commentRangeStart w:id="21"/>
            <w:r>
              <w:rPr>
                <w:rFonts w:ascii="Times New Roman" w:eastAsia="Times New Roman" w:hAnsi="Times New Roman" w:cs="Times New Roman"/>
                <w:sz w:val="24"/>
                <w:szCs w:val="24"/>
              </w:rPr>
              <w:t>(nGy/h)</w:t>
            </w:r>
            <w:commentRangeEnd w:id="21"/>
            <w:r>
              <w:rPr>
                <w:rStyle w:val="CommentReference"/>
              </w:rPr>
              <w:commentReference w:id="21"/>
            </w:r>
          </w:p>
        </w:tc>
        <w:tc>
          <w:tcPr>
            <w:tcW w:w="1530" w:type="dxa"/>
            <w:tcBorders>
              <w:top w:val="single" w:sz="4" w:space="0" w:color="000000"/>
              <w:left w:val="nil"/>
              <w:bottom w:val="single" w:sz="4" w:space="0" w:color="BEBEBE"/>
              <w:right w:val="single" w:sz="4" w:space="0" w:color="000000"/>
            </w:tcBorders>
            <w:shd w:val="clear" w:color="auto" w:fill="DBEEF3"/>
          </w:tcPr>
          <w:p w:rsidR="00042BE4" w:rsidRPr="00C775D1"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-6</w:t>
            </w:r>
            <w:r w:rsidR="00C775D1">
              <w:rPr>
                <w:rFonts w:ascii="Times New Roman" w:eastAsia="Times New Roman" w:hAnsi="Times New Roman" w:cs="Times New Roman"/>
                <w:sz w:val="24"/>
                <w:szCs w:val="24"/>
              </w:rPr>
              <w:t xml:space="preserve"> </w:t>
            </w:r>
            <w:commentRangeStart w:id="22"/>
            <w:r w:rsidR="00C775D1">
              <w:rPr>
                <w:rFonts w:ascii="Times New Roman" w:eastAsia="Times New Roman" w:hAnsi="Times New Roman" w:cs="Times New Roman"/>
                <w:sz w:val="24"/>
                <w:szCs w:val="24"/>
              </w:rPr>
              <w:t>(SvGy</w:t>
            </w:r>
            <w:r w:rsidR="00C775D1">
              <w:rPr>
                <w:rFonts w:ascii="Times New Roman" w:eastAsia="Times New Roman" w:hAnsi="Times New Roman" w:cs="Times New Roman"/>
                <w:sz w:val="24"/>
                <w:szCs w:val="24"/>
                <w:vertAlign w:val="superscript"/>
              </w:rPr>
              <w:t>-1</w:t>
            </w:r>
            <w:r w:rsidR="00C775D1">
              <w:rPr>
                <w:rFonts w:ascii="Times New Roman" w:eastAsia="Times New Roman" w:hAnsi="Times New Roman" w:cs="Times New Roman"/>
                <w:sz w:val="24"/>
                <w:szCs w:val="24"/>
              </w:rPr>
              <w:t xml:space="preserve">)      </w:t>
            </w:r>
            <w:commentRangeEnd w:id="22"/>
            <w:r w:rsidR="00C775D1">
              <w:rPr>
                <w:rStyle w:val="CommentReference"/>
              </w:rPr>
              <w:commentReference w:id="22"/>
            </w:r>
          </w:p>
        </w:tc>
      </w:tr>
      <w:tr w:rsidR="00042BE4">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w:t>
            </w:r>
          </w:p>
        </w:tc>
        <w:tc>
          <w:tcPr>
            <w:tcW w:w="162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54"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 xml:space="preserve">        Th</w:t>
            </w:r>
          </w:p>
        </w:tc>
        <w:tc>
          <w:tcPr>
            <w:tcW w:w="99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p>
        </w:tc>
        <w:tc>
          <w:tcPr>
            <w:tcW w:w="4230" w:type="dxa"/>
            <w:gridSpan w:val="3"/>
            <w:tcBorders>
              <w:top w:val="single" w:sz="4" w:space="0" w:color="BEBEBE"/>
              <w:left w:val="nil"/>
              <w:bottom w:val="single" w:sz="4" w:space="0" w:color="000000"/>
              <w:right w:val="single" w:sz="4" w:space="0" w:color="000000"/>
            </w:tcBorders>
            <w:shd w:val="clear" w:color="auto" w:fill="DBEEF3"/>
          </w:tcPr>
          <w:p w:rsidR="00042BE4" w:rsidRDefault="00042BE4">
            <w:pPr>
              <w:spacing w:after="0" w:line="254" w:lineRule="auto"/>
              <w:rPr>
                <w:rFonts w:ascii="Times New Roman" w:eastAsia="Times New Roman" w:hAnsi="Times New Roman" w:cs="Times New Roman"/>
                <w:sz w:val="24"/>
                <w:szCs w:val="24"/>
              </w:rPr>
            </w:pPr>
          </w:p>
        </w:tc>
      </w:tr>
      <w:tr w:rsidR="00042BE4">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62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9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c>
          <w:tcPr>
            <w:tcW w:w="135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116.566</w:t>
            </w:r>
          </w:p>
        </w:tc>
        <w:tc>
          <w:tcPr>
            <w:tcW w:w="135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53.7756</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65950.3958</w:t>
            </w:r>
          </w:p>
        </w:tc>
      </w:tr>
      <w:tr w:rsidR="00042BE4">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CGN-5</w:t>
            </w:r>
          </w:p>
        </w:tc>
        <w:tc>
          <w:tcPr>
            <w:tcW w:w="1194"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162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9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35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122.657</w:t>
            </w:r>
          </w:p>
        </w:tc>
        <w:tc>
          <w:tcPr>
            <w:tcW w:w="135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56.4947</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69285.1001</w:t>
            </w:r>
          </w:p>
        </w:tc>
      </w:tr>
      <w:tr w:rsidR="00042BE4">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62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99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w:t>
            </w:r>
          </w:p>
        </w:tc>
        <w:tc>
          <w:tcPr>
            <w:tcW w:w="135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130.255</w:t>
            </w:r>
          </w:p>
        </w:tc>
        <w:tc>
          <w:tcPr>
            <w:tcW w:w="135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59.8595</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73411.6908</w:t>
            </w:r>
          </w:p>
        </w:tc>
      </w:tr>
      <w:tr w:rsidR="00042BE4">
        <w:trPr>
          <w:trHeight w:val="284"/>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62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99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tc>
        <w:tc>
          <w:tcPr>
            <w:tcW w:w="135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177.047</w:t>
            </w:r>
          </w:p>
        </w:tc>
        <w:tc>
          <w:tcPr>
            <w:tcW w:w="135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83.3597</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102232.336</w:t>
            </w:r>
          </w:p>
        </w:tc>
      </w:tr>
      <w:tr w:rsidR="00042BE4">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CGN-6</w:t>
            </w:r>
          </w:p>
        </w:tc>
        <w:tc>
          <w:tcPr>
            <w:tcW w:w="1194"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62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99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803</w:t>
            </w:r>
          </w:p>
        </w:tc>
        <w:tc>
          <w:tcPr>
            <w:tcW w:w="135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185.491</w:t>
            </w:r>
          </w:p>
        </w:tc>
        <w:tc>
          <w:tcPr>
            <w:tcW w:w="135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87.1031</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106823.242</w:t>
            </w:r>
          </w:p>
        </w:tc>
      </w:tr>
      <w:tr w:rsidR="00042BE4">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62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99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806</w:t>
            </w:r>
          </w:p>
        </w:tc>
        <w:tc>
          <w:tcPr>
            <w:tcW w:w="135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193.012</w:t>
            </w:r>
          </w:p>
        </w:tc>
        <w:tc>
          <w:tcPr>
            <w:tcW w:w="135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90.4262</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110898.692</w:t>
            </w:r>
          </w:p>
        </w:tc>
      </w:tr>
      <w:tr w:rsidR="00042BE4">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62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99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488</w:t>
            </w:r>
          </w:p>
        </w:tc>
        <w:tc>
          <w:tcPr>
            <w:tcW w:w="135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133.796</w:t>
            </w:r>
          </w:p>
        </w:tc>
        <w:tc>
          <w:tcPr>
            <w:tcW w:w="135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61.7436</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75722.351</w:t>
            </w:r>
          </w:p>
        </w:tc>
      </w:tr>
      <w:tr w:rsidR="00042BE4">
        <w:trPr>
          <w:trHeight w:val="272"/>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CGN-7</w:t>
            </w:r>
          </w:p>
        </w:tc>
        <w:tc>
          <w:tcPr>
            <w:tcW w:w="1194"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62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99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135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141.24</w:t>
            </w:r>
          </w:p>
        </w:tc>
        <w:tc>
          <w:tcPr>
            <w:tcW w:w="135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65.025</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79746.66</w:t>
            </w:r>
          </w:p>
        </w:tc>
      </w:tr>
      <w:tr w:rsidR="00042BE4">
        <w:trPr>
          <w:trHeight w:val="284"/>
        </w:trPr>
        <w:tc>
          <w:tcPr>
            <w:tcW w:w="1389"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54" w:lineRule="auto"/>
              <w:rPr>
                <w:rFonts w:ascii="Times New Roman" w:eastAsia="Times New Roman" w:hAnsi="Times New Roman" w:cs="Times New Roman"/>
                <w:sz w:val="24"/>
                <w:szCs w:val="24"/>
              </w:rPr>
            </w:pPr>
          </w:p>
        </w:tc>
        <w:tc>
          <w:tcPr>
            <w:tcW w:w="1194"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2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9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c>
          <w:tcPr>
            <w:tcW w:w="135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148.761</w:t>
            </w:r>
          </w:p>
        </w:tc>
        <w:tc>
          <w:tcPr>
            <w:tcW w:w="135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68.3481</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83822.1098</w:t>
            </w:r>
          </w:p>
        </w:tc>
      </w:tr>
      <w:tr w:rsidR="00042BE4">
        <w:trPr>
          <w:trHeight w:val="683"/>
        </w:trPr>
        <w:tc>
          <w:tcPr>
            <w:tcW w:w="1389" w:type="dxa"/>
            <w:tcBorders>
              <w:top w:val="single" w:sz="4" w:space="0" w:color="BEBEBE"/>
              <w:left w:val="single" w:sz="4" w:space="0" w:color="BEBEBE"/>
              <w:bottom w:val="single" w:sz="4" w:space="0" w:color="BEBEBE"/>
              <w:right w:val="single" w:sz="4" w:space="0" w:color="BEBEBE"/>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194" w:type="dxa"/>
            <w:tcBorders>
              <w:top w:val="single" w:sz="4" w:space="0" w:color="BEBEBE"/>
              <w:left w:val="single" w:sz="4" w:space="0" w:color="BEBEBE"/>
              <w:bottom w:val="single" w:sz="4" w:space="0" w:color="BEBEBE"/>
              <w:right w:val="single" w:sz="4" w:space="0" w:color="BEBEBE"/>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31.22222</w:t>
            </w:r>
          </w:p>
        </w:tc>
        <w:tc>
          <w:tcPr>
            <w:tcW w:w="1620" w:type="dxa"/>
            <w:tcBorders>
              <w:top w:val="single" w:sz="4" w:space="0" w:color="BEBEBE"/>
              <w:left w:val="single" w:sz="4" w:space="0" w:color="BEBEBE"/>
              <w:bottom w:val="single" w:sz="4" w:space="0" w:color="BEBEBE"/>
              <w:right w:val="single" w:sz="4" w:space="0" w:color="BEBEBE"/>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53.</w:t>
            </w:r>
            <w:commentRangeStart w:id="23"/>
            <w:r>
              <w:rPr>
                <w:rFonts w:ascii="Times New Roman" w:eastAsia="Times New Roman" w:hAnsi="Times New Roman" w:cs="Times New Roman"/>
                <w:sz w:val="24"/>
                <w:szCs w:val="24"/>
              </w:rPr>
              <w:t>44444</w:t>
            </w:r>
            <w:commentRangeEnd w:id="23"/>
            <w:r w:rsidR="003230F4">
              <w:rPr>
                <w:rStyle w:val="CommentReference"/>
              </w:rPr>
              <w:commentReference w:id="23"/>
            </w:r>
          </w:p>
        </w:tc>
        <w:tc>
          <w:tcPr>
            <w:tcW w:w="990" w:type="dxa"/>
            <w:tcBorders>
              <w:top w:val="single" w:sz="4" w:space="0" w:color="BEBEBE"/>
              <w:left w:val="single" w:sz="4" w:space="0" w:color="BEBEBE"/>
              <w:bottom w:val="single" w:sz="4" w:space="0" w:color="BEBEBE"/>
              <w:right w:val="single" w:sz="4" w:space="0" w:color="BEBEBE"/>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548.33333</w:t>
            </w:r>
          </w:p>
        </w:tc>
        <w:tc>
          <w:tcPr>
            <w:tcW w:w="1350" w:type="dxa"/>
            <w:tcBorders>
              <w:top w:val="single" w:sz="4" w:space="0" w:color="BEBEBE"/>
              <w:left w:val="single" w:sz="4" w:space="0" w:color="BEBEBE"/>
              <w:bottom w:val="single" w:sz="4" w:space="0" w:color="BEBEBE"/>
              <w:right w:val="single" w:sz="4" w:space="0" w:color="BEBEBE"/>
            </w:tcBorders>
            <w:shd w:val="clear" w:color="auto" w:fill="DBEEF3"/>
          </w:tcPr>
          <w:p w:rsidR="00042BE4" w:rsidRDefault="000E4256">
            <w:pPr>
              <w:spacing w:after="0" w:line="25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149.86944</w:t>
            </w:r>
          </w:p>
        </w:tc>
        <w:tc>
          <w:tcPr>
            <w:tcW w:w="1350" w:type="dxa"/>
            <w:tcBorders>
              <w:top w:val="single" w:sz="4" w:space="0" w:color="BEBEBE"/>
              <w:left w:val="single" w:sz="4" w:space="0" w:color="BEBEBE"/>
              <w:bottom w:val="single" w:sz="4" w:space="0" w:color="BEBEBE"/>
              <w:right w:val="single" w:sz="4" w:space="0" w:color="BEBEBE"/>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commentRangeStart w:id="24"/>
            <w:r>
              <w:rPr>
                <w:rFonts w:ascii="Times New Roman" w:eastAsia="Times New Roman" w:hAnsi="Times New Roman" w:cs="Times New Roman"/>
                <w:sz w:val="24"/>
                <w:szCs w:val="24"/>
              </w:rPr>
              <w:t>570611</w:t>
            </w:r>
            <w:commentRangeEnd w:id="24"/>
            <w:r w:rsidR="003230F4">
              <w:rPr>
                <w:rStyle w:val="CommentReference"/>
              </w:rPr>
              <w:commentReference w:id="24"/>
            </w:r>
          </w:p>
        </w:tc>
        <w:tc>
          <w:tcPr>
            <w:tcW w:w="1530" w:type="dxa"/>
            <w:tcBorders>
              <w:top w:val="single" w:sz="4" w:space="0" w:color="BEBEBE"/>
              <w:left w:val="single" w:sz="4" w:space="0" w:color="BEBEBE"/>
              <w:bottom w:val="single" w:sz="4" w:space="0" w:color="BEBEBE"/>
              <w:right w:val="single" w:sz="4" w:space="0" w:color="BEBEBE"/>
            </w:tcBorders>
            <w:shd w:val="clear" w:color="auto" w:fill="DBEEF3"/>
          </w:tcPr>
          <w:p w:rsidR="00042BE4" w:rsidRDefault="000E4256">
            <w:pPr>
              <w:spacing w:after="0" w:line="25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85321.3975</w:t>
            </w:r>
          </w:p>
        </w:tc>
      </w:tr>
    </w:tbl>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 3  Sample calculation of  ChorGhumbad building material  Req ,ADR ,AED by using Activity concentrations.</w:t>
      </w:r>
    </w:p>
    <w:p w:rsidR="00042BE4" w:rsidRDefault="00042BE4">
      <w:pP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848350" cy="2914650"/>
            <wp:effectExtent l="0" t="0" r="0" b="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4"/>
                    <a:srcRect/>
                    <a:stretch>
                      <a:fillRect/>
                    </a:stretch>
                  </pic:blipFill>
                  <pic:spPr>
                    <a:xfrm>
                      <a:off x="0" y="0"/>
                      <a:ext cx="5848350" cy="2914650"/>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5: Graphical Representation of  ChorGhumbad Activity concentrations with Radium equivalent activity (Req).</w:t>
      </w: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753100" cy="3019425"/>
            <wp:effectExtent l="0" t="0" r="0" b="0"/>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5"/>
                    <a:srcRect/>
                    <a:stretch>
                      <a:fillRect/>
                    </a:stretch>
                  </pic:blipFill>
                  <pic:spPr>
                    <a:xfrm>
                      <a:off x="0" y="0"/>
                      <a:ext cx="5753100" cy="3019425"/>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6: Graphical Representation of ChorGhumbad Activity concentrations with Absorbed Dose Rate (ADR).</w:t>
      </w:r>
    </w:p>
    <w:p w:rsidR="00042BE4" w:rsidRDefault="00042BE4">
      <w:pPr>
        <w:jc w:val="center"/>
        <w:rPr>
          <w:rFonts w:ascii="Times New Roman" w:eastAsia="Times New Roman" w:hAnsi="Times New Roman" w:cs="Times New Roman"/>
          <w:sz w:val="24"/>
          <w:szCs w:val="24"/>
        </w:rPr>
      </w:pPr>
    </w:p>
    <w:p w:rsidR="00042BE4" w:rsidRDefault="00042BE4">
      <w:pPr>
        <w:jc w:val="cente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924550" cy="2990850"/>
            <wp:effectExtent l="0" t="0" r="0" b="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6"/>
                    <a:srcRect/>
                    <a:stretch>
                      <a:fillRect/>
                    </a:stretch>
                  </pic:blipFill>
                  <pic:spPr>
                    <a:xfrm>
                      <a:off x="0" y="0"/>
                      <a:ext cx="5924550" cy="2990850"/>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7: Graphical Representation of ChorGhumbad Activity concentrations with Annual Effective  dose (AED).</w:t>
      </w:r>
    </w:p>
    <w:p w:rsidR="00042BE4" w:rsidRDefault="00042BE4">
      <w:pPr>
        <w:rPr>
          <w:rFonts w:ascii="Times New Roman" w:eastAsia="Times New Roman" w:hAnsi="Times New Roman" w:cs="Times New Roman"/>
          <w:sz w:val="24"/>
          <w:szCs w:val="24"/>
        </w:rPr>
      </w:pP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Excess Life Time cancer Risk (ELCR) was estimated by using the formula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ELCR = AED× LE × RE</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ELCR = AED× 70× 0.05</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dose rate Dorgans (Dorg) was derived by equation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Dorgans  = AED × f</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Dorgans (whole body) = AED× 0.68</w:t>
      </w:r>
    </w:p>
    <w:p w:rsidR="00042BE4" w:rsidRDefault="000E4256">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excess life time cancer risk  is estimation of the potential of cancer development over a lifetime , caused by irradiation from historic building materials .ELCR was calculated based upon values of AED , LE and RE ; </w:t>
      </w:r>
      <w:r>
        <w:rPr>
          <w:rFonts w:ascii="Times New Roman" w:eastAsia="Times New Roman" w:hAnsi="Times New Roman" w:cs="Times New Roman"/>
          <w:b/>
          <w:sz w:val="24"/>
          <w:szCs w:val="24"/>
        </w:rPr>
        <w:t>where LE is life expectancy (70) years and RF is fatal risk factor per Sievert ,</w:t>
      </w:r>
      <w:commentRangeStart w:id="25"/>
      <w:r>
        <w:rPr>
          <w:rFonts w:ascii="Times New Roman" w:eastAsia="Times New Roman" w:hAnsi="Times New Roman" w:cs="Times New Roman"/>
          <w:b/>
          <w:sz w:val="24"/>
          <w:szCs w:val="24"/>
        </w:rPr>
        <w:t xml:space="preserve">that is 0.05 </w:t>
      </w:r>
      <w:commentRangeEnd w:id="25"/>
      <w:r w:rsidR="003230F4">
        <w:rPr>
          <w:rStyle w:val="CommentReference"/>
        </w:rPr>
        <w:commentReference w:id="25"/>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annual effective dose equivalent represents the degree of genetic significance of the annual dose that the reproductive organs of a population receive.</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Organs with rapidly dividing cells, such as gonads,active bone marrow cells, lungs, testes ,ovaries and bone surface cells, are considered interesting by the UN Scientific Committee on the Effects of Atomic Radiation. </w:t>
      </w:r>
      <w:r>
        <w:rPr>
          <w:rFonts w:ascii="Times New Roman" w:eastAsia="Times New Roman" w:hAnsi="Times New Roman" w:cs="Times New Roman"/>
          <w:sz w:val="24"/>
          <w:szCs w:val="24"/>
        </w:rPr>
        <w:t xml:space="preserve">The effective dose rate Dorgans is delivered to a particular organ the mean energy absorbed per unit mass averaged over the entire tissue or organ can be calculated using the formula. Where f  is the conversion factor  of organ dose from air dose. The conversion factor for lungs , ovaries ,bone marrow ,testes and the whole body are 0.64 ,0.58 , 0.69 , 0.82 , 0.68 , respectively . </w:t>
      </w:r>
    </w:p>
    <w:tbl>
      <w:tblPr>
        <w:tblStyle w:val="a2"/>
        <w:tblW w:w="8957" w:type="dxa"/>
        <w:tblInd w:w="-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522"/>
        <w:gridCol w:w="2403"/>
        <w:gridCol w:w="2674"/>
        <w:gridCol w:w="2358"/>
      </w:tblGrid>
      <w:tr w:rsidR="00042BE4">
        <w:trPr>
          <w:trHeight w:val="834"/>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Sample</w:t>
            </w:r>
          </w:p>
        </w:tc>
        <w:tc>
          <w:tcPr>
            <w:tcW w:w="2403" w:type="dxa"/>
            <w:tcBorders>
              <w:top w:val="single" w:sz="4" w:space="0" w:color="000000"/>
              <w:left w:val="nil"/>
              <w:bottom w:val="single" w:sz="4" w:space="0" w:color="000000"/>
              <w:right w:val="single" w:sz="4" w:space="0" w:color="000000"/>
            </w:tcBorders>
            <w:shd w:val="clear" w:color="auto" w:fill="C6D9F1"/>
          </w:tcPr>
          <w:p w:rsidR="00042BE4" w:rsidRDefault="000E4256">
            <w:pPr>
              <w:spacing w:after="0" w:line="276"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-6</w:t>
            </w:r>
          </w:p>
        </w:tc>
        <w:tc>
          <w:tcPr>
            <w:tcW w:w="2674" w:type="dxa"/>
            <w:tcBorders>
              <w:top w:val="single" w:sz="4" w:space="0" w:color="000000"/>
              <w:left w:val="nil"/>
              <w:bottom w:val="single" w:sz="4" w:space="0" w:color="000000"/>
              <w:right w:val="single" w:sz="4" w:space="0" w:color="000000"/>
            </w:tcBorders>
            <w:shd w:val="clear" w:color="auto" w:fill="C6D9F1"/>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Excess Lifetime Cancer Risk (ELCR))×10</w:t>
            </w:r>
            <w:r>
              <w:rPr>
                <w:rFonts w:ascii="Times New Roman" w:eastAsia="Times New Roman" w:hAnsi="Times New Roman" w:cs="Times New Roman"/>
                <w:sz w:val="24"/>
                <w:szCs w:val="24"/>
                <w:vertAlign w:val="superscript"/>
              </w:rPr>
              <w:t>-6</w:t>
            </w:r>
          </w:p>
        </w:tc>
        <w:tc>
          <w:tcPr>
            <w:tcW w:w="2358" w:type="dxa"/>
            <w:tcBorders>
              <w:top w:val="single" w:sz="4" w:space="0" w:color="000000"/>
              <w:left w:val="nil"/>
              <w:bottom w:val="single" w:sz="4" w:space="0" w:color="000000"/>
              <w:right w:val="single" w:sz="4" w:space="0" w:color="000000"/>
            </w:tcBorders>
            <w:shd w:val="clear" w:color="auto" w:fill="C6D9F1"/>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Dose Rate of Body Organs (D</w:t>
            </w:r>
            <w:r>
              <w:rPr>
                <w:rFonts w:ascii="Times New Roman" w:eastAsia="Times New Roman" w:hAnsi="Times New Roman" w:cs="Times New Roman"/>
                <w:sz w:val="24"/>
                <w:szCs w:val="24"/>
                <w:vertAlign w:val="subscript"/>
              </w:rPr>
              <w:t>organ</w:t>
            </w: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-6</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42BE4">
            <w:pPr>
              <w:spacing w:after="0" w:line="276" w:lineRule="auto"/>
              <w:rPr>
                <w:rFonts w:ascii="Times New Roman" w:eastAsia="Times New Roman" w:hAnsi="Times New Roman" w:cs="Times New Roman"/>
                <w:sz w:val="24"/>
                <w:szCs w:val="24"/>
                <w:u w:val="single"/>
              </w:rPr>
            </w:pPr>
          </w:p>
        </w:tc>
        <w:tc>
          <w:tcPr>
            <w:tcW w:w="2403"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46341.3636</w:t>
            </w:r>
          </w:p>
        </w:tc>
        <w:tc>
          <w:tcPr>
            <w:tcW w:w="2674"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162194.773</w:t>
            </w:r>
          </w:p>
        </w:tc>
        <w:tc>
          <w:tcPr>
            <w:tcW w:w="2358"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31512.1272</w:t>
            </w:r>
          </w:p>
        </w:tc>
      </w:tr>
      <w:tr w:rsidR="00042BE4">
        <w:trPr>
          <w:trHeight w:val="290"/>
        </w:trPr>
        <w:tc>
          <w:tcPr>
            <w:tcW w:w="1522" w:type="dxa"/>
            <w:tcBorders>
              <w:top w:val="nil"/>
              <w:left w:val="single" w:sz="4" w:space="0" w:color="000000"/>
              <w:bottom w:val="single" w:sz="4" w:space="0" w:color="000000"/>
              <w:right w:val="single" w:sz="4" w:space="0" w:color="000000"/>
            </w:tcBorders>
            <w:shd w:val="clear" w:color="auto" w:fill="C6D9F1"/>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JMN-1</w:t>
            </w:r>
          </w:p>
        </w:tc>
        <w:tc>
          <w:tcPr>
            <w:tcW w:w="2403"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50467.9543</w:t>
            </w:r>
          </w:p>
        </w:tc>
        <w:tc>
          <w:tcPr>
            <w:tcW w:w="2674"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176637.84</w:t>
            </w:r>
          </w:p>
        </w:tc>
        <w:tc>
          <w:tcPr>
            <w:tcW w:w="2358"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34318.2089</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55110.001</w:t>
            </w:r>
          </w:p>
        </w:tc>
        <w:tc>
          <w:tcPr>
            <w:tcW w:w="2674"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192885.004</w:t>
            </w:r>
          </w:p>
        </w:tc>
        <w:tc>
          <w:tcPr>
            <w:tcW w:w="2358"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37474.8007</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100771.571</w:t>
            </w:r>
          </w:p>
        </w:tc>
        <w:tc>
          <w:tcPr>
            <w:tcW w:w="2674"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352700.4985</w:t>
            </w:r>
          </w:p>
        </w:tc>
        <w:tc>
          <w:tcPr>
            <w:tcW w:w="2358"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68524.6683</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JMN-2</w:t>
            </w:r>
          </w:p>
        </w:tc>
        <w:tc>
          <w:tcPr>
            <w:tcW w:w="2403"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104847.021</w:t>
            </w:r>
          </w:p>
        </w:tc>
        <w:tc>
          <w:tcPr>
            <w:tcW w:w="2674"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366964.574</w:t>
            </w:r>
          </w:p>
        </w:tc>
        <w:tc>
          <w:tcPr>
            <w:tcW w:w="2358"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71295.9743</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108973.612</w:t>
            </w:r>
          </w:p>
        </w:tc>
        <w:tc>
          <w:tcPr>
            <w:tcW w:w="2674"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381407.642</w:t>
            </w:r>
          </w:p>
        </w:tc>
        <w:tc>
          <w:tcPr>
            <w:tcW w:w="2358"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74102.0562</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55496.5622</w:t>
            </w:r>
          </w:p>
        </w:tc>
        <w:tc>
          <w:tcPr>
            <w:tcW w:w="2674"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194237.968</w:t>
            </w:r>
          </w:p>
        </w:tc>
        <w:tc>
          <w:tcPr>
            <w:tcW w:w="2358"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37737.6623</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JMN-3</w:t>
            </w:r>
          </w:p>
        </w:tc>
        <w:tc>
          <w:tcPr>
            <w:tcW w:w="2403"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59695.020</w:t>
            </w:r>
          </w:p>
        </w:tc>
        <w:tc>
          <w:tcPr>
            <w:tcW w:w="2674"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208932.57</w:t>
            </w:r>
          </w:p>
        </w:tc>
        <w:tc>
          <w:tcPr>
            <w:tcW w:w="2358"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40592.6136</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63770.4698</w:t>
            </w:r>
          </w:p>
        </w:tc>
        <w:tc>
          <w:tcPr>
            <w:tcW w:w="2674"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223196.644</w:t>
            </w:r>
          </w:p>
        </w:tc>
        <w:tc>
          <w:tcPr>
            <w:tcW w:w="2358"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43363.9195</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78176.7454</w:t>
            </w:r>
          </w:p>
        </w:tc>
        <w:tc>
          <w:tcPr>
            <w:tcW w:w="2674"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commentRangeStart w:id="26"/>
            <w:r>
              <w:rPr>
                <w:rFonts w:ascii="Times New Roman" w:eastAsia="Times New Roman" w:hAnsi="Times New Roman" w:cs="Times New Roman"/>
                <w:sz w:val="24"/>
                <w:szCs w:val="24"/>
              </w:rPr>
              <w:t>273618.609</w:t>
            </w:r>
            <w:commentRangeEnd w:id="26"/>
            <w:r w:rsidR="003230F4">
              <w:rPr>
                <w:rStyle w:val="CommentReference"/>
              </w:rPr>
              <w:commentReference w:id="26"/>
            </w:r>
          </w:p>
        </w:tc>
        <w:tc>
          <w:tcPr>
            <w:tcW w:w="2358" w:type="dxa"/>
            <w:tcBorders>
              <w:top w:val="single" w:sz="4" w:space="0" w:color="000000"/>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53160.1869</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JMN-4</w:t>
            </w:r>
          </w:p>
        </w:tc>
        <w:tc>
          <w:tcPr>
            <w:tcW w:w="2403"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81634.4575</w:t>
            </w:r>
          </w:p>
        </w:tc>
        <w:tc>
          <w:tcPr>
            <w:tcW w:w="2674"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285720.601</w:t>
            </w:r>
          </w:p>
        </w:tc>
        <w:tc>
          <w:tcPr>
            <w:tcW w:w="2358" w:type="dxa"/>
            <w:tcBorders>
              <w:top w:val="single" w:sz="4" w:space="0" w:color="BEBEBE"/>
              <w:left w:val="nil"/>
              <w:bottom w:val="single" w:sz="4" w:space="0" w:color="BEBEBE"/>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55511.4311</w:t>
            </w:r>
          </w:p>
        </w:tc>
      </w:tr>
      <w:tr w:rsidR="00042BE4">
        <w:trPr>
          <w:trHeight w:val="290"/>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42BE4">
            <w:pPr>
              <w:spacing w:after="0" w:line="276" w:lineRule="auto"/>
              <w:rPr>
                <w:rFonts w:ascii="Times New Roman" w:eastAsia="Times New Roman" w:hAnsi="Times New Roman" w:cs="Times New Roman"/>
                <w:sz w:val="24"/>
                <w:szCs w:val="24"/>
              </w:rPr>
            </w:pPr>
          </w:p>
        </w:tc>
        <w:tc>
          <w:tcPr>
            <w:tcW w:w="2403"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87068.3906</w:t>
            </w:r>
          </w:p>
        </w:tc>
        <w:tc>
          <w:tcPr>
            <w:tcW w:w="2674"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304739.367</w:t>
            </w:r>
          </w:p>
        </w:tc>
        <w:tc>
          <w:tcPr>
            <w:tcW w:w="2358" w:type="dxa"/>
            <w:tcBorders>
              <w:top w:val="single" w:sz="4" w:space="0" w:color="BEBEBE"/>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59206.5091</w:t>
            </w:r>
          </w:p>
        </w:tc>
      </w:tr>
      <w:tr w:rsidR="00042BE4">
        <w:trPr>
          <w:trHeight w:val="638"/>
        </w:trPr>
        <w:tc>
          <w:tcPr>
            <w:tcW w:w="1522" w:type="dxa"/>
            <w:tcBorders>
              <w:top w:val="single" w:sz="4" w:space="0" w:color="000000"/>
              <w:left w:val="single" w:sz="4" w:space="0" w:color="000000"/>
              <w:bottom w:val="single" w:sz="4" w:space="0" w:color="000000"/>
              <w:right w:val="single" w:sz="4" w:space="0" w:color="000000"/>
            </w:tcBorders>
            <w:shd w:val="clear" w:color="auto" w:fill="C6D9F1"/>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403" w:type="dxa"/>
            <w:tcBorders>
              <w:top w:val="single" w:sz="4" w:space="0" w:color="000000"/>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74362.764</w:t>
            </w:r>
          </w:p>
        </w:tc>
        <w:tc>
          <w:tcPr>
            <w:tcW w:w="2674" w:type="dxa"/>
            <w:tcBorders>
              <w:top w:val="single" w:sz="4" w:space="0" w:color="000000"/>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260269.674</w:t>
            </w:r>
          </w:p>
        </w:tc>
        <w:tc>
          <w:tcPr>
            <w:tcW w:w="2358" w:type="dxa"/>
            <w:tcBorders>
              <w:top w:val="single" w:sz="4" w:space="0" w:color="000000"/>
              <w:left w:val="nil"/>
              <w:bottom w:val="single" w:sz="4" w:space="0" w:color="000000"/>
              <w:right w:val="single" w:sz="4" w:space="0" w:color="000000"/>
            </w:tcBorders>
            <w:shd w:val="clear" w:color="auto" w:fill="C6D9F1"/>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50566.67984</w:t>
            </w:r>
          </w:p>
        </w:tc>
      </w:tr>
    </w:tbl>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4 AED, ELCR, D</w:t>
      </w:r>
      <w:r>
        <w:rPr>
          <w:rFonts w:ascii="Times New Roman" w:eastAsia="Times New Roman" w:hAnsi="Times New Roman" w:cs="Times New Roman"/>
          <w:sz w:val="24"/>
          <w:szCs w:val="24"/>
          <w:vertAlign w:val="subscript"/>
        </w:rPr>
        <w:t>organ</w:t>
      </w:r>
      <w:r>
        <w:rPr>
          <w:rFonts w:ascii="Times New Roman" w:eastAsia="Times New Roman" w:hAnsi="Times New Roman" w:cs="Times New Roman"/>
          <w:sz w:val="24"/>
          <w:szCs w:val="24"/>
        </w:rPr>
        <w:t xml:space="preserve">  calculated values of  Jal Mahal.</w:t>
      </w: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848350" cy="3048000"/>
            <wp:effectExtent l="0" t="0" r="0" b="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7"/>
                    <a:srcRect/>
                    <a:stretch>
                      <a:fillRect/>
                    </a:stretch>
                  </pic:blipFill>
                  <pic:spPr>
                    <a:xfrm>
                      <a:off x="0" y="0"/>
                      <a:ext cx="5848350" cy="3048000"/>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8: Graphical Representation of  JalMahal Annual Effective Dose (AED) with Excess Life Time Cancer Risk  (ELCR).</w:t>
      </w:r>
    </w:p>
    <w:p w:rsidR="00042BE4" w:rsidRDefault="00042BE4">
      <w:pP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5981700" cy="3067050"/>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5981700" cy="3067050"/>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9: Graphical Representation of  Jal Mahal Annual Effective Dose (AED) with Dose rate of Body Organ (Dorg).</w:t>
      </w:r>
    </w:p>
    <w:p w:rsidR="00042BE4" w:rsidRDefault="00042BE4">
      <w:pPr>
        <w:rPr>
          <w:rFonts w:ascii="Times New Roman" w:eastAsia="Times New Roman" w:hAnsi="Times New Roman" w:cs="Times New Roman"/>
          <w:sz w:val="24"/>
          <w:szCs w:val="24"/>
        </w:rPr>
      </w:pPr>
    </w:p>
    <w:tbl>
      <w:tblPr>
        <w:tblStyle w:val="a3"/>
        <w:tblW w:w="8073" w:type="dxa"/>
        <w:tblInd w:w="-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051"/>
        <w:gridCol w:w="2162"/>
        <w:gridCol w:w="1890"/>
        <w:gridCol w:w="2970"/>
      </w:tblGrid>
      <w:tr w:rsidR="00042BE4">
        <w:trPr>
          <w:trHeight w:val="914"/>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Sample</w:t>
            </w:r>
          </w:p>
        </w:tc>
        <w:tc>
          <w:tcPr>
            <w:tcW w:w="2162" w:type="dxa"/>
            <w:tcBorders>
              <w:top w:val="single" w:sz="4" w:space="0" w:color="000000"/>
              <w:left w:val="nil"/>
              <w:bottom w:val="single" w:sz="4" w:space="0" w:color="000000"/>
              <w:right w:val="single" w:sz="4" w:space="0" w:color="000000"/>
            </w:tcBorders>
            <w:shd w:val="clear" w:color="auto" w:fill="FBD5B5"/>
          </w:tcPr>
          <w:p w:rsidR="00042BE4" w:rsidRDefault="000E4256">
            <w:pPr>
              <w:spacing w:after="0" w:line="276"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Annual Effective Dose (AED)×10</w:t>
            </w:r>
            <w:r>
              <w:rPr>
                <w:rFonts w:ascii="Times New Roman" w:eastAsia="Times New Roman" w:hAnsi="Times New Roman" w:cs="Times New Roman"/>
                <w:sz w:val="24"/>
                <w:szCs w:val="24"/>
                <w:vertAlign w:val="superscript"/>
              </w:rPr>
              <w:t>-6</w:t>
            </w:r>
          </w:p>
        </w:tc>
        <w:tc>
          <w:tcPr>
            <w:tcW w:w="1890" w:type="dxa"/>
            <w:tcBorders>
              <w:top w:val="single" w:sz="4" w:space="0" w:color="000000"/>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Excess Lifetime Cancer Risk (ELCR)×10</w:t>
            </w:r>
            <w:r>
              <w:rPr>
                <w:rFonts w:ascii="Times New Roman" w:eastAsia="Times New Roman" w:hAnsi="Times New Roman" w:cs="Times New Roman"/>
                <w:sz w:val="24"/>
                <w:szCs w:val="24"/>
                <w:vertAlign w:val="superscript"/>
              </w:rPr>
              <w:t>-6</w:t>
            </w:r>
          </w:p>
        </w:tc>
        <w:tc>
          <w:tcPr>
            <w:tcW w:w="2970" w:type="dxa"/>
            <w:tcBorders>
              <w:top w:val="single" w:sz="4" w:space="0" w:color="000000"/>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Dose Rate of Body Organs (D</w:t>
            </w:r>
            <w:r>
              <w:rPr>
                <w:rFonts w:ascii="Times New Roman" w:eastAsia="Times New Roman" w:hAnsi="Times New Roman" w:cs="Times New Roman"/>
                <w:sz w:val="24"/>
                <w:szCs w:val="24"/>
                <w:vertAlign w:val="subscript"/>
              </w:rPr>
              <w:t>organ</w:t>
            </w:r>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-6</w:t>
            </w:r>
          </w:p>
        </w:tc>
      </w:tr>
      <w:tr w:rsidR="00042BE4">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000000"/>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65950.3958</w:t>
            </w:r>
          </w:p>
        </w:tc>
        <w:tc>
          <w:tcPr>
            <w:tcW w:w="1890" w:type="dxa"/>
            <w:tcBorders>
              <w:top w:val="single" w:sz="4" w:space="0" w:color="000000"/>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230826.385</w:t>
            </w:r>
          </w:p>
        </w:tc>
        <w:tc>
          <w:tcPr>
            <w:tcW w:w="2970" w:type="dxa"/>
            <w:tcBorders>
              <w:top w:val="single" w:sz="4" w:space="0" w:color="000000"/>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44846.2691</w:t>
            </w:r>
          </w:p>
        </w:tc>
      </w:tr>
      <w:tr w:rsidR="00042BE4">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CGN-5</w:t>
            </w:r>
          </w:p>
        </w:tc>
        <w:tc>
          <w:tcPr>
            <w:tcW w:w="2162" w:type="dxa"/>
            <w:tcBorders>
              <w:top w:val="single" w:sz="4" w:space="0" w:color="BEBEBE"/>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69285.1001</w:t>
            </w:r>
          </w:p>
        </w:tc>
        <w:tc>
          <w:tcPr>
            <w:tcW w:w="1890" w:type="dxa"/>
            <w:tcBorders>
              <w:top w:val="single" w:sz="4" w:space="0" w:color="BEBEBE"/>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242497.85</w:t>
            </w:r>
          </w:p>
        </w:tc>
        <w:tc>
          <w:tcPr>
            <w:tcW w:w="2970" w:type="dxa"/>
            <w:tcBorders>
              <w:top w:val="single" w:sz="4" w:space="0" w:color="BEBEBE"/>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47113.8681</w:t>
            </w:r>
          </w:p>
        </w:tc>
      </w:tr>
      <w:tr w:rsidR="00042BE4">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BEBEBE"/>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73411.6908</w:t>
            </w:r>
          </w:p>
        </w:tc>
        <w:tc>
          <w:tcPr>
            <w:tcW w:w="1890" w:type="dxa"/>
            <w:tcBorders>
              <w:top w:val="single" w:sz="4" w:space="0" w:color="BEBEBE"/>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256940.918</w:t>
            </w:r>
          </w:p>
        </w:tc>
        <w:tc>
          <w:tcPr>
            <w:tcW w:w="2970" w:type="dxa"/>
            <w:tcBorders>
              <w:top w:val="single" w:sz="4" w:space="0" w:color="BEBEBE"/>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49919.9497</w:t>
            </w:r>
          </w:p>
        </w:tc>
      </w:tr>
      <w:tr w:rsidR="00042BE4">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000000"/>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102232.336</w:t>
            </w:r>
          </w:p>
        </w:tc>
        <w:tc>
          <w:tcPr>
            <w:tcW w:w="1890" w:type="dxa"/>
            <w:tcBorders>
              <w:top w:val="single" w:sz="4" w:space="0" w:color="000000"/>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357813.176</w:t>
            </w:r>
          </w:p>
        </w:tc>
        <w:tc>
          <w:tcPr>
            <w:tcW w:w="2970" w:type="dxa"/>
            <w:tcBorders>
              <w:top w:val="single" w:sz="4" w:space="0" w:color="000000"/>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69517.9885</w:t>
            </w:r>
          </w:p>
        </w:tc>
      </w:tr>
      <w:tr w:rsidR="00042BE4">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CGN-6</w:t>
            </w:r>
          </w:p>
        </w:tc>
        <w:tc>
          <w:tcPr>
            <w:tcW w:w="2162" w:type="dxa"/>
            <w:tcBorders>
              <w:top w:val="single" w:sz="4" w:space="0" w:color="BEBEBE"/>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106823.242</w:t>
            </w:r>
          </w:p>
        </w:tc>
        <w:tc>
          <w:tcPr>
            <w:tcW w:w="1890" w:type="dxa"/>
            <w:tcBorders>
              <w:top w:val="single" w:sz="4" w:space="0" w:color="BEBEBE"/>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373881.347</w:t>
            </w:r>
          </w:p>
        </w:tc>
        <w:tc>
          <w:tcPr>
            <w:tcW w:w="2970" w:type="dxa"/>
            <w:tcBorders>
              <w:top w:val="single" w:sz="4" w:space="0" w:color="BEBEBE"/>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72639.8046</w:t>
            </w:r>
          </w:p>
        </w:tc>
      </w:tr>
      <w:tr w:rsidR="00042BE4">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BEBEBE"/>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110898.692</w:t>
            </w:r>
          </w:p>
        </w:tc>
        <w:tc>
          <w:tcPr>
            <w:tcW w:w="1890" w:type="dxa"/>
            <w:tcBorders>
              <w:top w:val="single" w:sz="4" w:space="0" w:color="BEBEBE"/>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388145.422</w:t>
            </w:r>
          </w:p>
        </w:tc>
        <w:tc>
          <w:tcPr>
            <w:tcW w:w="2970" w:type="dxa"/>
            <w:tcBorders>
              <w:top w:val="single" w:sz="4" w:space="0" w:color="BEBEBE"/>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75411.1106</w:t>
            </w:r>
          </w:p>
        </w:tc>
      </w:tr>
      <w:tr w:rsidR="00042BE4">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000000"/>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75722.351</w:t>
            </w:r>
          </w:p>
        </w:tc>
        <w:tc>
          <w:tcPr>
            <w:tcW w:w="1890" w:type="dxa"/>
            <w:tcBorders>
              <w:top w:val="single" w:sz="4" w:space="0" w:color="000000"/>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265028.229</w:t>
            </w:r>
          </w:p>
        </w:tc>
        <w:tc>
          <w:tcPr>
            <w:tcW w:w="2970" w:type="dxa"/>
            <w:tcBorders>
              <w:top w:val="single" w:sz="4" w:space="0" w:color="000000"/>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51491.1987</w:t>
            </w:r>
          </w:p>
        </w:tc>
      </w:tr>
      <w:tr w:rsidR="00042BE4">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CGN-7</w:t>
            </w:r>
          </w:p>
        </w:tc>
        <w:tc>
          <w:tcPr>
            <w:tcW w:w="2162" w:type="dxa"/>
            <w:tcBorders>
              <w:top w:val="single" w:sz="4" w:space="0" w:color="BEBEBE"/>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79746.66</w:t>
            </w:r>
          </w:p>
        </w:tc>
        <w:tc>
          <w:tcPr>
            <w:tcW w:w="1890" w:type="dxa"/>
            <w:tcBorders>
              <w:top w:val="single" w:sz="4" w:space="0" w:color="BEBEBE"/>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279113.31</w:t>
            </w:r>
          </w:p>
        </w:tc>
        <w:tc>
          <w:tcPr>
            <w:tcW w:w="2970" w:type="dxa"/>
            <w:tcBorders>
              <w:top w:val="single" w:sz="4" w:space="0" w:color="BEBEBE"/>
              <w:left w:val="nil"/>
              <w:bottom w:val="single" w:sz="4" w:space="0" w:color="BEBEBE"/>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54227.7288</w:t>
            </w:r>
          </w:p>
        </w:tc>
      </w:tr>
      <w:tr w:rsidR="00042BE4">
        <w:trPr>
          <w:trHeight w:val="389"/>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42BE4">
            <w:pPr>
              <w:spacing w:after="0" w:line="276" w:lineRule="auto"/>
              <w:rPr>
                <w:rFonts w:ascii="Times New Roman" w:eastAsia="Times New Roman" w:hAnsi="Times New Roman" w:cs="Times New Roman"/>
                <w:sz w:val="24"/>
                <w:szCs w:val="24"/>
              </w:rPr>
            </w:pPr>
          </w:p>
        </w:tc>
        <w:tc>
          <w:tcPr>
            <w:tcW w:w="2162" w:type="dxa"/>
            <w:tcBorders>
              <w:top w:val="single" w:sz="4" w:space="0" w:color="BEBEBE"/>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83822.1098</w:t>
            </w:r>
          </w:p>
        </w:tc>
        <w:tc>
          <w:tcPr>
            <w:tcW w:w="1890" w:type="dxa"/>
            <w:tcBorders>
              <w:top w:val="single" w:sz="4" w:space="0" w:color="BEBEBE"/>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293377.384</w:t>
            </w:r>
          </w:p>
        </w:tc>
        <w:tc>
          <w:tcPr>
            <w:tcW w:w="2970" w:type="dxa"/>
            <w:tcBorders>
              <w:top w:val="single" w:sz="4" w:space="0" w:color="BEBEBE"/>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56999.0347</w:t>
            </w:r>
          </w:p>
        </w:tc>
      </w:tr>
      <w:tr w:rsidR="00042BE4">
        <w:trPr>
          <w:trHeight w:val="580"/>
        </w:trPr>
        <w:tc>
          <w:tcPr>
            <w:tcW w:w="1051" w:type="dxa"/>
            <w:tcBorders>
              <w:top w:val="single" w:sz="4" w:space="0" w:color="000000"/>
              <w:left w:val="single" w:sz="4" w:space="0" w:color="000000"/>
              <w:bottom w:val="single" w:sz="4" w:space="0" w:color="000000"/>
              <w:right w:val="single" w:sz="4" w:space="0" w:color="000000"/>
            </w:tcBorders>
            <w:shd w:val="clear" w:color="auto" w:fill="FBD5B5"/>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162" w:type="dxa"/>
            <w:tcBorders>
              <w:top w:val="single" w:sz="4" w:space="0" w:color="000000"/>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85321.3975</w:t>
            </w:r>
          </w:p>
        </w:tc>
        <w:tc>
          <w:tcPr>
            <w:tcW w:w="1890" w:type="dxa"/>
            <w:tcBorders>
              <w:top w:val="single" w:sz="4" w:space="0" w:color="000000"/>
              <w:left w:val="nil"/>
              <w:bottom w:val="single" w:sz="4" w:space="0" w:color="000000"/>
              <w:right w:val="single" w:sz="4" w:space="0" w:color="000000"/>
            </w:tcBorders>
            <w:shd w:val="clear" w:color="auto" w:fill="FBD5B5"/>
          </w:tcPr>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298624.891</w:t>
            </w:r>
          </w:p>
        </w:tc>
        <w:tc>
          <w:tcPr>
            <w:tcW w:w="2970" w:type="dxa"/>
            <w:tcBorders>
              <w:top w:val="single" w:sz="4" w:space="0" w:color="000000"/>
              <w:left w:val="nil"/>
              <w:bottom w:val="single" w:sz="4" w:space="0" w:color="000000"/>
              <w:right w:val="single" w:sz="4" w:space="0" w:color="000000"/>
            </w:tcBorders>
            <w:shd w:val="clear" w:color="auto" w:fill="FBD5B5"/>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58018.5503</w:t>
            </w:r>
          </w:p>
        </w:tc>
      </w:tr>
    </w:tbl>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:5 AED, ELCR ,D</w:t>
      </w:r>
      <w:r>
        <w:rPr>
          <w:rFonts w:ascii="Times New Roman" w:eastAsia="Times New Roman" w:hAnsi="Times New Roman" w:cs="Times New Roman"/>
          <w:sz w:val="24"/>
          <w:szCs w:val="24"/>
          <w:vertAlign w:val="subscript"/>
        </w:rPr>
        <w:t>organ</w:t>
      </w:r>
      <w:r>
        <w:rPr>
          <w:rFonts w:ascii="Times New Roman" w:eastAsia="Times New Roman" w:hAnsi="Times New Roman" w:cs="Times New Roman"/>
          <w:sz w:val="24"/>
          <w:szCs w:val="24"/>
        </w:rPr>
        <w:t>calculated values of ChorGhumbad.</w:t>
      </w:r>
    </w:p>
    <w:p w:rsidR="00042BE4" w:rsidRDefault="00042BE4">
      <w:pPr>
        <w:jc w:val="cente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5734050" cy="2962275"/>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5734050" cy="2962275"/>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10: Graphical Representation of  ChorGhumbad Annual Effective Dose (AED) with Excess Life Time Cancer Risk (ELCR).</w:t>
      </w:r>
    </w:p>
    <w:p w:rsidR="00042BE4" w:rsidRDefault="00042BE4">
      <w:pPr>
        <w:jc w:val="cente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981700" cy="2838450"/>
            <wp:effectExtent l="0" t="0" r="0" b="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5981700" cy="2838450"/>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11: Graphical Representation of  ChorGhumbad Annual Effective Dose (AED) with Dose Rate of Body Organ (Dorg.)</w:t>
      </w:r>
    </w:p>
    <w:p w:rsidR="00042BE4" w:rsidRDefault="00042BE4">
      <w:pPr>
        <w:jc w:val="center"/>
        <w:rPr>
          <w:rFonts w:ascii="Times New Roman" w:eastAsia="Times New Roman" w:hAnsi="Times New Roman" w:cs="Times New Roman"/>
          <w:sz w:val="24"/>
          <w:szCs w:val="24"/>
        </w:rPr>
      </w:pP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Activity Utilization index (AUI) </w:t>
      </w:r>
      <w:r>
        <w:rPr>
          <w:rFonts w:ascii="Times New Roman" w:eastAsia="Times New Roman" w:hAnsi="Times New Roman" w:cs="Times New Roman"/>
          <w:color w:val="222222"/>
          <w:sz w:val="24"/>
          <w:szCs w:val="24"/>
          <w:highlight w:val="white"/>
        </w:rPr>
        <w:t xml:space="preserve">estimation of total dose rates in air from naturally occurring radionuclides in building materials, calculated from activity concentration </w:t>
      </w:r>
      <w:r>
        <w:rPr>
          <w:rFonts w:ascii="Times New Roman" w:eastAsia="Times New Roman" w:hAnsi="Times New Roman" w:cs="Times New Roman"/>
          <w:color w:val="222222"/>
          <w:sz w:val="24"/>
          <w:szCs w:val="24"/>
          <w:highlight w:val="white"/>
        </w:rPr>
        <w:lastRenderedPageBreak/>
        <w:t>measurements of the material</w:t>
      </w:r>
      <w:r>
        <w:rPr>
          <w:rFonts w:ascii="Times New Roman" w:eastAsia="Times New Roman" w:hAnsi="Times New Roman" w:cs="Times New Roman"/>
          <w:sz w:val="24"/>
          <w:szCs w:val="24"/>
        </w:rPr>
        <w:t xml:space="preserve"> Activity Utilization index (AUI) was estimated by using the formula</w:t>
      </w:r>
    </w:p>
    <w:p w:rsidR="00042BE4" w:rsidRDefault="000E4256">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AUI=</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ARa</m:t>
              </m:r>
            </m:num>
            <m:den>
              <m:r>
                <w:rPr>
                  <w:rFonts w:ascii="Cambria Math" w:eastAsia="Cambria Math" w:hAnsi="Cambria Math" w:cs="Cambria Math"/>
                  <w:sz w:val="24"/>
                  <w:szCs w:val="24"/>
                </w:rPr>
                <m:t>50 Bq/kg</m:t>
              </m:r>
            </m:den>
          </m:f>
          <m:r>
            <w:rPr>
              <w:rFonts w:ascii="Cambria Math" w:eastAsia="Cambria Math" w:hAnsi="Cambria Math" w:cs="Cambria Math"/>
              <w:sz w:val="24"/>
              <w:szCs w:val="24"/>
            </w:rPr>
            <m:t>×0.0809+</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ATh</m:t>
              </m:r>
            </m:num>
            <m:den>
              <m:r>
                <w:rPr>
                  <w:rFonts w:ascii="Cambria Math" w:eastAsia="Cambria Math" w:hAnsi="Cambria Math" w:cs="Cambria Math"/>
                  <w:sz w:val="24"/>
                  <w:szCs w:val="24"/>
                </w:rPr>
                <m:t>50 Bq/kg</m:t>
              </m:r>
            </m:den>
          </m:f>
          <m:r>
            <w:rPr>
              <w:rFonts w:ascii="Cambria Math" w:eastAsia="Cambria Math" w:hAnsi="Cambria Math" w:cs="Cambria Math"/>
              <w:sz w:val="24"/>
              <w:szCs w:val="24"/>
            </w:rPr>
            <m:t>×0.4798+</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AK</m:t>
              </m:r>
            </m:num>
            <m:den>
              <m:r>
                <w:rPr>
                  <w:rFonts w:ascii="Cambria Math" w:eastAsia="Cambria Math" w:hAnsi="Cambria Math" w:cs="Cambria Math"/>
                  <w:sz w:val="24"/>
                  <w:szCs w:val="24"/>
                </w:rPr>
                <m:t>500 Bq/kg</m:t>
              </m:r>
            </m:den>
          </m:f>
          <m:r>
            <w:rPr>
              <w:rFonts w:ascii="Cambria Math" w:eastAsia="Cambria Math" w:hAnsi="Cambria Math" w:cs="Cambria Math"/>
              <w:sz w:val="24"/>
              <w:szCs w:val="24"/>
            </w:rPr>
            <m:t>×0.4392</m:t>
          </m:r>
        </m:oMath>
      </m:oMathPara>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where the values 0.0809, 0.4798, and 0.4392 represent fractional percentages of the total dose from </w:t>
      </w:r>
      <w:r>
        <w:rPr>
          <w:rFonts w:ascii="Times New Roman" w:eastAsia="Times New Roman" w:hAnsi="Times New Roman" w:cs="Times New Roman"/>
          <w:color w:val="222222"/>
          <w:sz w:val="24"/>
          <w:szCs w:val="24"/>
          <w:highlight w:val="white"/>
          <w:vertAlign w:val="superscript"/>
        </w:rPr>
        <w:t>226</w:t>
      </w:r>
      <w:r>
        <w:rPr>
          <w:rFonts w:ascii="Times New Roman" w:eastAsia="Times New Roman" w:hAnsi="Times New Roman" w:cs="Times New Roman"/>
          <w:color w:val="222222"/>
          <w:sz w:val="24"/>
          <w:szCs w:val="24"/>
          <w:highlight w:val="white"/>
        </w:rPr>
        <w:t>Ra, </w:t>
      </w:r>
      <w:r>
        <w:rPr>
          <w:rFonts w:ascii="Times New Roman" w:eastAsia="Times New Roman" w:hAnsi="Times New Roman" w:cs="Times New Roman"/>
          <w:color w:val="222222"/>
          <w:sz w:val="24"/>
          <w:szCs w:val="24"/>
          <w:highlight w:val="white"/>
          <w:vertAlign w:val="superscript"/>
        </w:rPr>
        <w:t>232</w:t>
      </w:r>
      <w:r>
        <w:rPr>
          <w:rFonts w:ascii="Times New Roman" w:eastAsia="Times New Roman" w:hAnsi="Times New Roman" w:cs="Times New Roman"/>
          <w:color w:val="222222"/>
          <w:sz w:val="24"/>
          <w:szCs w:val="24"/>
          <w:highlight w:val="white"/>
        </w:rPr>
        <w:t>Th, and </w:t>
      </w:r>
      <w:r>
        <w:rPr>
          <w:rFonts w:ascii="Times New Roman" w:eastAsia="Times New Roman" w:hAnsi="Times New Roman" w:cs="Times New Roman"/>
          <w:color w:val="222222"/>
          <w:sz w:val="24"/>
          <w:szCs w:val="24"/>
          <w:highlight w:val="white"/>
          <w:vertAlign w:val="superscript"/>
        </w:rPr>
        <w:t>40</w:t>
      </w:r>
      <w:r>
        <w:rPr>
          <w:rFonts w:ascii="Times New Roman" w:eastAsia="Times New Roman" w:hAnsi="Times New Roman" w:cs="Times New Roman"/>
          <w:color w:val="222222"/>
          <w:sz w:val="24"/>
          <w:szCs w:val="24"/>
          <w:highlight w:val="white"/>
        </w:rPr>
        <w:t>K (</w:t>
      </w:r>
      <w:r>
        <w:rPr>
          <w:rFonts w:ascii="Times New Roman" w:eastAsia="Times New Roman" w:hAnsi="Times New Roman" w:cs="Times New Roman"/>
          <w:i/>
          <w:color w:val="222222"/>
          <w:sz w:val="24"/>
          <w:szCs w:val="24"/>
          <w:highlight w:val="white"/>
        </w:rPr>
        <w:t>f</w:t>
      </w:r>
      <w:r>
        <w:rPr>
          <w:rFonts w:ascii="Times New Roman" w:eastAsia="Times New Roman" w:hAnsi="Times New Roman" w:cs="Times New Roman"/>
          <w:i/>
          <w:color w:val="222222"/>
          <w:sz w:val="24"/>
          <w:szCs w:val="24"/>
          <w:highlight w:val="white"/>
          <w:vertAlign w:val="subscript"/>
        </w:rPr>
        <w:t>Ra</w:t>
      </w:r>
      <w:r>
        <w:rPr>
          <w:rFonts w:ascii="Times New Roman" w:eastAsia="Times New Roman" w:hAnsi="Times New Roman" w:cs="Times New Roman"/>
          <w:color w:val="222222"/>
          <w:sz w:val="24"/>
          <w:szCs w:val="24"/>
          <w:highlight w:val="white"/>
        </w:rPr>
        <w:t> = 8.09%, </w:t>
      </w:r>
      <w:r>
        <w:rPr>
          <w:rFonts w:ascii="Times New Roman" w:eastAsia="Times New Roman" w:hAnsi="Times New Roman" w:cs="Times New Roman"/>
          <w:i/>
          <w:color w:val="222222"/>
          <w:sz w:val="24"/>
          <w:szCs w:val="24"/>
          <w:highlight w:val="white"/>
        </w:rPr>
        <w:t>f</w:t>
      </w:r>
      <w:r>
        <w:rPr>
          <w:rFonts w:ascii="Times New Roman" w:eastAsia="Times New Roman" w:hAnsi="Times New Roman" w:cs="Times New Roman"/>
          <w:i/>
          <w:color w:val="222222"/>
          <w:sz w:val="24"/>
          <w:szCs w:val="24"/>
          <w:highlight w:val="white"/>
          <w:vertAlign w:val="subscript"/>
        </w:rPr>
        <w:t>Th</w:t>
      </w:r>
      <w:r>
        <w:rPr>
          <w:rFonts w:ascii="Times New Roman" w:eastAsia="Times New Roman" w:hAnsi="Times New Roman" w:cs="Times New Roman"/>
          <w:color w:val="222222"/>
          <w:sz w:val="24"/>
          <w:szCs w:val="24"/>
          <w:highlight w:val="white"/>
        </w:rPr>
        <w:t> = 47.98%, and </w:t>
      </w:r>
      <w:r>
        <w:rPr>
          <w:rFonts w:ascii="Times New Roman" w:eastAsia="Times New Roman" w:hAnsi="Times New Roman" w:cs="Times New Roman"/>
          <w:i/>
          <w:color w:val="222222"/>
          <w:sz w:val="24"/>
          <w:szCs w:val="24"/>
          <w:highlight w:val="white"/>
        </w:rPr>
        <w:t>f</w:t>
      </w:r>
      <w:r>
        <w:rPr>
          <w:rFonts w:ascii="Times New Roman" w:eastAsia="Times New Roman" w:hAnsi="Times New Roman" w:cs="Times New Roman"/>
          <w:i/>
          <w:color w:val="222222"/>
          <w:sz w:val="24"/>
          <w:szCs w:val="24"/>
          <w:highlight w:val="white"/>
          <w:vertAlign w:val="subscript"/>
        </w:rPr>
        <w:t>K</w:t>
      </w:r>
      <w:r>
        <w:rPr>
          <w:rFonts w:ascii="Times New Roman" w:eastAsia="Times New Roman" w:hAnsi="Times New Roman" w:cs="Times New Roman"/>
          <w:color w:val="222222"/>
          <w:sz w:val="24"/>
          <w:szCs w:val="24"/>
          <w:highlight w:val="white"/>
        </w:rPr>
        <w:t> = 43.92%)</w:t>
      </w:r>
    </w:p>
    <w:p w:rsidR="00042BE4" w:rsidRDefault="000E4256">
      <w:p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The gamma activity concentration Iγestimation of the gamma radiation hazard associated with the radionuclides inside of the building materials, calculated from activity concentration measurements of the material  has been defined by the European Commission according to Formula               </w:t>
      </w:r>
    </w:p>
    <w:p w:rsidR="00042BE4" w:rsidRDefault="000E4256">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Iγ=</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AK</m:t>
              </m:r>
            </m:num>
            <m:den>
              <m:r>
                <w:rPr>
                  <w:rFonts w:ascii="Cambria Math" w:eastAsia="Cambria Math" w:hAnsi="Cambria Math" w:cs="Cambria Math"/>
                  <w:sz w:val="24"/>
                  <w:szCs w:val="24"/>
                </w:rPr>
                <m:t>3000 Bq/kg</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ARa</m:t>
              </m:r>
            </m:num>
            <m:den>
              <m:r>
                <w:rPr>
                  <w:rFonts w:ascii="Cambria Math" w:eastAsia="Cambria Math" w:hAnsi="Cambria Math" w:cs="Cambria Math"/>
                  <w:sz w:val="24"/>
                  <w:szCs w:val="24"/>
                </w:rPr>
                <m:t>300 Bq/kg</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ATh</m:t>
              </m:r>
            </m:num>
            <m:den>
              <m:r>
                <w:rPr>
                  <w:rFonts w:ascii="Cambria Math" w:eastAsia="Cambria Math" w:hAnsi="Cambria Math" w:cs="Cambria Math"/>
                  <w:sz w:val="24"/>
                  <w:szCs w:val="24"/>
                </w:rPr>
                <m:t>200 Bq/kg</m:t>
              </m:r>
            </m:den>
          </m:f>
        </m:oMath>
      </m:oMathPara>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Gonadal dose equivalent (AGDE)  in µSv/y is evaluation for the potential effects of the specific activities of </w:t>
      </w:r>
      <w:r>
        <w:rPr>
          <w:rFonts w:ascii="Times New Roman" w:eastAsia="Times New Roman" w:hAnsi="Times New Roman" w:cs="Times New Roman"/>
          <w:sz w:val="24"/>
          <w:szCs w:val="24"/>
          <w:vertAlign w:val="superscript"/>
        </w:rPr>
        <w:t xml:space="preserve"> 226 </w:t>
      </w:r>
      <w:r>
        <w:rPr>
          <w:rFonts w:ascii="Times New Roman" w:eastAsia="Times New Roman" w:hAnsi="Times New Roman" w:cs="Times New Roman"/>
          <w:sz w:val="24"/>
          <w:szCs w:val="24"/>
        </w:rPr>
        <w:t>Ra,</w:t>
      </w:r>
      <w:r>
        <w:rPr>
          <w:rFonts w:ascii="Times New Roman" w:eastAsia="Times New Roman" w:hAnsi="Times New Roman" w:cs="Times New Roman"/>
          <w:sz w:val="24"/>
          <w:szCs w:val="24"/>
          <w:vertAlign w:val="superscript"/>
        </w:rPr>
        <w:t xml:space="preserve"> 232 </w:t>
      </w:r>
      <w:r>
        <w:rPr>
          <w:rFonts w:ascii="Times New Roman" w:eastAsia="Times New Roman" w:hAnsi="Times New Roman" w:cs="Times New Roman"/>
          <w:sz w:val="24"/>
          <w:szCs w:val="24"/>
        </w:rPr>
        <w:t xml:space="preserve">Th, and </w:t>
      </w:r>
      <w:r>
        <w:rPr>
          <w:rFonts w:ascii="Times New Roman" w:eastAsia="Times New Roman" w:hAnsi="Times New Roman" w:cs="Times New Roman"/>
          <w:sz w:val="24"/>
          <w:szCs w:val="24"/>
          <w:vertAlign w:val="superscript"/>
        </w:rPr>
        <w:t xml:space="preserve"> 40</w:t>
      </w:r>
      <w:r>
        <w:rPr>
          <w:rFonts w:ascii="Times New Roman" w:eastAsia="Times New Roman" w:hAnsi="Times New Roman" w:cs="Times New Roman"/>
          <w:sz w:val="24"/>
          <w:szCs w:val="24"/>
        </w:rPr>
        <w:t>K on certain important organs ,such as reproductive organs (gonads), bone marrow, and bone cells. A</w:t>
      </w:r>
      <w:r>
        <w:rPr>
          <w:rFonts w:ascii="Times New Roman" w:eastAsia="Times New Roman" w:hAnsi="Times New Roman" w:cs="Times New Roman"/>
          <w:sz w:val="24"/>
          <w:szCs w:val="24"/>
          <w:vertAlign w:val="subscript"/>
        </w:rPr>
        <w:t xml:space="preserve">k </w:t>
      </w:r>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40</w:t>
      </w:r>
      <w:r>
        <w:rPr>
          <w:rFonts w:ascii="Times New Roman" w:eastAsia="Times New Roman" w:hAnsi="Times New Roman" w:cs="Times New Roman"/>
          <w:sz w:val="24"/>
          <w:szCs w:val="24"/>
        </w:rPr>
        <w:t xml:space="preserve">K of the analyzed material, measured as the number of spontaneous nuclear transformations of the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K radionuclide per sec. The  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of the analyzed material, measured as the number of spontaneous nuclear transformations of the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radionuclide per sec. The   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is the activity of  </w:t>
      </w:r>
      <w:r>
        <w:rPr>
          <w:rFonts w:ascii="Times New Roman" w:eastAsia="Times New Roman" w:hAnsi="Times New Roman" w:cs="Times New Roman"/>
          <w:sz w:val="24"/>
          <w:szCs w:val="24"/>
          <w:vertAlign w:val="superscript"/>
        </w:rPr>
        <w:t xml:space="preserve"> 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of the analyzed material, measured as the number of spontaneous nuclear transformations of the </w:t>
      </w:r>
      <w:r>
        <w:rPr>
          <w:rFonts w:ascii="Times New Roman" w:eastAsia="Times New Roman" w:hAnsi="Times New Roman" w:cs="Times New Roman"/>
          <w:sz w:val="24"/>
          <w:szCs w:val="24"/>
          <w:vertAlign w:val="superscript"/>
        </w:rPr>
        <w:t>232</w:t>
      </w:r>
      <w:r>
        <w:rPr>
          <w:rFonts w:ascii="Times New Roman" w:eastAsia="Times New Roman" w:hAnsi="Times New Roman" w:cs="Times New Roman"/>
          <w:sz w:val="24"/>
          <w:szCs w:val="24"/>
        </w:rPr>
        <w:t>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radionuclide per sec.</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AGDE = 3.09 A</w:t>
      </w:r>
      <w:r>
        <w:rPr>
          <w:rFonts w:ascii="Times New Roman" w:eastAsia="Times New Roman" w:hAnsi="Times New Roman" w:cs="Times New Roman"/>
          <w:sz w:val="24"/>
          <w:szCs w:val="24"/>
          <w:vertAlign w:val="subscript"/>
        </w:rPr>
        <w:t>Ra</w:t>
      </w:r>
      <w:r>
        <w:rPr>
          <w:rFonts w:ascii="Times New Roman" w:eastAsia="Times New Roman" w:hAnsi="Times New Roman" w:cs="Times New Roman"/>
          <w:sz w:val="24"/>
          <w:szCs w:val="24"/>
        </w:rPr>
        <w:t xml:space="preserve"> + 4.18 A</w:t>
      </w:r>
      <w:r>
        <w:rPr>
          <w:rFonts w:ascii="Times New Roman" w:eastAsia="Times New Roman" w:hAnsi="Times New Roman" w:cs="Times New Roman"/>
          <w:sz w:val="24"/>
          <w:szCs w:val="24"/>
          <w:vertAlign w:val="subscript"/>
        </w:rPr>
        <w:t>Th</w:t>
      </w:r>
      <w:r>
        <w:rPr>
          <w:rFonts w:ascii="Times New Roman" w:eastAsia="Times New Roman" w:hAnsi="Times New Roman" w:cs="Times New Roman"/>
          <w:sz w:val="24"/>
          <w:szCs w:val="24"/>
        </w:rPr>
        <w:t xml:space="preserve"> + 0.314 A</w:t>
      </w:r>
      <w:r>
        <w:rPr>
          <w:rFonts w:ascii="Times New Roman" w:eastAsia="Times New Roman" w:hAnsi="Times New Roman" w:cs="Times New Roman"/>
          <w:sz w:val="24"/>
          <w:szCs w:val="24"/>
          <w:vertAlign w:val="subscript"/>
        </w:rPr>
        <w:t xml:space="preserve">k  </w:t>
      </w:r>
      <w:r>
        <w:rPr>
          <w:rFonts w:ascii="Times New Roman" w:eastAsia="Times New Roman" w:hAnsi="Times New Roman" w:cs="Times New Roman"/>
          <w:sz w:val="24"/>
          <w:szCs w:val="24"/>
        </w:rPr>
        <w:t xml:space="preserve">(µSv/y) </w:t>
      </w:r>
    </w:p>
    <w:p w:rsidR="00042BE4" w:rsidRDefault="00042BE4">
      <w:pPr>
        <w:jc w:val="both"/>
        <w:rPr>
          <w:rFonts w:ascii="Times New Roman" w:eastAsia="Times New Roman" w:hAnsi="Times New Roman" w:cs="Times New Roman"/>
          <w:sz w:val="24"/>
          <w:szCs w:val="24"/>
        </w:rPr>
      </w:pPr>
    </w:p>
    <w:tbl>
      <w:tblPr>
        <w:tblStyle w:val="a4"/>
        <w:tblW w:w="9513" w:type="dxa"/>
        <w:tblInd w:w="-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3"/>
        <w:gridCol w:w="1080"/>
        <w:gridCol w:w="1440"/>
        <w:gridCol w:w="1080"/>
        <w:gridCol w:w="1890"/>
        <w:gridCol w:w="1530"/>
        <w:gridCol w:w="1530"/>
      </w:tblGrid>
      <w:tr w:rsidR="00042BE4">
        <w:trPr>
          <w:trHeight w:val="1637"/>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Sample</w:t>
            </w:r>
          </w:p>
        </w:tc>
        <w:tc>
          <w:tcPr>
            <w:tcW w:w="1080" w:type="dxa"/>
            <w:tcBorders>
              <w:top w:val="single" w:sz="4" w:space="0" w:color="000000"/>
              <w:left w:val="nil"/>
              <w:bottom w:val="single" w:sz="4" w:space="0" w:color="000000"/>
              <w:right w:val="nil"/>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440" w:type="dxa"/>
            <w:tcBorders>
              <w:top w:val="single" w:sz="4" w:space="0" w:color="000000"/>
              <w:left w:val="nil"/>
              <w:bottom w:val="single" w:sz="4" w:space="0" w:color="000000"/>
              <w:right w:val="nil"/>
            </w:tcBorders>
            <w:shd w:val="clear" w:color="auto" w:fill="DBEEF3"/>
          </w:tcPr>
          <w:p w:rsidR="00042BE4" w:rsidRDefault="000E4256" w:rsidP="005C58F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Activity concentration (Bq</w:t>
            </w:r>
            <w:commentRangeStart w:id="27"/>
            <w:r>
              <w:rPr>
                <w:rFonts w:ascii="Times New Roman" w:eastAsia="Times New Roman" w:hAnsi="Times New Roman" w:cs="Times New Roman"/>
              </w:rPr>
              <w:t>/</w:t>
            </w:r>
            <w:r w:rsidR="005C58F9">
              <w:rPr>
                <w:rFonts w:ascii="Times New Roman" w:eastAsia="Times New Roman" w:hAnsi="Times New Roman" w:cs="Times New Roman"/>
              </w:rPr>
              <w:t>k</w:t>
            </w:r>
            <w:r>
              <w:rPr>
                <w:rFonts w:ascii="Times New Roman" w:eastAsia="Times New Roman" w:hAnsi="Times New Roman" w:cs="Times New Roman"/>
              </w:rPr>
              <w:t>g</w:t>
            </w:r>
            <w:commentRangeEnd w:id="27"/>
            <w:r w:rsidR="005C58F9">
              <w:rPr>
                <w:rStyle w:val="CommentReference"/>
              </w:rPr>
              <w:commentReference w:id="27"/>
            </w:r>
            <w:r>
              <w:rPr>
                <w:rFonts w:ascii="Times New Roman" w:eastAsia="Times New Roman" w:hAnsi="Times New Roman" w:cs="Times New Roman"/>
              </w:rPr>
              <w:t>)</w:t>
            </w:r>
          </w:p>
        </w:tc>
        <w:tc>
          <w:tcPr>
            <w:tcW w:w="1080" w:type="dxa"/>
            <w:tcBorders>
              <w:top w:val="single" w:sz="4" w:space="0" w:color="000000"/>
              <w:left w:val="nil"/>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89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Activity Utilization Index (AUI)</w:t>
            </w:r>
          </w:p>
        </w:tc>
        <w:tc>
          <w:tcPr>
            <w:tcW w:w="153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Gamma Index Factor (Iγ)</w:t>
            </w:r>
          </w:p>
        </w:tc>
        <w:tc>
          <w:tcPr>
            <w:tcW w:w="153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Annual Gonadal Dose Equivalent       (AGDE)</w:t>
            </w:r>
            <w:r>
              <w:rPr>
                <w:rFonts w:ascii="Times New Roman" w:eastAsia="Times New Roman" w:hAnsi="Times New Roman" w:cs="Times New Roman"/>
                <w:sz w:val="24"/>
                <w:szCs w:val="24"/>
              </w:rPr>
              <w:t xml:space="preserve"> µSv/y</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Ra</w:t>
            </w:r>
          </w:p>
        </w:tc>
        <w:tc>
          <w:tcPr>
            <w:tcW w:w="144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rPr>
              <w:t xml:space="preserve">        Th</w:t>
            </w:r>
          </w:p>
        </w:tc>
        <w:tc>
          <w:tcPr>
            <w:tcW w:w="108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K</w:t>
            </w:r>
          </w:p>
        </w:tc>
        <w:tc>
          <w:tcPr>
            <w:tcW w:w="1890" w:type="dxa"/>
            <w:tcBorders>
              <w:top w:val="single" w:sz="4" w:space="0" w:color="000000"/>
              <w:left w:val="nil"/>
              <w:bottom w:val="single" w:sz="4" w:space="0" w:color="000000"/>
              <w:right w:val="nil"/>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530" w:type="dxa"/>
            <w:tcBorders>
              <w:top w:val="single" w:sz="4" w:space="0" w:color="000000"/>
              <w:left w:val="nil"/>
              <w:bottom w:val="single" w:sz="4" w:space="0" w:color="000000"/>
              <w:right w:val="nil"/>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530" w:type="dxa"/>
            <w:tcBorders>
              <w:top w:val="single" w:sz="4" w:space="0" w:color="000000"/>
              <w:left w:val="nil"/>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u w:val="single"/>
              </w:rPr>
            </w:pPr>
          </w:p>
        </w:tc>
        <w:tc>
          <w:tcPr>
            <w:tcW w:w="108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25</w:t>
            </w:r>
          </w:p>
        </w:tc>
        <w:tc>
          <w:tcPr>
            <w:tcW w:w="144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21</w:t>
            </w:r>
          </w:p>
        </w:tc>
        <w:tc>
          <w:tcPr>
            <w:tcW w:w="108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325</w:t>
            </w:r>
          </w:p>
        </w:tc>
        <w:tc>
          <w:tcPr>
            <w:tcW w:w="189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0.527446</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0.29666667</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267.08</w:t>
            </w:r>
          </w:p>
        </w:tc>
      </w:tr>
      <w:tr w:rsidR="00042BE4">
        <w:trPr>
          <w:trHeight w:val="349"/>
        </w:trPr>
        <w:tc>
          <w:tcPr>
            <w:tcW w:w="963" w:type="dxa"/>
            <w:tcBorders>
              <w:top w:val="nil"/>
              <w:left w:val="single" w:sz="4" w:space="0" w:color="000000"/>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JMN-1</w:t>
            </w:r>
          </w:p>
        </w:tc>
        <w:tc>
          <w:tcPr>
            <w:tcW w:w="108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28</w:t>
            </w:r>
          </w:p>
        </w:tc>
        <w:tc>
          <w:tcPr>
            <w:tcW w:w="144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24</w:t>
            </w:r>
          </w:p>
        </w:tc>
        <w:tc>
          <w:tcPr>
            <w:tcW w:w="108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329</w:t>
            </w:r>
          </w:p>
        </w:tc>
        <w:tc>
          <w:tcPr>
            <w:tcW w:w="189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0.5646016</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0.323</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290.146</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32</w:t>
            </w:r>
          </w:p>
        </w:tc>
        <w:tc>
          <w:tcPr>
            <w:tcW w:w="144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27</w:t>
            </w:r>
          </w:p>
        </w:tc>
        <w:tc>
          <w:tcPr>
            <w:tcW w:w="108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332</w:t>
            </w:r>
          </w:p>
        </w:tc>
        <w:tc>
          <w:tcPr>
            <w:tcW w:w="189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0.6024968</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0.3523333</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315.988</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30</w:t>
            </w:r>
          </w:p>
        </w:tc>
        <w:tc>
          <w:tcPr>
            <w:tcW w:w="144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58</w:t>
            </w:r>
          </w:p>
        </w:tc>
        <w:tc>
          <w:tcPr>
            <w:tcW w:w="108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798</w:t>
            </w:r>
          </w:p>
        </w:tc>
        <w:tc>
          <w:tcPr>
            <w:tcW w:w="189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1.3060712</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0.656</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585.712</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JMN-2</w:t>
            </w:r>
          </w:p>
        </w:tc>
        <w:tc>
          <w:tcPr>
            <w:tcW w:w="108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33</w:t>
            </w:r>
          </w:p>
        </w:tc>
        <w:tc>
          <w:tcPr>
            <w:tcW w:w="144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61</w:t>
            </w:r>
          </w:p>
        </w:tc>
        <w:tc>
          <w:tcPr>
            <w:tcW w:w="108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801</w:t>
            </w:r>
          </w:p>
        </w:tc>
        <w:tc>
          <w:tcPr>
            <w:tcW w:w="189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1.3423484</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0.682</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608.464</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36</w:t>
            </w:r>
          </w:p>
        </w:tc>
        <w:tc>
          <w:tcPr>
            <w:tcW w:w="144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64</w:t>
            </w:r>
          </w:p>
        </w:tc>
        <w:tc>
          <w:tcPr>
            <w:tcW w:w="108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805</w:t>
            </w:r>
          </w:p>
        </w:tc>
        <w:tc>
          <w:tcPr>
            <w:tcW w:w="189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1.379504</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0.7083333</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631.53</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28</w:t>
            </w:r>
          </w:p>
        </w:tc>
        <w:tc>
          <w:tcPr>
            <w:tcW w:w="144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35</w:t>
            </w:r>
          </w:p>
        </w:tc>
        <w:tc>
          <w:tcPr>
            <w:tcW w:w="108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268</w:t>
            </w:r>
          </w:p>
        </w:tc>
        <w:tc>
          <w:tcPr>
            <w:tcW w:w="189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0.6165752</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0.35766667</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316.972</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JMN-3</w:t>
            </w:r>
          </w:p>
        </w:tc>
        <w:tc>
          <w:tcPr>
            <w:tcW w:w="108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30</w:t>
            </w:r>
          </w:p>
        </w:tc>
        <w:tc>
          <w:tcPr>
            <w:tcW w:w="144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39</w:t>
            </w:r>
          </w:p>
        </w:tc>
        <w:tc>
          <w:tcPr>
            <w:tcW w:w="108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270</w:t>
            </w:r>
          </w:p>
        </w:tc>
        <w:tc>
          <w:tcPr>
            <w:tcW w:w="189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0.659952</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0.385</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340.5</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33</w:t>
            </w:r>
          </w:p>
        </w:tc>
        <w:tc>
          <w:tcPr>
            <w:tcW w:w="144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42</w:t>
            </w:r>
          </w:p>
        </w:tc>
        <w:tc>
          <w:tcPr>
            <w:tcW w:w="108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273</w:t>
            </w:r>
          </w:p>
        </w:tc>
        <w:tc>
          <w:tcPr>
            <w:tcW w:w="189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0.6962292</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0.411</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363.252</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43</w:t>
            </w:r>
          </w:p>
        </w:tc>
        <w:tc>
          <w:tcPr>
            <w:tcW w:w="144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48</w:t>
            </w:r>
          </w:p>
        </w:tc>
        <w:tc>
          <w:tcPr>
            <w:tcW w:w="108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357</w:t>
            </w:r>
          </w:p>
        </w:tc>
        <w:tc>
          <w:tcPr>
            <w:tcW w:w="189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0.8437708</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0.50233333</w:t>
            </w:r>
          </w:p>
        </w:tc>
        <w:tc>
          <w:tcPr>
            <w:tcW w:w="1530" w:type="dxa"/>
            <w:tcBorders>
              <w:top w:val="single" w:sz="4" w:space="0" w:color="000000"/>
              <w:left w:val="nil"/>
              <w:bottom w:val="single" w:sz="4" w:space="0" w:color="BEBEBE"/>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445.608</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 xml:space="preserve"> JMN-4</w:t>
            </w:r>
          </w:p>
        </w:tc>
        <w:tc>
          <w:tcPr>
            <w:tcW w:w="108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45</w:t>
            </w:r>
          </w:p>
        </w:tc>
        <w:tc>
          <w:tcPr>
            <w:tcW w:w="144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51</w:t>
            </w:r>
          </w:p>
        </w:tc>
        <w:tc>
          <w:tcPr>
            <w:tcW w:w="108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359</w:t>
            </w:r>
          </w:p>
        </w:tc>
        <w:tc>
          <w:tcPr>
            <w:tcW w:w="189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0.8775516</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0.52466667</w:t>
            </w:r>
          </w:p>
        </w:tc>
        <w:tc>
          <w:tcPr>
            <w:tcW w:w="1530" w:type="dxa"/>
            <w:tcBorders>
              <w:top w:val="single" w:sz="4" w:space="0" w:color="BEBEBE"/>
              <w:left w:val="nil"/>
              <w:bottom w:val="single" w:sz="4" w:space="0" w:color="BEBEBE"/>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464.956</w:t>
            </w:r>
          </w:p>
        </w:tc>
      </w:tr>
      <w:tr w:rsidR="00042BE4">
        <w:trPr>
          <w:trHeight w:val="34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42BE4">
            <w:pPr>
              <w:spacing w:after="0" w:line="276" w:lineRule="auto"/>
              <w:rPr>
                <w:rFonts w:ascii="Times New Roman" w:eastAsia="Times New Roman" w:hAnsi="Times New Roman" w:cs="Times New Roman"/>
                <w:sz w:val="24"/>
                <w:szCs w:val="24"/>
              </w:rPr>
            </w:pPr>
          </w:p>
        </w:tc>
        <w:tc>
          <w:tcPr>
            <w:tcW w:w="108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49</w:t>
            </w:r>
          </w:p>
        </w:tc>
        <w:tc>
          <w:tcPr>
            <w:tcW w:w="144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55</w:t>
            </w:r>
          </w:p>
        </w:tc>
        <w:tc>
          <w:tcPr>
            <w:tcW w:w="108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363</w:t>
            </w:r>
          </w:p>
        </w:tc>
        <w:tc>
          <w:tcPr>
            <w:tcW w:w="189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0.9259212</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rPr>
              <w:t>0.55933333</w:t>
            </w:r>
          </w:p>
        </w:tc>
        <w:tc>
          <w:tcPr>
            <w:tcW w:w="1530" w:type="dxa"/>
            <w:tcBorders>
              <w:top w:val="single" w:sz="4" w:space="0" w:color="BEBEBE"/>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495.292</w:t>
            </w:r>
          </w:p>
        </w:tc>
      </w:tr>
      <w:tr w:rsidR="00042BE4">
        <w:trPr>
          <w:trHeight w:val="439"/>
        </w:trPr>
        <w:tc>
          <w:tcPr>
            <w:tcW w:w="963" w:type="dxa"/>
            <w:tcBorders>
              <w:top w:val="single" w:sz="4" w:space="0" w:color="000000"/>
              <w:left w:val="single" w:sz="4" w:space="0" w:color="000000"/>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rPr>
              <w:t>MEAN</w:t>
            </w:r>
          </w:p>
        </w:tc>
        <w:tc>
          <w:tcPr>
            <w:tcW w:w="108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34.3333</w:t>
            </w:r>
          </w:p>
        </w:tc>
        <w:tc>
          <w:tcPr>
            <w:tcW w:w="144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43.7500</w:t>
            </w:r>
          </w:p>
        </w:tc>
        <w:tc>
          <w:tcPr>
            <w:tcW w:w="108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440.000</w:t>
            </w:r>
          </w:p>
        </w:tc>
        <w:tc>
          <w:tcPr>
            <w:tcW w:w="189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0.861872333</w:t>
            </w:r>
          </w:p>
        </w:tc>
        <w:tc>
          <w:tcPr>
            <w:tcW w:w="153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0.479861033</w:t>
            </w:r>
          </w:p>
        </w:tc>
        <w:tc>
          <w:tcPr>
            <w:tcW w:w="1530" w:type="dxa"/>
            <w:tcBorders>
              <w:top w:val="single" w:sz="4" w:space="0" w:color="000000"/>
              <w:left w:val="nil"/>
              <w:bottom w:val="single" w:sz="4" w:space="0" w:color="000000"/>
              <w:right w:val="single" w:sz="4" w:space="0" w:color="000000"/>
            </w:tcBorders>
            <w:shd w:val="clear" w:color="auto" w:fill="DBEEF3"/>
          </w:tcPr>
          <w:p w:rsidR="00042BE4" w:rsidRDefault="000E425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427.1245</w:t>
            </w:r>
          </w:p>
        </w:tc>
      </w:tr>
    </w:tbl>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:6 AUI ,Iγ, AGDE calculated data of Jal Mahal.</w:t>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6019800" cy="2562225"/>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6019800" cy="2562225"/>
                    </a:xfrm>
                    <a:prstGeom prst="rect">
                      <a:avLst/>
                    </a:prstGeom>
                    <a:ln/>
                  </pic:spPr>
                </pic:pic>
              </a:graphicData>
            </a:graphic>
          </wp:inline>
        </w:drawing>
      </w:r>
      <w:r>
        <w:rPr>
          <w:rFonts w:ascii="Times New Roman" w:eastAsia="Times New Roman" w:hAnsi="Times New Roman" w:cs="Times New Roman"/>
          <w:sz w:val="24"/>
          <w:szCs w:val="24"/>
        </w:rPr>
        <w:t>Figure 12: Graphical Representation of  Jal Mahal Activity concentrations with Activity Utilization Index(AUI).</w:t>
      </w:r>
    </w:p>
    <w:p w:rsidR="00042BE4" w:rsidRDefault="00042BE4">
      <w:pP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5600700" cy="2914016"/>
            <wp:effectExtent l="0" t="0" r="0" b="0"/>
            <wp:docPr id="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5600700" cy="2914016"/>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13: Graphical Representation of  Jal Mahal Activity concentrations with Gamma Index Factor(Iγ).</w:t>
      </w:r>
    </w:p>
    <w:p w:rsidR="00042BE4" w:rsidRDefault="00042BE4">
      <w:pPr>
        <w:rPr>
          <w:rFonts w:ascii="Times New Roman" w:eastAsia="Times New Roman" w:hAnsi="Times New Roman" w:cs="Times New Roman"/>
          <w:sz w:val="24"/>
          <w:szCs w:val="24"/>
        </w:rPr>
      </w:pPr>
    </w:p>
    <w:p w:rsidR="00042BE4" w:rsidRDefault="00042BE4">
      <w:pPr>
        <w:rPr>
          <w:rFonts w:ascii="Times New Roman" w:eastAsia="Times New Roman" w:hAnsi="Times New Roman" w:cs="Times New Roman"/>
          <w:sz w:val="24"/>
          <w:szCs w:val="24"/>
        </w:rPr>
      </w:pPr>
    </w:p>
    <w:p w:rsidR="00042BE4" w:rsidRDefault="00042BE4">
      <w:pP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br w:type="page"/>
      </w:r>
    </w:p>
    <w:tbl>
      <w:tblPr>
        <w:tblStyle w:val="a5"/>
        <w:tblpPr w:leftFromText="180" w:rightFromText="180" w:vertAnchor="page" w:horzAnchor="margin" w:tblpXSpec="center" w:tblpY="409"/>
        <w:tblW w:w="92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127"/>
        <w:gridCol w:w="1273"/>
        <w:gridCol w:w="1665"/>
        <w:gridCol w:w="1276"/>
        <w:gridCol w:w="1332"/>
        <w:gridCol w:w="1336"/>
        <w:gridCol w:w="1261"/>
      </w:tblGrid>
      <w:tr w:rsidR="00042BE4">
        <w:trPr>
          <w:trHeight w:val="521"/>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  Sample</w:t>
            </w:r>
          </w:p>
        </w:tc>
        <w:tc>
          <w:tcPr>
            <w:tcW w:w="1273" w:type="dxa"/>
            <w:tcBorders>
              <w:top w:val="single" w:sz="4" w:space="0" w:color="000000"/>
              <w:left w:val="single" w:sz="4" w:space="0" w:color="000000"/>
              <w:bottom w:val="single" w:sz="4" w:space="0" w:color="000000"/>
              <w:right w:val="nil"/>
            </w:tcBorders>
            <w:shd w:val="clear" w:color="auto" w:fill="DBE5F1"/>
          </w:tcPr>
          <w:p w:rsidR="00042BE4" w:rsidRDefault="00042BE4">
            <w:pPr>
              <w:spacing w:after="0"/>
              <w:rPr>
                <w:rFonts w:ascii="Times New Roman" w:eastAsia="Times New Roman" w:hAnsi="Times New Roman" w:cs="Times New Roman"/>
              </w:rPr>
            </w:pPr>
          </w:p>
        </w:tc>
        <w:tc>
          <w:tcPr>
            <w:tcW w:w="1665" w:type="dxa"/>
            <w:tcBorders>
              <w:top w:val="single" w:sz="4" w:space="0" w:color="000000"/>
              <w:left w:val="nil"/>
              <w:bottom w:val="single" w:sz="4" w:space="0" w:color="000000"/>
              <w:right w:val="nil"/>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Activity Concentration (Bq/Kg)</w:t>
            </w:r>
          </w:p>
        </w:tc>
        <w:tc>
          <w:tcPr>
            <w:tcW w:w="1276" w:type="dxa"/>
            <w:tcBorders>
              <w:top w:val="single" w:sz="4" w:space="0" w:color="000000"/>
              <w:left w:val="nil"/>
              <w:bottom w:val="single" w:sz="4" w:space="0" w:color="000000"/>
              <w:right w:val="single" w:sz="4" w:space="0" w:color="000000"/>
            </w:tcBorders>
            <w:shd w:val="clear" w:color="auto" w:fill="DBE5F1"/>
          </w:tcPr>
          <w:p w:rsidR="00042BE4" w:rsidRDefault="00042BE4">
            <w:pPr>
              <w:spacing w:after="0"/>
              <w:rPr>
                <w:rFonts w:ascii="Times New Roman" w:eastAsia="Times New Roman" w:hAnsi="Times New Roman" w:cs="Times New Roman"/>
              </w:rPr>
            </w:pPr>
          </w:p>
        </w:tc>
        <w:tc>
          <w:tcPr>
            <w:tcW w:w="1332"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Activity Utilization Index (AUI)</w:t>
            </w:r>
          </w:p>
        </w:tc>
        <w:tc>
          <w:tcPr>
            <w:tcW w:w="1336"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Gamma Index Factor (Iγ)</w:t>
            </w:r>
          </w:p>
        </w:tc>
        <w:tc>
          <w:tcPr>
            <w:tcW w:w="1261"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 xml:space="preserve">Annual Gonadal Dose Equivalent       (AGDE) </w:t>
            </w:r>
            <w:r>
              <w:rPr>
                <w:rFonts w:ascii="Times New Roman" w:eastAsia="Times New Roman" w:hAnsi="Times New Roman" w:cs="Times New Roman"/>
                <w:sz w:val="24"/>
                <w:szCs w:val="24"/>
              </w:rPr>
              <w:t xml:space="preserve"> µSv/y</w:t>
            </w:r>
          </w:p>
        </w:tc>
      </w:tr>
      <w:tr w:rsidR="00042BE4">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42BE4">
            <w:pPr>
              <w:spacing w:after="0"/>
              <w:rPr>
                <w:rFonts w:ascii="Times New Roman" w:eastAsia="Times New Roman" w:hAnsi="Times New Roman" w:cs="Times New Roman"/>
              </w:rPr>
            </w:pP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 xml:space="preserve">         Ra</w:t>
            </w:r>
          </w:p>
        </w:tc>
        <w:tc>
          <w:tcPr>
            <w:tcW w:w="1665"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vertAlign w:val="subscript"/>
              </w:rPr>
            </w:pPr>
            <w:r>
              <w:rPr>
                <w:rFonts w:ascii="Times New Roman" w:eastAsia="Times New Roman" w:hAnsi="Times New Roman" w:cs="Times New Roman"/>
              </w:rPr>
              <w:t xml:space="preserve">        Th</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 xml:space="preserve">         K</w:t>
            </w:r>
          </w:p>
        </w:tc>
        <w:tc>
          <w:tcPr>
            <w:tcW w:w="1332" w:type="dxa"/>
            <w:tcBorders>
              <w:top w:val="single" w:sz="4" w:space="0" w:color="000000"/>
              <w:left w:val="single" w:sz="4" w:space="0" w:color="000000"/>
              <w:bottom w:val="single" w:sz="4" w:space="0" w:color="000000"/>
              <w:right w:val="nil"/>
            </w:tcBorders>
            <w:shd w:val="clear" w:color="auto" w:fill="DBE5F1"/>
          </w:tcPr>
          <w:p w:rsidR="00042BE4" w:rsidRDefault="00042BE4">
            <w:pPr>
              <w:spacing w:after="0"/>
              <w:rPr>
                <w:rFonts w:ascii="Times New Roman" w:eastAsia="Times New Roman" w:hAnsi="Times New Roman" w:cs="Times New Roman"/>
              </w:rPr>
            </w:pPr>
          </w:p>
        </w:tc>
        <w:tc>
          <w:tcPr>
            <w:tcW w:w="1336" w:type="dxa"/>
            <w:tcBorders>
              <w:top w:val="single" w:sz="4" w:space="0" w:color="000000"/>
              <w:left w:val="nil"/>
              <w:bottom w:val="single" w:sz="4" w:space="0" w:color="000000"/>
              <w:right w:val="nil"/>
            </w:tcBorders>
            <w:shd w:val="clear" w:color="auto" w:fill="DBE5F1"/>
          </w:tcPr>
          <w:p w:rsidR="00042BE4" w:rsidRDefault="00042BE4">
            <w:pPr>
              <w:spacing w:after="0"/>
              <w:rPr>
                <w:rFonts w:ascii="Times New Roman" w:eastAsia="Times New Roman" w:hAnsi="Times New Roman" w:cs="Times New Roman"/>
              </w:rPr>
            </w:pPr>
          </w:p>
        </w:tc>
        <w:tc>
          <w:tcPr>
            <w:tcW w:w="1261" w:type="dxa"/>
            <w:tcBorders>
              <w:top w:val="single" w:sz="4" w:space="0" w:color="000000"/>
              <w:left w:val="nil"/>
              <w:bottom w:val="single" w:sz="4" w:space="0" w:color="000000"/>
              <w:right w:val="single" w:sz="4" w:space="0" w:color="000000"/>
            </w:tcBorders>
            <w:shd w:val="clear" w:color="auto" w:fill="DBE5F1"/>
          </w:tcPr>
          <w:p w:rsidR="00042BE4" w:rsidRDefault="00042BE4">
            <w:pPr>
              <w:spacing w:after="0"/>
              <w:rPr>
                <w:rFonts w:ascii="Times New Roman" w:eastAsia="Times New Roman" w:hAnsi="Times New Roman" w:cs="Times New Roman"/>
              </w:rPr>
            </w:pPr>
          </w:p>
        </w:tc>
      </w:tr>
      <w:tr w:rsidR="00042BE4">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42BE4">
            <w:pPr>
              <w:spacing w:after="0" w:line="240" w:lineRule="auto"/>
              <w:rPr>
                <w:rFonts w:ascii="Times New Roman" w:eastAsia="Times New Roman" w:hAnsi="Times New Roman" w:cs="Times New Roman"/>
              </w:rPr>
            </w:pPr>
          </w:p>
        </w:tc>
        <w:tc>
          <w:tcPr>
            <w:tcW w:w="1273" w:type="dxa"/>
            <w:tcBorders>
              <w:top w:val="single" w:sz="4" w:space="0" w:color="000000"/>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1665" w:type="dxa"/>
            <w:tcBorders>
              <w:top w:val="single" w:sz="4" w:space="0" w:color="000000"/>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1276" w:type="dxa"/>
            <w:tcBorders>
              <w:top w:val="single" w:sz="4" w:space="0" w:color="000000"/>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348</w:t>
            </w:r>
          </w:p>
        </w:tc>
        <w:tc>
          <w:tcPr>
            <w:tcW w:w="1332" w:type="dxa"/>
            <w:tcBorders>
              <w:top w:val="single" w:sz="4" w:space="0" w:color="000000"/>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0.7349392</w:t>
            </w:r>
          </w:p>
        </w:tc>
        <w:tc>
          <w:tcPr>
            <w:tcW w:w="1336" w:type="dxa"/>
            <w:tcBorders>
              <w:top w:val="single" w:sz="4" w:space="0" w:color="000000"/>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0.42433333</w:t>
            </w:r>
          </w:p>
        </w:tc>
        <w:tc>
          <w:tcPr>
            <w:tcW w:w="1261" w:type="dxa"/>
            <w:tcBorders>
              <w:top w:val="single" w:sz="4" w:space="0" w:color="000000"/>
              <w:left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377.352</w:t>
            </w:r>
          </w:p>
        </w:tc>
      </w:tr>
      <w:tr w:rsidR="00042BE4">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CGN-5</w:t>
            </w:r>
          </w:p>
        </w:tc>
        <w:tc>
          <w:tcPr>
            <w:tcW w:w="1273"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1665"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1276"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351</w:t>
            </w:r>
          </w:p>
        </w:tc>
        <w:tc>
          <w:tcPr>
            <w:tcW w:w="1332" w:type="dxa"/>
            <w:tcBorders>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0.7616204</w:t>
            </w:r>
          </w:p>
        </w:tc>
        <w:tc>
          <w:tcPr>
            <w:tcW w:w="1336" w:type="dxa"/>
            <w:tcBorders>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0.4453333</w:t>
            </w:r>
          </w:p>
        </w:tc>
        <w:tc>
          <w:tcPr>
            <w:tcW w:w="1261" w:type="dxa"/>
            <w:tcBorders>
              <w:left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395.924</w:t>
            </w:r>
          </w:p>
        </w:tc>
      </w:tr>
      <w:tr w:rsidR="00042BE4">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42BE4">
            <w:pPr>
              <w:spacing w:after="0" w:line="240" w:lineRule="auto"/>
              <w:rPr>
                <w:rFonts w:ascii="Times New Roman" w:eastAsia="Times New Roman" w:hAnsi="Times New Roman" w:cs="Times New Roman"/>
              </w:rPr>
            </w:pPr>
          </w:p>
        </w:tc>
        <w:tc>
          <w:tcPr>
            <w:tcW w:w="1273" w:type="dxa"/>
            <w:tcBorders>
              <w:left w:val="single" w:sz="4" w:space="0" w:color="000000"/>
              <w:bottom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1665" w:type="dxa"/>
            <w:tcBorders>
              <w:left w:val="single" w:sz="4" w:space="0" w:color="000000"/>
              <w:bottom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1276" w:type="dxa"/>
            <w:tcBorders>
              <w:left w:val="single" w:sz="4" w:space="0" w:color="000000"/>
              <w:bottom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355</w:t>
            </w:r>
          </w:p>
        </w:tc>
        <w:tc>
          <w:tcPr>
            <w:tcW w:w="1332" w:type="dxa"/>
            <w:tcBorders>
              <w:left w:val="single" w:sz="4" w:space="0" w:color="000000"/>
              <w:bottom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0.798776</w:t>
            </w:r>
          </w:p>
        </w:tc>
        <w:tc>
          <w:tcPr>
            <w:tcW w:w="1336" w:type="dxa"/>
            <w:tcBorders>
              <w:left w:val="single" w:sz="4" w:space="0" w:color="000000"/>
              <w:bottom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0.47166667</w:t>
            </w:r>
          </w:p>
        </w:tc>
        <w:tc>
          <w:tcPr>
            <w:tcW w:w="1261" w:type="dxa"/>
            <w:tcBorders>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418.99</w:t>
            </w:r>
          </w:p>
        </w:tc>
      </w:tr>
      <w:tr w:rsidR="00042BE4">
        <w:trPr>
          <w:trHeight w:val="26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42BE4">
            <w:pPr>
              <w:spacing w:after="0" w:line="240" w:lineRule="auto"/>
              <w:rPr>
                <w:rFonts w:ascii="Times New Roman" w:eastAsia="Times New Roman" w:hAnsi="Times New Roman" w:cs="Times New Roman"/>
              </w:rPr>
            </w:pPr>
          </w:p>
        </w:tc>
        <w:tc>
          <w:tcPr>
            <w:tcW w:w="1273" w:type="dxa"/>
            <w:tcBorders>
              <w:top w:val="single" w:sz="4" w:space="0" w:color="000000"/>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1665" w:type="dxa"/>
            <w:tcBorders>
              <w:top w:val="single" w:sz="4" w:space="0" w:color="000000"/>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59</w:t>
            </w:r>
          </w:p>
        </w:tc>
        <w:tc>
          <w:tcPr>
            <w:tcW w:w="1276" w:type="dxa"/>
            <w:tcBorders>
              <w:top w:val="single" w:sz="4" w:space="0" w:color="000000"/>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801</w:t>
            </w:r>
          </w:p>
        </w:tc>
        <w:tc>
          <w:tcPr>
            <w:tcW w:w="1332" w:type="dxa"/>
            <w:tcBorders>
              <w:top w:val="single" w:sz="4" w:space="0" w:color="000000"/>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1.3199204</w:t>
            </w:r>
          </w:p>
        </w:tc>
        <w:tc>
          <w:tcPr>
            <w:tcW w:w="1336" w:type="dxa"/>
            <w:tcBorders>
              <w:top w:val="single" w:sz="4" w:space="0" w:color="000000"/>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0.66533333</w:t>
            </w:r>
          </w:p>
        </w:tc>
        <w:tc>
          <w:tcPr>
            <w:tcW w:w="1261" w:type="dxa"/>
            <w:tcBorders>
              <w:top w:val="single" w:sz="4" w:space="0" w:color="000000"/>
              <w:left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593.924</w:t>
            </w:r>
          </w:p>
        </w:tc>
      </w:tr>
      <w:tr w:rsidR="00042BE4">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CGN-6</w:t>
            </w:r>
          </w:p>
        </w:tc>
        <w:tc>
          <w:tcPr>
            <w:tcW w:w="1273"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1665"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w:t>
            </w:r>
          </w:p>
        </w:tc>
        <w:tc>
          <w:tcPr>
            <w:tcW w:w="1276"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803</w:t>
            </w:r>
          </w:p>
        </w:tc>
        <w:tc>
          <w:tcPr>
            <w:tcW w:w="1332" w:type="dxa"/>
            <w:tcBorders>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1.3569372</w:t>
            </w:r>
          </w:p>
        </w:tc>
        <w:tc>
          <w:tcPr>
            <w:tcW w:w="1336" w:type="dxa"/>
            <w:tcBorders>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0.6943333</w:t>
            </w:r>
          </w:p>
        </w:tc>
        <w:tc>
          <w:tcPr>
            <w:tcW w:w="1261" w:type="dxa"/>
            <w:tcBorders>
              <w:left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619.452</w:t>
            </w:r>
          </w:p>
        </w:tc>
      </w:tr>
      <w:tr w:rsidR="00042BE4">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42BE4">
            <w:pPr>
              <w:spacing w:after="0" w:line="240" w:lineRule="auto"/>
              <w:rPr>
                <w:rFonts w:ascii="Times New Roman" w:eastAsia="Times New Roman" w:hAnsi="Times New Roman" w:cs="Times New Roman"/>
              </w:rPr>
            </w:pPr>
          </w:p>
        </w:tc>
        <w:tc>
          <w:tcPr>
            <w:tcW w:w="1273" w:type="dxa"/>
            <w:tcBorders>
              <w:left w:val="single" w:sz="4" w:space="0" w:color="000000"/>
              <w:bottom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1665" w:type="dxa"/>
            <w:tcBorders>
              <w:left w:val="single" w:sz="4" w:space="0" w:color="000000"/>
              <w:bottom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1276" w:type="dxa"/>
            <w:tcBorders>
              <w:left w:val="single" w:sz="4" w:space="0" w:color="000000"/>
              <w:bottom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806</w:t>
            </w:r>
          </w:p>
        </w:tc>
        <w:tc>
          <w:tcPr>
            <w:tcW w:w="1332" w:type="dxa"/>
            <w:tcBorders>
              <w:left w:val="single" w:sz="4" w:space="0" w:color="000000"/>
              <w:bottom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1.3932144</w:t>
            </w:r>
          </w:p>
        </w:tc>
        <w:tc>
          <w:tcPr>
            <w:tcW w:w="1336" w:type="dxa"/>
            <w:tcBorders>
              <w:left w:val="single" w:sz="4" w:space="0" w:color="000000"/>
              <w:bottom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0.7203333</w:t>
            </w:r>
          </w:p>
        </w:tc>
        <w:tc>
          <w:tcPr>
            <w:tcW w:w="1261" w:type="dxa"/>
            <w:tcBorders>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642.204</w:t>
            </w:r>
          </w:p>
        </w:tc>
      </w:tr>
      <w:tr w:rsidR="00042BE4">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42BE4">
            <w:pPr>
              <w:spacing w:after="0" w:line="240" w:lineRule="auto"/>
              <w:rPr>
                <w:rFonts w:ascii="Times New Roman" w:eastAsia="Times New Roman" w:hAnsi="Times New Roman" w:cs="Times New Roman"/>
              </w:rPr>
            </w:pPr>
          </w:p>
        </w:tc>
        <w:tc>
          <w:tcPr>
            <w:tcW w:w="1273"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1665"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c>
          <w:tcPr>
            <w:tcW w:w="1276"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488</w:t>
            </w:r>
          </w:p>
        </w:tc>
        <w:tc>
          <w:tcPr>
            <w:tcW w:w="1332" w:type="dxa"/>
            <w:tcBorders>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0.9775852</w:t>
            </w:r>
          </w:p>
        </w:tc>
        <w:tc>
          <w:tcPr>
            <w:tcW w:w="1336" w:type="dxa"/>
            <w:tcBorders>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0.496</w:t>
            </w:r>
          </w:p>
        </w:tc>
        <w:tc>
          <w:tcPr>
            <w:tcW w:w="1261" w:type="dxa"/>
            <w:tcBorders>
              <w:left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437.662</w:t>
            </w:r>
          </w:p>
        </w:tc>
      </w:tr>
      <w:tr w:rsidR="00042BE4">
        <w:trPr>
          <w:trHeight w:val="25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CGN-7</w:t>
            </w:r>
          </w:p>
        </w:tc>
        <w:tc>
          <w:tcPr>
            <w:tcW w:w="1273"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1665"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1276" w:type="dxa"/>
            <w:tcBorders>
              <w:left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490</w:t>
            </w:r>
          </w:p>
        </w:tc>
        <w:tc>
          <w:tcPr>
            <w:tcW w:w="1332" w:type="dxa"/>
            <w:tcBorders>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1.012984</w:t>
            </w:r>
          </w:p>
        </w:tc>
        <w:tc>
          <w:tcPr>
            <w:tcW w:w="1336" w:type="dxa"/>
            <w:tcBorders>
              <w:left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0.52166667</w:t>
            </w:r>
          </w:p>
        </w:tc>
        <w:tc>
          <w:tcPr>
            <w:tcW w:w="1261" w:type="dxa"/>
            <w:tcBorders>
              <w:left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460.1</w:t>
            </w:r>
          </w:p>
        </w:tc>
      </w:tr>
      <w:tr w:rsidR="00042BE4">
        <w:trPr>
          <w:trHeight w:val="263"/>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42BE4">
            <w:pPr>
              <w:spacing w:after="0"/>
              <w:rPr>
                <w:rFonts w:ascii="Times New Roman" w:eastAsia="Times New Roman" w:hAnsi="Times New Roman" w:cs="Times New Roman"/>
              </w:rPr>
            </w:pPr>
          </w:p>
        </w:tc>
        <w:tc>
          <w:tcPr>
            <w:tcW w:w="1273" w:type="dxa"/>
            <w:tcBorders>
              <w:left w:val="single" w:sz="4" w:space="0" w:color="000000"/>
              <w:bottom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1665" w:type="dxa"/>
            <w:tcBorders>
              <w:left w:val="single" w:sz="4" w:space="0" w:color="000000"/>
              <w:bottom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1276" w:type="dxa"/>
            <w:tcBorders>
              <w:left w:val="single" w:sz="4" w:space="0" w:color="000000"/>
              <w:bottom w:val="single" w:sz="4" w:space="0" w:color="000000"/>
              <w:right w:val="single" w:sz="4" w:space="0" w:color="000000"/>
            </w:tcBorders>
            <w:shd w:val="clear" w:color="auto" w:fill="DBE5F1"/>
          </w:tcPr>
          <w:p w:rsidR="00042BE4" w:rsidRDefault="000E425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493</w:t>
            </w:r>
          </w:p>
        </w:tc>
        <w:tc>
          <w:tcPr>
            <w:tcW w:w="1332" w:type="dxa"/>
            <w:tcBorders>
              <w:left w:val="single" w:sz="4" w:space="0" w:color="000000"/>
              <w:bottom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1.0492612</w:t>
            </w:r>
          </w:p>
        </w:tc>
        <w:tc>
          <w:tcPr>
            <w:tcW w:w="1336" w:type="dxa"/>
            <w:tcBorders>
              <w:left w:val="single" w:sz="4" w:space="0" w:color="000000"/>
              <w:bottom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0.54766667</w:t>
            </w:r>
          </w:p>
        </w:tc>
        <w:tc>
          <w:tcPr>
            <w:tcW w:w="1261" w:type="dxa"/>
            <w:tcBorders>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473.582</w:t>
            </w:r>
          </w:p>
        </w:tc>
      </w:tr>
      <w:tr w:rsidR="00042BE4">
        <w:trPr>
          <w:trHeight w:val="665"/>
        </w:trPr>
        <w:tc>
          <w:tcPr>
            <w:tcW w:w="1127"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MEAN</w:t>
            </w: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31.2222</w:t>
            </w:r>
          </w:p>
        </w:tc>
        <w:tc>
          <w:tcPr>
            <w:tcW w:w="1665"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53.4444</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line="240" w:lineRule="auto"/>
              <w:rPr>
                <w:rFonts w:ascii="Times New Roman" w:eastAsia="Times New Roman" w:hAnsi="Times New Roman" w:cs="Times New Roman"/>
              </w:rPr>
            </w:pPr>
            <w:r>
              <w:rPr>
                <w:rFonts w:ascii="Times New Roman" w:eastAsia="Times New Roman" w:hAnsi="Times New Roman" w:cs="Times New Roman"/>
              </w:rPr>
              <w:t>548.3333</w:t>
            </w:r>
          </w:p>
        </w:tc>
        <w:tc>
          <w:tcPr>
            <w:tcW w:w="1332"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1.04502644</w:t>
            </w:r>
          </w:p>
        </w:tc>
        <w:tc>
          <w:tcPr>
            <w:tcW w:w="1336"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jc w:val="center"/>
              <w:rPr>
                <w:rFonts w:ascii="Times New Roman" w:eastAsia="Times New Roman" w:hAnsi="Times New Roman" w:cs="Times New Roman"/>
              </w:rPr>
            </w:pPr>
            <w:r>
              <w:rPr>
                <w:rFonts w:ascii="Times New Roman" w:eastAsia="Times New Roman" w:hAnsi="Times New Roman" w:cs="Times New Roman"/>
              </w:rPr>
              <w:t>0.55407403</w:t>
            </w:r>
          </w:p>
        </w:tc>
        <w:tc>
          <w:tcPr>
            <w:tcW w:w="1261" w:type="dxa"/>
            <w:tcBorders>
              <w:top w:val="single" w:sz="4" w:space="0" w:color="000000"/>
              <w:left w:val="single" w:sz="4" w:space="0" w:color="000000"/>
              <w:bottom w:val="single" w:sz="4" w:space="0" w:color="000000"/>
              <w:right w:val="single" w:sz="4" w:space="0" w:color="000000"/>
            </w:tcBorders>
            <w:shd w:val="clear" w:color="auto" w:fill="DBE5F1"/>
          </w:tcPr>
          <w:p w:rsidR="00042BE4" w:rsidRDefault="000E4256">
            <w:pPr>
              <w:spacing w:after="0"/>
              <w:rPr>
                <w:rFonts w:ascii="Times New Roman" w:eastAsia="Times New Roman" w:hAnsi="Times New Roman" w:cs="Times New Roman"/>
              </w:rPr>
            </w:pPr>
            <w:r>
              <w:rPr>
                <w:rFonts w:ascii="Times New Roman" w:eastAsia="Times New Roman" w:hAnsi="Times New Roman" w:cs="Times New Roman"/>
              </w:rPr>
              <w:t>491.021111</w:t>
            </w:r>
          </w:p>
        </w:tc>
      </w:tr>
    </w:tbl>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Table :7 AUI ,Iγ ,AGDE calculated data ChorGhumbad.</w:t>
      </w:r>
    </w:p>
    <w:p w:rsidR="00042BE4" w:rsidRDefault="00042BE4">
      <w:pPr>
        <w:jc w:val="center"/>
        <w:rPr>
          <w:rFonts w:ascii="Times New Roman" w:eastAsia="Times New Roman" w:hAnsi="Times New Roman" w:cs="Times New Roman"/>
          <w:sz w:val="24"/>
          <w:szCs w:val="24"/>
        </w:rPr>
      </w:pP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943600" cy="3047365"/>
            <wp:effectExtent l="0" t="0" r="0" b="0"/>
            <wp:docPr id="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3"/>
                    <a:srcRect/>
                    <a:stretch>
                      <a:fillRect/>
                    </a:stretch>
                  </pic:blipFill>
                  <pic:spPr>
                    <a:xfrm>
                      <a:off x="0" y="0"/>
                      <a:ext cx="5943600" cy="3047365"/>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14: Graphical Representation of  Jal Mahal Activity concentrations with  Annual Gonadal Dose Equivalent (AGDE).</w:t>
      </w:r>
    </w:p>
    <w:p w:rsidR="00042BE4" w:rsidRDefault="00042BE4">
      <w:pPr>
        <w:jc w:val="cente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5848350" cy="3086100"/>
            <wp:effectExtent l="0" t="0" r="0" b="0"/>
            <wp:docPr id="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4"/>
                    <a:srcRect/>
                    <a:stretch>
                      <a:fillRect/>
                    </a:stretch>
                  </pic:blipFill>
                  <pic:spPr>
                    <a:xfrm>
                      <a:off x="0" y="0"/>
                      <a:ext cx="5848350" cy="3086100"/>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15: Graphical Representation of  ChorGhumbad Activity concentrations with Activity Utilization Index(AUI).</w:t>
      </w:r>
    </w:p>
    <w:p w:rsidR="00042BE4" w:rsidRDefault="00042BE4">
      <w:pPr>
        <w:rPr>
          <w:rFonts w:ascii="Times New Roman" w:eastAsia="Times New Roman" w:hAnsi="Times New Roman" w:cs="Times New Roman"/>
          <w:sz w:val="24"/>
          <w:szCs w:val="24"/>
        </w:rPr>
      </w:pPr>
    </w:p>
    <w:p w:rsidR="00042BE4" w:rsidRDefault="00042BE4">
      <w:pPr>
        <w:rPr>
          <w:rFonts w:ascii="Times New Roman" w:eastAsia="Times New Roman" w:hAnsi="Times New Roman" w:cs="Times New Roman"/>
          <w:sz w:val="24"/>
          <w:szCs w:val="24"/>
        </w:rPr>
      </w:pPr>
    </w:p>
    <w:p w:rsidR="00042BE4" w:rsidRDefault="00042BE4">
      <w:pP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810250" cy="2762250"/>
            <wp:effectExtent l="0" t="0" r="0" b="0"/>
            <wp:docPr id="1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5"/>
                    <a:srcRect/>
                    <a:stretch>
                      <a:fillRect/>
                    </a:stretch>
                  </pic:blipFill>
                  <pic:spPr>
                    <a:xfrm>
                      <a:off x="0" y="0"/>
                      <a:ext cx="5810250" cy="2762250"/>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16: Graphical Representation of  ChorGhumbad Activity concentrations with Gamma Index Factor(Iγ).</w:t>
      </w:r>
    </w:p>
    <w:p w:rsidR="00042BE4" w:rsidRDefault="00042BE4">
      <w:pPr>
        <w:jc w:val="cente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extent cx="5981700" cy="2995295"/>
            <wp:effectExtent l="0" t="0" r="0" b="0"/>
            <wp:docPr id="2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6"/>
                    <a:srcRect/>
                    <a:stretch>
                      <a:fillRect/>
                    </a:stretch>
                  </pic:blipFill>
                  <pic:spPr>
                    <a:xfrm>
                      <a:off x="0" y="0"/>
                      <a:ext cx="5981700" cy="2995295"/>
                    </a:xfrm>
                    <a:prstGeom prst="rect">
                      <a:avLst/>
                    </a:prstGeom>
                    <a:ln/>
                  </pic:spPr>
                </pic:pic>
              </a:graphicData>
            </a:graphic>
          </wp:inline>
        </w:drawing>
      </w:r>
    </w:p>
    <w:p w:rsidR="00042BE4" w:rsidRDefault="000E42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17: Graphical Representation of  ChorGhumbad Activity concentrations with  Annual Gonadal Dose Equivalent (AGDE).</w:t>
      </w:r>
    </w:p>
    <w:p w:rsidR="00042BE4" w:rsidRDefault="00042BE4">
      <w:pPr>
        <w:rPr>
          <w:rFonts w:ascii="Times New Roman" w:eastAsia="Times New Roman" w:hAnsi="Times New Roman" w:cs="Times New Roman"/>
          <w:sz w:val="24"/>
          <w:szCs w:val="24"/>
        </w:rPr>
      </w:pPr>
    </w:p>
    <w:p w:rsidR="00042BE4" w:rsidRDefault="000E425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RESULTS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Jal Mahal, activity concentration of radionuclides ranged between 25</w:t>
      </w:r>
      <w:r>
        <w:rPr>
          <w:rFonts w:ascii="Times New Roman" w:eastAsia="Times New Roman" w:hAnsi="Times New Roman" w:cs="Times New Roman"/>
          <w:color w:val="222222"/>
          <w:sz w:val="24"/>
          <w:szCs w:val="24"/>
        </w:rPr>
        <w:t>-</w:t>
      </w:r>
      <w:r>
        <w:rPr>
          <w:rFonts w:ascii="Times New Roman" w:eastAsia="Times New Roman" w:hAnsi="Times New Roman" w:cs="Times New Roman"/>
          <w:sz w:val="24"/>
          <w:szCs w:val="24"/>
        </w:rPr>
        <w:t>49</w:t>
      </w:r>
      <w:r>
        <w:rPr>
          <w:rFonts w:ascii="Times New Roman" w:eastAsia="Times New Roman" w:hAnsi="Times New Roman" w:cs="Times New Roman"/>
          <w:color w:val="222222"/>
          <w:sz w:val="24"/>
          <w:szCs w:val="24"/>
          <w:highlight w:val="white"/>
        </w:rPr>
        <w:t xml:space="preserve"> Bq/kg</w:t>
      </w:r>
      <w:r>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vertAlign w:val="superscript"/>
        </w:rPr>
        <w:t>226</w:t>
      </w:r>
      <w:r>
        <w:rPr>
          <w:rFonts w:ascii="Times New Roman" w:eastAsia="Times New Roman" w:hAnsi="Times New Roman" w:cs="Times New Roman"/>
          <w:sz w:val="24"/>
          <w:szCs w:val="24"/>
        </w:rPr>
        <w:t>Ra,21</w:t>
      </w:r>
      <w:r>
        <w:rPr>
          <w:rFonts w:ascii="Times New Roman" w:eastAsia="Times New Roman" w:hAnsi="Times New Roman" w:cs="Times New Roman"/>
          <w:color w:val="222222"/>
          <w:sz w:val="24"/>
          <w:szCs w:val="24"/>
        </w:rPr>
        <w:t>-</w:t>
      </w:r>
      <w:r>
        <w:rPr>
          <w:rFonts w:ascii="Times New Roman" w:eastAsia="Times New Roman" w:hAnsi="Times New Roman" w:cs="Times New Roman"/>
          <w:sz w:val="24"/>
          <w:szCs w:val="24"/>
        </w:rPr>
        <w:t>64</w:t>
      </w:r>
      <w:r>
        <w:rPr>
          <w:rFonts w:ascii="Times New Roman" w:eastAsia="Times New Roman" w:hAnsi="Times New Roman" w:cs="Times New Roman"/>
          <w:color w:val="222222"/>
          <w:sz w:val="24"/>
          <w:szCs w:val="24"/>
          <w:highlight w:val="white"/>
        </w:rPr>
        <w:t xml:space="preserve"> Bq/kg</w:t>
      </w:r>
      <w:r>
        <w:rPr>
          <w:rFonts w:ascii="Times New Roman" w:eastAsia="Times New Roman" w:hAnsi="Times New Roman" w:cs="Times New Roman"/>
          <w:color w:val="222222"/>
          <w:sz w:val="24"/>
          <w:szCs w:val="24"/>
        </w:rPr>
        <w:t xml:space="preserve"> for </w:t>
      </w:r>
      <w:r>
        <w:rPr>
          <w:rFonts w:ascii="Times New Roman" w:eastAsia="Times New Roman" w:hAnsi="Times New Roman" w:cs="Times New Roman"/>
          <w:color w:val="222222"/>
          <w:sz w:val="24"/>
          <w:szCs w:val="24"/>
          <w:vertAlign w:val="superscript"/>
        </w:rPr>
        <w:t>232</w:t>
      </w:r>
      <w:r>
        <w:rPr>
          <w:rFonts w:ascii="Times New Roman" w:eastAsia="Times New Roman" w:hAnsi="Times New Roman" w:cs="Times New Roman"/>
          <w:color w:val="222222"/>
          <w:sz w:val="24"/>
          <w:szCs w:val="24"/>
        </w:rPr>
        <w:t>Th</w:t>
      </w:r>
      <w:r>
        <w:rPr>
          <w:rFonts w:ascii="Times New Roman" w:eastAsia="Times New Roman" w:hAnsi="Times New Roman" w:cs="Times New Roman"/>
          <w:sz w:val="24"/>
          <w:szCs w:val="24"/>
        </w:rPr>
        <w:t xml:space="preserve"> and 268-805 Bq/kg for </w:t>
      </w:r>
      <w:r>
        <w:rPr>
          <w:rFonts w:ascii="Times New Roman" w:eastAsia="Times New Roman" w:hAnsi="Times New Roman" w:cs="Times New Roman"/>
          <w:sz w:val="24"/>
          <w:szCs w:val="24"/>
          <w:vertAlign w:val="superscript"/>
        </w:rPr>
        <w:t>40</w:t>
      </w:r>
      <w:r>
        <w:rPr>
          <w:rFonts w:ascii="Times New Roman" w:eastAsia="Times New Roman" w:hAnsi="Times New Roman" w:cs="Times New Roman"/>
          <w:sz w:val="24"/>
          <w:szCs w:val="24"/>
        </w:rPr>
        <w:t xml:space="preserve">K, with mean values of 34.33, 43.75 and 440 </w:t>
      </w:r>
      <w:r>
        <w:rPr>
          <w:rFonts w:ascii="Times New Roman" w:eastAsia="Times New Roman" w:hAnsi="Times New Roman" w:cs="Times New Roman"/>
          <w:color w:val="222222"/>
          <w:sz w:val="24"/>
          <w:szCs w:val="24"/>
          <w:highlight w:val="white"/>
        </w:rPr>
        <w:t>Bq/kg</w:t>
      </w:r>
      <w:r>
        <w:rPr>
          <w:rFonts w:ascii="Times New Roman" w:eastAsia="Times New Roman" w:hAnsi="Times New Roman" w:cs="Times New Roman"/>
          <w:sz w:val="24"/>
          <w:szCs w:val="24"/>
        </w:rPr>
        <w:t xml:space="preserve">, respectively. The mean radium equivalent activity (Raeq) was 130.78 Bq/kg, the absorbed dose rate (ADR) was 60.63 nGy/h, and the annual effective dose (AED) was 0.074 mSv/y.ForChorGhumbad, radionuclide activity ranged from 19–40 Bq/kg for ²²⁶Ra, 39–65 Bq/kg for ²³²Th, and 348–806 Bq/kg for </w:t>
      </w:r>
      <w:commentRangeStart w:id="28"/>
      <w:r>
        <w:rPr>
          <w:rFonts w:ascii="Times New Roman" w:eastAsia="Times New Roman" w:hAnsi="Times New Roman" w:cs="Times New Roman"/>
          <w:sz w:val="24"/>
          <w:szCs w:val="24"/>
        </w:rPr>
        <w:t>⁴⁰</w:t>
      </w:r>
      <w:commentRangeEnd w:id="28"/>
      <w:r w:rsidR="00B24873">
        <w:rPr>
          <w:rStyle w:val="CommentReference"/>
        </w:rPr>
        <w:commentReference w:id="28"/>
      </w:r>
      <w:r>
        <w:rPr>
          <w:rFonts w:ascii="Times New Roman" w:eastAsia="Times New Roman" w:hAnsi="Times New Roman" w:cs="Times New Roman"/>
          <w:sz w:val="24"/>
          <w:szCs w:val="24"/>
        </w:rPr>
        <w:t>K, with mean values of 31.22, 53.44, and 548.33 Bq/kg, respectively. The mean Raeq was 149.87 Bq/kg, ADR 69.57 nGy/h, and AED 0.085 mSv/y.The Excess Lifetime Cancer Risk (ELCR) ranged from 1.62×10⁻⁴ to 3.81×10⁻⁴, with a mean of 2.60×10⁻⁴ for Jal Mahal. For ChorGhumbad, the ELCR ranged from 2.30×10⁻⁴ to 3.88×10⁻⁴, with a mean of 2.99×10⁻⁴. Both averages are lower than the global mean value of 1.45×10⁻³ reported by UNSCEAR.</w:t>
      </w:r>
    </w:p>
    <w:p w:rsidR="00042BE4" w:rsidRDefault="00042BE4">
      <w:pPr>
        <w:jc w:val="both"/>
        <w:rPr>
          <w:rFonts w:ascii="Times New Roman" w:eastAsia="Times New Roman" w:hAnsi="Times New Roman" w:cs="Times New Roman"/>
          <w:sz w:val="24"/>
          <w:szCs w:val="24"/>
        </w:rPr>
      </w:pP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organ dose (Dorgan) for Jal Mahal samples ranged between 3.15×10⁻² mSv/y and 7.41×10⁻² mSv/y, with a mean of 5.06×10⁻² mSv/y. For ChorGhumbad, the values ranged from 4.48×10⁻² mSv/y to 7.54×10⁻² mSv/y,  with a mean of 5.80×10⁻² mSv/y. These are considerably below the ICRP recommended annual limit of 1 mSv/y for the general public.The </w:t>
      </w:r>
      <w:r>
        <w:rPr>
          <w:rFonts w:ascii="Times New Roman" w:eastAsia="Times New Roman" w:hAnsi="Times New Roman" w:cs="Times New Roman"/>
          <w:sz w:val="24"/>
          <w:szCs w:val="24"/>
        </w:rPr>
        <w:lastRenderedPageBreak/>
        <w:t>Activity Utilization Index (AUI) for Jal Mahal ranged between 0.52–1.38 (mean: 0.86), while for ChorGhumbad it ranged from 0.73–1.39 (mean: 1.05), both values being below the recommended safe limit of 2. Similarly, the Gamma Index (Iγ) values for Jal Mahal (0.30–0.71, mean: 0.48) and ChorGhumbad (0.42–0.72, mean: 0.55) did not exceed the restricted limit of 1.</w:t>
      </w:r>
    </w:p>
    <w:p w:rsidR="00042BE4" w:rsidRDefault="00042BE4">
      <w:pPr>
        <w:jc w:val="both"/>
        <w:rPr>
          <w:rFonts w:ascii="Times New Roman" w:eastAsia="Times New Roman" w:hAnsi="Times New Roman" w:cs="Times New Roman"/>
          <w:sz w:val="24"/>
          <w:szCs w:val="24"/>
        </w:rPr>
      </w:pP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Annual Gonadal Dose Equivalent (AGDE) ranged from 267.08–631.53 µSv/y (mean: 427.12 µSv/y) for Jal Mahal, and 377.35–642.20 µSv/y (mean: 491.02 µSv/y) for ChorGhumbad. These values fall within the reported global range of 300–520 µSv/y for building materials.In summary, while the total activity concentrations in Jal Mahal (518.08 Bq/kg) and ChorGhumbad (632.99 Bq/kg) exceed the world average of 420 Bq/kg, all calculated radiological indices—including Raeq, ADR, AED, ELCR, AUI, Iγ, and AGDE—remain within internationally accepted safety </w:t>
      </w:r>
      <w:commentRangeStart w:id="29"/>
      <w:r>
        <w:rPr>
          <w:rFonts w:ascii="Times New Roman" w:eastAsia="Times New Roman" w:hAnsi="Times New Roman" w:cs="Times New Roman"/>
          <w:sz w:val="24"/>
          <w:szCs w:val="24"/>
        </w:rPr>
        <w:t>limits</w:t>
      </w:r>
      <w:commentRangeEnd w:id="29"/>
      <w:r w:rsidR="003C2FE3">
        <w:rPr>
          <w:rStyle w:val="CommentReference"/>
        </w:rPr>
        <w:commentReference w:id="29"/>
      </w:r>
      <w:r>
        <w:rPr>
          <w:rFonts w:ascii="Times New Roman" w:eastAsia="Times New Roman" w:hAnsi="Times New Roman" w:cs="Times New Roman"/>
          <w:sz w:val="24"/>
          <w:szCs w:val="24"/>
        </w:rPr>
        <w:t>.</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radiological assessment of Jal Mahal and ChorGhumbad reveals that the average Annual Effective Dose (AED) values, 0.074 mSv/y and 0.085 mSv/y respectively, are substantially lower than the global average of 0.52 mSv/y and remain well within the ICRP-60 recommended threshold. Correspondingly, the Excess Lifetime Cancer Risk (ELCR) and Dorgan indices also fall below worldwide reference levels, affirming negligible radiological health hazards. The mean Activity Utilization Index (AUI) values, 0.862 for Jal Mahal and 1.045 for ChorGhumbad, remain below the prescribed safety limit, although select samples (JMN-2 and CGN-6) approach the permissible boundary. Similarly, the mean gamma index (Iγ) values, 0.480 and 0.554, are within the acceptable restriction of Iγ = 1, with isolated readings nearing the critical threshold. Furthermore, the mean Annual Gonadal Dose Equivalent (AGDE) values of 427.12 µSv/y (Jal Mahal) and 491.02 µSv/y (ChorGhumbad) reinforce the overall compliance with international radiological safety standards.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Comparison with World Averages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reveal that radionuclide activity concentrations in both Jal Mahal and ChorGhumbad exceed the global average value of 420 Bq/kg for building materials. However, the calculated radiological indices remain within internationally accepted safety limits. The mean Raeq values of 130.78 Bq/kg (Jal Mahal) and 149.87 Bq/kg (ChorGhumbad) are well below the UNSCEAR threshold of 370 Bq/kg. Similarly, the mean AED values of 0.074  mSv/y and 0.085 mSv/y are significantly lower than the ICRP recommended annual exposure limit of 1 mSv/y for the public. These findings confirm that both sites are radiologically safe despite elevated activity concentrations.</w:t>
      </w:r>
    </w:p>
    <w:p w:rsidR="00042BE4" w:rsidRDefault="000E4256">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Health Implications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slightly higher absorbed dose rates compared to the world average of 59 nGy/h (60.63 nGy/h for Jal Mahal and 69.57 nGy/h  forChorGhumbad) suggest the need for continued monitoring. Nevertheless, the estimated Excess Lifetime Cancer Risk (ELCR) values are substantially below the global average of 1.45×10⁻³, indicating minimal long-term health risks. The effective organ dose values also remain far below the safety criterion, reinforcing the conclusion that exposure to radiation from these monuments does not pose significant hazards to visitors or residents in the surrounding areas.</w:t>
      </w:r>
    </w:p>
    <w:p w:rsidR="00042BE4" w:rsidRDefault="000E4256">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Significance for Heritage Sites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of radiological indices, including AUI, Iγ, and AGDE, further demonstrates that the building materials of these historic monuments pose no notable radiological hazard. This outcome is vital for both public health and cultural preservation. Since Narnaul’s monuments are of historical and cultural importance, establishing baseline radiation levels contributes to their safe usage, sustainable conservation, and enhanced public awareness of environmental radiation. Regular monitoring of such sites is recommended to safeguard community health, ensure responsible use of natural resources, and protect heritage structures for future generations.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CONCLUSION </w:t>
      </w:r>
    </w:p>
    <w:p w:rsidR="00042BE4" w:rsidRDefault="000E4256">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This study establishes important baseline data on natural radioactivity levels in the historic monuments of Narnaul, Haryana. Although the activity concentrations of radionuclides in Jal Mahal and ChorGhumbad were found to be higher than the global average, the calculated radiological indices—including Raeq, ADR, AED, ELCR, AUI, Iγ, and AGDE—remained within internationally permissible limits. These results indicate that the monuments do not pose any immediate health risks to visitors or residents in the surrounding areas.</w:t>
      </w:r>
    </w:p>
    <w:p w:rsidR="00042BE4" w:rsidRDefault="00042BE4">
      <w:pPr>
        <w:jc w:val="both"/>
        <w:rPr>
          <w:rFonts w:ascii="Times New Roman" w:eastAsia="Times New Roman" w:hAnsi="Times New Roman" w:cs="Times New Roman"/>
          <w:color w:val="222222"/>
          <w:sz w:val="24"/>
          <w:szCs w:val="24"/>
        </w:rPr>
      </w:pPr>
    </w:p>
    <w:p w:rsidR="00042BE4" w:rsidRDefault="000E4256">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significance of this work lies not only in its scientific contribution but also in its practical importance for society. Radiation is an invisible environmental factor that can affect human health, and therefore continuous monitoring of such sites is essential. By linking public safety with cultural preservation, this study underscores the value of responsible environmental management. Ultimately, the findings provide guidance for ensuring safe living conditions while safeguarding historical monuments for future generations.</w:t>
      </w:r>
    </w:p>
    <w:p w:rsidR="00042BE4" w:rsidRDefault="00042BE4">
      <w:pPr>
        <w:jc w:val="both"/>
        <w:rPr>
          <w:rFonts w:ascii="Times New Roman" w:eastAsia="Times New Roman" w:hAnsi="Times New Roman" w:cs="Times New Roman"/>
          <w:color w:val="222222"/>
          <w:sz w:val="24"/>
          <w:szCs w:val="24"/>
        </w:rPr>
      </w:pP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DISCLAIMER (ARTIFICIAL INTELLIGENCE)</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this manuscript. </w:t>
      </w:r>
    </w:p>
    <w:p w:rsidR="00042BE4" w:rsidRDefault="00042BE4">
      <w:pPr>
        <w:jc w:val="both"/>
        <w:rPr>
          <w:rFonts w:ascii="Times New Roman" w:eastAsia="Times New Roman" w:hAnsi="Times New Roman" w:cs="Times New Roman"/>
          <w:sz w:val="24"/>
          <w:szCs w:val="24"/>
        </w:rPr>
      </w:pPr>
    </w:p>
    <w:p w:rsidR="00042BE4" w:rsidRDefault="00042BE4">
      <w:pPr>
        <w:jc w:val="both"/>
        <w:rPr>
          <w:rFonts w:ascii="Times New Roman" w:eastAsia="Times New Roman" w:hAnsi="Times New Roman" w:cs="Times New Roman"/>
          <w:sz w:val="24"/>
          <w:szCs w:val="24"/>
        </w:rPr>
      </w:pPr>
      <w:bookmarkStart w:id="30" w:name="_GoBack"/>
      <w:bookmarkEnd w:id="30"/>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COMPETING INTERESTS </w:t>
      </w:r>
    </w:p>
    <w:p w:rsidR="00042BE4" w:rsidRDefault="000E4256">
      <w:pPr>
        <w:jc w:val="both"/>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Authors have declared that no competing interests exist. </w:t>
      </w:r>
    </w:p>
    <w:p w:rsidR="00AF1052" w:rsidRPr="00AF1052" w:rsidRDefault="00AF1052" w:rsidP="00AF1052">
      <w:pPr>
        <w:jc w:val="both"/>
        <w:rPr>
          <w:rFonts w:ascii="Times New Roman" w:eastAsia="Times New Roman" w:hAnsi="Times New Roman" w:cs="Times New Roman"/>
          <w:color w:val="222222"/>
          <w:sz w:val="24"/>
          <w:szCs w:val="24"/>
        </w:rPr>
      </w:pPr>
      <w:r w:rsidRPr="00AF1052">
        <w:rPr>
          <w:rFonts w:ascii="Times New Roman" w:eastAsia="Times New Roman" w:hAnsi="Times New Roman" w:cs="Times New Roman"/>
          <w:color w:val="222222"/>
          <w:sz w:val="24"/>
          <w:szCs w:val="24"/>
        </w:rPr>
        <w:t>COMPETING INTERESTS DISCLAIMER:</w:t>
      </w:r>
    </w:p>
    <w:p w:rsidR="00042BE4" w:rsidRDefault="00AF1052" w:rsidP="00AF1052">
      <w:pPr>
        <w:jc w:val="both"/>
        <w:rPr>
          <w:rFonts w:ascii="Times New Roman" w:eastAsia="Times New Roman" w:hAnsi="Times New Roman" w:cs="Times New Roman"/>
          <w:color w:val="222222"/>
          <w:sz w:val="24"/>
          <w:szCs w:val="24"/>
        </w:rPr>
      </w:pPr>
      <w:r w:rsidRPr="00AF1052">
        <w:rPr>
          <w:rFonts w:ascii="Times New Roman" w:eastAsia="Times New Roman" w:hAnsi="Times New Roman" w:cs="Times New Roman"/>
          <w:color w:val="222222"/>
          <w:sz w:val="24"/>
          <w:szCs w:val="24"/>
        </w:rPr>
        <w:t>Authors have declared that they have no known competing financial interests OR non-financial interests OR personal relationships that could have appeared to influence the work reported in this paper.</w:t>
      </w:r>
    </w:p>
    <w:p w:rsidR="00042BE4" w:rsidRDefault="00042BE4">
      <w:pPr>
        <w:jc w:val="both"/>
        <w:rPr>
          <w:rFonts w:ascii="Times New Roman" w:eastAsia="Times New Roman" w:hAnsi="Times New Roman" w:cs="Times New Roman"/>
          <w:sz w:val="24"/>
          <w:szCs w:val="24"/>
        </w:rPr>
      </w:pP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Abbasi, A., Kurnaz, A., Turhan, Ş., &amp;Mirekhtiary, F. (2020).Radiation hazards and natural radioactivity levels in surface soil samples from dwelling areas of North Cyprus. Journal of Radioanalytical and Nuclear Chemistry, 324(1), 203–210. </w:t>
      </w:r>
      <w:hyperlink r:id="rId27">
        <w:r w:rsidR="00042BE4">
          <w:rPr>
            <w:rFonts w:ascii="Times New Roman" w:eastAsia="Times New Roman" w:hAnsi="Times New Roman" w:cs="Times New Roman"/>
            <w:color w:val="0000FF"/>
            <w:sz w:val="24"/>
            <w:szCs w:val="24"/>
            <w:u w:val="single"/>
          </w:rPr>
          <w:t>https://doi.org/10.1007/s10967-020-07027-y</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Al-Khawlany, A. H., Khan, A., &amp; Pathan, J. (2018). Review on studies in natural background radiation. Radiation Protection and Environment, 41(4), 215–222. </w:t>
      </w:r>
      <w:hyperlink r:id="rId28">
        <w:r w:rsidR="00042BE4">
          <w:rPr>
            <w:rFonts w:ascii="Times New Roman" w:eastAsia="Times New Roman" w:hAnsi="Times New Roman" w:cs="Times New Roman"/>
            <w:color w:val="0000FF"/>
            <w:sz w:val="24"/>
            <w:szCs w:val="24"/>
            <w:u w:val="single"/>
          </w:rPr>
          <w:t>https://doi.org/10.4103/rpe.RPE_50_18</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Al-khawlany, A. H., Khan, A., Pathan, J., &amp; Fatema, I. (2020). Assessment of potential radiological risks due to natural gamma radiations in some selected rock samples using γ-ray spectrometry. Journal of Physics: Conference Series, 1644(1), 012004. </w:t>
      </w:r>
      <w:hyperlink r:id="rId29">
        <w:r w:rsidR="00042BE4">
          <w:rPr>
            <w:rFonts w:ascii="Times New Roman" w:eastAsia="Times New Roman" w:hAnsi="Times New Roman" w:cs="Times New Roman"/>
            <w:color w:val="0000FF"/>
            <w:sz w:val="24"/>
            <w:szCs w:val="24"/>
            <w:u w:val="single"/>
          </w:rPr>
          <w:t>https://doi.org/10.1088/1742-6596/1644/1/012004</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Alwaeli, M., &amp; Mannheim, V. (2022).Investigation into the current state of nuclear energy and nuclear waste management—Astate-of-the-art review.Energies, 15(11), 4275. </w:t>
      </w:r>
      <w:hyperlink r:id="rId30">
        <w:r w:rsidR="00042BE4">
          <w:rPr>
            <w:rFonts w:ascii="Times New Roman" w:eastAsia="Times New Roman" w:hAnsi="Times New Roman" w:cs="Times New Roman"/>
            <w:color w:val="0000FF"/>
            <w:sz w:val="24"/>
            <w:szCs w:val="24"/>
            <w:u w:val="single"/>
          </w:rPr>
          <w:t>https://doi.org/10.3390/en15114275</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5.Bossew, P.,Cinelli, G., Hernández-Ceballos, M., Cernohlawek, N., Gruber, V., Dehandschutter, B., Menneson, F., Bleher, M., Stöhlker, U., Hellmann, I., &amp; et al. (2017).Estimating the terrestrial gamma dose rate by decomposition of the ambient dose equivalent rate. Journal of Environmental Radioactivity, 166, 296–308. </w:t>
      </w:r>
      <w:hyperlink r:id="rId31">
        <w:r w:rsidR="00042BE4">
          <w:rPr>
            <w:rFonts w:ascii="Times New Roman" w:eastAsia="Times New Roman" w:hAnsi="Times New Roman" w:cs="Times New Roman"/>
            <w:color w:val="0000FF"/>
            <w:sz w:val="24"/>
            <w:szCs w:val="24"/>
            <w:u w:val="single"/>
          </w:rPr>
          <w:t>https://doi.org/10.1016/j.jenvrad.2016.05.015</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Darwish, D. A. E., Abul-Nasr, K. T. M., &amp; El-Khayatt, A. M. (2015). Assessment of natural radioactivity and its associated radiological hazards and dose parameters in granite samples from South Sinai, Egypt. Journal of Radiation Research and Applied Sciences, 8(1), 17–25. </w:t>
      </w:r>
      <w:hyperlink r:id="rId32">
        <w:r w:rsidR="00042BE4">
          <w:rPr>
            <w:rFonts w:ascii="Times New Roman" w:eastAsia="Times New Roman" w:hAnsi="Times New Roman" w:cs="Times New Roman"/>
            <w:color w:val="0000FF"/>
            <w:sz w:val="24"/>
            <w:szCs w:val="24"/>
            <w:u w:val="single"/>
          </w:rPr>
          <w:t>https://doi.org/10.1016/j.jrras.2014.10.002</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 Delacroix, D., Guerre, J. P., Leblanc, P., &amp; Hickman, C. (2002).Radionuclide and radiation protection data handbook 2002. Radiation Protection Dosimetry, 98(1), 1–168. </w:t>
      </w:r>
      <w:hyperlink r:id="rId33">
        <w:r w:rsidR="00042BE4">
          <w:rPr>
            <w:rFonts w:ascii="Times New Roman" w:eastAsia="Times New Roman" w:hAnsi="Times New Roman" w:cs="Times New Roman"/>
            <w:color w:val="0000FF"/>
            <w:sz w:val="24"/>
            <w:szCs w:val="24"/>
            <w:u w:val="single"/>
          </w:rPr>
          <w:t>https://doi.org/10.1093/oxfordjournals.rpd.a006700</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Egidi, P. (1997).Introduction to naturally occurring radioactive material (Technical Report).Oak Ridge National Laboratory.</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Johansson, T. B., &amp; Steen, P. (2022).Radioactive waste from nuclear power plants. University of California Press.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Kant, K., Gupta, R., Kumari, R., Gupta, N., &amp; Garg, M. (2015).Natural radioactivity in Indian vegetation samples. International Journal of Radiation Research, 13(2), 143–150.</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Khan, H. A. A., &amp;Alshukri, A. S. (2020). Evaluation of environmental and health risks related with the management of medical waste in Al Najaf City Journal of Engineering Science and Technology, 15(5), 4383–4391.</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12.Kovler, K., Friedmann, H., Michalik, B., Schroeyers, W., Tsapalov, A., Antropov, S., Bituh, T., &amp; Nicolaides, D. (2017).Basic aspects of natural radioactivity. In W. Schroeyers (Ed.), Naturally occurring radioactive materials in construction (pp. 13–36).Elsevier. </w:t>
      </w:r>
      <w:hyperlink r:id="rId34">
        <w:r w:rsidR="00042BE4">
          <w:rPr>
            <w:rFonts w:ascii="Times New Roman" w:eastAsia="Times New Roman" w:hAnsi="Times New Roman" w:cs="Times New Roman"/>
            <w:color w:val="0000FF"/>
            <w:sz w:val="24"/>
            <w:szCs w:val="24"/>
            <w:u w:val="single"/>
          </w:rPr>
          <w:t>https://doi.org/10.1016/B978-0-08-102009-8.00002-6</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13.Lolila, F., &amp;Mazunga, M. S. (2023). Measurements of natural radioactivity and evaluation of radiation hazard indices in soils around the Manyoni uranium deposit in Tanzania.Journal of Radiation Research and Applied Sciences, 16(1),100524. </w:t>
      </w:r>
      <w:hyperlink r:id="rId35">
        <w:r w:rsidR="00042BE4">
          <w:rPr>
            <w:rFonts w:ascii="Times New Roman" w:eastAsia="Times New Roman" w:hAnsi="Times New Roman" w:cs="Times New Roman"/>
            <w:color w:val="0000FF"/>
            <w:sz w:val="24"/>
            <w:szCs w:val="24"/>
            <w:u w:val="single"/>
          </w:rPr>
          <w:t>https://doi.org/10.1016/j.jrras.2023.100524</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14.Malikova, I., Strakhovenko, V., &amp; Ustinov, M. (2020).Uranium and thorium contents in soils and bottom sediments of Lake BolshoyeYarovoye, western Siberia. Journal of Environmental Radioactivity,211, 106048. </w:t>
      </w:r>
      <w:hyperlink r:id="rId36">
        <w:r w:rsidR="00042BE4">
          <w:rPr>
            <w:rFonts w:ascii="Times New Roman" w:eastAsia="Times New Roman" w:hAnsi="Times New Roman" w:cs="Times New Roman"/>
            <w:color w:val="0000FF"/>
            <w:sz w:val="24"/>
            <w:szCs w:val="24"/>
            <w:u w:val="single"/>
          </w:rPr>
          <w:t>https://doi.org/10.1016/j.jenvrad.2019.106048</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Martin,J. E. (2006). Physics for radiation protection: A handbook.John Wiley &amp; Sons.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Menon,S., &amp; Kumar, L. S. V. (2019). Weaponizing radioactive medical waste—The looming threat. International Journal of Nuclear Security,5(1),4. </w:t>
      </w:r>
      <w:hyperlink r:id="rId37">
        <w:r w:rsidR="00042BE4">
          <w:rPr>
            <w:rFonts w:ascii="Times New Roman" w:eastAsia="Times New Roman" w:hAnsi="Times New Roman" w:cs="Times New Roman"/>
            <w:color w:val="0000FF"/>
            <w:sz w:val="24"/>
            <w:szCs w:val="24"/>
            <w:u w:val="single"/>
          </w:rPr>
          <w:t>https://doi.org/10.7290/ijns050104</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17.Missimer, T. M., Teaf, C., Maliva, R. G., Danley-Thomson, A., Covert, D., &amp; Hegy, M. (2019).Natural radiation in the rocks, soils, and groundwater of Southern Florida with a discussion on potential health impacts.International Journal of Environmental Research and Public Health, 16(11), 1793. </w:t>
      </w:r>
      <w:hyperlink r:id="rId38">
        <w:r w:rsidR="00042BE4">
          <w:rPr>
            <w:rFonts w:ascii="Times New Roman" w:eastAsia="Times New Roman" w:hAnsi="Times New Roman" w:cs="Times New Roman"/>
            <w:color w:val="0000FF"/>
            <w:sz w:val="24"/>
            <w:szCs w:val="24"/>
            <w:u w:val="single"/>
          </w:rPr>
          <w:t>https://doi.org/10.3390/ijerph16111793</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18.Musa, I. S. M. (2019).Environmental radiation: Natural radioactivity monitoring. In M. H. Abdel-Dayem(Ed.), Ionizing and non-ionizing radiation.IntechOpen. </w:t>
      </w:r>
      <w:hyperlink r:id="rId39">
        <w:r w:rsidR="00042BE4">
          <w:rPr>
            <w:rFonts w:ascii="Times New Roman" w:eastAsia="Times New Roman" w:hAnsi="Times New Roman" w:cs="Times New Roman"/>
            <w:color w:val="0000FF"/>
            <w:sz w:val="24"/>
            <w:szCs w:val="24"/>
            <w:u w:val="single"/>
          </w:rPr>
          <w:t>https://doi.org/10.5772/intechopen.84643</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19.Omori, Y., Tokonami, S., Sahoo, S. K., Ishikawa, T., Sorimachi, A., Hosoda, M., Kudo, H., Pornnumpa, C., Nair, R. R. K., Jayalekshmi, P. A., &amp; et al. (2016).Radiation dose due to radon and thoron progeny inhalation in high-level natural radiation areas of Kerala, India. Journal of Radiological Protection, 37(1), 111–122. </w:t>
      </w:r>
      <w:hyperlink r:id="rId40">
        <w:r w:rsidR="00042BE4">
          <w:rPr>
            <w:rFonts w:ascii="Times New Roman" w:eastAsia="Times New Roman" w:hAnsi="Times New Roman" w:cs="Times New Roman"/>
            <w:color w:val="0000FF"/>
            <w:sz w:val="24"/>
            <w:szCs w:val="24"/>
            <w:u w:val="single"/>
          </w:rPr>
          <w:t>https://doi.org/10.1088/1361-6498/37/1/111</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20.Patel, K. S., Sharma, S., Maity, J. P., Martín-Ramos, P., Fiket, Ž., Bhattacharya, P., &amp; Zhu, Y. (2023). Occurrence of uranium, thorium and rare earth elements in the environment: A review. Frontiers in Environmental Science,10, 1058053. </w:t>
      </w:r>
      <w:hyperlink r:id="rId41">
        <w:r w:rsidR="00042BE4">
          <w:rPr>
            <w:rFonts w:ascii="Times New Roman" w:eastAsia="Times New Roman" w:hAnsi="Times New Roman" w:cs="Times New Roman"/>
            <w:color w:val="0000FF"/>
            <w:sz w:val="24"/>
            <w:szCs w:val="24"/>
            <w:u w:val="single"/>
          </w:rPr>
          <w:t>https://doi.org/10.3389/fenvs.2022.1058053</w:t>
        </w:r>
      </w:hyperlink>
      <w:r>
        <w:rPr>
          <w:rFonts w:ascii="Times New Roman" w:eastAsia="Times New Roman" w:hAnsi="Times New Roman" w:cs="Times New Roman"/>
          <w:sz w:val="24"/>
          <w:szCs w:val="24"/>
        </w:rPr>
        <w:t>.</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René, M., &amp;Akitsu, T. (2017).Nature, sources, resources,and production of thorium. In Descriptive inorganic chemistry researches of metal compound  201–212.</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22.Rühm, W., Azizova, T., Bouffler, S., Cullings, H. M., Grosche, B., Little, M. P., Shore, R. S., Walsh, L., &amp;Woloschak, G. E. (2018). Typical doses and dose rates in studies pertinent to radiation risk inference at low doses and low dose rates. Journal of Radiation Research, 59(suppl_2) ,ii1–ii10. </w:t>
      </w:r>
      <w:hyperlink r:id="rId42">
        <w:r w:rsidR="00042BE4">
          <w:rPr>
            <w:rFonts w:ascii="Times New Roman" w:eastAsia="Times New Roman" w:hAnsi="Times New Roman" w:cs="Times New Roman"/>
            <w:color w:val="0000FF"/>
            <w:sz w:val="24"/>
            <w:szCs w:val="24"/>
            <w:u w:val="single"/>
          </w:rPr>
          <w:t>https://doi.org/10.1093/jrr/rry001</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Sahoo, P., &amp;Joseph, J. (2021). Radioactive hazards in utilization of industrial by-products: Comprehensive review. Journal of Hazardous, Toxic, and Radioactive Waste,25(4),03121001. </w:t>
      </w:r>
      <w:hyperlink r:id="rId43">
        <w:r w:rsidR="00042BE4">
          <w:rPr>
            <w:rFonts w:ascii="Times New Roman" w:eastAsia="Times New Roman" w:hAnsi="Times New Roman" w:cs="Times New Roman"/>
            <w:color w:val="0000FF"/>
            <w:sz w:val="24"/>
            <w:szCs w:val="24"/>
            <w:u w:val="single"/>
          </w:rPr>
          <w:t>https://doi.org/10.1061/(ASCE)HZ.2153-5515.0000586</w:t>
        </w:r>
      </w:hyperlink>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Shankramma, K., Nagaraja, K., Sathish, L. A., &amp; Kumar, K. C. (2022).A review on natural gamma radiation dose levels and its health effects. International Journal of Health and Allied Sciences 11(1),1.</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25.Shapiro,J. (2002). Radiation protection: A guide for scientists, regulators, and physicians. La Editorial UPR.Till, J. E., &amp; Grogan, H. A. (2008).Radiological risk assessment and environmental analysis.Oxford University Press.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26.Tye, A., Milodowski, A., &amp; Smedley, P. (2017).Distribution of natural radioactivity in the environment.British Geological Survey.</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United Nations Scientific Committee on the Effects of Atomic Radiation (UNSCEAR). (2020). Sources and effects of ionizing radiation: Report to the General Assembly, with scientific annexes (E.00.IX.3) United Nations.</w:t>
      </w:r>
    </w:p>
    <w:p w:rsidR="00042BE4" w:rsidRDefault="000E42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28.Zanin, Y. N., Zamirailova, A., &amp; Eder, V. (2016).Uranium, thorium, and potassium in black shales of the Bazhenov Formation of the West Siberian marine basin. Lithology and Mineral Resources, 51(1), 74–85. </w:t>
      </w:r>
      <w:hyperlink r:id="rId44">
        <w:r w:rsidR="00042BE4">
          <w:rPr>
            <w:rFonts w:ascii="Times New Roman" w:eastAsia="Times New Roman" w:hAnsi="Times New Roman" w:cs="Times New Roman"/>
            <w:color w:val="0000FF"/>
            <w:sz w:val="24"/>
            <w:szCs w:val="24"/>
            <w:u w:val="single"/>
          </w:rPr>
          <w:t>https://doi.org/10.1134/S0024490216010124</w:t>
        </w:r>
      </w:hyperlink>
    </w:p>
    <w:p w:rsidR="00042BE4" w:rsidRDefault="00042BE4">
      <w:pPr>
        <w:jc w:val="both"/>
        <w:rPr>
          <w:rFonts w:ascii="Times New Roman" w:eastAsia="Times New Roman" w:hAnsi="Times New Roman" w:cs="Times New Roman"/>
          <w:sz w:val="24"/>
          <w:szCs w:val="24"/>
        </w:rPr>
      </w:pPr>
    </w:p>
    <w:p w:rsidR="00042BE4" w:rsidRDefault="00042BE4">
      <w:pPr>
        <w:rPr>
          <w:rFonts w:ascii="Times New Roman" w:eastAsia="Times New Roman" w:hAnsi="Times New Roman" w:cs="Times New Roman"/>
          <w:sz w:val="24"/>
          <w:szCs w:val="24"/>
        </w:rPr>
      </w:pPr>
    </w:p>
    <w:sectPr w:rsidR="00042BE4" w:rsidSect="00ED7AC1">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L ADAMU DAMARI" w:date="2025-09-08T19:28:00Z" w:initials="MAD">
    <w:p w:rsidR="003C2FE3" w:rsidRDefault="003C2FE3">
      <w:pPr>
        <w:pStyle w:val="CommentText"/>
      </w:pPr>
      <w:r>
        <w:rPr>
          <w:rStyle w:val="CommentReference"/>
        </w:rPr>
        <w:annotationRef/>
      </w:r>
      <w:r>
        <w:t>Rephrase the last sentence for clarity eg.; The study evaluates the potential radiological risk to human health form enhanced natural background radiation</w:t>
      </w:r>
    </w:p>
  </w:comment>
  <w:comment w:id="1" w:author="MAL ADAMU DAMARI" w:date="2025-09-08T18:32:00Z" w:initials="MAD">
    <w:p w:rsidR="00746F8C" w:rsidRDefault="00746F8C">
      <w:pPr>
        <w:pStyle w:val="CommentText"/>
      </w:pPr>
      <w:r>
        <w:rPr>
          <w:rStyle w:val="CommentReference"/>
        </w:rPr>
        <w:annotationRef/>
      </w:r>
      <w:r>
        <w:t>Insert the average activity of the 3 eNORMs for each monument</w:t>
      </w:r>
      <w:r w:rsidR="00B24873">
        <w:t xml:space="preserve"> (site)</w:t>
      </w:r>
    </w:p>
  </w:comment>
  <w:comment w:id="2" w:author="MAL ADAMU DAMARI" w:date="2025-09-08T18:34:00Z" w:initials="MAD">
    <w:p w:rsidR="00B24873" w:rsidRDefault="00B24873">
      <w:pPr>
        <w:pStyle w:val="CommentText"/>
      </w:pPr>
      <w:r>
        <w:rPr>
          <w:rStyle w:val="CommentReference"/>
        </w:rPr>
        <w:annotationRef/>
      </w:r>
      <w:r>
        <w:t>Reason or justification of the research is not clear</w:t>
      </w:r>
    </w:p>
  </w:comment>
  <w:comment w:id="3" w:author="MAL ADAMU DAMARI" w:date="2025-09-08T18:37:00Z" w:initials="MAD">
    <w:p w:rsidR="003230F4" w:rsidRDefault="003230F4">
      <w:pPr>
        <w:pStyle w:val="CommentText"/>
      </w:pPr>
      <w:r>
        <w:rPr>
          <w:rStyle w:val="CommentReference"/>
        </w:rPr>
        <w:annotationRef/>
      </w:r>
      <w:r>
        <w:t>Consider adding recent reference</w:t>
      </w:r>
    </w:p>
  </w:comment>
  <w:comment w:id="4" w:author="MAL ADAMU DAMARI" w:date="2025-09-08T18:03:00Z" w:initials="MAD">
    <w:p w:rsidR="00746F8C" w:rsidRDefault="00746F8C">
      <w:pPr>
        <w:pStyle w:val="CommentText"/>
      </w:pPr>
      <w:r>
        <w:rPr>
          <w:rStyle w:val="CommentReference"/>
        </w:rPr>
        <w:annotationRef/>
      </w:r>
      <w:r>
        <w:t xml:space="preserve">Use  </w:t>
      </w:r>
      <w:r>
        <w:rPr>
          <w:rFonts w:ascii="Times New Roman" w:eastAsia="Times New Roman" w:hAnsi="Times New Roman" w:cs="Times New Roman"/>
          <w:sz w:val="24"/>
          <w:szCs w:val="24"/>
        </w:rPr>
        <w:t>μ</w:t>
      </w:r>
      <w:r>
        <w:rPr>
          <w:rFonts w:ascii="Gungsuh" w:eastAsia="Gungsuh" w:hAnsi="Gungsuh" w:cs="Gungsuh"/>
          <w:sz w:val="24"/>
          <w:szCs w:val="24"/>
        </w:rPr>
        <w:t>Sv/h</w:t>
      </w:r>
    </w:p>
  </w:comment>
  <w:comment w:id="5" w:author="MAL ADAMU DAMARI" w:date="2025-09-08T19:18:00Z" w:initials="MAD">
    <w:p w:rsidR="000E2329" w:rsidRDefault="000E2329">
      <w:pPr>
        <w:pStyle w:val="CommentText"/>
      </w:pPr>
      <w:r>
        <w:rPr>
          <w:rStyle w:val="CommentReference"/>
        </w:rPr>
        <w:annotationRef/>
      </w:r>
      <w:r>
        <w:t>Were selected</w:t>
      </w:r>
    </w:p>
  </w:comment>
  <w:comment w:id="6" w:author="MAL ADAMU DAMARI" w:date="2025-09-08T18:07:00Z" w:initials="MAD">
    <w:p w:rsidR="00746F8C" w:rsidRDefault="00746F8C">
      <w:pPr>
        <w:pStyle w:val="CommentText"/>
      </w:pPr>
      <w:r>
        <w:rPr>
          <w:rStyle w:val="CommentReference"/>
        </w:rPr>
        <w:annotationRef/>
      </w:r>
      <w:r>
        <w:t xml:space="preserve">Insert here picture of </w:t>
      </w:r>
      <w:r w:rsidR="004911B0">
        <w:t>the samples collected and werecollected</w:t>
      </w:r>
    </w:p>
  </w:comment>
  <w:comment w:id="7" w:author="MAL ADAMU DAMARI" w:date="2025-09-08T18:12:00Z" w:initials="MAD">
    <w:p w:rsidR="004911B0" w:rsidRDefault="004911B0">
      <w:pPr>
        <w:pStyle w:val="CommentText"/>
      </w:pPr>
      <w:r>
        <w:rPr>
          <w:rStyle w:val="CommentReference"/>
        </w:rPr>
        <w:annotationRef/>
      </w:r>
      <w:r>
        <w:t xml:space="preserve">Also since the radioactivity concentration measured was from </w:t>
      </w:r>
      <w:r>
        <w:rPr>
          <w:rFonts w:ascii="Times New Roman" w:eastAsia="Times New Roman" w:hAnsi="Times New Roman" w:cs="Times New Roman"/>
          <w:sz w:val="24"/>
          <w:szCs w:val="24"/>
        </w:rPr>
        <w:t>Local construction materials traditionally include stone, bricks, lime and wood</w:t>
      </w:r>
      <w:r>
        <w:rPr>
          <w:rStyle w:val="CommentReference"/>
        </w:rPr>
        <w:annotationRef/>
      </w:r>
      <w:r>
        <w:rPr>
          <w:rFonts w:ascii="Times New Roman" w:eastAsia="Times New Roman" w:hAnsi="Times New Roman" w:cs="Times New Roman"/>
          <w:sz w:val="24"/>
          <w:szCs w:val="24"/>
        </w:rPr>
        <w:t>, then it becomes; Enhanced Naturally Occurring Radioactive Materials (ENORMs</w:t>
      </w:r>
    </w:p>
  </w:comment>
  <w:comment w:id="9" w:author="MAL ADAMU DAMARI" w:date="2025-09-08T19:32:00Z" w:initials="MAD">
    <w:p w:rsidR="003C2FE3" w:rsidRDefault="003C2FE3">
      <w:pPr>
        <w:pStyle w:val="CommentText"/>
      </w:pPr>
      <w:r>
        <w:rPr>
          <w:rStyle w:val="CommentReference"/>
        </w:rPr>
        <w:annotationRef/>
      </w:r>
      <w:r>
        <w:t>Verify if the</w:t>
      </w:r>
      <w:r w:rsidR="001C7EE7">
        <w:t xml:space="preserve"> sampling method follows IAEA or</w:t>
      </w:r>
      <w:r>
        <w:t xml:space="preserve"> UNCEAR </w:t>
      </w:r>
      <w:r w:rsidR="001C7EE7">
        <w:t>guidelines</w:t>
      </w:r>
    </w:p>
  </w:comment>
  <w:comment w:id="10" w:author="MAL ADAMU DAMARI" w:date="2025-09-08T18:13:00Z" w:initials="MAD">
    <w:p w:rsidR="004911B0" w:rsidRDefault="004911B0">
      <w:pPr>
        <w:pStyle w:val="CommentText"/>
      </w:pPr>
      <w:r>
        <w:rPr>
          <w:rStyle w:val="CommentReference"/>
        </w:rPr>
        <w:annotationRef/>
      </w:r>
      <w:r>
        <w:t>Identify this</w:t>
      </w:r>
    </w:p>
  </w:comment>
  <w:comment w:id="11" w:author="MAL ADAMU DAMARI" w:date="2025-09-08T18:16:00Z" w:initials="MAD">
    <w:p w:rsidR="004911B0" w:rsidRDefault="004911B0">
      <w:pPr>
        <w:pStyle w:val="CommentText"/>
      </w:pPr>
      <w:r>
        <w:rPr>
          <w:rStyle w:val="CommentReference"/>
        </w:rPr>
        <w:annotationRef/>
      </w:r>
      <w:r>
        <w:t>S</w:t>
      </w:r>
    </w:p>
  </w:comment>
  <w:comment w:id="12" w:author="MAL ADAMU DAMARI" w:date="2025-09-08T18:16:00Z" w:initials="MAD">
    <w:p w:rsidR="00C775D1" w:rsidRDefault="00C775D1">
      <w:pPr>
        <w:pStyle w:val="CommentText"/>
      </w:pPr>
      <w:r>
        <w:rPr>
          <w:rStyle w:val="CommentReference"/>
        </w:rPr>
        <w:annotationRef/>
      </w:r>
    </w:p>
  </w:comment>
  <w:comment w:id="13" w:author="MAL ADAMU DAMARI" w:date="2025-09-08T19:20:00Z" w:initials="MAD">
    <w:p w:rsidR="003230F4" w:rsidRDefault="003230F4">
      <w:pPr>
        <w:pStyle w:val="CommentText"/>
      </w:pPr>
      <w:r>
        <w:rPr>
          <w:rStyle w:val="CommentReference"/>
        </w:rPr>
        <w:annotationRef/>
      </w:r>
      <w:r>
        <w:t>Consider adding reference to IAEA safety standard here</w:t>
      </w:r>
      <w:r w:rsidR="000E2329">
        <w:t xml:space="preserve"> also</w:t>
      </w:r>
    </w:p>
  </w:comment>
  <w:comment w:id="14" w:author="MAL ADAMU DAMARI" w:date="2025-09-08T18:28:00Z" w:initials="MAD">
    <w:p w:rsidR="00B24873" w:rsidRDefault="00B24873">
      <w:pPr>
        <w:pStyle w:val="CommentText"/>
      </w:pPr>
      <w:r>
        <w:rPr>
          <w:rStyle w:val="CommentReference"/>
        </w:rPr>
        <w:annotationRef/>
      </w:r>
      <w:r>
        <w:t xml:space="preserve">The </w:t>
      </w:r>
      <w:r>
        <w:rPr>
          <w:rFonts w:ascii="Times New Roman" w:eastAsia="Times New Roman" w:hAnsi="Times New Roman" w:cs="Times New Roman"/>
          <w:sz w:val="24"/>
          <w:szCs w:val="24"/>
        </w:rPr>
        <w:t>Activity Concentration column should be atlest 2 decimal places eg 25.00</w:t>
      </w:r>
    </w:p>
  </w:comment>
  <w:comment w:id="15" w:author="MAL ADAMU DAMARI" w:date="2025-09-08T18:15:00Z" w:initials="MAD">
    <w:p w:rsidR="004911B0" w:rsidRDefault="004911B0">
      <w:pPr>
        <w:pStyle w:val="CommentText"/>
      </w:pPr>
      <w:r>
        <w:rPr>
          <w:rStyle w:val="CommentReference"/>
        </w:rPr>
        <w:annotationRef/>
      </w:r>
      <w:r>
        <w:t>unit</w:t>
      </w:r>
    </w:p>
  </w:comment>
  <w:comment w:id="16" w:author="MAL ADAMU DAMARI" w:date="2025-09-08T18:20:00Z" w:initials="MAD">
    <w:p w:rsidR="00C775D1" w:rsidRDefault="00C775D1">
      <w:pPr>
        <w:pStyle w:val="CommentText"/>
      </w:pPr>
      <w:r>
        <w:rPr>
          <w:rStyle w:val="CommentReference"/>
        </w:rPr>
        <w:annotationRef/>
      </w:r>
      <w:r>
        <w:t>Unit</w:t>
      </w:r>
    </w:p>
  </w:comment>
  <w:comment w:id="17" w:author="MAL ADAMU DAMARI" w:date="2025-09-08T18:19:00Z" w:initials="MAD">
    <w:p w:rsidR="00C775D1" w:rsidRDefault="00C775D1">
      <w:pPr>
        <w:pStyle w:val="CommentText"/>
      </w:pPr>
      <w:r>
        <w:rPr>
          <w:rStyle w:val="CommentReference"/>
        </w:rPr>
        <w:annotationRef/>
      </w:r>
      <w:r>
        <w:t>Unit</w:t>
      </w:r>
    </w:p>
  </w:comment>
  <w:comment w:id="19" w:author="MAL ADAMU DAMARI" w:date="2025-09-08T18:22:00Z" w:initials="MAD">
    <w:p w:rsidR="00C775D1" w:rsidRDefault="00C775D1">
      <w:pPr>
        <w:pStyle w:val="CommentText"/>
      </w:pPr>
      <w:r>
        <w:rPr>
          <w:rStyle w:val="CommentReference"/>
        </w:rPr>
        <w:annotationRef/>
      </w:r>
      <w:r>
        <w:t>k</w:t>
      </w:r>
    </w:p>
  </w:comment>
  <w:comment w:id="18" w:author="MAL ADAMU DAMARI" w:date="2025-09-08T18:26:00Z" w:initials="MAD">
    <w:p w:rsidR="00C775D1" w:rsidRDefault="00C775D1">
      <w:pPr>
        <w:pStyle w:val="CommentText"/>
      </w:pPr>
      <w:r>
        <w:rPr>
          <w:rStyle w:val="CommentReference"/>
        </w:rPr>
        <w:annotationRef/>
      </w:r>
      <w:r>
        <w:t xml:space="preserve">The </w:t>
      </w:r>
      <w:r>
        <w:rPr>
          <w:rFonts w:ascii="Times New Roman" w:eastAsia="Times New Roman" w:hAnsi="Times New Roman" w:cs="Times New Roman"/>
          <w:sz w:val="24"/>
          <w:szCs w:val="24"/>
        </w:rPr>
        <w:t>Activity Concentration column should be atlest 2 decimal places eg 34.00</w:t>
      </w:r>
    </w:p>
  </w:comment>
  <w:comment w:id="20" w:author="MAL ADAMU DAMARI" w:date="2025-09-08T18:21:00Z" w:initials="MAD">
    <w:p w:rsidR="00C775D1" w:rsidRDefault="00C775D1">
      <w:pPr>
        <w:pStyle w:val="CommentText"/>
      </w:pPr>
      <w:r>
        <w:rPr>
          <w:rStyle w:val="CommentReference"/>
        </w:rPr>
        <w:annotationRef/>
      </w:r>
      <w:r>
        <w:t>Unit</w:t>
      </w:r>
    </w:p>
  </w:comment>
  <w:comment w:id="21" w:author="MAL ADAMU DAMARI" w:date="2025-09-08T18:23:00Z" w:initials="MAD">
    <w:p w:rsidR="00C775D1" w:rsidRDefault="00C775D1" w:rsidP="00C775D1">
      <w:pPr>
        <w:pStyle w:val="CommentText"/>
      </w:pPr>
      <w:r>
        <w:rPr>
          <w:rStyle w:val="CommentReference"/>
        </w:rPr>
        <w:annotationRef/>
      </w:r>
      <w:r>
        <w:t>Unit</w:t>
      </w:r>
    </w:p>
  </w:comment>
  <w:comment w:id="22" w:author="MAL ADAMU DAMARI" w:date="2025-09-08T18:23:00Z" w:initials="MAD">
    <w:p w:rsidR="00C775D1" w:rsidRDefault="00C775D1" w:rsidP="00C775D1">
      <w:pPr>
        <w:pStyle w:val="CommentText"/>
      </w:pPr>
      <w:r>
        <w:rPr>
          <w:rStyle w:val="CommentReference"/>
        </w:rPr>
        <w:annotationRef/>
      </w:r>
      <w:r>
        <w:t>Unit</w:t>
      </w:r>
    </w:p>
  </w:comment>
  <w:comment w:id="23" w:author="MAL ADAMU DAMARI" w:date="2025-09-08T18:41:00Z" w:initials="MAD">
    <w:p w:rsidR="003230F4" w:rsidRDefault="003230F4">
      <w:pPr>
        <w:pStyle w:val="CommentText"/>
      </w:pPr>
      <w:r>
        <w:rPr>
          <w:rStyle w:val="CommentReference"/>
        </w:rPr>
        <w:annotationRef/>
      </w:r>
      <w:r>
        <w:t>Consider 2 decimal places here</w:t>
      </w:r>
    </w:p>
  </w:comment>
  <w:comment w:id="24" w:author="MAL ADAMU DAMARI" w:date="2025-09-08T18:42:00Z" w:initials="MAD">
    <w:p w:rsidR="003230F4" w:rsidRDefault="003230F4">
      <w:pPr>
        <w:pStyle w:val="CommentText"/>
      </w:pPr>
      <w:r>
        <w:rPr>
          <w:rStyle w:val="CommentReference"/>
        </w:rPr>
        <w:annotationRef/>
      </w:r>
      <w:r>
        <w:t>2 or 4 decimal places</w:t>
      </w:r>
    </w:p>
  </w:comment>
  <w:comment w:id="25" w:author="MAL ADAMU DAMARI" w:date="2025-09-08T18:43:00Z" w:initials="MAD">
    <w:p w:rsidR="003230F4" w:rsidRDefault="003230F4">
      <w:pPr>
        <w:pStyle w:val="CommentText"/>
      </w:pPr>
      <w:r>
        <w:rPr>
          <w:rStyle w:val="CommentReference"/>
        </w:rPr>
        <w:annotationRef/>
      </w:r>
      <w:r>
        <w:t>Consider adding reference to IAEA safety standard here</w:t>
      </w:r>
    </w:p>
  </w:comment>
  <w:comment w:id="26" w:author="MAL ADAMU DAMARI" w:date="2025-09-08T18:44:00Z" w:initials="MAD">
    <w:p w:rsidR="003230F4" w:rsidRDefault="003230F4">
      <w:pPr>
        <w:pStyle w:val="CommentText"/>
      </w:pPr>
      <w:r>
        <w:rPr>
          <w:rStyle w:val="CommentReference"/>
        </w:rPr>
        <w:annotationRef/>
      </w:r>
      <w:r>
        <w:t>Consider making a composite table in all tables</w:t>
      </w:r>
    </w:p>
  </w:comment>
  <w:comment w:id="27" w:author="MAL ADAMU DAMARI" w:date="2025-09-08T18:47:00Z" w:initials="MAD">
    <w:p w:rsidR="005C58F9" w:rsidRDefault="005C58F9">
      <w:pPr>
        <w:pStyle w:val="CommentText"/>
      </w:pPr>
      <w:r>
        <w:rPr>
          <w:rStyle w:val="CommentReference"/>
        </w:rPr>
        <w:annotationRef/>
      </w:r>
      <w:r>
        <w:t>kg</w:t>
      </w:r>
    </w:p>
  </w:comment>
  <w:comment w:id="28" w:author="MAL ADAMU DAMARI" w:date="2025-09-08T18:29:00Z" w:initials="MAD">
    <w:p w:rsidR="00B24873" w:rsidRDefault="00B24873">
      <w:pPr>
        <w:pStyle w:val="CommentText"/>
      </w:pPr>
      <w:r>
        <w:rPr>
          <w:rStyle w:val="CommentReference"/>
        </w:rPr>
        <w:annotationRef/>
      </w:r>
      <w:r>
        <w:t>Correction images that are not clear</w:t>
      </w:r>
    </w:p>
  </w:comment>
  <w:comment w:id="29" w:author="MAL ADAMU DAMARI" w:date="2025-09-08T19:24:00Z" w:initials="MAD">
    <w:p w:rsidR="003C2FE3" w:rsidRDefault="003C2FE3">
      <w:pPr>
        <w:pStyle w:val="CommentText"/>
      </w:pPr>
      <w:r>
        <w:rPr>
          <w:rStyle w:val="CommentReference"/>
        </w:rPr>
        <w:annotationRef/>
      </w:r>
      <w:r>
        <w:t>Consider adding reference to IAEA safety standard or UNCEAR guide lines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E7A" w:rsidRDefault="001F1E7A" w:rsidP="007F4035">
      <w:pPr>
        <w:spacing w:after="0" w:line="240" w:lineRule="auto"/>
      </w:pPr>
      <w:r>
        <w:separator/>
      </w:r>
    </w:p>
  </w:endnote>
  <w:endnote w:type="continuationSeparator" w:id="1">
    <w:p w:rsidR="001F1E7A" w:rsidRDefault="001F1E7A" w:rsidP="007F4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ngsuh">
    <w:altName w:val="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8C" w:rsidRDefault="00746F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8C" w:rsidRDefault="00746F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8C" w:rsidRDefault="00746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E7A" w:rsidRDefault="001F1E7A" w:rsidP="007F4035">
      <w:pPr>
        <w:spacing w:after="0" w:line="240" w:lineRule="auto"/>
      </w:pPr>
      <w:r>
        <w:separator/>
      </w:r>
    </w:p>
  </w:footnote>
  <w:footnote w:type="continuationSeparator" w:id="1">
    <w:p w:rsidR="001F1E7A" w:rsidRDefault="001F1E7A" w:rsidP="007F4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8C" w:rsidRDefault="00746F8C">
    <w:pPr>
      <w:pStyle w:val="Header"/>
    </w:pPr>
    <w:r w:rsidRPr="00ED7A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4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8C" w:rsidRDefault="00746F8C">
    <w:pPr>
      <w:pStyle w:val="Header"/>
    </w:pPr>
    <w:r w:rsidRPr="00ED7A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4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F8C" w:rsidRDefault="00746F8C">
    <w:pPr>
      <w:pStyle w:val="Header"/>
    </w:pPr>
    <w:r w:rsidRPr="00ED7AC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404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42BE4"/>
    <w:rsid w:val="00042BE4"/>
    <w:rsid w:val="000E2329"/>
    <w:rsid w:val="000E4256"/>
    <w:rsid w:val="001C7EE7"/>
    <w:rsid w:val="001F1E7A"/>
    <w:rsid w:val="0024617E"/>
    <w:rsid w:val="003230F4"/>
    <w:rsid w:val="00327FC8"/>
    <w:rsid w:val="003C2FE3"/>
    <w:rsid w:val="004911B0"/>
    <w:rsid w:val="00535EB6"/>
    <w:rsid w:val="00581A58"/>
    <w:rsid w:val="005C58F9"/>
    <w:rsid w:val="00746F8C"/>
    <w:rsid w:val="007F4035"/>
    <w:rsid w:val="0080314A"/>
    <w:rsid w:val="00886466"/>
    <w:rsid w:val="00930257"/>
    <w:rsid w:val="00A86716"/>
    <w:rsid w:val="00AF1052"/>
    <w:rsid w:val="00B24873"/>
    <w:rsid w:val="00C775D1"/>
    <w:rsid w:val="00D603D7"/>
    <w:rsid w:val="00E96247"/>
    <w:rsid w:val="00ED7AC1"/>
    <w:rsid w:val="00F337B5"/>
    <w:rsid w:val="00F96F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200" w:line="271"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C1"/>
  </w:style>
  <w:style w:type="paragraph" w:styleId="Heading1">
    <w:name w:val="heading 1"/>
    <w:basedOn w:val="Normal"/>
    <w:next w:val="Normal"/>
    <w:uiPriority w:val="9"/>
    <w:qFormat/>
    <w:rsid w:val="00ED7AC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D7AC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D7AC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D7AC1"/>
    <w:pPr>
      <w:keepNext/>
      <w:keepLines/>
      <w:widowControl w:val="0"/>
      <w:spacing w:before="80" w:after="40" w:line="276" w:lineRule="auto"/>
      <w:outlineLvl w:val="3"/>
    </w:pPr>
    <w:rPr>
      <w:rFonts w:ascii="Aptos" w:eastAsia="Aptos" w:hAnsi="Aptos" w:cs="Aptos"/>
      <w:i/>
      <w:color w:val="0F4761"/>
      <w:sz w:val="24"/>
      <w:szCs w:val="24"/>
    </w:rPr>
  </w:style>
  <w:style w:type="paragraph" w:styleId="Heading5">
    <w:name w:val="heading 5"/>
    <w:basedOn w:val="Normal"/>
    <w:next w:val="Normal"/>
    <w:uiPriority w:val="9"/>
    <w:semiHidden/>
    <w:unhideWhenUsed/>
    <w:qFormat/>
    <w:rsid w:val="00ED7AC1"/>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rsid w:val="00ED7AC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D7AC1"/>
    <w:pPr>
      <w:keepNext/>
      <w:keepLines/>
      <w:spacing w:before="480" w:after="120"/>
    </w:pPr>
    <w:rPr>
      <w:b/>
      <w:sz w:val="72"/>
      <w:szCs w:val="72"/>
    </w:rPr>
  </w:style>
  <w:style w:type="paragraph" w:styleId="Subtitle">
    <w:name w:val="Subtitle"/>
    <w:basedOn w:val="Normal"/>
    <w:next w:val="Normal"/>
    <w:uiPriority w:val="11"/>
    <w:qFormat/>
    <w:rsid w:val="00ED7AC1"/>
    <w:pPr>
      <w:keepNext/>
      <w:keepLines/>
      <w:spacing w:before="360" w:after="80"/>
    </w:pPr>
    <w:rPr>
      <w:rFonts w:ascii="Georgia" w:eastAsia="Georgia" w:hAnsi="Georgia" w:cs="Georgia"/>
      <w:i/>
      <w:color w:val="666666"/>
      <w:sz w:val="48"/>
      <w:szCs w:val="48"/>
    </w:rPr>
  </w:style>
  <w:style w:type="table" w:customStyle="1" w:styleId="a">
    <w:basedOn w:val="TableNormal"/>
    <w:rsid w:val="00ED7AC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D7AC1"/>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ED7AC1"/>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ED7AC1"/>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ED7AC1"/>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ED7AC1"/>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ED7AC1"/>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F96F9A"/>
    <w:rPr>
      <w:color w:val="0000FF" w:themeColor="hyperlink"/>
      <w:u w:val="single"/>
    </w:rPr>
  </w:style>
  <w:style w:type="character" w:customStyle="1" w:styleId="UnresolvedMention">
    <w:name w:val="Unresolved Mention"/>
    <w:basedOn w:val="DefaultParagraphFont"/>
    <w:uiPriority w:val="99"/>
    <w:semiHidden/>
    <w:unhideWhenUsed/>
    <w:rsid w:val="00F96F9A"/>
    <w:rPr>
      <w:color w:val="605E5C"/>
      <w:shd w:val="clear" w:color="auto" w:fill="E1DFDD"/>
    </w:rPr>
  </w:style>
  <w:style w:type="paragraph" w:styleId="Header">
    <w:name w:val="header"/>
    <w:basedOn w:val="Normal"/>
    <w:link w:val="HeaderChar"/>
    <w:uiPriority w:val="99"/>
    <w:unhideWhenUsed/>
    <w:rsid w:val="007F4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35"/>
  </w:style>
  <w:style w:type="paragraph" w:styleId="Footer">
    <w:name w:val="footer"/>
    <w:basedOn w:val="Normal"/>
    <w:link w:val="FooterChar"/>
    <w:uiPriority w:val="99"/>
    <w:unhideWhenUsed/>
    <w:rsid w:val="007F4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35"/>
  </w:style>
  <w:style w:type="character" w:styleId="CommentReference">
    <w:name w:val="annotation reference"/>
    <w:basedOn w:val="DefaultParagraphFont"/>
    <w:uiPriority w:val="99"/>
    <w:semiHidden/>
    <w:unhideWhenUsed/>
    <w:rsid w:val="00746F8C"/>
    <w:rPr>
      <w:sz w:val="16"/>
      <w:szCs w:val="16"/>
    </w:rPr>
  </w:style>
  <w:style w:type="paragraph" w:styleId="CommentText">
    <w:name w:val="annotation text"/>
    <w:basedOn w:val="Normal"/>
    <w:link w:val="CommentTextChar"/>
    <w:uiPriority w:val="99"/>
    <w:semiHidden/>
    <w:unhideWhenUsed/>
    <w:rsid w:val="00746F8C"/>
    <w:pPr>
      <w:spacing w:line="240" w:lineRule="auto"/>
    </w:pPr>
    <w:rPr>
      <w:sz w:val="20"/>
      <w:szCs w:val="20"/>
    </w:rPr>
  </w:style>
  <w:style w:type="character" w:customStyle="1" w:styleId="CommentTextChar">
    <w:name w:val="Comment Text Char"/>
    <w:basedOn w:val="DefaultParagraphFont"/>
    <w:link w:val="CommentText"/>
    <w:uiPriority w:val="99"/>
    <w:semiHidden/>
    <w:rsid w:val="00746F8C"/>
    <w:rPr>
      <w:sz w:val="20"/>
      <w:szCs w:val="20"/>
    </w:rPr>
  </w:style>
  <w:style w:type="paragraph" w:styleId="CommentSubject">
    <w:name w:val="annotation subject"/>
    <w:basedOn w:val="CommentText"/>
    <w:next w:val="CommentText"/>
    <w:link w:val="CommentSubjectChar"/>
    <w:uiPriority w:val="99"/>
    <w:semiHidden/>
    <w:unhideWhenUsed/>
    <w:rsid w:val="00746F8C"/>
    <w:rPr>
      <w:b/>
      <w:bCs/>
    </w:rPr>
  </w:style>
  <w:style w:type="character" w:customStyle="1" w:styleId="CommentSubjectChar">
    <w:name w:val="Comment Subject Char"/>
    <w:basedOn w:val="CommentTextChar"/>
    <w:link w:val="CommentSubject"/>
    <w:uiPriority w:val="99"/>
    <w:semiHidden/>
    <w:rsid w:val="00746F8C"/>
    <w:rPr>
      <w:b/>
      <w:bCs/>
    </w:rPr>
  </w:style>
  <w:style w:type="paragraph" w:styleId="BalloonText">
    <w:name w:val="Balloon Text"/>
    <w:basedOn w:val="Normal"/>
    <w:link w:val="BalloonTextChar"/>
    <w:uiPriority w:val="99"/>
    <w:semiHidden/>
    <w:unhideWhenUsed/>
    <w:rsid w:val="00746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doi.org/10.5772/intechopen.84643" TargetMode="External"/><Relationship Id="rId3" Type="http://schemas.openxmlformats.org/officeDocument/2006/relationships/webSettings" Target="webSettings.xml"/><Relationship Id="rId21" Type="http://schemas.openxmlformats.org/officeDocument/2006/relationships/image" Target="media/image15.png"/><Relationship Id="rId34" Type="http://schemas.openxmlformats.org/officeDocument/2006/relationships/hyperlink" Target="https://doi.org/10.1016/B978-0-08-102009-8.00002-6" TargetMode="External"/><Relationship Id="rId42" Type="http://schemas.openxmlformats.org/officeDocument/2006/relationships/hyperlink" Target="https://doi.org/10.1093/jrr/rry00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doi.org/10.1093/oxfordjournals.rpd.a006700" TargetMode="External"/><Relationship Id="rId38" Type="http://schemas.openxmlformats.org/officeDocument/2006/relationships/hyperlink" Target="https://doi.org/10.3390/ijerph16111793"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doi.org/10.1088/1742-6596/1644/1/012004" TargetMode="External"/><Relationship Id="rId41" Type="http://schemas.openxmlformats.org/officeDocument/2006/relationships/hyperlink" Target="https://doi.org/10.3389/fenvs.2022.1058053"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doi.org/10.1016/j.jrras.2014.10.002" TargetMode="External"/><Relationship Id="rId37" Type="http://schemas.openxmlformats.org/officeDocument/2006/relationships/hyperlink" Target="https://doi.org/10.7290/ijns050104" TargetMode="External"/><Relationship Id="rId40" Type="http://schemas.openxmlformats.org/officeDocument/2006/relationships/hyperlink" Target="https://doi.org/10.1088/1361-6498/37/1/111"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doi.org/10.4103/rpe.RPE_50_18" TargetMode="External"/><Relationship Id="rId36" Type="http://schemas.openxmlformats.org/officeDocument/2006/relationships/hyperlink" Target="https://doi.org/10.1016/j.jenvrad.2019.106048" TargetMode="External"/><Relationship Id="rId49"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doi.org/10.1016/j.jenvrad.2016.05.015" TargetMode="External"/><Relationship Id="rId44" Type="http://schemas.openxmlformats.org/officeDocument/2006/relationships/hyperlink" Target="https://doi.org/10.1134/S0024490216010124"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doi.org/10.1007/s10967-020-07027-y" TargetMode="External"/><Relationship Id="rId30" Type="http://schemas.openxmlformats.org/officeDocument/2006/relationships/hyperlink" Target="https://doi.org/10.3390/en15114275" TargetMode="External"/><Relationship Id="rId35" Type="http://schemas.openxmlformats.org/officeDocument/2006/relationships/hyperlink" Target="https://doi.org/10.1016/j.jrras.2023.100524" TargetMode="External"/><Relationship Id="rId43" Type="http://schemas.openxmlformats.org/officeDocument/2006/relationships/hyperlink" Target="https://doi.org/10.1061/(ASCE)HZ.2153-5515.0000586"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5544</Words>
  <Characters>31603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 U. Saidu</dc:creator>
  <cp:lastModifiedBy>MAL ADAMU DAMARI</cp:lastModifiedBy>
  <cp:revision>2</cp:revision>
  <dcterms:created xsi:type="dcterms:W3CDTF">2025-09-09T08:41:00Z</dcterms:created>
  <dcterms:modified xsi:type="dcterms:W3CDTF">2025-09-09T08:41:00Z</dcterms:modified>
</cp:coreProperties>
</file>