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23BF5" w14:textId="6C94ABE5" w:rsidR="00812033" w:rsidRDefault="00812033" w:rsidP="00812033">
      <w:pPr>
        <w:spacing w:after="0" w:line="240" w:lineRule="auto"/>
        <w:jc w:val="both"/>
        <w:rPr>
          <w:rFonts w:asciiTheme="minorBidi" w:hAnsiTheme="minorBidi"/>
          <w:b/>
          <w:bCs/>
          <w:sz w:val="24"/>
          <w:szCs w:val="24"/>
        </w:rPr>
      </w:pPr>
      <w:bookmarkStart w:id="0" w:name="_GoBack"/>
      <w:bookmarkEnd w:id="0"/>
      <w:proofErr w:type="spellStart"/>
      <w:r w:rsidRPr="00812033">
        <w:rPr>
          <w:rFonts w:asciiTheme="minorBidi" w:hAnsiTheme="minorBidi"/>
          <w:b/>
          <w:bCs/>
          <w:sz w:val="24"/>
          <w:szCs w:val="24"/>
        </w:rPr>
        <w:t>Spatio</w:t>
      </w:r>
      <w:proofErr w:type="spellEnd"/>
      <w:r w:rsidRPr="00812033">
        <w:rPr>
          <w:rFonts w:asciiTheme="minorBidi" w:hAnsiTheme="minorBidi"/>
          <w:b/>
          <w:bCs/>
          <w:sz w:val="24"/>
          <w:szCs w:val="24"/>
        </w:rPr>
        <w:t xml:space="preserve">-Temporal Controls on the Hydrochemistry of </w:t>
      </w:r>
      <w:r>
        <w:rPr>
          <w:rFonts w:asciiTheme="minorBidi" w:hAnsiTheme="minorBidi"/>
          <w:b/>
          <w:bCs/>
          <w:sz w:val="24"/>
          <w:szCs w:val="24"/>
        </w:rPr>
        <w:t xml:space="preserve">Drass </w:t>
      </w:r>
      <w:r w:rsidRPr="00812033">
        <w:rPr>
          <w:rFonts w:asciiTheme="minorBidi" w:hAnsiTheme="minorBidi"/>
          <w:b/>
          <w:bCs/>
          <w:sz w:val="24"/>
          <w:szCs w:val="24"/>
        </w:rPr>
        <w:t xml:space="preserve">River Water in the </w:t>
      </w:r>
      <w:r w:rsidR="00C34760" w:rsidRPr="00EA19F0">
        <w:rPr>
          <w:rFonts w:asciiTheme="minorBidi" w:hAnsiTheme="minorBidi"/>
          <w:b/>
          <w:bCs/>
          <w:sz w:val="24"/>
          <w:szCs w:val="24"/>
        </w:rPr>
        <w:t>semi-arid region of Ladakh</w:t>
      </w:r>
      <w:r w:rsidR="009D2827" w:rsidRPr="00EA19F0">
        <w:rPr>
          <w:rFonts w:asciiTheme="minorBidi" w:hAnsiTheme="minorBidi"/>
          <w:b/>
          <w:bCs/>
          <w:sz w:val="24"/>
          <w:szCs w:val="24"/>
        </w:rPr>
        <w:t xml:space="preserve"> (</w:t>
      </w:r>
      <w:r w:rsidR="00C34760" w:rsidRPr="00EA19F0">
        <w:rPr>
          <w:rFonts w:asciiTheme="minorBidi" w:hAnsiTheme="minorBidi"/>
          <w:b/>
          <w:bCs/>
          <w:sz w:val="24"/>
          <w:szCs w:val="24"/>
        </w:rPr>
        <w:t>India</w:t>
      </w:r>
      <w:r w:rsidR="009D2827" w:rsidRPr="00EA19F0">
        <w:rPr>
          <w:rFonts w:asciiTheme="minorBidi" w:hAnsiTheme="minorBidi"/>
          <w:b/>
          <w:bCs/>
          <w:sz w:val="24"/>
          <w:szCs w:val="24"/>
        </w:rPr>
        <w:t>)</w:t>
      </w:r>
      <w:bookmarkStart w:id="1" w:name="_Hlk187659328"/>
    </w:p>
    <w:p w14:paraId="69E48BD3" w14:textId="77777777" w:rsidR="00812033" w:rsidRDefault="00812033" w:rsidP="00812033">
      <w:pPr>
        <w:spacing w:after="0" w:line="240" w:lineRule="auto"/>
        <w:jc w:val="both"/>
        <w:rPr>
          <w:rFonts w:asciiTheme="minorBidi" w:hAnsiTheme="minorBidi"/>
          <w:b/>
          <w:bCs/>
          <w:sz w:val="24"/>
          <w:szCs w:val="24"/>
        </w:rPr>
      </w:pPr>
    </w:p>
    <w:bookmarkEnd w:id="1"/>
    <w:p w14:paraId="54ADBF65" w14:textId="7F21F040" w:rsidR="00CD7AF9" w:rsidRDefault="00CD7AF9" w:rsidP="003261F5">
      <w:pPr>
        <w:spacing w:after="0" w:line="240" w:lineRule="auto"/>
        <w:jc w:val="both"/>
        <w:rPr>
          <w:rFonts w:asciiTheme="minorBidi" w:hAnsiTheme="minorBidi"/>
          <w:b/>
          <w:bCs/>
          <w:sz w:val="24"/>
          <w:szCs w:val="24"/>
        </w:rPr>
      </w:pPr>
    </w:p>
    <w:p w14:paraId="540ACBB9" w14:textId="77777777" w:rsidR="00F23E11" w:rsidRPr="00EA19F0" w:rsidRDefault="00F23E11" w:rsidP="003261F5">
      <w:pPr>
        <w:spacing w:after="0" w:line="240" w:lineRule="auto"/>
        <w:jc w:val="both"/>
        <w:rPr>
          <w:rFonts w:asciiTheme="minorBidi" w:hAnsiTheme="minorBidi"/>
          <w:b/>
          <w:bCs/>
          <w:sz w:val="24"/>
          <w:szCs w:val="24"/>
        </w:rPr>
      </w:pPr>
    </w:p>
    <w:p w14:paraId="68895529" w14:textId="4F89CA57" w:rsidR="00181BA5" w:rsidRPr="00EA19F0" w:rsidRDefault="00181BA5" w:rsidP="003261F5">
      <w:pPr>
        <w:spacing w:after="0" w:line="240" w:lineRule="auto"/>
        <w:jc w:val="both"/>
        <w:rPr>
          <w:rFonts w:asciiTheme="minorBidi" w:hAnsiTheme="minorBidi"/>
          <w:b/>
          <w:bCs/>
          <w:sz w:val="24"/>
          <w:szCs w:val="24"/>
        </w:rPr>
      </w:pPr>
      <w:r w:rsidRPr="00EA19F0">
        <w:rPr>
          <w:rFonts w:asciiTheme="minorBidi" w:hAnsiTheme="minorBidi"/>
          <w:b/>
          <w:bCs/>
          <w:sz w:val="24"/>
          <w:szCs w:val="24"/>
        </w:rPr>
        <w:t>Abstract</w:t>
      </w:r>
    </w:p>
    <w:p w14:paraId="611BBC9B" w14:textId="1362DA9E" w:rsidR="00B86418" w:rsidRPr="00EA19F0" w:rsidRDefault="00DD1DBB" w:rsidP="003261F5">
      <w:pPr>
        <w:spacing w:after="0" w:line="240" w:lineRule="auto"/>
        <w:jc w:val="both"/>
        <w:rPr>
          <w:rFonts w:asciiTheme="minorBidi" w:hAnsiTheme="minorBidi"/>
          <w:sz w:val="24"/>
          <w:szCs w:val="24"/>
        </w:rPr>
      </w:pPr>
      <w:r w:rsidRPr="00EA19F0">
        <w:rPr>
          <w:rFonts w:asciiTheme="minorBidi" w:hAnsiTheme="minorBidi"/>
          <w:sz w:val="24"/>
          <w:szCs w:val="24"/>
        </w:rPr>
        <w:t xml:space="preserve">The progressive decline in river water quality has emerged as a critical environmental challenge, particularly in semi-arid and ecologically sensitive regions such as Ladakh. Periodic assessment of riverine water quality is therefore essential, both for safeguarding potability and sustainable water resource management. This study investigates the temporal variations in the water quality of the Drass River (DR) during 2024, evaluating the water quality and the influence of geochemical processes operating within the basin. A total of fifty-four water samples were collected from six locations along the river during three hydrological phases: Early Melting Period (EMP; April), Peak Melting Period (PMP; July), and Late Melting Period (LMP; November).  </w:t>
      </w:r>
      <w:commentRangeStart w:id="2"/>
      <w:r w:rsidRPr="00EA19F0">
        <w:rPr>
          <w:rFonts w:asciiTheme="minorBidi" w:hAnsiTheme="minorBidi"/>
          <w:sz w:val="24"/>
          <w:szCs w:val="24"/>
        </w:rPr>
        <w:t xml:space="preserve">The ionic composition of the </w:t>
      </w:r>
      <w:r w:rsidR="00900078" w:rsidRPr="00EA19F0">
        <w:rPr>
          <w:rFonts w:asciiTheme="minorBidi" w:hAnsiTheme="minorBidi"/>
          <w:sz w:val="24"/>
          <w:szCs w:val="24"/>
        </w:rPr>
        <w:t>Drass</w:t>
      </w:r>
      <w:r w:rsidRPr="00EA19F0">
        <w:rPr>
          <w:rFonts w:asciiTheme="minorBidi" w:hAnsiTheme="minorBidi"/>
          <w:sz w:val="24"/>
          <w:szCs w:val="24"/>
        </w:rPr>
        <w:t xml:space="preserve"> River followed the general order: </w:t>
      </w:r>
      <w:commentRangeEnd w:id="2"/>
      <w:r w:rsidR="008B4133">
        <w:rPr>
          <w:rStyle w:val="CommentReference"/>
        </w:rPr>
        <w:commentReference w:id="2"/>
      </w:r>
      <w:r w:rsidRPr="00EA19F0">
        <w:rPr>
          <w:rFonts w:asciiTheme="minorBidi" w:hAnsiTheme="minorBidi"/>
          <w:sz w:val="24"/>
          <w:szCs w:val="24"/>
        </w:rPr>
        <w:t>Ca²</w:t>
      </w:r>
      <w:r w:rsidRPr="00EA19F0">
        <w:rPr>
          <w:rFonts w:ascii="Cambria Math" w:hAnsi="Cambria Math" w:cs="Cambria Math"/>
          <w:sz w:val="24"/>
          <w:szCs w:val="24"/>
        </w:rPr>
        <w:t>⁺</w:t>
      </w:r>
      <w:r w:rsidRPr="00EA19F0">
        <w:rPr>
          <w:rFonts w:asciiTheme="minorBidi" w:hAnsiTheme="minorBidi"/>
          <w:sz w:val="24"/>
          <w:szCs w:val="24"/>
        </w:rPr>
        <w:t xml:space="preserve"> Mg</w:t>
      </w:r>
      <w:r w:rsidRPr="00EA19F0">
        <w:rPr>
          <w:rFonts w:ascii="Arial" w:hAnsi="Arial" w:cs="Arial"/>
          <w:sz w:val="24"/>
          <w:szCs w:val="24"/>
        </w:rPr>
        <w:t>²</w:t>
      </w:r>
      <w:r w:rsidRPr="00EA19F0">
        <w:rPr>
          <w:rFonts w:ascii="Cambria Math" w:hAnsi="Cambria Math" w:cs="Cambria Math"/>
          <w:sz w:val="24"/>
          <w:szCs w:val="24"/>
        </w:rPr>
        <w:t>⁺</w:t>
      </w:r>
      <w:r w:rsidRPr="00EA19F0">
        <w:rPr>
          <w:rFonts w:asciiTheme="minorBidi" w:hAnsiTheme="minorBidi"/>
          <w:sz w:val="24"/>
          <w:szCs w:val="24"/>
        </w:rPr>
        <w:t xml:space="preserve"> &gt;</w:t>
      </w:r>
      <w:r w:rsidR="00CD621A" w:rsidRPr="00EA19F0">
        <w:rPr>
          <w:rFonts w:asciiTheme="minorBidi" w:hAnsiTheme="minorBidi"/>
          <w:sz w:val="24"/>
          <w:szCs w:val="24"/>
        </w:rPr>
        <w:t>Na</w:t>
      </w:r>
      <w:r w:rsidR="00CD621A" w:rsidRPr="00EA19F0">
        <w:rPr>
          <w:rFonts w:asciiTheme="minorBidi" w:hAnsiTheme="minorBidi"/>
          <w:sz w:val="24"/>
          <w:szCs w:val="24"/>
          <w:vertAlign w:val="superscript"/>
        </w:rPr>
        <w:t>+</w:t>
      </w:r>
      <w:r w:rsidRPr="00EA19F0">
        <w:rPr>
          <w:rFonts w:asciiTheme="minorBidi" w:hAnsiTheme="minorBidi"/>
          <w:sz w:val="24"/>
          <w:szCs w:val="24"/>
        </w:rPr>
        <w:t xml:space="preserve"> </w:t>
      </w:r>
      <w:r w:rsidR="00CD621A" w:rsidRPr="00EA19F0">
        <w:rPr>
          <w:rFonts w:asciiTheme="minorBidi" w:hAnsiTheme="minorBidi"/>
          <w:sz w:val="24"/>
          <w:szCs w:val="24"/>
        </w:rPr>
        <w:t xml:space="preserve">&gt; </w:t>
      </w:r>
      <w:r w:rsidRPr="00EA19F0">
        <w:rPr>
          <w:rFonts w:asciiTheme="minorBidi" w:hAnsiTheme="minorBidi"/>
          <w:sz w:val="24"/>
          <w:szCs w:val="24"/>
        </w:rPr>
        <w:t>K</w:t>
      </w:r>
      <w:r w:rsidRPr="00EA19F0">
        <w:rPr>
          <w:rFonts w:ascii="Cambria Math" w:hAnsi="Cambria Math" w:cs="Cambria Math"/>
          <w:sz w:val="24"/>
          <w:szCs w:val="24"/>
        </w:rPr>
        <w:t>⁺</w:t>
      </w:r>
      <w:r w:rsidRPr="00EA19F0">
        <w:rPr>
          <w:rFonts w:asciiTheme="minorBidi" w:hAnsiTheme="minorBidi"/>
          <w:sz w:val="24"/>
          <w:szCs w:val="24"/>
        </w:rPr>
        <w:t xml:space="preserve"> and </w:t>
      </w:r>
      <w:r w:rsidR="00D43D24" w:rsidRPr="00EA19F0">
        <w:rPr>
          <w:rFonts w:asciiTheme="minorBidi" w:hAnsiTheme="minorBidi"/>
          <w:sz w:val="24"/>
          <w:szCs w:val="24"/>
        </w:rPr>
        <w:t>HCO</w:t>
      </w:r>
      <w:r w:rsidR="00D43D24" w:rsidRPr="00EA19F0">
        <w:rPr>
          <w:rFonts w:ascii="Cambria Math" w:hAnsi="Cambria Math" w:cs="Cambria Math"/>
          <w:sz w:val="24"/>
          <w:szCs w:val="24"/>
        </w:rPr>
        <w:t>₃⁻</w:t>
      </w:r>
      <w:r w:rsidR="00D43D24" w:rsidRPr="00EA19F0">
        <w:rPr>
          <w:rFonts w:asciiTheme="minorBidi" w:hAnsiTheme="minorBidi"/>
          <w:sz w:val="24"/>
          <w:szCs w:val="24"/>
        </w:rPr>
        <w:t xml:space="preserve"> &gt; SO</w:t>
      </w:r>
      <w:r w:rsidR="00D43D24" w:rsidRPr="00EA19F0">
        <w:rPr>
          <w:rFonts w:ascii="Cambria Math" w:hAnsi="Cambria Math" w:cs="Cambria Math"/>
          <w:sz w:val="24"/>
          <w:szCs w:val="24"/>
        </w:rPr>
        <w:t>₄</w:t>
      </w:r>
      <w:r w:rsidR="00D43D24" w:rsidRPr="00EA19F0">
        <w:rPr>
          <w:rFonts w:ascii="Arial" w:hAnsi="Arial" w:cs="Arial"/>
          <w:sz w:val="24"/>
          <w:szCs w:val="24"/>
        </w:rPr>
        <w:t>²</w:t>
      </w:r>
      <w:r w:rsidR="00D43D24" w:rsidRPr="00EA19F0">
        <w:rPr>
          <w:rFonts w:ascii="Cambria Math" w:hAnsi="Cambria Math" w:cs="Cambria Math"/>
          <w:sz w:val="24"/>
          <w:szCs w:val="24"/>
        </w:rPr>
        <w:t>⁻</w:t>
      </w:r>
      <w:r w:rsidR="00D43D24" w:rsidRPr="00EA19F0">
        <w:rPr>
          <w:rFonts w:asciiTheme="minorBidi" w:hAnsiTheme="minorBidi"/>
          <w:sz w:val="24"/>
          <w:szCs w:val="24"/>
        </w:rPr>
        <w:t xml:space="preserve"> &gt; Cl</w:t>
      </w:r>
      <w:r w:rsidR="00D43D24" w:rsidRPr="00EA19F0">
        <w:rPr>
          <w:rFonts w:ascii="Cambria Math" w:hAnsi="Cambria Math" w:cs="Cambria Math"/>
          <w:sz w:val="24"/>
          <w:szCs w:val="24"/>
        </w:rPr>
        <w:t>⁻</w:t>
      </w:r>
      <w:r w:rsidR="00D43D24" w:rsidRPr="00EA19F0">
        <w:rPr>
          <w:rFonts w:asciiTheme="minorBidi" w:hAnsiTheme="minorBidi"/>
          <w:sz w:val="24"/>
          <w:szCs w:val="24"/>
        </w:rPr>
        <w:t xml:space="preserve"> &gt; CO</w:t>
      </w:r>
      <w:r w:rsidR="00D43D24" w:rsidRPr="00EA19F0">
        <w:rPr>
          <w:rFonts w:ascii="Cambria Math" w:hAnsi="Cambria Math" w:cs="Cambria Math"/>
          <w:sz w:val="24"/>
          <w:szCs w:val="24"/>
        </w:rPr>
        <w:t>₃</w:t>
      </w:r>
      <w:r w:rsidR="00D43D24" w:rsidRPr="00EA19F0">
        <w:rPr>
          <w:rFonts w:ascii="Arial" w:hAnsi="Arial" w:cs="Arial"/>
          <w:sz w:val="24"/>
          <w:szCs w:val="24"/>
        </w:rPr>
        <w:t>²</w:t>
      </w:r>
      <w:r w:rsidR="00D43D24" w:rsidRPr="00EA19F0">
        <w:rPr>
          <w:rFonts w:ascii="Cambria Math" w:hAnsi="Cambria Math" w:cs="Cambria Math"/>
          <w:sz w:val="24"/>
          <w:szCs w:val="24"/>
        </w:rPr>
        <w:t>⁻</w:t>
      </w:r>
      <w:r w:rsidR="00D43D24" w:rsidRPr="00EA19F0">
        <w:rPr>
          <w:rFonts w:asciiTheme="minorBidi" w:hAnsiTheme="minorBidi"/>
          <w:sz w:val="24"/>
          <w:szCs w:val="24"/>
        </w:rPr>
        <w:t xml:space="preserve"> in EMP, HCO</w:t>
      </w:r>
      <w:r w:rsidR="00D43D24" w:rsidRPr="00EA19F0">
        <w:rPr>
          <w:rFonts w:ascii="Cambria Math" w:hAnsi="Cambria Math" w:cs="Cambria Math"/>
          <w:sz w:val="24"/>
          <w:szCs w:val="24"/>
        </w:rPr>
        <w:t>₃⁻</w:t>
      </w:r>
      <w:r w:rsidR="00D43D24" w:rsidRPr="00EA19F0">
        <w:rPr>
          <w:rFonts w:asciiTheme="minorBidi" w:hAnsiTheme="minorBidi"/>
          <w:sz w:val="24"/>
          <w:szCs w:val="24"/>
        </w:rPr>
        <w:t xml:space="preserve"> &gt; SO</w:t>
      </w:r>
      <w:r w:rsidR="00D43D24" w:rsidRPr="00EA19F0">
        <w:rPr>
          <w:rFonts w:ascii="Cambria Math" w:hAnsi="Cambria Math" w:cs="Cambria Math"/>
          <w:sz w:val="24"/>
          <w:szCs w:val="24"/>
        </w:rPr>
        <w:t>₄</w:t>
      </w:r>
      <w:r w:rsidR="00D43D24" w:rsidRPr="00EA19F0">
        <w:rPr>
          <w:rFonts w:ascii="Arial" w:hAnsi="Arial" w:cs="Arial"/>
          <w:sz w:val="24"/>
          <w:szCs w:val="24"/>
        </w:rPr>
        <w:t>²</w:t>
      </w:r>
      <w:r w:rsidR="00D43D24" w:rsidRPr="00EA19F0">
        <w:rPr>
          <w:rFonts w:ascii="Cambria Math" w:hAnsi="Cambria Math" w:cs="Cambria Math"/>
          <w:sz w:val="24"/>
          <w:szCs w:val="24"/>
        </w:rPr>
        <w:t>⁻</w:t>
      </w:r>
      <w:r w:rsidR="00D43D24" w:rsidRPr="00EA19F0">
        <w:rPr>
          <w:rFonts w:asciiTheme="minorBidi" w:hAnsiTheme="minorBidi"/>
          <w:sz w:val="24"/>
          <w:szCs w:val="24"/>
        </w:rPr>
        <w:t xml:space="preserve"> &gt; Cl</w:t>
      </w:r>
      <w:r w:rsidR="00D43D24" w:rsidRPr="00EA19F0">
        <w:rPr>
          <w:rFonts w:ascii="Cambria Math" w:hAnsi="Cambria Math" w:cs="Cambria Math"/>
          <w:sz w:val="24"/>
          <w:szCs w:val="24"/>
        </w:rPr>
        <w:t>⁻</w:t>
      </w:r>
      <w:r w:rsidR="00D43D24" w:rsidRPr="00EA19F0">
        <w:rPr>
          <w:rFonts w:asciiTheme="minorBidi" w:hAnsiTheme="minorBidi"/>
          <w:sz w:val="24"/>
          <w:szCs w:val="24"/>
        </w:rPr>
        <w:t xml:space="preserve"> &gt; F</w:t>
      </w:r>
      <w:r w:rsidR="00D43D24" w:rsidRPr="00EA19F0">
        <w:rPr>
          <w:rFonts w:ascii="Cambria Math" w:hAnsi="Cambria Math" w:cs="Cambria Math"/>
          <w:sz w:val="24"/>
          <w:szCs w:val="24"/>
        </w:rPr>
        <w:t>⁻</w:t>
      </w:r>
      <w:r w:rsidR="00D43D24" w:rsidRPr="00EA19F0">
        <w:rPr>
          <w:rFonts w:asciiTheme="minorBidi" w:hAnsiTheme="minorBidi"/>
          <w:sz w:val="24"/>
          <w:szCs w:val="24"/>
        </w:rPr>
        <w:t xml:space="preserve"> in PMP, and HCO</w:t>
      </w:r>
      <w:r w:rsidR="00D43D24" w:rsidRPr="00EA19F0">
        <w:rPr>
          <w:rFonts w:ascii="Cambria Math" w:hAnsi="Cambria Math" w:cs="Cambria Math"/>
          <w:sz w:val="24"/>
          <w:szCs w:val="24"/>
        </w:rPr>
        <w:t>₃⁻</w:t>
      </w:r>
      <w:r w:rsidR="00D43D24" w:rsidRPr="00EA19F0">
        <w:rPr>
          <w:rFonts w:asciiTheme="minorBidi" w:hAnsiTheme="minorBidi"/>
          <w:sz w:val="24"/>
          <w:szCs w:val="24"/>
        </w:rPr>
        <w:t xml:space="preserve"> &gt; SO</w:t>
      </w:r>
      <w:r w:rsidR="00D43D24" w:rsidRPr="00EA19F0">
        <w:rPr>
          <w:rFonts w:ascii="Cambria Math" w:hAnsi="Cambria Math" w:cs="Cambria Math"/>
          <w:sz w:val="24"/>
          <w:szCs w:val="24"/>
        </w:rPr>
        <w:t>₄</w:t>
      </w:r>
      <w:r w:rsidR="00D43D24" w:rsidRPr="00EA19F0">
        <w:rPr>
          <w:rFonts w:ascii="Arial" w:hAnsi="Arial" w:cs="Arial"/>
          <w:sz w:val="24"/>
          <w:szCs w:val="24"/>
        </w:rPr>
        <w:t>²</w:t>
      </w:r>
      <w:r w:rsidR="00D43D24" w:rsidRPr="00EA19F0">
        <w:rPr>
          <w:rFonts w:ascii="Cambria Math" w:hAnsi="Cambria Math" w:cs="Cambria Math"/>
          <w:sz w:val="24"/>
          <w:szCs w:val="24"/>
        </w:rPr>
        <w:t>⁻</w:t>
      </w:r>
      <w:r w:rsidR="00D43D24" w:rsidRPr="00EA19F0">
        <w:rPr>
          <w:rFonts w:asciiTheme="minorBidi" w:hAnsiTheme="minorBidi"/>
          <w:sz w:val="24"/>
          <w:szCs w:val="24"/>
        </w:rPr>
        <w:t xml:space="preserve"> &gt; Cl</w:t>
      </w:r>
      <w:r w:rsidR="00D43D24" w:rsidRPr="00EA19F0">
        <w:rPr>
          <w:rFonts w:ascii="Cambria Math" w:hAnsi="Cambria Math" w:cs="Cambria Math"/>
          <w:sz w:val="24"/>
          <w:szCs w:val="24"/>
        </w:rPr>
        <w:t>⁻</w:t>
      </w:r>
      <w:r w:rsidR="00D43D24" w:rsidRPr="00EA19F0">
        <w:rPr>
          <w:rFonts w:asciiTheme="minorBidi" w:hAnsiTheme="minorBidi"/>
          <w:sz w:val="24"/>
          <w:szCs w:val="24"/>
        </w:rPr>
        <w:t xml:space="preserve"> in LMP, </w:t>
      </w:r>
      <w:r w:rsidRPr="00EA19F0">
        <w:rPr>
          <w:rFonts w:asciiTheme="minorBidi" w:hAnsiTheme="minorBidi"/>
          <w:sz w:val="24"/>
          <w:szCs w:val="24"/>
        </w:rPr>
        <w:t>characteris</w:t>
      </w:r>
      <w:r w:rsidR="00D43D24" w:rsidRPr="00EA19F0">
        <w:rPr>
          <w:rFonts w:asciiTheme="minorBidi" w:hAnsiTheme="minorBidi"/>
          <w:sz w:val="24"/>
          <w:szCs w:val="24"/>
        </w:rPr>
        <w:t xml:space="preserve">ed by </w:t>
      </w:r>
      <w:commentRangeStart w:id="3"/>
      <w:r w:rsidRPr="00EA19F0">
        <w:rPr>
          <w:rFonts w:asciiTheme="minorBidi" w:hAnsiTheme="minorBidi"/>
          <w:sz w:val="24"/>
          <w:szCs w:val="24"/>
        </w:rPr>
        <w:t xml:space="preserve">of </w:t>
      </w:r>
      <w:commentRangeEnd w:id="3"/>
      <w:r w:rsidR="008B4133">
        <w:rPr>
          <w:rStyle w:val="CommentReference"/>
        </w:rPr>
        <w:commentReference w:id="3"/>
      </w:r>
      <w:r w:rsidR="00D43D24" w:rsidRPr="00EA19F0">
        <w:rPr>
          <w:rFonts w:asciiTheme="minorBidi" w:hAnsiTheme="minorBidi"/>
          <w:sz w:val="24"/>
          <w:szCs w:val="24"/>
        </w:rPr>
        <w:t>Ca</w:t>
      </w:r>
      <w:r w:rsidR="00D43D24" w:rsidRPr="00EA19F0">
        <w:rPr>
          <w:rFonts w:asciiTheme="minorBidi" w:hAnsiTheme="minorBidi"/>
          <w:sz w:val="24"/>
          <w:szCs w:val="24"/>
          <w:vertAlign w:val="superscript"/>
        </w:rPr>
        <w:t>2+</w:t>
      </w:r>
      <w:r w:rsidR="00D43D24" w:rsidRPr="00EA19F0">
        <w:rPr>
          <w:rFonts w:asciiTheme="minorBidi" w:hAnsiTheme="minorBidi"/>
          <w:sz w:val="24"/>
          <w:szCs w:val="24"/>
        </w:rPr>
        <w:t>-Mg</w:t>
      </w:r>
      <w:r w:rsidR="00D43D24" w:rsidRPr="00EA19F0">
        <w:rPr>
          <w:rFonts w:asciiTheme="minorBidi" w:hAnsiTheme="minorBidi"/>
          <w:sz w:val="24"/>
          <w:szCs w:val="24"/>
          <w:vertAlign w:val="superscript"/>
        </w:rPr>
        <w:t>2+</w:t>
      </w:r>
      <w:r w:rsidR="00D43D24" w:rsidRPr="00EA19F0">
        <w:rPr>
          <w:rFonts w:asciiTheme="minorBidi" w:hAnsiTheme="minorBidi"/>
          <w:sz w:val="24"/>
          <w:szCs w:val="24"/>
        </w:rPr>
        <w:t>-</w:t>
      </w:r>
      <w:r w:rsidR="007C5B36" w:rsidRPr="00EA19F0">
        <w:rPr>
          <w:rFonts w:asciiTheme="minorBidi" w:hAnsiTheme="minorBidi"/>
          <w:sz w:val="24"/>
          <w:szCs w:val="24"/>
        </w:rPr>
        <w:t>HCO</w:t>
      </w:r>
      <w:r w:rsidR="007C5B36" w:rsidRPr="00EA19F0">
        <w:rPr>
          <w:rFonts w:ascii="Cambria Math" w:hAnsi="Cambria Math" w:cs="Cambria Math"/>
          <w:sz w:val="24"/>
          <w:szCs w:val="24"/>
        </w:rPr>
        <w:t>₃⁻</w:t>
      </w:r>
      <w:r w:rsidR="007C5B36" w:rsidRPr="00EA19F0">
        <w:rPr>
          <w:rFonts w:asciiTheme="minorBidi" w:hAnsiTheme="minorBidi"/>
          <w:sz w:val="24"/>
          <w:szCs w:val="24"/>
        </w:rPr>
        <w:t xml:space="preserve"> </w:t>
      </w:r>
      <w:r w:rsidR="00D43D24" w:rsidRPr="00EA19F0">
        <w:rPr>
          <w:rFonts w:asciiTheme="minorBidi" w:hAnsiTheme="minorBidi"/>
          <w:sz w:val="24"/>
          <w:szCs w:val="24"/>
        </w:rPr>
        <w:t xml:space="preserve">type </w:t>
      </w:r>
      <w:r w:rsidRPr="00EA19F0">
        <w:rPr>
          <w:rFonts w:asciiTheme="minorBidi" w:hAnsiTheme="minorBidi"/>
          <w:sz w:val="24"/>
          <w:szCs w:val="24"/>
        </w:rPr>
        <w:t>facies</w:t>
      </w:r>
      <w:r w:rsidR="00D43D24" w:rsidRPr="00EA19F0">
        <w:rPr>
          <w:rFonts w:asciiTheme="minorBidi" w:hAnsiTheme="minorBidi"/>
          <w:sz w:val="24"/>
          <w:szCs w:val="24"/>
        </w:rPr>
        <w:t xml:space="preserve">. </w:t>
      </w:r>
      <w:commentRangeStart w:id="4"/>
      <w:r w:rsidR="001F5677" w:rsidRPr="00EA19F0">
        <w:rPr>
          <w:rFonts w:asciiTheme="minorBidi" w:hAnsiTheme="minorBidi"/>
          <w:sz w:val="24"/>
          <w:szCs w:val="24"/>
        </w:rPr>
        <w:t>Increase</w:t>
      </w:r>
      <w:commentRangeEnd w:id="4"/>
      <w:r w:rsidR="008B4133">
        <w:rPr>
          <w:rStyle w:val="CommentReference"/>
        </w:rPr>
        <w:commentReference w:id="4"/>
      </w:r>
      <w:r w:rsidR="001F5677" w:rsidRPr="00EA19F0">
        <w:rPr>
          <w:rFonts w:asciiTheme="minorBidi" w:hAnsiTheme="minorBidi"/>
          <w:sz w:val="24"/>
          <w:szCs w:val="24"/>
        </w:rPr>
        <w:t xml:space="preserve"> in sulphate concentration from EMP to LMP reflects glacier retreat, which exposes larger sulphide-bearing rocks to oxidation and water interaction.</w:t>
      </w:r>
      <w:r w:rsidR="00F5518B" w:rsidRPr="00EA19F0">
        <w:rPr>
          <w:rFonts w:asciiTheme="minorBidi" w:hAnsiTheme="minorBidi"/>
          <w:sz w:val="24"/>
          <w:szCs w:val="24"/>
        </w:rPr>
        <w:t xml:space="preserve"> Elevated levels of F</w:t>
      </w:r>
      <w:r w:rsidR="00F5518B" w:rsidRPr="00EA19F0">
        <w:rPr>
          <w:rFonts w:ascii="Cambria Math" w:hAnsi="Cambria Math" w:cs="Cambria Math"/>
          <w:sz w:val="24"/>
          <w:szCs w:val="24"/>
        </w:rPr>
        <w:t>⁻</w:t>
      </w:r>
      <w:r w:rsidR="00F5518B" w:rsidRPr="00EA19F0">
        <w:rPr>
          <w:rFonts w:asciiTheme="minorBidi" w:hAnsiTheme="minorBidi"/>
          <w:sz w:val="24"/>
          <w:szCs w:val="24"/>
        </w:rPr>
        <w:t xml:space="preserve"> </w:t>
      </w:r>
      <w:r w:rsidR="00D81A0C" w:rsidRPr="00EA19F0">
        <w:rPr>
          <w:rFonts w:asciiTheme="minorBidi" w:hAnsiTheme="minorBidi"/>
          <w:sz w:val="24"/>
          <w:szCs w:val="24"/>
        </w:rPr>
        <w:t>were</w:t>
      </w:r>
      <w:r w:rsidR="00F5518B" w:rsidRPr="00EA19F0">
        <w:rPr>
          <w:rFonts w:asciiTheme="minorBidi" w:hAnsiTheme="minorBidi"/>
          <w:sz w:val="24"/>
          <w:szCs w:val="24"/>
        </w:rPr>
        <w:t xml:space="preserve"> noticed during PMP</w:t>
      </w:r>
      <w:r w:rsidR="00D81A0C" w:rsidRPr="00EA19F0">
        <w:rPr>
          <w:rFonts w:asciiTheme="minorBidi" w:hAnsiTheme="minorBidi"/>
          <w:sz w:val="24"/>
          <w:szCs w:val="24"/>
        </w:rPr>
        <w:t>,</w:t>
      </w:r>
      <w:r w:rsidR="00F5518B" w:rsidRPr="00EA19F0">
        <w:rPr>
          <w:rFonts w:asciiTheme="minorBidi" w:hAnsiTheme="minorBidi"/>
          <w:sz w:val="24"/>
          <w:szCs w:val="24"/>
        </w:rPr>
        <w:t xml:space="preserve"> indicating </w:t>
      </w:r>
      <w:r w:rsidR="00D81A0C" w:rsidRPr="00EA19F0">
        <w:rPr>
          <w:rFonts w:asciiTheme="minorBidi" w:hAnsiTheme="minorBidi"/>
          <w:sz w:val="24"/>
          <w:szCs w:val="24"/>
        </w:rPr>
        <w:t xml:space="preserve">the </w:t>
      </w:r>
      <w:r w:rsidR="00F5518B" w:rsidRPr="00EA19F0">
        <w:rPr>
          <w:rFonts w:asciiTheme="minorBidi" w:hAnsiTheme="minorBidi"/>
          <w:sz w:val="24"/>
          <w:szCs w:val="24"/>
        </w:rPr>
        <w:t>possible impact of developmental activities during the period.</w:t>
      </w:r>
      <w:r w:rsidR="00812033">
        <w:rPr>
          <w:rFonts w:asciiTheme="minorBidi" w:hAnsiTheme="minorBidi"/>
          <w:sz w:val="24"/>
          <w:szCs w:val="24"/>
        </w:rPr>
        <w:t xml:space="preserve"> </w:t>
      </w:r>
      <w:r w:rsidRPr="00EA19F0">
        <w:rPr>
          <w:rFonts w:asciiTheme="minorBidi" w:hAnsiTheme="minorBidi"/>
          <w:sz w:val="24"/>
          <w:szCs w:val="24"/>
        </w:rPr>
        <w:t xml:space="preserve">This research thus provides a comprehensive hydrochemical appraisal of the </w:t>
      </w:r>
      <w:r w:rsidR="00B86418" w:rsidRPr="00EA19F0">
        <w:rPr>
          <w:rFonts w:asciiTheme="minorBidi" w:hAnsiTheme="minorBidi"/>
          <w:sz w:val="24"/>
          <w:szCs w:val="24"/>
        </w:rPr>
        <w:t>Drass</w:t>
      </w:r>
      <w:r w:rsidRPr="00EA19F0">
        <w:rPr>
          <w:rFonts w:asciiTheme="minorBidi" w:hAnsiTheme="minorBidi"/>
          <w:sz w:val="24"/>
          <w:szCs w:val="24"/>
        </w:rPr>
        <w:t xml:space="preserve"> River in Ladakh, offering methodological guidance for future hydrogeochemical investigations. </w:t>
      </w:r>
    </w:p>
    <w:p w14:paraId="7F4623D1" w14:textId="77777777" w:rsidR="00812033" w:rsidRDefault="00812033" w:rsidP="003261F5">
      <w:pPr>
        <w:spacing w:after="0" w:line="240" w:lineRule="auto"/>
        <w:jc w:val="both"/>
        <w:rPr>
          <w:rStyle w:val="Strong"/>
          <w:rFonts w:asciiTheme="minorBidi" w:eastAsiaTheme="majorEastAsia" w:hAnsiTheme="minorBidi"/>
          <w:kern w:val="0"/>
          <w:sz w:val="24"/>
          <w:szCs w:val="24"/>
          <w:lang w:eastAsia="en-IN"/>
          <w14:ligatures w14:val="none"/>
        </w:rPr>
      </w:pPr>
    </w:p>
    <w:p w14:paraId="135B9264" w14:textId="00CBD417" w:rsidR="00EA19F0" w:rsidRDefault="001B19D0" w:rsidP="003261F5">
      <w:pPr>
        <w:spacing w:after="0" w:line="240" w:lineRule="auto"/>
        <w:jc w:val="both"/>
        <w:rPr>
          <w:rStyle w:val="Strong"/>
          <w:rFonts w:asciiTheme="minorBidi" w:eastAsiaTheme="majorEastAsia" w:hAnsiTheme="minorBidi"/>
          <w:b w:val="0"/>
          <w:bCs w:val="0"/>
          <w:kern w:val="0"/>
          <w:sz w:val="24"/>
          <w:szCs w:val="24"/>
          <w:lang w:eastAsia="en-IN"/>
          <w14:ligatures w14:val="none"/>
        </w:rPr>
      </w:pPr>
      <w:r w:rsidRPr="00EA19F0">
        <w:rPr>
          <w:rStyle w:val="Strong"/>
          <w:rFonts w:asciiTheme="minorBidi" w:eastAsiaTheme="majorEastAsia" w:hAnsiTheme="minorBidi"/>
          <w:kern w:val="0"/>
          <w:sz w:val="24"/>
          <w:szCs w:val="24"/>
          <w:lang w:eastAsia="en-IN"/>
          <w14:ligatures w14:val="none"/>
        </w:rPr>
        <w:t xml:space="preserve">Keywords: </w:t>
      </w:r>
      <w:r w:rsidRPr="00EA19F0">
        <w:rPr>
          <w:rStyle w:val="Strong"/>
          <w:rFonts w:asciiTheme="minorBidi" w:eastAsiaTheme="majorEastAsia" w:hAnsiTheme="minorBidi"/>
          <w:b w:val="0"/>
          <w:bCs w:val="0"/>
          <w:kern w:val="0"/>
          <w:sz w:val="24"/>
          <w:szCs w:val="24"/>
          <w:lang w:eastAsia="en-IN"/>
          <w14:ligatures w14:val="none"/>
        </w:rPr>
        <w:t>Kargil</w:t>
      </w:r>
      <w:r w:rsidR="007E248A" w:rsidRPr="00EA19F0">
        <w:rPr>
          <w:rStyle w:val="Strong"/>
          <w:rFonts w:asciiTheme="minorBidi" w:eastAsiaTheme="majorEastAsia" w:hAnsiTheme="minorBidi"/>
          <w:b w:val="0"/>
          <w:bCs w:val="0"/>
          <w:kern w:val="0"/>
          <w:sz w:val="24"/>
          <w:szCs w:val="24"/>
          <w:lang w:eastAsia="en-IN"/>
          <w14:ligatures w14:val="none"/>
        </w:rPr>
        <w:t>;</w:t>
      </w:r>
      <w:r w:rsidRPr="00EA19F0">
        <w:rPr>
          <w:rStyle w:val="Strong"/>
          <w:rFonts w:asciiTheme="minorBidi" w:eastAsiaTheme="majorEastAsia" w:hAnsiTheme="minorBidi"/>
          <w:b w:val="0"/>
          <w:bCs w:val="0"/>
          <w:kern w:val="0"/>
          <w:sz w:val="24"/>
          <w:szCs w:val="24"/>
          <w:lang w:eastAsia="en-IN"/>
          <w14:ligatures w14:val="none"/>
        </w:rPr>
        <w:t xml:space="preserve"> Indus River</w:t>
      </w:r>
      <w:r w:rsidR="005E7635" w:rsidRPr="00EA19F0">
        <w:rPr>
          <w:rStyle w:val="Strong"/>
          <w:rFonts w:asciiTheme="minorBidi" w:eastAsiaTheme="majorEastAsia" w:hAnsiTheme="minorBidi"/>
          <w:b w:val="0"/>
          <w:bCs w:val="0"/>
          <w:kern w:val="0"/>
          <w:sz w:val="24"/>
          <w:szCs w:val="24"/>
          <w:lang w:eastAsia="en-IN"/>
          <w14:ligatures w14:val="none"/>
        </w:rPr>
        <w:t>; Hydrochemical</w:t>
      </w:r>
      <w:r w:rsidRPr="00EA19F0">
        <w:rPr>
          <w:rStyle w:val="Strong"/>
          <w:rFonts w:asciiTheme="minorBidi" w:eastAsiaTheme="majorEastAsia" w:hAnsiTheme="minorBidi"/>
          <w:b w:val="0"/>
          <w:bCs w:val="0"/>
          <w:kern w:val="0"/>
          <w:sz w:val="24"/>
          <w:szCs w:val="24"/>
          <w:lang w:eastAsia="en-IN"/>
          <w14:ligatures w14:val="none"/>
        </w:rPr>
        <w:t xml:space="preserve"> facies</w:t>
      </w:r>
      <w:r w:rsidR="00EA19F0">
        <w:rPr>
          <w:rStyle w:val="Strong"/>
          <w:rFonts w:asciiTheme="minorBidi" w:eastAsiaTheme="majorEastAsia" w:hAnsiTheme="minorBidi"/>
          <w:b w:val="0"/>
          <w:bCs w:val="0"/>
          <w:kern w:val="0"/>
          <w:sz w:val="24"/>
          <w:szCs w:val="24"/>
          <w:lang w:eastAsia="en-IN"/>
          <w14:ligatures w14:val="none"/>
        </w:rPr>
        <w:t>; Semiarid</w:t>
      </w:r>
      <w:r w:rsidR="00812033">
        <w:rPr>
          <w:rStyle w:val="Strong"/>
          <w:rFonts w:asciiTheme="minorBidi" w:eastAsiaTheme="majorEastAsia" w:hAnsiTheme="minorBidi"/>
          <w:b w:val="0"/>
          <w:bCs w:val="0"/>
          <w:kern w:val="0"/>
          <w:sz w:val="24"/>
          <w:szCs w:val="24"/>
          <w:lang w:eastAsia="en-IN"/>
          <w14:ligatures w14:val="none"/>
        </w:rPr>
        <w:t>;</w:t>
      </w:r>
      <w:r w:rsidR="00EA19F0">
        <w:rPr>
          <w:rStyle w:val="Strong"/>
          <w:rFonts w:asciiTheme="minorBidi" w:eastAsiaTheme="majorEastAsia" w:hAnsiTheme="minorBidi"/>
          <w:b w:val="0"/>
          <w:bCs w:val="0"/>
          <w:kern w:val="0"/>
          <w:sz w:val="24"/>
          <w:szCs w:val="24"/>
          <w:lang w:eastAsia="en-IN"/>
          <w14:ligatures w14:val="none"/>
        </w:rPr>
        <w:t xml:space="preserve"> Zojila</w:t>
      </w:r>
      <w:r w:rsidR="00BE17E5">
        <w:rPr>
          <w:rStyle w:val="Strong"/>
          <w:rFonts w:asciiTheme="minorBidi" w:eastAsiaTheme="majorEastAsia" w:hAnsiTheme="minorBidi"/>
          <w:b w:val="0"/>
          <w:bCs w:val="0"/>
          <w:kern w:val="0"/>
          <w:sz w:val="24"/>
          <w:szCs w:val="24"/>
          <w:lang w:eastAsia="en-IN"/>
          <w14:ligatures w14:val="none"/>
        </w:rPr>
        <w:t>; Rock Weathering</w:t>
      </w:r>
    </w:p>
    <w:p w14:paraId="1DD47285" w14:textId="53DAFE53" w:rsidR="001B19D0" w:rsidRPr="00EA19F0" w:rsidRDefault="001B19D0" w:rsidP="003261F5">
      <w:pPr>
        <w:spacing w:after="0" w:line="240" w:lineRule="auto"/>
        <w:jc w:val="both"/>
        <w:rPr>
          <w:rFonts w:asciiTheme="minorBidi" w:hAnsiTheme="minorBidi"/>
          <w:sz w:val="24"/>
          <w:szCs w:val="24"/>
        </w:rPr>
      </w:pPr>
      <w:r w:rsidRPr="00EA19F0">
        <w:rPr>
          <w:rStyle w:val="Strong"/>
          <w:rFonts w:asciiTheme="minorBidi" w:eastAsiaTheme="majorEastAsia" w:hAnsiTheme="minorBidi"/>
          <w:kern w:val="0"/>
          <w:sz w:val="24"/>
          <w:szCs w:val="24"/>
          <w:lang w:eastAsia="en-IN"/>
          <w14:ligatures w14:val="none"/>
        </w:rPr>
        <w:t xml:space="preserve">  </w:t>
      </w:r>
    </w:p>
    <w:p w14:paraId="79D2CA77" w14:textId="001F5EA7" w:rsidR="009C7F1A" w:rsidRPr="00EA19F0" w:rsidRDefault="009C7F1A" w:rsidP="003261F5">
      <w:pPr>
        <w:spacing w:after="0" w:line="240" w:lineRule="auto"/>
        <w:jc w:val="both"/>
        <w:rPr>
          <w:rFonts w:asciiTheme="minorBidi" w:hAnsiTheme="minorBidi"/>
          <w:b/>
          <w:bCs/>
          <w:sz w:val="24"/>
          <w:szCs w:val="24"/>
        </w:rPr>
      </w:pPr>
      <w:r w:rsidRPr="00EA19F0">
        <w:rPr>
          <w:rFonts w:asciiTheme="minorBidi" w:hAnsiTheme="minorBidi"/>
          <w:b/>
          <w:bCs/>
          <w:sz w:val="24"/>
          <w:szCs w:val="24"/>
        </w:rPr>
        <w:t>1. Introduction</w:t>
      </w:r>
    </w:p>
    <w:p w14:paraId="0EA977A1" w14:textId="778208E5" w:rsidR="00732659" w:rsidRDefault="009E34FE" w:rsidP="00BA3E59">
      <w:pPr>
        <w:spacing w:after="0" w:line="240" w:lineRule="auto"/>
        <w:jc w:val="both"/>
        <w:rPr>
          <w:rFonts w:asciiTheme="minorBidi" w:hAnsiTheme="minorBidi"/>
          <w:sz w:val="24"/>
          <w:szCs w:val="24"/>
        </w:rPr>
      </w:pPr>
      <w:r w:rsidRPr="00EA19F0">
        <w:rPr>
          <w:rFonts w:asciiTheme="minorBidi" w:hAnsiTheme="minorBidi"/>
          <w:sz w:val="24"/>
          <w:szCs w:val="24"/>
        </w:rPr>
        <w:t>R</w:t>
      </w:r>
      <w:r w:rsidR="00957F75" w:rsidRPr="00EA19F0">
        <w:rPr>
          <w:rFonts w:asciiTheme="minorBidi" w:hAnsiTheme="minorBidi"/>
          <w:sz w:val="24"/>
          <w:szCs w:val="24"/>
        </w:rPr>
        <w:t xml:space="preserve">iver systems are </w:t>
      </w:r>
      <w:r w:rsidRPr="00EA19F0">
        <w:rPr>
          <w:rFonts w:asciiTheme="minorBidi" w:hAnsiTheme="minorBidi"/>
          <w:sz w:val="24"/>
          <w:szCs w:val="24"/>
        </w:rPr>
        <w:t>vital</w:t>
      </w:r>
      <w:r w:rsidR="00957F75" w:rsidRPr="00EA19F0">
        <w:rPr>
          <w:rFonts w:asciiTheme="minorBidi" w:hAnsiTheme="minorBidi"/>
          <w:sz w:val="24"/>
          <w:szCs w:val="24"/>
        </w:rPr>
        <w:t xml:space="preserve"> for </w:t>
      </w:r>
      <w:r w:rsidRPr="00EA19F0">
        <w:rPr>
          <w:rFonts w:asciiTheme="minorBidi" w:hAnsiTheme="minorBidi"/>
          <w:sz w:val="24"/>
          <w:szCs w:val="24"/>
        </w:rPr>
        <w:t xml:space="preserve">long-term sustainable growth, </w:t>
      </w:r>
      <w:r w:rsidR="00C376CA" w:rsidRPr="00EA19F0">
        <w:rPr>
          <w:rFonts w:asciiTheme="minorBidi" w:hAnsiTheme="minorBidi"/>
          <w:sz w:val="24"/>
          <w:szCs w:val="24"/>
        </w:rPr>
        <w:t xml:space="preserve">maintaining ecological and environmental sustainability, </w:t>
      </w:r>
      <w:r w:rsidRPr="00EA19F0">
        <w:rPr>
          <w:rFonts w:asciiTheme="minorBidi" w:hAnsiTheme="minorBidi"/>
          <w:sz w:val="24"/>
          <w:szCs w:val="24"/>
        </w:rPr>
        <w:t xml:space="preserve">economic growth, </w:t>
      </w:r>
      <w:r w:rsidR="00957F75" w:rsidRPr="00EA19F0">
        <w:rPr>
          <w:rFonts w:asciiTheme="minorBidi" w:hAnsiTheme="minorBidi"/>
          <w:sz w:val="24"/>
          <w:szCs w:val="24"/>
        </w:rPr>
        <w:t>food security,</w:t>
      </w:r>
      <w:r w:rsidRPr="00EA19F0">
        <w:rPr>
          <w:rFonts w:asciiTheme="minorBidi" w:hAnsiTheme="minorBidi"/>
          <w:sz w:val="24"/>
          <w:szCs w:val="24"/>
        </w:rPr>
        <w:t xml:space="preserve"> and </w:t>
      </w:r>
      <w:r w:rsidR="00957F75" w:rsidRPr="00EA19F0">
        <w:rPr>
          <w:rFonts w:asciiTheme="minorBidi" w:hAnsiTheme="minorBidi"/>
          <w:sz w:val="24"/>
          <w:szCs w:val="24"/>
        </w:rPr>
        <w:t xml:space="preserve">public health </w:t>
      </w:r>
      <w:r w:rsidR="00957F75"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{"citationID":"Uhf6adxt","properties":{"formattedCitation":"(B\\uc0\\u259{}n\\uc0\\u259{}duc et al., 2022)","plainCitation":"(Bănăduc et al., 2022)","noteIndex":0},"citationItems":[{"id":1496,"uris":["http://zotero.org/users/17566097/items/KA7VYVFK"],"itemData":{"id":1496,"type":"article-journal","abstract":"This paper is a synthetic overview of some of the threats, risks, and integrated water management elements in freshwater ecosystems. The paper provides some discussion of human needs and water conservation issues related to freshwater systems: (1) introduction and background; (2) water basics and natural cycles; (3) freshwater roles in human cultures and civilizations; (4) water as a biosphere cornerstone; (5) climate as a hydrospheric ‘game changer’ from the perspective of freshwater; (6) human-induced stressors’ effects on freshwater ecosystem changes (pollution, habitat fragmentation, etc.); (7) freshwater ecosystems’ biological resources in the context of unsustainable exploitation/overexploitation; (8) invasive species, parasites, and diseases in freshwater systems; (9) freshwater ecosystems’ vegetation; (10) the relationship between human warfare and water. All of these issues and more create an extremely complex matrix of stressors that plays a driving role in changing freshwater ecosystems both qualitatively and quantitatively, as well as their capacity to offer sustainable products and services to human societies. Only internationally integrated policies, strategies, assessment, monitoring, management, protection, and conservation initiatives can diminish and hopefully stop the long-term deterioration of Earth’s freshwater resources and their associated secondary resources.","container-title":"International Journal of Environmental Research and Public Health","DOI":"10.3390/ijerph192416570","ISSN":"1660-4601","issue":"24","language":"en","license":"http://creativecommons.org/licenses/by/3.0/","note":"number: 24\npublisher: Multidisciplinary Digital Publishing Institute","page":"16570","source":"www.mdpi.com","title":"Freshwater as a Sustainable Resource and Generator of Secondary Resources in the 21st Century: Stressors, Threats, Risks, Management and Protection Strategies, and Conservation Approaches","title-short":"Freshwater as a Sustainable Resource and Generator of Secondary Resources in the 21st Century","URL":"https://www.mdpi.com/1660-4601/19/24/16570","volume":"19","author":[{"family":"Bănăduc","given":"Doru"},{"family":"Simić","given":"Vladica"},{"family":"Cianfaglione","given":"Kevin"},{"family":"Barinova","given":"Sophia"},{"family":"Afanasyev","given":"Sergey"},{"family":"Öktener","given":"Ahmet"},{"family":"McCall","given":"Grant"},{"family":"Simić","given":"Snežana"},{"family":"Curtean-Bănăduc","given":"Angela"}],"accessed":{"date-parts":[["2025",8,3]]},"issued":{"date-parts":[["2022",1]]}}}],"schema":"https://github.com/citation-style-language/schema/raw/master/csl-citation.json"} </w:instrText>
      </w:r>
      <w:r w:rsidR="00957F75" w:rsidRPr="00EA19F0">
        <w:rPr>
          <w:rFonts w:asciiTheme="minorBidi" w:hAnsiTheme="minorBidi"/>
          <w:color w:val="0070C0"/>
          <w:sz w:val="24"/>
          <w:szCs w:val="24"/>
        </w:rPr>
        <w:fldChar w:fldCharType="separate"/>
      </w:r>
      <w:r w:rsidR="00445DFA" w:rsidRPr="00EA19F0">
        <w:rPr>
          <w:rFonts w:asciiTheme="minorBidi" w:hAnsiTheme="minorBidi"/>
          <w:color w:val="0070C0"/>
          <w:kern w:val="0"/>
          <w:sz w:val="24"/>
        </w:rPr>
        <w:t>(Bănăduc et al., 2022)</w:t>
      </w:r>
      <w:r w:rsidR="00957F75" w:rsidRPr="00EA19F0">
        <w:rPr>
          <w:rFonts w:asciiTheme="minorBidi" w:hAnsiTheme="minorBidi"/>
          <w:color w:val="0070C0"/>
          <w:sz w:val="24"/>
          <w:szCs w:val="24"/>
        </w:rPr>
        <w:fldChar w:fldCharType="end"/>
      </w:r>
      <w:r w:rsidR="00957F75" w:rsidRPr="00EA19F0">
        <w:rPr>
          <w:rFonts w:asciiTheme="minorBidi" w:hAnsiTheme="minorBidi"/>
          <w:sz w:val="24"/>
          <w:szCs w:val="24"/>
        </w:rPr>
        <w:t xml:space="preserve">. </w:t>
      </w:r>
      <w:r w:rsidR="00C376CA" w:rsidRPr="00EA19F0">
        <w:rPr>
          <w:rFonts w:asciiTheme="minorBidi" w:hAnsiTheme="minorBidi"/>
          <w:sz w:val="24"/>
          <w:szCs w:val="24"/>
        </w:rPr>
        <w:t xml:space="preserve">However, this vital resource is under heavy stress due to uncontrolled and unplanned anthropogenic activities. </w:t>
      </w:r>
      <w:r w:rsidRPr="00EA19F0">
        <w:rPr>
          <w:rFonts w:asciiTheme="minorBidi" w:hAnsiTheme="minorBidi"/>
          <w:sz w:val="24"/>
          <w:szCs w:val="24"/>
        </w:rPr>
        <w:t>T</w:t>
      </w:r>
      <w:r w:rsidR="00957F75" w:rsidRPr="00EA19F0">
        <w:rPr>
          <w:rFonts w:asciiTheme="minorBidi" w:hAnsiTheme="minorBidi"/>
          <w:sz w:val="24"/>
          <w:szCs w:val="24"/>
        </w:rPr>
        <w:t xml:space="preserve">he </w:t>
      </w:r>
      <w:r w:rsidR="00957F75" w:rsidRPr="00EA19F0">
        <w:rPr>
          <w:rFonts w:asciiTheme="minorBidi" w:hAnsiTheme="minorBidi"/>
          <w:color w:val="0070C0"/>
          <w:sz w:val="24"/>
          <w:szCs w:val="24"/>
        </w:rPr>
        <w:t>United Nations World Water Development Report 2023</w:t>
      </w:r>
      <w:r w:rsidR="00C376CA" w:rsidRPr="00EA19F0">
        <w:rPr>
          <w:rFonts w:asciiTheme="minorBidi" w:hAnsiTheme="minorBidi"/>
          <w:color w:val="0070C0"/>
          <w:sz w:val="24"/>
          <w:szCs w:val="24"/>
        </w:rPr>
        <w:t xml:space="preserve"> </w:t>
      </w:r>
      <w:r w:rsidR="003030EC" w:rsidRPr="00EA19F0">
        <w:rPr>
          <w:rFonts w:asciiTheme="minorBidi" w:hAnsiTheme="minorBidi"/>
          <w:sz w:val="24"/>
          <w:szCs w:val="24"/>
        </w:rPr>
        <w:t xml:space="preserve">revealed that </w:t>
      </w:r>
      <w:commentRangeStart w:id="5"/>
      <w:r w:rsidR="003030EC" w:rsidRPr="00EA19F0">
        <w:rPr>
          <w:rFonts w:asciiTheme="minorBidi" w:hAnsiTheme="minorBidi"/>
          <w:sz w:val="24"/>
          <w:szCs w:val="24"/>
        </w:rPr>
        <w:t>over 80% of global wastewater and more than</w:t>
      </w:r>
      <w:r w:rsidR="00DB38A3" w:rsidRPr="00EA19F0">
        <w:rPr>
          <w:rFonts w:asciiTheme="minorBidi" w:hAnsiTheme="minorBidi"/>
          <w:sz w:val="24"/>
          <w:szCs w:val="24"/>
        </w:rPr>
        <w:t xml:space="preserve"> 95% in a few developed countries are discharged </w:t>
      </w:r>
      <w:commentRangeEnd w:id="5"/>
      <w:r w:rsidR="003E0F43">
        <w:rPr>
          <w:rStyle w:val="CommentReference"/>
        </w:rPr>
        <w:commentReference w:id="5"/>
      </w:r>
      <w:r w:rsidR="00732659" w:rsidRPr="00EA19F0">
        <w:rPr>
          <w:rFonts w:asciiTheme="minorBidi" w:hAnsiTheme="minorBidi"/>
          <w:sz w:val="24"/>
          <w:szCs w:val="24"/>
        </w:rPr>
        <w:t xml:space="preserve">directly </w:t>
      </w:r>
      <w:r w:rsidR="00DB38A3" w:rsidRPr="00EA19F0">
        <w:rPr>
          <w:rFonts w:asciiTheme="minorBidi" w:hAnsiTheme="minorBidi"/>
          <w:sz w:val="24"/>
          <w:szCs w:val="24"/>
        </w:rPr>
        <w:t xml:space="preserve">into the environment </w:t>
      </w:r>
      <w:r w:rsidR="00957F75" w:rsidRPr="00EA19F0">
        <w:rPr>
          <w:rFonts w:asciiTheme="minorBidi" w:hAnsiTheme="minorBidi"/>
          <w:sz w:val="24"/>
          <w:szCs w:val="24"/>
        </w:rPr>
        <w:t>without adequate treatment</w:t>
      </w:r>
      <w:r w:rsidR="00DB38A3" w:rsidRPr="00EA19F0">
        <w:rPr>
          <w:rFonts w:asciiTheme="minorBidi" w:hAnsiTheme="minorBidi"/>
          <w:sz w:val="24"/>
          <w:szCs w:val="24"/>
        </w:rPr>
        <w:t>, resulting</w:t>
      </w:r>
      <w:r w:rsidR="00957F75" w:rsidRPr="00EA19F0">
        <w:rPr>
          <w:rFonts w:asciiTheme="minorBidi" w:hAnsiTheme="minorBidi"/>
          <w:sz w:val="24"/>
          <w:szCs w:val="24"/>
        </w:rPr>
        <w:t xml:space="preserve"> </w:t>
      </w:r>
      <w:r w:rsidR="00DB38A3" w:rsidRPr="00EA19F0">
        <w:rPr>
          <w:rFonts w:asciiTheme="minorBidi" w:hAnsiTheme="minorBidi"/>
          <w:sz w:val="24"/>
          <w:szCs w:val="24"/>
        </w:rPr>
        <w:t xml:space="preserve">in </w:t>
      </w:r>
      <w:r w:rsidR="00957F75" w:rsidRPr="00EA19F0">
        <w:rPr>
          <w:rFonts w:asciiTheme="minorBidi" w:hAnsiTheme="minorBidi"/>
          <w:sz w:val="24"/>
          <w:szCs w:val="24"/>
        </w:rPr>
        <w:t xml:space="preserve">widespread ecological degradation and health risks. </w:t>
      </w:r>
      <w:r w:rsidR="00466D0F" w:rsidRPr="00EA19F0">
        <w:rPr>
          <w:rFonts w:asciiTheme="minorBidi" w:hAnsiTheme="minorBidi"/>
          <w:sz w:val="24"/>
          <w:szCs w:val="24"/>
        </w:rPr>
        <w:t>According to</w:t>
      </w:r>
      <w:r w:rsidR="006F7B5C" w:rsidRPr="00EA19F0">
        <w:rPr>
          <w:rFonts w:asciiTheme="minorBidi" w:hAnsiTheme="minorBidi"/>
          <w:sz w:val="24"/>
          <w:szCs w:val="24"/>
        </w:rPr>
        <w:t xml:space="preserve"> </w:t>
      </w:r>
      <w:r w:rsidR="008C7308" w:rsidRPr="00EA19F0">
        <w:rPr>
          <w:rFonts w:asciiTheme="minorBidi" w:hAnsiTheme="minorBidi"/>
          <w:sz w:val="24"/>
          <w:szCs w:val="24"/>
        </w:rPr>
        <w:t>the report</w:t>
      </w:r>
      <w:r w:rsidR="003030EC" w:rsidRPr="00EA19F0">
        <w:rPr>
          <w:rFonts w:asciiTheme="minorBidi" w:hAnsiTheme="minorBidi"/>
          <w:sz w:val="24"/>
          <w:szCs w:val="24"/>
        </w:rPr>
        <w:t xml:space="preserve">, </w:t>
      </w:r>
      <w:r w:rsidR="00C23CB7" w:rsidRPr="00EA19F0">
        <w:rPr>
          <w:rFonts w:asciiTheme="minorBidi" w:hAnsiTheme="minorBidi"/>
          <w:sz w:val="24"/>
          <w:szCs w:val="24"/>
        </w:rPr>
        <w:t>"</w:t>
      </w:r>
      <w:r w:rsidR="00C23CB7" w:rsidRPr="008A33A4">
        <w:rPr>
          <w:rFonts w:asciiTheme="minorBidi" w:hAnsiTheme="minorBidi"/>
          <w:color w:val="0070C0"/>
          <w:sz w:val="24"/>
          <w:szCs w:val="24"/>
        </w:rPr>
        <w:t>The Global Water Quality Challenge &amp; SDGs</w:t>
      </w:r>
      <w:r w:rsidR="00C23CB7" w:rsidRPr="00EA19F0">
        <w:rPr>
          <w:rFonts w:asciiTheme="minorBidi" w:hAnsiTheme="minorBidi"/>
          <w:sz w:val="24"/>
          <w:szCs w:val="24"/>
        </w:rPr>
        <w:t xml:space="preserve">," water pollution poses a serious threat to human health, reduces ecosystem services, and hampers socioeconomic development </w:t>
      </w:r>
      <w:r w:rsidR="008A33A4" w:rsidRPr="008A33A4">
        <w:rPr>
          <w:rFonts w:asciiTheme="minorBidi" w:hAnsiTheme="minorBidi"/>
          <w:color w:val="0070C0"/>
          <w:sz w:val="24"/>
          <w:szCs w:val="24"/>
        </w:rPr>
        <w:fldChar w:fldCharType="begin"/>
      </w:r>
      <w:r w:rsidR="008A33A4" w:rsidRPr="008A33A4">
        <w:rPr>
          <w:rFonts w:asciiTheme="minorBidi" w:hAnsiTheme="minorBidi"/>
          <w:color w:val="0070C0"/>
          <w:sz w:val="24"/>
          <w:szCs w:val="24"/>
        </w:rPr>
        <w:instrText xml:space="preserve"> ADDIN ZOTERO_ITEM CSL_CITATION {"citationID":"amgos121da","properties":{"formattedCitation":"(UNESCO, 2021)","plainCitation":"(UNESCO, 2021)","noteIndex":0},"citationItems":[{"id":1501,"uris":["http://zotero.org/users/17566097/items/7VHY3A7H"],"itemData":{"id":1501,"type":"webpage","container-title":"Intergovernmental Hydrological Programme","title":"The Global Water Quality Challenge &amp; SDGs","URL":"https://en.unesco.org/ waterquality-iiwq/wq-challenge.","author":[{"family":"UNESCO","given":""}],"accessed":{"date-parts":[["2025",8,3]]},"issued":{"date-parts":[["2021"]]}}}],"schema":"https://github.com/citation-style-language/schema/raw/master/csl-citation.json"} </w:instrText>
      </w:r>
      <w:r w:rsidR="008A33A4" w:rsidRPr="008A33A4">
        <w:rPr>
          <w:rFonts w:asciiTheme="minorBidi" w:hAnsiTheme="minorBidi"/>
          <w:color w:val="0070C0"/>
          <w:sz w:val="24"/>
          <w:szCs w:val="24"/>
        </w:rPr>
        <w:fldChar w:fldCharType="separate"/>
      </w:r>
      <w:r w:rsidR="008A33A4" w:rsidRPr="008A33A4">
        <w:rPr>
          <w:rFonts w:ascii="Arial" w:hAnsi="Arial" w:cs="Arial"/>
          <w:color w:val="0070C0"/>
          <w:kern w:val="0"/>
          <w:sz w:val="24"/>
        </w:rPr>
        <w:t>(UNESCO, 2021)</w:t>
      </w:r>
      <w:r w:rsidR="008A33A4" w:rsidRPr="008A33A4">
        <w:rPr>
          <w:rFonts w:asciiTheme="minorBidi" w:hAnsiTheme="minorBidi"/>
          <w:color w:val="0070C0"/>
          <w:sz w:val="24"/>
          <w:szCs w:val="24"/>
        </w:rPr>
        <w:fldChar w:fldCharType="end"/>
      </w:r>
      <w:r w:rsidR="00466D0F" w:rsidRPr="00EA19F0">
        <w:rPr>
          <w:rFonts w:asciiTheme="minorBidi" w:hAnsiTheme="minorBidi"/>
          <w:sz w:val="24"/>
          <w:szCs w:val="24"/>
        </w:rPr>
        <w:t xml:space="preserve">. Globally, nearly two million tons of industrial effluents, sewage, and agricultural waste are discharged into water bodies every day. This widespread contamination contributes to the spread of waterborne diseases such as dysentery, diarrhoea, cholera, </w:t>
      </w:r>
      <w:r w:rsidR="00365AD9" w:rsidRPr="00EA19F0">
        <w:rPr>
          <w:rFonts w:asciiTheme="minorBidi" w:hAnsiTheme="minorBidi"/>
          <w:sz w:val="24"/>
          <w:szCs w:val="24"/>
        </w:rPr>
        <w:t>and</w:t>
      </w:r>
      <w:r w:rsidR="00466D0F" w:rsidRPr="00EA19F0">
        <w:rPr>
          <w:rFonts w:asciiTheme="minorBidi" w:hAnsiTheme="minorBidi"/>
          <w:sz w:val="24"/>
          <w:szCs w:val="24"/>
        </w:rPr>
        <w:t xml:space="preserve"> typhoid, which together cause more deaths annually than wars and other forms of violence combined</w:t>
      </w:r>
      <w:r w:rsidR="0068278F" w:rsidRPr="00EA19F0">
        <w:rPr>
          <w:rFonts w:asciiTheme="minorBidi" w:hAnsiTheme="minorBidi"/>
          <w:sz w:val="24"/>
          <w:szCs w:val="24"/>
        </w:rPr>
        <w:t xml:space="preserve"> </w:t>
      </w:r>
      <w:commentRangeStart w:id="6"/>
      <w:r w:rsidR="0068278F" w:rsidRPr="00EA19F0">
        <w:rPr>
          <w:rFonts w:asciiTheme="minorBidi" w:hAnsiTheme="minorBidi"/>
          <w:color w:val="0070C0"/>
          <w:sz w:val="24"/>
          <w:szCs w:val="24"/>
        </w:rPr>
        <w:fldChar w:fldCharType="begin"/>
      </w:r>
      <w:r w:rsidR="00ED4804" w:rsidRPr="00EA19F0">
        <w:rPr>
          <w:rFonts w:asciiTheme="minorBidi" w:hAnsiTheme="minorBidi"/>
          <w:color w:val="0070C0"/>
          <w:sz w:val="24"/>
          <w:szCs w:val="24"/>
        </w:rPr>
        <w:instrText xml:space="preserve"> ADDIN ZOTERO_ITEM CSL_CITATION {"citationID":"hHXo7qVi","properties":{"formattedCitation":"(du Plessis, 2022; UNESCO, 2021)","plainCitation":"(du Plessis, 2022; UNESCO, 2021)","noteIndex":0},"citationItems":[{"id":1229,"uris":["http://zotero.org/users/17566097/items/KMHD3P2N"],"itemData":{"id":1229,"type":"article-journal","abstract":"Water degradation has worsened across the globe since the 1990s and is expected to escalate even further, leading to increased threats and negative impacts to human health and the environment. Global water quality challenges need urgent attention and cohesive informed actions to avoid a global water predicament in the near future.","container-title":"One Earth","DOI":"10.1016/j.oneear.2022.01.005","ISSN":"2590-3322","issue":"2","journalAbbreviation":"One Earth","page":"129-131","source":"ScienceDirect","title":"Persistent degradation: Global water quality challenges and required actions","title-short":"Persistent degradation","URL":"https://www.sciencedirect.com/science/article/pii/S2590332222000434","volume":"5","author":[{"family":"Plessis","given":"Anja","non-dropping-particle":"du"}],"accessed":{"date-parts":[["2024",9,30]]},"issued":{"date-parts":[["2022",2,18]]}}},{"id":1501,"uris":["http://zotero.org/users/17566097/items/7VHY3A7H"],"itemData":{"id":1501,"type":"webpage","container-title":"Intergovernmental Hydrological Programme","title":"The Global Water Quality Challenge &amp; SDGs","URL":"https://en.unesco.org/ waterquality-iiwq/wq-challenge.","author":[{"family":"UNESCO","given":""}],"accessed":{"date-parts":[["2025",8,3]]},"issued":{"date-parts":[["2021"]]}}}],"schema":"https://github.com/citation-style-language/schema/raw/master/csl-citation.json"} </w:instrText>
      </w:r>
      <w:r w:rsidR="0068278F" w:rsidRPr="00EA19F0">
        <w:rPr>
          <w:rFonts w:asciiTheme="minorBidi" w:hAnsiTheme="minorBidi"/>
          <w:color w:val="0070C0"/>
          <w:sz w:val="24"/>
          <w:szCs w:val="24"/>
        </w:rPr>
        <w:fldChar w:fldCharType="separate"/>
      </w:r>
      <w:r w:rsidR="00ED4804" w:rsidRPr="00EA19F0">
        <w:rPr>
          <w:rFonts w:asciiTheme="minorBidi" w:hAnsiTheme="minorBidi"/>
          <w:color w:val="0070C0"/>
          <w:sz w:val="24"/>
        </w:rPr>
        <w:t>(du Plessis, 2022; UNESCO, 2021)</w:t>
      </w:r>
      <w:r w:rsidR="0068278F" w:rsidRPr="00EA19F0">
        <w:rPr>
          <w:rFonts w:asciiTheme="minorBidi" w:hAnsiTheme="minorBidi"/>
          <w:color w:val="0070C0"/>
          <w:sz w:val="24"/>
          <w:szCs w:val="24"/>
        </w:rPr>
        <w:fldChar w:fldCharType="end"/>
      </w:r>
      <w:commentRangeEnd w:id="6"/>
      <w:r w:rsidR="003E0F43">
        <w:rPr>
          <w:rStyle w:val="CommentReference"/>
        </w:rPr>
        <w:commentReference w:id="6"/>
      </w:r>
      <w:r w:rsidR="00466D0F" w:rsidRPr="00EA19F0">
        <w:rPr>
          <w:rFonts w:asciiTheme="minorBidi" w:hAnsiTheme="minorBidi"/>
          <w:sz w:val="24"/>
          <w:szCs w:val="24"/>
        </w:rPr>
        <w:t>.</w:t>
      </w:r>
      <w:r w:rsidR="00957F75" w:rsidRPr="00EA19F0">
        <w:rPr>
          <w:rFonts w:asciiTheme="minorBidi" w:hAnsiTheme="minorBidi"/>
          <w:sz w:val="24"/>
          <w:szCs w:val="24"/>
        </w:rPr>
        <w:t xml:space="preserve"> </w:t>
      </w:r>
      <w:r w:rsidR="00DE0EA4" w:rsidRPr="00EA19F0">
        <w:rPr>
          <w:rFonts w:asciiTheme="minorBidi" w:hAnsiTheme="minorBidi"/>
          <w:sz w:val="24"/>
          <w:szCs w:val="24"/>
        </w:rPr>
        <w:t xml:space="preserve">The </w:t>
      </w:r>
      <w:r w:rsidR="00DE0EA4" w:rsidRPr="00EA19F0">
        <w:rPr>
          <w:rFonts w:asciiTheme="minorBidi" w:hAnsiTheme="minorBidi"/>
          <w:color w:val="0070C0"/>
          <w:sz w:val="24"/>
          <w:szCs w:val="24"/>
        </w:rPr>
        <w:t>United Nations World Water Development Report (2024)</w:t>
      </w:r>
      <w:r w:rsidR="008A33A4">
        <w:rPr>
          <w:rFonts w:asciiTheme="minorBidi" w:hAnsiTheme="minorBidi"/>
          <w:sz w:val="24"/>
          <w:szCs w:val="24"/>
        </w:rPr>
        <w:t xml:space="preserve"> </w:t>
      </w:r>
      <w:r w:rsidR="00DE0EA4" w:rsidRPr="00EA19F0">
        <w:rPr>
          <w:rFonts w:asciiTheme="minorBidi" w:hAnsiTheme="minorBidi"/>
          <w:sz w:val="24"/>
          <w:szCs w:val="24"/>
        </w:rPr>
        <w:t>also predicts that i</w:t>
      </w:r>
      <w:r w:rsidR="00957F75" w:rsidRPr="00EA19F0">
        <w:rPr>
          <w:rFonts w:asciiTheme="minorBidi" w:hAnsiTheme="minorBidi"/>
          <w:sz w:val="24"/>
          <w:szCs w:val="24"/>
        </w:rPr>
        <w:t xml:space="preserve">f </w:t>
      </w:r>
      <w:r w:rsidR="004706F4" w:rsidRPr="00EA19F0">
        <w:rPr>
          <w:rFonts w:asciiTheme="minorBidi" w:hAnsiTheme="minorBidi"/>
          <w:sz w:val="24"/>
          <w:szCs w:val="24"/>
        </w:rPr>
        <w:t xml:space="preserve">the </w:t>
      </w:r>
      <w:r w:rsidR="00957F75" w:rsidRPr="00EA19F0">
        <w:rPr>
          <w:rFonts w:asciiTheme="minorBidi" w:hAnsiTheme="minorBidi"/>
          <w:sz w:val="24"/>
          <w:szCs w:val="24"/>
        </w:rPr>
        <w:t xml:space="preserve">existing water quality monitoring </w:t>
      </w:r>
      <w:r w:rsidR="00DE0EA4" w:rsidRPr="00EA19F0">
        <w:rPr>
          <w:rFonts w:asciiTheme="minorBidi" w:hAnsiTheme="minorBidi"/>
          <w:sz w:val="24"/>
          <w:szCs w:val="24"/>
        </w:rPr>
        <w:t xml:space="preserve">systems are </w:t>
      </w:r>
      <w:r w:rsidR="00957F75" w:rsidRPr="00EA19F0">
        <w:rPr>
          <w:rFonts w:asciiTheme="minorBidi" w:hAnsiTheme="minorBidi"/>
          <w:sz w:val="24"/>
          <w:szCs w:val="24"/>
        </w:rPr>
        <w:t>not</w:t>
      </w:r>
      <w:r w:rsidR="00DE0EA4" w:rsidRPr="00EA19F0">
        <w:rPr>
          <w:rFonts w:asciiTheme="minorBidi" w:hAnsiTheme="minorBidi"/>
          <w:sz w:val="24"/>
          <w:szCs w:val="24"/>
        </w:rPr>
        <w:t xml:space="preserve"> upgraded</w:t>
      </w:r>
      <w:r w:rsidR="00957F75" w:rsidRPr="00EA19F0">
        <w:rPr>
          <w:rFonts w:asciiTheme="minorBidi" w:hAnsiTheme="minorBidi"/>
          <w:sz w:val="24"/>
          <w:szCs w:val="24"/>
        </w:rPr>
        <w:t xml:space="preserve">, </w:t>
      </w:r>
      <w:r w:rsidR="004706F4" w:rsidRPr="00EA19F0">
        <w:rPr>
          <w:rFonts w:asciiTheme="minorBidi" w:hAnsiTheme="minorBidi"/>
          <w:sz w:val="24"/>
          <w:szCs w:val="24"/>
        </w:rPr>
        <w:t xml:space="preserve">by 2030, </w:t>
      </w:r>
      <w:r w:rsidR="00957F75" w:rsidRPr="00EA19F0">
        <w:rPr>
          <w:rFonts w:asciiTheme="minorBidi" w:hAnsiTheme="minorBidi"/>
          <w:sz w:val="24"/>
          <w:szCs w:val="24"/>
        </w:rPr>
        <w:t xml:space="preserve">the livelihoods </w:t>
      </w:r>
      <w:r w:rsidR="004706F4" w:rsidRPr="00EA19F0">
        <w:rPr>
          <w:rFonts w:asciiTheme="minorBidi" w:hAnsiTheme="minorBidi"/>
          <w:sz w:val="24"/>
          <w:szCs w:val="24"/>
        </w:rPr>
        <w:t xml:space="preserve">and health </w:t>
      </w:r>
      <w:r w:rsidR="00957F75" w:rsidRPr="00EA19F0">
        <w:rPr>
          <w:rFonts w:asciiTheme="minorBidi" w:hAnsiTheme="minorBidi"/>
          <w:sz w:val="24"/>
          <w:szCs w:val="24"/>
        </w:rPr>
        <w:t xml:space="preserve">of </w:t>
      </w:r>
      <w:r w:rsidR="004706F4" w:rsidRPr="00EA19F0">
        <w:rPr>
          <w:rFonts w:asciiTheme="minorBidi" w:hAnsiTheme="minorBidi"/>
          <w:sz w:val="24"/>
          <w:szCs w:val="24"/>
        </w:rPr>
        <w:t xml:space="preserve">about </w:t>
      </w:r>
      <w:r w:rsidR="00957F75" w:rsidRPr="00EA19F0">
        <w:rPr>
          <w:rFonts w:asciiTheme="minorBidi" w:hAnsiTheme="minorBidi"/>
          <w:sz w:val="24"/>
          <w:szCs w:val="24"/>
        </w:rPr>
        <w:t>4.8 billion people may be at risk</w:t>
      </w:r>
      <w:r w:rsidR="00957F75" w:rsidRPr="00EA19F0">
        <w:rPr>
          <w:rFonts w:asciiTheme="minorBidi" w:hAnsiTheme="minorBidi"/>
          <w:color w:val="0070C0"/>
          <w:sz w:val="24"/>
          <w:szCs w:val="24"/>
        </w:rPr>
        <w:t>.</w:t>
      </w:r>
      <w:r w:rsidR="00957F75" w:rsidRPr="00EA19F0">
        <w:rPr>
          <w:rFonts w:asciiTheme="minorBidi" w:hAnsiTheme="minorBidi"/>
          <w:sz w:val="24"/>
          <w:szCs w:val="24"/>
        </w:rPr>
        <w:t xml:space="preserve"> In India, 80% of the water resources are</w:t>
      </w:r>
      <w:r w:rsidR="004706F4" w:rsidRPr="00EA19F0">
        <w:rPr>
          <w:rFonts w:asciiTheme="minorBidi" w:hAnsiTheme="minorBidi"/>
          <w:sz w:val="24"/>
          <w:szCs w:val="24"/>
        </w:rPr>
        <w:t xml:space="preserve"> </w:t>
      </w:r>
      <w:commentRangeStart w:id="7"/>
      <w:r w:rsidR="006D5CD9" w:rsidRPr="00EA19F0">
        <w:rPr>
          <w:rFonts w:asciiTheme="minorBidi" w:hAnsiTheme="minorBidi"/>
          <w:sz w:val="24"/>
          <w:szCs w:val="24"/>
        </w:rPr>
        <w:t xml:space="preserve">classified </w:t>
      </w:r>
      <w:r w:rsidR="004706F4" w:rsidRPr="00EA19F0">
        <w:rPr>
          <w:rFonts w:asciiTheme="minorBidi" w:hAnsiTheme="minorBidi"/>
          <w:sz w:val="24"/>
          <w:szCs w:val="24"/>
        </w:rPr>
        <w:t>under</w:t>
      </w:r>
      <w:r w:rsidR="00957F75" w:rsidRPr="00EA19F0">
        <w:rPr>
          <w:rFonts w:asciiTheme="minorBidi" w:hAnsiTheme="minorBidi"/>
          <w:sz w:val="24"/>
          <w:szCs w:val="24"/>
        </w:rPr>
        <w:t xml:space="preserve"> </w:t>
      </w:r>
      <w:r w:rsidR="004706F4" w:rsidRPr="00EA19F0">
        <w:rPr>
          <w:rFonts w:asciiTheme="minorBidi" w:hAnsiTheme="minorBidi"/>
          <w:sz w:val="24"/>
          <w:szCs w:val="24"/>
        </w:rPr>
        <w:t xml:space="preserve">the </w:t>
      </w:r>
      <w:r w:rsidR="00957F75" w:rsidRPr="00EA19F0">
        <w:rPr>
          <w:rFonts w:asciiTheme="minorBidi" w:hAnsiTheme="minorBidi"/>
          <w:sz w:val="24"/>
          <w:szCs w:val="24"/>
        </w:rPr>
        <w:t>polluted</w:t>
      </w:r>
      <w:r w:rsidR="004706F4" w:rsidRPr="00EA19F0">
        <w:rPr>
          <w:rFonts w:asciiTheme="minorBidi" w:hAnsiTheme="minorBidi"/>
          <w:sz w:val="24"/>
          <w:szCs w:val="24"/>
        </w:rPr>
        <w:t xml:space="preserve"> category</w:t>
      </w:r>
      <w:commentRangeEnd w:id="7"/>
      <w:r w:rsidR="003E0F43">
        <w:rPr>
          <w:rStyle w:val="CommentReference"/>
        </w:rPr>
        <w:commentReference w:id="7"/>
      </w:r>
      <w:r w:rsidR="00957F75" w:rsidRPr="00EA19F0">
        <w:rPr>
          <w:rFonts w:asciiTheme="minorBidi" w:hAnsiTheme="minorBidi"/>
          <w:sz w:val="24"/>
          <w:szCs w:val="24"/>
        </w:rPr>
        <w:t>, with the Ganges</w:t>
      </w:r>
      <w:r w:rsidR="004706F4" w:rsidRPr="00EA19F0">
        <w:rPr>
          <w:rFonts w:asciiTheme="minorBidi" w:hAnsiTheme="minorBidi"/>
          <w:sz w:val="24"/>
          <w:szCs w:val="24"/>
        </w:rPr>
        <w:t xml:space="preserve"> (Ganga)</w:t>
      </w:r>
      <w:r w:rsidR="00957F75" w:rsidRPr="00EA19F0">
        <w:rPr>
          <w:rFonts w:asciiTheme="minorBidi" w:hAnsiTheme="minorBidi"/>
          <w:sz w:val="24"/>
          <w:szCs w:val="24"/>
        </w:rPr>
        <w:t xml:space="preserve"> River listed as</w:t>
      </w:r>
      <w:r w:rsidR="006D5CD9" w:rsidRPr="00EA19F0">
        <w:rPr>
          <w:rFonts w:asciiTheme="minorBidi" w:hAnsiTheme="minorBidi"/>
          <w:sz w:val="24"/>
          <w:szCs w:val="24"/>
        </w:rPr>
        <w:t xml:space="preserve"> one of </w:t>
      </w:r>
      <w:r w:rsidR="00957F75" w:rsidRPr="00EA19F0">
        <w:rPr>
          <w:rFonts w:asciiTheme="minorBidi" w:hAnsiTheme="minorBidi"/>
          <w:sz w:val="24"/>
          <w:szCs w:val="24"/>
        </w:rPr>
        <w:t xml:space="preserve">the most polluted </w:t>
      </w:r>
      <w:r w:rsidR="006D5CD9" w:rsidRPr="00EA19F0">
        <w:rPr>
          <w:rFonts w:asciiTheme="minorBidi" w:hAnsiTheme="minorBidi"/>
          <w:sz w:val="24"/>
          <w:szCs w:val="24"/>
        </w:rPr>
        <w:t>rivers</w:t>
      </w:r>
      <w:r w:rsidR="00957F75" w:rsidRPr="00EA19F0">
        <w:rPr>
          <w:rFonts w:asciiTheme="minorBidi" w:hAnsiTheme="minorBidi"/>
          <w:sz w:val="24"/>
          <w:szCs w:val="24"/>
        </w:rPr>
        <w:t xml:space="preserve"> in the world </w:t>
      </w:r>
      <w:r w:rsidR="00957F75"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{"citationID":"SvQ4a5cX","properties":{"formattedCitation":"(du Plessis, 2022)","plainCitation":"(du Plessis, 2022)","noteIndex":0},"citationItems":[{"id":1229,"uris":["http://zotero.org/users/17566097/items/KMHD3P2N"],"itemData":{"id":1229,"type":"article-journal","abstract":"Water degradation has worsened across the globe since the 1990s and is expected to escalate even further, leading to increased threats and negative impacts to human health and the environment. Global water quality challenges need urgent attention and cohesive informed actions to avoid a global water predicament in the near future.","container-title":"One Earth","DOI":"10.1016/j.oneear.2022.01.005","ISSN":"2590-3322","issue":"2","journalAbbreviation":"One Earth","page":"129-131","source":"ScienceDirect","title":"Persistent degradation: Global water quality challenges and required actions","title-short":"Persistent degradation","URL":"https://www.sciencedirect.com/science/article/pii/S2590332222000434","volume":"5","author":[{"family":"Plessis","given":"Anja","non-dropping-particle":"du"}],"accessed":{"date-parts":[["2024",9,30]]},"issued":{"date-parts":[["2022",2,18]]}}}],"schema":"https://github.com/citation-style-language/schema/raw/master/csl-citation.json"} </w:instrText>
      </w:r>
      <w:r w:rsidR="00957F75" w:rsidRPr="00EA19F0">
        <w:rPr>
          <w:rFonts w:asciiTheme="minorBidi" w:hAnsiTheme="minorBidi"/>
          <w:color w:val="0070C0"/>
          <w:sz w:val="24"/>
          <w:szCs w:val="24"/>
        </w:rPr>
        <w:fldChar w:fldCharType="separate"/>
      </w:r>
      <w:r w:rsidR="00445DFA" w:rsidRPr="00EA19F0">
        <w:rPr>
          <w:rFonts w:asciiTheme="minorBidi" w:hAnsiTheme="minorBidi"/>
          <w:color w:val="0070C0"/>
          <w:sz w:val="24"/>
        </w:rPr>
        <w:t>(du Plessis, 2022)</w:t>
      </w:r>
      <w:r w:rsidR="00957F75" w:rsidRPr="00EA19F0">
        <w:rPr>
          <w:rFonts w:asciiTheme="minorBidi" w:hAnsiTheme="minorBidi"/>
          <w:color w:val="0070C0"/>
          <w:sz w:val="24"/>
          <w:szCs w:val="24"/>
        </w:rPr>
        <w:fldChar w:fldCharType="end"/>
      </w:r>
      <w:r w:rsidR="00957F75" w:rsidRPr="00EA19F0">
        <w:rPr>
          <w:rFonts w:asciiTheme="minorBidi" w:hAnsiTheme="minorBidi"/>
          <w:color w:val="0070C0"/>
          <w:sz w:val="24"/>
          <w:szCs w:val="24"/>
        </w:rPr>
        <w:t>.</w:t>
      </w:r>
      <w:r w:rsidR="00957F75" w:rsidRPr="00EA19F0">
        <w:rPr>
          <w:rFonts w:asciiTheme="minorBidi" w:hAnsiTheme="minorBidi"/>
          <w:sz w:val="24"/>
          <w:szCs w:val="24"/>
        </w:rPr>
        <w:t xml:space="preserve"> </w:t>
      </w:r>
      <w:r w:rsidR="0098056A" w:rsidRPr="00EA19F0">
        <w:rPr>
          <w:rFonts w:asciiTheme="minorBidi" w:hAnsiTheme="minorBidi"/>
          <w:sz w:val="24"/>
          <w:szCs w:val="24"/>
        </w:rPr>
        <w:t xml:space="preserve">About </w:t>
      </w:r>
      <w:r w:rsidR="00957F75" w:rsidRPr="00EA19F0">
        <w:rPr>
          <w:rFonts w:asciiTheme="minorBidi" w:hAnsiTheme="minorBidi"/>
          <w:sz w:val="24"/>
          <w:szCs w:val="24"/>
        </w:rPr>
        <w:t>351</w:t>
      </w:r>
      <w:r w:rsidR="00817937" w:rsidRPr="00EA19F0">
        <w:rPr>
          <w:rFonts w:asciiTheme="minorBidi" w:hAnsiTheme="minorBidi"/>
          <w:sz w:val="24"/>
          <w:szCs w:val="24"/>
        </w:rPr>
        <w:t xml:space="preserve"> </w:t>
      </w:r>
      <w:r w:rsidR="00957F75" w:rsidRPr="00EA19F0">
        <w:rPr>
          <w:rFonts w:asciiTheme="minorBidi" w:hAnsiTheme="minorBidi"/>
          <w:sz w:val="24"/>
          <w:szCs w:val="24"/>
        </w:rPr>
        <w:t>rivers in India</w:t>
      </w:r>
      <w:r w:rsidR="0098056A" w:rsidRPr="00EA19F0">
        <w:rPr>
          <w:rFonts w:asciiTheme="minorBidi" w:hAnsiTheme="minorBidi"/>
          <w:sz w:val="24"/>
          <w:szCs w:val="24"/>
        </w:rPr>
        <w:t xml:space="preserve"> have been recognised as polluted rivers by the Central Pollution Control Board (CPCB, 2022), characterised by </w:t>
      </w:r>
      <w:r w:rsidR="00957F75" w:rsidRPr="00EA19F0">
        <w:rPr>
          <w:rFonts w:asciiTheme="minorBidi" w:hAnsiTheme="minorBidi"/>
          <w:sz w:val="24"/>
          <w:szCs w:val="24"/>
        </w:rPr>
        <w:t>high</w:t>
      </w:r>
      <w:r w:rsidR="0098056A" w:rsidRPr="00EA19F0">
        <w:rPr>
          <w:rFonts w:asciiTheme="minorBidi" w:hAnsiTheme="minorBidi"/>
          <w:sz w:val="24"/>
          <w:szCs w:val="24"/>
        </w:rPr>
        <w:t xml:space="preserve"> nitrate loading, microbial contamination, heavy metals</w:t>
      </w:r>
      <w:r w:rsidR="00AE5E99" w:rsidRPr="00EA19F0">
        <w:rPr>
          <w:rFonts w:asciiTheme="minorBidi" w:hAnsiTheme="minorBidi"/>
          <w:sz w:val="24"/>
          <w:szCs w:val="24"/>
        </w:rPr>
        <w:t xml:space="preserve"> and </w:t>
      </w:r>
      <w:r w:rsidR="00957F75" w:rsidRPr="00EA19F0">
        <w:rPr>
          <w:rFonts w:asciiTheme="minorBidi" w:hAnsiTheme="minorBidi"/>
          <w:sz w:val="24"/>
          <w:szCs w:val="24"/>
        </w:rPr>
        <w:t>biochemical oxygen demand (BOD)</w:t>
      </w:r>
      <w:r w:rsidR="00957F75"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{"citationID":"IroTsuFs","properties":{"formattedCitation":"(CPCB, 2018; Dey and Majumdar, 2024)","plainCitation":"(CPCB, 2018; Dey and Majumdar, 2024)","noteIndex":0},"citationItems":[{"id":1505,"uris":["http://zotero.org/users/17566097/items/JFCMKGX5"],"itemData":{"id":1505,"type":"chapter","abstract":"The increasing global population is causing much damage to the ecosystem’s natural balance, especially the “lifeline” of any landmass and rivers. But with gradual civilization and industrialization, this serendipity of riverine systems is being compromised. Since the past century, people are trying to understand the scientific role of any river ecosystem along with the source of pollution, either geogenic or due to anthropogenic acts. Reports have shown the involvement of uncontrolled industrial effluent discharge, untreated or partially treated household sewage and release, and disposal of hot water from nuclear thermal plants are the main reason for pollution. The Ganga-Yamuna has average Pb, Cd, Cr, Ni, Cu, and Zn concentrations within a range of 2690, 1310, 1090, 1120, 2000, and 15,320 μg/L and 2553, 1101, 3627, 851, 4791, and 3518 μg/L, respectively. Due to several inter-elemental chemical interactions of river beds or sediments, natural polluting toxic elements get released from complex compounds and dissolved in the aqueous phase, becoming bioavailable to the phytoplankton and zooplankton from where such pollutants get biomagnified in higher trophic level in the food chain. The prescribed biological oxygen demand (BOD) of river water has been prioritized as threat category 1 if found ≥30 mg/L with coliform microbial populations of 2500 MPN/100 mL. This chapter focuses on such studies, with state-wise analysis of the Indian subcontinent, which pointed out the recent river pollution status, in a concise way along with a brief discussion on the available mitigation strategies for river pollution.","container-title":"Rivers of India: Past, Present and Future","event-place":"Cham","ISBN":"978-3-031-49163-4","language":"en","note":"DOI: 10.1007/978-3-031-49163-4_4","page":"69-93","publisher":"Springer International Publishing","publisher-place":"Cham","source":"Springer Link","title":"Current Status of Pollution in Major Rivers and Tributaries of India and Protection-Restoration Strategies","URL":"https://doi.org/10.1007/978-3-031-49163-4_4","author":[{"family":"Dey","given":"Shreyosi"},{"family":"Majumdar","given":"Arnab"}],"editor":[{"family":"Kanhaiya","given":"Shyam"},{"family":"Singh","given":"Saurabh"},{"family":"Dixit","given":"Arohi"},{"family":"Singh","given":"Atul Kumar"}],"accessed":{"date-parts":[["2025",8,3]]},"issued":{"date-parts":[["2024"]]}}},{"id":1506,"uris":["http://zotero.org/users/17566097/items/GLYAZRRA"],"itemData":{"id":1506,"type":"webpage","abstract":"River stretches for restoration of water quality","language":"English","title":"River stretches for restoration of water quality","URL":"https://cpcb.nic.in/wqm/PollutedStretches-2018.pdf","author":[{"literal":"CPCB"}],"issued":{"date-parts":[["2018"]]}}}],"schema":"https://github.com/citation-style-language/schema/raw/master/csl-citation.json"} </w:instrText>
      </w:r>
      <w:r w:rsidR="00957F75" w:rsidRPr="00EA19F0">
        <w:rPr>
          <w:rFonts w:asciiTheme="minorBidi" w:hAnsiTheme="minorBidi"/>
          <w:color w:val="0070C0"/>
          <w:sz w:val="24"/>
          <w:szCs w:val="24"/>
        </w:rPr>
        <w:fldChar w:fldCharType="separate"/>
      </w:r>
      <w:r w:rsidR="00BA3E59" w:rsidRPr="00BA3E59">
        <w:rPr>
          <w:rFonts w:ascii="Arial" w:hAnsi="Arial" w:cs="Arial"/>
          <w:color w:val="0070C0"/>
          <w:sz w:val="24"/>
          <w:szCs w:val="24"/>
        </w:rPr>
        <w:t>(CPCB, 2018; Dey and Majumdar, 2024)</w:t>
      </w:r>
      <w:r w:rsidR="00957F75" w:rsidRPr="00EA19F0">
        <w:rPr>
          <w:rFonts w:asciiTheme="minorBidi" w:hAnsiTheme="minorBidi"/>
          <w:color w:val="0070C0"/>
          <w:sz w:val="24"/>
          <w:szCs w:val="24"/>
        </w:rPr>
        <w:fldChar w:fldCharType="end"/>
      </w:r>
      <w:r w:rsidR="00957F75" w:rsidRPr="00EA19F0">
        <w:rPr>
          <w:rFonts w:asciiTheme="minorBidi" w:hAnsiTheme="minorBidi"/>
          <w:color w:val="0070C0"/>
          <w:sz w:val="24"/>
          <w:szCs w:val="24"/>
        </w:rPr>
        <w:t>.</w:t>
      </w:r>
      <w:r w:rsidR="00957F75" w:rsidRPr="00EA19F0">
        <w:rPr>
          <w:rFonts w:asciiTheme="minorBidi" w:hAnsiTheme="minorBidi"/>
          <w:sz w:val="24"/>
          <w:szCs w:val="24"/>
        </w:rPr>
        <w:t xml:space="preserve"> </w:t>
      </w:r>
      <w:r w:rsidR="00500E7A" w:rsidRPr="00EA19F0">
        <w:rPr>
          <w:rFonts w:asciiTheme="minorBidi" w:hAnsiTheme="minorBidi"/>
          <w:sz w:val="24"/>
          <w:szCs w:val="24"/>
        </w:rPr>
        <w:t>In semi-arid region</w:t>
      </w:r>
      <w:r w:rsidR="00ED7405" w:rsidRPr="00EA19F0">
        <w:rPr>
          <w:rFonts w:asciiTheme="minorBidi" w:hAnsiTheme="minorBidi"/>
          <w:sz w:val="24"/>
          <w:szCs w:val="24"/>
        </w:rPr>
        <w:t>s,</w:t>
      </w:r>
      <w:r w:rsidR="00500E7A" w:rsidRPr="00EA19F0">
        <w:rPr>
          <w:rFonts w:asciiTheme="minorBidi" w:hAnsiTheme="minorBidi"/>
          <w:sz w:val="24"/>
          <w:szCs w:val="24"/>
        </w:rPr>
        <w:t xml:space="preserve"> a unique combination of lower water </w:t>
      </w:r>
      <w:r w:rsidR="00500E7A" w:rsidRPr="00EA19F0">
        <w:rPr>
          <w:rFonts w:asciiTheme="minorBidi" w:hAnsiTheme="minorBidi"/>
          <w:sz w:val="24"/>
          <w:szCs w:val="24"/>
        </w:rPr>
        <w:lastRenderedPageBreak/>
        <w:t>discharge</w:t>
      </w:r>
      <w:r w:rsidR="00732659" w:rsidRPr="00EA19F0">
        <w:rPr>
          <w:rFonts w:asciiTheme="minorBidi" w:hAnsiTheme="minorBidi"/>
          <w:sz w:val="24"/>
          <w:szCs w:val="24"/>
        </w:rPr>
        <w:t xml:space="preserve"> volume</w:t>
      </w:r>
      <w:r w:rsidR="00500E7A" w:rsidRPr="00EA19F0">
        <w:rPr>
          <w:rFonts w:asciiTheme="minorBidi" w:hAnsiTheme="minorBidi"/>
          <w:sz w:val="24"/>
          <w:szCs w:val="24"/>
        </w:rPr>
        <w:t xml:space="preserve"> and high pollution susceptibility, particularly during the low temperature periods</w:t>
      </w:r>
      <w:r w:rsidR="00732659" w:rsidRPr="00EA19F0">
        <w:rPr>
          <w:rFonts w:asciiTheme="minorBidi" w:hAnsiTheme="minorBidi"/>
          <w:sz w:val="24"/>
          <w:szCs w:val="24"/>
        </w:rPr>
        <w:t>,</w:t>
      </w:r>
      <w:r w:rsidR="00500E7A" w:rsidRPr="00EA19F0">
        <w:rPr>
          <w:rFonts w:asciiTheme="minorBidi" w:hAnsiTheme="minorBidi"/>
          <w:sz w:val="24"/>
          <w:szCs w:val="24"/>
        </w:rPr>
        <w:t xml:space="preserve"> the conditions of water bodies are further worsened </w:t>
      </w:r>
      <w:r w:rsidR="00500E7A"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{"citationID":"821NqybP","properties":{"formattedCitation":"(Graham et al., 2024)","plainCitation":"(Graham et al., 2024)","noteIndex":0},"citationItems":[{"id":1507,"uris":["http://zotero.org/users/17566097/items/VCX3V9TN"],"itemData":{"id":1507,"type":"article-journal","abstract":"Droughts and heatwaves have a major impact on river water quality worldwide. However, previous studies of river water quality under these climate extremes are limited to a small number of river basins and regions, mainly located in North America, Europe or Australia. In this study, we estimate the large-scale effects of droughts, heatwaves and compound drought-heatwave events on river water quality for a total of 314,046 water quality monitoring stations worldwide over the period 1980–2021. We focus on 16 water quality constituents grouped into physical (e.g., temperature, salinity), chemical (e.g., pharmaceuticals, pesticides) and biological constituents (e.g., biochemical oxygen demand, faecal coliform). Further, we analyse the response of each constituent to droughts and heatwaves in relation to climate type, land use and level of wastewater treatment. We find a general deterioration in river water quality under droughts and heatwaves globally for most rivers and water quality constituents considered. For example, there is on average a 27 % increase in river water temperature, 17 % decrease in dissolved oxygen and 24 % increase in salinity under droughts and heatwaves. In addition, we find that climate type, land use and level of wastewater treatment have a significant effect on the magnitude of response in each water quality constituent during these extreme events. The median increase in river water temperature under compound drought-heatwaves is strongly driven by climate zone with higher warming rates at the polar climate zone (+4.5 °C) compared to the tropical zone (+2.1 °C). Increases in salinity under droughts are on average two times larger in irrigated regions compared to non-irrigated regions. The concentrations of nutrients (P and N) in rivers can either increase or decrease under droughts, depending on the nutrient form (dissolved vs. particulate) and land use (urban vs. rural). Higher levels of wastewater treatment contributed to a greater decrease in pathogenic concentrations under droughts and heatwaves (as indicated by faecal coliform). Pharmaceuticals show mixed responses mainly depending on the persistence of the constituent in surface waters, with for instance declines in diclofenac concentrations under droughts and heatwaves due to increased decay under higher water temperatures. The results of this study provide a broader understanding of how droughts and heatwaves affect river water quality compared to previous local and regional-scale analyses. In addition, this study could form the basis for large-scale modelling of river water quality under droughts and heatwaves.","container-title":"Journal of Hydrology","DOI":"10.1016/j.jhydrol.2023.130590","ISSN":"0022-1694","journalAbbreviation":"Journal of Hydrology","page":"130590","source":"ScienceDirect","title":"Impacts of droughts and heatwaves on river water quality worldwide","URL":"https://www.sciencedirect.com/science/article/pii/S0022169423015329","volume":"629","author":[{"family":"Graham","given":"Duncan J."},{"family":"Bierkens","given":"Marc F. P."},{"family":"Vliet","given":"Michelle T. H.","non-dropping-particle":"van"}],"accessed":{"date-parts":[["2025",8,3]]},"issued":{"date-parts":[["2024",2,1]]}}}],"schema":"https://github.com/citation-style-language/schema/raw/master/csl-citation.json"} </w:instrText>
      </w:r>
      <w:r w:rsidR="00500E7A" w:rsidRPr="00EA19F0">
        <w:rPr>
          <w:rFonts w:asciiTheme="minorBidi" w:hAnsiTheme="minorBidi"/>
          <w:color w:val="0070C0"/>
          <w:sz w:val="24"/>
          <w:szCs w:val="24"/>
        </w:rPr>
        <w:fldChar w:fldCharType="separate"/>
      </w:r>
      <w:r w:rsidR="00445DFA" w:rsidRPr="00EA19F0">
        <w:rPr>
          <w:rFonts w:asciiTheme="minorBidi" w:hAnsiTheme="minorBidi"/>
          <w:color w:val="0070C0"/>
          <w:sz w:val="24"/>
        </w:rPr>
        <w:t>(Graham et al., 2024)</w:t>
      </w:r>
      <w:r w:rsidR="00500E7A" w:rsidRPr="00EA19F0">
        <w:rPr>
          <w:rFonts w:asciiTheme="minorBidi" w:hAnsiTheme="minorBidi"/>
          <w:color w:val="0070C0"/>
          <w:sz w:val="24"/>
          <w:szCs w:val="24"/>
        </w:rPr>
        <w:fldChar w:fldCharType="end"/>
      </w:r>
      <w:r w:rsidR="00500E7A" w:rsidRPr="00EA19F0">
        <w:rPr>
          <w:rFonts w:asciiTheme="minorBidi" w:hAnsiTheme="minorBidi"/>
          <w:color w:val="0070C0"/>
          <w:sz w:val="24"/>
          <w:szCs w:val="24"/>
        </w:rPr>
        <w:t>.</w:t>
      </w:r>
      <w:r w:rsidR="00500E7A" w:rsidRPr="00EA19F0">
        <w:rPr>
          <w:rFonts w:asciiTheme="minorBidi" w:hAnsiTheme="minorBidi"/>
          <w:sz w:val="24"/>
          <w:szCs w:val="24"/>
        </w:rPr>
        <w:t xml:space="preserve"> </w:t>
      </w:r>
      <w:r w:rsidR="00525B21" w:rsidRPr="00EA19F0">
        <w:rPr>
          <w:rFonts w:asciiTheme="minorBidi" w:hAnsiTheme="minorBidi"/>
          <w:sz w:val="24"/>
          <w:szCs w:val="24"/>
        </w:rPr>
        <w:t>Urbanisation, mainly driven by tourism, is</w:t>
      </w:r>
      <w:r w:rsidR="00957F75" w:rsidRPr="00EA19F0">
        <w:rPr>
          <w:rFonts w:asciiTheme="minorBidi" w:hAnsiTheme="minorBidi"/>
          <w:sz w:val="24"/>
          <w:szCs w:val="24"/>
        </w:rPr>
        <w:t xml:space="preserve"> </w:t>
      </w:r>
      <w:r w:rsidR="00ED7405" w:rsidRPr="00EA19F0">
        <w:rPr>
          <w:rFonts w:asciiTheme="minorBidi" w:hAnsiTheme="minorBidi"/>
          <w:sz w:val="24"/>
          <w:szCs w:val="24"/>
        </w:rPr>
        <w:t xml:space="preserve">also </w:t>
      </w:r>
      <w:r w:rsidR="00957F75" w:rsidRPr="00EA19F0">
        <w:rPr>
          <w:rFonts w:asciiTheme="minorBidi" w:hAnsiTheme="minorBidi"/>
          <w:sz w:val="24"/>
          <w:szCs w:val="24"/>
        </w:rPr>
        <w:t xml:space="preserve">evolving as </w:t>
      </w:r>
      <w:r w:rsidR="00525B21" w:rsidRPr="00EA19F0">
        <w:rPr>
          <w:rFonts w:asciiTheme="minorBidi" w:hAnsiTheme="minorBidi"/>
          <w:sz w:val="24"/>
          <w:szCs w:val="24"/>
        </w:rPr>
        <w:t>the prime</w:t>
      </w:r>
      <w:r w:rsidR="00957F75" w:rsidRPr="00EA19F0">
        <w:rPr>
          <w:rFonts w:asciiTheme="minorBidi" w:hAnsiTheme="minorBidi"/>
          <w:sz w:val="24"/>
          <w:szCs w:val="24"/>
        </w:rPr>
        <w:t xml:space="preserve"> </w:t>
      </w:r>
      <w:r w:rsidR="00525B21" w:rsidRPr="00EA19F0">
        <w:rPr>
          <w:rFonts w:asciiTheme="minorBidi" w:hAnsiTheme="minorBidi"/>
          <w:sz w:val="24"/>
          <w:szCs w:val="24"/>
        </w:rPr>
        <w:t>contributor</w:t>
      </w:r>
      <w:r w:rsidR="00957F75" w:rsidRPr="00EA19F0">
        <w:rPr>
          <w:rFonts w:asciiTheme="minorBidi" w:hAnsiTheme="minorBidi"/>
          <w:sz w:val="24"/>
          <w:szCs w:val="24"/>
        </w:rPr>
        <w:t xml:space="preserve"> to water quality </w:t>
      </w:r>
      <w:r w:rsidR="00525B21" w:rsidRPr="00EA19F0">
        <w:rPr>
          <w:rFonts w:asciiTheme="minorBidi" w:hAnsiTheme="minorBidi"/>
          <w:sz w:val="24"/>
          <w:szCs w:val="24"/>
        </w:rPr>
        <w:t>deterioration</w:t>
      </w:r>
      <w:r w:rsidR="00957F75" w:rsidRPr="00EA19F0">
        <w:rPr>
          <w:rFonts w:asciiTheme="minorBidi" w:hAnsiTheme="minorBidi"/>
          <w:sz w:val="24"/>
          <w:szCs w:val="24"/>
        </w:rPr>
        <w:t xml:space="preserve">, particularly in ecologically sensitive regions like Ladakh, with the </w:t>
      </w:r>
      <w:r w:rsidR="00525B21" w:rsidRPr="00EA19F0">
        <w:rPr>
          <w:rFonts w:asciiTheme="minorBidi" w:hAnsiTheme="minorBidi"/>
          <w:sz w:val="24"/>
          <w:szCs w:val="24"/>
        </w:rPr>
        <w:t>development</w:t>
      </w:r>
      <w:r w:rsidR="00957F75" w:rsidRPr="00EA19F0">
        <w:rPr>
          <w:rFonts w:asciiTheme="minorBidi" w:hAnsiTheme="minorBidi"/>
          <w:sz w:val="24"/>
          <w:szCs w:val="24"/>
        </w:rPr>
        <w:t xml:space="preserve"> of urban infrastructure and </w:t>
      </w:r>
      <w:r w:rsidR="00525B21" w:rsidRPr="00EA19F0">
        <w:rPr>
          <w:rFonts w:asciiTheme="minorBidi" w:hAnsiTheme="minorBidi"/>
          <w:sz w:val="24"/>
          <w:szCs w:val="24"/>
        </w:rPr>
        <w:t xml:space="preserve">increasing </w:t>
      </w:r>
      <w:r w:rsidR="00957F75" w:rsidRPr="00EA19F0">
        <w:rPr>
          <w:rFonts w:asciiTheme="minorBidi" w:hAnsiTheme="minorBidi"/>
          <w:sz w:val="24"/>
          <w:szCs w:val="24"/>
        </w:rPr>
        <w:t xml:space="preserve">municipal waste, all of which contribute to river pollution </w:t>
      </w:r>
      <w:r w:rsidR="00957F75"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{"citationID":"dsudBeq7","properties":{"formattedCitation":"(Ali et al., 2024b; Dame et al., 2019; P\\uc0\\u225{}skov\\uc0\\u225{} et al., 2024)","plainCitation":"(Ali et al., 2024b; Dame et al., 2019; Pásková et al., 2024)","noteIndex":0},"citationItems":[{"id":785,"uris":["http://zotero.org/users/17566097/items/PMBLIL85"],"itemData":{"id":785,"type":"article-journal","abstract":"Rapid urbanisation increasingly aﬀects small and medium-sized towns adversely in high mountain regions, which are especially vulnerable to socioecological challenges like depleting natural resources and increasing risk exposure to natural hazards. The case study of Leh town, located in the Indian Himalaya, reveals an array of diverse patterns, drivers, and challenges that characterise the process of mountain urbanisation. Our study is based on an integrated methodological approach using very high resolution multi-temporal satellite imagery, ﬁeld mapping and social research data to track socioeconomic and political developments. A rapid spatial expansion of housing settlements on both, former agricultural and barren land along with a densiﬁcation of builtup areas can be observed. Between 2003 and 2017, 9400 new buildings were constructed whereas in the 34 years before (from 1969 to 2003), approximately the same number of new buildings were constructed. The building area more than quintupled from 36 ha to 196 ha between 1969 and 2017. Consequentially, agricultural land loss through construction activities increased from 1% in 1969 to 8% in 2017. Urban growth in Leh is driven by administrative and infrastructure development, a booming tourism sector, the diﬀusion of urban lifestyles, and the region’s geopolitical importance. The emerging socio-ecological challenges are tackled by diﬀerent local actors. Our ﬁndings raise questions on the consequences of such rapid urbanisation on urban and environmental governance, especially with regard to water resources and natural hazards, and we oﬀer practical recommendations for sustainable town planning.","container-title":"Landscape and Urban Planning","DOI":"10.1016/j.landurbplan.2019.04.017","ISSN":"01692046","journalAbbreviation":"Landscape and Urban Planning","language":"en","page":"189-199","source":"DOI.org (Crossref)","title":"Urbanisation and socio-ecological challenges in high mountain towns: Insights from Leh (Ladakh), India","title-short":"Urbanisation and socio-ecological challenges in high mountain towns","URL":"https://linkinghub.elsevier.com/retrieve/pii/S0169204619305341","volume":"189","author":[{"family":"Dame","given":"Juliane"},{"family":"Schmidt","given":"Susanne"},{"family":"Müller","given":"Judith"},{"family":"Nüsser","given":"Marcus"}],"accessed":{"date-parts":[["2024",4,11]]},"issued":{"date-parts":[["2019",9]]}}},{"id":1270,"uris":["http://zotero.org/users/17566097/items/63FGJZVV"],"itemData":{"id":1270,"type":"article-journal","abstract":"Water is a valuable and limited resource in semi-arid regions like Ladakh. Effective management and conservation of water are crucial to prevent negative consequences on the area's quality of life. Since becoming a Union territory, Leh, a district of Ladakh, has undergone rapid urbanization due to its administrative status, air service facilities, tourism, and increasing population. However, this urbanization and tourism boom have resulted in a higher demand for water and a decline in its quality. Glacial-fed water is the primary source for drinking and agriculture in Ladakh. As Ladakh has become a popular tourist destination, the distribution and quality of water have been negatively affected. Construction of hotels and guest houses on agricultural lands, could further harm Ladakh's fragile ecological environment. Due to the challenging terrain and harsh conditions, there has been limited research on water quality in the region andare confined to the Leh district only. Despite lack of comprehensive information, this review aims to address three important questions: the hydrochemistry of water resources, the impact of urbanization on water quality, and the existing research gap in hydrochemistry in significant areas and water resources. The objective is to establish fundamental data for future research and contribute to a better understanding of water resources in the region.","container-title":"Environmental Research and Technology","DOI":"10.35208/ert.1431710","ISSN":"2636-8498","issue":"4","journalAbbreviation":"ERT","language":"en","note":"number: 4\npublisher: Yildiz Technical University","page":"637-664","source":"dergipark.org.tr","title":"Temporal changes in water quality in Leh Ladakh region: Impact of urbanization","title-short":"Temporal changes in water quality in Leh Ladakh region","URL":"https://dergipark.org.tr/en/pub/ert/issue/88113/1431710","volume":"7","author":[{"family":"Ali","given":"Gh."},{"family":"Chaudharı","given":"Mukesh"},{"family":"Shah","given":"Priyanka"},{"family":"Shrivastav","given":"Pranav"}],"accessed":{"date-parts":[["2024",11,15]]},"issued":{"date-parts":[["2024",12,31]]}}},{"id":1510,"uris":["http://zotero.org/users/17566097/items/LIUZIYPZ"],"itemData":{"id":1510,"type":"article-journal","abstract":"This study delves into the intricate dynamics of tourism-induced water pollution through a systematic literature review, aiming to unravel complexities using a system dynamics (SD) modeling approach coupled with the PRISMA analysis methodology. Employing a comprehensive PRISMA analysis of 68 pertinent articles, the study establishes a metamodel for comprehending plastic pollution in water ecosystems resulting from tourism. The methodology emphasizes economic and environmental dimensions, causal conditions, and interventions, with a specific focus on the role of Information and Communication Technology (ICT). The results highlight integrated strategies as crucial in mitigating tourism-induced water pollution. These strategies advocate for the incorporation of environmental conservation and sustainable management practices. The study underlines the pivotal role of environmental education, awareness, and investments in protection as effective interventions. The findings offer valuable insights for policymakers and stakeholders in the tourism industry, emphasizing the necessity for proactive planning and management. The study advocates for knowledge-based decision-making to optimize tourism's environmental impacts and underscores the significance of quick and flexible responses to environmental challenges.","container-title":"Heliyon","DOI":"10.1016/j.heliyon.2023.e23824","ISSN":"2405-8440","issue":"1","journalAbbreviation":"Heliyon","page":"e23824","source":"ScienceDirect","title":"Water pollution generated by tourism: Review of system dynamics models","title-short":"Water pollution generated by tourism","URL":"https://www.sciencedirect.com/science/article/pii/S2405844023110322","volume":"10","author":[{"family":"Pásková","given":"Martina"},{"family":"Štekerová","given":"Kamila"},{"family":"Zanker","given":"Marek"},{"family":"Lasisi","given":"Taiwo Temitope"},{"family":"Zelenka","given":"Josef"}],"accessed":{"date-parts":[["2025",8,3]]},"issued":{"date-parts":[["2024",1,15]]}}}],"schema":"https://github.com/citation-style-language/schema/raw/master/csl-citation.json"} </w:instrText>
      </w:r>
      <w:r w:rsidR="00957F75" w:rsidRPr="00EA19F0">
        <w:rPr>
          <w:rFonts w:asciiTheme="minorBidi" w:hAnsiTheme="minorBidi"/>
          <w:color w:val="0070C0"/>
          <w:sz w:val="24"/>
          <w:szCs w:val="24"/>
        </w:rPr>
        <w:fldChar w:fldCharType="separate"/>
      </w:r>
      <w:r w:rsidR="00445DFA" w:rsidRPr="00EA19F0">
        <w:rPr>
          <w:rFonts w:asciiTheme="minorBidi" w:hAnsiTheme="minorBidi"/>
          <w:color w:val="0070C0"/>
          <w:kern w:val="0"/>
          <w:sz w:val="24"/>
        </w:rPr>
        <w:t>(Ali et al., 2024b; Dame et al., 2019; Pásková et al., 2024)</w:t>
      </w:r>
      <w:r w:rsidR="00957F75" w:rsidRPr="00EA19F0">
        <w:rPr>
          <w:rFonts w:asciiTheme="minorBidi" w:hAnsiTheme="minorBidi"/>
          <w:color w:val="0070C0"/>
          <w:sz w:val="24"/>
          <w:szCs w:val="24"/>
        </w:rPr>
        <w:fldChar w:fldCharType="end"/>
      </w:r>
      <w:r w:rsidR="00957F75" w:rsidRPr="00EA19F0">
        <w:rPr>
          <w:rFonts w:asciiTheme="minorBidi" w:hAnsiTheme="minorBidi"/>
          <w:color w:val="0070C0"/>
          <w:sz w:val="24"/>
          <w:szCs w:val="24"/>
        </w:rPr>
        <w:t xml:space="preserve">. </w:t>
      </w:r>
      <w:r w:rsidR="00732659" w:rsidRPr="00EA19F0">
        <w:rPr>
          <w:rFonts w:asciiTheme="minorBidi" w:hAnsiTheme="minorBidi"/>
          <w:sz w:val="24"/>
          <w:szCs w:val="24"/>
        </w:rPr>
        <w:t xml:space="preserve">Based on these circumstances, the Drass River, a significant tributary of the Suru and ultimately the Indus </w:t>
      </w:r>
      <w:r w:rsidR="00ED7405" w:rsidRPr="00EA19F0">
        <w:rPr>
          <w:rFonts w:asciiTheme="minorBidi" w:hAnsiTheme="minorBidi"/>
          <w:sz w:val="24"/>
          <w:szCs w:val="24"/>
        </w:rPr>
        <w:t>River</w:t>
      </w:r>
      <w:r w:rsidR="00732659" w:rsidRPr="00EA19F0">
        <w:rPr>
          <w:rFonts w:asciiTheme="minorBidi" w:hAnsiTheme="minorBidi"/>
          <w:sz w:val="24"/>
          <w:szCs w:val="24"/>
        </w:rPr>
        <w:t>, provides a unique opportunity for baseline water quality assessment in a semi-arid, high-altitude environment</w:t>
      </w:r>
      <w:r w:rsidR="00A55305" w:rsidRPr="00EA19F0">
        <w:rPr>
          <w:rFonts w:asciiTheme="minorBidi" w:hAnsiTheme="minorBidi"/>
          <w:sz w:val="24"/>
          <w:szCs w:val="24"/>
        </w:rPr>
        <w:t xml:space="preserve"> of Ladakh</w:t>
      </w:r>
      <w:r w:rsidR="00732659" w:rsidRPr="00EA19F0">
        <w:rPr>
          <w:rFonts w:asciiTheme="minorBidi" w:hAnsiTheme="minorBidi"/>
          <w:sz w:val="24"/>
          <w:szCs w:val="24"/>
        </w:rPr>
        <w:t>.</w:t>
      </w:r>
    </w:p>
    <w:p w14:paraId="22CF6660" w14:textId="77777777" w:rsidR="00BA3E59" w:rsidRPr="00EA19F0" w:rsidRDefault="00BA3E59" w:rsidP="003261F5">
      <w:pPr>
        <w:spacing w:after="0" w:line="240" w:lineRule="auto"/>
        <w:jc w:val="both"/>
        <w:rPr>
          <w:rFonts w:asciiTheme="minorBidi" w:hAnsiTheme="minorBidi"/>
          <w:sz w:val="24"/>
          <w:szCs w:val="24"/>
        </w:rPr>
      </w:pPr>
    </w:p>
    <w:p w14:paraId="24C26D24" w14:textId="0DAA7B69" w:rsidR="00C514E1" w:rsidRPr="00EA19F0" w:rsidRDefault="00AF417B" w:rsidP="003261F5">
      <w:pPr>
        <w:spacing w:after="0" w:line="240" w:lineRule="auto"/>
        <w:rPr>
          <w:rFonts w:asciiTheme="minorBidi" w:eastAsia="Times New Roman" w:hAnsiTheme="minorBidi"/>
          <w:i/>
          <w:iCs/>
          <w:kern w:val="0"/>
          <w:sz w:val="24"/>
          <w:szCs w:val="24"/>
          <w:lang w:eastAsia="en-IN"/>
          <w14:ligatures w14:val="none"/>
        </w:rPr>
      </w:pPr>
      <w:r w:rsidRPr="00EA19F0">
        <w:rPr>
          <w:rFonts w:asciiTheme="minorBidi" w:eastAsia="Times New Roman" w:hAnsiTheme="minorBidi"/>
          <w:i/>
          <w:iCs/>
          <w:kern w:val="0"/>
          <w:sz w:val="24"/>
          <w:szCs w:val="24"/>
          <w:lang w:eastAsia="en-IN"/>
          <w14:ligatures w14:val="none"/>
        </w:rPr>
        <w:t>1.1</w:t>
      </w:r>
      <w:r w:rsidR="00C514E1" w:rsidRPr="00EA19F0">
        <w:rPr>
          <w:rFonts w:asciiTheme="minorBidi" w:eastAsia="Times New Roman" w:hAnsiTheme="minorBidi"/>
          <w:i/>
          <w:iCs/>
          <w:kern w:val="0"/>
          <w:sz w:val="24"/>
          <w:szCs w:val="24"/>
          <w:lang w:eastAsia="en-IN"/>
          <w14:ligatures w14:val="none"/>
        </w:rPr>
        <w:t>. About the study area</w:t>
      </w:r>
    </w:p>
    <w:p w14:paraId="5B5B3F29" w14:textId="1743010B" w:rsidR="00D17816" w:rsidRDefault="00C514E1" w:rsidP="003261F5">
      <w:pPr>
        <w:spacing w:after="0" w:line="240" w:lineRule="auto"/>
        <w:jc w:val="both"/>
        <w:rPr>
          <w:rFonts w:asciiTheme="minorBidi" w:hAnsiTheme="minorBidi"/>
          <w:sz w:val="24"/>
          <w:szCs w:val="24"/>
        </w:rPr>
      </w:pPr>
      <w:r w:rsidRPr="00EA19F0">
        <w:rPr>
          <w:rFonts w:asciiTheme="minorBidi" w:eastAsia="Times New Roman" w:hAnsiTheme="minorBidi"/>
          <w:kern w:val="0"/>
          <w:sz w:val="24"/>
          <w:szCs w:val="24"/>
          <w:lang w:eastAsia="en-IN"/>
          <w14:ligatures w14:val="none"/>
        </w:rPr>
        <w:t xml:space="preserve">The Drass sub-division, located in the Kargil district of the Union Territory of Ladakh (India), is one of the most prominent landscapes in the region. It is situated amidst rugged mountainous terrain and is famously </w:t>
      </w:r>
      <w:commentRangeStart w:id="8"/>
      <w:r w:rsidRPr="00EA19F0">
        <w:rPr>
          <w:rFonts w:asciiTheme="minorBidi" w:eastAsia="Times New Roman" w:hAnsiTheme="minorBidi"/>
          <w:kern w:val="0"/>
          <w:sz w:val="24"/>
          <w:szCs w:val="24"/>
          <w:lang w:eastAsia="en-IN"/>
          <w14:ligatures w14:val="none"/>
        </w:rPr>
        <w:t xml:space="preserve">known as the </w:t>
      </w:r>
      <w:commentRangeEnd w:id="8"/>
      <w:r w:rsidR="00ED72C4">
        <w:rPr>
          <w:rStyle w:val="CommentReference"/>
        </w:rPr>
        <w:commentReference w:id="8"/>
      </w:r>
      <w:r w:rsidRPr="00EA19F0">
        <w:rPr>
          <w:rFonts w:asciiTheme="minorBidi" w:eastAsia="Times New Roman" w:hAnsiTheme="minorBidi"/>
          <w:kern w:val="0"/>
          <w:sz w:val="24"/>
          <w:szCs w:val="24"/>
          <w:lang w:eastAsia="en-IN"/>
          <w14:ligatures w14:val="none"/>
        </w:rPr>
        <w:t xml:space="preserve">“Gateway to Ladakh” as it connects the Kashmir Valley with Ladakh through the strategic Zojila Pass. Drass holds a special place in modern Indian history due to the 1999 Kargil War between India and Pakistan. Several key battle sites, including </w:t>
      </w:r>
      <w:proofErr w:type="spellStart"/>
      <w:r w:rsidRPr="00EA19F0">
        <w:rPr>
          <w:rFonts w:asciiTheme="minorBidi" w:eastAsia="Times New Roman" w:hAnsiTheme="minorBidi"/>
          <w:kern w:val="0"/>
          <w:sz w:val="24"/>
          <w:szCs w:val="24"/>
          <w:lang w:eastAsia="en-IN"/>
          <w14:ligatures w14:val="none"/>
        </w:rPr>
        <w:t>Tololing</w:t>
      </w:r>
      <w:proofErr w:type="spellEnd"/>
      <w:r w:rsidRPr="00EA19F0">
        <w:rPr>
          <w:rFonts w:asciiTheme="minorBidi" w:eastAsia="Times New Roman" w:hAnsiTheme="minorBidi"/>
          <w:kern w:val="0"/>
          <w:sz w:val="24"/>
          <w:szCs w:val="24"/>
          <w:lang w:eastAsia="en-IN"/>
          <w14:ligatures w14:val="none"/>
        </w:rPr>
        <w:t xml:space="preserve">, </w:t>
      </w:r>
      <w:proofErr w:type="spellStart"/>
      <w:r w:rsidRPr="00EA19F0">
        <w:rPr>
          <w:rFonts w:asciiTheme="minorBidi" w:eastAsia="Times New Roman" w:hAnsiTheme="minorBidi"/>
          <w:kern w:val="0"/>
          <w:sz w:val="24"/>
          <w:szCs w:val="24"/>
          <w:lang w:eastAsia="en-IN"/>
          <w14:ligatures w14:val="none"/>
        </w:rPr>
        <w:t>Mushko</w:t>
      </w:r>
      <w:proofErr w:type="spellEnd"/>
      <w:r w:rsidRPr="00EA19F0">
        <w:rPr>
          <w:rFonts w:asciiTheme="minorBidi" w:eastAsia="Times New Roman" w:hAnsiTheme="minorBidi"/>
          <w:kern w:val="0"/>
          <w:sz w:val="24"/>
          <w:szCs w:val="24"/>
          <w:lang w:eastAsia="en-IN"/>
          <w14:ligatures w14:val="none"/>
        </w:rPr>
        <w:t xml:space="preserve"> Valley, and Tiger Hill, are located here and continue to stand as symbols of bravery and sacrifice. A huge number of tourists visit the place, not only due to its breathtaking natural beauty, snow-clad peaks, pristine valleys, and serene landscapes, but also because of the opportunity to witness historic war sites and memorials associated with the Kargil conflict. The region is also home to several important religious and mythological sites that hold great cultural and spiritual significance: </w:t>
      </w:r>
      <w:proofErr w:type="spellStart"/>
      <w:r w:rsidRPr="00EA19F0">
        <w:rPr>
          <w:rFonts w:asciiTheme="minorBidi" w:eastAsia="Times New Roman" w:hAnsiTheme="minorBidi"/>
          <w:kern w:val="0"/>
          <w:sz w:val="24"/>
          <w:szCs w:val="24"/>
          <w:lang w:eastAsia="en-IN"/>
          <w14:ligatures w14:val="none"/>
        </w:rPr>
        <w:t>Drupati</w:t>
      </w:r>
      <w:proofErr w:type="spellEnd"/>
      <w:r w:rsidRPr="00EA19F0">
        <w:rPr>
          <w:rFonts w:asciiTheme="minorBidi" w:eastAsia="Times New Roman" w:hAnsiTheme="minorBidi"/>
          <w:kern w:val="0"/>
          <w:sz w:val="24"/>
          <w:szCs w:val="24"/>
          <w:lang w:eastAsia="en-IN"/>
          <w14:ligatures w14:val="none"/>
        </w:rPr>
        <w:t xml:space="preserve"> </w:t>
      </w:r>
      <w:proofErr w:type="spellStart"/>
      <w:r w:rsidRPr="00EA19F0">
        <w:rPr>
          <w:rFonts w:asciiTheme="minorBidi" w:eastAsia="Times New Roman" w:hAnsiTheme="minorBidi"/>
          <w:kern w:val="0"/>
          <w:sz w:val="24"/>
          <w:szCs w:val="24"/>
          <w:lang w:eastAsia="en-IN"/>
          <w14:ligatures w14:val="none"/>
        </w:rPr>
        <w:t>Kund</w:t>
      </w:r>
      <w:proofErr w:type="spellEnd"/>
      <w:r w:rsidRPr="00EA19F0">
        <w:rPr>
          <w:rFonts w:asciiTheme="minorBidi" w:eastAsia="Times New Roman" w:hAnsiTheme="minorBidi"/>
          <w:kern w:val="0"/>
          <w:sz w:val="24"/>
          <w:szCs w:val="24"/>
          <w:lang w:eastAsia="en-IN"/>
          <w14:ligatures w14:val="none"/>
        </w:rPr>
        <w:t xml:space="preserve"> (a sacred pond) and a rock sculpture (believed to be the solidified body of Bhim), which are sacred sites for Hindus. The area is also renowned for its ancient stone carvings, which depict prominent images of Maitreya (the future Buddha) and Avalokiteshvara, reflecting the historical spread of Buddhism in the region</w:t>
      </w:r>
      <w:r w:rsidR="00430D0E" w:rsidRPr="00EA19F0">
        <w:rPr>
          <w:rFonts w:asciiTheme="minorBidi" w:eastAsia="Times New Roman" w:hAnsiTheme="minorBidi"/>
          <w:kern w:val="0"/>
          <w:sz w:val="24"/>
          <w:szCs w:val="24"/>
          <w:lang w:eastAsia="en-IN"/>
          <w14:ligatures w14:val="none"/>
        </w:rPr>
        <w:t xml:space="preserve"> </w:t>
      </w:r>
      <w:r w:rsidR="009B5A36" w:rsidRPr="00EA19F0">
        <w:rPr>
          <w:rFonts w:asciiTheme="minorBidi" w:eastAsia="Times New Roman" w:hAnsiTheme="minorBidi"/>
          <w:color w:val="0070C0"/>
          <w:kern w:val="0"/>
          <w:sz w:val="24"/>
          <w:szCs w:val="24"/>
          <w:lang w:eastAsia="en-IN"/>
          <w14:ligatures w14:val="none"/>
        </w:rPr>
        <w:fldChar w:fldCharType="begin"/>
      </w:r>
      <w:r w:rsidR="00445DFA" w:rsidRPr="00EA19F0">
        <w:rPr>
          <w:rFonts w:asciiTheme="minorBidi" w:eastAsia="Times New Roman" w:hAnsiTheme="minorBidi"/>
          <w:color w:val="0070C0"/>
          <w:kern w:val="0"/>
          <w:sz w:val="24"/>
          <w:szCs w:val="24"/>
          <w:lang w:eastAsia="en-IN"/>
          <w14:ligatures w14:val="none"/>
        </w:rPr>
        <w:instrText xml:space="preserve"> ADDIN ZOTERO_ITEM CSL_CITATION {"citationID":"vM0d1pdI","properties":{"formattedCitation":"(LAHDC Kargil, 2025)","plainCitation":"(LAHDC Kargil, 2025)","noteIndex":0},"citationItems":[{"id":1711,"uris":["http://zotero.org/users/17566097/items/V9756Z7X"],"itemData":{"id":1711,"type":"post-weblog","abstract":"Drass has become an important halting place for travellers going to Leh and Kargil. There is a Tourist compex with Tourist Office and Accommodation blocks. There are a number of Hotels and tea stalls are in Drass. One can have superb views of War Time Hill features like Tiger Hill and Tololing from here. Goashan:- A […]","container-title":"Kargil Ladakh","genre":"Government","language":"en-US","title":"Drass | District Kargil, Union Territory of Ladakh | India","URL":"https://kargil.nic.in/tourist-place/drass/","author":[{"family":"LAHDC Kargil","given":""}],"accessed":{"date-parts":[["2025",8,23]]},"issued":{"date-parts":[["2025",5,21]]}}}],"schema":"https://github.com/citation-style-language/schema/raw/master/csl-citation.json"} </w:instrText>
      </w:r>
      <w:r w:rsidR="009B5A36" w:rsidRPr="00EA19F0">
        <w:rPr>
          <w:rFonts w:asciiTheme="minorBidi" w:eastAsia="Times New Roman" w:hAnsiTheme="minorBidi"/>
          <w:color w:val="0070C0"/>
          <w:kern w:val="0"/>
          <w:sz w:val="24"/>
          <w:szCs w:val="24"/>
          <w:lang w:eastAsia="en-IN"/>
          <w14:ligatures w14:val="none"/>
        </w:rPr>
        <w:fldChar w:fldCharType="separate"/>
      </w:r>
      <w:r w:rsidR="00445DFA" w:rsidRPr="00EA19F0">
        <w:rPr>
          <w:rFonts w:asciiTheme="minorBidi" w:hAnsiTheme="minorBidi"/>
          <w:color w:val="0070C0"/>
          <w:sz w:val="24"/>
        </w:rPr>
        <w:t>(LAHDC Kargil, 2025)</w:t>
      </w:r>
      <w:r w:rsidR="009B5A36" w:rsidRPr="00EA19F0">
        <w:rPr>
          <w:rFonts w:asciiTheme="minorBidi" w:eastAsia="Times New Roman" w:hAnsiTheme="minorBidi"/>
          <w:color w:val="0070C0"/>
          <w:kern w:val="0"/>
          <w:sz w:val="24"/>
          <w:szCs w:val="24"/>
          <w:lang w:eastAsia="en-IN"/>
          <w14:ligatures w14:val="none"/>
        </w:rPr>
        <w:fldChar w:fldCharType="end"/>
      </w:r>
      <w:r w:rsidRPr="00EA19F0">
        <w:rPr>
          <w:rFonts w:asciiTheme="minorBidi" w:eastAsia="Times New Roman" w:hAnsiTheme="minorBidi"/>
          <w:kern w:val="0"/>
          <w:sz w:val="24"/>
          <w:szCs w:val="24"/>
          <w:lang w:eastAsia="en-IN"/>
          <w14:ligatures w14:val="none"/>
        </w:rPr>
        <w:t>. Drass is also known for its extreme weather conditions, making it the second coldest inhabited place on Earth, after the Siberian town of Oymyakon. According to records, on January 9, 1995, the temperature in Drass dropped to an unforgiving –60°C</w:t>
      </w:r>
      <w:r w:rsidR="009B5A36" w:rsidRPr="00EA19F0">
        <w:rPr>
          <w:rFonts w:asciiTheme="minorBidi" w:eastAsia="Times New Roman" w:hAnsiTheme="minorBidi"/>
          <w:kern w:val="0"/>
          <w:sz w:val="24"/>
          <w:szCs w:val="24"/>
          <w:lang w:eastAsia="en-IN"/>
          <w14:ligatures w14:val="none"/>
        </w:rPr>
        <w:t xml:space="preserve"> </w:t>
      </w:r>
      <w:r w:rsidR="009B5A36" w:rsidRPr="00EA19F0">
        <w:rPr>
          <w:rFonts w:asciiTheme="minorBidi" w:eastAsia="Times New Roman" w:hAnsiTheme="minorBidi"/>
          <w:color w:val="0070C0"/>
          <w:kern w:val="0"/>
          <w:sz w:val="24"/>
          <w:szCs w:val="24"/>
          <w:lang w:eastAsia="en-IN"/>
          <w14:ligatures w14:val="none"/>
        </w:rPr>
        <w:fldChar w:fldCharType="begin"/>
      </w:r>
      <w:r w:rsidR="00445DFA" w:rsidRPr="00EA19F0">
        <w:rPr>
          <w:rFonts w:asciiTheme="minorBidi" w:eastAsia="Times New Roman" w:hAnsiTheme="minorBidi"/>
          <w:color w:val="0070C0"/>
          <w:kern w:val="0"/>
          <w:sz w:val="24"/>
          <w:szCs w:val="24"/>
          <w:lang w:eastAsia="en-IN"/>
          <w14:ligatures w14:val="none"/>
        </w:rPr>
        <w:instrText xml:space="preserve"> ADDIN ZOTERO_ITEM CSL_CITATION {"citationID":"w1XpWenL","properties":{"formattedCitation":"(Sharma, 2018)","plainCitation":"(Sharma, 2018)","noteIndex":0},"citationItems":[{"id":1709,"uris":["http://zotero.org/users/17566097/items/7NXJL5XX"],"itemData":{"id":1709,"type":"webpage","container-title":"Summer in Drass, India’s coldest inhabited place","title":"Drass: Summer in Drass, India’s coldest inhabited place - The Economic Times","URL":"https://economictimes.indiatimes.com/magazines/panache/summer-in-drass-indias-coldest-inhabited-place/articleshow/64141398.cms?from=mdr","author":[{"family":"Sharma","given":"Shantanu Nandan"}],"accessed":{"date-parts":[["2025",8,23]]},"issued":{"date-parts":[["2018",5,13]]}}}],"schema":"https://github.com/citation-style-language/schema/raw/master/csl-citation.json"} </w:instrText>
      </w:r>
      <w:r w:rsidR="009B5A36" w:rsidRPr="00EA19F0">
        <w:rPr>
          <w:rFonts w:asciiTheme="minorBidi" w:eastAsia="Times New Roman" w:hAnsiTheme="minorBidi"/>
          <w:color w:val="0070C0"/>
          <w:kern w:val="0"/>
          <w:sz w:val="24"/>
          <w:szCs w:val="24"/>
          <w:lang w:eastAsia="en-IN"/>
          <w14:ligatures w14:val="none"/>
        </w:rPr>
        <w:fldChar w:fldCharType="separate"/>
      </w:r>
      <w:r w:rsidR="00445DFA" w:rsidRPr="00EA19F0">
        <w:rPr>
          <w:rFonts w:asciiTheme="minorBidi" w:hAnsiTheme="minorBidi"/>
          <w:color w:val="0070C0"/>
          <w:sz w:val="24"/>
        </w:rPr>
        <w:t>(Sharma, 2018)</w:t>
      </w:r>
      <w:r w:rsidR="009B5A36" w:rsidRPr="00EA19F0">
        <w:rPr>
          <w:rFonts w:asciiTheme="minorBidi" w:eastAsia="Times New Roman" w:hAnsiTheme="minorBidi"/>
          <w:color w:val="0070C0"/>
          <w:kern w:val="0"/>
          <w:sz w:val="24"/>
          <w:szCs w:val="24"/>
          <w:lang w:eastAsia="en-IN"/>
          <w14:ligatures w14:val="none"/>
        </w:rPr>
        <w:fldChar w:fldCharType="end"/>
      </w:r>
      <w:r w:rsidRPr="00EA19F0">
        <w:rPr>
          <w:rFonts w:asciiTheme="minorBidi" w:eastAsia="Times New Roman" w:hAnsiTheme="minorBidi"/>
          <w:color w:val="0070C0"/>
          <w:kern w:val="0"/>
          <w:sz w:val="24"/>
          <w:szCs w:val="24"/>
          <w:lang w:eastAsia="en-IN"/>
          <w14:ligatures w14:val="none"/>
        </w:rPr>
        <w:t>.</w:t>
      </w:r>
      <w:r w:rsidRPr="00EA19F0">
        <w:rPr>
          <w:rFonts w:asciiTheme="minorBidi" w:eastAsia="Times New Roman" w:hAnsiTheme="minorBidi"/>
          <w:kern w:val="0"/>
          <w:sz w:val="24"/>
          <w:szCs w:val="24"/>
          <w:lang w:eastAsia="en-IN"/>
          <w14:ligatures w14:val="none"/>
        </w:rPr>
        <w:t xml:space="preserve"> Together, these sites make Drass a unique confluence of religious, cultural, and historical significance</w:t>
      </w:r>
      <w:r w:rsidR="00500E7A" w:rsidRPr="00EA19F0">
        <w:rPr>
          <w:rFonts w:asciiTheme="minorBidi" w:eastAsia="Times New Roman" w:hAnsiTheme="minorBidi"/>
          <w:kern w:val="0"/>
          <w:sz w:val="24"/>
          <w:szCs w:val="24"/>
          <w:lang w:eastAsia="en-IN"/>
          <w14:ligatures w14:val="none"/>
        </w:rPr>
        <w:t>.</w:t>
      </w:r>
      <w:r w:rsidR="00AA697D" w:rsidRPr="00EA19F0">
        <w:rPr>
          <w:rFonts w:asciiTheme="minorBidi" w:eastAsia="Times New Roman" w:hAnsiTheme="minorBidi"/>
          <w:kern w:val="0"/>
          <w:sz w:val="24"/>
          <w:szCs w:val="24"/>
          <w:lang w:eastAsia="en-IN"/>
          <w14:ligatures w14:val="none"/>
        </w:rPr>
        <w:t xml:space="preserve"> </w:t>
      </w:r>
      <w:r w:rsidR="00580556" w:rsidRPr="00EA19F0">
        <w:rPr>
          <w:rFonts w:asciiTheme="minorBidi" w:eastAsia="Times New Roman" w:hAnsiTheme="minorBidi"/>
          <w:kern w:val="0"/>
          <w:sz w:val="24"/>
          <w:szCs w:val="24"/>
          <w:lang w:eastAsia="en-IN"/>
          <w14:ligatures w14:val="none"/>
        </w:rPr>
        <w:t>Glacial m</w:t>
      </w:r>
      <w:r w:rsidR="00500E7A" w:rsidRPr="00EA19F0">
        <w:rPr>
          <w:rFonts w:asciiTheme="minorBidi" w:eastAsia="Times New Roman" w:hAnsiTheme="minorBidi"/>
          <w:kern w:val="0"/>
          <w:sz w:val="24"/>
          <w:szCs w:val="24"/>
          <w:lang w:eastAsia="en-IN"/>
          <w14:ligatures w14:val="none"/>
        </w:rPr>
        <w:t xml:space="preserve">eltwater and </w:t>
      </w:r>
      <w:r w:rsidR="00580556" w:rsidRPr="00EA19F0">
        <w:rPr>
          <w:rFonts w:asciiTheme="minorBidi" w:eastAsia="Times New Roman" w:hAnsiTheme="minorBidi"/>
          <w:kern w:val="0"/>
          <w:sz w:val="24"/>
          <w:szCs w:val="24"/>
          <w:lang w:eastAsia="en-IN"/>
          <w14:ligatures w14:val="none"/>
        </w:rPr>
        <w:t xml:space="preserve">the </w:t>
      </w:r>
      <w:r w:rsidR="00500E7A" w:rsidRPr="00EA19F0">
        <w:rPr>
          <w:rFonts w:asciiTheme="minorBidi" w:eastAsia="Times New Roman" w:hAnsiTheme="minorBidi"/>
          <w:kern w:val="0"/>
          <w:sz w:val="24"/>
          <w:szCs w:val="24"/>
          <w:lang w:eastAsia="en-IN"/>
          <w14:ligatures w14:val="none"/>
        </w:rPr>
        <w:t>Drass River are the main sources for irrigation and drinking water</w:t>
      </w:r>
      <w:r w:rsidR="00AA697D" w:rsidRPr="00EA19F0">
        <w:rPr>
          <w:rFonts w:asciiTheme="minorBidi" w:eastAsia="Times New Roman" w:hAnsiTheme="minorBidi"/>
          <w:kern w:val="0"/>
          <w:sz w:val="24"/>
          <w:szCs w:val="24"/>
          <w:lang w:eastAsia="en-IN"/>
          <w14:ligatures w14:val="none"/>
        </w:rPr>
        <w:t xml:space="preserve"> in the area</w:t>
      </w:r>
      <w:r w:rsidR="00500E7A" w:rsidRPr="00EA19F0">
        <w:rPr>
          <w:rFonts w:asciiTheme="minorBidi" w:eastAsia="Times New Roman" w:hAnsiTheme="minorBidi"/>
          <w:kern w:val="0"/>
          <w:sz w:val="24"/>
          <w:szCs w:val="24"/>
          <w:lang w:eastAsia="en-IN"/>
          <w14:ligatures w14:val="none"/>
        </w:rPr>
        <w:t xml:space="preserve">. </w:t>
      </w:r>
      <w:r w:rsidR="00E12933" w:rsidRPr="00EA19F0">
        <w:rPr>
          <w:rFonts w:asciiTheme="minorBidi" w:eastAsia="Times New Roman" w:hAnsiTheme="minorBidi"/>
          <w:kern w:val="0"/>
          <w:sz w:val="24"/>
          <w:szCs w:val="24"/>
          <w:lang w:eastAsia="en-IN"/>
          <w14:ligatures w14:val="none"/>
        </w:rPr>
        <w:t xml:space="preserve">Drass River mainly originates from the </w:t>
      </w:r>
      <w:proofErr w:type="spellStart"/>
      <w:r w:rsidR="00E12933" w:rsidRPr="00EA19F0">
        <w:rPr>
          <w:rFonts w:asciiTheme="minorBidi" w:eastAsia="Times New Roman" w:hAnsiTheme="minorBidi"/>
          <w:kern w:val="0"/>
          <w:sz w:val="24"/>
          <w:szCs w:val="24"/>
          <w:lang w:eastAsia="en-IN"/>
          <w14:ligatures w14:val="none"/>
        </w:rPr>
        <w:t>Machoi</w:t>
      </w:r>
      <w:proofErr w:type="spellEnd"/>
      <w:r w:rsidR="00E12933" w:rsidRPr="00EA19F0">
        <w:rPr>
          <w:rFonts w:asciiTheme="minorBidi" w:eastAsia="Times New Roman" w:hAnsiTheme="minorBidi"/>
          <w:kern w:val="0"/>
          <w:sz w:val="24"/>
          <w:szCs w:val="24"/>
          <w:lang w:eastAsia="en-IN"/>
          <w14:ligatures w14:val="none"/>
        </w:rPr>
        <w:t xml:space="preserve"> glaciers near </w:t>
      </w:r>
      <w:proofErr w:type="spellStart"/>
      <w:r w:rsidR="00E12933" w:rsidRPr="00EA19F0">
        <w:rPr>
          <w:rFonts w:asciiTheme="minorBidi" w:eastAsia="Times New Roman" w:hAnsiTheme="minorBidi"/>
          <w:kern w:val="0"/>
          <w:sz w:val="24"/>
          <w:szCs w:val="24"/>
          <w:lang w:eastAsia="en-IN"/>
          <w14:ligatures w14:val="none"/>
        </w:rPr>
        <w:t>Zojila</w:t>
      </w:r>
      <w:proofErr w:type="spellEnd"/>
      <w:r w:rsidR="00E12933" w:rsidRPr="00EA19F0">
        <w:rPr>
          <w:rFonts w:asciiTheme="minorBidi" w:eastAsia="Times New Roman" w:hAnsiTheme="minorBidi"/>
          <w:kern w:val="0"/>
          <w:sz w:val="24"/>
          <w:szCs w:val="24"/>
          <w:lang w:eastAsia="en-IN"/>
          <w14:ligatures w14:val="none"/>
        </w:rPr>
        <w:t xml:space="preserve"> Pass. </w:t>
      </w:r>
      <w:r w:rsidRPr="00EA19F0">
        <w:rPr>
          <w:rFonts w:asciiTheme="minorBidi" w:eastAsia="Times New Roman" w:hAnsiTheme="minorBidi"/>
          <w:kern w:val="0"/>
          <w:sz w:val="24"/>
          <w:szCs w:val="24"/>
          <w:lang w:eastAsia="en-IN"/>
          <w14:ligatures w14:val="none"/>
        </w:rPr>
        <w:t>Hydrologically, the valley is of immense importance as it forms a fifth-order sub-basin of the Indus system, housing nearly 150 glaciers with a combined area of 152.6775 km² and an ice volume of about 62.02 km³. These glaciers, along with seasonal snow cover, act as critical freshwater reservoirs, feeding the Drass River</w:t>
      </w:r>
      <w:r w:rsidR="0051313B" w:rsidRPr="00EA19F0">
        <w:rPr>
          <w:rFonts w:asciiTheme="minorBidi" w:eastAsia="Times New Roman" w:hAnsiTheme="minorBidi"/>
          <w:kern w:val="0"/>
          <w:sz w:val="24"/>
          <w:szCs w:val="24"/>
          <w:lang w:eastAsia="en-IN"/>
          <w14:ligatures w14:val="none"/>
        </w:rPr>
        <w:t>.</w:t>
      </w:r>
      <w:r w:rsidRPr="00EA19F0">
        <w:rPr>
          <w:rFonts w:asciiTheme="minorBidi" w:eastAsia="Times New Roman" w:hAnsiTheme="minorBidi"/>
          <w:kern w:val="0"/>
          <w:sz w:val="24"/>
          <w:szCs w:val="24"/>
          <w:lang w:eastAsia="en-IN"/>
          <w14:ligatures w14:val="none"/>
        </w:rPr>
        <w:t xml:space="preserve"> The meltwater from these glaciers sustains river discharge during the dry summer months, ensuring a perennial water supply for downstream ecosystems, agriculture, and human settlements</w:t>
      </w:r>
      <w:r w:rsidR="00500E7A" w:rsidRPr="00EA19F0">
        <w:rPr>
          <w:rFonts w:asciiTheme="minorBidi" w:eastAsia="Times New Roman" w:hAnsiTheme="minorBidi"/>
          <w:kern w:val="0"/>
          <w:sz w:val="24"/>
          <w:szCs w:val="24"/>
          <w:lang w:eastAsia="en-IN"/>
          <w14:ligatures w14:val="none"/>
        </w:rPr>
        <w:t xml:space="preserve"> </w:t>
      </w:r>
      <w:r w:rsidR="00B0475B" w:rsidRPr="00EA19F0">
        <w:rPr>
          <w:rFonts w:asciiTheme="minorBidi" w:eastAsia="Times New Roman" w:hAnsiTheme="minorBidi"/>
          <w:color w:val="0070C0"/>
          <w:kern w:val="0"/>
          <w:sz w:val="24"/>
          <w:szCs w:val="24"/>
          <w:lang w:eastAsia="en-IN"/>
          <w14:ligatures w14:val="none"/>
        </w:rPr>
        <w:fldChar w:fldCharType="begin"/>
      </w:r>
      <w:r w:rsidR="00445DFA" w:rsidRPr="00EA19F0">
        <w:rPr>
          <w:rFonts w:asciiTheme="minorBidi" w:eastAsia="Times New Roman" w:hAnsiTheme="minorBidi"/>
          <w:color w:val="0070C0"/>
          <w:kern w:val="0"/>
          <w:sz w:val="24"/>
          <w:szCs w:val="24"/>
          <w:lang w:eastAsia="en-IN"/>
          <w14:ligatures w14:val="none"/>
        </w:rPr>
        <w:instrText xml:space="preserve"> ADDIN ZOTERO_ITEM CSL_CITATION {"citationID":"bH7MFKSi","properties":{"formattedCitation":"(H\\uc0\\u257{}\\uc0\\u7751{}\\uc0\\u7693{}\\uc0\\u257{}, 2001; Koul et al., 2016)","plainCitation":"(Hāṇḍā, 2001; Koul et al., 2016)","noteIndex":0},"citationItems":[{"id":1715,"uris":["http://zotero.org/users/17566097/items/PJMQUNG5"],"itemData":{"id":1715,"type":"book","abstract":"In Lahul And Spiti And Kinnaur Districts Of Himachal Pradesh Buddhism Has Been A Living Religion Of The Major Bulk Of The Population. In This Book For The First Time An Integrated Socio-Political And Religious History Of This Region Has Been Attempted.","ISBN":"978-81-7387-124-5","language":"en","note":"Google-Books-ID: R4VuovXa5YUC","number-of-pages":"428","publisher":"Indus Publishing","source":"Google Books","title":"Buddhist Western Himalaya: A politico-religious history","title-short":"Buddhist Western Himalaya","author":[{"family":"Hāṇḍā","given":"Omacanda"}],"issued":{"date-parts":[["2001"]]}}},{"id":1713,"uris":["http://zotero.org/users/17566097/items/U36RU9GP"],"itemData":{"id":1713,"type":"article-journal","abstract":"Glaciers are dynamic reservoirs of constantly exchanging mass with parts of global hydrological system, process by which glaciers gain or lose snow and ice and establish a link between climate, glacier mass and glacier fluvial dynamics related directly to the behaviour of climate. Here, we report on glacier status over the past 50 years (1962-2013) on remotely-sensed volumetric changes of glaciers in Drass glacier basin, Ladakh Mountain, North-West Himalaya. Drass basin houses 150 glaciers of different dimensions predominantly (nearly 75%) by small sized glaciers. The glaciers monitored on multi-temporal satellite images of the year’s 2001, 2013 for short-term basis, and, Survey of India topographic sheets of 1965 (surveyed in 1963) on long-term basis. Machoi glacier has been selected for detailed study to assess health and fluctuation record on which observation has been made since the year 1875. The long-term monitoring (1965-2001) of 81 glaciers shows that 12.5% of glaciers have gained the area whereas 14% of large glaciers lost area 5% to 15%, and remaining 73% glaciers lost area marginally (&lt;5%). The short-term monitoring shows that 80% glaciers do not show any change in area; even large glaciers vacated 0.64% - 2.6% area and small glaciers 1.68% - 9% glacier area. The trends in annual, seasonal and monthly maximum/minimum temperature and precipitation (snowfall and rainfall) of Drass for period 1987-2013 show that two different patterns of weather conditions: 1988-2001, cold moist winters with dry summers, and 2002-2013, a period of long winters and cool and moist summers, corroborate with transitional phase of glacier behaviour. This phenomenon has resulted in incorporating no change in area of 80% of glacier (120 glaciers) and remaining 20 percentage of glaciers show marginal loss in area. The positive balance mass for last four years (2011-2014) in benchmark Machoi glacier with cumulative specific balance +0.16 m w.e/km2/yr further indicates about the stability phase of the glaciers.","container-title":"American Journal of Climate Change","DOI":"10.4236/ajcc.2016.51010","issue":"01","language":"en","note":"publisher: Scientific Research Publishing","page":"88","source":"www.scirp.org","title":"Glacier Area Change over Past 50 Years to Stable Phase in Drass Valley, Ladakh Himalaya (India)","URL":"http://www.scirp.org/journal/PaperInformation.aspx?PaperID=65237&amp;#abstract","volume":"05","author":[{"family":"Koul","given":"M. N."},{"family":"Bahuguna","given":"I. M."},{"family":"Ajai","given":""},{"family":"Rajawat","given":"A. S."},{"family":"Ali","given":"Sadiq"},{"family":"Koul","given":"Sumit"}],"accessed":{"date-parts":[["2025",8,23]]},"issued":{"date-parts":[["2016"]]}}}],"schema":"https://github.com/citation-style-language/schema/raw/master/csl-citation.json"} </w:instrText>
      </w:r>
      <w:r w:rsidR="00B0475B" w:rsidRPr="00EA19F0">
        <w:rPr>
          <w:rFonts w:asciiTheme="minorBidi" w:eastAsia="Times New Roman" w:hAnsiTheme="minorBidi"/>
          <w:color w:val="0070C0"/>
          <w:kern w:val="0"/>
          <w:sz w:val="24"/>
          <w:szCs w:val="24"/>
          <w:lang w:eastAsia="en-IN"/>
          <w14:ligatures w14:val="none"/>
        </w:rPr>
        <w:fldChar w:fldCharType="separate"/>
      </w:r>
      <w:r w:rsidR="00445DFA" w:rsidRPr="00EA19F0">
        <w:rPr>
          <w:rFonts w:asciiTheme="minorBidi" w:hAnsiTheme="minorBidi"/>
          <w:color w:val="0070C0"/>
          <w:kern w:val="0"/>
          <w:sz w:val="24"/>
        </w:rPr>
        <w:t>(Hāṇḍā, 2001; Koul et al., 2016)</w:t>
      </w:r>
      <w:r w:rsidR="00B0475B" w:rsidRPr="00EA19F0">
        <w:rPr>
          <w:rFonts w:asciiTheme="minorBidi" w:eastAsia="Times New Roman" w:hAnsiTheme="minorBidi"/>
          <w:color w:val="0070C0"/>
          <w:kern w:val="0"/>
          <w:sz w:val="24"/>
          <w:szCs w:val="24"/>
          <w:lang w:eastAsia="en-IN"/>
          <w14:ligatures w14:val="none"/>
        </w:rPr>
        <w:fldChar w:fldCharType="end"/>
      </w:r>
      <w:r w:rsidRPr="00EA19F0">
        <w:rPr>
          <w:rFonts w:asciiTheme="minorBidi" w:eastAsia="Times New Roman" w:hAnsiTheme="minorBidi"/>
          <w:color w:val="0070C0"/>
          <w:kern w:val="0"/>
          <w:sz w:val="24"/>
          <w:szCs w:val="24"/>
          <w:lang w:eastAsia="en-IN"/>
          <w14:ligatures w14:val="none"/>
        </w:rPr>
        <w:t>.</w:t>
      </w:r>
      <w:r w:rsidR="0051313B" w:rsidRPr="00EA19F0">
        <w:rPr>
          <w:rFonts w:asciiTheme="minorBidi" w:eastAsia="Times New Roman" w:hAnsiTheme="minorBidi"/>
          <w:kern w:val="0"/>
          <w:sz w:val="24"/>
          <w:szCs w:val="24"/>
          <w:lang w:eastAsia="en-IN"/>
          <w14:ligatures w14:val="none"/>
        </w:rPr>
        <w:t xml:space="preserve"> </w:t>
      </w:r>
      <w:commentRangeStart w:id="9"/>
      <w:r w:rsidR="00D17816" w:rsidRPr="00EA19F0">
        <w:rPr>
          <w:rFonts w:asciiTheme="minorBidi" w:hAnsiTheme="minorBidi"/>
          <w:sz w:val="24"/>
          <w:szCs w:val="24"/>
        </w:rPr>
        <w:t xml:space="preserve">Since </w:t>
      </w:r>
      <w:r w:rsidR="00261589" w:rsidRPr="00EA19F0">
        <w:rPr>
          <w:rFonts w:asciiTheme="minorBidi" w:hAnsiTheme="minorBidi"/>
          <w:sz w:val="24"/>
          <w:szCs w:val="24"/>
        </w:rPr>
        <w:t>Ladakh was designated as a separate</w:t>
      </w:r>
      <w:commentRangeEnd w:id="9"/>
      <w:r w:rsidR="00ED72C4">
        <w:rPr>
          <w:rStyle w:val="CommentReference"/>
        </w:rPr>
        <w:commentReference w:id="9"/>
      </w:r>
      <w:r w:rsidR="00261589" w:rsidRPr="00EA19F0">
        <w:rPr>
          <w:rFonts w:asciiTheme="minorBidi" w:hAnsiTheme="minorBidi"/>
          <w:sz w:val="24"/>
          <w:szCs w:val="24"/>
        </w:rPr>
        <w:t xml:space="preserve"> </w:t>
      </w:r>
      <w:r w:rsidR="00261589" w:rsidRPr="00EA19F0">
        <w:rPr>
          <w:rFonts w:asciiTheme="minorBidi" w:hAnsiTheme="minorBidi"/>
          <w:color w:val="0070C0"/>
          <w:sz w:val="24"/>
          <w:szCs w:val="24"/>
        </w:rPr>
        <w:t>Union Territory after the Jammu &amp; Kashmir Reorganisation Act, 2019</w:t>
      </w:r>
      <w:r w:rsidR="00261589" w:rsidRPr="00EA19F0">
        <w:rPr>
          <w:rFonts w:asciiTheme="minorBidi" w:hAnsiTheme="minorBidi"/>
          <w:sz w:val="24"/>
          <w:szCs w:val="24"/>
        </w:rPr>
        <w:t xml:space="preserve"> (Act No. 34 of 2019)</w:t>
      </w:r>
      <w:r w:rsidR="00D17816" w:rsidRPr="00EA19F0">
        <w:rPr>
          <w:rFonts w:asciiTheme="minorBidi" w:hAnsiTheme="minorBidi"/>
          <w:sz w:val="24"/>
          <w:szCs w:val="24"/>
        </w:rPr>
        <w:t>, the region has witnessed accelerated developmental initiatives</w:t>
      </w:r>
      <w:r w:rsidR="00D17816" w:rsidRPr="00EA19F0">
        <w:rPr>
          <w:rFonts w:asciiTheme="minorBidi" w:hAnsiTheme="minorBidi"/>
          <w:color w:val="0070C0"/>
          <w:sz w:val="24"/>
          <w:szCs w:val="24"/>
        </w:rPr>
        <w:t>.</w:t>
      </w:r>
      <w:r w:rsidR="00D17816" w:rsidRPr="00EA19F0">
        <w:rPr>
          <w:rFonts w:asciiTheme="minorBidi" w:hAnsiTheme="minorBidi"/>
          <w:sz w:val="24"/>
          <w:szCs w:val="24"/>
        </w:rPr>
        <w:t xml:space="preserve"> </w:t>
      </w:r>
      <w:r w:rsidR="00261589" w:rsidRPr="00EA19F0">
        <w:rPr>
          <w:rFonts w:asciiTheme="minorBidi" w:hAnsiTheme="minorBidi"/>
          <w:sz w:val="24"/>
          <w:szCs w:val="24"/>
        </w:rPr>
        <w:t>Further, i</w:t>
      </w:r>
      <w:r w:rsidR="00D17816" w:rsidRPr="00EA19F0">
        <w:rPr>
          <w:rFonts w:asciiTheme="minorBidi" w:hAnsiTheme="minorBidi"/>
          <w:sz w:val="24"/>
          <w:szCs w:val="24"/>
        </w:rPr>
        <w:t xml:space="preserve">n 2024, the Indian government announced the </w:t>
      </w:r>
      <w:r w:rsidR="00261589" w:rsidRPr="00EA19F0">
        <w:rPr>
          <w:rFonts w:asciiTheme="minorBidi" w:hAnsiTheme="minorBidi"/>
          <w:sz w:val="24"/>
          <w:szCs w:val="24"/>
        </w:rPr>
        <w:t>formation</w:t>
      </w:r>
      <w:r w:rsidR="00D17816" w:rsidRPr="00EA19F0">
        <w:rPr>
          <w:rFonts w:asciiTheme="minorBidi" w:hAnsiTheme="minorBidi"/>
          <w:sz w:val="24"/>
          <w:szCs w:val="24"/>
        </w:rPr>
        <w:t xml:space="preserve"> of five new districts in Ladakh, one of which is </w:t>
      </w:r>
      <w:r w:rsidR="00261589" w:rsidRPr="00EA19F0">
        <w:rPr>
          <w:rFonts w:asciiTheme="minorBidi" w:hAnsiTheme="minorBidi"/>
          <w:sz w:val="24"/>
          <w:szCs w:val="24"/>
        </w:rPr>
        <w:t>Drass</w:t>
      </w:r>
      <w:r w:rsidR="00D17816" w:rsidRPr="00EA19F0">
        <w:rPr>
          <w:rFonts w:asciiTheme="minorBidi" w:hAnsiTheme="minorBidi"/>
          <w:sz w:val="24"/>
          <w:szCs w:val="24"/>
        </w:rPr>
        <w:t xml:space="preserve">, a significant administrative milestone for the region </w:t>
      </w:r>
      <w:r w:rsidR="00D17816"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{"citationID":"SX74dnOf","properties":{"formattedCitation":"(DDNEWS, 2024)","plainCitation":"(DDNEWS, 2024)","noteIndex":0},"citationItems":[{"id":1490,"uris":["http://zotero.org/users/17566097/items/KJGBBRPJ"],"itemData":{"id":1490,"type":"webpage","container-title":"ddnews","title":"Centre announces five new districts in Ladakh","URL":"https://ddnews.gov.in/en/centre-announces-five-new-districts-in-ladakh/","author":[{"family":"DDNEWS","given":""}],"accessed":{"date-parts":[["2025",8,2]]},"issued":{"date-parts":[["2024",8,26]]}}}],"schema":"https://github.com/citation-style-language/schema/raw/master/csl-citation.json"} </w:instrText>
      </w:r>
      <w:r w:rsidR="00D17816" w:rsidRPr="00EA19F0">
        <w:rPr>
          <w:rFonts w:asciiTheme="minorBidi" w:hAnsiTheme="minorBidi"/>
          <w:color w:val="0070C0"/>
          <w:sz w:val="24"/>
          <w:szCs w:val="24"/>
        </w:rPr>
        <w:fldChar w:fldCharType="separate"/>
      </w:r>
      <w:r w:rsidR="00445DFA" w:rsidRPr="00EA19F0">
        <w:rPr>
          <w:rFonts w:asciiTheme="minorBidi" w:hAnsiTheme="minorBidi"/>
          <w:color w:val="0070C0"/>
          <w:sz w:val="24"/>
        </w:rPr>
        <w:t>(DDNEWS, 2024)</w:t>
      </w:r>
      <w:r w:rsidR="00D17816" w:rsidRPr="00EA19F0">
        <w:rPr>
          <w:rFonts w:asciiTheme="minorBidi" w:hAnsiTheme="minorBidi"/>
          <w:color w:val="0070C0"/>
          <w:sz w:val="24"/>
          <w:szCs w:val="24"/>
        </w:rPr>
        <w:fldChar w:fldCharType="end"/>
      </w:r>
      <w:r w:rsidR="00D17816" w:rsidRPr="00EA19F0">
        <w:rPr>
          <w:rFonts w:asciiTheme="minorBidi" w:hAnsiTheme="minorBidi"/>
          <w:color w:val="0070C0"/>
          <w:sz w:val="24"/>
          <w:szCs w:val="24"/>
        </w:rPr>
        <w:t xml:space="preserve">. </w:t>
      </w:r>
      <w:r w:rsidR="00D17816" w:rsidRPr="00EA19F0">
        <w:rPr>
          <w:rFonts w:asciiTheme="minorBidi" w:hAnsiTheme="minorBidi"/>
          <w:sz w:val="24"/>
          <w:szCs w:val="24"/>
        </w:rPr>
        <w:t xml:space="preserve">Major infrastructure projects, including road </w:t>
      </w:r>
      <w:r w:rsidR="00EF7907" w:rsidRPr="00EA19F0">
        <w:rPr>
          <w:rFonts w:asciiTheme="minorBidi" w:hAnsiTheme="minorBidi"/>
          <w:sz w:val="24"/>
          <w:szCs w:val="24"/>
        </w:rPr>
        <w:t>broadening</w:t>
      </w:r>
      <w:r w:rsidR="00D17816" w:rsidRPr="00EA19F0">
        <w:rPr>
          <w:rFonts w:asciiTheme="minorBidi" w:hAnsiTheme="minorBidi"/>
          <w:sz w:val="24"/>
          <w:szCs w:val="24"/>
        </w:rPr>
        <w:t>, tunnel construction</w:t>
      </w:r>
      <w:r w:rsidR="00EF7907" w:rsidRPr="00EA19F0">
        <w:rPr>
          <w:rFonts w:asciiTheme="minorBidi" w:hAnsiTheme="minorBidi"/>
          <w:sz w:val="24"/>
          <w:szCs w:val="24"/>
        </w:rPr>
        <w:t xml:space="preserve"> (Zojila Tunnel)</w:t>
      </w:r>
      <w:r w:rsidR="00D17816" w:rsidRPr="00EA19F0">
        <w:rPr>
          <w:rFonts w:asciiTheme="minorBidi" w:hAnsiTheme="minorBidi"/>
          <w:sz w:val="24"/>
          <w:szCs w:val="24"/>
        </w:rPr>
        <w:t xml:space="preserve">, and tourism facilitation, are underway, positioning </w:t>
      </w:r>
      <w:r w:rsidR="00EF7907" w:rsidRPr="00EA19F0">
        <w:rPr>
          <w:rFonts w:asciiTheme="minorBidi" w:hAnsiTheme="minorBidi"/>
          <w:sz w:val="24"/>
          <w:szCs w:val="24"/>
        </w:rPr>
        <w:t xml:space="preserve">Drass </w:t>
      </w:r>
      <w:r w:rsidR="00D17816" w:rsidRPr="00EA19F0">
        <w:rPr>
          <w:rFonts w:asciiTheme="minorBidi" w:hAnsiTheme="minorBidi"/>
          <w:sz w:val="24"/>
          <w:szCs w:val="24"/>
        </w:rPr>
        <w:t xml:space="preserve">as </w:t>
      </w:r>
      <w:r w:rsidR="00251B31" w:rsidRPr="00EA19F0">
        <w:rPr>
          <w:rFonts w:asciiTheme="minorBidi" w:hAnsiTheme="minorBidi"/>
          <w:sz w:val="24"/>
          <w:szCs w:val="24"/>
        </w:rPr>
        <w:t>one of the</w:t>
      </w:r>
      <w:r w:rsidR="00D17816" w:rsidRPr="00EA19F0">
        <w:rPr>
          <w:rFonts w:asciiTheme="minorBidi" w:hAnsiTheme="minorBidi"/>
          <w:sz w:val="24"/>
          <w:szCs w:val="24"/>
        </w:rPr>
        <w:t xml:space="preserve"> emerging </w:t>
      </w:r>
      <w:r w:rsidR="00EF7907" w:rsidRPr="00EA19F0">
        <w:rPr>
          <w:rFonts w:asciiTheme="minorBidi" w:hAnsiTheme="minorBidi"/>
          <w:sz w:val="24"/>
          <w:szCs w:val="24"/>
        </w:rPr>
        <w:t xml:space="preserve">urban </w:t>
      </w:r>
      <w:r w:rsidR="00251B31" w:rsidRPr="00EA19F0">
        <w:rPr>
          <w:rFonts w:asciiTheme="minorBidi" w:hAnsiTheme="minorBidi"/>
          <w:sz w:val="24"/>
          <w:szCs w:val="24"/>
        </w:rPr>
        <w:t>areas</w:t>
      </w:r>
      <w:r w:rsidR="00EF7907" w:rsidRPr="00EA19F0">
        <w:rPr>
          <w:rFonts w:asciiTheme="minorBidi" w:hAnsiTheme="minorBidi"/>
          <w:sz w:val="24"/>
          <w:szCs w:val="24"/>
        </w:rPr>
        <w:t xml:space="preserve"> in Ladakh</w:t>
      </w:r>
      <w:r w:rsidR="00251B31" w:rsidRPr="00EA19F0">
        <w:rPr>
          <w:rFonts w:asciiTheme="minorBidi" w:hAnsiTheme="minorBidi"/>
          <w:sz w:val="24"/>
          <w:szCs w:val="24"/>
        </w:rPr>
        <w:t xml:space="preserve"> after Leh and Kargil</w:t>
      </w:r>
      <w:r w:rsidR="00D17816" w:rsidRPr="00EA19F0">
        <w:rPr>
          <w:rFonts w:asciiTheme="minorBidi" w:hAnsiTheme="minorBidi"/>
          <w:sz w:val="24"/>
          <w:szCs w:val="24"/>
        </w:rPr>
        <w:t xml:space="preserve">.  </w:t>
      </w:r>
      <w:r w:rsidR="00EF7907" w:rsidRPr="00EA19F0">
        <w:rPr>
          <w:rFonts w:asciiTheme="minorBidi" w:hAnsiTheme="minorBidi"/>
          <w:sz w:val="24"/>
          <w:szCs w:val="24"/>
        </w:rPr>
        <w:t xml:space="preserve">However, the current conditions remain relatively pristine, providing a unique opportunity to evaluate the natural hydrochemical signature of river water in the absence of major anthropogenic influences. To the best of our knowledge, no prior study has investigated the hydrogeochemistry of the Drass River across different snow- and glacier-melt periods. Hence, the outcomes of this </w:t>
      </w:r>
      <w:commentRangeStart w:id="10"/>
      <w:r w:rsidR="00EF7907" w:rsidRPr="00EA19F0">
        <w:rPr>
          <w:rFonts w:asciiTheme="minorBidi" w:hAnsiTheme="minorBidi"/>
          <w:sz w:val="24"/>
          <w:szCs w:val="24"/>
        </w:rPr>
        <w:lastRenderedPageBreak/>
        <w:t>research will offer valuable scientific insights to support future river management, environmental regulation, and sustainable development in this emerging mountainous region.</w:t>
      </w:r>
      <w:commentRangeEnd w:id="10"/>
      <w:r w:rsidR="00CD66A3">
        <w:rPr>
          <w:rStyle w:val="CommentReference"/>
        </w:rPr>
        <w:commentReference w:id="10"/>
      </w:r>
    </w:p>
    <w:p w14:paraId="2578555B" w14:textId="77777777" w:rsidR="00BA3E59" w:rsidRPr="00EA19F0" w:rsidRDefault="00BA3E59" w:rsidP="003261F5">
      <w:pPr>
        <w:spacing w:after="0" w:line="240" w:lineRule="auto"/>
        <w:jc w:val="both"/>
        <w:rPr>
          <w:rFonts w:asciiTheme="minorBidi" w:eastAsia="Times New Roman" w:hAnsiTheme="minorBidi"/>
          <w:kern w:val="0"/>
          <w:sz w:val="24"/>
          <w:szCs w:val="24"/>
          <w:lang w:eastAsia="en-IN"/>
          <w14:ligatures w14:val="none"/>
        </w:rPr>
      </w:pPr>
    </w:p>
    <w:p w14:paraId="13A73E2C" w14:textId="05842DFC" w:rsidR="00690FEA" w:rsidRPr="00EA19F0" w:rsidRDefault="00676F4C" w:rsidP="003261F5">
      <w:pPr>
        <w:spacing w:after="0" w:line="240" w:lineRule="auto"/>
        <w:jc w:val="both"/>
        <w:rPr>
          <w:rFonts w:asciiTheme="minorBidi" w:hAnsiTheme="minorBidi"/>
          <w:b/>
          <w:bCs/>
          <w:sz w:val="24"/>
          <w:szCs w:val="24"/>
        </w:rPr>
      </w:pPr>
      <w:r w:rsidRPr="00EA19F0">
        <w:rPr>
          <w:rFonts w:asciiTheme="minorBidi" w:hAnsiTheme="minorBidi"/>
          <w:b/>
          <w:bCs/>
          <w:sz w:val="24"/>
          <w:szCs w:val="24"/>
        </w:rPr>
        <w:t>2</w:t>
      </w:r>
      <w:r w:rsidR="00690FEA" w:rsidRPr="00EA19F0">
        <w:rPr>
          <w:rFonts w:asciiTheme="minorBidi" w:hAnsiTheme="minorBidi"/>
          <w:b/>
          <w:bCs/>
          <w:sz w:val="24"/>
          <w:szCs w:val="24"/>
        </w:rPr>
        <w:t>. Materials and </w:t>
      </w:r>
      <w:r w:rsidR="001C7ED0" w:rsidRPr="00EA19F0">
        <w:rPr>
          <w:rFonts w:asciiTheme="minorBidi" w:hAnsiTheme="minorBidi"/>
          <w:b/>
          <w:bCs/>
          <w:sz w:val="24"/>
          <w:szCs w:val="24"/>
        </w:rPr>
        <w:t>Methods</w:t>
      </w:r>
    </w:p>
    <w:p w14:paraId="0C75DE1A" w14:textId="77777777" w:rsidR="00010A4E" w:rsidRDefault="008B3D0C" w:rsidP="003261F5">
      <w:pPr>
        <w:spacing w:after="0" w:line="240" w:lineRule="auto"/>
        <w:jc w:val="both"/>
        <w:rPr>
          <w:rFonts w:asciiTheme="minorBidi" w:eastAsia="Times New Roman" w:hAnsiTheme="minorBidi"/>
          <w:kern w:val="0"/>
          <w:sz w:val="24"/>
          <w:szCs w:val="24"/>
          <w:lang w:eastAsia="en-IN"/>
          <w14:ligatures w14:val="none"/>
        </w:rPr>
      </w:pPr>
      <w:commentRangeStart w:id="11"/>
      <w:r w:rsidRPr="00EA19F0">
        <w:rPr>
          <w:rFonts w:asciiTheme="minorBidi" w:eastAsia="Times New Roman" w:hAnsiTheme="minorBidi"/>
          <w:kern w:val="0"/>
          <w:sz w:val="24"/>
          <w:szCs w:val="24"/>
          <w:lang w:eastAsia="en-IN"/>
          <w14:ligatures w14:val="none"/>
        </w:rPr>
        <w:t>54</w:t>
      </w:r>
      <w:r w:rsidR="00690FEA" w:rsidRPr="00EA19F0">
        <w:rPr>
          <w:rFonts w:asciiTheme="minorBidi" w:eastAsia="Times New Roman" w:hAnsiTheme="minorBidi"/>
          <w:kern w:val="0"/>
          <w:sz w:val="24"/>
          <w:szCs w:val="24"/>
          <w:lang w:eastAsia="en-IN"/>
          <w14:ligatures w14:val="none"/>
        </w:rPr>
        <w:t xml:space="preserve"> water samples collected </w:t>
      </w:r>
      <w:commentRangeEnd w:id="11"/>
      <w:r w:rsidR="00CD66A3">
        <w:rPr>
          <w:rStyle w:val="CommentReference"/>
        </w:rPr>
        <w:commentReference w:id="11"/>
      </w:r>
      <w:r w:rsidR="00690FEA" w:rsidRPr="00EA19F0">
        <w:rPr>
          <w:rFonts w:asciiTheme="minorBidi" w:eastAsia="Times New Roman" w:hAnsiTheme="minorBidi"/>
          <w:kern w:val="0"/>
          <w:sz w:val="24"/>
          <w:szCs w:val="24"/>
          <w:lang w:eastAsia="en-IN"/>
          <w14:ligatures w14:val="none"/>
        </w:rPr>
        <w:t xml:space="preserve">from </w:t>
      </w:r>
      <w:r w:rsidRPr="00EA19F0">
        <w:rPr>
          <w:rFonts w:asciiTheme="minorBidi" w:eastAsia="Times New Roman" w:hAnsiTheme="minorBidi"/>
          <w:kern w:val="0"/>
          <w:sz w:val="24"/>
          <w:szCs w:val="24"/>
          <w:lang w:eastAsia="en-IN"/>
          <w14:ligatures w14:val="none"/>
        </w:rPr>
        <w:t>6</w:t>
      </w:r>
      <w:r w:rsidR="00690FEA" w:rsidRPr="00EA19F0">
        <w:rPr>
          <w:rFonts w:asciiTheme="minorBidi" w:eastAsia="Times New Roman" w:hAnsiTheme="minorBidi"/>
          <w:kern w:val="0"/>
          <w:sz w:val="24"/>
          <w:szCs w:val="24"/>
          <w:lang w:eastAsia="en-IN"/>
          <w14:ligatures w14:val="none"/>
        </w:rPr>
        <w:t xml:space="preserve"> </w:t>
      </w:r>
      <w:r w:rsidRPr="00EA19F0">
        <w:rPr>
          <w:rFonts w:asciiTheme="minorBidi" w:eastAsia="Times New Roman" w:hAnsiTheme="minorBidi"/>
          <w:kern w:val="0"/>
          <w:sz w:val="24"/>
          <w:szCs w:val="24"/>
          <w:lang w:eastAsia="en-IN"/>
          <w14:ligatures w14:val="none"/>
        </w:rPr>
        <w:t xml:space="preserve">sites (3 samples from each site) </w:t>
      </w:r>
      <w:r w:rsidR="00690FEA" w:rsidRPr="00EA19F0">
        <w:rPr>
          <w:rFonts w:asciiTheme="minorBidi" w:eastAsia="Times New Roman" w:hAnsiTheme="minorBidi"/>
          <w:kern w:val="0"/>
          <w:sz w:val="24"/>
          <w:szCs w:val="24"/>
          <w:lang w:eastAsia="en-IN"/>
          <w14:ligatures w14:val="none"/>
        </w:rPr>
        <w:t>during three distinct periods in 202</w:t>
      </w:r>
      <w:r w:rsidRPr="00EA19F0">
        <w:rPr>
          <w:rFonts w:asciiTheme="minorBidi" w:eastAsia="Times New Roman" w:hAnsiTheme="minorBidi"/>
          <w:kern w:val="0"/>
          <w:sz w:val="24"/>
          <w:szCs w:val="24"/>
          <w:lang w:eastAsia="en-IN"/>
          <w14:ligatures w14:val="none"/>
        </w:rPr>
        <w:t>4</w:t>
      </w:r>
      <w:r w:rsidR="00690FEA" w:rsidRPr="00EA19F0">
        <w:rPr>
          <w:rFonts w:asciiTheme="minorBidi" w:eastAsia="Times New Roman" w:hAnsiTheme="minorBidi"/>
          <w:kern w:val="0"/>
          <w:sz w:val="24"/>
          <w:szCs w:val="24"/>
          <w:lang w:eastAsia="en-IN"/>
          <w14:ligatures w14:val="none"/>
        </w:rPr>
        <w:t xml:space="preserve">: </w:t>
      </w:r>
      <w:r w:rsidR="002E0EB4" w:rsidRPr="00EA19F0">
        <w:rPr>
          <w:rFonts w:asciiTheme="minorBidi" w:eastAsia="Times New Roman" w:hAnsiTheme="minorBidi"/>
          <w:kern w:val="0"/>
          <w:sz w:val="24"/>
          <w:szCs w:val="24"/>
          <w:lang w:eastAsia="en-IN"/>
          <w14:ligatures w14:val="none"/>
        </w:rPr>
        <w:t>(</w:t>
      </w:r>
      <w:proofErr w:type="spellStart"/>
      <w:r w:rsidR="002E0EB4" w:rsidRPr="00EA19F0">
        <w:rPr>
          <w:rFonts w:asciiTheme="minorBidi" w:eastAsia="Times New Roman" w:hAnsiTheme="minorBidi"/>
          <w:kern w:val="0"/>
          <w:sz w:val="24"/>
          <w:szCs w:val="24"/>
          <w:lang w:eastAsia="en-IN"/>
          <w14:ligatures w14:val="none"/>
        </w:rPr>
        <w:t>i</w:t>
      </w:r>
      <w:proofErr w:type="spellEnd"/>
      <w:r w:rsidR="002E0EB4" w:rsidRPr="00EA19F0">
        <w:rPr>
          <w:rFonts w:asciiTheme="minorBidi" w:eastAsia="Times New Roman" w:hAnsiTheme="minorBidi"/>
          <w:kern w:val="0"/>
          <w:sz w:val="24"/>
          <w:szCs w:val="24"/>
          <w:lang w:eastAsia="en-IN"/>
          <w14:ligatures w14:val="none"/>
        </w:rPr>
        <w:t xml:space="preserve">) </w:t>
      </w:r>
      <w:r w:rsidR="00690FEA" w:rsidRPr="00EA19F0">
        <w:rPr>
          <w:rFonts w:asciiTheme="minorBidi" w:eastAsia="Times New Roman" w:hAnsiTheme="minorBidi"/>
          <w:kern w:val="0"/>
          <w:sz w:val="24"/>
          <w:szCs w:val="24"/>
          <w:lang w:eastAsia="en-IN"/>
          <w14:ligatures w14:val="none"/>
        </w:rPr>
        <w:t xml:space="preserve">Early Melting Period (EMP, </w:t>
      </w:r>
      <w:r w:rsidR="002E0EB4" w:rsidRPr="00EA19F0">
        <w:rPr>
          <w:rFonts w:asciiTheme="minorBidi" w:eastAsia="Times New Roman" w:hAnsiTheme="minorBidi"/>
          <w:kern w:val="0"/>
          <w:sz w:val="24"/>
          <w:szCs w:val="24"/>
          <w:lang w:eastAsia="en-IN"/>
          <w14:ligatures w14:val="none"/>
        </w:rPr>
        <w:t>April</w:t>
      </w:r>
      <w:r w:rsidR="00690FEA" w:rsidRPr="00EA19F0">
        <w:rPr>
          <w:rFonts w:asciiTheme="minorBidi" w:eastAsia="Times New Roman" w:hAnsiTheme="minorBidi"/>
          <w:kern w:val="0"/>
          <w:sz w:val="24"/>
          <w:szCs w:val="24"/>
          <w:lang w:eastAsia="en-IN"/>
          <w14:ligatures w14:val="none"/>
        </w:rPr>
        <w:t xml:space="preserve">); </w:t>
      </w:r>
      <w:r w:rsidR="002E0EB4" w:rsidRPr="00EA19F0">
        <w:rPr>
          <w:rFonts w:asciiTheme="minorBidi" w:eastAsia="Times New Roman" w:hAnsiTheme="minorBidi"/>
          <w:kern w:val="0"/>
          <w:sz w:val="24"/>
          <w:szCs w:val="24"/>
          <w:lang w:eastAsia="en-IN"/>
          <w14:ligatures w14:val="none"/>
        </w:rPr>
        <w:t xml:space="preserve">(ii) </w:t>
      </w:r>
      <w:r w:rsidR="00690FEA" w:rsidRPr="00EA19F0">
        <w:rPr>
          <w:rFonts w:asciiTheme="minorBidi" w:eastAsia="Times New Roman" w:hAnsiTheme="minorBidi"/>
          <w:kern w:val="0"/>
          <w:sz w:val="24"/>
          <w:szCs w:val="24"/>
          <w:lang w:eastAsia="en-IN"/>
          <w14:ligatures w14:val="none"/>
        </w:rPr>
        <w:t>Peak Melting Period (PMP, Ju</w:t>
      </w:r>
      <w:r w:rsidR="002E0EB4" w:rsidRPr="00EA19F0">
        <w:rPr>
          <w:rFonts w:asciiTheme="minorBidi" w:eastAsia="Times New Roman" w:hAnsiTheme="minorBidi"/>
          <w:kern w:val="0"/>
          <w:sz w:val="24"/>
          <w:szCs w:val="24"/>
          <w:lang w:eastAsia="en-IN"/>
          <w14:ligatures w14:val="none"/>
        </w:rPr>
        <w:t>ly</w:t>
      </w:r>
      <w:r w:rsidR="00690FEA" w:rsidRPr="00EA19F0">
        <w:rPr>
          <w:rFonts w:asciiTheme="minorBidi" w:eastAsia="Times New Roman" w:hAnsiTheme="minorBidi"/>
          <w:kern w:val="0"/>
          <w:sz w:val="24"/>
          <w:szCs w:val="24"/>
          <w:lang w:eastAsia="en-IN"/>
          <w14:ligatures w14:val="none"/>
        </w:rPr>
        <w:t xml:space="preserve">); and </w:t>
      </w:r>
      <w:r w:rsidR="002E0EB4" w:rsidRPr="00EA19F0">
        <w:rPr>
          <w:rFonts w:asciiTheme="minorBidi" w:eastAsia="Times New Roman" w:hAnsiTheme="minorBidi"/>
          <w:kern w:val="0"/>
          <w:sz w:val="24"/>
          <w:szCs w:val="24"/>
          <w:lang w:eastAsia="en-IN"/>
          <w14:ligatures w14:val="none"/>
        </w:rPr>
        <w:t xml:space="preserve">(iii) </w:t>
      </w:r>
      <w:r w:rsidR="00690FEA" w:rsidRPr="00EA19F0">
        <w:rPr>
          <w:rFonts w:asciiTheme="minorBidi" w:eastAsia="Times New Roman" w:hAnsiTheme="minorBidi"/>
          <w:kern w:val="0"/>
          <w:sz w:val="24"/>
          <w:szCs w:val="24"/>
          <w:lang w:eastAsia="en-IN"/>
          <w14:ligatures w14:val="none"/>
        </w:rPr>
        <w:t>Late Melting Period (LMP,</w:t>
      </w:r>
      <w:r w:rsidR="002E0EB4" w:rsidRPr="00EA19F0">
        <w:rPr>
          <w:rFonts w:asciiTheme="minorBidi" w:eastAsia="Times New Roman" w:hAnsiTheme="minorBidi"/>
          <w:kern w:val="0"/>
          <w:sz w:val="24"/>
          <w:szCs w:val="24"/>
          <w:lang w:eastAsia="en-IN"/>
          <w14:ligatures w14:val="none"/>
        </w:rPr>
        <w:t xml:space="preserve"> </w:t>
      </w:r>
      <w:r w:rsidR="00690FEA" w:rsidRPr="00EA19F0">
        <w:rPr>
          <w:rFonts w:asciiTheme="minorBidi" w:eastAsia="Times New Roman" w:hAnsiTheme="minorBidi"/>
          <w:kern w:val="0"/>
          <w:sz w:val="24"/>
          <w:szCs w:val="24"/>
          <w:lang w:eastAsia="en-IN"/>
          <w14:ligatures w14:val="none"/>
        </w:rPr>
        <w:t xml:space="preserve">November). The map of sampling </w:t>
      </w:r>
      <w:r w:rsidR="00481D6C" w:rsidRPr="00EA19F0">
        <w:rPr>
          <w:rFonts w:asciiTheme="minorBidi" w:eastAsia="Times New Roman" w:hAnsiTheme="minorBidi"/>
          <w:kern w:val="0"/>
          <w:sz w:val="24"/>
          <w:szCs w:val="24"/>
          <w:lang w:eastAsia="en-IN"/>
          <w14:ligatures w14:val="none"/>
        </w:rPr>
        <w:t>sites</w:t>
      </w:r>
      <w:r w:rsidR="00690FEA" w:rsidRPr="00EA19F0">
        <w:rPr>
          <w:rFonts w:asciiTheme="minorBidi" w:eastAsia="Times New Roman" w:hAnsiTheme="minorBidi"/>
          <w:kern w:val="0"/>
          <w:sz w:val="24"/>
          <w:szCs w:val="24"/>
          <w:lang w:eastAsia="en-IN"/>
          <w14:ligatures w14:val="none"/>
        </w:rPr>
        <w:t xml:space="preserve"> is </w:t>
      </w:r>
      <w:r w:rsidR="00481D6C" w:rsidRPr="00EA19F0">
        <w:rPr>
          <w:rFonts w:asciiTheme="minorBidi" w:eastAsia="Times New Roman" w:hAnsiTheme="minorBidi"/>
          <w:kern w:val="0"/>
          <w:sz w:val="24"/>
          <w:szCs w:val="24"/>
          <w:lang w:eastAsia="en-IN"/>
          <w14:ligatures w14:val="none"/>
        </w:rPr>
        <w:t xml:space="preserve">shown </w:t>
      </w:r>
      <w:r w:rsidR="00690FEA" w:rsidRPr="00EA19F0">
        <w:rPr>
          <w:rFonts w:asciiTheme="minorBidi" w:eastAsia="Times New Roman" w:hAnsiTheme="minorBidi"/>
          <w:kern w:val="0"/>
          <w:sz w:val="24"/>
          <w:szCs w:val="24"/>
          <w:lang w:eastAsia="en-IN"/>
          <w14:ligatures w14:val="none"/>
        </w:rPr>
        <w:t xml:space="preserve">in </w:t>
      </w:r>
      <w:r w:rsidR="00690FEA" w:rsidRPr="00EA19F0">
        <w:rPr>
          <w:rFonts w:asciiTheme="minorBidi" w:eastAsia="Times New Roman" w:hAnsiTheme="minorBidi"/>
          <w:b/>
          <w:bCs/>
          <w:kern w:val="0"/>
          <w:sz w:val="24"/>
          <w:szCs w:val="24"/>
          <w:lang w:eastAsia="en-IN"/>
          <w14:ligatures w14:val="none"/>
        </w:rPr>
        <w:t>Fig. 1,</w:t>
      </w:r>
      <w:r w:rsidR="00690FEA" w:rsidRPr="00EA19F0">
        <w:rPr>
          <w:rFonts w:asciiTheme="minorBidi" w:eastAsia="Times New Roman" w:hAnsiTheme="minorBidi"/>
          <w:kern w:val="0"/>
          <w:sz w:val="24"/>
          <w:szCs w:val="24"/>
          <w:lang w:eastAsia="en-IN"/>
          <w14:ligatures w14:val="none"/>
        </w:rPr>
        <w:t xml:space="preserve"> </w:t>
      </w:r>
      <w:r w:rsidR="00481D6C" w:rsidRPr="00EA19F0">
        <w:rPr>
          <w:rFonts w:asciiTheme="minorBidi" w:eastAsia="Times New Roman" w:hAnsiTheme="minorBidi"/>
          <w:kern w:val="0"/>
          <w:sz w:val="24"/>
          <w:szCs w:val="24"/>
          <w:lang w:eastAsia="en-IN"/>
          <w14:ligatures w14:val="none"/>
        </w:rPr>
        <w:t xml:space="preserve">and </w:t>
      </w:r>
      <w:r w:rsidR="00690FEA" w:rsidRPr="00EA19F0">
        <w:rPr>
          <w:rFonts w:asciiTheme="minorBidi" w:eastAsia="Times New Roman" w:hAnsiTheme="minorBidi"/>
          <w:kern w:val="0"/>
          <w:sz w:val="24"/>
          <w:szCs w:val="24"/>
          <w:lang w:eastAsia="en-IN"/>
          <w14:ligatures w14:val="none"/>
        </w:rPr>
        <w:t xml:space="preserve">a brief overview of the sampling sites </w:t>
      </w:r>
      <w:r w:rsidR="00481D6C" w:rsidRPr="00EA19F0">
        <w:rPr>
          <w:rFonts w:asciiTheme="minorBidi" w:eastAsia="Times New Roman" w:hAnsiTheme="minorBidi"/>
          <w:kern w:val="0"/>
          <w:sz w:val="24"/>
          <w:szCs w:val="24"/>
          <w:lang w:eastAsia="en-IN"/>
          <w14:ligatures w14:val="none"/>
        </w:rPr>
        <w:t xml:space="preserve">is discussed </w:t>
      </w:r>
      <w:r w:rsidR="00690FEA" w:rsidRPr="00EA19F0">
        <w:rPr>
          <w:rFonts w:asciiTheme="minorBidi" w:eastAsia="Times New Roman" w:hAnsiTheme="minorBidi"/>
          <w:kern w:val="0"/>
          <w:sz w:val="24"/>
          <w:szCs w:val="24"/>
          <w:lang w:eastAsia="en-IN"/>
          <w14:ligatures w14:val="none"/>
        </w:rPr>
        <w:t xml:space="preserve">in </w:t>
      </w:r>
      <w:r w:rsidR="00690FEA" w:rsidRPr="00EA19F0">
        <w:rPr>
          <w:rFonts w:asciiTheme="minorBidi" w:eastAsia="Times New Roman" w:hAnsiTheme="minorBidi"/>
          <w:b/>
          <w:bCs/>
          <w:kern w:val="0"/>
          <w:sz w:val="24"/>
          <w:szCs w:val="24"/>
          <w:lang w:eastAsia="en-IN"/>
          <w14:ligatures w14:val="none"/>
        </w:rPr>
        <w:t>Table 1</w:t>
      </w:r>
    </w:p>
    <w:p w14:paraId="5DDD760E" w14:textId="77777777" w:rsidR="00010A4E" w:rsidRPr="004C0BF0" w:rsidRDefault="00010A4E" w:rsidP="00010A4E">
      <w:pPr>
        <w:pStyle w:val="NormalWeb"/>
        <w:jc w:val="center"/>
      </w:pPr>
      <w:r w:rsidRPr="004C0BF0">
        <w:rPr>
          <w:noProof/>
        </w:rPr>
        <w:drawing>
          <wp:inline distT="0" distB="0" distL="0" distR="0" wp14:anchorId="65B7B830" wp14:editId="22F5142D">
            <wp:extent cx="5066491" cy="3625850"/>
            <wp:effectExtent l="19050" t="19050" r="20320" b="12700"/>
            <wp:docPr id="1331608622" name="Picture 2" descr="A map of land with different loc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08622" name="Picture 2" descr="A map of land with different locations&#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934" r="2975" b="2520"/>
                    <a:stretch>
                      <a:fillRect/>
                    </a:stretch>
                  </pic:blipFill>
                  <pic:spPr bwMode="auto">
                    <a:xfrm>
                      <a:off x="0" y="0"/>
                      <a:ext cx="5082732" cy="3637473"/>
                    </a:xfrm>
                    <a:prstGeom prst="rect">
                      <a:avLst/>
                    </a:prstGeom>
                    <a:noFill/>
                    <a:ln>
                      <a:solidFill>
                        <a:schemeClr val="bg2">
                          <a:lumMod val="90000"/>
                        </a:schemeClr>
                      </a:solidFill>
                    </a:ln>
                    <a:extLst>
                      <a:ext uri="{53640926-AAD7-44D8-BBD7-CCE9431645EC}">
                        <a14:shadowObscured xmlns:a14="http://schemas.microsoft.com/office/drawing/2010/main"/>
                      </a:ext>
                    </a:extLst>
                  </pic:spPr>
                </pic:pic>
              </a:graphicData>
            </a:graphic>
          </wp:inline>
        </w:drawing>
      </w:r>
    </w:p>
    <w:p w14:paraId="448567E4" w14:textId="77777777" w:rsidR="00A02711" w:rsidRDefault="00010A4E" w:rsidP="00010A4E">
      <w:pPr>
        <w:pStyle w:val="Caption"/>
        <w:rPr>
          <w:rFonts w:ascii="Times New Roman" w:hAnsi="Times New Roman" w:cs="Times New Roman"/>
          <w:i w:val="0"/>
          <w:iCs w:val="0"/>
          <w:color w:val="auto"/>
          <w:sz w:val="24"/>
          <w:szCs w:val="24"/>
        </w:rPr>
      </w:pPr>
      <w:r w:rsidRPr="004C0BF0">
        <w:rPr>
          <w:rFonts w:ascii="Times New Roman" w:hAnsi="Times New Roman" w:cs="Times New Roman"/>
          <w:i w:val="0"/>
          <w:iCs w:val="0"/>
          <w:color w:val="auto"/>
          <w:sz w:val="24"/>
          <w:szCs w:val="24"/>
        </w:rPr>
        <w:t xml:space="preserve">Figure </w:t>
      </w:r>
      <w:r w:rsidRPr="004C0BF0">
        <w:rPr>
          <w:rFonts w:ascii="Times New Roman" w:hAnsi="Times New Roman" w:cs="Times New Roman"/>
          <w:i w:val="0"/>
          <w:iCs w:val="0"/>
          <w:color w:val="auto"/>
          <w:sz w:val="24"/>
          <w:szCs w:val="24"/>
        </w:rPr>
        <w:fldChar w:fldCharType="begin"/>
      </w:r>
      <w:r w:rsidRPr="004C0BF0">
        <w:rPr>
          <w:rFonts w:ascii="Times New Roman" w:hAnsi="Times New Roman" w:cs="Times New Roman"/>
          <w:i w:val="0"/>
          <w:iCs w:val="0"/>
          <w:color w:val="auto"/>
          <w:sz w:val="24"/>
          <w:szCs w:val="24"/>
        </w:rPr>
        <w:instrText xml:space="preserve"> SEQ Figure \* ARABIC </w:instrText>
      </w:r>
      <w:r w:rsidRPr="004C0BF0">
        <w:rPr>
          <w:rFonts w:ascii="Times New Roman" w:hAnsi="Times New Roman" w:cs="Times New Roman"/>
          <w:i w:val="0"/>
          <w:iCs w:val="0"/>
          <w:color w:val="auto"/>
          <w:sz w:val="24"/>
          <w:szCs w:val="24"/>
        </w:rPr>
        <w:fldChar w:fldCharType="separate"/>
      </w:r>
      <w:r w:rsidRPr="004C0BF0">
        <w:rPr>
          <w:rFonts w:ascii="Times New Roman" w:hAnsi="Times New Roman" w:cs="Times New Roman"/>
          <w:i w:val="0"/>
          <w:iCs w:val="0"/>
          <w:noProof/>
          <w:color w:val="auto"/>
          <w:sz w:val="24"/>
          <w:szCs w:val="24"/>
        </w:rPr>
        <w:t>1</w:t>
      </w:r>
      <w:r w:rsidRPr="004C0BF0">
        <w:rPr>
          <w:rFonts w:ascii="Times New Roman" w:hAnsi="Times New Roman" w:cs="Times New Roman"/>
          <w:i w:val="0"/>
          <w:iCs w:val="0"/>
          <w:color w:val="auto"/>
          <w:sz w:val="24"/>
          <w:szCs w:val="24"/>
        </w:rPr>
        <w:fldChar w:fldCharType="end"/>
      </w:r>
      <w:r w:rsidRPr="004C0BF0">
        <w:rPr>
          <w:rFonts w:ascii="Times New Roman" w:hAnsi="Times New Roman" w:cs="Times New Roman"/>
          <w:i w:val="0"/>
          <w:iCs w:val="0"/>
          <w:color w:val="auto"/>
          <w:sz w:val="24"/>
          <w:szCs w:val="24"/>
        </w:rPr>
        <w:t xml:space="preserve"> Map of the study area showing different</w:t>
      </w:r>
      <w:r>
        <w:rPr>
          <w:rFonts w:ascii="Times New Roman" w:hAnsi="Times New Roman" w:cs="Times New Roman"/>
          <w:i w:val="0"/>
          <w:iCs w:val="0"/>
          <w:color w:val="auto"/>
          <w:sz w:val="24"/>
          <w:szCs w:val="24"/>
        </w:rPr>
        <w:t xml:space="preserve"> sampling</w:t>
      </w:r>
      <w:r w:rsidRPr="004C0BF0">
        <w:rPr>
          <w:rFonts w:ascii="Times New Roman" w:hAnsi="Times New Roman" w:cs="Times New Roman"/>
          <w:i w:val="0"/>
          <w:iCs w:val="0"/>
          <w:color w:val="auto"/>
          <w:sz w:val="24"/>
          <w:szCs w:val="24"/>
        </w:rPr>
        <w:t xml:space="preserve"> sites across the Drass River.</w:t>
      </w:r>
    </w:p>
    <w:tbl>
      <w:tblPr>
        <w:tblStyle w:val="TableGrid"/>
        <w:tblpPr w:leftFromText="180" w:rightFromText="180" w:vertAnchor="page" w:horzAnchor="margin" w:tblpXSpec="center" w:tblpY="821"/>
        <w:tblW w:w="10452" w:type="dxa"/>
        <w:tblLayout w:type="fixed"/>
        <w:tblLook w:val="04A0" w:firstRow="1" w:lastRow="0" w:firstColumn="1" w:lastColumn="0" w:noHBand="0" w:noVBand="1"/>
      </w:tblPr>
      <w:tblGrid>
        <w:gridCol w:w="1838"/>
        <w:gridCol w:w="990"/>
        <w:gridCol w:w="995"/>
        <w:gridCol w:w="6629"/>
      </w:tblGrid>
      <w:tr w:rsidR="00DE2FA6" w:rsidRPr="00A02711" w14:paraId="01784906" w14:textId="77777777" w:rsidTr="00DE2FA6">
        <w:trPr>
          <w:trHeight w:val="359"/>
        </w:trPr>
        <w:tc>
          <w:tcPr>
            <w:tcW w:w="10452" w:type="dxa"/>
            <w:gridSpan w:val="4"/>
            <w:vAlign w:val="center"/>
          </w:tcPr>
          <w:p w14:paraId="46DECB73" w14:textId="77777777" w:rsidR="00DE2FA6" w:rsidRPr="00A02711" w:rsidRDefault="00DE2FA6" w:rsidP="00DE2FA6">
            <w:pPr>
              <w:jc w:val="both"/>
              <w:rPr>
                <w:rFonts w:asciiTheme="minorBidi" w:hAnsiTheme="minorBidi"/>
                <w:b/>
                <w:bCs/>
                <w:sz w:val="16"/>
                <w:szCs w:val="16"/>
              </w:rPr>
            </w:pPr>
            <w:r w:rsidRPr="00A02711">
              <w:rPr>
                <w:rFonts w:asciiTheme="minorBidi" w:hAnsiTheme="minorBidi"/>
                <w:b/>
                <w:bCs/>
                <w:sz w:val="16"/>
                <w:szCs w:val="16"/>
              </w:rPr>
              <w:t xml:space="preserve">Table </w:t>
            </w:r>
            <w:r w:rsidRPr="00A02711">
              <w:rPr>
                <w:rFonts w:asciiTheme="minorBidi" w:hAnsiTheme="minorBidi"/>
                <w:b/>
                <w:bCs/>
                <w:sz w:val="16"/>
                <w:szCs w:val="16"/>
              </w:rPr>
              <w:fldChar w:fldCharType="begin"/>
            </w:r>
            <w:r w:rsidRPr="00A02711">
              <w:rPr>
                <w:rFonts w:asciiTheme="minorBidi" w:hAnsiTheme="minorBidi"/>
                <w:b/>
                <w:bCs/>
                <w:sz w:val="16"/>
                <w:szCs w:val="16"/>
              </w:rPr>
              <w:instrText xml:space="preserve"> SEQ Table \* ARABIC </w:instrText>
            </w:r>
            <w:r w:rsidRPr="00A02711">
              <w:rPr>
                <w:rFonts w:asciiTheme="minorBidi" w:hAnsiTheme="minorBidi"/>
                <w:b/>
                <w:bCs/>
                <w:sz w:val="16"/>
                <w:szCs w:val="16"/>
              </w:rPr>
              <w:fldChar w:fldCharType="separate"/>
            </w:r>
            <w:r w:rsidRPr="00A02711">
              <w:rPr>
                <w:rFonts w:asciiTheme="minorBidi" w:hAnsiTheme="minorBidi"/>
                <w:b/>
                <w:bCs/>
                <w:sz w:val="16"/>
                <w:szCs w:val="16"/>
              </w:rPr>
              <w:t>1</w:t>
            </w:r>
            <w:r w:rsidRPr="00A02711">
              <w:rPr>
                <w:rFonts w:asciiTheme="minorBidi" w:hAnsiTheme="minorBidi"/>
                <w:b/>
                <w:bCs/>
                <w:sz w:val="16"/>
                <w:szCs w:val="16"/>
              </w:rPr>
              <w:fldChar w:fldCharType="end"/>
            </w:r>
          </w:p>
          <w:p w14:paraId="6C2FD12B"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Brief description of the study area across the Drass River Basin (DRB).</w:t>
            </w:r>
          </w:p>
        </w:tc>
      </w:tr>
      <w:tr w:rsidR="00DE2FA6" w:rsidRPr="00A02711" w14:paraId="2FF657BC" w14:textId="77777777" w:rsidTr="00DE2FA6">
        <w:trPr>
          <w:trHeight w:val="371"/>
        </w:trPr>
        <w:tc>
          <w:tcPr>
            <w:tcW w:w="1838" w:type="dxa"/>
            <w:vAlign w:val="center"/>
          </w:tcPr>
          <w:p w14:paraId="7E961BF4" w14:textId="77777777" w:rsidR="00DE2FA6" w:rsidRPr="00A02711" w:rsidRDefault="00DE2FA6" w:rsidP="00DE2FA6">
            <w:pPr>
              <w:jc w:val="both"/>
              <w:rPr>
                <w:rFonts w:asciiTheme="minorBidi" w:hAnsiTheme="minorBidi"/>
                <w:b/>
                <w:bCs/>
                <w:sz w:val="16"/>
                <w:szCs w:val="16"/>
              </w:rPr>
            </w:pPr>
            <w:r w:rsidRPr="00A02711">
              <w:rPr>
                <w:rFonts w:asciiTheme="minorBidi" w:hAnsiTheme="minorBidi"/>
                <w:b/>
                <w:bCs/>
                <w:sz w:val="16"/>
                <w:szCs w:val="16"/>
              </w:rPr>
              <w:t>Sampling Station</w:t>
            </w:r>
          </w:p>
          <w:p w14:paraId="5FBB695C" w14:textId="77777777" w:rsidR="00DE2FA6" w:rsidRPr="00A02711" w:rsidRDefault="00DE2FA6" w:rsidP="00DE2FA6">
            <w:pPr>
              <w:jc w:val="both"/>
              <w:rPr>
                <w:rFonts w:asciiTheme="minorBidi" w:hAnsiTheme="minorBidi"/>
                <w:b/>
                <w:bCs/>
                <w:sz w:val="16"/>
                <w:szCs w:val="16"/>
              </w:rPr>
            </w:pPr>
            <w:r w:rsidRPr="00A02711">
              <w:rPr>
                <w:rFonts w:asciiTheme="minorBidi" w:hAnsiTheme="minorBidi"/>
                <w:b/>
                <w:bCs/>
                <w:sz w:val="16"/>
                <w:szCs w:val="16"/>
              </w:rPr>
              <w:t>(Station ID)</w:t>
            </w:r>
          </w:p>
        </w:tc>
        <w:tc>
          <w:tcPr>
            <w:tcW w:w="1985" w:type="dxa"/>
            <w:gridSpan w:val="2"/>
            <w:vAlign w:val="center"/>
          </w:tcPr>
          <w:p w14:paraId="33C5CE42" w14:textId="77777777" w:rsidR="00DE2FA6" w:rsidRPr="00A02711" w:rsidRDefault="00DE2FA6" w:rsidP="00DE2FA6">
            <w:pPr>
              <w:jc w:val="both"/>
              <w:rPr>
                <w:rFonts w:asciiTheme="minorBidi" w:hAnsiTheme="minorBidi"/>
                <w:b/>
                <w:bCs/>
                <w:sz w:val="16"/>
                <w:szCs w:val="16"/>
              </w:rPr>
            </w:pPr>
            <w:r w:rsidRPr="00A02711">
              <w:rPr>
                <w:rFonts w:asciiTheme="minorBidi" w:hAnsiTheme="minorBidi"/>
                <w:b/>
                <w:bCs/>
                <w:sz w:val="16"/>
                <w:szCs w:val="16"/>
              </w:rPr>
              <w:t>Coordinates and Altitude (msl)</w:t>
            </w:r>
          </w:p>
        </w:tc>
        <w:tc>
          <w:tcPr>
            <w:tcW w:w="6629" w:type="dxa"/>
            <w:vAlign w:val="center"/>
          </w:tcPr>
          <w:p w14:paraId="468679AA" w14:textId="77777777" w:rsidR="00DE2FA6" w:rsidRPr="00A02711" w:rsidRDefault="00DE2FA6" w:rsidP="00DE2FA6">
            <w:pPr>
              <w:jc w:val="both"/>
              <w:rPr>
                <w:rFonts w:asciiTheme="minorBidi" w:hAnsiTheme="minorBidi"/>
                <w:b/>
                <w:bCs/>
                <w:sz w:val="16"/>
                <w:szCs w:val="16"/>
              </w:rPr>
            </w:pPr>
            <w:r w:rsidRPr="00A02711">
              <w:rPr>
                <w:rFonts w:asciiTheme="minorBidi" w:hAnsiTheme="minorBidi"/>
                <w:b/>
                <w:bCs/>
                <w:sz w:val="16"/>
                <w:szCs w:val="16"/>
              </w:rPr>
              <w:t>Brief description of Sampling Station</w:t>
            </w:r>
          </w:p>
        </w:tc>
      </w:tr>
      <w:tr w:rsidR="00DE2FA6" w:rsidRPr="00A02711" w14:paraId="1445E22C" w14:textId="77777777" w:rsidTr="00DE2FA6">
        <w:trPr>
          <w:trHeight w:val="170"/>
        </w:trPr>
        <w:tc>
          <w:tcPr>
            <w:tcW w:w="1838" w:type="dxa"/>
            <w:vMerge w:val="restart"/>
            <w:vAlign w:val="center"/>
          </w:tcPr>
          <w:p w14:paraId="18908D22"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 xml:space="preserve">Near </w:t>
            </w:r>
            <w:proofErr w:type="spellStart"/>
            <w:r w:rsidRPr="00A02711">
              <w:rPr>
                <w:rFonts w:asciiTheme="minorBidi" w:hAnsiTheme="minorBidi"/>
                <w:sz w:val="16"/>
                <w:szCs w:val="16"/>
              </w:rPr>
              <w:t>Zojila</w:t>
            </w:r>
            <w:proofErr w:type="spellEnd"/>
            <w:r w:rsidRPr="00A02711">
              <w:rPr>
                <w:rFonts w:asciiTheme="minorBidi" w:hAnsiTheme="minorBidi"/>
                <w:sz w:val="16"/>
                <w:szCs w:val="16"/>
              </w:rPr>
              <w:t xml:space="preserve"> (</w:t>
            </w:r>
            <w:proofErr w:type="spellStart"/>
            <w:r w:rsidRPr="00A02711">
              <w:rPr>
                <w:rFonts w:asciiTheme="minorBidi" w:hAnsiTheme="minorBidi"/>
                <w:sz w:val="16"/>
                <w:szCs w:val="16"/>
              </w:rPr>
              <w:t>Zoji</w:t>
            </w:r>
            <w:proofErr w:type="spellEnd"/>
            <w:r w:rsidRPr="00A02711">
              <w:rPr>
                <w:rFonts w:asciiTheme="minorBidi" w:hAnsiTheme="minorBidi"/>
                <w:sz w:val="16"/>
                <w:szCs w:val="16"/>
              </w:rPr>
              <w:t xml:space="preserve"> La) Pass</w:t>
            </w:r>
          </w:p>
          <w:p w14:paraId="7C830FEA"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(DR-1)</w:t>
            </w:r>
          </w:p>
        </w:tc>
        <w:tc>
          <w:tcPr>
            <w:tcW w:w="990" w:type="dxa"/>
            <w:vAlign w:val="center"/>
          </w:tcPr>
          <w:p w14:paraId="4B06778C"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Latitude</w:t>
            </w:r>
          </w:p>
        </w:tc>
        <w:tc>
          <w:tcPr>
            <w:tcW w:w="995" w:type="dxa"/>
            <w:vAlign w:val="center"/>
          </w:tcPr>
          <w:p w14:paraId="5225134B"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34.32136</w:t>
            </w:r>
          </w:p>
        </w:tc>
        <w:tc>
          <w:tcPr>
            <w:tcW w:w="6629" w:type="dxa"/>
            <w:vMerge w:val="restart"/>
            <w:vAlign w:val="center"/>
          </w:tcPr>
          <w:p w14:paraId="7362117D"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 xml:space="preserve">Located near the </w:t>
            </w:r>
            <w:proofErr w:type="spellStart"/>
            <w:r w:rsidRPr="00A02711">
              <w:rPr>
                <w:rFonts w:asciiTheme="minorBidi" w:hAnsiTheme="minorBidi"/>
                <w:sz w:val="16"/>
                <w:szCs w:val="16"/>
              </w:rPr>
              <w:t>Machoi</w:t>
            </w:r>
            <w:proofErr w:type="spellEnd"/>
            <w:r w:rsidRPr="00A02711">
              <w:rPr>
                <w:rFonts w:asciiTheme="minorBidi" w:hAnsiTheme="minorBidi"/>
                <w:sz w:val="16"/>
                <w:szCs w:val="16"/>
              </w:rPr>
              <w:t xml:space="preserve"> Glacier and </w:t>
            </w:r>
            <w:proofErr w:type="spellStart"/>
            <w:r w:rsidRPr="00A02711">
              <w:rPr>
                <w:rFonts w:asciiTheme="minorBidi" w:hAnsiTheme="minorBidi"/>
                <w:sz w:val="16"/>
                <w:szCs w:val="16"/>
              </w:rPr>
              <w:t>Zojila</w:t>
            </w:r>
            <w:proofErr w:type="spellEnd"/>
            <w:r w:rsidRPr="00A02711">
              <w:rPr>
                <w:rFonts w:asciiTheme="minorBidi" w:hAnsiTheme="minorBidi"/>
                <w:sz w:val="16"/>
                <w:szCs w:val="16"/>
              </w:rPr>
              <w:t xml:space="preserve"> Pass, the source of the Drass River, which constitutes a major headwater tributary of the Drass River, offers a unique opportunity to capture critical data on pristine glacial meltwater.</w:t>
            </w:r>
          </w:p>
        </w:tc>
      </w:tr>
      <w:tr w:rsidR="00DE2FA6" w:rsidRPr="00A02711" w14:paraId="24E6D7A4" w14:textId="77777777" w:rsidTr="00DE2FA6">
        <w:trPr>
          <w:trHeight w:val="55"/>
        </w:trPr>
        <w:tc>
          <w:tcPr>
            <w:tcW w:w="1838" w:type="dxa"/>
            <w:vMerge/>
            <w:vAlign w:val="center"/>
          </w:tcPr>
          <w:p w14:paraId="58026BE7" w14:textId="77777777" w:rsidR="00DE2FA6" w:rsidRPr="00A02711" w:rsidRDefault="00DE2FA6" w:rsidP="00DE2FA6">
            <w:pPr>
              <w:jc w:val="both"/>
              <w:rPr>
                <w:rFonts w:asciiTheme="minorBidi" w:hAnsiTheme="minorBidi"/>
                <w:sz w:val="16"/>
                <w:szCs w:val="16"/>
              </w:rPr>
            </w:pPr>
          </w:p>
        </w:tc>
        <w:tc>
          <w:tcPr>
            <w:tcW w:w="990" w:type="dxa"/>
            <w:vAlign w:val="center"/>
          </w:tcPr>
          <w:p w14:paraId="6FF2666A"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Longitude</w:t>
            </w:r>
          </w:p>
        </w:tc>
        <w:tc>
          <w:tcPr>
            <w:tcW w:w="995" w:type="dxa"/>
            <w:vAlign w:val="center"/>
          </w:tcPr>
          <w:p w14:paraId="414FE71F"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75.55001</w:t>
            </w:r>
          </w:p>
        </w:tc>
        <w:tc>
          <w:tcPr>
            <w:tcW w:w="6629" w:type="dxa"/>
            <w:vMerge/>
            <w:vAlign w:val="center"/>
          </w:tcPr>
          <w:p w14:paraId="3162586B" w14:textId="77777777" w:rsidR="00DE2FA6" w:rsidRPr="00A02711" w:rsidRDefault="00DE2FA6" w:rsidP="00DE2FA6">
            <w:pPr>
              <w:jc w:val="both"/>
              <w:rPr>
                <w:rFonts w:asciiTheme="minorBidi" w:hAnsiTheme="minorBidi"/>
                <w:sz w:val="16"/>
                <w:szCs w:val="16"/>
              </w:rPr>
            </w:pPr>
          </w:p>
        </w:tc>
      </w:tr>
      <w:tr w:rsidR="00DE2FA6" w:rsidRPr="00A02711" w14:paraId="55056055" w14:textId="77777777" w:rsidTr="00DE2FA6">
        <w:trPr>
          <w:trHeight w:val="55"/>
        </w:trPr>
        <w:tc>
          <w:tcPr>
            <w:tcW w:w="1838" w:type="dxa"/>
            <w:vMerge/>
            <w:vAlign w:val="center"/>
          </w:tcPr>
          <w:p w14:paraId="46EB6F17" w14:textId="77777777" w:rsidR="00DE2FA6" w:rsidRPr="00A02711" w:rsidRDefault="00DE2FA6" w:rsidP="00DE2FA6">
            <w:pPr>
              <w:jc w:val="both"/>
              <w:rPr>
                <w:rFonts w:asciiTheme="minorBidi" w:hAnsiTheme="minorBidi"/>
                <w:sz w:val="16"/>
                <w:szCs w:val="16"/>
              </w:rPr>
            </w:pPr>
          </w:p>
        </w:tc>
        <w:tc>
          <w:tcPr>
            <w:tcW w:w="990" w:type="dxa"/>
            <w:vAlign w:val="center"/>
          </w:tcPr>
          <w:p w14:paraId="5111AE41"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Altitude</w:t>
            </w:r>
          </w:p>
        </w:tc>
        <w:tc>
          <w:tcPr>
            <w:tcW w:w="995" w:type="dxa"/>
            <w:vAlign w:val="center"/>
          </w:tcPr>
          <w:p w14:paraId="2E56D8D8"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3313 m</w:t>
            </w:r>
          </w:p>
        </w:tc>
        <w:tc>
          <w:tcPr>
            <w:tcW w:w="6629" w:type="dxa"/>
            <w:vMerge/>
            <w:vAlign w:val="center"/>
          </w:tcPr>
          <w:p w14:paraId="54C99927" w14:textId="77777777" w:rsidR="00DE2FA6" w:rsidRPr="00A02711" w:rsidRDefault="00DE2FA6" w:rsidP="00DE2FA6">
            <w:pPr>
              <w:jc w:val="both"/>
              <w:rPr>
                <w:rFonts w:asciiTheme="minorBidi" w:hAnsiTheme="minorBidi"/>
                <w:sz w:val="16"/>
                <w:szCs w:val="16"/>
              </w:rPr>
            </w:pPr>
          </w:p>
        </w:tc>
      </w:tr>
      <w:tr w:rsidR="00DE2FA6" w:rsidRPr="00A02711" w14:paraId="61FAEE94" w14:textId="77777777" w:rsidTr="00DE2FA6">
        <w:trPr>
          <w:trHeight w:val="58"/>
        </w:trPr>
        <w:tc>
          <w:tcPr>
            <w:tcW w:w="1838" w:type="dxa"/>
            <w:vMerge w:val="restart"/>
            <w:vAlign w:val="center"/>
          </w:tcPr>
          <w:p w14:paraId="4A4D7DB0" w14:textId="77777777" w:rsidR="00DE2FA6" w:rsidRPr="00A02711" w:rsidRDefault="00DE2FA6" w:rsidP="00DE2FA6">
            <w:pPr>
              <w:jc w:val="both"/>
              <w:rPr>
                <w:rFonts w:asciiTheme="minorBidi" w:hAnsiTheme="minorBidi"/>
                <w:sz w:val="16"/>
                <w:szCs w:val="16"/>
              </w:rPr>
            </w:pPr>
            <w:proofErr w:type="spellStart"/>
            <w:r w:rsidRPr="00A02711">
              <w:rPr>
                <w:rFonts w:asciiTheme="minorBidi" w:hAnsiTheme="minorBidi"/>
                <w:sz w:val="16"/>
                <w:szCs w:val="16"/>
              </w:rPr>
              <w:t>Matayan</w:t>
            </w:r>
            <w:proofErr w:type="spellEnd"/>
            <w:r w:rsidRPr="00A02711">
              <w:rPr>
                <w:rFonts w:asciiTheme="minorBidi" w:hAnsiTheme="minorBidi"/>
                <w:sz w:val="16"/>
                <w:szCs w:val="16"/>
              </w:rPr>
              <w:t xml:space="preserve"> Village</w:t>
            </w:r>
          </w:p>
          <w:p w14:paraId="19DB967E"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(DR-2)</w:t>
            </w:r>
          </w:p>
          <w:p w14:paraId="1829132D" w14:textId="77777777" w:rsidR="00DE2FA6" w:rsidRPr="00A02711" w:rsidRDefault="00DE2FA6" w:rsidP="00DE2FA6">
            <w:pPr>
              <w:jc w:val="both"/>
              <w:rPr>
                <w:rFonts w:asciiTheme="minorBidi" w:hAnsiTheme="minorBidi"/>
                <w:sz w:val="16"/>
                <w:szCs w:val="16"/>
              </w:rPr>
            </w:pPr>
          </w:p>
        </w:tc>
        <w:tc>
          <w:tcPr>
            <w:tcW w:w="990" w:type="dxa"/>
            <w:vAlign w:val="center"/>
          </w:tcPr>
          <w:p w14:paraId="7AD1700C"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Latitude</w:t>
            </w:r>
          </w:p>
        </w:tc>
        <w:tc>
          <w:tcPr>
            <w:tcW w:w="995" w:type="dxa"/>
            <w:vAlign w:val="center"/>
          </w:tcPr>
          <w:p w14:paraId="4FC4803C"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34.38262</w:t>
            </w:r>
          </w:p>
        </w:tc>
        <w:tc>
          <w:tcPr>
            <w:tcW w:w="6629" w:type="dxa"/>
            <w:vMerge w:val="restart"/>
            <w:vAlign w:val="center"/>
          </w:tcPr>
          <w:p w14:paraId="40784BA6"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Marks the beginning of human habitation in the vicinity of the river, characterised by highly dispersed settlements and sparse vegetation. Small tributaries further feed the river.</w:t>
            </w:r>
          </w:p>
        </w:tc>
      </w:tr>
      <w:tr w:rsidR="00DE2FA6" w:rsidRPr="00A02711" w14:paraId="3D81CE52" w14:textId="77777777" w:rsidTr="00DE2FA6">
        <w:trPr>
          <w:trHeight w:val="152"/>
        </w:trPr>
        <w:tc>
          <w:tcPr>
            <w:tcW w:w="1838" w:type="dxa"/>
            <w:vMerge/>
            <w:vAlign w:val="center"/>
          </w:tcPr>
          <w:p w14:paraId="729F8458" w14:textId="77777777" w:rsidR="00DE2FA6" w:rsidRPr="00A02711" w:rsidRDefault="00DE2FA6" w:rsidP="00DE2FA6">
            <w:pPr>
              <w:jc w:val="both"/>
              <w:rPr>
                <w:rFonts w:asciiTheme="minorBidi" w:hAnsiTheme="minorBidi"/>
                <w:sz w:val="16"/>
                <w:szCs w:val="16"/>
              </w:rPr>
            </w:pPr>
          </w:p>
        </w:tc>
        <w:tc>
          <w:tcPr>
            <w:tcW w:w="990" w:type="dxa"/>
            <w:vAlign w:val="center"/>
          </w:tcPr>
          <w:p w14:paraId="6CA52957"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Longitude</w:t>
            </w:r>
          </w:p>
        </w:tc>
        <w:tc>
          <w:tcPr>
            <w:tcW w:w="995" w:type="dxa"/>
            <w:vAlign w:val="center"/>
          </w:tcPr>
          <w:p w14:paraId="172FD4BC"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75.59007</w:t>
            </w:r>
          </w:p>
        </w:tc>
        <w:tc>
          <w:tcPr>
            <w:tcW w:w="6629" w:type="dxa"/>
            <w:vMerge/>
            <w:vAlign w:val="center"/>
          </w:tcPr>
          <w:p w14:paraId="2100F9F4" w14:textId="77777777" w:rsidR="00DE2FA6" w:rsidRPr="00A02711" w:rsidRDefault="00DE2FA6" w:rsidP="00DE2FA6">
            <w:pPr>
              <w:jc w:val="both"/>
              <w:rPr>
                <w:rFonts w:asciiTheme="minorBidi" w:hAnsiTheme="minorBidi"/>
                <w:sz w:val="16"/>
                <w:szCs w:val="16"/>
              </w:rPr>
            </w:pPr>
          </w:p>
        </w:tc>
      </w:tr>
      <w:tr w:rsidR="00DE2FA6" w:rsidRPr="00A02711" w14:paraId="0BD65FCD" w14:textId="77777777" w:rsidTr="00DE2FA6">
        <w:trPr>
          <w:trHeight w:val="58"/>
        </w:trPr>
        <w:tc>
          <w:tcPr>
            <w:tcW w:w="1838" w:type="dxa"/>
            <w:vMerge/>
            <w:vAlign w:val="center"/>
          </w:tcPr>
          <w:p w14:paraId="37D500F9" w14:textId="77777777" w:rsidR="00DE2FA6" w:rsidRPr="00A02711" w:rsidRDefault="00DE2FA6" w:rsidP="00DE2FA6">
            <w:pPr>
              <w:jc w:val="both"/>
              <w:rPr>
                <w:rFonts w:asciiTheme="minorBidi" w:hAnsiTheme="minorBidi"/>
                <w:sz w:val="16"/>
                <w:szCs w:val="16"/>
              </w:rPr>
            </w:pPr>
          </w:p>
        </w:tc>
        <w:tc>
          <w:tcPr>
            <w:tcW w:w="990" w:type="dxa"/>
            <w:vAlign w:val="center"/>
          </w:tcPr>
          <w:p w14:paraId="01931A7E"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Altitude</w:t>
            </w:r>
          </w:p>
        </w:tc>
        <w:tc>
          <w:tcPr>
            <w:tcW w:w="995" w:type="dxa"/>
            <w:vAlign w:val="center"/>
          </w:tcPr>
          <w:p w14:paraId="036BF293"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3238 m</w:t>
            </w:r>
          </w:p>
        </w:tc>
        <w:tc>
          <w:tcPr>
            <w:tcW w:w="6629" w:type="dxa"/>
            <w:vMerge/>
            <w:vAlign w:val="center"/>
          </w:tcPr>
          <w:p w14:paraId="5F45979E" w14:textId="77777777" w:rsidR="00DE2FA6" w:rsidRPr="00A02711" w:rsidRDefault="00DE2FA6" w:rsidP="00DE2FA6">
            <w:pPr>
              <w:jc w:val="both"/>
              <w:rPr>
                <w:rFonts w:asciiTheme="minorBidi" w:hAnsiTheme="minorBidi"/>
                <w:sz w:val="16"/>
                <w:szCs w:val="16"/>
              </w:rPr>
            </w:pPr>
          </w:p>
        </w:tc>
      </w:tr>
      <w:tr w:rsidR="00DE2FA6" w:rsidRPr="00A02711" w14:paraId="0EE586B1" w14:textId="77777777" w:rsidTr="00DE2FA6">
        <w:trPr>
          <w:trHeight w:val="187"/>
        </w:trPr>
        <w:tc>
          <w:tcPr>
            <w:tcW w:w="1838" w:type="dxa"/>
            <w:vMerge w:val="restart"/>
            <w:vAlign w:val="center"/>
          </w:tcPr>
          <w:p w14:paraId="3A25F611"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Drass Town</w:t>
            </w:r>
          </w:p>
          <w:p w14:paraId="5D5DC5A9"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(DR-3)</w:t>
            </w:r>
          </w:p>
          <w:p w14:paraId="7174DC47" w14:textId="77777777" w:rsidR="00DE2FA6" w:rsidRPr="00A02711" w:rsidRDefault="00DE2FA6" w:rsidP="00DE2FA6">
            <w:pPr>
              <w:jc w:val="both"/>
              <w:rPr>
                <w:rFonts w:asciiTheme="minorBidi" w:hAnsiTheme="minorBidi"/>
                <w:sz w:val="16"/>
                <w:szCs w:val="16"/>
              </w:rPr>
            </w:pPr>
          </w:p>
        </w:tc>
        <w:tc>
          <w:tcPr>
            <w:tcW w:w="990" w:type="dxa"/>
            <w:vAlign w:val="center"/>
          </w:tcPr>
          <w:p w14:paraId="2B33819C"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Latitude</w:t>
            </w:r>
          </w:p>
        </w:tc>
        <w:tc>
          <w:tcPr>
            <w:tcW w:w="995" w:type="dxa"/>
            <w:vAlign w:val="center"/>
          </w:tcPr>
          <w:p w14:paraId="72001436"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34.43025</w:t>
            </w:r>
          </w:p>
        </w:tc>
        <w:tc>
          <w:tcPr>
            <w:tcW w:w="6629" w:type="dxa"/>
            <w:vMerge w:val="restart"/>
            <w:vAlign w:val="center"/>
          </w:tcPr>
          <w:p w14:paraId="081453F5"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 xml:space="preserve">The most populated area in the region serves as the sub-divisional headquarters of the Drass Subdivision.  Infrastructural facilities like offices, war memorial, hotels, guest houses, and tourism facilitations are prominent in this region. </w:t>
            </w:r>
          </w:p>
        </w:tc>
      </w:tr>
      <w:tr w:rsidR="00DE2FA6" w:rsidRPr="00A02711" w14:paraId="21CE555A" w14:textId="77777777" w:rsidTr="00DE2FA6">
        <w:trPr>
          <w:trHeight w:val="172"/>
        </w:trPr>
        <w:tc>
          <w:tcPr>
            <w:tcW w:w="1838" w:type="dxa"/>
            <w:vMerge/>
            <w:vAlign w:val="center"/>
          </w:tcPr>
          <w:p w14:paraId="166CFFFB" w14:textId="77777777" w:rsidR="00DE2FA6" w:rsidRPr="00A02711" w:rsidRDefault="00DE2FA6" w:rsidP="00DE2FA6">
            <w:pPr>
              <w:jc w:val="both"/>
              <w:rPr>
                <w:rFonts w:asciiTheme="minorBidi" w:hAnsiTheme="minorBidi"/>
                <w:sz w:val="16"/>
                <w:szCs w:val="16"/>
              </w:rPr>
            </w:pPr>
          </w:p>
        </w:tc>
        <w:tc>
          <w:tcPr>
            <w:tcW w:w="990" w:type="dxa"/>
            <w:vAlign w:val="center"/>
          </w:tcPr>
          <w:p w14:paraId="6EA50531"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Longitude</w:t>
            </w:r>
          </w:p>
        </w:tc>
        <w:tc>
          <w:tcPr>
            <w:tcW w:w="995" w:type="dxa"/>
            <w:vAlign w:val="center"/>
          </w:tcPr>
          <w:p w14:paraId="4BC50DCE"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75.74066</w:t>
            </w:r>
          </w:p>
        </w:tc>
        <w:tc>
          <w:tcPr>
            <w:tcW w:w="6629" w:type="dxa"/>
            <w:vMerge/>
            <w:vAlign w:val="center"/>
          </w:tcPr>
          <w:p w14:paraId="61AF6BFB" w14:textId="77777777" w:rsidR="00DE2FA6" w:rsidRPr="00A02711" w:rsidRDefault="00DE2FA6" w:rsidP="00DE2FA6">
            <w:pPr>
              <w:jc w:val="both"/>
              <w:rPr>
                <w:rFonts w:asciiTheme="minorBidi" w:hAnsiTheme="minorBidi"/>
                <w:sz w:val="16"/>
                <w:szCs w:val="16"/>
              </w:rPr>
            </w:pPr>
          </w:p>
        </w:tc>
      </w:tr>
      <w:tr w:rsidR="00DE2FA6" w:rsidRPr="00A02711" w14:paraId="2309A667" w14:textId="77777777" w:rsidTr="00DE2FA6">
        <w:trPr>
          <w:trHeight w:val="187"/>
        </w:trPr>
        <w:tc>
          <w:tcPr>
            <w:tcW w:w="1838" w:type="dxa"/>
            <w:vMerge/>
            <w:vAlign w:val="center"/>
          </w:tcPr>
          <w:p w14:paraId="03AD1705" w14:textId="77777777" w:rsidR="00DE2FA6" w:rsidRPr="00A02711" w:rsidRDefault="00DE2FA6" w:rsidP="00DE2FA6">
            <w:pPr>
              <w:jc w:val="both"/>
              <w:rPr>
                <w:rFonts w:asciiTheme="minorBidi" w:hAnsiTheme="minorBidi"/>
                <w:sz w:val="16"/>
                <w:szCs w:val="16"/>
              </w:rPr>
            </w:pPr>
          </w:p>
        </w:tc>
        <w:tc>
          <w:tcPr>
            <w:tcW w:w="990" w:type="dxa"/>
            <w:vAlign w:val="center"/>
          </w:tcPr>
          <w:p w14:paraId="2258CC92"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Altitude</w:t>
            </w:r>
          </w:p>
        </w:tc>
        <w:tc>
          <w:tcPr>
            <w:tcW w:w="995" w:type="dxa"/>
            <w:vAlign w:val="center"/>
          </w:tcPr>
          <w:p w14:paraId="43ACC7E4"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3094 m</w:t>
            </w:r>
          </w:p>
        </w:tc>
        <w:tc>
          <w:tcPr>
            <w:tcW w:w="6629" w:type="dxa"/>
            <w:vMerge/>
            <w:vAlign w:val="center"/>
          </w:tcPr>
          <w:p w14:paraId="567D6146" w14:textId="77777777" w:rsidR="00DE2FA6" w:rsidRPr="00A02711" w:rsidRDefault="00DE2FA6" w:rsidP="00DE2FA6">
            <w:pPr>
              <w:jc w:val="both"/>
              <w:rPr>
                <w:rFonts w:asciiTheme="minorBidi" w:hAnsiTheme="minorBidi"/>
                <w:sz w:val="16"/>
                <w:szCs w:val="16"/>
              </w:rPr>
            </w:pPr>
          </w:p>
        </w:tc>
      </w:tr>
      <w:tr w:rsidR="00DE2FA6" w:rsidRPr="00A02711" w14:paraId="3DB1385D" w14:textId="77777777" w:rsidTr="00DE2FA6">
        <w:trPr>
          <w:trHeight w:val="259"/>
        </w:trPr>
        <w:tc>
          <w:tcPr>
            <w:tcW w:w="1838" w:type="dxa"/>
            <w:vMerge w:val="restart"/>
            <w:vAlign w:val="center"/>
          </w:tcPr>
          <w:p w14:paraId="44418D71"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Dandal Village</w:t>
            </w:r>
          </w:p>
          <w:p w14:paraId="21DC0198"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(DR-4)</w:t>
            </w:r>
          </w:p>
        </w:tc>
        <w:tc>
          <w:tcPr>
            <w:tcW w:w="990" w:type="dxa"/>
            <w:vAlign w:val="center"/>
          </w:tcPr>
          <w:p w14:paraId="1035DA05"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Latitude</w:t>
            </w:r>
          </w:p>
        </w:tc>
        <w:tc>
          <w:tcPr>
            <w:tcW w:w="995" w:type="dxa"/>
            <w:vAlign w:val="center"/>
          </w:tcPr>
          <w:p w14:paraId="7CF9B553"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34.41506</w:t>
            </w:r>
          </w:p>
        </w:tc>
        <w:tc>
          <w:tcPr>
            <w:tcW w:w="6629" w:type="dxa"/>
            <w:vMerge w:val="restart"/>
            <w:vAlign w:val="center"/>
          </w:tcPr>
          <w:p w14:paraId="12AE243F"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Located next to Drass town and is characterised by highly dispersed settlements and sparse vegetation.</w:t>
            </w:r>
          </w:p>
        </w:tc>
      </w:tr>
      <w:tr w:rsidR="00DE2FA6" w:rsidRPr="00A02711" w14:paraId="0C076F1B" w14:textId="77777777" w:rsidTr="00DE2FA6">
        <w:trPr>
          <w:trHeight w:val="269"/>
        </w:trPr>
        <w:tc>
          <w:tcPr>
            <w:tcW w:w="1838" w:type="dxa"/>
            <w:vMerge/>
            <w:vAlign w:val="center"/>
          </w:tcPr>
          <w:p w14:paraId="52CC1975" w14:textId="77777777" w:rsidR="00DE2FA6" w:rsidRPr="00A02711" w:rsidRDefault="00DE2FA6" w:rsidP="00DE2FA6">
            <w:pPr>
              <w:jc w:val="both"/>
              <w:rPr>
                <w:rFonts w:asciiTheme="minorBidi" w:hAnsiTheme="minorBidi"/>
                <w:sz w:val="16"/>
                <w:szCs w:val="16"/>
              </w:rPr>
            </w:pPr>
          </w:p>
        </w:tc>
        <w:tc>
          <w:tcPr>
            <w:tcW w:w="990" w:type="dxa"/>
            <w:vAlign w:val="center"/>
          </w:tcPr>
          <w:p w14:paraId="7AF976E4"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Longitude</w:t>
            </w:r>
          </w:p>
        </w:tc>
        <w:tc>
          <w:tcPr>
            <w:tcW w:w="995" w:type="dxa"/>
            <w:vAlign w:val="center"/>
          </w:tcPr>
          <w:p w14:paraId="4F52FD6A"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75.86024</w:t>
            </w:r>
          </w:p>
        </w:tc>
        <w:tc>
          <w:tcPr>
            <w:tcW w:w="6629" w:type="dxa"/>
            <w:vMerge/>
            <w:vAlign w:val="center"/>
          </w:tcPr>
          <w:p w14:paraId="3DD0BDA0" w14:textId="77777777" w:rsidR="00DE2FA6" w:rsidRPr="00A02711" w:rsidRDefault="00DE2FA6" w:rsidP="00DE2FA6">
            <w:pPr>
              <w:jc w:val="both"/>
              <w:rPr>
                <w:rFonts w:asciiTheme="minorBidi" w:hAnsiTheme="minorBidi"/>
                <w:sz w:val="16"/>
                <w:szCs w:val="16"/>
              </w:rPr>
            </w:pPr>
          </w:p>
        </w:tc>
      </w:tr>
      <w:tr w:rsidR="00DE2FA6" w:rsidRPr="00A02711" w14:paraId="550BAFFB" w14:textId="77777777" w:rsidTr="00DE2FA6">
        <w:trPr>
          <w:trHeight w:val="58"/>
        </w:trPr>
        <w:tc>
          <w:tcPr>
            <w:tcW w:w="1838" w:type="dxa"/>
            <w:vMerge/>
            <w:vAlign w:val="center"/>
          </w:tcPr>
          <w:p w14:paraId="143E1955" w14:textId="77777777" w:rsidR="00DE2FA6" w:rsidRPr="00A02711" w:rsidRDefault="00DE2FA6" w:rsidP="00DE2FA6">
            <w:pPr>
              <w:jc w:val="both"/>
              <w:rPr>
                <w:rFonts w:asciiTheme="minorBidi" w:hAnsiTheme="minorBidi"/>
                <w:sz w:val="16"/>
                <w:szCs w:val="16"/>
              </w:rPr>
            </w:pPr>
          </w:p>
        </w:tc>
        <w:tc>
          <w:tcPr>
            <w:tcW w:w="990" w:type="dxa"/>
            <w:vAlign w:val="center"/>
          </w:tcPr>
          <w:p w14:paraId="2D5E8009"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Altitude</w:t>
            </w:r>
          </w:p>
        </w:tc>
        <w:tc>
          <w:tcPr>
            <w:tcW w:w="995" w:type="dxa"/>
            <w:vAlign w:val="center"/>
          </w:tcPr>
          <w:p w14:paraId="1D62AEEA"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3026 m</w:t>
            </w:r>
          </w:p>
        </w:tc>
        <w:tc>
          <w:tcPr>
            <w:tcW w:w="6629" w:type="dxa"/>
            <w:vMerge/>
            <w:vAlign w:val="center"/>
          </w:tcPr>
          <w:p w14:paraId="6DDD1215" w14:textId="77777777" w:rsidR="00DE2FA6" w:rsidRPr="00A02711" w:rsidRDefault="00DE2FA6" w:rsidP="00DE2FA6">
            <w:pPr>
              <w:jc w:val="both"/>
              <w:rPr>
                <w:rFonts w:asciiTheme="minorBidi" w:hAnsiTheme="minorBidi"/>
                <w:sz w:val="16"/>
                <w:szCs w:val="16"/>
              </w:rPr>
            </w:pPr>
          </w:p>
        </w:tc>
      </w:tr>
      <w:tr w:rsidR="00DE2FA6" w:rsidRPr="00A02711" w14:paraId="3B565106" w14:textId="77777777" w:rsidTr="00DE2FA6">
        <w:trPr>
          <w:trHeight w:val="99"/>
        </w:trPr>
        <w:tc>
          <w:tcPr>
            <w:tcW w:w="1838" w:type="dxa"/>
            <w:vMerge w:val="restart"/>
            <w:vAlign w:val="center"/>
          </w:tcPr>
          <w:p w14:paraId="3C6B0FDE" w14:textId="77777777" w:rsidR="00DE2FA6" w:rsidRPr="00A02711" w:rsidRDefault="00DE2FA6" w:rsidP="00DE2FA6">
            <w:pPr>
              <w:jc w:val="both"/>
              <w:rPr>
                <w:rFonts w:asciiTheme="minorBidi" w:hAnsiTheme="minorBidi"/>
                <w:sz w:val="16"/>
                <w:szCs w:val="16"/>
              </w:rPr>
            </w:pPr>
            <w:proofErr w:type="spellStart"/>
            <w:r w:rsidRPr="00A02711">
              <w:rPr>
                <w:rFonts w:asciiTheme="minorBidi" w:hAnsiTheme="minorBidi"/>
                <w:sz w:val="16"/>
                <w:szCs w:val="16"/>
              </w:rPr>
              <w:t>Kharboo</w:t>
            </w:r>
            <w:proofErr w:type="spellEnd"/>
            <w:r w:rsidRPr="00A02711">
              <w:rPr>
                <w:rFonts w:asciiTheme="minorBidi" w:hAnsiTheme="minorBidi"/>
                <w:sz w:val="16"/>
                <w:szCs w:val="16"/>
              </w:rPr>
              <w:t xml:space="preserve"> Village</w:t>
            </w:r>
          </w:p>
          <w:p w14:paraId="724C8FC3"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(DR-5)</w:t>
            </w:r>
          </w:p>
        </w:tc>
        <w:tc>
          <w:tcPr>
            <w:tcW w:w="990" w:type="dxa"/>
            <w:vAlign w:val="center"/>
          </w:tcPr>
          <w:p w14:paraId="7E341D0E"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Latitude</w:t>
            </w:r>
          </w:p>
        </w:tc>
        <w:tc>
          <w:tcPr>
            <w:tcW w:w="995" w:type="dxa"/>
            <w:vAlign w:val="center"/>
          </w:tcPr>
          <w:p w14:paraId="304B8D9C"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34.48761</w:t>
            </w:r>
          </w:p>
        </w:tc>
        <w:tc>
          <w:tcPr>
            <w:tcW w:w="6629" w:type="dxa"/>
            <w:vMerge w:val="restart"/>
            <w:vAlign w:val="center"/>
          </w:tcPr>
          <w:p w14:paraId="5D846652"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Just before the confluence of Shingo River, the river flows through deep gorges between towering mountains, exhibiting high velocity and discharge rates. Human settlement and agricultural activity are minimum due to the rugged and inaccessible terrain.</w:t>
            </w:r>
          </w:p>
        </w:tc>
      </w:tr>
      <w:tr w:rsidR="00DE2FA6" w:rsidRPr="00A02711" w14:paraId="3467A4DB" w14:textId="77777777" w:rsidTr="00DE2FA6">
        <w:trPr>
          <w:trHeight w:val="339"/>
        </w:trPr>
        <w:tc>
          <w:tcPr>
            <w:tcW w:w="1838" w:type="dxa"/>
            <w:vMerge/>
            <w:vAlign w:val="center"/>
          </w:tcPr>
          <w:p w14:paraId="796F28F8" w14:textId="77777777" w:rsidR="00DE2FA6" w:rsidRPr="00A02711" w:rsidRDefault="00DE2FA6" w:rsidP="00DE2FA6">
            <w:pPr>
              <w:jc w:val="both"/>
              <w:rPr>
                <w:rFonts w:asciiTheme="minorBidi" w:hAnsiTheme="minorBidi"/>
                <w:sz w:val="16"/>
                <w:szCs w:val="16"/>
              </w:rPr>
            </w:pPr>
          </w:p>
        </w:tc>
        <w:tc>
          <w:tcPr>
            <w:tcW w:w="990" w:type="dxa"/>
            <w:vAlign w:val="center"/>
          </w:tcPr>
          <w:p w14:paraId="3883B179"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Longitude</w:t>
            </w:r>
          </w:p>
        </w:tc>
        <w:tc>
          <w:tcPr>
            <w:tcW w:w="995" w:type="dxa"/>
            <w:vAlign w:val="center"/>
          </w:tcPr>
          <w:p w14:paraId="2F3C40B5"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75.93951</w:t>
            </w:r>
          </w:p>
        </w:tc>
        <w:tc>
          <w:tcPr>
            <w:tcW w:w="6629" w:type="dxa"/>
            <w:vMerge/>
            <w:vAlign w:val="center"/>
          </w:tcPr>
          <w:p w14:paraId="358B19C0" w14:textId="77777777" w:rsidR="00DE2FA6" w:rsidRPr="00A02711" w:rsidRDefault="00DE2FA6" w:rsidP="00DE2FA6">
            <w:pPr>
              <w:jc w:val="both"/>
              <w:rPr>
                <w:rFonts w:asciiTheme="minorBidi" w:hAnsiTheme="minorBidi"/>
                <w:sz w:val="16"/>
                <w:szCs w:val="16"/>
              </w:rPr>
            </w:pPr>
          </w:p>
        </w:tc>
      </w:tr>
      <w:tr w:rsidR="00DE2FA6" w:rsidRPr="00A02711" w14:paraId="3BBC2672" w14:textId="77777777" w:rsidTr="00DE2FA6">
        <w:trPr>
          <w:trHeight w:val="58"/>
        </w:trPr>
        <w:tc>
          <w:tcPr>
            <w:tcW w:w="1838" w:type="dxa"/>
            <w:vMerge/>
            <w:vAlign w:val="center"/>
          </w:tcPr>
          <w:p w14:paraId="072C31B1" w14:textId="77777777" w:rsidR="00DE2FA6" w:rsidRPr="00A02711" w:rsidRDefault="00DE2FA6" w:rsidP="00DE2FA6">
            <w:pPr>
              <w:jc w:val="both"/>
              <w:rPr>
                <w:rFonts w:asciiTheme="minorBidi" w:hAnsiTheme="minorBidi"/>
                <w:sz w:val="16"/>
                <w:szCs w:val="16"/>
              </w:rPr>
            </w:pPr>
          </w:p>
        </w:tc>
        <w:tc>
          <w:tcPr>
            <w:tcW w:w="990" w:type="dxa"/>
            <w:vAlign w:val="center"/>
          </w:tcPr>
          <w:p w14:paraId="457AF565"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Altitude</w:t>
            </w:r>
          </w:p>
        </w:tc>
        <w:tc>
          <w:tcPr>
            <w:tcW w:w="995" w:type="dxa"/>
            <w:vAlign w:val="center"/>
          </w:tcPr>
          <w:p w14:paraId="1924EFF9"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2907 m</w:t>
            </w:r>
          </w:p>
        </w:tc>
        <w:tc>
          <w:tcPr>
            <w:tcW w:w="6629" w:type="dxa"/>
            <w:vMerge/>
            <w:vAlign w:val="center"/>
          </w:tcPr>
          <w:p w14:paraId="3916D37D" w14:textId="77777777" w:rsidR="00DE2FA6" w:rsidRPr="00A02711" w:rsidRDefault="00DE2FA6" w:rsidP="00DE2FA6">
            <w:pPr>
              <w:jc w:val="both"/>
              <w:rPr>
                <w:rFonts w:asciiTheme="minorBidi" w:hAnsiTheme="minorBidi"/>
                <w:sz w:val="16"/>
                <w:szCs w:val="16"/>
              </w:rPr>
            </w:pPr>
          </w:p>
        </w:tc>
      </w:tr>
      <w:tr w:rsidR="00DE2FA6" w:rsidRPr="00A02711" w14:paraId="56D27D8C" w14:textId="77777777" w:rsidTr="00DE2FA6">
        <w:trPr>
          <w:trHeight w:val="64"/>
        </w:trPr>
        <w:tc>
          <w:tcPr>
            <w:tcW w:w="1838" w:type="dxa"/>
            <w:vMerge w:val="restart"/>
            <w:vAlign w:val="center"/>
          </w:tcPr>
          <w:p w14:paraId="3C1BBA8E" w14:textId="77777777" w:rsidR="00DE2FA6" w:rsidRPr="00A02711" w:rsidRDefault="00DE2FA6" w:rsidP="00DE2FA6">
            <w:pPr>
              <w:jc w:val="both"/>
              <w:rPr>
                <w:rFonts w:asciiTheme="minorBidi" w:hAnsiTheme="minorBidi"/>
                <w:sz w:val="16"/>
                <w:szCs w:val="16"/>
              </w:rPr>
            </w:pPr>
            <w:proofErr w:type="spellStart"/>
            <w:r w:rsidRPr="00A02711">
              <w:rPr>
                <w:rFonts w:asciiTheme="minorBidi" w:hAnsiTheme="minorBidi"/>
                <w:sz w:val="16"/>
                <w:szCs w:val="16"/>
              </w:rPr>
              <w:t>Chanigond</w:t>
            </w:r>
            <w:proofErr w:type="spellEnd"/>
            <w:r w:rsidRPr="00A02711">
              <w:rPr>
                <w:rFonts w:asciiTheme="minorBidi" w:hAnsiTheme="minorBidi"/>
                <w:sz w:val="16"/>
                <w:szCs w:val="16"/>
              </w:rPr>
              <w:t xml:space="preserve"> Village</w:t>
            </w:r>
          </w:p>
          <w:p w14:paraId="0ED0BCF2"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(ZR-6)</w:t>
            </w:r>
          </w:p>
        </w:tc>
        <w:tc>
          <w:tcPr>
            <w:tcW w:w="990" w:type="dxa"/>
            <w:vAlign w:val="center"/>
          </w:tcPr>
          <w:p w14:paraId="78ED3DD8"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Latitude</w:t>
            </w:r>
          </w:p>
        </w:tc>
        <w:tc>
          <w:tcPr>
            <w:tcW w:w="995" w:type="dxa"/>
            <w:vAlign w:val="center"/>
          </w:tcPr>
          <w:p w14:paraId="406A6E92"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34.60231</w:t>
            </w:r>
          </w:p>
        </w:tc>
        <w:tc>
          <w:tcPr>
            <w:tcW w:w="6629" w:type="dxa"/>
            <w:vMerge w:val="restart"/>
            <w:vAlign w:val="center"/>
          </w:tcPr>
          <w:p w14:paraId="4E20AE7B"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 xml:space="preserve">Characterised by the confluence of the Drass River with the Shingo River before its diversion toward Pakistan. </w:t>
            </w:r>
          </w:p>
        </w:tc>
      </w:tr>
      <w:tr w:rsidR="00DE2FA6" w:rsidRPr="00A02711" w14:paraId="2B081947" w14:textId="77777777" w:rsidTr="00DE2FA6">
        <w:trPr>
          <w:trHeight w:val="58"/>
        </w:trPr>
        <w:tc>
          <w:tcPr>
            <w:tcW w:w="1838" w:type="dxa"/>
            <w:vMerge/>
            <w:vAlign w:val="center"/>
          </w:tcPr>
          <w:p w14:paraId="64274E08" w14:textId="77777777" w:rsidR="00DE2FA6" w:rsidRPr="00A02711" w:rsidRDefault="00DE2FA6" w:rsidP="00DE2FA6">
            <w:pPr>
              <w:jc w:val="both"/>
              <w:rPr>
                <w:rFonts w:asciiTheme="minorBidi" w:hAnsiTheme="minorBidi"/>
                <w:sz w:val="16"/>
                <w:szCs w:val="16"/>
              </w:rPr>
            </w:pPr>
          </w:p>
        </w:tc>
        <w:tc>
          <w:tcPr>
            <w:tcW w:w="990" w:type="dxa"/>
            <w:vAlign w:val="center"/>
          </w:tcPr>
          <w:p w14:paraId="52E97181"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Longitude</w:t>
            </w:r>
          </w:p>
        </w:tc>
        <w:tc>
          <w:tcPr>
            <w:tcW w:w="995" w:type="dxa"/>
            <w:vAlign w:val="center"/>
          </w:tcPr>
          <w:p w14:paraId="60B45194"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76.05156</w:t>
            </w:r>
          </w:p>
        </w:tc>
        <w:tc>
          <w:tcPr>
            <w:tcW w:w="6629" w:type="dxa"/>
            <w:vMerge/>
            <w:vAlign w:val="center"/>
          </w:tcPr>
          <w:p w14:paraId="00AA944E" w14:textId="77777777" w:rsidR="00DE2FA6" w:rsidRPr="00A02711" w:rsidRDefault="00DE2FA6" w:rsidP="00DE2FA6">
            <w:pPr>
              <w:jc w:val="both"/>
              <w:rPr>
                <w:rFonts w:asciiTheme="minorBidi" w:hAnsiTheme="minorBidi"/>
                <w:sz w:val="16"/>
                <w:szCs w:val="16"/>
              </w:rPr>
            </w:pPr>
          </w:p>
        </w:tc>
      </w:tr>
      <w:tr w:rsidR="00DE2FA6" w:rsidRPr="00A02711" w14:paraId="12B292AE" w14:textId="77777777" w:rsidTr="00DE2FA6">
        <w:trPr>
          <w:trHeight w:val="174"/>
        </w:trPr>
        <w:tc>
          <w:tcPr>
            <w:tcW w:w="1838" w:type="dxa"/>
            <w:vMerge/>
            <w:vAlign w:val="center"/>
          </w:tcPr>
          <w:p w14:paraId="70BE8152" w14:textId="77777777" w:rsidR="00DE2FA6" w:rsidRPr="00A02711" w:rsidRDefault="00DE2FA6" w:rsidP="00DE2FA6">
            <w:pPr>
              <w:jc w:val="both"/>
              <w:rPr>
                <w:rFonts w:asciiTheme="minorBidi" w:hAnsiTheme="minorBidi"/>
                <w:sz w:val="16"/>
                <w:szCs w:val="16"/>
              </w:rPr>
            </w:pPr>
          </w:p>
        </w:tc>
        <w:tc>
          <w:tcPr>
            <w:tcW w:w="990" w:type="dxa"/>
            <w:vAlign w:val="center"/>
          </w:tcPr>
          <w:p w14:paraId="57742BE6" w14:textId="77777777" w:rsidR="00DE2FA6" w:rsidRPr="00A02711" w:rsidRDefault="00DE2FA6" w:rsidP="00DE2FA6">
            <w:pPr>
              <w:jc w:val="both"/>
              <w:rPr>
                <w:rFonts w:asciiTheme="minorBidi" w:hAnsiTheme="minorBidi"/>
                <w:sz w:val="16"/>
                <w:szCs w:val="16"/>
              </w:rPr>
            </w:pPr>
            <w:r w:rsidRPr="00A02711">
              <w:rPr>
                <w:rFonts w:asciiTheme="minorBidi" w:hAnsiTheme="minorBidi"/>
                <w:sz w:val="16"/>
                <w:szCs w:val="16"/>
              </w:rPr>
              <w:t>Altitude</w:t>
            </w:r>
          </w:p>
        </w:tc>
        <w:tc>
          <w:tcPr>
            <w:tcW w:w="995" w:type="dxa"/>
            <w:vAlign w:val="center"/>
          </w:tcPr>
          <w:p w14:paraId="1EC4F797" w14:textId="77777777" w:rsidR="00DE2FA6" w:rsidRPr="00A02711" w:rsidRDefault="00DE2FA6" w:rsidP="00DE2FA6">
            <w:pPr>
              <w:pStyle w:val="NoSpacing"/>
              <w:jc w:val="both"/>
              <w:rPr>
                <w:rFonts w:asciiTheme="minorBidi" w:hAnsiTheme="minorBidi"/>
                <w:sz w:val="16"/>
                <w:szCs w:val="16"/>
              </w:rPr>
            </w:pPr>
            <w:r w:rsidRPr="00A02711">
              <w:rPr>
                <w:rFonts w:asciiTheme="minorBidi" w:hAnsiTheme="minorBidi"/>
                <w:color w:val="000000"/>
                <w:sz w:val="16"/>
                <w:szCs w:val="16"/>
              </w:rPr>
              <w:t>2681 m</w:t>
            </w:r>
          </w:p>
        </w:tc>
        <w:tc>
          <w:tcPr>
            <w:tcW w:w="6629" w:type="dxa"/>
            <w:vMerge/>
            <w:vAlign w:val="center"/>
          </w:tcPr>
          <w:p w14:paraId="055B17F4" w14:textId="77777777" w:rsidR="00DE2FA6" w:rsidRPr="00A02711" w:rsidRDefault="00DE2FA6" w:rsidP="00DE2FA6">
            <w:pPr>
              <w:jc w:val="both"/>
              <w:rPr>
                <w:rFonts w:asciiTheme="minorBidi" w:hAnsiTheme="minorBidi"/>
                <w:sz w:val="16"/>
                <w:szCs w:val="16"/>
              </w:rPr>
            </w:pPr>
          </w:p>
        </w:tc>
      </w:tr>
    </w:tbl>
    <w:p w14:paraId="1537258A" w14:textId="563563A8" w:rsidR="0094485F" w:rsidRPr="00DE2FA6" w:rsidRDefault="00690FEA" w:rsidP="00DE2FA6">
      <w:pPr>
        <w:pStyle w:val="Caption"/>
        <w:jc w:val="both"/>
        <w:rPr>
          <w:rFonts w:asciiTheme="minorBidi" w:eastAsia="Times New Roman" w:hAnsiTheme="minorBidi"/>
          <w:i w:val="0"/>
          <w:iCs w:val="0"/>
          <w:kern w:val="0"/>
          <w:sz w:val="24"/>
          <w:szCs w:val="24"/>
          <w:lang w:eastAsia="en-IN"/>
          <w14:ligatures w14:val="none"/>
        </w:rPr>
      </w:pPr>
      <w:r w:rsidRPr="00DE2FA6">
        <w:rPr>
          <w:rFonts w:asciiTheme="minorBidi" w:eastAsia="Times New Roman" w:hAnsiTheme="minorBidi"/>
          <w:i w:val="0"/>
          <w:iCs w:val="0"/>
          <w:kern w:val="0"/>
          <w:sz w:val="24"/>
          <w:szCs w:val="24"/>
          <w:lang w:eastAsia="en-IN"/>
          <w14:ligatures w14:val="none"/>
        </w:rPr>
        <w:t xml:space="preserve">The samples were </w:t>
      </w:r>
      <w:commentRangeStart w:id="12"/>
      <w:r w:rsidR="00C27A99" w:rsidRPr="00DE2FA6">
        <w:rPr>
          <w:rFonts w:asciiTheme="minorBidi" w:eastAsia="Times New Roman" w:hAnsiTheme="minorBidi"/>
          <w:i w:val="0"/>
          <w:iCs w:val="0"/>
          <w:kern w:val="0"/>
          <w:sz w:val="24"/>
          <w:szCs w:val="24"/>
          <w:lang w:eastAsia="en-IN"/>
          <w14:ligatures w14:val="none"/>
        </w:rPr>
        <w:t>properly</w:t>
      </w:r>
      <w:commentRangeEnd w:id="12"/>
      <w:r w:rsidR="007E5514">
        <w:rPr>
          <w:rStyle w:val="CommentReference"/>
          <w:i w:val="0"/>
          <w:iCs w:val="0"/>
          <w:color w:val="auto"/>
        </w:rPr>
        <w:commentReference w:id="12"/>
      </w:r>
      <w:r w:rsidR="00C27A99" w:rsidRPr="00DE2FA6">
        <w:rPr>
          <w:rFonts w:asciiTheme="minorBidi" w:eastAsia="Times New Roman" w:hAnsiTheme="minorBidi"/>
          <w:i w:val="0"/>
          <w:iCs w:val="0"/>
          <w:kern w:val="0"/>
          <w:sz w:val="24"/>
          <w:szCs w:val="24"/>
          <w:lang w:eastAsia="en-IN"/>
          <w14:ligatures w14:val="none"/>
        </w:rPr>
        <w:t xml:space="preserve"> collected in polypropylene bottles following the standard protocols set by </w:t>
      </w:r>
      <w:r w:rsidR="00C27A99" w:rsidRPr="00DE2FA6">
        <w:rPr>
          <w:rFonts w:asciiTheme="minorBidi" w:eastAsia="Times New Roman" w:hAnsiTheme="minorBidi"/>
          <w:i w:val="0"/>
          <w:iCs w:val="0"/>
          <w:color w:val="0070C0"/>
          <w:kern w:val="0"/>
          <w:sz w:val="24"/>
          <w:szCs w:val="24"/>
          <w:lang w:eastAsia="en-IN"/>
          <w14:ligatures w14:val="none"/>
        </w:rPr>
        <w:t>APHA (2012)</w:t>
      </w:r>
      <w:r w:rsidR="00683BC9" w:rsidRPr="00DE2FA6">
        <w:rPr>
          <w:rFonts w:asciiTheme="minorBidi" w:eastAsia="Times New Roman" w:hAnsiTheme="minorBidi"/>
          <w:i w:val="0"/>
          <w:iCs w:val="0"/>
          <w:color w:val="0070C0"/>
          <w:kern w:val="0"/>
          <w:sz w:val="24"/>
          <w:szCs w:val="24"/>
          <w:lang w:eastAsia="en-IN"/>
          <w14:ligatures w14:val="none"/>
        </w:rPr>
        <w:t xml:space="preserve"> </w:t>
      </w:r>
      <w:r w:rsidRPr="00DE2FA6">
        <w:rPr>
          <w:rFonts w:asciiTheme="minorBidi" w:eastAsia="Times New Roman" w:hAnsiTheme="minorBidi"/>
          <w:i w:val="0"/>
          <w:iCs w:val="0"/>
          <w:kern w:val="0"/>
          <w:sz w:val="24"/>
          <w:szCs w:val="24"/>
          <w:lang w:eastAsia="en-IN"/>
          <w14:ligatures w14:val="none"/>
        </w:rPr>
        <w:t>and stored at 0–4 °C for further chemical analysis</w:t>
      </w:r>
      <w:r w:rsidR="00602049" w:rsidRPr="00DE2FA6">
        <w:rPr>
          <w:rFonts w:asciiTheme="minorBidi" w:eastAsia="Times New Roman" w:hAnsiTheme="minorBidi"/>
          <w:i w:val="0"/>
          <w:iCs w:val="0"/>
          <w:kern w:val="0"/>
          <w:sz w:val="24"/>
          <w:szCs w:val="24"/>
          <w:lang w:eastAsia="en-IN"/>
          <w14:ligatures w14:val="none"/>
        </w:rPr>
        <w:t xml:space="preserve">. Analytical techniques for estimation of water quality parameters following  APHA (2012) </w:t>
      </w:r>
      <w:r w:rsidR="00E84C01" w:rsidRPr="00DE2FA6">
        <w:rPr>
          <w:rFonts w:asciiTheme="minorBidi" w:eastAsia="Times New Roman" w:hAnsiTheme="minorBidi"/>
          <w:i w:val="0"/>
          <w:iCs w:val="0"/>
          <w:kern w:val="0"/>
          <w:sz w:val="24"/>
          <w:szCs w:val="24"/>
          <w:lang w:eastAsia="en-IN"/>
          <w14:ligatures w14:val="none"/>
        </w:rPr>
        <w:t xml:space="preserve">are summarised in </w:t>
      </w:r>
      <w:r w:rsidR="00E84C01" w:rsidRPr="00DE2FA6">
        <w:rPr>
          <w:rFonts w:asciiTheme="minorBidi" w:eastAsia="Times New Roman" w:hAnsiTheme="minorBidi"/>
          <w:b/>
          <w:bCs/>
          <w:i w:val="0"/>
          <w:iCs w:val="0"/>
          <w:kern w:val="0"/>
          <w:sz w:val="24"/>
          <w:szCs w:val="24"/>
          <w:lang w:eastAsia="en-IN"/>
          <w14:ligatures w14:val="none"/>
        </w:rPr>
        <w:t>Table 2</w:t>
      </w:r>
      <w:r w:rsidR="00E84C01" w:rsidRPr="00DE2FA6">
        <w:rPr>
          <w:rFonts w:asciiTheme="minorBidi" w:eastAsia="Times New Roman" w:hAnsiTheme="minorBidi"/>
          <w:i w:val="0"/>
          <w:iCs w:val="0"/>
          <w:kern w:val="0"/>
          <w:sz w:val="24"/>
          <w:szCs w:val="24"/>
          <w:lang w:eastAsia="en-IN"/>
          <w14:ligatures w14:val="none"/>
        </w:rPr>
        <w:t xml:space="preserve"> </w:t>
      </w:r>
      <w:r w:rsidR="00F11215" w:rsidRPr="00DE2FA6">
        <w:rPr>
          <w:rFonts w:asciiTheme="minorBidi" w:eastAsia="Times New Roman" w:hAnsiTheme="minorBidi"/>
          <w:i w:val="0"/>
          <w:iCs w:val="0"/>
          <w:color w:val="0070C0"/>
          <w:kern w:val="0"/>
          <w:sz w:val="24"/>
          <w:szCs w:val="24"/>
          <w:lang w:eastAsia="en-IN"/>
          <w14:ligatures w14:val="none"/>
        </w:rPr>
        <w:fldChar w:fldCharType="begin"/>
      </w:r>
      <w:r w:rsidR="00445DFA" w:rsidRPr="00DE2FA6">
        <w:rPr>
          <w:rFonts w:asciiTheme="minorBidi" w:eastAsia="Times New Roman" w:hAnsiTheme="minorBidi"/>
          <w:i w:val="0"/>
          <w:iCs w:val="0"/>
          <w:color w:val="0070C0"/>
          <w:kern w:val="0"/>
          <w:sz w:val="24"/>
          <w:szCs w:val="24"/>
          <w:lang w:eastAsia="en-IN"/>
          <w14:ligatures w14:val="none"/>
        </w:rPr>
        <w:instrText xml:space="preserve"> ADDIN ZOTERO_ITEM CSL_CITATION {"citationID":"a1v87p14i42","properties":{"formattedCitation":"(Rice et al., 2012)","plainCitation":"(Rice et al., 2012)","noteIndex":0},"citationItems":[{"id":1216,"uris":["http://zotero.org/users/17566097/items/GMHF3EUX"],"itemData":{"id":1216,"type":"book","edition":"23rd","ISBN":"978-0-87553-287-5","language":"English","publisher":"American Public Health Association, American Water Works Association, Water Environment Federation","source":"Google Scholar","title":"Standard methods for the examination of water and wastewater","title-short":"APHA","URL":"https://www.awwa.org/Publications/Standard-Methods","volume":"10","author":[{"family":"Rice","given":"Eugene W."},{"family":"Bridgewater","given":"Laura"},{"family":"APHA","given":""}],"accessed":{"date-parts":[["2024",8,25]]},"issued":{"date-parts":[["2012"]]}}}],"schema":"https://github.com/citation-style-language/schema/raw/master/csl-citation.json"} </w:instrText>
      </w:r>
      <w:r w:rsidR="00F11215" w:rsidRPr="00DE2FA6">
        <w:rPr>
          <w:rFonts w:asciiTheme="minorBidi" w:eastAsia="Times New Roman" w:hAnsiTheme="minorBidi"/>
          <w:i w:val="0"/>
          <w:iCs w:val="0"/>
          <w:color w:val="0070C0"/>
          <w:kern w:val="0"/>
          <w:sz w:val="24"/>
          <w:szCs w:val="24"/>
          <w:lang w:eastAsia="en-IN"/>
          <w14:ligatures w14:val="none"/>
        </w:rPr>
        <w:fldChar w:fldCharType="separate"/>
      </w:r>
      <w:r w:rsidR="00445DFA" w:rsidRPr="00DE2FA6">
        <w:rPr>
          <w:rFonts w:asciiTheme="minorBidi" w:hAnsiTheme="minorBidi"/>
          <w:i w:val="0"/>
          <w:iCs w:val="0"/>
          <w:color w:val="0070C0"/>
          <w:sz w:val="24"/>
        </w:rPr>
        <w:t>(Rice et al., 2012)</w:t>
      </w:r>
      <w:r w:rsidR="00F11215" w:rsidRPr="00DE2FA6">
        <w:rPr>
          <w:rFonts w:asciiTheme="minorBidi" w:eastAsia="Times New Roman" w:hAnsiTheme="minorBidi"/>
          <w:i w:val="0"/>
          <w:iCs w:val="0"/>
          <w:color w:val="0070C0"/>
          <w:kern w:val="0"/>
          <w:sz w:val="24"/>
          <w:szCs w:val="24"/>
          <w:lang w:eastAsia="en-IN"/>
          <w14:ligatures w14:val="none"/>
        </w:rPr>
        <w:fldChar w:fldCharType="end"/>
      </w:r>
      <w:r w:rsidRPr="00DE2FA6">
        <w:rPr>
          <w:rFonts w:asciiTheme="minorBidi" w:eastAsia="Times New Roman" w:hAnsiTheme="minorBidi"/>
          <w:i w:val="0"/>
          <w:iCs w:val="0"/>
          <w:color w:val="0070C0"/>
          <w:kern w:val="0"/>
          <w:sz w:val="24"/>
          <w:szCs w:val="24"/>
          <w:lang w:eastAsia="en-IN"/>
          <w14:ligatures w14:val="none"/>
        </w:rPr>
        <w:t>.</w:t>
      </w:r>
      <w:r w:rsidR="0094485F" w:rsidRPr="00DE2FA6">
        <w:rPr>
          <w:rFonts w:asciiTheme="minorBidi" w:eastAsia="Times New Roman" w:hAnsiTheme="minorBidi"/>
          <w:i w:val="0"/>
          <w:iCs w:val="0"/>
          <w:kern w:val="0"/>
          <w:sz w:val="24"/>
          <w:szCs w:val="24"/>
          <w:lang w:eastAsia="en-IN"/>
          <w14:ligatures w14:val="none"/>
        </w:rPr>
        <w:t xml:space="preserve"> The software tools used in this </w:t>
      </w:r>
      <w:r w:rsidR="0094485F" w:rsidRPr="00DE2FA6">
        <w:rPr>
          <w:rFonts w:asciiTheme="minorBidi" w:eastAsia="Times New Roman" w:hAnsiTheme="minorBidi"/>
          <w:i w:val="0"/>
          <w:iCs w:val="0"/>
          <w:kern w:val="0"/>
          <w:sz w:val="24"/>
          <w:szCs w:val="24"/>
          <w:lang w:eastAsia="en-IN"/>
          <w14:ligatures w14:val="none"/>
        </w:rPr>
        <w:lastRenderedPageBreak/>
        <w:t>study include ArcGIS 10.8 for spatial mapping, IBM SPSS Statistics 29.0.2.0 (20) and Microsoft Excel 365 for statistical analyses, and AquaChem-10 for hydrochemical plotting.</w:t>
      </w:r>
    </w:p>
    <w:tbl>
      <w:tblPr>
        <w:tblStyle w:val="TableGrid"/>
        <w:tblW w:w="10451" w:type="dxa"/>
        <w:jc w:val="center"/>
        <w:tblLook w:val="04A0" w:firstRow="1" w:lastRow="0" w:firstColumn="1" w:lastColumn="0" w:noHBand="0" w:noVBand="1"/>
      </w:tblPr>
      <w:tblGrid>
        <w:gridCol w:w="763"/>
        <w:gridCol w:w="3201"/>
        <w:gridCol w:w="3818"/>
        <w:gridCol w:w="2669"/>
      </w:tblGrid>
      <w:tr w:rsidR="00481AE5" w:rsidRPr="00B1783B" w14:paraId="33F0142D" w14:textId="77777777" w:rsidTr="00481AE5">
        <w:trPr>
          <w:trHeight w:val="132"/>
          <w:jc w:val="center"/>
        </w:trPr>
        <w:tc>
          <w:tcPr>
            <w:tcW w:w="10451" w:type="dxa"/>
            <w:gridSpan w:val="4"/>
            <w:vAlign w:val="center"/>
          </w:tcPr>
          <w:p w14:paraId="6C1F4206" w14:textId="77777777" w:rsidR="00481AE5" w:rsidRPr="00B1783B" w:rsidRDefault="00481AE5" w:rsidP="00F97B8A">
            <w:pPr>
              <w:jc w:val="both"/>
              <w:rPr>
                <w:rFonts w:ascii="Times New Roman" w:eastAsia="Times New Roman" w:hAnsi="Times New Roman" w:cs="Times New Roman"/>
                <w:b/>
                <w:bCs/>
                <w:kern w:val="0"/>
                <w:sz w:val="20"/>
                <w:szCs w:val="20"/>
                <w:lang w:eastAsia="en-IN"/>
                <w14:ligatures w14:val="none"/>
              </w:rPr>
            </w:pPr>
            <w:r w:rsidRPr="00B1783B">
              <w:rPr>
                <w:rFonts w:ascii="Times New Roman" w:eastAsia="Times New Roman" w:hAnsi="Times New Roman" w:cs="Times New Roman"/>
                <w:b/>
                <w:bCs/>
                <w:kern w:val="0"/>
                <w:sz w:val="20"/>
                <w:szCs w:val="20"/>
                <w:lang w:eastAsia="en-IN"/>
                <w14:ligatures w14:val="none"/>
              </w:rPr>
              <w:t>Table 2</w:t>
            </w:r>
          </w:p>
          <w:p w14:paraId="0634D585" w14:textId="0AF39CDE" w:rsidR="00481AE5" w:rsidRPr="00B1783B" w:rsidRDefault="00481AE5" w:rsidP="00BA3E59">
            <w:pPr>
              <w:jc w:val="both"/>
              <w:rPr>
                <w:rFonts w:ascii="Times New Roman" w:eastAsia="Times New Roman" w:hAnsi="Times New Roman" w:cs="Times New Roman"/>
                <w:b/>
                <w:bCs/>
                <w:kern w:val="0"/>
                <w:sz w:val="20"/>
                <w:szCs w:val="20"/>
                <w:lang w:eastAsia="en-IN"/>
                <w14:ligatures w14:val="none"/>
              </w:rPr>
            </w:pPr>
            <w:r w:rsidRPr="00B1783B">
              <w:rPr>
                <w:rFonts w:ascii="Times New Roman" w:eastAsia="Times New Roman" w:hAnsi="Times New Roman" w:cs="Times New Roman"/>
                <w:b/>
                <w:bCs/>
                <w:kern w:val="0"/>
                <w:sz w:val="20"/>
                <w:szCs w:val="20"/>
                <w:lang w:eastAsia="en-IN"/>
                <w14:ligatures w14:val="none"/>
              </w:rPr>
              <w:t xml:space="preserve">Analytical techniques for estimation of water quality parameters following  APHA (2012) </w:t>
            </w:r>
            <w:r w:rsidRPr="001A3BED">
              <w:rPr>
                <w:rFonts w:ascii="Times New Roman" w:eastAsiaTheme="minorEastAsia" w:hAnsi="Times New Roman" w:cs="Times New Roman"/>
                <w:color w:val="0070C0"/>
                <w:sz w:val="20"/>
                <w:szCs w:val="20"/>
              </w:rPr>
              <w:fldChar w:fldCharType="begin"/>
            </w:r>
            <w:r w:rsidR="00BA3E59">
              <w:rPr>
                <w:rFonts w:ascii="Times New Roman" w:eastAsiaTheme="minorEastAsia" w:hAnsi="Times New Roman" w:cs="Times New Roman"/>
                <w:color w:val="0070C0"/>
                <w:sz w:val="20"/>
                <w:szCs w:val="20"/>
              </w:rPr>
              <w:instrText xml:space="preserve"> ADDIN ZOTERO_ITEM CSL_CITATION {"citationID":"a1no6hnitsa","properties":{"formattedCitation":"(Rice et al., 2012)","plainCitation":"(Rice et al., 2012)","noteIndex":0},"citationItems":[{"id":1216,"uris":["http://zotero.org/users/17566097/items/GMHF3EUX"],"itemData":{"id":1216,"type":"book","edition":"23rd","ISBN":"978-0-87553-287-5","language":"English","publisher":"American Public Health Association, American Water Works Association, Water Environment Federation","source":"Google Scholar","title":"Standard methods for the examination of water and wastewater","title-short":"APHA","URL":"https://www.awwa.org/Publications/Standard-Methods","volume":"10","author":[{"family":"Rice","given":"Eugene W."},{"family":"Bridgewater","given":"Laura"},{"family":"APHA","given":""}],"accessed":{"date-parts":[["2024",8,25]]},"issued":{"date-parts":[["2012"]]}}}],"schema":"https://github.com/citation-style-language/schema/raw/master/csl-citation.json"} </w:instrText>
            </w:r>
            <w:r w:rsidRPr="001A3BED">
              <w:rPr>
                <w:rFonts w:ascii="Times New Roman" w:eastAsiaTheme="minorEastAsia" w:hAnsi="Times New Roman" w:cs="Times New Roman"/>
                <w:color w:val="0070C0"/>
                <w:sz w:val="20"/>
                <w:szCs w:val="20"/>
              </w:rPr>
              <w:fldChar w:fldCharType="separate"/>
            </w:r>
            <w:r w:rsidR="00BA3E59" w:rsidRPr="00BA3E59">
              <w:rPr>
                <w:rFonts w:ascii="Times New Roman" w:hAnsi="Times New Roman" w:cs="Times New Roman"/>
                <w:sz w:val="20"/>
              </w:rPr>
              <w:t>(Rice et al., 2012)</w:t>
            </w:r>
            <w:r w:rsidRPr="001A3BED">
              <w:rPr>
                <w:rFonts w:ascii="Times New Roman" w:eastAsiaTheme="minorEastAsia" w:hAnsi="Times New Roman" w:cs="Times New Roman"/>
                <w:color w:val="0070C0"/>
                <w:sz w:val="20"/>
                <w:szCs w:val="20"/>
              </w:rPr>
              <w:fldChar w:fldCharType="end"/>
            </w:r>
          </w:p>
        </w:tc>
      </w:tr>
      <w:tr w:rsidR="00481AE5" w:rsidRPr="00B1783B" w14:paraId="02CD61E8" w14:textId="77777777" w:rsidTr="00DE2FA6">
        <w:trPr>
          <w:trHeight w:val="132"/>
          <w:jc w:val="center"/>
        </w:trPr>
        <w:tc>
          <w:tcPr>
            <w:tcW w:w="763" w:type="dxa"/>
            <w:vAlign w:val="center"/>
            <w:hideMark/>
          </w:tcPr>
          <w:p w14:paraId="1C42D96B" w14:textId="77777777" w:rsidR="00481AE5" w:rsidRPr="00B1783B" w:rsidRDefault="00481AE5" w:rsidP="00F97B8A">
            <w:pPr>
              <w:jc w:val="center"/>
              <w:rPr>
                <w:rFonts w:ascii="Times New Roman" w:eastAsia="Times New Roman" w:hAnsi="Times New Roman" w:cs="Times New Roman"/>
                <w:b/>
                <w:bCs/>
                <w:kern w:val="0"/>
                <w:sz w:val="20"/>
                <w:szCs w:val="20"/>
                <w:lang w:eastAsia="en-IN"/>
                <w14:ligatures w14:val="none"/>
              </w:rPr>
            </w:pPr>
            <w:r w:rsidRPr="00B1783B">
              <w:rPr>
                <w:rFonts w:ascii="Times New Roman" w:eastAsia="Times New Roman" w:hAnsi="Times New Roman" w:cs="Times New Roman"/>
                <w:b/>
                <w:bCs/>
                <w:kern w:val="0"/>
                <w:sz w:val="20"/>
                <w:szCs w:val="20"/>
                <w:lang w:eastAsia="en-IN"/>
                <w14:ligatures w14:val="none"/>
              </w:rPr>
              <w:t>S. No.</w:t>
            </w:r>
          </w:p>
        </w:tc>
        <w:tc>
          <w:tcPr>
            <w:tcW w:w="3201" w:type="dxa"/>
            <w:vAlign w:val="center"/>
            <w:hideMark/>
          </w:tcPr>
          <w:p w14:paraId="4B9B93E5" w14:textId="77777777" w:rsidR="00481AE5" w:rsidRPr="00B1783B" w:rsidRDefault="00481AE5" w:rsidP="00F97B8A">
            <w:pPr>
              <w:jc w:val="both"/>
              <w:rPr>
                <w:rFonts w:ascii="Times New Roman" w:eastAsia="Times New Roman" w:hAnsi="Times New Roman" w:cs="Times New Roman"/>
                <w:b/>
                <w:bCs/>
                <w:kern w:val="0"/>
                <w:sz w:val="20"/>
                <w:szCs w:val="20"/>
                <w:lang w:eastAsia="en-IN"/>
                <w14:ligatures w14:val="none"/>
              </w:rPr>
            </w:pPr>
            <w:r w:rsidRPr="00B1783B">
              <w:rPr>
                <w:rFonts w:ascii="Times New Roman" w:eastAsia="Times New Roman" w:hAnsi="Times New Roman" w:cs="Times New Roman"/>
                <w:b/>
                <w:bCs/>
                <w:kern w:val="0"/>
                <w:sz w:val="20"/>
                <w:szCs w:val="20"/>
                <w:lang w:eastAsia="en-IN"/>
                <w14:ligatures w14:val="none"/>
              </w:rPr>
              <w:t>Parameters</w:t>
            </w:r>
            <w:r>
              <w:rPr>
                <w:rFonts w:ascii="Times New Roman" w:eastAsia="Times New Roman" w:hAnsi="Times New Roman" w:cs="Times New Roman"/>
                <w:b/>
                <w:bCs/>
                <w:kern w:val="0"/>
                <w:sz w:val="20"/>
                <w:szCs w:val="20"/>
                <w:lang w:eastAsia="en-IN"/>
                <w14:ligatures w14:val="none"/>
              </w:rPr>
              <w:t xml:space="preserve"> and its Unit</w:t>
            </w:r>
          </w:p>
          <w:p w14:paraId="2A85909C" w14:textId="77777777" w:rsidR="00481AE5" w:rsidRPr="00B1783B" w:rsidRDefault="00481AE5" w:rsidP="00F97B8A">
            <w:pPr>
              <w:jc w:val="both"/>
              <w:rPr>
                <w:rFonts w:ascii="Times New Roman" w:eastAsia="Times New Roman" w:hAnsi="Times New Roman" w:cs="Times New Roman"/>
                <w:b/>
                <w:bCs/>
                <w:kern w:val="0"/>
                <w:sz w:val="20"/>
                <w:szCs w:val="20"/>
                <w:lang w:eastAsia="en-IN"/>
                <w14:ligatures w14:val="none"/>
              </w:rPr>
            </w:pPr>
          </w:p>
        </w:tc>
        <w:tc>
          <w:tcPr>
            <w:tcW w:w="3818" w:type="dxa"/>
            <w:vAlign w:val="center"/>
            <w:hideMark/>
          </w:tcPr>
          <w:p w14:paraId="61097109" w14:textId="77777777" w:rsidR="00481AE5" w:rsidRPr="00B1783B" w:rsidRDefault="00481AE5" w:rsidP="00F97B8A">
            <w:pPr>
              <w:jc w:val="both"/>
              <w:rPr>
                <w:rFonts w:ascii="Times New Roman" w:eastAsia="Times New Roman" w:hAnsi="Times New Roman" w:cs="Times New Roman"/>
                <w:b/>
                <w:bCs/>
                <w:kern w:val="0"/>
                <w:sz w:val="20"/>
                <w:szCs w:val="20"/>
                <w:lang w:eastAsia="en-IN"/>
                <w14:ligatures w14:val="none"/>
              </w:rPr>
            </w:pPr>
            <w:r w:rsidRPr="00B1783B">
              <w:rPr>
                <w:rFonts w:ascii="Times New Roman" w:eastAsia="Times New Roman" w:hAnsi="Times New Roman" w:cs="Times New Roman"/>
                <w:b/>
                <w:bCs/>
                <w:kern w:val="0"/>
                <w:sz w:val="20"/>
                <w:szCs w:val="20"/>
                <w:lang w:eastAsia="en-IN"/>
                <w14:ligatures w14:val="none"/>
              </w:rPr>
              <w:t>Method (Equipment Used)</w:t>
            </w:r>
          </w:p>
        </w:tc>
        <w:tc>
          <w:tcPr>
            <w:tcW w:w="2669" w:type="dxa"/>
            <w:vAlign w:val="center"/>
          </w:tcPr>
          <w:p w14:paraId="4242413C" w14:textId="77777777" w:rsidR="00481AE5" w:rsidRPr="00B1783B" w:rsidRDefault="00481AE5" w:rsidP="00F97B8A">
            <w:pPr>
              <w:jc w:val="both"/>
              <w:rPr>
                <w:rFonts w:ascii="Times New Roman" w:eastAsia="Times New Roman" w:hAnsi="Times New Roman" w:cs="Times New Roman"/>
                <w:b/>
                <w:bCs/>
                <w:kern w:val="0"/>
                <w:sz w:val="20"/>
                <w:szCs w:val="20"/>
                <w:lang w:eastAsia="en-IN"/>
                <w14:ligatures w14:val="none"/>
              </w:rPr>
            </w:pPr>
            <w:r w:rsidRPr="00B1783B">
              <w:rPr>
                <w:rFonts w:ascii="Times New Roman" w:eastAsia="Times New Roman" w:hAnsi="Times New Roman" w:cs="Times New Roman"/>
                <w:b/>
                <w:bCs/>
                <w:kern w:val="0"/>
                <w:sz w:val="20"/>
                <w:szCs w:val="20"/>
                <w:lang w:eastAsia="en-IN"/>
                <w14:ligatures w14:val="none"/>
              </w:rPr>
              <w:t>References</w:t>
            </w:r>
          </w:p>
        </w:tc>
      </w:tr>
      <w:tr w:rsidR="00481AE5" w:rsidRPr="00B1783B" w14:paraId="3C1B0F31" w14:textId="77777777" w:rsidTr="00481AE5">
        <w:trPr>
          <w:trHeight w:val="9"/>
          <w:jc w:val="center"/>
        </w:trPr>
        <w:tc>
          <w:tcPr>
            <w:tcW w:w="10451" w:type="dxa"/>
            <w:gridSpan w:val="4"/>
            <w:vAlign w:val="center"/>
          </w:tcPr>
          <w:p w14:paraId="1C31C338" w14:textId="77777777" w:rsidR="00481AE5" w:rsidRPr="00B1783B" w:rsidRDefault="00481AE5" w:rsidP="00F97B8A">
            <w:pPr>
              <w:jc w:val="both"/>
              <w:rPr>
                <w:rFonts w:ascii="Times New Roman" w:eastAsia="Times New Roman" w:hAnsi="Times New Roman" w:cs="Times New Roman"/>
                <w:b/>
                <w:bCs/>
                <w:kern w:val="0"/>
                <w:sz w:val="20"/>
                <w:szCs w:val="20"/>
                <w:lang w:eastAsia="en-IN"/>
                <w14:ligatures w14:val="none"/>
              </w:rPr>
            </w:pPr>
            <w:r w:rsidRPr="00B1783B">
              <w:rPr>
                <w:rFonts w:ascii="Times New Roman" w:eastAsia="Times New Roman" w:hAnsi="Times New Roman" w:cs="Times New Roman"/>
                <w:b/>
                <w:bCs/>
                <w:kern w:val="0"/>
                <w:sz w:val="20"/>
                <w:szCs w:val="20"/>
                <w:lang w:eastAsia="en-IN"/>
                <w14:ligatures w14:val="none"/>
              </w:rPr>
              <w:t>The readings of the following parameters were recorded in the field</w:t>
            </w:r>
          </w:p>
        </w:tc>
      </w:tr>
      <w:tr w:rsidR="00481AE5" w:rsidRPr="00B1783B" w14:paraId="0DDC7349" w14:textId="77777777" w:rsidTr="00DE2FA6">
        <w:trPr>
          <w:trHeight w:val="66"/>
          <w:jc w:val="center"/>
        </w:trPr>
        <w:tc>
          <w:tcPr>
            <w:tcW w:w="763" w:type="dxa"/>
            <w:vAlign w:val="center"/>
          </w:tcPr>
          <w:p w14:paraId="75229F18"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hideMark/>
          </w:tcPr>
          <w:p w14:paraId="4C3E42D2"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eastAsia="Times New Roman" w:hAnsi="Times New Roman" w:cs="Times New Roman"/>
                <w:b/>
                <w:bCs/>
                <w:kern w:val="0"/>
                <w:sz w:val="20"/>
                <w:szCs w:val="20"/>
                <w:lang w:eastAsia="en-IN"/>
                <w14:ligatures w14:val="none"/>
              </w:rPr>
              <w:t>Temperature (T) °C</w:t>
            </w:r>
          </w:p>
        </w:tc>
        <w:tc>
          <w:tcPr>
            <w:tcW w:w="3818" w:type="dxa"/>
            <w:vMerge w:val="restart"/>
            <w:vAlign w:val="center"/>
            <w:hideMark/>
          </w:tcPr>
          <w:p w14:paraId="0B9649BC"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Instrumental Method: LABTICAL PPH10</w:t>
            </w:r>
          </w:p>
        </w:tc>
        <w:tc>
          <w:tcPr>
            <w:tcW w:w="2669" w:type="dxa"/>
            <w:vAlign w:val="center"/>
          </w:tcPr>
          <w:p w14:paraId="1F9763CD"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APHA 2550 B, 23rd Ed</w:t>
            </w:r>
          </w:p>
        </w:tc>
      </w:tr>
      <w:tr w:rsidR="00481AE5" w:rsidRPr="00B1783B" w14:paraId="264CFD93" w14:textId="77777777" w:rsidTr="00DE2FA6">
        <w:trPr>
          <w:trHeight w:val="64"/>
          <w:jc w:val="center"/>
        </w:trPr>
        <w:tc>
          <w:tcPr>
            <w:tcW w:w="763" w:type="dxa"/>
            <w:vAlign w:val="center"/>
          </w:tcPr>
          <w:p w14:paraId="5D3F79C1"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hideMark/>
          </w:tcPr>
          <w:p w14:paraId="672ED0D4"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eastAsia="Times New Roman" w:hAnsi="Times New Roman" w:cs="Times New Roman"/>
                <w:b/>
                <w:bCs/>
                <w:kern w:val="0"/>
                <w:sz w:val="20"/>
                <w:szCs w:val="20"/>
                <w:lang w:eastAsia="en-IN"/>
                <w14:ligatures w14:val="none"/>
              </w:rPr>
              <w:t>pH</w:t>
            </w:r>
          </w:p>
        </w:tc>
        <w:tc>
          <w:tcPr>
            <w:tcW w:w="3818" w:type="dxa"/>
            <w:vMerge/>
            <w:vAlign w:val="center"/>
          </w:tcPr>
          <w:p w14:paraId="0A0E4E8E"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p>
        </w:tc>
        <w:tc>
          <w:tcPr>
            <w:tcW w:w="2669" w:type="dxa"/>
            <w:vAlign w:val="center"/>
          </w:tcPr>
          <w:p w14:paraId="61E84286"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4500-H</w:t>
            </w:r>
            <w:r w:rsidRPr="00B1783B">
              <w:rPr>
                <w:rFonts w:ascii="Times New Roman" w:hAnsi="Times New Roman" w:cs="Times New Roman"/>
                <w:sz w:val="20"/>
                <w:szCs w:val="20"/>
                <w:vertAlign w:val="superscript"/>
              </w:rPr>
              <w:t xml:space="preserve">+ </w:t>
            </w:r>
            <w:r w:rsidRPr="00B1783B">
              <w:rPr>
                <w:rFonts w:ascii="Times New Roman" w:hAnsi="Times New Roman" w:cs="Times New Roman"/>
                <w:sz w:val="20"/>
                <w:szCs w:val="20"/>
              </w:rPr>
              <w:t>B,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7183289F" w14:textId="77777777" w:rsidTr="00DE2FA6">
        <w:trPr>
          <w:trHeight w:val="132"/>
          <w:jc w:val="center"/>
        </w:trPr>
        <w:tc>
          <w:tcPr>
            <w:tcW w:w="763" w:type="dxa"/>
            <w:vAlign w:val="center"/>
          </w:tcPr>
          <w:p w14:paraId="72A8C3A5"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hideMark/>
          </w:tcPr>
          <w:p w14:paraId="4F668993"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eastAsia="Times New Roman" w:hAnsi="Times New Roman" w:cs="Times New Roman"/>
                <w:b/>
                <w:bCs/>
                <w:kern w:val="0"/>
                <w:sz w:val="20"/>
                <w:szCs w:val="20"/>
                <w:lang w:eastAsia="en-IN"/>
                <w14:ligatures w14:val="none"/>
              </w:rPr>
              <w:t>Electrical Conductivity (EC) µS/cm</w:t>
            </w:r>
          </w:p>
        </w:tc>
        <w:tc>
          <w:tcPr>
            <w:tcW w:w="3818" w:type="dxa"/>
            <w:vMerge/>
            <w:vAlign w:val="center"/>
          </w:tcPr>
          <w:p w14:paraId="2BB8B754"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p>
        </w:tc>
        <w:tc>
          <w:tcPr>
            <w:tcW w:w="2669" w:type="dxa"/>
            <w:vAlign w:val="center"/>
          </w:tcPr>
          <w:p w14:paraId="685DCCB5"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2510 B,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5258F4F5" w14:textId="77777777" w:rsidTr="00DE2FA6">
        <w:trPr>
          <w:trHeight w:val="135"/>
          <w:jc w:val="center"/>
        </w:trPr>
        <w:tc>
          <w:tcPr>
            <w:tcW w:w="763" w:type="dxa"/>
            <w:vAlign w:val="center"/>
          </w:tcPr>
          <w:p w14:paraId="4FBA590B"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hideMark/>
          </w:tcPr>
          <w:p w14:paraId="3AF6C972"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eastAsia="Times New Roman" w:hAnsi="Times New Roman" w:cs="Times New Roman"/>
                <w:b/>
                <w:bCs/>
                <w:kern w:val="0"/>
                <w:sz w:val="20"/>
                <w:szCs w:val="20"/>
                <w:lang w:eastAsia="en-IN"/>
                <w14:ligatures w14:val="none"/>
              </w:rPr>
              <w:t>Total Dissolved Solids (TDS) mg/L</w:t>
            </w:r>
          </w:p>
        </w:tc>
        <w:tc>
          <w:tcPr>
            <w:tcW w:w="3818" w:type="dxa"/>
            <w:vMerge/>
            <w:vAlign w:val="center"/>
          </w:tcPr>
          <w:p w14:paraId="289AFB13"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p>
        </w:tc>
        <w:tc>
          <w:tcPr>
            <w:tcW w:w="2669" w:type="dxa"/>
            <w:vAlign w:val="center"/>
          </w:tcPr>
          <w:p w14:paraId="5C9EC784"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2550 B,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3818BDBE" w14:textId="77777777" w:rsidTr="00DE2FA6">
        <w:trPr>
          <w:trHeight w:val="132"/>
          <w:jc w:val="center"/>
        </w:trPr>
        <w:tc>
          <w:tcPr>
            <w:tcW w:w="763" w:type="dxa"/>
            <w:vAlign w:val="center"/>
          </w:tcPr>
          <w:p w14:paraId="39BA4B52"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3AE86D58"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eastAsia="Times New Roman" w:hAnsi="Times New Roman" w:cs="Times New Roman"/>
                <w:b/>
                <w:bCs/>
                <w:kern w:val="0"/>
                <w:sz w:val="20"/>
                <w:szCs w:val="20"/>
                <w:lang w:eastAsia="en-IN"/>
                <w14:ligatures w14:val="none"/>
              </w:rPr>
              <w:t>Dissolved Oxygen (DO) mg/L</w:t>
            </w:r>
          </w:p>
        </w:tc>
        <w:tc>
          <w:tcPr>
            <w:tcW w:w="3818" w:type="dxa"/>
            <w:vAlign w:val="center"/>
          </w:tcPr>
          <w:p w14:paraId="01B799AC"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 xml:space="preserve">Instrumental Method (Thermo Scientific </w:t>
            </w:r>
            <w:proofErr w:type="spellStart"/>
            <w:r w:rsidRPr="00B1783B">
              <w:rPr>
                <w:rFonts w:ascii="Times New Roman" w:eastAsia="Times New Roman" w:hAnsi="Times New Roman" w:cs="Times New Roman"/>
                <w:kern w:val="0"/>
                <w:sz w:val="20"/>
                <w:szCs w:val="20"/>
                <w:lang w:eastAsia="en-IN"/>
                <w14:ligatures w14:val="none"/>
              </w:rPr>
              <w:t>Eutech</w:t>
            </w:r>
            <w:proofErr w:type="spellEnd"/>
            <w:r w:rsidRPr="00B1783B">
              <w:rPr>
                <w:rFonts w:ascii="Times New Roman" w:eastAsia="Times New Roman" w:hAnsi="Times New Roman" w:cs="Times New Roman"/>
                <w:kern w:val="0"/>
                <w:sz w:val="20"/>
                <w:szCs w:val="20"/>
                <w:lang w:eastAsia="en-IN"/>
                <w14:ligatures w14:val="none"/>
              </w:rPr>
              <w:t>, DO 6</w:t>
            </w:r>
            <w:r w:rsidRPr="00B1783B">
              <w:rPr>
                <w:rFonts w:ascii="Times New Roman" w:eastAsia="Times New Roman" w:hAnsi="Times New Roman" w:cs="Times New Roman"/>
                <w:kern w:val="0"/>
                <w:sz w:val="20"/>
                <w:szCs w:val="20"/>
                <w:vertAlign w:val="superscript"/>
                <w:lang w:eastAsia="en-IN"/>
                <w14:ligatures w14:val="none"/>
              </w:rPr>
              <w:t>+</w:t>
            </w:r>
            <w:r w:rsidRPr="00B1783B">
              <w:rPr>
                <w:rFonts w:ascii="Times New Roman" w:eastAsia="Times New Roman" w:hAnsi="Times New Roman" w:cs="Times New Roman"/>
                <w:kern w:val="0"/>
                <w:sz w:val="20"/>
                <w:szCs w:val="20"/>
                <w:lang w:eastAsia="en-IN"/>
                <w14:ligatures w14:val="none"/>
              </w:rPr>
              <w:t>)</w:t>
            </w:r>
          </w:p>
        </w:tc>
        <w:tc>
          <w:tcPr>
            <w:tcW w:w="2669" w:type="dxa"/>
            <w:vAlign w:val="center"/>
          </w:tcPr>
          <w:p w14:paraId="7B8F00A5"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4500-O</w:t>
            </w:r>
            <w:r w:rsidRPr="00B1783B">
              <w:rPr>
                <w:rFonts w:ascii="Times New Roman" w:hAnsi="Times New Roman" w:cs="Times New Roman"/>
                <w:sz w:val="20"/>
                <w:szCs w:val="20"/>
                <w:vertAlign w:val="superscript"/>
              </w:rPr>
              <w:t xml:space="preserve"> </w:t>
            </w:r>
            <w:r w:rsidRPr="00B1783B">
              <w:rPr>
                <w:rFonts w:ascii="Times New Roman" w:hAnsi="Times New Roman" w:cs="Times New Roman"/>
                <w:sz w:val="20"/>
                <w:szCs w:val="20"/>
              </w:rPr>
              <w:t>G,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652B26EB" w14:textId="77777777" w:rsidTr="00DE2FA6">
        <w:trPr>
          <w:trHeight w:val="132"/>
          <w:jc w:val="center"/>
        </w:trPr>
        <w:tc>
          <w:tcPr>
            <w:tcW w:w="763" w:type="dxa"/>
            <w:vAlign w:val="center"/>
          </w:tcPr>
          <w:p w14:paraId="2833FFE9"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6DED57F9"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eastAsia="Times New Roman" w:hAnsi="Times New Roman" w:cs="Times New Roman"/>
                <w:b/>
                <w:bCs/>
                <w:kern w:val="0"/>
                <w:sz w:val="20"/>
                <w:szCs w:val="20"/>
                <w:lang w:eastAsia="en-IN"/>
                <w14:ligatures w14:val="none"/>
              </w:rPr>
              <w:t>Turbidity (TU) NTU</w:t>
            </w:r>
          </w:p>
        </w:tc>
        <w:tc>
          <w:tcPr>
            <w:tcW w:w="3818" w:type="dxa"/>
            <w:vAlign w:val="center"/>
          </w:tcPr>
          <w:p w14:paraId="4554CC7D"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Instrumental Method (Thermo Scientific TN-100)</w:t>
            </w:r>
          </w:p>
        </w:tc>
        <w:tc>
          <w:tcPr>
            <w:tcW w:w="2669" w:type="dxa"/>
            <w:vAlign w:val="center"/>
          </w:tcPr>
          <w:p w14:paraId="6135B9F0"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2130 B,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4508095F" w14:textId="77777777" w:rsidTr="00481AE5">
        <w:trPr>
          <w:trHeight w:val="9"/>
          <w:jc w:val="center"/>
        </w:trPr>
        <w:tc>
          <w:tcPr>
            <w:tcW w:w="10451" w:type="dxa"/>
            <w:gridSpan w:val="4"/>
            <w:vAlign w:val="center"/>
          </w:tcPr>
          <w:p w14:paraId="4380F371"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eastAsia="Times New Roman" w:hAnsi="Times New Roman" w:cs="Times New Roman"/>
                <w:b/>
                <w:bCs/>
                <w:kern w:val="0"/>
                <w:sz w:val="20"/>
                <w:szCs w:val="20"/>
                <w:lang w:eastAsia="en-IN"/>
                <w14:ligatures w14:val="none"/>
              </w:rPr>
              <w:t>The following parameters were analysed in the laboratory</w:t>
            </w:r>
          </w:p>
        </w:tc>
      </w:tr>
      <w:tr w:rsidR="00481AE5" w:rsidRPr="00B1783B" w14:paraId="47B55E39" w14:textId="77777777" w:rsidTr="00DE2FA6">
        <w:trPr>
          <w:trHeight w:val="135"/>
          <w:jc w:val="center"/>
        </w:trPr>
        <w:tc>
          <w:tcPr>
            <w:tcW w:w="763" w:type="dxa"/>
            <w:vAlign w:val="center"/>
          </w:tcPr>
          <w:p w14:paraId="605C5AC0"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52125E67" w14:textId="77777777" w:rsidR="00481AE5" w:rsidRPr="001A3BED" w:rsidRDefault="00481AE5" w:rsidP="00F97B8A">
            <w:pPr>
              <w:jc w:val="both"/>
              <w:rPr>
                <w:rFonts w:ascii="Times New Roman" w:hAnsi="Times New Roman" w:cs="Times New Roman"/>
                <w:b/>
                <w:bCs/>
                <w:sz w:val="20"/>
                <w:szCs w:val="20"/>
              </w:rPr>
            </w:pPr>
            <w:r w:rsidRPr="001A3BED">
              <w:rPr>
                <w:rFonts w:ascii="Times New Roman" w:hAnsi="Times New Roman" w:cs="Times New Roman"/>
                <w:b/>
                <w:bCs/>
                <w:sz w:val="20"/>
                <w:szCs w:val="20"/>
              </w:rPr>
              <w:t>Total Hardness (TH) mg</w:t>
            </w:r>
            <w:r w:rsidRPr="001A3BED">
              <w:rPr>
                <w:rFonts w:ascii="Times New Roman" w:eastAsia="Times New Roman" w:hAnsi="Times New Roman" w:cs="Times New Roman"/>
                <w:b/>
                <w:bCs/>
                <w:kern w:val="0"/>
                <w:sz w:val="20"/>
                <w:szCs w:val="20"/>
                <w:lang w:eastAsia="en-IN"/>
                <w14:ligatures w14:val="none"/>
              </w:rPr>
              <w:t>/L</w:t>
            </w:r>
          </w:p>
        </w:tc>
        <w:tc>
          <w:tcPr>
            <w:tcW w:w="3818" w:type="dxa"/>
            <w:vMerge w:val="restart"/>
            <w:vAlign w:val="center"/>
          </w:tcPr>
          <w:p w14:paraId="25BC696A"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Titrimetric Method (Titration with EDTA)</w:t>
            </w:r>
          </w:p>
        </w:tc>
        <w:tc>
          <w:tcPr>
            <w:tcW w:w="2669" w:type="dxa"/>
            <w:vAlign w:val="center"/>
          </w:tcPr>
          <w:p w14:paraId="4824D2BC"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2340 C,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6CF3FBD1" w14:textId="77777777" w:rsidTr="00DE2FA6">
        <w:trPr>
          <w:trHeight w:val="14"/>
          <w:jc w:val="center"/>
        </w:trPr>
        <w:tc>
          <w:tcPr>
            <w:tcW w:w="763" w:type="dxa"/>
            <w:vAlign w:val="center"/>
          </w:tcPr>
          <w:p w14:paraId="13EC8814"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742D12CC" w14:textId="77777777" w:rsidR="00481AE5" w:rsidRPr="001A3BED" w:rsidRDefault="00481AE5" w:rsidP="00F97B8A">
            <w:pPr>
              <w:jc w:val="both"/>
              <w:rPr>
                <w:rFonts w:ascii="Times New Roman" w:hAnsi="Times New Roman" w:cs="Times New Roman"/>
                <w:b/>
                <w:bCs/>
                <w:sz w:val="20"/>
                <w:szCs w:val="20"/>
              </w:rPr>
            </w:pPr>
            <w:r w:rsidRPr="001A3BED">
              <w:rPr>
                <w:rFonts w:ascii="Times New Roman" w:eastAsia="Times New Roman" w:hAnsi="Times New Roman" w:cs="Times New Roman"/>
                <w:b/>
                <w:bCs/>
                <w:kern w:val="0"/>
                <w:sz w:val="20"/>
                <w:szCs w:val="20"/>
                <w:lang w:eastAsia="en-IN"/>
                <w14:ligatures w14:val="none"/>
              </w:rPr>
              <w:t>Ca</w:t>
            </w:r>
            <w:r w:rsidRPr="001A3BED">
              <w:rPr>
                <w:rFonts w:ascii="Times New Roman" w:eastAsia="Times New Roman" w:hAnsi="Times New Roman" w:cs="Times New Roman"/>
                <w:b/>
                <w:bCs/>
                <w:kern w:val="0"/>
                <w:sz w:val="20"/>
                <w:szCs w:val="20"/>
                <w:vertAlign w:val="superscript"/>
                <w:lang w:eastAsia="en-IN"/>
                <w14:ligatures w14:val="none"/>
              </w:rPr>
              <w:t xml:space="preserve">2+ </w:t>
            </w:r>
            <w:r w:rsidRPr="001A3BED">
              <w:rPr>
                <w:rFonts w:ascii="Times New Roman" w:eastAsia="Times New Roman" w:hAnsi="Times New Roman" w:cs="Times New Roman"/>
                <w:b/>
                <w:bCs/>
                <w:kern w:val="0"/>
                <w:sz w:val="20"/>
                <w:szCs w:val="20"/>
                <w:lang w:eastAsia="en-IN"/>
                <w14:ligatures w14:val="none"/>
              </w:rPr>
              <w:t>mg/L</w:t>
            </w:r>
          </w:p>
        </w:tc>
        <w:tc>
          <w:tcPr>
            <w:tcW w:w="3818" w:type="dxa"/>
            <w:vMerge/>
            <w:vAlign w:val="center"/>
          </w:tcPr>
          <w:p w14:paraId="00370A68"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p>
        </w:tc>
        <w:tc>
          <w:tcPr>
            <w:tcW w:w="2669" w:type="dxa"/>
            <w:vAlign w:val="center"/>
          </w:tcPr>
          <w:p w14:paraId="5A96F9A4"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3500-Ca B, 23 Ed</w:t>
            </w:r>
          </w:p>
        </w:tc>
      </w:tr>
      <w:tr w:rsidR="00481AE5" w:rsidRPr="00B1783B" w14:paraId="407D9666" w14:textId="77777777" w:rsidTr="00DE2FA6">
        <w:trPr>
          <w:trHeight w:val="135"/>
          <w:jc w:val="center"/>
        </w:trPr>
        <w:tc>
          <w:tcPr>
            <w:tcW w:w="763" w:type="dxa"/>
            <w:vAlign w:val="center"/>
          </w:tcPr>
          <w:p w14:paraId="67107716"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7DB57210"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eastAsia="Times New Roman" w:hAnsi="Times New Roman" w:cs="Times New Roman"/>
                <w:b/>
                <w:bCs/>
                <w:kern w:val="0"/>
                <w:sz w:val="20"/>
                <w:szCs w:val="20"/>
                <w:lang w:eastAsia="en-IN"/>
                <w14:ligatures w14:val="none"/>
              </w:rPr>
              <w:t>Mg</w:t>
            </w:r>
            <w:r w:rsidRPr="001A3BED">
              <w:rPr>
                <w:rFonts w:ascii="Times New Roman" w:eastAsia="Times New Roman" w:hAnsi="Times New Roman" w:cs="Times New Roman"/>
                <w:b/>
                <w:bCs/>
                <w:kern w:val="0"/>
                <w:sz w:val="20"/>
                <w:szCs w:val="20"/>
                <w:vertAlign w:val="superscript"/>
                <w:lang w:eastAsia="en-IN"/>
                <w14:ligatures w14:val="none"/>
              </w:rPr>
              <w:t>2+</w:t>
            </w:r>
            <w:r w:rsidRPr="001A3BED">
              <w:rPr>
                <w:rFonts w:ascii="Times New Roman" w:eastAsia="Times New Roman" w:hAnsi="Times New Roman" w:cs="Times New Roman"/>
                <w:b/>
                <w:bCs/>
                <w:kern w:val="0"/>
                <w:sz w:val="20"/>
                <w:szCs w:val="20"/>
                <w:lang w:eastAsia="en-IN"/>
                <w14:ligatures w14:val="none"/>
              </w:rPr>
              <w:t xml:space="preserve"> mg/L</w:t>
            </w:r>
          </w:p>
        </w:tc>
        <w:tc>
          <w:tcPr>
            <w:tcW w:w="3818" w:type="dxa"/>
            <w:vMerge/>
            <w:vAlign w:val="center"/>
          </w:tcPr>
          <w:p w14:paraId="34E5BF4F"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p>
        </w:tc>
        <w:tc>
          <w:tcPr>
            <w:tcW w:w="2669" w:type="dxa"/>
            <w:vAlign w:val="center"/>
          </w:tcPr>
          <w:p w14:paraId="6CE8F7F6"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3500-Mg B,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6C95869E" w14:textId="77777777" w:rsidTr="00DE2FA6">
        <w:trPr>
          <w:trHeight w:val="124"/>
          <w:jc w:val="center"/>
        </w:trPr>
        <w:tc>
          <w:tcPr>
            <w:tcW w:w="763" w:type="dxa"/>
            <w:vAlign w:val="center"/>
          </w:tcPr>
          <w:p w14:paraId="2CFF8E9D"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630EE26B" w14:textId="77777777" w:rsidR="00481AE5" w:rsidRPr="001A3BED" w:rsidRDefault="00481AE5" w:rsidP="00F97B8A">
            <w:pPr>
              <w:jc w:val="both"/>
              <w:rPr>
                <w:rFonts w:ascii="Times New Roman" w:hAnsi="Times New Roman" w:cs="Times New Roman"/>
                <w:b/>
                <w:bCs/>
                <w:sz w:val="20"/>
                <w:szCs w:val="20"/>
              </w:rPr>
            </w:pPr>
            <w:r w:rsidRPr="001A3BED">
              <w:rPr>
                <w:rFonts w:ascii="Times New Roman" w:eastAsia="Times New Roman" w:hAnsi="Times New Roman" w:cs="Times New Roman"/>
                <w:b/>
                <w:bCs/>
                <w:kern w:val="0"/>
                <w:sz w:val="20"/>
                <w:szCs w:val="20"/>
                <w:lang w:eastAsia="en-IN"/>
                <w14:ligatures w14:val="none"/>
              </w:rPr>
              <w:t>Na</w:t>
            </w:r>
            <w:r w:rsidRPr="001A3BED">
              <w:rPr>
                <w:rFonts w:ascii="Times New Roman" w:eastAsia="Times New Roman" w:hAnsi="Times New Roman" w:cs="Times New Roman"/>
                <w:b/>
                <w:bCs/>
                <w:kern w:val="0"/>
                <w:sz w:val="20"/>
                <w:szCs w:val="20"/>
                <w:vertAlign w:val="superscript"/>
                <w:lang w:eastAsia="en-IN"/>
                <w14:ligatures w14:val="none"/>
              </w:rPr>
              <w:t xml:space="preserve">+ </w:t>
            </w:r>
            <w:r w:rsidRPr="001A3BED">
              <w:rPr>
                <w:rFonts w:ascii="Times New Roman" w:eastAsia="Times New Roman" w:hAnsi="Times New Roman" w:cs="Times New Roman"/>
                <w:b/>
                <w:bCs/>
                <w:kern w:val="0"/>
                <w:sz w:val="20"/>
                <w:szCs w:val="20"/>
                <w:lang w:eastAsia="en-IN"/>
                <w14:ligatures w14:val="none"/>
              </w:rPr>
              <w:t>and K</w:t>
            </w:r>
            <w:r w:rsidRPr="001A3BED">
              <w:rPr>
                <w:rFonts w:ascii="Times New Roman" w:eastAsia="Times New Roman" w:hAnsi="Times New Roman" w:cs="Times New Roman"/>
                <w:b/>
                <w:bCs/>
                <w:kern w:val="0"/>
                <w:sz w:val="20"/>
                <w:szCs w:val="20"/>
                <w:vertAlign w:val="superscript"/>
                <w:lang w:eastAsia="en-IN"/>
                <w14:ligatures w14:val="none"/>
              </w:rPr>
              <w:t>+</w:t>
            </w:r>
            <w:r w:rsidRPr="001A3BED">
              <w:rPr>
                <w:rFonts w:ascii="Times New Roman" w:eastAsia="Times New Roman" w:hAnsi="Times New Roman" w:cs="Times New Roman"/>
                <w:b/>
                <w:bCs/>
                <w:kern w:val="0"/>
                <w:sz w:val="20"/>
                <w:szCs w:val="20"/>
                <w:lang w:eastAsia="en-IN"/>
                <w14:ligatures w14:val="none"/>
              </w:rPr>
              <w:t xml:space="preserve"> mg/L</w:t>
            </w:r>
          </w:p>
        </w:tc>
        <w:tc>
          <w:tcPr>
            <w:tcW w:w="3818" w:type="dxa"/>
            <w:vAlign w:val="center"/>
          </w:tcPr>
          <w:p w14:paraId="4D11045A"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Instrumental Method (</w:t>
            </w:r>
            <w:proofErr w:type="spellStart"/>
            <w:r w:rsidRPr="00B1783B">
              <w:rPr>
                <w:rFonts w:ascii="Times New Roman" w:hAnsi="Times New Roman" w:cs="Times New Roman"/>
                <w:sz w:val="20"/>
                <w:szCs w:val="20"/>
              </w:rPr>
              <w:t>Systronic</w:t>
            </w:r>
            <w:proofErr w:type="spellEnd"/>
            <w:r w:rsidRPr="00B1783B">
              <w:rPr>
                <w:rFonts w:ascii="Times New Roman" w:hAnsi="Times New Roman" w:cs="Times New Roman"/>
                <w:sz w:val="20"/>
                <w:szCs w:val="20"/>
              </w:rPr>
              <w:t xml:space="preserve"> Flame Photometer 128)</w:t>
            </w:r>
          </w:p>
        </w:tc>
        <w:tc>
          <w:tcPr>
            <w:tcW w:w="2669" w:type="dxa"/>
            <w:vAlign w:val="center"/>
          </w:tcPr>
          <w:p w14:paraId="20E0D69A" w14:textId="77777777" w:rsidR="00481AE5" w:rsidRPr="00B1783B" w:rsidRDefault="00481AE5" w:rsidP="00F97B8A">
            <w:pPr>
              <w:jc w:val="both"/>
              <w:rPr>
                <w:rFonts w:ascii="Times New Roman" w:hAnsi="Times New Roman" w:cs="Times New Roman"/>
                <w:sz w:val="20"/>
                <w:szCs w:val="20"/>
              </w:rPr>
            </w:pPr>
            <w:r w:rsidRPr="00B1783B">
              <w:rPr>
                <w:rFonts w:ascii="Times New Roman" w:hAnsi="Times New Roman" w:cs="Times New Roman"/>
                <w:sz w:val="20"/>
                <w:szCs w:val="20"/>
              </w:rPr>
              <w:t>APHA 3500-Na-K B,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5A2898E6" w14:textId="77777777" w:rsidTr="00DE2FA6">
        <w:trPr>
          <w:trHeight w:val="135"/>
          <w:jc w:val="center"/>
        </w:trPr>
        <w:tc>
          <w:tcPr>
            <w:tcW w:w="763" w:type="dxa"/>
            <w:vAlign w:val="center"/>
          </w:tcPr>
          <w:p w14:paraId="3F5A4FD6"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06B5A913"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hAnsi="Times New Roman" w:cs="Times New Roman"/>
                <w:b/>
                <w:bCs/>
                <w:sz w:val="20"/>
                <w:szCs w:val="20"/>
              </w:rPr>
              <w:t>Total Alkalinity (TA) mg</w:t>
            </w:r>
            <w:r w:rsidRPr="001A3BED">
              <w:rPr>
                <w:rFonts w:ascii="Times New Roman" w:eastAsia="Times New Roman" w:hAnsi="Times New Roman" w:cs="Times New Roman"/>
                <w:b/>
                <w:bCs/>
                <w:kern w:val="0"/>
                <w:sz w:val="20"/>
                <w:szCs w:val="20"/>
                <w:lang w:eastAsia="en-IN"/>
                <w14:ligatures w14:val="none"/>
              </w:rPr>
              <w:t>/L</w:t>
            </w:r>
          </w:p>
        </w:tc>
        <w:tc>
          <w:tcPr>
            <w:tcW w:w="3818" w:type="dxa"/>
            <w:vMerge w:val="restart"/>
            <w:vAlign w:val="center"/>
          </w:tcPr>
          <w:p w14:paraId="0223F9B3"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Titrimetric Method (Titration with acid)</w:t>
            </w:r>
          </w:p>
        </w:tc>
        <w:tc>
          <w:tcPr>
            <w:tcW w:w="2669" w:type="dxa"/>
            <w:vAlign w:val="center"/>
          </w:tcPr>
          <w:p w14:paraId="392EF98E" w14:textId="77777777" w:rsidR="00481AE5" w:rsidRPr="00B1783B" w:rsidRDefault="00481AE5" w:rsidP="00F97B8A">
            <w:pPr>
              <w:jc w:val="both"/>
              <w:rPr>
                <w:rFonts w:ascii="Times New Roman" w:hAnsi="Times New Roman" w:cs="Times New Roman"/>
                <w:sz w:val="20"/>
                <w:szCs w:val="20"/>
              </w:rPr>
            </w:pPr>
            <w:r w:rsidRPr="00B1783B">
              <w:rPr>
                <w:rFonts w:ascii="Times New Roman" w:hAnsi="Times New Roman" w:cs="Times New Roman"/>
                <w:sz w:val="20"/>
                <w:szCs w:val="20"/>
              </w:rPr>
              <w:t>APHA 2320 B,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568E2A1C" w14:textId="77777777" w:rsidTr="00DE2FA6">
        <w:trPr>
          <w:trHeight w:val="135"/>
          <w:jc w:val="center"/>
        </w:trPr>
        <w:tc>
          <w:tcPr>
            <w:tcW w:w="763" w:type="dxa"/>
            <w:vAlign w:val="center"/>
          </w:tcPr>
          <w:p w14:paraId="627E9801"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2D9A4025" w14:textId="77777777" w:rsidR="00481AE5" w:rsidRPr="001A3BED" w:rsidRDefault="00481AE5" w:rsidP="00F97B8A">
            <w:pPr>
              <w:jc w:val="both"/>
              <w:rPr>
                <w:rFonts w:ascii="Times New Roman" w:hAnsi="Times New Roman" w:cs="Times New Roman"/>
                <w:b/>
                <w:bCs/>
                <w:sz w:val="20"/>
                <w:szCs w:val="20"/>
              </w:rPr>
            </w:pPr>
            <w:r w:rsidRPr="001A3BED">
              <w:rPr>
                <w:rFonts w:ascii="Times New Roman" w:hAnsi="Times New Roman" w:cs="Times New Roman"/>
                <w:b/>
                <w:bCs/>
                <w:sz w:val="20"/>
                <w:szCs w:val="20"/>
              </w:rPr>
              <w:t>CO₃²⁻, &amp; HCO₃</w:t>
            </w:r>
            <w:proofErr w:type="gramStart"/>
            <w:r w:rsidRPr="001A3BED">
              <w:rPr>
                <w:rFonts w:ascii="Times New Roman" w:hAnsi="Times New Roman" w:cs="Times New Roman"/>
                <w:b/>
                <w:bCs/>
                <w:sz w:val="20"/>
                <w:szCs w:val="20"/>
              </w:rPr>
              <w:t xml:space="preserve">⁻  </w:t>
            </w:r>
            <w:r w:rsidRPr="001A3BED">
              <w:rPr>
                <w:rFonts w:ascii="Times New Roman" w:eastAsia="Times New Roman" w:hAnsi="Times New Roman" w:cs="Times New Roman"/>
                <w:b/>
                <w:bCs/>
                <w:kern w:val="0"/>
                <w:sz w:val="20"/>
                <w:szCs w:val="20"/>
                <w:lang w:eastAsia="en-IN"/>
                <w14:ligatures w14:val="none"/>
              </w:rPr>
              <w:t>mg</w:t>
            </w:r>
            <w:proofErr w:type="gramEnd"/>
            <w:r w:rsidRPr="001A3BED">
              <w:rPr>
                <w:rFonts w:ascii="Times New Roman" w:eastAsia="Times New Roman" w:hAnsi="Times New Roman" w:cs="Times New Roman"/>
                <w:b/>
                <w:bCs/>
                <w:kern w:val="0"/>
                <w:sz w:val="20"/>
                <w:szCs w:val="20"/>
                <w:lang w:eastAsia="en-IN"/>
                <w14:ligatures w14:val="none"/>
              </w:rPr>
              <w:t>/L</w:t>
            </w:r>
          </w:p>
        </w:tc>
        <w:tc>
          <w:tcPr>
            <w:tcW w:w="3818" w:type="dxa"/>
            <w:vMerge/>
            <w:vAlign w:val="center"/>
          </w:tcPr>
          <w:p w14:paraId="119BA6DB"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p>
        </w:tc>
        <w:tc>
          <w:tcPr>
            <w:tcW w:w="2669" w:type="dxa"/>
            <w:vAlign w:val="center"/>
          </w:tcPr>
          <w:p w14:paraId="1B5CEA1D" w14:textId="77777777" w:rsidR="00481AE5" w:rsidRPr="00B1783B" w:rsidRDefault="00481AE5" w:rsidP="00F97B8A">
            <w:pPr>
              <w:jc w:val="both"/>
              <w:rPr>
                <w:rFonts w:ascii="Times New Roman" w:hAnsi="Times New Roman" w:cs="Times New Roman"/>
                <w:sz w:val="20"/>
                <w:szCs w:val="20"/>
              </w:rPr>
            </w:pPr>
            <w:r w:rsidRPr="00B1783B">
              <w:rPr>
                <w:rFonts w:ascii="Times New Roman" w:hAnsi="Times New Roman" w:cs="Times New Roman"/>
                <w:sz w:val="20"/>
                <w:szCs w:val="20"/>
              </w:rPr>
              <w:t>APHA 2340 B, 23 Ed</w:t>
            </w:r>
          </w:p>
        </w:tc>
      </w:tr>
      <w:tr w:rsidR="00481AE5" w:rsidRPr="00B1783B" w14:paraId="27FF23B3" w14:textId="77777777" w:rsidTr="00DE2FA6">
        <w:trPr>
          <w:trHeight w:val="135"/>
          <w:jc w:val="center"/>
        </w:trPr>
        <w:tc>
          <w:tcPr>
            <w:tcW w:w="763" w:type="dxa"/>
            <w:vAlign w:val="center"/>
          </w:tcPr>
          <w:p w14:paraId="26F24A44"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3817E13B"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eastAsia="Times New Roman" w:hAnsi="Times New Roman" w:cs="Times New Roman"/>
                <w:b/>
                <w:bCs/>
                <w:kern w:val="0"/>
                <w:sz w:val="20"/>
                <w:szCs w:val="20"/>
                <w:lang w:eastAsia="en-IN"/>
                <w14:ligatures w14:val="none"/>
              </w:rPr>
              <w:t>Cl</w:t>
            </w:r>
            <w:r w:rsidRPr="001A3BED">
              <w:rPr>
                <w:rFonts w:ascii="Times New Roman" w:eastAsia="Times New Roman" w:hAnsi="Times New Roman" w:cs="Times New Roman"/>
                <w:b/>
                <w:bCs/>
                <w:kern w:val="0"/>
                <w:sz w:val="20"/>
                <w:szCs w:val="20"/>
                <w:vertAlign w:val="superscript"/>
                <w:lang w:eastAsia="en-IN"/>
                <w14:ligatures w14:val="none"/>
              </w:rPr>
              <w:t xml:space="preserve">– </w:t>
            </w:r>
            <w:r w:rsidRPr="001A3BED">
              <w:rPr>
                <w:rFonts w:ascii="Times New Roman" w:eastAsia="Times New Roman" w:hAnsi="Times New Roman" w:cs="Times New Roman"/>
                <w:b/>
                <w:bCs/>
                <w:kern w:val="0"/>
                <w:sz w:val="20"/>
                <w:szCs w:val="20"/>
                <w:lang w:eastAsia="en-IN"/>
                <w14:ligatures w14:val="none"/>
              </w:rPr>
              <w:t>mg/L</w:t>
            </w:r>
          </w:p>
        </w:tc>
        <w:tc>
          <w:tcPr>
            <w:tcW w:w="3818" w:type="dxa"/>
            <w:vAlign w:val="center"/>
          </w:tcPr>
          <w:p w14:paraId="072855B3"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Argentometric Method</w:t>
            </w:r>
          </w:p>
        </w:tc>
        <w:tc>
          <w:tcPr>
            <w:tcW w:w="2669" w:type="dxa"/>
            <w:vAlign w:val="center"/>
          </w:tcPr>
          <w:p w14:paraId="316C6F86" w14:textId="77777777" w:rsidR="00481AE5" w:rsidRPr="00B1783B" w:rsidRDefault="00481AE5" w:rsidP="00F97B8A">
            <w:pPr>
              <w:jc w:val="both"/>
              <w:rPr>
                <w:rFonts w:ascii="Times New Roman" w:hAnsi="Times New Roman" w:cs="Times New Roman"/>
                <w:sz w:val="20"/>
                <w:szCs w:val="20"/>
              </w:rPr>
            </w:pPr>
            <w:r w:rsidRPr="00B1783B">
              <w:rPr>
                <w:rFonts w:ascii="Times New Roman" w:hAnsi="Times New Roman" w:cs="Times New Roman"/>
                <w:sz w:val="20"/>
                <w:szCs w:val="20"/>
              </w:rPr>
              <w:t>APHA  4500-Cl</w:t>
            </w:r>
            <w:r w:rsidRPr="00B1783B">
              <w:rPr>
                <w:rFonts w:ascii="Times New Roman" w:hAnsi="Times New Roman" w:cs="Times New Roman"/>
                <w:sz w:val="20"/>
                <w:szCs w:val="20"/>
                <w:vertAlign w:val="superscript"/>
              </w:rPr>
              <w:t xml:space="preserve">– </w:t>
            </w:r>
            <w:r w:rsidRPr="00B1783B">
              <w:rPr>
                <w:rFonts w:ascii="Times New Roman" w:hAnsi="Times New Roman" w:cs="Times New Roman"/>
                <w:sz w:val="20"/>
                <w:szCs w:val="20"/>
              </w:rPr>
              <w:t>B,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6343BD31" w14:textId="77777777" w:rsidTr="00DE2FA6">
        <w:trPr>
          <w:trHeight w:val="135"/>
          <w:jc w:val="center"/>
        </w:trPr>
        <w:tc>
          <w:tcPr>
            <w:tcW w:w="763" w:type="dxa"/>
            <w:vAlign w:val="center"/>
          </w:tcPr>
          <w:p w14:paraId="02095077"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hideMark/>
          </w:tcPr>
          <w:p w14:paraId="3A608ED1" w14:textId="77777777" w:rsidR="00481AE5" w:rsidRPr="001A3BED" w:rsidRDefault="00481AE5" w:rsidP="00F97B8A">
            <w:pPr>
              <w:jc w:val="both"/>
              <w:rPr>
                <w:rFonts w:ascii="Times New Roman" w:eastAsia="Times New Roman" w:hAnsi="Times New Roman" w:cs="Times New Roman"/>
                <w:b/>
                <w:bCs/>
                <w:kern w:val="0"/>
                <w:sz w:val="20"/>
                <w:szCs w:val="20"/>
                <w:lang w:eastAsia="en-IN"/>
                <w14:ligatures w14:val="none"/>
              </w:rPr>
            </w:pPr>
            <w:r w:rsidRPr="001A3BED">
              <w:rPr>
                <w:rFonts w:ascii="Times New Roman" w:hAnsi="Times New Roman" w:cs="Times New Roman"/>
                <w:b/>
                <w:bCs/>
                <w:sz w:val="20"/>
                <w:szCs w:val="20"/>
              </w:rPr>
              <w:t>NO</w:t>
            </w:r>
            <w:r w:rsidRPr="001A3BED">
              <w:rPr>
                <w:rFonts w:ascii="Times New Roman" w:hAnsi="Times New Roman" w:cs="Times New Roman"/>
                <w:b/>
                <w:bCs/>
                <w:sz w:val="20"/>
                <w:szCs w:val="20"/>
                <w:vertAlign w:val="subscript"/>
              </w:rPr>
              <w:t>3</w:t>
            </w:r>
            <w:r w:rsidRPr="001A3BED">
              <w:rPr>
                <w:rFonts w:ascii="Times New Roman" w:hAnsi="Times New Roman" w:cs="Times New Roman"/>
                <w:b/>
                <w:bCs/>
                <w:sz w:val="20"/>
                <w:szCs w:val="20"/>
                <w:vertAlign w:val="superscript"/>
              </w:rPr>
              <w:t>−</w:t>
            </w:r>
            <w:r w:rsidRPr="001A3BED">
              <w:rPr>
                <w:rFonts w:ascii="Times New Roman" w:hAnsi="Times New Roman" w:cs="Times New Roman"/>
                <w:b/>
                <w:bCs/>
                <w:sz w:val="20"/>
                <w:szCs w:val="20"/>
              </w:rPr>
              <w:t xml:space="preserve"> </w:t>
            </w:r>
            <w:r w:rsidRPr="001A3BED">
              <w:rPr>
                <w:rFonts w:ascii="Times New Roman" w:eastAsia="Times New Roman" w:hAnsi="Times New Roman" w:cs="Times New Roman"/>
                <w:b/>
                <w:bCs/>
                <w:kern w:val="0"/>
                <w:sz w:val="20"/>
                <w:szCs w:val="20"/>
                <w:lang w:eastAsia="en-IN"/>
                <w14:ligatures w14:val="none"/>
              </w:rPr>
              <w:t>mg/L</w:t>
            </w:r>
          </w:p>
        </w:tc>
        <w:tc>
          <w:tcPr>
            <w:tcW w:w="3818" w:type="dxa"/>
            <w:vAlign w:val="center"/>
            <w:hideMark/>
          </w:tcPr>
          <w:p w14:paraId="2553BA80"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Spectrophotometric Screening Method</w:t>
            </w:r>
          </w:p>
          <w:p w14:paraId="1826916D"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w:t>
            </w:r>
            <w:r w:rsidRPr="00B1783B">
              <w:rPr>
                <w:rFonts w:ascii="Times New Roman" w:hAnsi="Times New Roman" w:cs="Times New Roman"/>
                <w:sz w:val="20"/>
                <w:szCs w:val="20"/>
              </w:rPr>
              <w:t>UV-1900i Shimadzu UV-VIS Spectrophotometer)</w:t>
            </w:r>
          </w:p>
        </w:tc>
        <w:tc>
          <w:tcPr>
            <w:tcW w:w="2669" w:type="dxa"/>
            <w:vAlign w:val="center"/>
          </w:tcPr>
          <w:p w14:paraId="1AA5BCAB"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4500-NO</w:t>
            </w:r>
            <w:r w:rsidRPr="00B1783B">
              <w:rPr>
                <w:rFonts w:ascii="Times New Roman" w:hAnsi="Times New Roman" w:cs="Times New Roman"/>
                <w:sz w:val="20"/>
                <w:szCs w:val="20"/>
                <w:vertAlign w:val="subscript"/>
              </w:rPr>
              <w:t>3</w:t>
            </w:r>
            <w:r w:rsidRPr="00B1783B">
              <w:rPr>
                <w:rFonts w:ascii="Times New Roman" w:hAnsi="Times New Roman" w:cs="Times New Roman"/>
                <w:sz w:val="20"/>
                <w:szCs w:val="20"/>
                <w:vertAlign w:val="superscript"/>
              </w:rPr>
              <w:t xml:space="preserve">– </w:t>
            </w:r>
            <w:r w:rsidRPr="00B1783B">
              <w:rPr>
                <w:rFonts w:ascii="Times New Roman" w:hAnsi="Times New Roman" w:cs="Times New Roman"/>
                <w:sz w:val="20"/>
                <w:szCs w:val="20"/>
              </w:rPr>
              <w:t>B,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0E9B6B33" w14:textId="77777777" w:rsidTr="00DE2FA6">
        <w:trPr>
          <w:trHeight w:val="135"/>
          <w:jc w:val="center"/>
        </w:trPr>
        <w:tc>
          <w:tcPr>
            <w:tcW w:w="763" w:type="dxa"/>
            <w:vAlign w:val="center"/>
          </w:tcPr>
          <w:p w14:paraId="38BDEF2C"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698D33D0" w14:textId="77777777" w:rsidR="00481AE5" w:rsidRPr="001A3BED" w:rsidRDefault="00481AE5" w:rsidP="00F97B8A">
            <w:pPr>
              <w:jc w:val="both"/>
              <w:rPr>
                <w:rFonts w:ascii="Times New Roman" w:hAnsi="Times New Roman" w:cs="Times New Roman"/>
                <w:b/>
                <w:bCs/>
                <w:sz w:val="20"/>
                <w:szCs w:val="20"/>
              </w:rPr>
            </w:pPr>
            <w:r w:rsidRPr="001A3BED">
              <w:rPr>
                <w:rFonts w:ascii="Times New Roman" w:hAnsi="Times New Roman" w:cs="Times New Roman"/>
                <w:b/>
                <w:bCs/>
                <w:sz w:val="20"/>
                <w:szCs w:val="20"/>
              </w:rPr>
              <w:t>F</w:t>
            </w:r>
            <w:r w:rsidRPr="001A3BED">
              <w:rPr>
                <w:rFonts w:ascii="Times New Roman" w:hAnsi="Times New Roman" w:cs="Times New Roman"/>
                <w:b/>
                <w:bCs/>
                <w:sz w:val="20"/>
                <w:szCs w:val="20"/>
                <w:vertAlign w:val="superscript"/>
              </w:rPr>
              <w:t>−</w:t>
            </w:r>
            <w:r>
              <w:rPr>
                <w:rFonts w:ascii="Times New Roman" w:hAnsi="Times New Roman" w:cs="Times New Roman"/>
                <w:b/>
                <w:bCs/>
                <w:sz w:val="20"/>
                <w:szCs w:val="20"/>
                <w:vertAlign w:val="superscript"/>
              </w:rPr>
              <w:t xml:space="preserve"> </w:t>
            </w:r>
            <w:r w:rsidRPr="001A3BED">
              <w:rPr>
                <w:rFonts w:ascii="Times New Roman" w:eastAsia="Times New Roman" w:hAnsi="Times New Roman" w:cs="Times New Roman"/>
                <w:b/>
                <w:bCs/>
                <w:kern w:val="0"/>
                <w:sz w:val="20"/>
                <w:szCs w:val="20"/>
                <w:lang w:eastAsia="en-IN"/>
                <w14:ligatures w14:val="none"/>
              </w:rPr>
              <w:t>mg/L</w:t>
            </w:r>
          </w:p>
        </w:tc>
        <w:tc>
          <w:tcPr>
            <w:tcW w:w="3818" w:type="dxa"/>
            <w:vAlign w:val="center"/>
          </w:tcPr>
          <w:p w14:paraId="6909A1AE"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SPADNS Method</w:t>
            </w:r>
          </w:p>
          <w:p w14:paraId="318C785D"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eastAsia="Times New Roman" w:hAnsi="Times New Roman" w:cs="Times New Roman"/>
                <w:kern w:val="0"/>
                <w:sz w:val="20"/>
                <w:szCs w:val="20"/>
                <w:lang w:eastAsia="en-IN"/>
                <w14:ligatures w14:val="none"/>
              </w:rPr>
              <w:t>(</w:t>
            </w:r>
            <w:r w:rsidRPr="00B1783B">
              <w:rPr>
                <w:rFonts w:ascii="Times New Roman" w:hAnsi="Times New Roman" w:cs="Times New Roman"/>
                <w:sz w:val="20"/>
                <w:szCs w:val="20"/>
              </w:rPr>
              <w:t>UV-1900i Shimadzu UV-VIS Spectrophotometer)</w:t>
            </w:r>
          </w:p>
        </w:tc>
        <w:tc>
          <w:tcPr>
            <w:tcW w:w="2669" w:type="dxa"/>
            <w:vAlign w:val="center"/>
          </w:tcPr>
          <w:p w14:paraId="74F24DB1"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4500-F</w:t>
            </w:r>
            <w:r w:rsidRPr="00B1783B">
              <w:rPr>
                <w:rFonts w:ascii="Times New Roman" w:hAnsi="Times New Roman" w:cs="Times New Roman"/>
                <w:sz w:val="20"/>
                <w:szCs w:val="20"/>
                <w:vertAlign w:val="superscript"/>
              </w:rPr>
              <w:t xml:space="preserve">– </w:t>
            </w:r>
            <w:r w:rsidRPr="00B1783B">
              <w:rPr>
                <w:rFonts w:ascii="Times New Roman" w:hAnsi="Times New Roman" w:cs="Times New Roman"/>
                <w:sz w:val="20"/>
                <w:szCs w:val="20"/>
              </w:rPr>
              <w:t>D,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36418264" w14:textId="77777777" w:rsidTr="00DE2FA6">
        <w:trPr>
          <w:trHeight w:val="135"/>
          <w:jc w:val="center"/>
        </w:trPr>
        <w:tc>
          <w:tcPr>
            <w:tcW w:w="763" w:type="dxa"/>
            <w:vAlign w:val="center"/>
          </w:tcPr>
          <w:p w14:paraId="7B6C4C94"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04C2CDCB" w14:textId="77777777" w:rsidR="00481AE5" w:rsidRPr="001A3BED" w:rsidRDefault="00481AE5" w:rsidP="00F97B8A">
            <w:pPr>
              <w:jc w:val="both"/>
              <w:rPr>
                <w:rFonts w:ascii="Times New Roman" w:hAnsi="Times New Roman" w:cs="Times New Roman"/>
                <w:b/>
                <w:bCs/>
                <w:sz w:val="20"/>
                <w:szCs w:val="20"/>
              </w:rPr>
            </w:pPr>
            <w:r w:rsidRPr="001A3BED">
              <w:rPr>
                <w:rFonts w:ascii="Times New Roman" w:hAnsi="Times New Roman" w:cs="Times New Roman"/>
                <w:b/>
                <w:bCs/>
                <w:sz w:val="20"/>
                <w:szCs w:val="20"/>
              </w:rPr>
              <w:t>SO</w:t>
            </w:r>
            <w:r w:rsidRPr="001A3BED">
              <w:rPr>
                <w:rFonts w:ascii="Times New Roman" w:hAnsi="Times New Roman" w:cs="Times New Roman"/>
                <w:b/>
                <w:bCs/>
                <w:sz w:val="20"/>
                <w:szCs w:val="20"/>
                <w:vertAlign w:val="subscript"/>
              </w:rPr>
              <w:t>4</w:t>
            </w:r>
            <w:r w:rsidRPr="001A3BED">
              <w:rPr>
                <w:rFonts w:ascii="Times New Roman" w:hAnsi="Times New Roman" w:cs="Times New Roman"/>
                <w:b/>
                <w:bCs/>
                <w:sz w:val="20"/>
                <w:szCs w:val="20"/>
                <w:vertAlign w:val="superscript"/>
              </w:rPr>
              <w:t>2−</w:t>
            </w:r>
            <w:r w:rsidRPr="001A3BED">
              <w:rPr>
                <w:rFonts w:ascii="Times New Roman" w:hAnsi="Times New Roman" w:cs="Times New Roman"/>
                <w:b/>
                <w:bCs/>
                <w:sz w:val="20"/>
                <w:szCs w:val="20"/>
              </w:rPr>
              <w:t xml:space="preserve"> </w:t>
            </w:r>
            <w:r w:rsidRPr="001A3BED">
              <w:rPr>
                <w:rFonts w:ascii="Times New Roman" w:eastAsia="Times New Roman" w:hAnsi="Times New Roman" w:cs="Times New Roman"/>
                <w:b/>
                <w:bCs/>
                <w:kern w:val="0"/>
                <w:sz w:val="20"/>
                <w:szCs w:val="20"/>
                <w:lang w:eastAsia="en-IN"/>
                <w14:ligatures w14:val="none"/>
              </w:rPr>
              <w:t>mg/L</w:t>
            </w:r>
          </w:p>
        </w:tc>
        <w:tc>
          <w:tcPr>
            <w:tcW w:w="3818" w:type="dxa"/>
            <w:vAlign w:val="center"/>
          </w:tcPr>
          <w:p w14:paraId="405D9A52" w14:textId="77777777" w:rsidR="00481AE5" w:rsidRPr="00B1783B" w:rsidRDefault="00481AE5" w:rsidP="00F97B8A">
            <w:pPr>
              <w:jc w:val="both"/>
              <w:rPr>
                <w:rFonts w:ascii="Times New Roman" w:hAnsi="Times New Roman" w:cs="Times New Roman"/>
                <w:sz w:val="20"/>
                <w:szCs w:val="20"/>
              </w:rPr>
            </w:pPr>
            <w:r w:rsidRPr="00B1783B">
              <w:rPr>
                <w:rFonts w:ascii="Times New Roman" w:hAnsi="Times New Roman" w:cs="Times New Roman"/>
                <w:sz w:val="20"/>
                <w:szCs w:val="20"/>
              </w:rPr>
              <w:t>Turbidimetric Method</w:t>
            </w:r>
          </w:p>
          <w:p w14:paraId="61F610C2"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(UV-1900i Shimadzu UV-VIS Spectrophotometer)</w:t>
            </w:r>
          </w:p>
        </w:tc>
        <w:tc>
          <w:tcPr>
            <w:tcW w:w="2669" w:type="dxa"/>
            <w:vAlign w:val="center"/>
          </w:tcPr>
          <w:p w14:paraId="37EDBB91"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4500-SO</w:t>
            </w:r>
            <w:r w:rsidRPr="00B1783B">
              <w:rPr>
                <w:rFonts w:ascii="Times New Roman" w:hAnsi="Times New Roman" w:cs="Times New Roman"/>
                <w:sz w:val="20"/>
                <w:szCs w:val="20"/>
                <w:vertAlign w:val="subscript"/>
              </w:rPr>
              <w:t>4</w:t>
            </w:r>
            <w:r w:rsidRPr="00B1783B">
              <w:rPr>
                <w:rFonts w:ascii="Times New Roman" w:hAnsi="Times New Roman" w:cs="Times New Roman"/>
                <w:sz w:val="20"/>
                <w:szCs w:val="20"/>
                <w:vertAlign w:val="superscript"/>
              </w:rPr>
              <w:t xml:space="preserve">2– </w:t>
            </w:r>
            <w:r w:rsidRPr="00B1783B">
              <w:rPr>
                <w:rFonts w:ascii="Times New Roman" w:hAnsi="Times New Roman" w:cs="Times New Roman"/>
                <w:sz w:val="20"/>
                <w:szCs w:val="20"/>
              </w:rPr>
              <w:t>E,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r w:rsidR="00481AE5" w:rsidRPr="00B1783B" w14:paraId="0070DDE6" w14:textId="77777777" w:rsidTr="00DE2FA6">
        <w:trPr>
          <w:trHeight w:val="135"/>
          <w:jc w:val="center"/>
        </w:trPr>
        <w:tc>
          <w:tcPr>
            <w:tcW w:w="763" w:type="dxa"/>
            <w:vAlign w:val="center"/>
          </w:tcPr>
          <w:p w14:paraId="0A341292" w14:textId="77777777" w:rsidR="00481AE5" w:rsidRPr="00B1783B" w:rsidRDefault="00481AE5" w:rsidP="00F97B8A">
            <w:pPr>
              <w:pStyle w:val="ListParagraph"/>
              <w:numPr>
                <w:ilvl w:val="0"/>
                <w:numId w:val="1"/>
              </w:numPr>
              <w:jc w:val="center"/>
              <w:rPr>
                <w:rFonts w:ascii="Times New Roman" w:eastAsia="Times New Roman" w:hAnsi="Times New Roman" w:cs="Times New Roman"/>
                <w:kern w:val="0"/>
                <w:sz w:val="20"/>
                <w:szCs w:val="20"/>
                <w:lang w:eastAsia="en-IN"/>
                <w14:ligatures w14:val="none"/>
              </w:rPr>
            </w:pPr>
          </w:p>
        </w:tc>
        <w:tc>
          <w:tcPr>
            <w:tcW w:w="3201" w:type="dxa"/>
            <w:vAlign w:val="center"/>
          </w:tcPr>
          <w:p w14:paraId="0AB90F28" w14:textId="77777777" w:rsidR="00481AE5" w:rsidRPr="001A3BED" w:rsidRDefault="00481AE5" w:rsidP="00F97B8A">
            <w:pPr>
              <w:jc w:val="both"/>
              <w:rPr>
                <w:rFonts w:ascii="Times New Roman" w:hAnsi="Times New Roman" w:cs="Times New Roman"/>
                <w:b/>
                <w:bCs/>
                <w:sz w:val="20"/>
                <w:szCs w:val="20"/>
              </w:rPr>
            </w:pPr>
            <w:r w:rsidRPr="001A3BED">
              <w:rPr>
                <w:rFonts w:ascii="Times New Roman" w:hAnsi="Times New Roman" w:cs="Times New Roman"/>
                <w:b/>
                <w:bCs/>
                <w:sz w:val="20"/>
                <w:szCs w:val="20"/>
              </w:rPr>
              <w:t>PO</w:t>
            </w:r>
            <w:r w:rsidRPr="001A3BED">
              <w:rPr>
                <w:rFonts w:ascii="Times New Roman" w:hAnsi="Times New Roman" w:cs="Times New Roman"/>
                <w:b/>
                <w:bCs/>
                <w:sz w:val="20"/>
                <w:szCs w:val="20"/>
                <w:vertAlign w:val="subscript"/>
              </w:rPr>
              <w:t>4</w:t>
            </w:r>
            <w:r w:rsidRPr="001A3BED">
              <w:rPr>
                <w:rFonts w:ascii="Times New Roman" w:hAnsi="Times New Roman" w:cs="Times New Roman"/>
                <w:b/>
                <w:bCs/>
                <w:sz w:val="20"/>
                <w:szCs w:val="20"/>
                <w:vertAlign w:val="superscript"/>
              </w:rPr>
              <w:t>2-</w:t>
            </w:r>
            <w:r w:rsidRPr="001A3BED">
              <w:rPr>
                <w:rFonts w:ascii="Times New Roman" w:hAnsi="Times New Roman" w:cs="Times New Roman"/>
                <w:b/>
                <w:bCs/>
                <w:sz w:val="20"/>
                <w:szCs w:val="20"/>
              </w:rPr>
              <w:t xml:space="preserve"> </w:t>
            </w:r>
            <w:r w:rsidRPr="001A3BED">
              <w:rPr>
                <w:rFonts w:ascii="Times New Roman" w:eastAsia="Times New Roman" w:hAnsi="Times New Roman" w:cs="Times New Roman"/>
                <w:b/>
                <w:bCs/>
                <w:kern w:val="0"/>
                <w:sz w:val="20"/>
                <w:szCs w:val="20"/>
                <w:lang w:eastAsia="en-IN"/>
                <w14:ligatures w14:val="none"/>
              </w:rPr>
              <w:t>mg/L</w:t>
            </w:r>
          </w:p>
        </w:tc>
        <w:tc>
          <w:tcPr>
            <w:tcW w:w="3818" w:type="dxa"/>
            <w:vAlign w:val="center"/>
          </w:tcPr>
          <w:p w14:paraId="78873A22" w14:textId="77777777" w:rsidR="00481AE5" w:rsidRPr="00B1783B" w:rsidRDefault="00481AE5" w:rsidP="00F97B8A">
            <w:pPr>
              <w:jc w:val="both"/>
              <w:rPr>
                <w:rFonts w:ascii="Times New Roman" w:hAnsi="Times New Roman" w:cs="Times New Roman"/>
                <w:sz w:val="20"/>
                <w:szCs w:val="20"/>
              </w:rPr>
            </w:pPr>
            <w:r w:rsidRPr="00B1783B">
              <w:rPr>
                <w:rFonts w:ascii="Times New Roman" w:hAnsi="Times New Roman" w:cs="Times New Roman"/>
                <w:sz w:val="20"/>
                <w:szCs w:val="20"/>
              </w:rPr>
              <w:t>Ascorbic Acid Method</w:t>
            </w:r>
          </w:p>
          <w:p w14:paraId="76CE2AED"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(UV-1900i Shimadzu UV-VIS Spectrophotometer)</w:t>
            </w:r>
          </w:p>
        </w:tc>
        <w:tc>
          <w:tcPr>
            <w:tcW w:w="2669" w:type="dxa"/>
            <w:vAlign w:val="center"/>
          </w:tcPr>
          <w:p w14:paraId="5E51BA9C" w14:textId="77777777" w:rsidR="00481AE5" w:rsidRPr="00B1783B" w:rsidRDefault="00481AE5" w:rsidP="00F97B8A">
            <w:pPr>
              <w:jc w:val="both"/>
              <w:rPr>
                <w:rFonts w:ascii="Times New Roman" w:eastAsia="Times New Roman" w:hAnsi="Times New Roman" w:cs="Times New Roman"/>
                <w:kern w:val="0"/>
                <w:sz w:val="20"/>
                <w:szCs w:val="20"/>
                <w:lang w:eastAsia="en-IN"/>
                <w14:ligatures w14:val="none"/>
              </w:rPr>
            </w:pPr>
            <w:r w:rsidRPr="00B1783B">
              <w:rPr>
                <w:rFonts w:ascii="Times New Roman" w:hAnsi="Times New Roman" w:cs="Times New Roman"/>
                <w:sz w:val="20"/>
                <w:szCs w:val="20"/>
              </w:rPr>
              <w:t>APHA  4500-P E, 23</w:t>
            </w:r>
            <w:r w:rsidRPr="00B1783B">
              <w:rPr>
                <w:rFonts w:ascii="Times New Roman" w:hAnsi="Times New Roman" w:cs="Times New Roman"/>
                <w:sz w:val="20"/>
                <w:szCs w:val="20"/>
                <w:vertAlign w:val="superscript"/>
              </w:rPr>
              <w:t>rd</w:t>
            </w:r>
            <w:r w:rsidRPr="00B1783B">
              <w:rPr>
                <w:rFonts w:ascii="Times New Roman" w:hAnsi="Times New Roman" w:cs="Times New Roman"/>
                <w:sz w:val="20"/>
                <w:szCs w:val="20"/>
              </w:rPr>
              <w:t xml:space="preserve"> Ed</w:t>
            </w:r>
          </w:p>
        </w:tc>
      </w:tr>
    </w:tbl>
    <w:p w14:paraId="7918D95C" w14:textId="07F6B985" w:rsidR="00690FEA" w:rsidRPr="00EA19F0" w:rsidRDefault="00463DEE" w:rsidP="003261F5">
      <w:pPr>
        <w:spacing w:after="0" w:line="240" w:lineRule="auto"/>
        <w:jc w:val="both"/>
        <w:rPr>
          <w:rFonts w:asciiTheme="minorBidi" w:eastAsia="Times New Roman" w:hAnsiTheme="minorBidi"/>
          <w:i/>
          <w:iCs/>
          <w:kern w:val="0"/>
          <w:sz w:val="24"/>
          <w:szCs w:val="24"/>
          <w:lang w:eastAsia="en-IN"/>
          <w14:ligatures w14:val="none"/>
        </w:rPr>
      </w:pPr>
      <w:r w:rsidRPr="00EA19F0">
        <w:rPr>
          <w:rFonts w:asciiTheme="minorBidi" w:eastAsia="Times New Roman" w:hAnsiTheme="minorBidi"/>
          <w:i/>
          <w:iCs/>
          <w:kern w:val="0"/>
          <w:sz w:val="24"/>
          <w:szCs w:val="24"/>
          <w:lang w:eastAsia="en-IN"/>
          <w14:ligatures w14:val="none"/>
        </w:rPr>
        <w:t>2</w:t>
      </w:r>
      <w:r w:rsidR="00BF6DE0" w:rsidRPr="00EA19F0">
        <w:rPr>
          <w:rFonts w:asciiTheme="minorBidi" w:eastAsia="Times New Roman" w:hAnsiTheme="minorBidi"/>
          <w:i/>
          <w:iCs/>
          <w:kern w:val="0"/>
          <w:sz w:val="24"/>
          <w:szCs w:val="24"/>
          <w:lang w:eastAsia="en-IN"/>
          <w14:ligatures w14:val="none"/>
        </w:rPr>
        <w:t>.1</w:t>
      </w:r>
      <w:r w:rsidR="00690FEA" w:rsidRPr="00EA19F0">
        <w:rPr>
          <w:rFonts w:asciiTheme="minorBidi" w:eastAsia="Times New Roman" w:hAnsiTheme="minorBidi"/>
          <w:i/>
          <w:iCs/>
          <w:kern w:val="0"/>
          <w:sz w:val="24"/>
          <w:szCs w:val="24"/>
          <w:lang w:eastAsia="en-IN"/>
          <w14:ligatures w14:val="none"/>
        </w:rPr>
        <w:t xml:space="preserve"> Quality Assurance</w:t>
      </w:r>
    </w:p>
    <w:p w14:paraId="4957A777" w14:textId="51AC164E" w:rsidR="00690FEA" w:rsidRPr="00EA19F0" w:rsidRDefault="00690FEA" w:rsidP="003261F5">
      <w:pPr>
        <w:spacing w:after="0" w:line="240" w:lineRule="auto"/>
        <w:jc w:val="both"/>
        <w:rPr>
          <w:rFonts w:asciiTheme="minorBidi" w:eastAsia="Times New Roman" w:hAnsiTheme="minorBidi"/>
          <w:kern w:val="0"/>
          <w:sz w:val="24"/>
          <w:szCs w:val="24"/>
          <w:lang w:eastAsia="en-IN"/>
          <w14:ligatures w14:val="none"/>
        </w:rPr>
      </w:pPr>
      <w:r w:rsidRPr="00EA19F0">
        <w:rPr>
          <w:rFonts w:asciiTheme="minorBidi" w:hAnsiTheme="minorBidi"/>
          <w:sz w:val="24"/>
          <w:szCs w:val="24"/>
        </w:rPr>
        <w:t xml:space="preserve">To ascertain the accuracy of </w:t>
      </w:r>
      <w:r w:rsidRPr="00EA19F0">
        <w:rPr>
          <w:rFonts w:asciiTheme="minorBidi" w:eastAsiaTheme="minorEastAsia" w:hAnsiTheme="minorBidi"/>
          <w:sz w:val="24"/>
          <w:szCs w:val="24"/>
        </w:rPr>
        <w:t xml:space="preserve">the </w:t>
      </w:r>
      <w:r w:rsidR="00833993" w:rsidRPr="00EA19F0">
        <w:rPr>
          <w:rFonts w:asciiTheme="minorBidi" w:eastAsiaTheme="minorEastAsia" w:hAnsiTheme="minorBidi"/>
          <w:sz w:val="24"/>
          <w:szCs w:val="24"/>
        </w:rPr>
        <w:t>analytical</w:t>
      </w:r>
      <w:r w:rsidRPr="00EA19F0">
        <w:rPr>
          <w:rFonts w:asciiTheme="minorBidi" w:eastAsiaTheme="minorEastAsia" w:hAnsiTheme="minorBidi"/>
          <w:sz w:val="24"/>
          <w:szCs w:val="24"/>
        </w:rPr>
        <w:t xml:space="preserve"> </w:t>
      </w:r>
      <w:r w:rsidRPr="00EA19F0">
        <w:rPr>
          <w:rFonts w:asciiTheme="minorBidi" w:hAnsiTheme="minorBidi"/>
          <w:sz w:val="24"/>
          <w:szCs w:val="24"/>
        </w:rPr>
        <w:t>results</w:t>
      </w:r>
      <w:r w:rsidRPr="00EA19F0">
        <w:rPr>
          <w:rFonts w:asciiTheme="minorBidi" w:eastAsiaTheme="minorEastAsia" w:hAnsiTheme="minorBidi"/>
          <w:sz w:val="24"/>
          <w:szCs w:val="24"/>
        </w:rPr>
        <w:t xml:space="preserve">, standard quality assurance checks </w:t>
      </w:r>
      <w:r w:rsidR="00833993" w:rsidRPr="00EA19F0">
        <w:rPr>
          <w:rFonts w:asciiTheme="minorBidi" w:eastAsiaTheme="minorEastAsia" w:hAnsiTheme="minorBidi"/>
          <w:sz w:val="24"/>
          <w:szCs w:val="24"/>
        </w:rPr>
        <w:t>were</w:t>
      </w:r>
      <w:r w:rsidRPr="00EA19F0">
        <w:rPr>
          <w:rFonts w:asciiTheme="minorBidi" w:eastAsiaTheme="minorEastAsia" w:hAnsiTheme="minorBidi"/>
          <w:sz w:val="24"/>
          <w:szCs w:val="24"/>
        </w:rPr>
        <w:t xml:space="preserve"> applied </w:t>
      </w:r>
      <w:r w:rsidR="00833993" w:rsidRPr="00EA19F0">
        <w:rPr>
          <w:rFonts w:asciiTheme="minorBidi" w:eastAsiaTheme="minorEastAsia" w:hAnsiTheme="minorBidi"/>
          <w:sz w:val="24"/>
          <w:szCs w:val="24"/>
        </w:rPr>
        <w:t xml:space="preserve">according to the </w:t>
      </w:r>
      <w:r w:rsidRPr="00EA19F0">
        <w:rPr>
          <w:rFonts w:asciiTheme="minorBidi" w:eastAsiaTheme="minorEastAsia" w:hAnsiTheme="minorBidi"/>
          <w:sz w:val="24"/>
          <w:szCs w:val="24"/>
        </w:rPr>
        <w:t xml:space="preserve">Standard </w:t>
      </w:r>
      <w:r w:rsidR="00833993" w:rsidRPr="00EA19F0">
        <w:rPr>
          <w:rFonts w:asciiTheme="minorBidi" w:eastAsiaTheme="minorEastAsia" w:hAnsiTheme="minorBidi"/>
          <w:sz w:val="24"/>
          <w:szCs w:val="24"/>
        </w:rPr>
        <w:t>Methods</w:t>
      </w:r>
      <w:r w:rsidRPr="00EA19F0">
        <w:rPr>
          <w:rFonts w:asciiTheme="minorBidi" w:eastAsiaTheme="minorEastAsia" w:hAnsiTheme="minorBidi"/>
          <w:sz w:val="24"/>
          <w:szCs w:val="24"/>
        </w:rPr>
        <w:t xml:space="preserve"> for the </w:t>
      </w:r>
      <w:r w:rsidR="00833993" w:rsidRPr="00EA19F0">
        <w:rPr>
          <w:rFonts w:asciiTheme="minorBidi" w:eastAsiaTheme="minorEastAsia" w:hAnsiTheme="minorBidi"/>
          <w:sz w:val="24"/>
          <w:szCs w:val="24"/>
        </w:rPr>
        <w:t>Examination</w:t>
      </w:r>
      <w:r w:rsidRPr="00EA19F0">
        <w:rPr>
          <w:rFonts w:asciiTheme="minorBidi" w:eastAsiaTheme="minorEastAsia" w:hAnsiTheme="minorBidi"/>
          <w:sz w:val="24"/>
          <w:szCs w:val="24"/>
        </w:rPr>
        <w:t xml:space="preserve"> of </w:t>
      </w:r>
      <w:r w:rsidR="00833993" w:rsidRPr="00EA19F0">
        <w:rPr>
          <w:rFonts w:asciiTheme="minorBidi" w:eastAsiaTheme="minorEastAsia" w:hAnsiTheme="minorBidi"/>
          <w:sz w:val="24"/>
          <w:szCs w:val="24"/>
        </w:rPr>
        <w:t>Water</w:t>
      </w:r>
      <w:r w:rsidRPr="00EA19F0">
        <w:rPr>
          <w:rFonts w:asciiTheme="minorBidi" w:eastAsiaTheme="minorEastAsia" w:hAnsiTheme="minorBidi"/>
          <w:sz w:val="24"/>
          <w:szCs w:val="24"/>
        </w:rPr>
        <w:t xml:space="preserve"> and </w:t>
      </w:r>
      <w:r w:rsidR="00833993" w:rsidRPr="00EA19F0">
        <w:rPr>
          <w:rFonts w:asciiTheme="minorBidi" w:eastAsiaTheme="minorEastAsia" w:hAnsiTheme="minorBidi"/>
          <w:sz w:val="24"/>
          <w:szCs w:val="24"/>
        </w:rPr>
        <w:t>Wastewater</w:t>
      </w:r>
      <w:r w:rsidRPr="00EA19F0">
        <w:rPr>
          <w:rFonts w:asciiTheme="minorBidi" w:eastAsiaTheme="minorEastAsia" w:hAnsiTheme="minorBidi"/>
          <w:sz w:val="24"/>
          <w:szCs w:val="24"/>
        </w:rPr>
        <w:t>, 23</w:t>
      </w:r>
      <w:r w:rsidRPr="00EA19F0">
        <w:rPr>
          <w:rFonts w:asciiTheme="minorBidi" w:eastAsiaTheme="minorEastAsia" w:hAnsiTheme="minorBidi"/>
          <w:sz w:val="24"/>
          <w:szCs w:val="24"/>
          <w:vertAlign w:val="superscript"/>
        </w:rPr>
        <w:t>rd</w:t>
      </w:r>
      <w:r w:rsidRPr="00EA19F0">
        <w:rPr>
          <w:rFonts w:asciiTheme="minorBidi" w:eastAsiaTheme="minorEastAsia" w:hAnsiTheme="minorBidi"/>
          <w:sz w:val="24"/>
          <w:szCs w:val="24"/>
        </w:rPr>
        <w:t xml:space="preserve"> edition</w:t>
      </w:r>
      <w:r w:rsidR="00833993" w:rsidRPr="00EA19F0">
        <w:rPr>
          <w:rFonts w:asciiTheme="minorBidi" w:eastAsiaTheme="minorEastAsia" w:hAnsiTheme="minorBidi"/>
          <w:sz w:val="24"/>
          <w:szCs w:val="24"/>
        </w:rPr>
        <w:t xml:space="preserve">, </w:t>
      </w:r>
      <w:r w:rsidR="00833993" w:rsidRPr="00EA19F0">
        <w:rPr>
          <w:rFonts w:asciiTheme="minorBidi" w:eastAsiaTheme="minorEastAsia" w:hAnsiTheme="minorBidi"/>
          <w:color w:val="0070C0"/>
          <w:sz w:val="24"/>
          <w:szCs w:val="24"/>
        </w:rPr>
        <w:t>APHA (2012</w:t>
      </w:r>
      <w:r w:rsidR="00833993" w:rsidRPr="00EA19F0">
        <w:rPr>
          <w:rFonts w:asciiTheme="minorBidi" w:eastAsiaTheme="minorEastAsia" w:hAnsiTheme="minorBidi"/>
          <w:sz w:val="24"/>
          <w:szCs w:val="24"/>
        </w:rPr>
        <w:t>)</w:t>
      </w:r>
      <w:r w:rsidRPr="00EA19F0">
        <w:rPr>
          <w:rFonts w:asciiTheme="minorBidi" w:eastAsiaTheme="minorEastAsia" w:hAnsiTheme="minorBidi"/>
          <w:sz w:val="24"/>
          <w:szCs w:val="24"/>
        </w:rPr>
        <w:t>:</w:t>
      </w:r>
    </w:p>
    <w:p w14:paraId="42C0629D" w14:textId="2377DE7C" w:rsidR="00690FEA" w:rsidRPr="00EA19F0" w:rsidRDefault="002238FA" w:rsidP="003261F5">
      <w:pPr>
        <w:spacing w:after="0" w:line="240" w:lineRule="auto"/>
        <w:jc w:val="both"/>
        <w:rPr>
          <w:rFonts w:asciiTheme="minorBidi" w:hAnsiTheme="minorBidi"/>
          <w:sz w:val="24"/>
          <w:szCs w:val="24"/>
        </w:rPr>
      </w:pPr>
      <w:r w:rsidRPr="00EA19F0">
        <w:rPr>
          <w:rFonts w:asciiTheme="minorBidi" w:eastAsiaTheme="minorEastAsia" w:hAnsiTheme="minorBidi"/>
          <w:sz w:val="24"/>
          <w:szCs w:val="24"/>
        </w:rPr>
        <w:t>2</w:t>
      </w:r>
      <w:r w:rsidR="00690FEA" w:rsidRPr="00EA19F0">
        <w:rPr>
          <w:rFonts w:asciiTheme="minorBidi" w:eastAsiaTheme="minorEastAsia" w:hAnsiTheme="minorBidi"/>
          <w:sz w:val="24"/>
          <w:szCs w:val="24"/>
        </w:rPr>
        <w:t>.1.</w:t>
      </w:r>
      <w:r w:rsidR="00BF6DE0" w:rsidRPr="00EA19F0">
        <w:rPr>
          <w:rFonts w:asciiTheme="minorBidi" w:eastAsiaTheme="minorEastAsia" w:hAnsiTheme="minorBidi"/>
          <w:sz w:val="24"/>
          <w:szCs w:val="24"/>
        </w:rPr>
        <w:t>1</w:t>
      </w:r>
      <w:r w:rsidR="00690FEA" w:rsidRPr="00EA19F0">
        <w:rPr>
          <w:rFonts w:asciiTheme="minorBidi" w:eastAsiaTheme="minorEastAsia" w:hAnsiTheme="minorBidi"/>
          <w:sz w:val="24"/>
          <w:szCs w:val="24"/>
        </w:rPr>
        <w:t xml:space="preserve"> </w:t>
      </w:r>
      <w:r w:rsidR="00690FEA" w:rsidRPr="00EA19F0">
        <w:rPr>
          <w:rFonts w:asciiTheme="minorBidi" w:hAnsiTheme="minorBidi"/>
          <w:sz w:val="24"/>
          <w:szCs w:val="24"/>
        </w:rPr>
        <w:t>Charge Balance Error (CBE)</w:t>
      </w:r>
    </w:p>
    <w:p w14:paraId="6993E777" w14:textId="2BE6517F" w:rsidR="00690FEA" w:rsidRPr="00EA19F0" w:rsidRDefault="00690FEA" w:rsidP="003261F5">
      <w:pPr>
        <w:spacing w:after="0" w:line="240" w:lineRule="auto"/>
        <w:jc w:val="both"/>
        <w:rPr>
          <w:rFonts w:asciiTheme="minorBidi" w:eastAsiaTheme="minorEastAsia" w:hAnsiTheme="minorBidi"/>
          <w:sz w:val="24"/>
          <w:szCs w:val="24"/>
        </w:rPr>
      </w:pPr>
      <w:r w:rsidRPr="00EA19F0">
        <w:rPr>
          <w:rFonts w:asciiTheme="minorBidi" w:eastAsiaTheme="minorEastAsia" w:hAnsiTheme="minorBidi"/>
          <w:sz w:val="24"/>
          <w:szCs w:val="24"/>
        </w:rPr>
        <w:t xml:space="preserve">The anion–cation balance </w:t>
      </w:r>
      <w:r w:rsidR="00511FEB" w:rsidRPr="00EA19F0">
        <w:rPr>
          <w:rFonts w:asciiTheme="minorBidi" w:eastAsiaTheme="minorEastAsia" w:hAnsiTheme="minorBidi"/>
          <w:sz w:val="24"/>
          <w:szCs w:val="24"/>
        </w:rPr>
        <w:t xml:space="preserve">or </w:t>
      </w:r>
      <w:r w:rsidR="00511FEB" w:rsidRPr="00EA19F0">
        <w:rPr>
          <w:rFonts w:asciiTheme="minorBidi" w:hAnsiTheme="minorBidi"/>
          <w:i/>
          <w:iCs/>
          <w:sz w:val="24"/>
          <w:szCs w:val="24"/>
        </w:rPr>
        <w:t xml:space="preserve">Charge Balance Error (CBE) </w:t>
      </w:r>
      <w:r w:rsidRPr="00EA19F0">
        <w:rPr>
          <w:rFonts w:asciiTheme="minorBidi" w:eastAsiaTheme="minorEastAsia" w:hAnsiTheme="minorBidi"/>
          <w:sz w:val="24"/>
          <w:szCs w:val="24"/>
        </w:rPr>
        <w:t>was calculated by using Eq. (1)</w:t>
      </w:r>
      <w:r w:rsidR="005A473A" w:rsidRPr="00EA19F0">
        <w:rPr>
          <w:rFonts w:asciiTheme="minorBidi" w:eastAsiaTheme="minorEastAsia" w:hAnsiTheme="minorBidi"/>
          <w:sz w:val="24"/>
          <w:szCs w:val="24"/>
        </w:rPr>
        <w:t xml:space="preserve">; </w:t>
      </w:r>
      <w:r w:rsidRPr="00EA19F0">
        <w:rPr>
          <w:rFonts w:asciiTheme="minorBidi" w:eastAsiaTheme="minorEastAsia" w:hAnsiTheme="minorBidi"/>
          <w:sz w:val="24"/>
          <w:szCs w:val="24"/>
        </w:rPr>
        <w:t xml:space="preserve">concentration of </w:t>
      </w:r>
      <w:r w:rsidR="005A473A" w:rsidRPr="00EA19F0">
        <w:rPr>
          <w:rFonts w:asciiTheme="minorBidi" w:eastAsiaTheme="minorEastAsia" w:hAnsiTheme="minorBidi"/>
          <w:sz w:val="24"/>
          <w:szCs w:val="24"/>
        </w:rPr>
        <w:t xml:space="preserve">all the </w:t>
      </w:r>
      <w:r w:rsidRPr="00EA19F0">
        <w:rPr>
          <w:rFonts w:asciiTheme="minorBidi" w:eastAsiaTheme="minorEastAsia" w:hAnsiTheme="minorBidi"/>
          <w:sz w:val="24"/>
          <w:szCs w:val="24"/>
        </w:rPr>
        <w:t xml:space="preserve">ions </w:t>
      </w:r>
      <w:r w:rsidR="005A473A" w:rsidRPr="00EA19F0">
        <w:rPr>
          <w:rFonts w:asciiTheme="minorBidi" w:eastAsiaTheme="minorEastAsia" w:hAnsiTheme="minorBidi"/>
          <w:sz w:val="24"/>
          <w:szCs w:val="24"/>
        </w:rPr>
        <w:t>is expressed</w:t>
      </w:r>
      <w:r w:rsidRPr="00EA19F0">
        <w:rPr>
          <w:rFonts w:asciiTheme="minorBidi" w:eastAsiaTheme="minorEastAsia" w:hAnsiTheme="minorBidi"/>
          <w:sz w:val="24"/>
          <w:szCs w:val="24"/>
        </w:rPr>
        <w:t xml:space="preserve"> in milliequivalent per litre [meq/L]:</w:t>
      </w:r>
    </w:p>
    <w:p w14:paraId="6A23B68A" w14:textId="77777777" w:rsidR="00690FEA" w:rsidRPr="00EA19F0" w:rsidRDefault="00690FEA" w:rsidP="003261F5">
      <w:pPr>
        <w:spacing w:after="0" w:line="240" w:lineRule="auto"/>
        <w:jc w:val="both"/>
        <w:rPr>
          <w:rFonts w:asciiTheme="minorBidi" w:eastAsiaTheme="minorEastAsia" w:hAnsiTheme="minorBidi"/>
          <w:sz w:val="24"/>
          <w:szCs w:val="24"/>
        </w:rPr>
      </w:pPr>
      <m:oMath>
        <m:r>
          <w:rPr>
            <w:rFonts w:ascii="Cambria Math" w:hAnsi="Cambria Math"/>
            <w:sz w:val="24"/>
            <w:szCs w:val="24"/>
          </w:rPr>
          <m:t>CBE=</m:t>
        </m:r>
        <m:f>
          <m:fPr>
            <m:ctrlPr>
              <w:rPr>
                <w:rFonts w:ascii="Cambria Math" w:hAnsi="Cambria Math"/>
                <w:i/>
                <w:iCs/>
                <w:sz w:val="24"/>
                <w:szCs w:val="24"/>
              </w:rPr>
            </m:ctrlPr>
          </m:fPr>
          <m:num>
            <m:nary>
              <m:naryPr>
                <m:chr m:val="∑"/>
                <m:subHide m:val="1"/>
                <m:supHide m:val="1"/>
                <m:ctrlPr>
                  <w:rPr>
                    <w:rFonts w:ascii="Cambria Math" w:hAnsi="Cambria Math"/>
                    <w:i/>
                    <w:iCs/>
                    <w:sz w:val="24"/>
                    <w:szCs w:val="24"/>
                  </w:rPr>
                </m:ctrlPr>
              </m:naryPr>
              <m:sub/>
              <m:sup/>
              <m:e>
                <m:r>
                  <w:rPr>
                    <w:rFonts w:ascii="Cambria Math" w:hAnsi="Cambria Math"/>
                    <w:sz w:val="24"/>
                    <w:szCs w:val="24"/>
                  </w:rPr>
                  <m:t>Cation-∑Anion</m:t>
                </m:r>
              </m:e>
            </m:nary>
          </m:num>
          <m:den>
            <m:nary>
              <m:naryPr>
                <m:chr m:val="∑"/>
                <m:subHide m:val="1"/>
                <m:supHide m:val="1"/>
                <m:ctrlPr>
                  <w:rPr>
                    <w:rFonts w:ascii="Cambria Math" w:hAnsi="Cambria Math"/>
                    <w:i/>
                    <w:iCs/>
                    <w:sz w:val="24"/>
                    <w:szCs w:val="24"/>
                  </w:rPr>
                </m:ctrlPr>
              </m:naryPr>
              <m:sub/>
              <m:sup/>
              <m:e>
                <m:r>
                  <w:rPr>
                    <w:rFonts w:ascii="Cambria Math" w:hAnsi="Cambria Math"/>
                    <w:sz w:val="24"/>
                    <w:szCs w:val="24"/>
                  </w:rPr>
                  <m:t>Cation+∑Anion</m:t>
                </m:r>
              </m:e>
            </m:nary>
          </m:den>
        </m:f>
        <m:r>
          <w:rPr>
            <w:rFonts w:ascii="Cambria Math" w:hAnsi="Cambria Math"/>
            <w:sz w:val="24"/>
            <w:szCs w:val="24"/>
          </w:rPr>
          <m:t>×100</m:t>
        </m:r>
        <m:r>
          <m:rPr>
            <m:sty m:val="p"/>
          </m:rPr>
          <w:rPr>
            <w:rFonts w:ascii="Cambria Math" w:hAnsi="Cambria Math"/>
            <w:sz w:val="24"/>
            <w:szCs w:val="24"/>
          </w:rPr>
          <m:t xml:space="preserve"> </m:t>
        </m:r>
      </m:oMath>
      <w:r w:rsidRPr="00EA19F0">
        <w:rPr>
          <w:rFonts w:asciiTheme="minorBidi" w:eastAsiaTheme="minorEastAsia" w:hAnsiTheme="minorBidi"/>
          <w:sz w:val="24"/>
          <w:szCs w:val="24"/>
        </w:rPr>
        <w:tab/>
      </w:r>
      <w:r w:rsidRPr="00EA19F0">
        <w:rPr>
          <w:rFonts w:asciiTheme="minorBidi" w:eastAsiaTheme="minorEastAsia" w:hAnsiTheme="minorBidi"/>
          <w:sz w:val="24"/>
          <w:szCs w:val="24"/>
        </w:rPr>
        <w:tab/>
        <w:t>(1)</w:t>
      </w:r>
    </w:p>
    <w:p w14:paraId="771EC510" w14:textId="3B2BBBB8" w:rsidR="00690FEA" w:rsidRPr="00EA19F0" w:rsidRDefault="00690FEA" w:rsidP="003261F5">
      <w:pPr>
        <w:spacing w:after="0" w:line="240" w:lineRule="auto"/>
        <w:jc w:val="both"/>
        <w:rPr>
          <w:rFonts w:asciiTheme="minorBidi" w:eastAsiaTheme="minorEastAsia" w:hAnsiTheme="minorBidi"/>
          <w:sz w:val="24"/>
          <w:szCs w:val="24"/>
        </w:rPr>
      </w:pPr>
      <w:r w:rsidRPr="00EA19F0">
        <w:rPr>
          <w:rFonts w:asciiTheme="minorBidi" w:eastAsiaTheme="minorEastAsia" w:hAnsiTheme="minorBidi"/>
          <w:sz w:val="24"/>
          <w:szCs w:val="24"/>
        </w:rPr>
        <w:t>The percentage differences of all the analysed samples were within the acceptable range (±10%), confirming the electrical neutrality of the samples</w:t>
      </w:r>
      <w:r w:rsidRPr="00EA19F0">
        <w:rPr>
          <w:rFonts w:asciiTheme="minorBidi" w:hAnsiTheme="minorBidi"/>
          <w:sz w:val="24"/>
          <w:szCs w:val="24"/>
        </w:rPr>
        <w:t xml:space="preserve"> </w:t>
      </w:r>
      <w:r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{"citationID":"gmQ39VCv","properties":{"formattedCitation":"(Rana et al., 2022; Tiwari and Singh, 2014)","plainCitation":"(Rana et al., 2022; Tiwari and Singh, 2014)","noteIndex":0},"citationItems":[{"id":1092,"uris":["http://zotero.org/users/local/GtKGLMn4/items/PM7HQS94","http://zotero.org/users/17566097/items/PM7HQS94"],"itemData":{"id":1092,"type":"article-journal","abstract":"In the current survey, different hydrogeochemical processes governing the geochemistry of aquifers, the usefulness of groundwater for regular consumption, and agricultural purposes were evaluated around the Tummalapalle area. One hundred forty-four borehole locations were chosen to characterize the major physicochemical components of the aquifer water. The analysis results of pH inferred that the groundwater is nominally acidic to basic, and pH ranged from 6.6 to 8.4. The average concentrations of TDS, Ca²</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Mg</w:instrText>
      </w:r>
      <w:r w:rsidR="00445DFA" w:rsidRPr="00EA19F0">
        <w:rPr>
          <w:rFonts w:ascii="Arial" w:hAnsi="Arial" w:cs="Arial"/>
          <w:color w:val="0070C0"/>
          <w:sz w:val="24"/>
          <w:szCs w:val="24"/>
        </w:rPr>
        <w:instrText>²</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total hardness (TH), HCO3</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and total alkalinity (TA) are within the allowable limits of potable water quality as prescribed by the Bureau of Indian Standards (BIS) and WHO. However, the average concentrations of Na</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K</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Cl</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and SO4</w:instrText>
      </w:r>
      <w:r w:rsidR="00445DFA" w:rsidRPr="00EA19F0">
        <w:rPr>
          <w:rFonts w:ascii="Arial" w:hAnsi="Arial" w:cs="Arial"/>
          <w:color w:val="0070C0"/>
          <w:sz w:val="24"/>
          <w:szCs w:val="24"/>
        </w:rPr>
        <w:instrText>²</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 were all below the permissible limit. All samples were analyzed with the help of Piper and Chadha charts to determine the dominant hydrogeochemical components of groundwater. The dominance of cations in groundwater in this region is in the sequence of Ca</w:instrText>
      </w:r>
      <w:r w:rsidR="00445DFA" w:rsidRPr="00EA19F0">
        <w:rPr>
          <w:rFonts w:ascii="Arial" w:hAnsi="Arial" w:cs="Arial"/>
          <w:color w:val="0070C0"/>
          <w:sz w:val="24"/>
          <w:szCs w:val="24"/>
        </w:rPr>
        <w:instrText>²</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 &gt; Na</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 &gt; Mg</w:instrText>
      </w:r>
      <w:r w:rsidR="00445DFA" w:rsidRPr="00EA19F0">
        <w:rPr>
          <w:rFonts w:ascii="Arial" w:hAnsi="Arial" w:cs="Arial"/>
          <w:color w:val="0070C0"/>
          <w:sz w:val="24"/>
          <w:szCs w:val="24"/>
        </w:rPr>
        <w:instrText>²</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 &gt; K</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followed by anions HCO3</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 &gt; Cl</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 &gt; SO4</w:instrText>
      </w:r>
      <w:r w:rsidR="00445DFA" w:rsidRPr="00EA19F0">
        <w:rPr>
          <w:rFonts w:ascii="Arial" w:hAnsi="Arial" w:cs="Arial"/>
          <w:color w:val="0070C0"/>
          <w:sz w:val="24"/>
          <w:szCs w:val="24"/>
        </w:rPr>
        <w:instrText>²</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 The Gibbs plot analysis suggested the predominance of rock aquifer interaction as the major hydrogeochemical process governing groundwater geochemistry in this region. The water quality index (WQI) of all groundwater samples in the Tummalapalle region was estimated, with 55% of the samples being potable grade. The different irrigation indices were analyzed for the groundwater samples to estimate their desirability for agriculture. The maximum number of water samples was found to be well-suited for cultivation.","container-title":"Environmental Monitoring and Assessment","DOI":"10.1007/s10661-022-10501-1","journalAbbreviation":"Environmental Monitoring and Assessment","source":"ResearchGate","title":"Hydrogeochemical characterization and evaluation of subsurface water quality in the Proterozoic Cuddapah Basin, Andhra Pradesh, India","volume":"194","author":[{"family":"Rana","given":"B."},{"family":"Jha","given":"Sanjay"},{"family":"Molla","given":"Samim"},{"family":"Kulkarni","given":"M."}],"issued":{"date-parts":[["2022",9,28]]}}},{"id":845,"uris":["http://zotero.org/users/local/GtKGLMn4/items/K6AIY6QU","http://zotero.org/users/17566097/items/K6AIY6QU"],"itemData":{"id":845,"type":"article-journal","abstract":"HydogrochemicalinvestigationofgroundwaterresourcesofParagraphdistricthasbeencarriedouttoassess thesoluteacquisitionprocessesandwaterqualityfordomesticandirrigationuses.Fifty-fivegroundwatersampleswere HcaonCldlOecH3t-C,eSdO3Oa-,4n2-d)Cl-aa,nnadlMycg2za+te,idoNfnaso+r(aCnpad2H,+C,ael2e+Mcagt2rr+ei,ctahNlea+c,moanjK+do)ur.cctSitovunittdryiy,brtuetosituanlltgsidirosensvsoetlaovlettdhheastdoilgisrsdoso,ulnvhdeadrwdastnoelerisdso,sf.tTmhahejeaorrheyaadnirisooganlesko(aclFih-en,emiiClnc-,alnatdNautOr3ae, suggestthatweatheringofrockformingmineralsalongwithsecondarycontributionsfromagriculturalandanthropogenic sourcesaremainlycontrollingthegroundwatercompositionofPratapgarhdistrict.Alkalineearthmetals(Ca2++Mg2+) exceedalkalis(Na++K+)andweakacid(HCO3-)dominateoverstrongacids(Cl-+SO42-)inmajorityofthegroundwater sTahempcloes.mpCuat-edMgs-atHurCaOti3oanndinCdai-ceMsg-dCel-mHonCstOr3aatreetohveerdsoatmuirnaatnetdhcyodrnodigteioocnhewimtihcarlefsapcieecstitnothdeolgoromuitnedawantdercoaflctihteeaarenad. undersaturatedwithgypsumandfluorite.Acomparisonofgroundwaterqualityparametersinrelationtospecifiedlimits wfaotrerdrsiankmipnlges.waQtueralisthyoaswssetshsatmecnotnfcoernitrrraitgiaotinsonofusTesDrSe,vFe-a,ltNhaOt3-thaendgrtootuanldhwaartderneisssgeoxocdefeodrtirhreigdaetisiorna.blHeoliwemivtesr,ivnalmuaensy ofsalinity,sodiumadsorptionratio(SAR),residualsodiumcarbonate(RSC),%NaandKelleyindexareexceedingthe prescribedlimitatsomesites,demandingadequatedrainageandwatermanagementplanforthearea.","container-title":"Journal of the Geological Society of India","DOI":"10.1007/s12594-014-0045-y","ISSN":"0016-7622, 0974-6889","issue":"3","journalAbbreviation":"J Geol Soc India","language":"en","license":"http://www.springer.com/tdm","page":"329-343","source":"DOI.org (Crossref)","title":"Hydrogeochemical investigation and groundwater quality assessment of Pratapgarh district, Uttar Pradesh","URL":"http://link.springer.com/10.1007/s12594-014-0045-y","volume":"83","author":[{"family":"Tiwari","given":"Ashwani Kumar"},{"family":"Singh","given":"Abhay Kumar"}],"accessed":{"date-parts":[["2024",5,11]]},"issued":{"date-parts":[["2014",3]]}}}],"schema":"https://github.com/citation-style-language/schema/raw/master/csl-citation.json"} </w:instrText>
      </w:r>
      <w:r w:rsidRPr="00EA19F0">
        <w:rPr>
          <w:rFonts w:asciiTheme="minorBidi" w:hAnsiTheme="minorBidi"/>
          <w:color w:val="0070C0"/>
          <w:sz w:val="24"/>
          <w:szCs w:val="24"/>
        </w:rPr>
        <w:fldChar w:fldCharType="separate"/>
      </w:r>
      <w:r w:rsidR="00445DFA" w:rsidRPr="00EA19F0">
        <w:rPr>
          <w:rFonts w:asciiTheme="minorBidi" w:hAnsiTheme="minorBidi"/>
          <w:color w:val="0070C0"/>
          <w:sz w:val="24"/>
        </w:rPr>
        <w:t>(Rana et al., 2022; Tiwari and Singh, 2014)</w:t>
      </w:r>
      <w:r w:rsidRPr="00EA19F0">
        <w:rPr>
          <w:rFonts w:asciiTheme="minorBidi" w:hAnsiTheme="minorBidi"/>
          <w:color w:val="0070C0"/>
          <w:sz w:val="24"/>
          <w:szCs w:val="24"/>
        </w:rPr>
        <w:fldChar w:fldCharType="end"/>
      </w:r>
      <w:r w:rsidRPr="00EA19F0">
        <w:rPr>
          <w:rFonts w:asciiTheme="minorBidi" w:eastAsiaTheme="minorEastAsia" w:hAnsiTheme="minorBidi"/>
          <w:color w:val="0070C0"/>
          <w:sz w:val="24"/>
          <w:szCs w:val="24"/>
        </w:rPr>
        <w:t>.</w:t>
      </w:r>
      <w:r w:rsidRPr="00EA19F0">
        <w:rPr>
          <w:rFonts w:asciiTheme="minorBidi" w:eastAsiaTheme="minorEastAsia" w:hAnsiTheme="minorBidi"/>
          <w:sz w:val="24"/>
          <w:szCs w:val="24"/>
        </w:rPr>
        <w:t xml:space="preserve"> </w:t>
      </w:r>
    </w:p>
    <w:p w14:paraId="727AFD75" w14:textId="25FB62B2" w:rsidR="00690FEA" w:rsidRPr="00EA19F0" w:rsidRDefault="00982BF7" w:rsidP="003261F5">
      <w:pPr>
        <w:spacing w:after="0" w:line="240" w:lineRule="auto"/>
        <w:jc w:val="both"/>
        <w:rPr>
          <w:rFonts w:asciiTheme="minorBidi" w:eastAsiaTheme="minorEastAsia" w:hAnsiTheme="minorBidi"/>
          <w:sz w:val="24"/>
          <w:szCs w:val="24"/>
        </w:rPr>
      </w:pPr>
      <w:r w:rsidRPr="00EA19F0">
        <w:rPr>
          <w:rFonts w:asciiTheme="minorBidi" w:eastAsiaTheme="minorEastAsia" w:hAnsiTheme="minorBidi"/>
          <w:sz w:val="24"/>
          <w:szCs w:val="24"/>
        </w:rPr>
        <w:t>2</w:t>
      </w:r>
      <w:r w:rsidR="00BF6DE0" w:rsidRPr="00EA19F0">
        <w:rPr>
          <w:rFonts w:asciiTheme="minorBidi" w:eastAsiaTheme="minorEastAsia" w:hAnsiTheme="minorBidi"/>
          <w:sz w:val="24"/>
          <w:szCs w:val="24"/>
        </w:rPr>
        <w:t>.1.2</w:t>
      </w:r>
      <w:r w:rsidR="00690FEA" w:rsidRPr="00EA19F0">
        <w:rPr>
          <w:rFonts w:asciiTheme="minorBidi" w:eastAsiaTheme="minorEastAsia" w:hAnsiTheme="minorBidi"/>
          <w:sz w:val="24"/>
          <w:szCs w:val="24"/>
        </w:rPr>
        <w:t xml:space="preserve">. </w:t>
      </w:r>
      <w:r w:rsidR="00DB6917" w:rsidRPr="00EA19F0">
        <w:rPr>
          <w:rFonts w:asciiTheme="minorBidi" w:eastAsiaTheme="minorEastAsia" w:hAnsiTheme="minorBidi"/>
          <w:sz w:val="24"/>
          <w:szCs w:val="24"/>
        </w:rPr>
        <w:t>Comparison of t</w:t>
      </w:r>
      <w:r w:rsidR="00690FEA" w:rsidRPr="00EA19F0">
        <w:rPr>
          <w:rFonts w:asciiTheme="minorBidi" w:eastAsiaTheme="minorEastAsia" w:hAnsiTheme="minorBidi"/>
          <w:sz w:val="24"/>
          <w:szCs w:val="24"/>
        </w:rPr>
        <w:t xml:space="preserve">he measured TDS </w:t>
      </w:r>
      <w:r w:rsidR="00DB6917" w:rsidRPr="00EA19F0">
        <w:rPr>
          <w:rFonts w:asciiTheme="minorBidi" w:eastAsiaTheme="minorEastAsia" w:hAnsiTheme="minorBidi"/>
          <w:sz w:val="24"/>
          <w:szCs w:val="24"/>
        </w:rPr>
        <w:t>and</w:t>
      </w:r>
      <w:r w:rsidR="00690FEA" w:rsidRPr="00EA19F0">
        <w:rPr>
          <w:rFonts w:asciiTheme="minorBidi" w:eastAsiaTheme="minorEastAsia" w:hAnsiTheme="minorBidi"/>
          <w:sz w:val="24"/>
          <w:szCs w:val="24"/>
        </w:rPr>
        <w:t xml:space="preserve"> the calculated TDS:</w:t>
      </w:r>
    </w:p>
    <w:p w14:paraId="735A5B13" w14:textId="2BF6E26A" w:rsidR="00690FEA" w:rsidRPr="00EA19F0" w:rsidRDefault="00690FEA" w:rsidP="003261F5">
      <w:pPr>
        <w:spacing w:after="0" w:line="240" w:lineRule="auto"/>
        <w:jc w:val="both"/>
        <w:rPr>
          <w:rFonts w:asciiTheme="minorBidi" w:eastAsiaTheme="minorEastAsia" w:hAnsiTheme="minorBidi"/>
          <w:sz w:val="24"/>
          <w:szCs w:val="24"/>
        </w:rPr>
      </w:pPr>
      <w:r w:rsidRPr="00EA19F0">
        <w:rPr>
          <w:rFonts w:asciiTheme="minorBidi" w:eastAsia="Times New Roman" w:hAnsiTheme="minorBidi"/>
          <w:kern w:val="0"/>
          <w:sz w:val="24"/>
          <w:szCs w:val="24"/>
          <w:lang w:eastAsia="en-IN"/>
          <w14:ligatures w14:val="none"/>
        </w:rPr>
        <w:t xml:space="preserve">The ratio of </w:t>
      </w:r>
      <w:r w:rsidR="00CE5F7E" w:rsidRPr="00EA19F0">
        <w:rPr>
          <w:rFonts w:asciiTheme="minorBidi" w:eastAsia="Times New Roman" w:hAnsiTheme="minorBidi"/>
          <w:kern w:val="0"/>
          <w:sz w:val="24"/>
          <w:szCs w:val="24"/>
          <w:lang w:eastAsia="en-IN"/>
          <w14:ligatures w14:val="none"/>
        </w:rPr>
        <w:t>[</w:t>
      </w:r>
      <w:r w:rsidRPr="00EA19F0">
        <w:rPr>
          <w:rFonts w:asciiTheme="minorBidi" w:eastAsiaTheme="minorEastAsia" w:hAnsiTheme="minorBidi"/>
          <w:sz w:val="24"/>
          <w:szCs w:val="24"/>
        </w:rPr>
        <w:t>measured TDS</w:t>
      </w:r>
      <w:r w:rsidR="00CE5F7E" w:rsidRPr="00EA19F0">
        <w:rPr>
          <w:rFonts w:asciiTheme="minorBidi" w:eastAsiaTheme="minorEastAsia" w:hAnsiTheme="minorBidi"/>
          <w:sz w:val="24"/>
          <w:szCs w:val="24"/>
        </w:rPr>
        <w:t xml:space="preserve"> / </w:t>
      </w:r>
      <w:r w:rsidRPr="00EA19F0">
        <w:rPr>
          <w:rFonts w:asciiTheme="minorBidi" w:eastAsiaTheme="minorEastAsia" w:hAnsiTheme="minorBidi"/>
          <w:sz w:val="24"/>
          <w:szCs w:val="24"/>
        </w:rPr>
        <w:t>calculated TDS</w:t>
      </w:r>
      <w:r w:rsidR="00CE5F7E" w:rsidRPr="00EA19F0">
        <w:rPr>
          <w:rFonts w:asciiTheme="minorBidi" w:eastAsiaTheme="minorEastAsia" w:hAnsiTheme="minorBidi"/>
          <w:sz w:val="24"/>
          <w:szCs w:val="24"/>
        </w:rPr>
        <w:t>]</w:t>
      </w:r>
      <w:r w:rsidRPr="00EA19F0">
        <w:rPr>
          <w:rFonts w:asciiTheme="minorBidi" w:eastAsia="Times New Roman" w:hAnsiTheme="minorBidi"/>
          <w:kern w:val="0"/>
          <w:sz w:val="24"/>
          <w:szCs w:val="24"/>
          <w:lang w:eastAsia="en-IN"/>
          <w14:ligatures w14:val="none"/>
        </w:rPr>
        <w:t xml:space="preserve"> </w:t>
      </w:r>
      <w:r w:rsidR="00CE5F7E" w:rsidRPr="00EA19F0">
        <w:rPr>
          <w:rFonts w:asciiTheme="minorBidi" w:eastAsia="Times New Roman" w:hAnsiTheme="minorBidi"/>
          <w:kern w:val="0"/>
          <w:sz w:val="24"/>
          <w:szCs w:val="24"/>
          <w:lang w:eastAsia="en-IN"/>
          <w14:ligatures w14:val="none"/>
        </w:rPr>
        <w:t xml:space="preserve">in water quality analysis </w:t>
      </w:r>
      <w:r w:rsidRPr="00EA19F0">
        <w:rPr>
          <w:rFonts w:asciiTheme="minorBidi" w:eastAsia="Times New Roman" w:hAnsiTheme="minorBidi"/>
          <w:kern w:val="0"/>
          <w:sz w:val="24"/>
          <w:szCs w:val="24"/>
          <w:lang w:eastAsia="en-IN"/>
          <w14:ligatures w14:val="none"/>
        </w:rPr>
        <w:t>is</w:t>
      </w:r>
      <w:r w:rsidRPr="00EA19F0">
        <w:rPr>
          <w:rFonts w:asciiTheme="minorBidi" w:eastAsiaTheme="minorEastAsia" w:hAnsiTheme="minorBidi"/>
          <w:sz w:val="24"/>
          <w:szCs w:val="24"/>
        </w:rPr>
        <w:t xml:space="preserve"> acceptable in the range of 1.0–1.2. </w:t>
      </w:r>
      <w:r w:rsidR="00CE5F7E" w:rsidRPr="00EA19F0">
        <w:rPr>
          <w:rFonts w:asciiTheme="minorBidi" w:eastAsiaTheme="minorEastAsia" w:hAnsiTheme="minorBidi"/>
          <w:sz w:val="24"/>
          <w:szCs w:val="24"/>
        </w:rPr>
        <w:t xml:space="preserve">Calculated </w:t>
      </w:r>
      <w:r w:rsidRPr="00EA19F0">
        <w:rPr>
          <w:rFonts w:asciiTheme="minorBidi" w:eastAsiaTheme="minorEastAsia" w:hAnsiTheme="minorBidi"/>
          <w:sz w:val="24"/>
          <w:szCs w:val="24"/>
        </w:rPr>
        <w:t>TDS</w:t>
      </w:r>
      <w:r w:rsidR="00CE5F7E" w:rsidRPr="00EA19F0">
        <w:rPr>
          <w:rFonts w:asciiTheme="minorBidi" w:eastAsiaTheme="minorEastAsia" w:hAnsiTheme="minorBidi"/>
          <w:sz w:val="24"/>
          <w:szCs w:val="24"/>
        </w:rPr>
        <w:t xml:space="preserve"> (</w:t>
      </w:r>
      <w:proofErr w:type="spellStart"/>
      <w:r w:rsidR="00CE5F7E" w:rsidRPr="00EA19F0">
        <w:rPr>
          <w:rFonts w:asciiTheme="minorBidi" w:eastAsiaTheme="minorEastAsia" w:hAnsiTheme="minorBidi"/>
          <w:sz w:val="24"/>
          <w:szCs w:val="24"/>
        </w:rPr>
        <w:t>TDS</w:t>
      </w:r>
      <w:r w:rsidR="00CE5F7E" w:rsidRPr="00EA19F0">
        <w:rPr>
          <w:rFonts w:asciiTheme="minorBidi" w:eastAsiaTheme="minorEastAsia" w:hAnsiTheme="minorBidi"/>
          <w:sz w:val="24"/>
          <w:szCs w:val="24"/>
          <w:vertAlign w:val="subscript"/>
        </w:rPr>
        <w:t>cal</w:t>
      </w:r>
      <w:proofErr w:type="spellEnd"/>
      <w:r w:rsidR="00CE5F7E" w:rsidRPr="00EA19F0">
        <w:rPr>
          <w:rFonts w:asciiTheme="minorBidi" w:eastAsiaTheme="minorEastAsia" w:hAnsiTheme="minorBidi"/>
          <w:sz w:val="24"/>
          <w:szCs w:val="24"/>
        </w:rPr>
        <w:t>)</w:t>
      </w:r>
      <w:r w:rsidRPr="00EA19F0">
        <w:rPr>
          <w:rFonts w:asciiTheme="minorBidi" w:eastAsiaTheme="minorEastAsia" w:hAnsiTheme="minorBidi"/>
          <w:sz w:val="24"/>
          <w:szCs w:val="24"/>
        </w:rPr>
        <w:t xml:space="preserve"> is </w:t>
      </w:r>
      <w:r w:rsidR="00CE5F7E" w:rsidRPr="00EA19F0">
        <w:rPr>
          <w:rFonts w:asciiTheme="minorBidi" w:eastAsiaTheme="minorEastAsia" w:hAnsiTheme="minorBidi"/>
          <w:sz w:val="24"/>
          <w:szCs w:val="24"/>
        </w:rPr>
        <w:t>obtained</w:t>
      </w:r>
      <w:r w:rsidRPr="00EA19F0">
        <w:rPr>
          <w:rFonts w:asciiTheme="minorBidi" w:eastAsiaTheme="minorEastAsia" w:hAnsiTheme="minorBidi"/>
          <w:sz w:val="24"/>
          <w:szCs w:val="24"/>
        </w:rPr>
        <w:t xml:space="preserve"> by Eq. (2)</w:t>
      </w:r>
      <w:r w:rsidR="00660F3E" w:rsidRPr="00EA19F0">
        <w:rPr>
          <w:rFonts w:asciiTheme="minorBidi" w:eastAsiaTheme="minorEastAsia" w:hAnsiTheme="minorBidi"/>
          <w:sz w:val="24"/>
          <w:szCs w:val="24"/>
        </w:rPr>
        <w:t xml:space="preserve">. The </w:t>
      </w:r>
      <w:r w:rsidR="00444E0A" w:rsidRPr="00EA19F0">
        <w:rPr>
          <w:rFonts w:asciiTheme="minorBidi" w:eastAsiaTheme="minorEastAsia" w:hAnsiTheme="minorBidi"/>
          <w:sz w:val="24"/>
          <w:szCs w:val="24"/>
        </w:rPr>
        <w:t>concentration</w:t>
      </w:r>
      <w:r w:rsidR="00660F3E" w:rsidRPr="00EA19F0">
        <w:rPr>
          <w:rFonts w:asciiTheme="minorBidi" w:eastAsiaTheme="minorEastAsia" w:hAnsiTheme="minorBidi"/>
          <w:sz w:val="24"/>
          <w:szCs w:val="24"/>
        </w:rPr>
        <w:t>s</w:t>
      </w:r>
      <w:r w:rsidR="00444E0A" w:rsidRPr="00EA19F0">
        <w:rPr>
          <w:rFonts w:asciiTheme="minorBidi" w:eastAsiaTheme="minorEastAsia" w:hAnsiTheme="minorBidi"/>
          <w:sz w:val="24"/>
          <w:szCs w:val="24"/>
        </w:rPr>
        <w:t xml:space="preserve"> of</w:t>
      </w:r>
      <w:r w:rsidR="00660F3E" w:rsidRPr="00EA19F0">
        <w:rPr>
          <w:rFonts w:asciiTheme="minorBidi" w:eastAsiaTheme="minorEastAsia" w:hAnsiTheme="minorBidi"/>
          <w:sz w:val="24"/>
          <w:szCs w:val="24"/>
        </w:rPr>
        <w:t xml:space="preserve"> all</w:t>
      </w:r>
      <w:r w:rsidR="00444E0A" w:rsidRPr="00EA19F0">
        <w:rPr>
          <w:rFonts w:asciiTheme="minorBidi" w:eastAsiaTheme="minorEastAsia" w:hAnsiTheme="minorBidi"/>
          <w:sz w:val="24"/>
          <w:szCs w:val="24"/>
        </w:rPr>
        <w:t xml:space="preserve"> </w:t>
      </w:r>
      <w:r w:rsidR="00660F3E" w:rsidRPr="00EA19F0">
        <w:rPr>
          <w:rFonts w:asciiTheme="minorBidi" w:eastAsiaTheme="minorEastAsia" w:hAnsiTheme="minorBidi"/>
          <w:sz w:val="24"/>
          <w:szCs w:val="24"/>
        </w:rPr>
        <w:t xml:space="preserve">the </w:t>
      </w:r>
      <w:r w:rsidR="00444E0A" w:rsidRPr="00EA19F0">
        <w:rPr>
          <w:rFonts w:asciiTheme="minorBidi" w:eastAsiaTheme="minorEastAsia" w:hAnsiTheme="minorBidi"/>
          <w:sz w:val="24"/>
          <w:szCs w:val="24"/>
        </w:rPr>
        <w:t xml:space="preserve">ions </w:t>
      </w:r>
      <w:r w:rsidR="00660F3E" w:rsidRPr="00EA19F0">
        <w:rPr>
          <w:rFonts w:asciiTheme="minorBidi" w:eastAsiaTheme="minorEastAsia" w:hAnsiTheme="minorBidi"/>
          <w:sz w:val="24"/>
          <w:szCs w:val="24"/>
        </w:rPr>
        <w:t xml:space="preserve">are expressed </w:t>
      </w:r>
      <w:r w:rsidR="00444E0A" w:rsidRPr="00EA19F0">
        <w:rPr>
          <w:rFonts w:asciiTheme="minorBidi" w:eastAsiaTheme="minorEastAsia" w:hAnsiTheme="minorBidi"/>
          <w:sz w:val="24"/>
          <w:szCs w:val="24"/>
        </w:rPr>
        <w:t>in mg/L</w:t>
      </w:r>
      <w:r w:rsidR="00660F3E" w:rsidRPr="00EA19F0">
        <w:rPr>
          <w:rFonts w:asciiTheme="minorBidi" w:eastAsiaTheme="minorEastAsia" w:hAnsiTheme="minorBidi"/>
          <w:sz w:val="24"/>
          <w:szCs w:val="24"/>
        </w:rPr>
        <w:t>.</w:t>
      </w:r>
    </w:p>
    <w:p w14:paraId="6C64E58E" w14:textId="433A50E9" w:rsidR="00690FEA" w:rsidRPr="00EA19F0" w:rsidRDefault="00690FEA" w:rsidP="003261F5">
      <w:pPr>
        <w:spacing w:after="0" w:line="240" w:lineRule="auto"/>
        <w:jc w:val="both"/>
        <w:rPr>
          <w:rFonts w:asciiTheme="minorBidi" w:eastAsia="Times New Roman" w:hAnsiTheme="minorBidi"/>
          <w:kern w:val="0"/>
          <w:sz w:val="24"/>
          <w:szCs w:val="24"/>
          <w:lang w:eastAsia="en-IN"/>
          <w14:ligatures w14:val="none"/>
        </w:rPr>
      </w:pPr>
      <w:proofErr w:type="spellStart"/>
      <w:r w:rsidRPr="00EA19F0">
        <w:rPr>
          <w:rFonts w:asciiTheme="minorBidi" w:eastAsia="Times New Roman" w:hAnsiTheme="minorBidi"/>
          <w:kern w:val="0"/>
          <w:lang w:eastAsia="en-IN"/>
          <w14:ligatures w14:val="none"/>
        </w:rPr>
        <w:t>TDS</w:t>
      </w:r>
      <w:r w:rsidRPr="00EA19F0">
        <w:rPr>
          <w:rFonts w:asciiTheme="minorBidi" w:eastAsia="Times New Roman" w:hAnsiTheme="minorBidi"/>
          <w:kern w:val="0"/>
          <w:vertAlign w:val="subscript"/>
          <w:lang w:eastAsia="en-IN"/>
          <w14:ligatures w14:val="none"/>
        </w:rPr>
        <w:t>Cal</w:t>
      </w:r>
      <w:proofErr w:type="spellEnd"/>
      <w:r w:rsidR="00BF6DE0" w:rsidRPr="00EA19F0">
        <w:rPr>
          <w:rFonts w:asciiTheme="minorBidi" w:eastAsia="Times New Roman" w:hAnsiTheme="minorBidi"/>
          <w:kern w:val="0"/>
          <w:vertAlign w:val="subscript"/>
          <w:lang w:eastAsia="en-IN"/>
          <w14:ligatures w14:val="none"/>
        </w:rPr>
        <w:t xml:space="preserve"> </w:t>
      </w:r>
      <w:r w:rsidRPr="00EA19F0">
        <w:rPr>
          <w:rFonts w:asciiTheme="minorBidi" w:eastAsia="Times New Roman" w:hAnsiTheme="minorBidi"/>
          <w:kern w:val="0"/>
          <w:lang w:eastAsia="en-IN"/>
          <w14:ligatures w14:val="none"/>
        </w:rPr>
        <w:t>​=0.6×Alkalinity</w:t>
      </w:r>
      <w:r w:rsidRPr="00EA19F0">
        <w:rPr>
          <w:rFonts w:ascii="Cambria Math" w:eastAsia="Times New Roman" w:hAnsi="Cambria Math" w:cs="Cambria Math"/>
          <w:kern w:val="0"/>
          <w:vertAlign w:val="superscript"/>
          <w:lang w:eastAsia="en-IN"/>
          <w14:ligatures w14:val="none"/>
        </w:rPr>
        <w:t>∗</w:t>
      </w:r>
      <w:r w:rsidRPr="00EA19F0">
        <w:rPr>
          <w:rFonts w:asciiTheme="minorBidi" w:eastAsia="Times New Roman" w:hAnsiTheme="minorBidi"/>
          <w:kern w:val="0"/>
          <w:lang w:eastAsia="en-IN"/>
          <w14:ligatures w14:val="none"/>
        </w:rPr>
        <w:t>+</w:t>
      </w:r>
      <w:r w:rsidR="0091639A" w:rsidRPr="00EA19F0">
        <w:rPr>
          <w:rFonts w:asciiTheme="minorBidi" w:eastAsia="Times New Roman" w:hAnsiTheme="minorBidi"/>
          <w:kern w:val="0"/>
          <w:lang w:eastAsia="en-IN"/>
          <w14:ligatures w14:val="none"/>
        </w:rPr>
        <w:t>[Ca</w:t>
      </w:r>
      <w:r w:rsidR="0091639A" w:rsidRPr="00EA19F0">
        <w:rPr>
          <w:rFonts w:asciiTheme="minorBidi" w:eastAsia="Times New Roman" w:hAnsiTheme="minorBidi"/>
          <w:kern w:val="0"/>
          <w:vertAlign w:val="superscript"/>
          <w:lang w:eastAsia="en-IN"/>
          <w14:ligatures w14:val="none"/>
        </w:rPr>
        <w:t>2</w:t>
      </w:r>
      <w:proofErr w:type="gramStart"/>
      <w:r w:rsidR="0091639A" w:rsidRPr="00EA19F0">
        <w:rPr>
          <w:rFonts w:asciiTheme="minorBidi" w:eastAsia="Times New Roman" w:hAnsiTheme="minorBidi"/>
          <w:kern w:val="0"/>
          <w:vertAlign w:val="superscript"/>
          <w:lang w:eastAsia="en-IN"/>
          <w14:ligatures w14:val="none"/>
        </w:rPr>
        <w:t>+</w:t>
      </w:r>
      <w:r w:rsidR="0091639A" w:rsidRPr="00EA19F0">
        <w:rPr>
          <w:rFonts w:asciiTheme="minorBidi" w:eastAsia="Times New Roman" w:hAnsiTheme="minorBidi"/>
          <w:kern w:val="0"/>
          <w:lang w:eastAsia="en-IN"/>
          <w14:ligatures w14:val="none"/>
        </w:rPr>
        <w:t>]+</w:t>
      </w:r>
      <w:proofErr w:type="gramEnd"/>
      <w:r w:rsidR="0091639A" w:rsidRPr="00EA19F0">
        <w:rPr>
          <w:rFonts w:asciiTheme="minorBidi" w:eastAsia="Times New Roman" w:hAnsiTheme="minorBidi"/>
          <w:kern w:val="0"/>
          <w:lang w:eastAsia="en-IN"/>
          <w14:ligatures w14:val="none"/>
        </w:rPr>
        <w:t>[Mg</w:t>
      </w:r>
      <w:r w:rsidR="0091639A" w:rsidRPr="00EA19F0">
        <w:rPr>
          <w:rFonts w:asciiTheme="minorBidi" w:eastAsia="Times New Roman" w:hAnsiTheme="minorBidi"/>
          <w:kern w:val="0"/>
          <w:vertAlign w:val="superscript"/>
          <w:lang w:eastAsia="en-IN"/>
          <w14:ligatures w14:val="none"/>
        </w:rPr>
        <w:t>2+</w:t>
      </w:r>
      <w:r w:rsidR="0091639A" w:rsidRPr="00EA19F0">
        <w:rPr>
          <w:rFonts w:asciiTheme="minorBidi" w:eastAsia="Times New Roman" w:hAnsiTheme="minorBidi"/>
          <w:kern w:val="0"/>
          <w:lang w:eastAsia="en-IN"/>
          <w14:ligatures w14:val="none"/>
        </w:rPr>
        <w:t>] +</w:t>
      </w:r>
      <w:r w:rsidRPr="00EA19F0">
        <w:rPr>
          <w:rFonts w:asciiTheme="minorBidi" w:eastAsia="Times New Roman" w:hAnsiTheme="minorBidi"/>
          <w:kern w:val="0"/>
          <w:lang w:eastAsia="en-IN"/>
          <w14:ligatures w14:val="none"/>
        </w:rPr>
        <w:t>[Cl</w:t>
      </w:r>
      <w:r w:rsidRPr="00EA19F0">
        <w:rPr>
          <w:rFonts w:asciiTheme="minorBidi" w:eastAsia="Times New Roman" w:hAnsiTheme="minorBidi"/>
          <w:kern w:val="0"/>
          <w:vertAlign w:val="superscript"/>
          <w:lang w:eastAsia="en-IN"/>
          <w14:ligatures w14:val="none"/>
        </w:rPr>
        <w:t>−</w:t>
      </w:r>
      <w:r w:rsidRPr="00EA19F0">
        <w:rPr>
          <w:rFonts w:asciiTheme="minorBidi" w:eastAsia="Times New Roman" w:hAnsiTheme="minorBidi"/>
          <w:kern w:val="0"/>
          <w:lang w:eastAsia="en-IN"/>
          <w14:ligatures w14:val="none"/>
        </w:rPr>
        <w:t>]+[SO</w:t>
      </w:r>
      <w:r w:rsidRPr="00EA19F0">
        <w:rPr>
          <w:rFonts w:asciiTheme="minorBidi" w:eastAsia="Times New Roman" w:hAnsiTheme="minorBidi"/>
          <w:kern w:val="0"/>
          <w:vertAlign w:val="subscript"/>
          <w:lang w:eastAsia="en-IN"/>
          <w14:ligatures w14:val="none"/>
        </w:rPr>
        <w:t>4</w:t>
      </w:r>
      <w:r w:rsidRPr="00EA19F0">
        <w:rPr>
          <w:rFonts w:asciiTheme="minorBidi" w:eastAsia="Times New Roman" w:hAnsiTheme="minorBidi"/>
          <w:kern w:val="0"/>
          <w:vertAlign w:val="superscript"/>
          <w:lang w:eastAsia="en-IN"/>
          <w14:ligatures w14:val="none"/>
        </w:rPr>
        <w:t>2−</w:t>
      </w:r>
      <w:r w:rsidRPr="00EA19F0">
        <w:rPr>
          <w:rFonts w:asciiTheme="minorBidi" w:eastAsia="Times New Roman" w:hAnsiTheme="minorBidi"/>
          <w:kern w:val="0"/>
          <w:lang w:eastAsia="en-IN"/>
          <w14:ligatures w14:val="none"/>
        </w:rPr>
        <w:t>​]+[Na</w:t>
      </w:r>
      <w:r w:rsidRPr="00EA19F0">
        <w:rPr>
          <w:rFonts w:asciiTheme="minorBidi" w:eastAsia="Times New Roman" w:hAnsiTheme="minorBidi"/>
          <w:kern w:val="0"/>
          <w:vertAlign w:val="superscript"/>
          <w:lang w:eastAsia="en-IN"/>
          <w14:ligatures w14:val="none"/>
        </w:rPr>
        <w:t>+</w:t>
      </w:r>
      <w:r w:rsidRPr="00EA19F0">
        <w:rPr>
          <w:rFonts w:asciiTheme="minorBidi" w:eastAsia="Times New Roman" w:hAnsiTheme="minorBidi"/>
          <w:kern w:val="0"/>
          <w:lang w:eastAsia="en-IN"/>
          <w14:ligatures w14:val="none"/>
        </w:rPr>
        <w:t>]+[K</w:t>
      </w:r>
      <w:r w:rsidRPr="00EA19F0">
        <w:rPr>
          <w:rFonts w:asciiTheme="minorBidi" w:eastAsia="Times New Roman" w:hAnsiTheme="minorBidi"/>
          <w:kern w:val="0"/>
          <w:vertAlign w:val="superscript"/>
          <w:lang w:eastAsia="en-IN"/>
          <w14:ligatures w14:val="none"/>
        </w:rPr>
        <w:t>+</w:t>
      </w:r>
      <w:r w:rsidRPr="00EA19F0">
        <w:rPr>
          <w:rFonts w:asciiTheme="minorBidi" w:eastAsia="Times New Roman" w:hAnsiTheme="minorBidi"/>
          <w:kern w:val="0"/>
          <w:lang w:eastAsia="en-IN"/>
          <w14:ligatures w14:val="none"/>
        </w:rPr>
        <w:t>]+[SiO</w:t>
      </w:r>
      <w:r w:rsidRPr="00EA19F0">
        <w:rPr>
          <w:rFonts w:asciiTheme="minorBidi" w:eastAsia="Times New Roman" w:hAnsiTheme="minorBidi"/>
          <w:kern w:val="0"/>
          <w:vertAlign w:val="subscript"/>
          <w:lang w:eastAsia="en-IN"/>
          <w14:ligatures w14:val="none"/>
        </w:rPr>
        <w:t>3</w:t>
      </w:r>
      <w:r w:rsidRPr="00EA19F0">
        <w:rPr>
          <w:rFonts w:asciiTheme="minorBidi" w:eastAsia="Times New Roman" w:hAnsiTheme="minorBidi"/>
          <w:kern w:val="0"/>
          <w:vertAlign w:val="superscript"/>
          <w:lang w:eastAsia="en-IN"/>
          <w14:ligatures w14:val="none"/>
        </w:rPr>
        <w:t>2−</w:t>
      </w:r>
      <w:r w:rsidRPr="00EA19F0">
        <w:rPr>
          <w:rFonts w:asciiTheme="minorBidi" w:eastAsia="Times New Roman" w:hAnsiTheme="minorBidi"/>
          <w:kern w:val="0"/>
          <w:lang w:eastAsia="en-IN"/>
          <w14:ligatures w14:val="none"/>
        </w:rPr>
        <w:t>​]+[NO</w:t>
      </w:r>
      <w:r w:rsidRPr="00EA19F0">
        <w:rPr>
          <w:rFonts w:asciiTheme="minorBidi" w:eastAsia="Times New Roman" w:hAnsiTheme="minorBidi"/>
          <w:kern w:val="0"/>
          <w:vertAlign w:val="subscript"/>
          <w:lang w:eastAsia="en-IN"/>
          <w14:ligatures w14:val="none"/>
        </w:rPr>
        <w:t>3</w:t>
      </w:r>
      <w:r w:rsidRPr="00EA19F0">
        <w:rPr>
          <w:rFonts w:asciiTheme="minorBidi" w:eastAsia="Times New Roman" w:hAnsiTheme="minorBidi"/>
          <w:kern w:val="0"/>
          <w:vertAlign w:val="superscript"/>
          <w:lang w:eastAsia="en-IN"/>
          <w14:ligatures w14:val="none"/>
        </w:rPr>
        <w:t>−</w:t>
      </w:r>
      <w:r w:rsidRPr="00EA19F0">
        <w:rPr>
          <w:rFonts w:asciiTheme="minorBidi" w:eastAsia="Times New Roman" w:hAnsiTheme="minorBidi"/>
          <w:kern w:val="0"/>
          <w:lang w:eastAsia="en-IN"/>
          <w14:ligatures w14:val="none"/>
        </w:rPr>
        <w:t>​]+[F</w:t>
      </w:r>
      <w:r w:rsidRPr="00EA19F0">
        <w:rPr>
          <w:rFonts w:asciiTheme="minorBidi" w:eastAsia="Times New Roman" w:hAnsiTheme="minorBidi"/>
          <w:kern w:val="0"/>
          <w:vertAlign w:val="superscript"/>
          <w:lang w:eastAsia="en-IN"/>
          <w14:ligatures w14:val="none"/>
        </w:rPr>
        <w:t>−</w:t>
      </w:r>
      <w:r w:rsidRPr="00EA19F0">
        <w:rPr>
          <w:rFonts w:asciiTheme="minorBidi" w:eastAsia="Times New Roman" w:hAnsiTheme="minorBidi"/>
          <w:kern w:val="0"/>
          <w:lang w:eastAsia="en-IN"/>
          <w14:ligatures w14:val="none"/>
        </w:rPr>
        <w:t>]</w:t>
      </w:r>
      <w:r w:rsidRPr="00EA19F0">
        <w:rPr>
          <w:rFonts w:asciiTheme="minorBidi" w:eastAsia="Times New Roman" w:hAnsiTheme="minorBidi"/>
          <w:kern w:val="0"/>
          <w:sz w:val="24"/>
          <w:szCs w:val="24"/>
          <w:lang w:eastAsia="en-IN"/>
          <w14:ligatures w14:val="none"/>
        </w:rPr>
        <w:tab/>
        <w:t>(2)</w:t>
      </w:r>
    </w:p>
    <w:p w14:paraId="75C769F3" w14:textId="6EDA36E7" w:rsidR="00690FEA" w:rsidRPr="00EA19F0" w:rsidRDefault="00690FEA" w:rsidP="003261F5">
      <w:pPr>
        <w:spacing w:after="0" w:line="240" w:lineRule="auto"/>
        <w:jc w:val="both"/>
        <w:rPr>
          <w:rFonts w:asciiTheme="minorBidi" w:eastAsiaTheme="minorEastAsia" w:hAnsiTheme="minorBidi"/>
          <w:sz w:val="24"/>
          <w:szCs w:val="24"/>
        </w:rPr>
      </w:pPr>
      <w:r w:rsidRPr="00EA19F0">
        <w:rPr>
          <w:rFonts w:asciiTheme="minorBidi" w:eastAsia="Times New Roman" w:hAnsiTheme="minorBidi"/>
          <w:kern w:val="0"/>
          <w:sz w:val="24"/>
          <w:szCs w:val="24"/>
          <w:lang w:eastAsia="en-IN"/>
          <w14:ligatures w14:val="none"/>
        </w:rPr>
        <w:lastRenderedPageBreak/>
        <w:t>Alkalinity</w:t>
      </w:r>
      <w:r w:rsidRPr="00EA19F0">
        <w:rPr>
          <w:rFonts w:asciiTheme="minorBidi" w:eastAsia="Times New Roman" w:hAnsiTheme="minorBidi"/>
          <w:kern w:val="0"/>
          <w:sz w:val="24"/>
          <w:szCs w:val="24"/>
          <w:vertAlign w:val="superscript"/>
          <w:lang w:eastAsia="en-IN"/>
          <w14:ligatures w14:val="none"/>
        </w:rPr>
        <w:t>*</w:t>
      </w:r>
      <w:r w:rsidRPr="00EA19F0">
        <w:rPr>
          <w:rFonts w:asciiTheme="minorBidi" w:eastAsia="Times New Roman" w:hAnsiTheme="minorBidi"/>
          <w:kern w:val="0"/>
          <w:sz w:val="24"/>
          <w:szCs w:val="24"/>
          <w:lang w:eastAsia="en-IN"/>
          <w14:ligatures w14:val="none"/>
        </w:rPr>
        <w:t xml:space="preserve"> is expressed as mg/L of CaCO</w:t>
      </w:r>
      <w:r w:rsidRPr="00EA19F0">
        <w:rPr>
          <w:rFonts w:ascii="Cambria Math" w:eastAsia="Times New Roman" w:hAnsi="Cambria Math" w:cs="Cambria Math"/>
          <w:kern w:val="0"/>
          <w:sz w:val="24"/>
          <w:szCs w:val="24"/>
          <w:lang w:eastAsia="en-IN"/>
          <w14:ligatures w14:val="none"/>
        </w:rPr>
        <w:t>₃</w:t>
      </w:r>
      <w:r w:rsidRPr="00EA19F0">
        <w:rPr>
          <w:rFonts w:asciiTheme="minorBidi" w:eastAsia="Times New Roman" w:hAnsiTheme="minorBidi"/>
          <w:kern w:val="0"/>
          <w:sz w:val="24"/>
          <w:szCs w:val="24"/>
          <w:lang w:eastAsia="en-IN"/>
          <w14:ligatures w14:val="none"/>
        </w:rPr>
        <w:t xml:space="preserve"> </w:t>
      </w:r>
      <w:r w:rsidR="00EB396B" w:rsidRPr="00EA19F0">
        <w:rPr>
          <w:rFonts w:asciiTheme="minorBidi" w:eastAsia="Times New Roman" w:hAnsiTheme="minorBidi"/>
          <w:kern w:val="0"/>
          <w:sz w:val="24"/>
          <w:szCs w:val="24"/>
          <w:lang w:eastAsia="en-IN"/>
          <w14:ligatures w14:val="none"/>
        </w:rPr>
        <w:t>to account</w:t>
      </w:r>
      <w:r w:rsidRPr="00EA19F0">
        <w:rPr>
          <w:rFonts w:asciiTheme="minorBidi" w:eastAsia="Times New Roman" w:hAnsiTheme="minorBidi"/>
          <w:kern w:val="0"/>
          <w:sz w:val="24"/>
          <w:szCs w:val="24"/>
          <w:lang w:eastAsia="en-IN"/>
          <w14:ligatures w14:val="none"/>
        </w:rPr>
        <w:t xml:space="preserve"> </w:t>
      </w:r>
      <w:r w:rsidR="00EB396B" w:rsidRPr="00EA19F0">
        <w:rPr>
          <w:rFonts w:asciiTheme="minorBidi" w:eastAsia="Times New Roman" w:hAnsiTheme="minorBidi"/>
          <w:kern w:val="0"/>
          <w:sz w:val="24"/>
          <w:szCs w:val="24"/>
          <w:lang w:eastAsia="en-IN"/>
          <w14:ligatures w14:val="none"/>
        </w:rPr>
        <w:t xml:space="preserve">for </w:t>
      </w:r>
      <w:r w:rsidRPr="00EA19F0">
        <w:rPr>
          <w:rFonts w:asciiTheme="minorBidi" w:eastAsia="Times New Roman" w:hAnsiTheme="minorBidi"/>
          <w:kern w:val="0"/>
          <w:sz w:val="24"/>
          <w:szCs w:val="24"/>
          <w:lang w:eastAsia="en-IN"/>
          <w14:ligatures w14:val="none"/>
        </w:rPr>
        <w:t xml:space="preserve">carbonate and bicarbonate species; the factor </w:t>
      </w:r>
      <w:r w:rsidR="00EB396B" w:rsidRPr="00EA19F0">
        <w:rPr>
          <w:rFonts w:asciiTheme="minorBidi" w:eastAsia="Times New Roman" w:hAnsiTheme="minorBidi"/>
          <w:kern w:val="0"/>
          <w:sz w:val="24"/>
          <w:szCs w:val="24"/>
          <w:lang w:eastAsia="en-IN"/>
          <w14:ligatures w14:val="none"/>
        </w:rPr>
        <w:t>0.6 for</w:t>
      </w:r>
      <w:r w:rsidRPr="00EA19F0">
        <w:rPr>
          <w:rFonts w:asciiTheme="minorBidi" w:eastAsia="Times New Roman" w:hAnsiTheme="minorBidi"/>
          <w:kern w:val="0"/>
          <w:sz w:val="24"/>
          <w:szCs w:val="24"/>
          <w:lang w:eastAsia="en-IN"/>
          <w14:ligatures w14:val="none"/>
        </w:rPr>
        <w:t xml:space="preserve"> the</w:t>
      </w:r>
      <w:r w:rsidR="00EB396B" w:rsidRPr="00EA19F0">
        <w:rPr>
          <w:rFonts w:asciiTheme="minorBidi" w:eastAsia="Times New Roman" w:hAnsiTheme="minorBidi"/>
          <w:kern w:val="0"/>
          <w:sz w:val="24"/>
          <w:szCs w:val="24"/>
          <w:lang w:eastAsia="en-IN"/>
          <w14:ligatures w14:val="none"/>
        </w:rPr>
        <w:t xml:space="preserve"> adjustment of</w:t>
      </w:r>
      <w:r w:rsidRPr="00EA19F0">
        <w:rPr>
          <w:rFonts w:asciiTheme="minorBidi" w:eastAsia="Times New Roman" w:hAnsiTheme="minorBidi"/>
          <w:kern w:val="0"/>
          <w:sz w:val="24"/>
          <w:szCs w:val="24"/>
          <w:lang w:eastAsia="en-IN"/>
          <w14:ligatures w14:val="none"/>
        </w:rPr>
        <w:t xml:space="preserve"> equivalent contribution of alkalinity to TDS. The </w:t>
      </w:r>
      <w:r w:rsidR="007702E0" w:rsidRPr="00EA19F0">
        <w:rPr>
          <w:rFonts w:asciiTheme="minorBidi" w:eastAsia="Times New Roman" w:hAnsiTheme="minorBidi"/>
          <w:kern w:val="0"/>
          <w:sz w:val="24"/>
          <w:szCs w:val="24"/>
          <w:lang w:eastAsia="en-IN"/>
          <w14:ligatures w14:val="none"/>
        </w:rPr>
        <w:t xml:space="preserve">calculated </w:t>
      </w:r>
      <w:r w:rsidRPr="00EA19F0">
        <w:rPr>
          <w:rFonts w:asciiTheme="minorBidi" w:eastAsia="Times New Roman" w:hAnsiTheme="minorBidi"/>
          <w:kern w:val="0"/>
          <w:sz w:val="24"/>
          <w:szCs w:val="24"/>
          <w:lang w:eastAsia="en-IN"/>
          <w14:ligatures w14:val="none"/>
        </w:rPr>
        <w:t xml:space="preserve">ratio was </w:t>
      </w:r>
      <w:r w:rsidRPr="00EA19F0">
        <w:rPr>
          <w:rFonts w:asciiTheme="minorBidi" w:eastAsiaTheme="minorEastAsia" w:hAnsiTheme="minorBidi"/>
          <w:sz w:val="24"/>
          <w:szCs w:val="24"/>
        </w:rPr>
        <w:t xml:space="preserve">within the </w:t>
      </w:r>
      <w:r w:rsidR="007702E0" w:rsidRPr="00EA19F0">
        <w:rPr>
          <w:rFonts w:asciiTheme="minorBidi" w:eastAsiaTheme="minorEastAsia" w:hAnsiTheme="minorBidi"/>
          <w:sz w:val="24"/>
          <w:szCs w:val="24"/>
        </w:rPr>
        <w:t>permissible</w:t>
      </w:r>
      <w:r w:rsidRPr="00EA19F0">
        <w:rPr>
          <w:rFonts w:asciiTheme="minorBidi" w:eastAsiaTheme="minorEastAsia" w:hAnsiTheme="minorBidi"/>
          <w:sz w:val="24"/>
          <w:szCs w:val="24"/>
        </w:rPr>
        <w:t xml:space="preserve"> range of 1.0–1.2 for all the samples. </w:t>
      </w:r>
    </w:p>
    <w:p w14:paraId="7E3888BC" w14:textId="537FC66E" w:rsidR="00690FEA" w:rsidRPr="00EA19F0" w:rsidRDefault="00982BF7" w:rsidP="003261F5">
      <w:pPr>
        <w:spacing w:after="0" w:line="240" w:lineRule="auto"/>
        <w:jc w:val="both"/>
        <w:rPr>
          <w:rFonts w:asciiTheme="minorBidi" w:eastAsiaTheme="minorEastAsia" w:hAnsiTheme="minorBidi"/>
          <w:sz w:val="24"/>
          <w:szCs w:val="24"/>
        </w:rPr>
      </w:pPr>
      <w:r w:rsidRPr="00EA19F0">
        <w:rPr>
          <w:rFonts w:asciiTheme="minorBidi" w:eastAsiaTheme="minorEastAsia" w:hAnsiTheme="minorBidi"/>
          <w:sz w:val="24"/>
          <w:szCs w:val="24"/>
        </w:rPr>
        <w:t>2</w:t>
      </w:r>
      <w:r w:rsidR="00EB49F1" w:rsidRPr="00EA19F0">
        <w:rPr>
          <w:rFonts w:asciiTheme="minorBidi" w:eastAsiaTheme="minorEastAsia" w:hAnsiTheme="minorBidi"/>
          <w:sz w:val="24"/>
          <w:szCs w:val="24"/>
        </w:rPr>
        <w:t>.1.</w:t>
      </w:r>
      <w:r w:rsidR="00690FEA" w:rsidRPr="00EA19F0">
        <w:rPr>
          <w:rFonts w:asciiTheme="minorBidi" w:eastAsiaTheme="minorEastAsia" w:hAnsiTheme="minorBidi"/>
          <w:sz w:val="24"/>
          <w:szCs w:val="24"/>
        </w:rPr>
        <w:t xml:space="preserve">3. </w:t>
      </w:r>
      <w:r w:rsidR="00DF7322" w:rsidRPr="00EA19F0">
        <w:rPr>
          <w:rFonts w:asciiTheme="minorBidi" w:eastAsiaTheme="minorEastAsia" w:hAnsiTheme="minorBidi"/>
          <w:sz w:val="24"/>
          <w:szCs w:val="24"/>
        </w:rPr>
        <w:t xml:space="preserve">Comparison of </w:t>
      </w:r>
      <w:r w:rsidR="00690FEA" w:rsidRPr="00EA19F0">
        <w:rPr>
          <w:rFonts w:asciiTheme="minorBidi" w:eastAsiaTheme="minorEastAsia" w:hAnsiTheme="minorBidi"/>
          <w:sz w:val="24"/>
          <w:szCs w:val="24"/>
        </w:rPr>
        <w:t>Measured EC and Ion Sums</w:t>
      </w:r>
    </w:p>
    <w:p w14:paraId="59E27F12" w14:textId="221100C4" w:rsidR="00690FEA" w:rsidRPr="00EA19F0" w:rsidRDefault="00690FEA" w:rsidP="003261F5">
      <w:pPr>
        <w:spacing w:after="0" w:line="240" w:lineRule="auto"/>
        <w:jc w:val="both"/>
        <w:rPr>
          <w:rFonts w:asciiTheme="minorBidi" w:hAnsiTheme="minorBidi"/>
          <w:sz w:val="24"/>
          <w:szCs w:val="24"/>
        </w:rPr>
      </w:pPr>
      <w:r w:rsidRPr="00EA19F0">
        <w:rPr>
          <w:rFonts w:asciiTheme="minorBidi" w:eastAsiaTheme="minorEastAsia" w:hAnsiTheme="minorBidi"/>
          <w:sz w:val="24"/>
          <w:szCs w:val="24"/>
        </w:rPr>
        <w:t xml:space="preserve">The total </w:t>
      </w:r>
      <w:r w:rsidR="00515F1F" w:rsidRPr="00EA19F0">
        <w:rPr>
          <w:rFonts w:asciiTheme="minorBidi" w:eastAsiaTheme="minorEastAsia" w:hAnsiTheme="minorBidi"/>
          <w:sz w:val="24"/>
          <w:szCs w:val="24"/>
        </w:rPr>
        <w:t xml:space="preserve">cation </w:t>
      </w:r>
      <w:r w:rsidRPr="00EA19F0">
        <w:rPr>
          <w:rFonts w:asciiTheme="minorBidi" w:eastAsiaTheme="minorEastAsia" w:hAnsiTheme="minorBidi"/>
          <w:sz w:val="24"/>
          <w:szCs w:val="24"/>
        </w:rPr>
        <w:t xml:space="preserve">and </w:t>
      </w:r>
      <w:r w:rsidR="00515F1F" w:rsidRPr="00EA19F0">
        <w:rPr>
          <w:rFonts w:asciiTheme="minorBidi" w:eastAsiaTheme="minorEastAsia" w:hAnsiTheme="minorBidi"/>
          <w:sz w:val="24"/>
          <w:szCs w:val="24"/>
        </w:rPr>
        <w:t xml:space="preserve">anion </w:t>
      </w:r>
      <w:r w:rsidRPr="00EA19F0">
        <w:rPr>
          <w:rFonts w:asciiTheme="minorBidi" w:eastAsiaTheme="minorEastAsia" w:hAnsiTheme="minorBidi"/>
          <w:sz w:val="24"/>
          <w:szCs w:val="24"/>
        </w:rPr>
        <w:t xml:space="preserve">sums </w:t>
      </w:r>
      <w:r w:rsidR="00030FE6" w:rsidRPr="00EA19F0">
        <w:rPr>
          <w:rFonts w:asciiTheme="minorBidi" w:eastAsiaTheme="minorEastAsia" w:hAnsiTheme="minorBidi"/>
          <w:sz w:val="24"/>
          <w:szCs w:val="24"/>
        </w:rPr>
        <w:t xml:space="preserve">in the analysed parameters </w:t>
      </w:r>
      <w:r w:rsidRPr="00EA19F0">
        <w:rPr>
          <w:rFonts w:asciiTheme="minorBidi" w:eastAsiaTheme="minorEastAsia" w:hAnsiTheme="minorBidi"/>
          <w:sz w:val="24"/>
          <w:szCs w:val="24"/>
        </w:rPr>
        <w:t xml:space="preserve">must approximately be </w:t>
      </w:r>
      <w:r w:rsidR="00515F1F" w:rsidRPr="00EA19F0">
        <w:rPr>
          <w:rFonts w:asciiTheme="minorBidi" w:eastAsiaTheme="minorEastAsia" w:hAnsiTheme="minorBidi"/>
          <w:sz w:val="24"/>
          <w:szCs w:val="24"/>
        </w:rPr>
        <w:t>equal</w:t>
      </w:r>
      <w:r w:rsidRPr="00EA19F0">
        <w:rPr>
          <w:rFonts w:asciiTheme="minorBidi" w:eastAsiaTheme="minorEastAsia" w:hAnsiTheme="minorBidi"/>
          <w:sz w:val="24"/>
          <w:szCs w:val="24"/>
        </w:rPr>
        <w:t xml:space="preserve"> to 1/100 of the measured EC (µS/cm)</w:t>
      </w:r>
      <w:r w:rsidR="00515F1F" w:rsidRPr="00EA19F0">
        <w:rPr>
          <w:rFonts w:asciiTheme="minorBidi" w:eastAsiaTheme="minorEastAsia" w:hAnsiTheme="minorBidi"/>
          <w:sz w:val="24"/>
          <w:szCs w:val="24"/>
        </w:rPr>
        <w:t xml:space="preserve"> as shown in </w:t>
      </w:r>
      <w:r w:rsidR="00515F1F" w:rsidRPr="00EA19F0">
        <w:rPr>
          <w:rFonts w:asciiTheme="minorBidi" w:hAnsiTheme="minorBidi"/>
          <w:sz w:val="24"/>
          <w:szCs w:val="24"/>
        </w:rPr>
        <w:t>Eq.</w:t>
      </w:r>
      <w:r w:rsidRPr="00EA19F0">
        <w:rPr>
          <w:rFonts w:asciiTheme="minorBidi" w:hAnsiTheme="minorBidi"/>
          <w:sz w:val="24"/>
          <w:szCs w:val="24"/>
        </w:rPr>
        <w:t xml:space="preserve"> (3): </w:t>
      </w:r>
    </w:p>
    <w:p w14:paraId="6131A93B" w14:textId="5EF34424" w:rsidR="00690FEA" w:rsidRPr="00EA19F0" w:rsidRDefault="00030FE6" w:rsidP="003261F5">
      <w:pPr>
        <w:spacing w:after="0" w:line="240" w:lineRule="auto"/>
        <w:jc w:val="both"/>
        <w:rPr>
          <w:rStyle w:val="mord"/>
          <w:rFonts w:asciiTheme="minorBidi" w:hAnsiTheme="minorBidi"/>
          <w:sz w:val="24"/>
          <w:szCs w:val="24"/>
        </w:rPr>
      </w:pPr>
      <w:r w:rsidRPr="00EA19F0">
        <w:rPr>
          <w:rStyle w:val="mord"/>
          <w:rFonts w:asciiTheme="minorBidi" w:hAnsiTheme="minorBidi"/>
          <w:sz w:val="24"/>
          <w:szCs w:val="24"/>
        </w:rPr>
        <w:t>[</w:t>
      </w:r>
      <w:r w:rsidR="00690FEA" w:rsidRPr="00EA19F0">
        <w:rPr>
          <w:rStyle w:val="mord"/>
          <w:rFonts w:asciiTheme="minorBidi" w:hAnsiTheme="minorBidi"/>
          <w:sz w:val="24"/>
          <w:szCs w:val="24"/>
        </w:rPr>
        <w:t xml:space="preserve">100 </w:t>
      </w:r>
      <w:r w:rsidR="00690FEA" w:rsidRPr="00EA19F0">
        <w:rPr>
          <w:rStyle w:val="mbin"/>
          <w:rFonts w:asciiTheme="minorBidi" w:hAnsiTheme="minorBidi"/>
          <w:sz w:val="24"/>
          <w:szCs w:val="24"/>
        </w:rPr>
        <w:t xml:space="preserve">× </w:t>
      </w:r>
      <w:r w:rsidR="00690FEA" w:rsidRPr="00EA19F0">
        <w:rPr>
          <w:rStyle w:val="mord"/>
          <w:rFonts w:asciiTheme="minorBidi" w:hAnsiTheme="minorBidi"/>
          <w:sz w:val="24"/>
          <w:szCs w:val="24"/>
        </w:rPr>
        <w:t>Anion or Cation Sum</w:t>
      </w:r>
      <w:r w:rsidR="00690FEA" w:rsidRPr="00EA19F0">
        <w:rPr>
          <w:rStyle w:val="mclose"/>
          <w:rFonts w:asciiTheme="minorBidi" w:hAnsiTheme="minorBidi"/>
          <w:sz w:val="24"/>
          <w:szCs w:val="24"/>
        </w:rPr>
        <w:t xml:space="preserve"> in meq/</w:t>
      </w:r>
      <w:r w:rsidRPr="00EA19F0">
        <w:rPr>
          <w:rStyle w:val="mclose"/>
          <w:rFonts w:asciiTheme="minorBidi" w:hAnsiTheme="minorBidi"/>
          <w:sz w:val="24"/>
          <w:szCs w:val="24"/>
        </w:rPr>
        <w:t>L] =</w:t>
      </w:r>
      <w:r w:rsidR="00690FEA" w:rsidRPr="00EA19F0">
        <w:rPr>
          <w:rStyle w:val="mclose"/>
          <w:rFonts w:asciiTheme="minorBidi" w:hAnsiTheme="minorBidi"/>
          <w:sz w:val="24"/>
          <w:szCs w:val="24"/>
        </w:rPr>
        <w:t xml:space="preserve"> </w:t>
      </w:r>
      <w:r w:rsidRPr="00EA19F0">
        <w:rPr>
          <w:rStyle w:val="mclose"/>
          <w:rFonts w:asciiTheme="minorBidi" w:hAnsiTheme="minorBidi"/>
          <w:sz w:val="24"/>
          <w:szCs w:val="24"/>
        </w:rPr>
        <w:t>[</w:t>
      </w:r>
      <w:r w:rsidR="00690FEA" w:rsidRPr="00EA19F0">
        <w:rPr>
          <w:rStyle w:val="mclose"/>
          <w:rFonts w:asciiTheme="minorBidi" w:hAnsiTheme="minorBidi"/>
          <w:sz w:val="24"/>
          <w:szCs w:val="24"/>
        </w:rPr>
        <w:t>0.9</w:t>
      </w:r>
      <w:r w:rsidR="00690FEA" w:rsidRPr="00EA19F0">
        <w:rPr>
          <w:rFonts w:asciiTheme="minorBidi" w:eastAsiaTheme="minorEastAsia" w:hAnsiTheme="minorBidi"/>
          <w:sz w:val="24"/>
          <w:szCs w:val="24"/>
        </w:rPr>
        <w:t>–</w:t>
      </w:r>
      <w:r w:rsidR="00690FEA" w:rsidRPr="00EA19F0">
        <w:rPr>
          <w:rStyle w:val="mord"/>
          <w:rFonts w:asciiTheme="minorBidi" w:hAnsiTheme="minorBidi"/>
          <w:sz w:val="24"/>
          <w:szCs w:val="24"/>
        </w:rPr>
        <w:t>1.1</w:t>
      </w:r>
      <w:r w:rsidR="00690FEA" w:rsidRPr="00EA19F0">
        <w:rPr>
          <w:rStyle w:val="mbin"/>
          <w:rFonts w:asciiTheme="minorBidi" w:hAnsiTheme="minorBidi"/>
          <w:sz w:val="24"/>
          <w:szCs w:val="24"/>
        </w:rPr>
        <w:t>×</w:t>
      </w:r>
      <w:r w:rsidR="00690FEA" w:rsidRPr="00EA19F0">
        <w:rPr>
          <w:rStyle w:val="mord"/>
          <w:rFonts w:asciiTheme="minorBidi" w:hAnsiTheme="minorBidi"/>
          <w:sz w:val="24"/>
          <w:szCs w:val="24"/>
        </w:rPr>
        <w:t>EC</w:t>
      </w:r>
      <w:r w:rsidRPr="00EA19F0">
        <w:rPr>
          <w:rStyle w:val="mord"/>
          <w:rFonts w:asciiTheme="minorBidi" w:hAnsiTheme="minorBidi"/>
          <w:sz w:val="24"/>
          <w:szCs w:val="24"/>
        </w:rPr>
        <w:t>]</w:t>
      </w:r>
      <w:r w:rsidR="00690FEA" w:rsidRPr="00EA19F0">
        <w:rPr>
          <w:rStyle w:val="mord"/>
          <w:rFonts w:asciiTheme="minorBidi" w:hAnsiTheme="minorBidi"/>
          <w:sz w:val="24"/>
          <w:szCs w:val="24"/>
        </w:rPr>
        <w:tab/>
      </w:r>
      <w:r w:rsidR="00690FEA" w:rsidRPr="00EA19F0">
        <w:rPr>
          <w:rStyle w:val="mord"/>
          <w:rFonts w:asciiTheme="minorBidi" w:hAnsiTheme="minorBidi"/>
          <w:sz w:val="24"/>
          <w:szCs w:val="24"/>
        </w:rPr>
        <w:tab/>
      </w:r>
      <w:r w:rsidR="00690FEA" w:rsidRPr="00EA19F0">
        <w:rPr>
          <w:rStyle w:val="mord"/>
          <w:rFonts w:asciiTheme="minorBidi" w:hAnsiTheme="minorBidi"/>
          <w:sz w:val="24"/>
          <w:szCs w:val="24"/>
        </w:rPr>
        <w:tab/>
        <w:t>(3)</w:t>
      </w:r>
    </w:p>
    <w:p w14:paraId="49363884" w14:textId="71FF9DE6" w:rsidR="00690FEA" w:rsidRPr="00EA19F0" w:rsidRDefault="00690FEA" w:rsidP="003261F5">
      <w:pPr>
        <w:spacing w:after="0" w:line="240" w:lineRule="auto"/>
        <w:jc w:val="both"/>
        <w:rPr>
          <w:rStyle w:val="mord"/>
          <w:rFonts w:asciiTheme="minorBidi" w:eastAsiaTheme="minorEastAsia" w:hAnsiTheme="minorBidi"/>
          <w:sz w:val="24"/>
          <w:szCs w:val="24"/>
        </w:rPr>
      </w:pPr>
      <w:r w:rsidRPr="00EA19F0">
        <w:rPr>
          <w:rStyle w:val="mord"/>
          <w:rFonts w:asciiTheme="minorBidi" w:hAnsiTheme="minorBidi"/>
          <w:sz w:val="24"/>
          <w:szCs w:val="24"/>
        </w:rPr>
        <w:t xml:space="preserve">All the results in the </w:t>
      </w:r>
      <w:r w:rsidR="00030FE6" w:rsidRPr="00EA19F0">
        <w:rPr>
          <w:rStyle w:val="mord"/>
          <w:rFonts w:asciiTheme="minorBidi" w:hAnsiTheme="minorBidi"/>
          <w:sz w:val="24"/>
          <w:szCs w:val="24"/>
        </w:rPr>
        <w:t>study</w:t>
      </w:r>
      <w:r w:rsidRPr="00EA19F0">
        <w:rPr>
          <w:rStyle w:val="mord"/>
          <w:rFonts w:asciiTheme="minorBidi" w:hAnsiTheme="minorBidi"/>
          <w:sz w:val="24"/>
          <w:szCs w:val="24"/>
        </w:rPr>
        <w:t xml:space="preserve"> were within the range of 0.9 to 1.1.</w:t>
      </w:r>
    </w:p>
    <w:p w14:paraId="4022F200" w14:textId="47C1762B" w:rsidR="00690FEA" w:rsidRPr="00EA19F0" w:rsidRDefault="00982BF7" w:rsidP="003261F5">
      <w:pPr>
        <w:spacing w:after="0" w:line="240" w:lineRule="auto"/>
        <w:jc w:val="both"/>
        <w:rPr>
          <w:rFonts w:asciiTheme="minorBidi" w:eastAsiaTheme="minorEastAsia" w:hAnsiTheme="minorBidi"/>
          <w:sz w:val="24"/>
          <w:szCs w:val="24"/>
        </w:rPr>
      </w:pPr>
      <w:r w:rsidRPr="00EA19F0">
        <w:rPr>
          <w:rFonts w:asciiTheme="minorBidi" w:eastAsiaTheme="minorEastAsia" w:hAnsiTheme="minorBidi"/>
          <w:i/>
          <w:iCs/>
          <w:sz w:val="24"/>
          <w:szCs w:val="24"/>
        </w:rPr>
        <w:t>2</w:t>
      </w:r>
      <w:r w:rsidR="00AC6D55" w:rsidRPr="00EA19F0">
        <w:rPr>
          <w:rFonts w:asciiTheme="minorBidi" w:eastAsiaTheme="minorEastAsia" w:hAnsiTheme="minorBidi"/>
          <w:i/>
          <w:iCs/>
          <w:sz w:val="24"/>
          <w:szCs w:val="24"/>
        </w:rPr>
        <w:t>.1</w:t>
      </w:r>
      <w:r w:rsidR="00690FEA" w:rsidRPr="00EA19F0">
        <w:rPr>
          <w:rFonts w:asciiTheme="minorBidi" w:eastAsiaTheme="minorEastAsia" w:hAnsiTheme="minorBidi"/>
          <w:i/>
          <w:iCs/>
          <w:sz w:val="24"/>
          <w:szCs w:val="24"/>
        </w:rPr>
        <w:t xml:space="preserve">.4. </w:t>
      </w:r>
      <w:r w:rsidR="0011119E" w:rsidRPr="00EA19F0">
        <w:rPr>
          <w:rFonts w:asciiTheme="minorBidi" w:eastAsiaTheme="minorEastAsia" w:hAnsiTheme="minorBidi"/>
          <w:i/>
          <w:iCs/>
          <w:sz w:val="24"/>
          <w:szCs w:val="24"/>
        </w:rPr>
        <w:t xml:space="preserve">Comparison of </w:t>
      </w:r>
      <w:r w:rsidR="00690FEA" w:rsidRPr="00EA19F0">
        <w:rPr>
          <w:rFonts w:asciiTheme="minorBidi" w:eastAsiaTheme="minorEastAsia" w:hAnsiTheme="minorBidi"/>
          <w:i/>
          <w:iCs/>
          <w:sz w:val="24"/>
          <w:szCs w:val="24"/>
        </w:rPr>
        <w:t>Calculated TDS</w:t>
      </w:r>
      <w:r w:rsidR="0011119E" w:rsidRPr="00EA19F0">
        <w:rPr>
          <w:rFonts w:asciiTheme="minorBidi" w:eastAsiaTheme="minorEastAsia" w:hAnsiTheme="minorBidi"/>
          <w:i/>
          <w:iCs/>
          <w:sz w:val="24"/>
          <w:szCs w:val="24"/>
        </w:rPr>
        <w:t xml:space="preserve"> and </w:t>
      </w:r>
      <w:r w:rsidR="00690FEA" w:rsidRPr="00EA19F0">
        <w:rPr>
          <w:rFonts w:asciiTheme="minorBidi" w:eastAsiaTheme="minorEastAsia" w:hAnsiTheme="minorBidi"/>
          <w:i/>
          <w:iCs/>
          <w:sz w:val="24"/>
          <w:szCs w:val="24"/>
        </w:rPr>
        <w:t>EC ratio</w:t>
      </w:r>
    </w:p>
    <w:p w14:paraId="17AABFDF" w14:textId="1BB5F4D9" w:rsidR="00690FEA" w:rsidRDefault="00690FEA" w:rsidP="003261F5">
      <w:pPr>
        <w:spacing w:after="0" w:line="240" w:lineRule="auto"/>
        <w:jc w:val="both"/>
        <w:rPr>
          <w:rFonts w:asciiTheme="minorBidi" w:eastAsiaTheme="minorEastAsia" w:hAnsiTheme="minorBidi"/>
          <w:sz w:val="24"/>
          <w:szCs w:val="24"/>
        </w:rPr>
      </w:pPr>
      <w:r w:rsidRPr="00EA19F0">
        <w:rPr>
          <w:rFonts w:asciiTheme="minorBidi" w:eastAsiaTheme="minorEastAsia" w:hAnsiTheme="minorBidi"/>
          <w:sz w:val="24"/>
          <w:szCs w:val="24"/>
        </w:rPr>
        <w:t xml:space="preserve">The ratio of </w:t>
      </w:r>
      <w:r w:rsidR="008762C8" w:rsidRPr="00EA19F0">
        <w:rPr>
          <w:rFonts w:asciiTheme="minorBidi" w:eastAsiaTheme="minorEastAsia" w:hAnsiTheme="minorBidi"/>
          <w:sz w:val="24"/>
          <w:szCs w:val="24"/>
        </w:rPr>
        <w:t>[</w:t>
      </w:r>
      <w:proofErr w:type="spellStart"/>
      <w:r w:rsidRPr="00EA19F0">
        <w:rPr>
          <w:rFonts w:asciiTheme="minorBidi" w:eastAsiaTheme="minorEastAsia" w:hAnsiTheme="minorBidi"/>
          <w:sz w:val="24"/>
          <w:szCs w:val="24"/>
        </w:rPr>
        <w:t>TDS</w:t>
      </w:r>
      <w:r w:rsidRPr="00EA19F0">
        <w:rPr>
          <w:rFonts w:asciiTheme="minorBidi" w:eastAsiaTheme="minorEastAsia" w:hAnsiTheme="minorBidi"/>
          <w:sz w:val="24"/>
          <w:szCs w:val="24"/>
          <w:vertAlign w:val="subscript"/>
        </w:rPr>
        <w:t>Cal</w:t>
      </w:r>
      <w:proofErr w:type="spellEnd"/>
      <w:r w:rsidRPr="00EA19F0">
        <w:rPr>
          <w:rFonts w:asciiTheme="minorBidi" w:eastAsiaTheme="minorEastAsia" w:hAnsiTheme="minorBidi"/>
          <w:sz w:val="24"/>
          <w:szCs w:val="24"/>
        </w:rPr>
        <w:t xml:space="preserve"> /EC</w:t>
      </w:r>
      <w:r w:rsidR="008762C8" w:rsidRPr="00EA19F0">
        <w:rPr>
          <w:rFonts w:asciiTheme="minorBidi" w:eastAsiaTheme="minorEastAsia" w:hAnsiTheme="minorBidi"/>
          <w:sz w:val="24"/>
          <w:szCs w:val="24"/>
        </w:rPr>
        <w:t>]</w:t>
      </w:r>
      <w:r w:rsidRPr="00EA19F0">
        <w:rPr>
          <w:rFonts w:asciiTheme="minorBidi" w:eastAsiaTheme="minorEastAsia" w:hAnsiTheme="minorBidi"/>
          <w:sz w:val="24"/>
          <w:szCs w:val="24"/>
        </w:rPr>
        <w:t xml:space="preserve"> must</w:t>
      </w:r>
      <w:r w:rsidR="008762C8" w:rsidRPr="00EA19F0">
        <w:rPr>
          <w:rFonts w:asciiTheme="minorBidi" w:eastAsiaTheme="minorEastAsia" w:hAnsiTheme="minorBidi"/>
          <w:sz w:val="24"/>
          <w:szCs w:val="24"/>
        </w:rPr>
        <w:t xml:space="preserve"> fall within</w:t>
      </w:r>
      <w:r w:rsidRPr="00EA19F0">
        <w:rPr>
          <w:rFonts w:asciiTheme="minorBidi" w:eastAsiaTheme="minorEastAsia" w:hAnsiTheme="minorBidi"/>
          <w:sz w:val="24"/>
          <w:szCs w:val="24"/>
        </w:rPr>
        <w:t xml:space="preserve"> the range of 0.55–0.7. The </w:t>
      </w:r>
      <w:r w:rsidR="008762C8" w:rsidRPr="00EA19F0">
        <w:rPr>
          <w:rFonts w:asciiTheme="minorBidi" w:eastAsiaTheme="minorEastAsia" w:hAnsiTheme="minorBidi"/>
          <w:sz w:val="24"/>
          <w:szCs w:val="24"/>
        </w:rPr>
        <w:t xml:space="preserve">analytical </w:t>
      </w:r>
      <w:r w:rsidRPr="00EA19F0">
        <w:rPr>
          <w:rFonts w:asciiTheme="minorBidi" w:eastAsiaTheme="minorEastAsia" w:hAnsiTheme="minorBidi"/>
          <w:sz w:val="24"/>
          <w:szCs w:val="24"/>
        </w:rPr>
        <w:t xml:space="preserve">results </w:t>
      </w:r>
      <w:r w:rsidR="008762C8" w:rsidRPr="00EA19F0">
        <w:rPr>
          <w:rFonts w:asciiTheme="minorBidi" w:eastAsiaTheme="minorEastAsia" w:hAnsiTheme="minorBidi"/>
          <w:sz w:val="24"/>
          <w:szCs w:val="24"/>
        </w:rPr>
        <w:t xml:space="preserve">obtained </w:t>
      </w:r>
      <w:r w:rsidRPr="00EA19F0">
        <w:rPr>
          <w:rFonts w:asciiTheme="minorBidi" w:eastAsiaTheme="minorEastAsia" w:hAnsiTheme="minorBidi"/>
          <w:sz w:val="24"/>
          <w:szCs w:val="24"/>
        </w:rPr>
        <w:t xml:space="preserve">within the acceptable </w:t>
      </w:r>
      <w:r w:rsidR="008762C8" w:rsidRPr="00EA19F0">
        <w:rPr>
          <w:rFonts w:asciiTheme="minorBidi" w:eastAsiaTheme="minorEastAsia" w:hAnsiTheme="minorBidi"/>
          <w:sz w:val="24"/>
          <w:szCs w:val="24"/>
        </w:rPr>
        <w:t xml:space="preserve">range </w:t>
      </w:r>
      <w:r w:rsidRPr="00EA19F0">
        <w:rPr>
          <w:rFonts w:asciiTheme="minorBidi" w:eastAsiaTheme="minorEastAsia" w:hAnsiTheme="minorBidi"/>
          <w:sz w:val="24"/>
          <w:szCs w:val="24"/>
        </w:rPr>
        <w:t xml:space="preserve">of 0.55 to 0.7, </w:t>
      </w:r>
      <w:r w:rsidR="008762C8" w:rsidRPr="00EA19F0">
        <w:rPr>
          <w:rFonts w:asciiTheme="minorBidi" w:eastAsiaTheme="minorEastAsia" w:hAnsiTheme="minorBidi"/>
          <w:sz w:val="24"/>
          <w:szCs w:val="24"/>
        </w:rPr>
        <w:t>ascertaining</w:t>
      </w:r>
      <w:r w:rsidRPr="00EA19F0">
        <w:rPr>
          <w:rFonts w:asciiTheme="minorBidi" w:eastAsiaTheme="minorEastAsia" w:hAnsiTheme="minorBidi"/>
          <w:sz w:val="24"/>
          <w:szCs w:val="24"/>
        </w:rPr>
        <w:t xml:space="preserve"> no substantial presence of </w:t>
      </w:r>
      <w:r w:rsidR="008762C8" w:rsidRPr="00EA19F0">
        <w:rPr>
          <w:rFonts w:asciiTheme="minorBidi" w:eastAsiaTheme="minorEastAsia" w:hAnsiTheme="minorBidi"/>
          <w:sz w:val="24"/>
          <w:szCs w:val="24"/>
        </w:rPr>
        <w:t xml:space="preserve">unanalysed </w:t>
      </w:r>
      <w:r w:rsidRPr="00EA19F0">
        <w:rPr>
          <w:rFonts w:asciiTheme="minorBidi" w:eastAsiaTheme="minorEastAsia" w:hAnsiTheme="minorBidi"/>
          <w:sz w:val="24"/>
          <w:szCs w:val="24"/>
        </w:rPr>
        <w:t xml:space="preserve">ions or </w:t>
      </w:r>
      <w:r w:rsidR="008762C8" w:rsidRPr="00EA19F0">
        <w:rPr>
          <w:rFonts w:asciiTheme="minorBidi" w:eastAsiaTheme="minorEastAsia" w:hAnsiTheme="minorBidi"/>
          <w:sz w:val="24"/>
          <w:szCs w:val="24"/>
        </w:rPr>
        <w:t>weakly</w:t>
      </w:r>
      <w:r w:rsidRPr="00EA19F0">
        <w:rPr>
          <w:rFonts w:asciiTheme="minorBidi" w:eastAsiaTheme="minorEastAsia" w:hAnsiTheme="minorBidi"/>
          <w:sz w:val="24"/>
          <w:szCs w:val="24"/>
        </w:rPr>
        <w:t xml:space="preserve"> dissociated species. </w:t>
      </w:r>
      <w:r w:rsidR="003D7B0F" w:rsidRPr="00EA19F0">
        <w:rPr>
          <w:rFonts w:asciiTheme="minorBidi" w:eastAsiaTheme="minorEastAsia" w:hAnsiTheme="minorBidi"/>
          <w:sz w:val="24"/>
          <w:szCs w:val="24"/>
        </w:rPr>
        <w:t xml:space="preserve">Based on </w:t>
      </w:r>
      <w:r w:rsidRPr="00EA19F0">
        <w:rPr>
          <w:rFonts w:asciiTheme="minorBidi" w:eastAsiaTheme="minorEastAsia" w:hAnsiTheme="minorBidi"/>
          <w:sz w:val="24"/>
          <w:szCs w:val="24"/>
        </w:rPr>
        <w:t>these multiple layers of internal consistency checks</w:t>
      </w:r>
      <w:r w:rsidR="000F5AC8" w:rsidRPr="00EA19F0">
        <w:rPr>
          <w:rFonts w:asciiTheme="minorBidi" w:eastAsiaTheme="minorEastAsia" w:hAnsiTheme="minorBidi"/>
          <w:sz w:val="24"/>
          <w:szCs w:val="24"/>
        </w:rPr>
        <w:t xml:space="preserve">, </w:t>
      </w:r>
      <w:r w:rsidRPr="00EA19F0">
        <w:rPr>
          <w:rFonts w:asciiTheme="minorBidi" w:eastAsiaTheme="minorEastAsia" w:hAnsiTheme="minorBidi"/>
          <w:sz w:val="24"/>
          <w:szCs w:val="24"/>
        </w:rPr>
        <w:t xml:space="preserve">the analytical correctness of the data and its </w:t>
      </w:r>
      <w:r w:rsidR="000F5AC8" w:rsidRPr="00EA19F0">
        <w:rPr>
          <w:rFonts w:asciiTheme="minorBidi" w:eastAsiaTheme="minorEastAsia" w:hAnsiTheme="minorBidi"/>
          <w:sz w:val="24"/>
          <w:szCs w:val="24"/>
        </w:rPr>
        <w:t>suitability</w:t>
      </w:r>
      <w:r w:rsidRPr="00EA19F0">
        <w:rPr>
          <w:rFonts w:asciiTheme="minorBidi" w:eastAsiaTheme="minorEastAsia" w:hAnsiTheme="minorBidi"/>
          <w:sz w:val="24"/>
          <w:szCs w:val="24"/>
        </w:rPr>
        <w:t xml:space="preserve"> for</w:t>
      </w:r>
      <w:r w:rsidR="000F5AC8" w:rsidRPr="00EA19F0">
        <w:rPr>
          <w:rFonts w:asciiTheme="minorBidi" w:eastAsiaTheme="minorEastAsia" w:hAnsiTheme="minorBidi"/>
          <w:sz w:val="24"/>
          <w:szCs w:val="24"/>
        </w:rPr>
        <w:t xml:space="preserve"> </w:t>
      </w:r>
      <w:r w:rsidRPr="00EA19F0">
        <w:rPr>
          <w:rFonts w:asciiTheme="minorBidi" w:eastAsiaTheme="minorEastAsia" w:hAnsiTheme="minorBidi"/>
          <w:sz w:val="24"/>
          <w:szCs w:val="24"/>
        </w:rPr>
        <w:t xml:space="preserve">hydrochemical </w:t>
      </w:r>
      <w:r w:rsidR="0010648A" w:rsidRPr="00EA19F0">
        <w:rPr>
          <w:rFonts w:asciiTheme="minorBidi" w:eastAsiaTheme="minorEastAsia" w:hAnsiTheme="minorBidi"/>
          <w:sz w:val="24"/>
          <w:szCs w:val="24"/>
        </w:rPr>
        <w:t>understandings</w:t>
      </w:r>
      <w:r w:rsidRPr="00EA19F0">
        <w:rPr>
          <w:rFonts w:asciiTheme="minorBidi" w:eastAsiaTheme="minorEastAsia" w:hAnsiTheme="minorBidi"/>
          <w:sz w:val="24"/>
          <w:szCs w:val="24"/>
        </w:rPr>
        <w:t xml:space="preserve"> and water quality assessments</w:t>
      </w:r>
      <w:r w:rsidR="000F5AC8" w:rsidRPr="00EA19F0">
        <w:rPr>
          <w:rFonts w:asciiTheme="minorBidi" w:eastAsiaTheme="minorEastAsia" w:hAnsiTheme="minorBidi"/>
          <w:sz w:val="24"/>
          <w:szCs w:val="24"/>
        </w:rPr>
        <w:t xml:space="preserve"> were ensured</w:t>
      </w:r>
      <w:r w:rsidRPr="00EA19F0">
        <w:rPr>
          <w:rFonts w:asciiTheme="minorBidi" w:eastAsiaTheme="minorEastAsia" w:hAnsiTheme="minorBidi"/>
          <w:sz w:val="24"/>
          <w:szCs w:val="24"/>
        </w:rPr>
        <w:t>.</w:t>
      </w:r>
    </w:p>
    <w:p w14:paraId="21028A61" w14:textId="77777777" w:rsidR="00BA3E59" w:rsidRPr="00EA19F0" w:rsidRDefault="00BA3E59" w:rsidP="003261F5">
      <w:pPr>
        <w:spacing w:after="0" w:line="240" w:lineRule="auto"/>
        <w:jc w:val="both"/>
        <w:rPr>
          <w:rFonts w:asciiTheme="minorBidi" w:eastAsiaTheme="minorEastAsia" w:hAnsiTheme="minorBidi"/>
          <w:sz w:val="24"/>
          <w:szCs w:val="24"/>
        </w:rPr>
      </w:pPr>
    </w:p>
    <w:p w14:paraId="2310831D" w14:textId="61B43893" w:rsidR="003043CF" w:rsidRPr="00EA19F0" w:rsidRDefault="001D6F7A" w:rsidP="003261F5">
      <w:pPr>
        <w:spacing w:after="0" w:line="240" w:lineRule="auto"/>
        <w:rPr>
          <w:rFonts w:asciiTheme="minorBidi" w:hAnsiTheme="minorBidi"/>
          <w:b/>
          <w:bCs/>
          <w:sz w:val="24"/>
          <w:szCs w:val="24"/>
        </w:rPr>
      </w:pPr>
      <w:r w:rsidRPr="00EA19F0">
        <w:rPr>
          <w:rFonts w:asciiTheme="minorBidi" w:hAnsiTheme="minorBidi"/>
          <w:b/>
          <w:bCs/>
          <w:sz w:val="24"/>
          <w:szCs w:val="24"/>
        </w:rPr>
        <w:t>3</w:t>
      </w:r>
      <w:r w:rsidR="00744A8A" w:rsidRPr="00EA19F0">
        <w:rPr>
          <w:rFonts w:asciiTheme="minorBidi" w:hAnsiTheme="minorBidi"/>
          <w:b/>
          <w:bCs/>
          <w:sz w:val="24"/>
          <w:szCs w:val="24"/>
        </w:rPr>
        <w:t xml:space="preserve">. </w:t>
      </w:r>
      <w:r w:rsidR="003043CF" w:rsidRPr="00EA19F0">
        <w:rPr>
          <w:rFonts w:asciiTheme="minorBidi" w:hAnsiTheme="minorBidi"/>
          <w:b/>
          <w:bCs/>
          <w:sz w:val="24"/>
          <w:szCs w:val="24"/>
        </w:rPr>
        <w:t>Results and discussion</w:t>
      </w:r>
    </w:p>
    <w:p w14:paraId="2F273658" w14:textId="5F6F552A" w:rsidR="00293D1E" w:rsidRPr="000A33CC" w:rsidRDefault="001D6F7A" w:rsidP="003261F5">
      <w:pPr>
        <w:pStyle w:val="NoSpacing"/>
        <w:jc w:val="both"/>
        <w:rPr>
          <w:rFonts w:asciiTheme="minorBidi" w:hAnsiTheme="minorBidi"/>
          <w:b/>
          <w:bCs/>
          <w:i/>
          <w:iCs/>
          <w:sz w:val="24"/>
          <w:szCs w:val="24"/>
        </w:rPr>
      </w:pPr>
      <w:r w:rsidRPr="000A33CC">
        <w:rPr>
          <w:rFonts w:asciiTheme="minorBidi" w:hAnsiTheme="minorBidi"/>
          <w:b/>
          <w:bCs/>
          <w:i/>
          <w:iCs/>
          <w:sz w:val="24"/>
          <w:szCs w:val="24"/>
        </w:rPr>
        <w:t>3</w:t>
      </w:r>
      <w:r w:rsidR="004376EA" w:rsidRPr="000A33CC">
        <w:rPr>
          <w:rFonts w:asciiTheme="minorBidi" w:hAnsiTheme="minorBidi"/>
          <w:b/>
          <w:bCs/>
          <w:i/>
          <w:iCs/>
          <w:sz w:val="24"/>
          <w:szCs w:val="24"/>
        </w:rPr>
        <w:t xml:space="preserve">.1 </w:t>
      </w:r>
      <w:r w:rsidR="003043CF" w:rsidRPr="000A33CC">
        <w:rPr>
          <w:rFonts w:asciiTheme="minorBidi" w:hAnsiTheme="minorBidi"/>
          <w:b/>
          <w:bCs/>
          <w:i/>
          <w:iCs/>
          <w:sz w:val="24"/>
          <w:szCs w:val="24"/>
        </w:rPr>
        <w:t xml:space="preserve">Periodical </w:t>
      </w:r>
      <w:r w:rsidR="0038079F" w:rsidRPr="000A33CC">
        <w:rPr>
          <w:rFonts w:asciiTheme="minorBidi" w:hAnsiTheme="minorBidi"/>
          <w:b/>
          <w:bCs/>
          <w:i/>
          <w:iCs/>
          <w:sz w:val="24"/>
          <w:szCs w:val="24"/>
        </w:rPr>
        <w:t>Variation in Hydrochemistry of </w:t>
      </w:r>
      <w:r w:rsidR="00A408F4" w:rsidRPr="000A33CC">
        <w:rPr>
          <w:rFonts w:asciiTheme="minorBidi" w:hAnsiTheme="minorBidi"/>
          <w:b/>
          <w:bCs/>
          <w:i/>
          <w:iCs/>
          <w:sz w:val="24"/>
          <w:szCs w:val="24"/>
        </w:rPr>
        <w:t>Drass</w:t>
      </w:r>
      <w:r w:rsidR="003043CF" w:rsidRPr="000A33CC">
        <w:rPr>
          <w:rFonts w:asciiTheme="minorBidi" w:hAnsiTheme="minorBidi"/>
          <w:b/>
          <w:bCs/>
          <w:i/>
          <w:iCs/>
          <w:sz w:val="24"/>
          <w:szCs w:val="24"/>
        </w:rPr>
        <w:t xml:space="preserve"> River </w:t>
      </w:r>
      <w:r w:rsidR="0038079F" w:rsidRPr="000A33CC">
        <w:rPr>
          <w:rFonts w:asciiTheme="minorBidi" w:hAnsiTheme="minorBidi"/>
          <w:b/>
          <w:bCs/>
          <w:i/>
          <w:iCs/>
          <w:sz w:val="24"/>
          <w:szCs w:val="24"/>
        </w:rPr>
        <w:t>Water</w:t>
      </w:r>
    </w:p>
    <w:p w14:paraId="4EA09A31" w14:textId="77777777" w:rsidR="008910C5" w:rsidRDefault="00F05319" w:rsidP="003261F5">
      <w:pPr>
        <w:pStyle w:val="NoSpacing"/>
        <w:jc w:val="both"/>
        <w:rPr>
          <w:rFonts w:asciiTheme="minorBidi" w:hAnsiTheme="minorBidi"/>
          <w:sz w:val="24"/>
          <w:szCs w:val="24"/>
        </w:rPr>
      </w:pPr>
      <w:r w:rsidRPr="00EA19F0">
        <w:rPr>
          <w:rFonts w:asciiTheme="minorBidi" w:hAnsiTheme="minorBidi"/>
          <w:sz w:val="24"/>
          <w:szCs w:val="24"/>
        </w:rPr>
        <w:t xml:space="preserve">The physicochemical characteristics and major dissolved constituents of </w:t>
      </w:r>
      <w:r w:rsidR="002B470B" w:rsidRPr="00EA19F0">
        <w:rPr>
          <w:rFonts w:asciiTheme="minorBidi" w:hAnsiTheme="minorBidi"/>
          <w:sz w:val="24"/>
          <w:szCs w:val="24"/>
        </w:rPr>
        <w:t>Drass River Basi</w:t>
      </w:r>
      <w:r w:rsidR="0082223A" w:rsidRPr="00EA19F0">
        <w:rPr>
          <w:rFonts w:asciiTheme="minorBidi" w:hAnsiTheme="minorBidi"/>
          <w:sz w:val="24"/>
          <w:szCs w:val="24"/>
        </w:rPr>
        <w:t>n</w:t>
      </w:r>
      <w:r w:rsidR="002B470B" w:rsidRPr="00EA19F0">
        <w:rPr>
          <w:rFonts w:asciiTheme="minorBidi" w:hAnsiTheme="minorBidi"/>
          <w:sz w:val="24"/>
          <w:szCs w:val="24"/>
        </w:rPr>
        <w:t xml:space="preserve"> (DRB)</w:t>
      </w:r>
      <w:r w:rsidRPr="00EA19F0">
        <w:rPr>
          <w:rFonts w:asciiTheme="minorBidi" w:hAnsiTheme="minorBidi"/>
          <w:sz w:val="24"/>
          <w:szCs w:val="24"/>
        </w:rPr>
        <w:t xml:space="preserve"> exhibit distinct spatial and temporal variability </w:t>
      </w:r>
      <w:r w:rsidRPr="00EA19F0">
        <w:rPr>
          <w:rFonts w:asciiTheme="minorBidi" w:hAnsiTheme="minorBidi"/>
          <w:b/>
          <w:bCs/>
          <w:sz w:val="24"/>
          <w:szCs w:val="24"/>
        </w:rPr>
        <w:t xml:space="preserve">Table </w:t>
      </w:r>
      <w:r w:rsidR="00DD7D52" w:rsidRPr="00EA19F0">
        <w:rPr>
          <w:rFonts w:asciiTheme="minorBidi" w:hAnsiTheme="minorBidi"/>
          <w:b/>
          <w:bCs/>
          <w:sz w:val="24"/>
          <w:szCs w:val="24"/>
        </w:rPr>
        <w:t>3</w:t>
      </w:r>
      <w:r w:rsidRPr="00EA19F0">
        <w:rPr>
          <w:rFonts w:asciiTheme="minorBidi" w:hAnsiTheme="minorBidi"/>
          <w:b/>
          <w:bCs/>
          <w:sz w:val="24"/>
          <w:szCs w:val="24"/>
        </w:rPr>
        <w:t xml:space="preserve">; Fig. </w:t>
      </w:r>
      <w:r w:rsidR="00A365CE" w:rsidRPr="00EA19F0">
        <w:rPr>
          <w:rFonts w:asciiTheme="minorBidi" w:hAnsiTheme="minorBidi"/>
          <w:b/>
          <w:bCs/>
          <w:sz w:val="24"/>
          <w:szCs w:val="24"/>
        </w:rPr>
        <w:t>2</w:t>
      </w:r>
      <w:r w:rsidRPr="00EA19F0">
        <w:rPr>
          <w:rFonts w:asciiTheme="minorBidi" w:hAnsiTheme="minorBidi"/>
          <w:sz w:val="24"/>
          <w:szCs w:val="24"/>
        </w:rPr>
        <w:t xml:space="preserve">. </w:t>
      </w:r>
    </w:p>
    <w:p w14:paraId="34B07F76" w14:textId="77777777" w:rsidR="00306C8B" w:rsidRPr="004C0BF0" w:rsidRDefault="00306C8B" w:rsidP="00306C8B">
      <w:pPr>
        <w:pStyle w:val="NormalWeb"/>
      </w:pPr>
      <w:r w:rsidRPr="004C0BF0">
        <w:rPr>
          <w:noProof/>
        </w:rPr>
        <w:drawing>
          <wp:inline distT="0" distB="0" distL="0" distR="0" wp14:anchorId="67259A32" wp14:editId="155B1072">
            <wp:extent cx="5372100" cy="2168305"/>
            <wp:effectExtent l="0" t="0" r="0" b="3810"/>
            <wp:docPr id="379377541" name="Chart 1">
              <a:extLst xmlns:a="http://schemas.openxmlformats.org/drawingml/2006/main">
                <a:ext uri="{FF2B5EF4-FFF2-40B4-BE49-F238E27FC236}">
                  <a16:creationId xmlns:a16="http://schemas.microsoft.com/office/drawing/2014/main" id="{2B2D7A1B-FCD2-315B-84E9-0775384BCA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006CDA" w14:textId="77777777" w:rsidR="00306C8B" w:rsidRDefault="00306C8B" w:rsidP="00306C8B">
      <w:pPr>
        <w:pStyle w:val="Caption"/>
        <w:rPr>
          <w:rFonts w:ascii="Times New Roman" w:hAnsi="Times New Roman" w:cs="Times New Roman"/>
          <w:i w:val="0"/>
          <w:iCs w:val="0"/>
          <w:color w:val="auto"/>
          <w:sz w:val="24"/>
          <w:szCs w:val="24"/>
        </w:rPr>
        <w:sectPr w:rsidR="00306C8B" w:rsidSect="00F23E1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993" w:left="1440" w:header="708" w:footer="392" w:gutter="0"/>
          <w:cols w:space="708"/>
          <w:docGrid w:linePitch="360"/>
        </w:sectPr>
      </w:pPr>
      <w:r w:rsidRPr="004C0BF0">
        <w:rPr>
          <w:rFonts w:ascii="Times New Roman" w:hAnsi="Times New Roman" w:cs="Times New Roman"/>
          <w:i w:val="0"/>
          <w:iCs w:val="0"/>
          <w:color w:val="auto"/>
          <w:sz w:val="24"/>
          <w:szCs w:val="24"/>
        </w:rPr>
        <w:t>Figure 2 Variation in Major ion concentration in the Drass River Basin (DRB)</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417"/>
        <w:gridCol w:w="1418"/>
        <w:gridCol w:w="1275"/>
        <w:gridCol w:w="1418"/>
        <w:gridCol w:w="1417"/>
        <w:gridCol w:w="993"/>
        <w:gridCol w:w="850"/>
        <w:gridCol w:w="992"/>
        <w:gridCol w:w="1134"/>
      </w:tblGrid>
      <w:tr w:rsidR="00DE2FA6" w:rsidRPr="000C3C9D" w14:paraId="76D5E9A8" w14:textId="77777777" w:rsidTr="00F97B8A">
        <w:trPr>
          <w:trHeight w:val="52"/>
          <w:jc w:val="center"/>
        </w:trPr>
        <w:tc>
          <w:tcPr>
            <w:tcW w:w="15304" w:type="dxa"/>
            <w:gridSpan w:val="11"/>
            <w:noWrap/>
            <w:vAlign w:val="center"/>
          </w:tcPr>
          <w:p w14:paraId="11353019"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lastRenderedPageBreak/>
              <w:t>Table 3</w:t>
            </w:r>
          </w:p>
          <w:p w14:paraId="4082D944" w14:textId="0AD4163D"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 xml:space="preserve">Statistical summary of water quality parameters in the Drass River Basin during the study periods. (SD = Standard Deviation); </w:t>
            </w:r>
            <w:r w:rsidRPr="000C3C9D">
              <w:rPr>
                <w:rFonts w:ascii="Times New Roman" w:hAnsi="Times New Roman" w:cs="Times New Roman"/>
                <w:sz w:val="20"/>
                <w:szCs w:val="20"/>
              </w:rPr>
              <w:fldChar w:fldCharType="begin"/>
            </w:r>
            <w:r w:rsidR="00BA3E59">
              <w:rPr>
                <w:rFonts w:ascii="Times New Roman" w:hAnsi="Times New Roman" w:cs="Times New Roman"/>
                <w:sz w:val="20"/>
                <w:szCs w:val="20"/>
              </w:rPr>
              <w:instrText xml:space="preserve"> ADDIN ZOTERO_ITEM CSL_CITATION {"citationID":"qTktbCOn","properties":{"formattedCitation":"(Selvam et al., 2021)","plainCitation":"(Selvam et al., 2021)","noteIndex":0},"citationItems":[{"id":1118,"uris":["http://zotero.org/users/17566097/items/TQX3UUJT"],"itemData":{"id":1118,"type":"article-journal","container-title":"Environmental research","note":"publisher: Elsevier","page":"111461","source":"Google Scholar","title":"Assessment of groundwater from an industrial coastal area of south India for human health risk from consumption and irrigation suitability","URL":"https://www.sciencedirect.com/science/article/pii/S0013935121007556","volume":"200","author":[{"family":"Selvam","given":"S."},{"family":"Jesuraja","given":"K."},{"family":"Roy","given":"Priyadarsi D."},{"family":"Venkatramanan","given":"S."},{"family":"Chung","given":"S. Y."},{"family":"Elzain","given":"Hussam Eldin"},{"family":"Muthukumar","given":"P."},{"family":"Nath","given":"Akhila V."},{"family":"Karthik","given":"R."}],"accessed":{"date-parts":[["2024",6,29]]},"issued":{"date-parts":[["2021"]]}}}],"schema":"https://github.com/citation-style-language/schema/raw/master/csl-citation.json"} </w:instrText>
            </w:r>
            <w:r w:rsidRPr="000C3C9D">
              <w:rPr>
                <w:rFonts w:ascii="Times New Roman" w:hAnsi="Times New Roman" w:cs="Times New Roman"/>
                <w:sz w:val="20"/>
                <w:szCs w:val="20"/>
              </w:rPr>
              <w:fldChar w:fldCharType="separate"/>
            </w:r>
            <w:r w:rsidRPr="000C3C9D">
              <w:rPr>
                <w:rFonts w:ascii="Times New Roman" w:hAnsi="Times New Roman" w:cs="Times New Roman"/>
                <w:sz w:val="20"/>
                <w:szCs w:val="20"/>
              </w:rPr>
              <w:t>(</w:t>
            </w:r>
            <w:r w:rsidRPr="000C3C9D">
              <w:rPr>
                <w:rFonts w:ascii="Times New Roman" w:hAnsi="Times New Roman" w:cs="Times New Roman"/>
                <w:color w:val="0070C0"/>
                <w:sz w:val="20"/>
                <w:szCs w:val="20"/>
              </w:rPr>
              <w:t>Selvam et al., 2021</w:t>
            </w:r>
            <w:r w:rsidRPr="000C3C9D">
              <w:rPr>
                <w:rFonts w:ascii="Times New Roman" w:hAnsi="Times New Roman" w:cs="Times New Roman"/>
                <w:sz w:val="20"/>
                <w:szCs w:val="20"/>
              </w:rPr>
              <w:t>)</w:t>
            </w:r>
            <w:r w:rsidRPr="000C3C9D">
              <w:rPr>
                <w:rFonts w:ascii="Times New Roman" w:hAnsi="Times New Roman" w:cs="Times New Roman"/>
                <w:sz w:val="20"/>
                <w:szCs w:val="20"/>
              </w:rPr>
              <w:fldChar w:fldCharType="end"/>
            </w:r>
          </w:p>
        </w:tc>
      </w:tr>
      <w:tr w:rsidR="00DE2FA6" w:rsidRPr="000C3C9D" w14:paraId="5E399542" w14:textId="77777777" w:rsidTr="00F97B8A">
        <w:trPr>
          <w:trHeight w:val="52"/>
          <w:jc w:val="center"/>
        </w:trPr>
        <w:tc>
          <w:tcPr>
            <w:tcW w:w="2972" w:type="dxa"/>
            <w:vMerge w:val="restart"/>
            <w:noWrap/>
            <w:vAlign w:val="center"/>
            <w:hideMark/>
          </w:tcPr>
          <w:p w14:paraId="0771B7B6"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Parameters</w:t>
            </w:r>
          </w:p>
        </w:tc>
        <w:tc>
          <w:tcPr>
            <w:tcW w:w="8363" w:type="dxa"/>
            <w:gridSpan w:val="6"/>
            <w:noWrap/>
            <w:vAlign w:val="center"/>
          </w:tcPr>
          <w:p w14:paraId="30A18754"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Study Periods</w:t>
            </w:r>
          </w:p>
        </w:tc>
        <w:tc>
          <w:tcPr>
            <w:tcW w:w="1843" w:type="dxa"/>
            <w:gridSpan w:val="2"/>
          </w:tcPr>
          <w:p w14:paraId="3FD15C8F"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BIS (2012)</w:t>
            </w:r>
            <w:r>
              <w:rPr>
                <w:rFonts w:ascii="Times New Roman" w:eastAsia="Times New Roman" w:hAnsi="Times New Roman" w:cs="Times New Roman"/>
                <w:b/>
                <w:bCs/>
                <w:kern w:val="0"/>
                <w:sz w:val="20"/>
                <w:szCs w:val="20"/>
                <w:lang w:eastAsia="en-IN"/>
                <w14:ligatures w14:val="none"/>
              </w:rPr>
              <w:t xml:space="preserve"> Limit</w:t>
            </w:r>
          </w:p>
        </w:tc>
        <w:tc>
          <w:tcPr>
            <w:tcW w:w="2126" w:type="dxa"/>
            <w:gridSpan w:val="2"/>
          </w:tcPr>
          <w:p w14:paraId="5DD8B8E2"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WHO (2017)</w:t>
            </w:r>
            <w:r>
              <w:rPr>
                <w:rFonts w:ascii="Times New Roman" w:eastAsia="Times New Roman" w:hAnsi="Times New Roman" w:cs="Times New Roman"/>
                <w:b/>
                <w:bCs/>
                <w:kern w:val="0"/>
                <w:sz w:val="20"/>
                <w:szCs w:val="20"/>
                <w:lang w:eastAsia="en-IN"/>
                <w14:ligatures w14:val="none"/>
              </w:rPr>
              <w:t xml:space="preserve"> Limit</w:t>
            </w:r>
          </w:p>
        </w:tc>
      </w:tr>
      <w:tr w:rsidR="00DE2FA6" w:rsidRPr="000C3C9D" w14:paraId="4855592A" w14:textId="77777777" w:rsidTr="00F97B8A">
        <w:trPr>
          <w:trHeight w:val="52"/>
          <w:jc w:val="center"/>
        </w:trPr>
        <w:tc>
          <w:tcPr>
            <w:tcW w:w="2972" w:type="dxa"/>
            <w:vMerge/>
            <w:noWrap/>
            <w:vAlign w:val="center"/>
          </w:tcPr>
          <w:p w14:paraId="621FF90A"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p>
        </w:tc>
        <w:tc>
          <w:tcPr>
            <w:tcW w:w="2835" w:type="dxa"/>
            <w:gridSpan w:val="2"/>
            <w:noWrap/>
            <w:vAlign w:val="center"/>
          </w:tcPr>
          <w:p w14:paraId="7FA1DC54"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Early Melting Period</w:t>
            </w:r>
          </w:p>
        </w:tc>
        <w:tc>
          <w:tcPr>
            <w:tcW w:w="2693" w:type="dxa"/>
            <w:gridSpan w:val="2"/>
            <w:noWrap/>
            <w:vAlign w:val="center"/>
          </w:tcPr>
          <w:p w14:paraId="7F8E91B3"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Peak Melting Period</w:t>
            </w:r>
          </w:p>
        </w:tc>
        <w:tc>
          <w:tcPr>
            <w:tcW w:w="2835" w:type="dxa"/>
            <w:gridSpan w:val="2"/>
            <w:noWrap/>
            <w:vAlign w:val="center"/>
          </w:tcPr>
          <w:p w14:paraId="1B7884BA"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Late Melting Period</w:t>
            </w:r>
          </w:p>
        </w:tc>
        <w:tc>
          <w:tcPr>
            <w:tcW w:w="993" w:type="dxa"/>
            <w:vAlign w:val="center"/>
          </w:tcPr>
          <w:p w14:paraId="7988A16B"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r>
              <w:rPr>
                <w:rFonts w:ascii="Times New Roman" w:hAnsi="Times New Roman" w:cs="Times New Roman"/>
                <w:sz w:val="20"/>
                <w:szCs w:val="20"/>
              </w:rPr>
              <w:t>Min.</w:t>
            </w:r>
          </w:p>
        </w:tc>
        <w:tc>
          <w:tcPr>
            <w:tcW w:w="850" w:type="dxa"/>
            <w:vAlign w:val="center"/>
          </w:tcPr>
          <w:p w14:paraId="09A57B83"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r>
              <w:rPr>
                <w:rFonts w:ascii="Times New Roman" w:hAnsi="Times New Roman" w:cs="Times New Roman"/>
                <w:sz w:val="20"/>
                <w:szCs w:val="20"/>
              </w:rPr>
              <w:t>Max.</w:t>
            </w:r>
          </w:p>
        </w:tc>
        <w:tc>
          <w:tcPr>
            <w:tcW w:w="992" w:type="dxa"/>
            <w:vAlign w:val="center"/>
          </w:tcPr>
          <w:p w14:paraId="2C800AF6" w14:textId="77777777" w:rsidR="00DE2FA6" w:rsidRPr="005209C4" w:rsidRDefault="00DE2FA6" w:rsidP="00F97B8A">
            <w:pPr>
              <w:spacing w:after="0" w:line="240" w:lineRule="auto"/>
              <w:jc w:val="center"/>
              <w:rPr>
                <w:rFonts w:ascii="Times New Roman" w:hAnsi="Times New Roman" w:cs="Times New Roman"/>
                <w:sz w:val="20"/>
                <w:szCs w:val="20"/>
              </w:rPr>
            </w:pPr>
            <w:r w:rsidRPr="000C3C9D">
              <w:rPr>
                <w:rFonts w:ascii="Times New Roman" w:hAnsi="Times New Roman" w:cs="Times New Roman"/>
                <w:sz w:val="20"/>
                <w:szCs w:val="20"/>
              </w:rPr>
              <w:t>Desirable</w:t>
            </w:r>
          </w:p>
        </w:tc>
        <w:tc>
          <w:tcPr>
            <w:tcW w:w="1134" w:type="dxa"/>
            <w:vAlign w:val="center"/>
          </w:tcPr>
          <w:p w14:paraId="473145F3" w14:textId="77777777" w:rsidR="00DE2FA6" w:rsidRPr="005209C4" w:rsidRDefault="00DE2FA6" w:rsidP="00F97B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Not </w:t>
            </w:r>
            <w:r w:rsidRPr="000C3C9D">
              <w:rPr>
                <w:rFonts w:ascii="Times New Roman" w:hAnsi="Times New Roman" w:cs="Times New Roman"/>
                <w:sz w:val="20"/>
                <w:szCs w:val="20"/>
              </w:rPr>
              <w:t>Acceptable</w:t>
            </w:r>
          </w:p>
        </w:tc>
      </w:tr>
      <w:tr w:rsidR="00DE2FA6" w:rsidRPr="000C3C9D" w14:paraId="35CC6F11" w14:textId="77777777" w:rsidTr="00F97B8A">
        <w:trPr>
          <w:trHeight w:val="157"/>
          <w:jc w:val="center"/>
        </w:trPr>
        <w:tc>
          <w:tcPr>
            <w:tcW w:w="2972" w:type="dxa"/>
            <w:vMerge/>
            <w:noWrap/>
            <w:vAlign w:val="center"/>
          </w:tcPr>
          <w:p w14:paraId="0D4A6A97" w14:textId="77777777" w:rsidR="00DE2FA6" w:rsidRPr="000C3C9D" w:rsidRDefault="00DE2FA6" w:rsidP="00F97B8A">
            <w:pPr>
              <w:spacing w:after="0" w:line="240" w:lineRule="auto"/>
              <w:jc w:val="center"/>
              <w:rPr>
                <w:rFonts w:ascii="Times New Roman" w:eastAsia="Times New Roman" w:hAnsi="Times New Roman" w:cs="Times New Roman"/>
                <w:b/>
                <w:bCs/>
                <w:kern w:val="0"/>
                <w:sz w:val="20"/>
                <w:szCs w:val="20"/>
                <w:lang w:eastAsia="en-IN"/>
                <w14:ligatures w14:val="none"/>
              </w:rPr>
            </w:pPr>
          </w:p>
        </w:tc>
        <w:tc>
          <w:tcPr>
            <w:tcW w:w="1418" w:type="dxa"/>
            <w:noWrap/>
            <w:vAlign w:val="center"/>
          </w:tcPr>
          <w:p w14:paraId="7AE7DD85"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eastAsia="Times New Roman" w:hAnsi="Times New Roman" w:cs="Times New Roman"/>
                <w:kern w:val="0"/>
                <w:sz w:val="20"/>
                <w:szCs w:val="20"/>
                <w:lang w:eastAsia="en-IN"/>
                <w14:ligatures w14:val="none"/>
              </w:rPr>
              <w:t>Mean ± SD</w:t>
            </w:r>
          </w:p>
        </w:tc>
        <w:tc>
          <w:tcPr>
            <w:tcW w:w="1417" w:type="dxa"/>
            <w:noWrap/>
            <w:vAlign w:val="center"/>
          </w:tcPr>
          <w:p w14:paraId="2C2A4023" w14:textId="77777777" w:rsidR="00DE2FA6" w:rsidRPr="000C3C9D" w:rsidRDefault="00DE2FA6" w:rsidP="00F97B8A">
            <w:pPr>
              <w:spacing w:after="0" w:line="240" w:lineRule="auto"/>
              <w:jc w:val="center"/>
              <w:rPr>
                <w:rFonts w:ascii="Times New Roman" w:hAnsi="Times New Roman" w:cs="Times New Roman"/>
                <w:sz w:val="20"/>
                <w:szCs w:val="20"/>
              </w:rPr>
            </w:pPr>
            <w:r w:rsidRPr="000C3C9D">
              <w:rPr>
                <w:rFonts w:ascii="Times New Roman" w:eastAsia="Times New Roman" w:hAnsi="Times New Roman" w:cs="Times New Roman"/>
                <w:kern w:val="0"/>
                <w:sz w:val="20"/>
                <w:szCs w:val="20"/>
                <w:lang w:eastAsia="en-IN"/>
                <w14:ligatures w14:val="none"/>
              </w:rPr>
              <w:t>Range</w:t>
            </w:r>
          </w:p>
        </w:tc>
        <w:tc>
          <w:tcPr>
            <w:tcW w:w="1418" w:type="dxa"/>
            <w:noWrap/>
            <w:vAlign w:val="center"/>
          </w:tcPr>
          <w:p w14:paraId="6BEB4C43"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eastAsia="Times New Roman" w:hAnsi="Times New Roman" w:cs="Times New Roman"/>
                <w:kern w:val="0"/>
                <w:sz w:val="20"/>
                <w:szCs w:val="20"/>
                <w:lang w:eastAsia="en-IN"/>
                <w14:ligatures w14:val="none"/>
              </w:rPr>
              <w:t>Mean ± SD</w:t>
            </w:r>
          </w:p>
        </w:tc>
        <w:tc>
          <w:tcPr>
            <w:tcW w:w="1275" w:type="dxa"/>
            <w:noWrap/>
            <w:vAlign w:val="center"/>
          </w:tcPr>
          <w:p w14:paraId="3CD9A678" w14:textId="77777777" w:rsidR="00DE2FA6" w:rsidRPr="000C3C9D" w:rsidRDefault="00DE2FA6" w:rsidP="00F97B8A">
            <w:pPr>
              <w:spacing w:after="0" w:line="240" w:lineRule="auto"/>
              <w:jc w:val="center"/>
              <w:rPr>
                <w:rFonts w:ascii="Times New Roman" w:hAnsi="Times New Roman" w:cs="Times New Roman"/>
                <w:sz w:val="20"/>
                <w:szCs w:val="20"/>
              </w:rPr>
            </w:pPr>
            <w:r w:rsidRPr="000C3C9D">
              <w:rPr>
                <w:rFonts w:ascii="Times New Roman" w:eastAsia="Times New Roman" w:hAnsi="Times New Roman" w:cs="Times New Roman"/>
                <w:kern w:val="0"/>
                <w:sz w:val="20"/>
                <w:szCs w:val="20"/>
                <w:lang w:eastAsia="en-IN"/>
                <w14:ligatures w14:val="none"/>
              </w:rPr>
              <w:t>Range</w:t>
            </w:r>
          </w:p>
        </w:tc>
        <w:tc>
          <w:tcPr>
            <w:tcW w:w="1418" w:type="dxa"/>
            <w:noWrap/>
            <w:vAlign w:val="center"/>
          </w:tcPr>
          <w:p w14:paraId="04D41473"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eastAsia="Times New Roman" w:hAnsi="Times New Roman" w:cs="Times New Roman"/>
                <w:kern w:val="0"/>
                <w:sz w:val="20"/>
                <w:szCs w:val="20"/>
                <w:lang w:eastAsia="en-IN"/>
                <w14:ligatures w14:val="none"/>
              </w:rPr>
              <w:t>Mean ± SD</w:t>
            </w:r>
          </w:p>
        </w:tc>
        <w:tc>
          <w:tcPr>
            <w:tcW w:w="1417" w:type="dxa"/>
            <w:noWrap/>
            <w:vAlign w:val="center"/>
          </w:tcPr>
          <w:p w14:paraId="572144DC" w14:textId="77777777" w:rsidR="00DE2FA6" w:rsidRPr="000C3C9D" w:rsidRDefault="00DE2FA6" w:rsidP="00F97B8A">
            <w:pPr>
              <w:spacing w:after="0" w:line="240" w:lineRule="auto"/>
              <w:jc w:val="center"/>
              <w:rPr>
                <w:rFonts w:ascii="Times New Roman" w:hAnsi="Times New Roman" w:cs="Times New Roman"/>
                <w:sz w:val="20"/>
                <w:szCs w:val="20"/>
              </w:rPr>
            </w:pPr>
            <w:r w:rsidRPr="000C3C9D">
              <w:rPr>
                <w:rFonts w:ascii="Times New Roman" w:eastAsia="Times New Roman" w:hAnsi="Times New Roman" w:cs="Times New Roman"/>
                <w:kern w:val="0"/>
                <w:sz w:val="20"/>
                <w:szCs w:val="20"/>
                <w:lang w:eastAsia="en-IN"/>
                <w14:ligatures w14:val="none"/>
              </w:rPr>
              <w:t>Range</w:t>
            </w:r>
          </w:p>
        </w:tc>
        <w:tc>
          <w:tcPr>
            <w:tcW w:w="993" w:type="dxa"/>
          </w:tcPr>
          <w:p w14:paraId="325B97E5"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p>
        </w:tc>
        <w:tc>
          <w:tcPr>
            <w:tcW w:w="850" w:type="dxa"/>
          </w:tcPr>
          <w:p w14:paraId="7EDEFC36"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p>
        </w:tc>
        <w:tc>
          <w:tcPr>
            <w:tcW w:w="992" w:type="dxa"/>
          </w:tcPr>
          <w:p w14:paraId="4B7EA385"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p>
        </w:tc>
        <w:tc>
          <w:tcPr>
            <w:tcW w:w="1134" w:type="dxa"/>
          </w:tcPr>
          <w:p w14:paraId="5454018D"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p>
        </w:tc>
      </w:tr>
      <w:tr w:rsidR="00DE2FA6" w:rsidRPr="000C3C9D" w14:paraId="7EF81840" w14:textId="77777777" w:rsidTr="00F97B8A">
        <w:trPr>
          <w:trHeight w:val="157"/>
          <w:jc w:val="center"/>
        </w:trPr>
        <w:tc>
          <w:tcPr>
            <w:tcW w:w="2972" w:type="dxa"/>
            <w:noWrap/>
            <w:vAlign w:val="center"/>
          </w:tcPr>
          <w:p w14:paraId="7ECDA7C7" w14:textId="77777777" w:rsidR="00DE2FA6" w:rsidRPr="000C3C9D" w:rsidRDefault="00DE2FA6" w:rsidP="00F97B8A">
            <w:pPr>
              <w:spacing w:after="0" w:line="240" w:lineRule="auto"/>
              <w:jc w:val="both"/>
              <w:rPr>
                <w:rFonts w:ascii="Times New Roman" w:eastAsia="Times New Roman" w:hAnsi="Times New Roman" w:cs="Times New Roman"/>
                <w:b/>
                <w:bCs/>
                <w:noProof/>
                <w:kern w:val="0"/>
                <w:sz w:val="20"/>
                <w:szCs w:val="20"/>
                <w:lang w:eastAsia="en-IN"/>
              </w:rPr>
            </w:pPr>
            <w:r w:rsidRPr="000C3C9D">
              <w:rPr>
                <w:rFonts w:ascii="Times New Roman" w:eastAsia="Times New Roman" w:hAnsi="Times New Roman" w:cs="Times New Roman"/>
                <w:b/>
                <w:bCs/>
                <w:noProof/>
                <w:kern w:val="0"/>
                <w:sz w:val="20"/>
                <w:szCs w:val="20"/>
                <w:lang w:eastAsia="en-IN"/>
              </w:rPr>
              <w:t>DO (mg/L)</w:t>
            </w:r>
          </w:p>
        </w:tc>
        <w:tc>
          <w:tcPr>
            <w:tcW w:w="1418" w:type="dxa"/>
            <w:noWrap/>
            <w:vAlign w:val="center"/>
          </w:tcPr>
          <w:p w14:paraId="32AA7DDF"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12.34±0.73</w:t>
            </w:r>
          </w:p>
        </w:tc>
        <w:tc>
          <w:tcPr>
            <w:tcW w:w="1417" w:type="dxa"/>
            <w:noWrap/>
            <w:vAlign w:val="center"/>
          </w:tcPr>
          <w:p w14:paraId="51ABA229"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11.75-13.77</w:t>
            </w:r>
          </w:p>
        </w:tc>
        <w:tc>
          <w:tcPr>
            <w:tcW w:w="1418" w:type="dxa"/>
            <w:noWrap/>
            <w:vAlign w:val="center"/>
          </w:tcPr>
          <w:p w14:paraId="4078EA0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11.95±1.36</w:t>
            </w:r>
          </w:p>
        </w:tc>
        <w:tc>
          <w:tcPr>
            <w:tcW w:w="1275" w:type="dxa"/>
            <w:noWrap/>
            <w:vAlign w:val="center"/>
          </w:tcPr>
          <w:p w14:paraId="79B77817"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9.27-13.17</w:t>
            </w:r>
          </w:p>
        </w:tc>
        <w:tc>
          <w:tcPr>
            <w:tcW w:w="1418" w:type="dxa"/>
            <w:noWrap/>
            <w:vAlign w:val="center"/>
          </w:tcPr>
          <w:p w14:paraId="0E87113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13.5±0.17</w:t>
            </w:r>
          </w:p>
        </w:tc>
        <w:tc>
          <w:tcPr>
            <w:tcW w:w="1417" w:type="dxa"/>
            <w:noWrap/>
            <w:vAlign w:val="center"/>
          </w:tcPr>
          <w:p w14:paraId="6EACB61C"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13.23-13.7</w:t>
            </w:r>
          </w:p>
        </w:tc>
        <w:tc>
          <w:tcPr>
            <w:tcW w:w="993" w:type="dxa"/>
            <w:vAlign w:val="center"/>
          </w:tcPr>
          <w:p w14:paraId="72D33A6B"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vAlign w:val="center"/>
          </w:tcPr>
          <w:p w14:paraId="2C750A97"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vAlign w:val="center"/>
          </w:tcPr>
          <w:p w14:paraId="2124161A"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vAlign w:val="center"/>
          </w:tcPr>
          <w:p w14:paraId="0070B5B9"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6B3968EE" w14:textId="77777777" w:rsidTr="00F97B8A">
        <w:trPr>
          <w:trHeight w:val="157"/>
          <w:jc w:val="center"/>
        </w:trPr>
        <w:tc>
          <w:tcPr>
            <w:tcW w:w="2972" w:type="dxa"/>
            <w:noWrap/>
            <w:vAlign w:val="center"/>
          </w:tcPr>
          <w:p w14:paraId="0EC7493D" w14:textId="77777777" w:rsidR="00DE2FA6" w:rsidRPr="000C3C9D" w:rsidRDefault="00DE2FA6" w:rsidP="00F97B8A">
            <w:pPr>
              <w:spacing w:after="0" w:line="240" w:lineRule="auto"/>
              <w:jc w:val="both"/>
              <w:rPr>
                <w:rFonts w:ascii="Times New Roman" w:eastAsia="Times New Roman" w:hAnsi="Times New Roman" w:cs="Times New Roman"/>
                <w:b/>
                <w:bCs/>
                <w:noProof/>
                <w:kern w:val="0"/>
                <w:sz w:val="20"/>
                <w:szCs w:val="20"/>
                <w:lang w:eastAsia="en-IN"/>
              </w:rPr>
            </w:pPr>
            <w:r w:rsidRPr="000C3C9D">
              <w:rPr>
                <w:rFonts w:ascii="Times New Roman" w:eastAsia="Times New Roman" w:hAnsi="Times New Roman" w:cs="Times New Roman"/>
                <w:b/>
                <w:bCs/>
                <w:noProof/>
                <w:kern w:val="0"/>
                <w:sz w:val="20"/>
                <w:szCs w:val="20"/>
                <w:lang w:eastAsia="en-IN"/>
              </w:rPr>
              <w:t>pH</w:t>
            </w:r>
          </w:p>
        </w:tc>
        <w:tc>
          <w:tcPr>
            <w:tcW w:w="1418" w:type="dxa"/>
            <w:noWrap/>
            <w:vAlign w:val="center"/>
          </w:tcPr>
          <w:p w14:paraId="0E515D17"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8.33±0.11</w:t>
            </w:r>
          </w:p>
        </w:tc>
        <w:tc>
          <w:tcPr>
            <w:tcW w:w="1417" w:type="dxa"/>
            <w:noWrap/>
            <w:vAlign w:val="center"/>
          </w:tcPr>
          <w:p w14:paraId="626CEA1C"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8.16-8.5</w:t>
            </w:r>
          </w:p>
        </w:tc>
        <w:tc>
          <w:tcPr>
            <w:tcW w:w="1418" w:type="dxa"/>
            <w:noWrap/>
            <w:vAlign w:val="center"/>
          </w:tcPr>
          <w:p w14:paraId="075E1B34"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8.13±0.08</w:t>
            </w:r>
          </w:p>
        </w:tc>
        <w:tc>
          <w:tcPr>
            <w:tcW w:w="1275" w:type="dxa"/>
            <w:noWrap/>
            <w:vAlign w:val="center"/>
          </w:tcPr>
          <w:p w14:paraId="40464400"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8.03-8.27</w:t>
            </w:r>
          </w:p>
        </w:tc>
        <w:tc>
          <w:tcPr>
            <w:tcW w:w="1418" w:type="dxa"/>
            <w:noWrap/>
            <w:vAlign w:val="center"/>
          </w:tcPr>
          <w:p w14:paraId="62AB90FC"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8.15±0.04</w:t>
            </w:r>
          </w:p>
        </w:tc>
        <w:tc>
          <w:tcPr>
            <w:tcW w:w="1417" w:type="dxa"/>
            <w:noWrap/>
            <w:vAlign w:val="center"/>
          </w:tcPr>
          <w:p w14:paraId="6AE5FD58"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8.06-8.17</w:t>
            </w:r>
          </w:p>
        </w:tc>
        <w:tc>
          <w:tcPr>
            <w:tcW w:w="993" w:type="dxa"/>
            <w:vAlign w:val="center"/>
          </w:tcPr>
          <w:p w14:paraId="14350518"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6.5-8.5</w:t>
            </w:r>
          </w:p>
        </w:tc>
        <w:tc>
          <w:tcPr>
            <w:tcW w:w="850" w:type="dxa"/>
            <w:vAlign w:val="center"/>
          </w:tcPr>
          <w:p w14:paraId="51112164"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No Relax.</w:t>
            </w:r>
          </w:p>
        </w:tc>
        <w:tc>
          <w:tcPr>
            <w:tcW w:w="992" w:type="dxa"/>
            <w:vAlign w:val="center"/>
          </w:tcPr>
          <w:p w14:paraId="193AD199"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6.5-8.5</w:t>
            </w:r>
          </w:p>
        </w:tc>
        <w:tc>
          <w:tcPr>
            <w:tcW w:w="1134" w:type="dxa"/>
            <w:vAlign w:val="center"/>
          </w:tcPr>
          <w:p w14:paraId="00878D03"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No Relax.</w:t>
            </w:r>
          </w:p>
        </w:tc>
      </w:tr>
      <w:tr w:rsidR="00DE2FA6" w:rsidRPr="000C3C9D" w14:paraId="0243C833" w14:textId="77777777" w:rsidTr="00F97B8A">
        <w:trPr>
          <w:trHeight w:val="157"/>
          <w:jc w:val="center"/>
        </w:trPr>
        <w:tc>
          <w:tcPr>
            <w:tcW w:w="2972" w:type="dxa"/>
            <w:noWrap/>
            <w:vAlign w:val="center"/>
            <w:hideMark/>
          </w:tcPr>
          <w:p w14:paraId="147B5F30"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EC (µS/cm)</w:t>
            </w:r>
          </w:p>
        </w:tc>
        <w:tc>
          <w:tcPr>
            <w:tcW w:w="1418" w:type="dxa"/>
            <w:noWrap/>
            <w:vAlign w:val="center"/>
          </w:tcPr>
          <w:p w14:paraId="5BFF62A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185.09±13.46</w:t>
            </w:r>
          </w:p>
        </w:tc>
        <w:tc>
          <w:tcPr>
            <w:tcW w:w="1417" w:type="dxa"/>
            <w:noWrap/>
            <w:vAlign w:val="center"/>
          </w:tcPr>
          <w:p w14:paraId="6F7916B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169.02-204.8</w:t>
            </w:r>
          </w:p>
        </w:tc>
        <w:tc>
          <w:tcPr>
            <w:tcW w:w="1418" w:type="dxa"/>
            <w:noWrap/>
            <w:vAlign w:val="center"/>
          </w:tcPr>
          <w:p w14:paraId="1369F142"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187.39±27.67</w:t>
            </w:r>
          </w:p>
        </w:tc>
        <w:tc>
          <w:tcPr>
            <w:tcW w:w="1275" w:type="dxa"/>
            <w:noWrap/>
            <w:vAlign w:val="center"/>
          </w:tcPr>
          <w:p w14:paraId="6259250D"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133.33-205</w:t>
            </w:r>
          </w:p>
        </w:tc>
        <w:tc>
          <w:tcPr>
            <w:tcW w:w="1418" w:type="dxa"/>
            <w:noWrap/>
            <w:vAlign w:val="center"/>
          </w:tcPr>
          <w:p w14:paraId="10EF46C8"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207.44±49.24</w:t>
            </w:r>
          </w:p>
        </w:tc>
        <w:tc>
          <w:tcPr>
            <w:tcW w:w="1417" w:type="dxa"/>
            <w:noWrap/>
            <w:vAlign w:val="center"/>
          </w:tcPr>
          <w:p w14:paraId="467B1F14"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138-242.67</w:t>
            </w:r>
          </w:p>
        </w:tc>
        <w:tc>
          <w:tcPr>
            <w:tcW w:w="993" w:type="dxa"/>
            <w:vAlign w:val="center"/>
          </w:tcPr>
          <w:p w14:paraId="7C64137C"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vAlign w:val="center"/>
          </w:tcPr>
          <w:p w14:paraId="264C785B"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vAlign w:val="center"/>
          </w:tcPr>
          <w:p w14:paraId="5EB1FBB8"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&lt;1000</w:t>
            </w:r>
          </w:p>
        </w:tc>
        <w:tc>
          <w:tcPr>
            <w:tcW w:w="1134" w:type="dxa"/>
            <w:vAlign w:val="center"/>
          </w:tcPr>
          <w:p w14:paraId="6D12B8AD"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&lt;1500</w:t>
            </w:r>
          </w:p>
        </w:tc>
      </w:tr>
      <w:tr w:rsidR="00DE2FA6" w:rsidRPr="000C3C9D" w14:paraId="7B16B235" w14:textId="77777777" w:rsidTr="00F97B8A">
        <w:trPr>
          <w:trHeight w:val="157"/>
          <w:jc w:val="center"/>
        </w:trPr>
        <w:tc>
          <w:tcPr>
            <w:tcW w:w="2972" w:type="dxa"/>
            <w:noWrap/>
            <w:vAlign w:val="center"/>
            <w:hideMark/>
          </w:tcPr>
          <w:p w14:paraId="7D641009"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TDS (mg/L)</w:t>
            </w:r>
          </w:p>
        </w:tc>
        <w:tc>
          <w:tcPr>
            <w:tcW w:w="1418" w:type="dxa"/>
            <w:noWrap/>
            <w:vAlign w:val="center"/>
          </w:tcPr>
          <w:p w14:paraId="02C81C5E"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122.16±8.88</w:t>
            </w:r>
          </w:p>
        </w:tc>
        <w:tc>
          <w:tcPr>
            <w:tcW w:w="1417" w:type="dxa"/>
            <w:noWrap/>
            <w:vAlign w:val="center"/>
          </w:tcPr>
          <w:p w14:paraId="51F4E657"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111.55-135.17</w:t>
            </w:r>
          </w:p>
        </w:tc>
        <w:tc>
          <w:tcPr>
            <w:tcW w:w="1418" w:type="dxa"/>
            <w:noWrap/>
            <w:vAlign w:val="center"/>
          </w:tcPr>
          <w:p w14:paraId="3B35672F"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123.67±18.4</w:t>
            </w:r>
          </w:p>
        </w:tc>
        <w:tc>
          <w:tcPr>
            <w:tcW w:w="1275" w:type="dxa"/>
            <w:noWrap/>
            <w:vAlign w:val="center"/>
          </w:tcPr>
          <w:p w14:paraId="0AC43CCF"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88-135.96</w:t>
            </w:r>
          </w:p>
        </w:tc>
        <w:tc>
          <w:tcPr>
            <w:tcW w:w="1418" w:type="dxa"/>
            <w:noWrap/>
            <w:vAlign w:val="center"/>
          </w:tcPr>
          <w:p w14:paraId="255D96A9"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136.72±32.81</w:t>
            </w:r>
          </w:p>
        </w:tc>
        <w:tc>
          <w:tcPr>
            <w:tcW w:w="1417" w:type="dxa"/>
            <w:noWrap/>
            <w:vAlign w:val="center"/>
          </w:tcPr>
          <w:p w14:paraId="1269937C"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92-160.33</w:t>
            </w:r>
          </w:p>
        </w:tc>
        <w:tc>
          <w:tcPr>
            <w:tcW w:w="993" w:type="dxa"/>
            <w:vAlign w:val="center"/>
          </w:tcPr>
          <w:p w14:paraId="774BB776"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500</w:t>
            </w:r>
          </w:p>
        </w:tc>
        <w:tc>
          <w:tcPr>
            <w:tcW w:w="850" w:type="dxa"/>
            <w:vAlign w:val="center"/>
          </w:tcPr>
          <w:p w14:paraId="2ECA2BA5"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2000</w:t>
            </w:r>
          </w:p>
        </w:tc>
        <w:tc>
          <w:tcPr>
            <w:tcW w:w="992" w:type="dxa"/>
            <w:vAlign w:val="center"/>
          </w:tcPr>
          <w:p w14:paraId="1CF9237F"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&lt;500</w:t>
            </w:r>
          </w:p>
        </w:tc>
        <w:tc>
          <w:tcPr>
            <w:tcW w:w="1134" w:type="dxa"/>
            <w:vAlign w:val="center"/>
          </w:tcPr>
          <w:p w14:paraId="1CD38EB7"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&lt;1500</w:t>
            </w:r>
          </w:p>
        </w:tc>
      </w:tr>
      <w:tr w:rsidR="00DE2FA6" w:rsidRPr="000C3C9D" w14:paraId="38A7F381" w14:textId="77777777" w:rsidTr="00F97B8A">
        <w:trPr>
          <w:trHeight w:val="157"/>
          <w:jc w:val="center"/>
        </w:trPr>
        <w:tc>
          <w:tcPr>
            <w:tcW w:w="2972" w:type="dxa"/>
            <w:noWrap/>
            <w:vAlign w:val="center"/>
            <w:hideMark/>
          </w:tcPr>
          <w:p w14:paraId="30BF9025"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Turbidity (NTU)</w:t>
            </w:r>
          </w:p>
        </w:tc>
        <w:tc>
          <w:tcPr>
            <w:tcW w:w="1418" w:type="dxa"/>
            <w:noWrap/>
            <w:vAlign w:val="center"/>
          </w:tcPr>
          <w:p w14:paraId="40099CB4"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77.89±30</w:t>
            </w:r>
          </w:p>
        </w:tc>
        <w:tc>
          <w:tcPr>
            <w:tcW w:w="1417" w:type="dxa"/>
            <w:noWrap/>
            <w:vAlign w:val="center"/>
          </w:tcPr>
          <w:p w14:paraId="4BCD873F"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21.77-99.6</w:t>
            </w:r>
          </w:p>
        </w:tc>
        <w:tc>
          <w:tcPr>
            <w:tcW w:w="1418" w:type="dxa"/>
            <w:noWrap/>
            <w:vAlign w:val="center"/>
          </w:tcPr>
          <w:p w14:paraId="26CA5E45"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79.27±0.42</w:t>
            </w:r>
          </w:p>
        </w:tc>
        <w:tc>
          <w:tcPr>
            <w:tcW w:w="1275" w:type="dxa"/>
            <w:noWrap/>
            <w:vAlign w:val="center"/>
          </w:tcPr>
          <w:p w14:paraId="3C8F4380"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78.8-79.6</w:t>
            </w:r>
          </w:p>
        </w:tc>
        <w:tc>
          <w:tcPr>
            <w:tcW w:w="1418" w:type="dxa"/>
            <w:noWrap/>
            <w:vAlign w:val="center"/>
          </w:tcPr>
          <w:p w14:paraId="5F1D5572"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5.41±1.55</w:t>
            </w:r>
          </w:p>
        </w:tc>
        <w:tc>
          <w:tcPr>
            <w:tcW w:w="1417" w:type="dxa"/>
            <w:noWrap/>
            <w:vAlign w:val="center"/>
          </w:tcPr>
          <w:p w14:paraId="0363EF5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4.24-8.43</w:t>
            </w:r>
          </w:p>
        </w:tc>
        <w:tc>
          <w:tcPr>
            <w:tcW w:w="993" w:type="dxa"/>
            <w:vAlign w:val="center"/>
          </w:tcPr>
          <w:p w14:paraId="2BE2099E"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1</w:t>
            </w:r>
          </w:p>
        </w:tc>
        <w:tc>
          <w:tcPr>
            <w:tcW w:w="850" w:type="dxa"/>
            <w:vAlign w:val="center"/>
          </w:tcPr>
          <w:p w14:paraId="1997B589"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5</w:t>
            </w:r>
          </w:p>
        </w:tc>
        <w:tc>
          <w:tcPr>
            <w:tcW w:w="992" w:type="dxa"/>
            <w:vAlign w:val="center"/>
          </w:tcPr>
          <w:p w14:paraId="6C1C1904"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vAlign w:val="center"/>
          </w:tcPr>
          <w:p w14:paraId="0CF89CE7"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609641FB" w14:textId="77777777" w:rsidTr="00F97B8A">
        <w:trPr>
          <w:trHeight w:val="157"/>
          <w:jc w:val="center"/>
        </w:trPr>
        <w:tc>
          <w:tcPr>
            <w:tcW w:w="2972" w:type="dxa"/>
            <w:noWrap/>
            <w:vAlign w:val="center"/>
            <w:hideMark/>
          </w:tcPr>
          <w:p w14:paraId="1E356E70"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T (</w:t>
            </w:r>
            <w:r w:rsidRPr="000C3C9D">
              <w:rPr>
                <w:rFonts w:ascii="Times New Roman" w:eastAsia="Times New Roman" w:hAnsi="Times New Roman" w:cs="Times New Roman"/>
                <w:b/>
                <w:bCs/>
                <w:kern w:val="0"/>
                <w:sz w:val="20"/>
                <w:szCs w:val="20"/>
                <w:vertAlign w:val="superscript"/>
                <w:lang w:eastAsia="en-IN"/>
                <w14:ligatures w14:val="none"/>
              </w:rPr>
              <w:t>0</w:t>
            </w:r>
            <w:r w:rsidRPr="000C3C9D">
              <w:rPr>
                <w:rFonts w:ascii="Times New Roman" w:eastAsia="Times New Roman" w:hAnsi="Times New Roman" w:cs="Times New Roman"/>
                <w:b/>
                <w:bCs/>
                <w:kern w:val="0"/>
                <w:sz w:val="20"/>
                <w:szCs w:val="20"/>
                <w:lang w:eastAsia="en-IN"/>
                <w14:ligatures w14:val="none"/>
              </w:rPr>
              <w:t>C)</w:t>
            </w:r>
          </w:p>
        </w:tc>
        <w:tc>
          <w:tcPr>
            <w:tcW w:w="1418" w:type="dxa"/>
            <w:noWrap/>
            <w:vAlign w:val="center"/>
          </w:tcPr>
          <w:p w14:paraId="02DA789C"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7.67±2.78</w:t>
            </w:r>
          </w:p>
        </w:tc>
        <w:tc>
          <w:tcPr>
            <w:tcW w:w="1417" w:type="dxa"/>
            <w:noWrap/>
            <w:vAlign w:val="center"/>
          </w:tcPr>
          <w:p w14:paraId="1251BBD0"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2.67-10.33</w:t>
            </w:r>
          </w:p>
        </w:tc>
        <w:tc>
          <w:tcPr>
            <w:tcW w:w="1418" w:type="dxa"/>
            <w:noWrap/>
            <w:vAlign w:val="center"/>
          </w:tcPr>
          <w:p w14:paraId="649EC473"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9.98±1.55</w:t>
            </w:r>
          </w:p>
        </w:tc>
        <w:tc>
          <w:tcPr>
            <w:tcW w:w="1275" w:type="dxa"/>
            <w:noWrap/>
            <w:vAlign w:val="center"/>
          </w:tcPr>
          <w:p w14:paraId="39E34EDD"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8.3-12.5</w:t>
            </w:r>
          </w:p>
        </w:tc>
        <w:tc>
          <w:tcPr>
            <w:tcW w:w="1418" w:type="dxa"/>
            <w:noWrap/>
            <w:vAlign w:val="center"/>
          </w:tcPr>
          <w:p w14:paraId="60553B04"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3.17±0.41</w:t>
            </w:r>
          </w:p>
        </w:tc>
        <w:tc>
          <w:tcPr>
            <w:tcW w:w="1417" w:type="dxa"/>
            <w:noWrap/>
            <w:vAlign w:val="center"/>
          </w:tcPr>
          <w:p w14:paraId="40C5F446"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3-4</w:t>
            </w:r>
          </w:p>
        </w:tc>
        <w:tc>
          <w:tcPr>
            <w:tcW w:w="993" w:type="dxa"/>
          </w:tcPr>
          <w:p w14:paraId="053909E2"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783CDE84"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52316FBA"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4D98237D"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2348E22B" w14:textId="77777777" w:rsidTr="00F97B8A">
        <w:trPr>
          <w:trHeight w:val="157"/>
          <w:jc w:val="center"/>
        </w:trPr>
        <w:tc>
          <w:tcPr>
            <w:tcW w:w="2972" w:type="dxa"/>
            <w:noWrap/>
            <w:vAlign w:val="center"/>
            <w:hideMark/>
          </w:tcPr>
          <w:p w14:paraId="7F6E36A3"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TA as CaCO</w:t>
            </w:r>
            <w:r w:rsidRPr="000C3C9D">
              <w:rPr>
                <w:rFonts w:ascii="Times New Roman" w:eastAsia="Times New Roman" w:hAnsi="Times New Roman" w:cs="Times New Roman"/>
                <w:b/>
                <w:bCs/>
                <w:kern w:val="0"/>
                <w:sz w:val="20"/>
                <w:szCs w:val="20"/>
                <w:vertAlign w:val="subscript"/>
                <w:lang w:eastAsia="en-IN"/>
                <w14:ligatures w14:val="none"/>
              </w:rPr>
              <w:t>3</w:t>
            </w:r>
            <w:r w:rsidRPr="000C3C9D">
              <w:rPr>
                <w:rFonts w:ascii="Times New Roman" w:eastAsia="Times New Roman" w:hAnsi="Times New Roman" w:cs="Times New Roman"/>
                <w:b/>
                <w:bCs/>
                <w:kern w:val="0"/>
                <w:sz w:val="20"/>
                <w:szCs w:val="20"/>
                <w:lang w:eastAsia="en-IN"/>
                <w14:ligatures w14:val="none"/>
              </w:rPr>
              <w:t xml:space="preserve"> (mg /L)</w:t>
            </w:r>
          </w:p>
        </w:tc>
        <w:tc>
          <w:tcPr>
            <w:tcW w:w="1418" w:type="dxa"/>
            <w:noWrap/>
            <w:vAlign w:val="center"/>
          </w:tcPr>
          <w:p w14:paraId="4233001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79.14±10.25</w:t>
            </w:r>
          </w:p>
        </w:tc>
        <w:tc>
          <w:tcPr>
            <w:tcW w:w="1417" w:type="dxa"/>
            <w:noWrap/>
            <w:vAlign w:val="center"/>
          </w:tcPr>
          <w:p w14:paraId="3997CD12"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61.45-89.39</w:t>
            </w:r>
          </w:p>
        </w:tc>
        <w:tc>
          <w:tcPr>
            <w:tcW w:w="1418" w:type="dxa"/>
            <w:noWrap/>
            <w:vAlign w:val="center"/>
          </w:tcPr>
          <w:p w14:paraId="0FA30D66"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67.94±13.48</w:t>
            </w:r>
          </w:p>
        </w:tc>
        <w:tc>
          <w:tcPr>
            <w:tcW w:w="1275" w:type="dxa"/>
            <w:noWrap/>
            <w:vAlign w:val="center"/>
          </w:tcPr>
          <w:p w14:paraId="7D45BE12"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45.17-84.68</w:t>
            </w:r>
          </w:p>
        </w:tc>
        <w:tc>
          <w:tcPr>
            <w:tcW w:w="1418" w:type="dxa"/>
            <w:noWrap/>
            <w:vAlign w:val="center"/>
          </w:tcPr>
          <w:p w14:paraId="7799A555"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78.52±15.36</w:t>
            </w:r>
          </w:p>
        </w:tc>
        <w:tc>
          <w:tcPr>
            <w:tcW w:w="1417" w:type="dxa"/>
            <w:noWrap/>
            <w:vAlign w:val="center"/>
          </w:tcPr>
          <w:p w14:paraId="5C68A430"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54.85-93.57</w:t>
            </w:r>
          </w:p>
        </w:tc>
        <w:tc>
          <w:tcPr>
            <w:tcW w:w="993" w:type="dxa"/>
            <w:vAlign w:val="center"/>
          </w:tcPr>
          <w:p w14:paraId="356FBE73"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200</w:t>
            </w:r>
          </w:p>
        </w:tc>
        <w:tc>
          <w:tcPr>
            <w:tcW w:w="850" w:type="dxa"/>
            <w:vAlign w:val="center"/>
          </w:tcPr>
          <w:p w14:paraId="1AEA02AB"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600</w:t>
            </w:r>
          </w:p>
        </w:tc>
        <w:tc>
          <w:tcPr>
            <w:tcW w:w="992" w:type="dxa"/>
            <w:vAlign w:val="center"/>
          </w:tcPr>
          <w:p w14:paraId="1E751923"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vAlign w:val="center"/>
          </w:tcPr>
          <w:p w14:paraId="0D522457"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2E154150" w14:textId="77777777" w:rsidTr="00F97B8A">
        <w:trPr>
          <w:trHeight w:val="157"/>
          <w:jc w:val="center"/>
        </w:trPr>
        <w:tc>
          <w:tcPr>
            <w:tcW w:w="2972" w:type="dxa"/>
            <w:noWrap/>
            <w:vAlign w:val="center"/>
            <w:hideMark/>
          </w:tcPr>
          <w:p w14:paraId="3E1946D1"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TH as CaCO</w:t>
            </w:r>
            <w:r w:rsidRPr="000C3C9D">
              <w:rPr>
                <w:rFonts w:ascii="Times New Roman" w:eastAsia="Times New Roman" w:hAnsi="Times New Roman" w:cs="Times New Roman"/>
                <w:b/>
                <w:bCs/>
                <w:kern w:val="0"/>
                <w:sz w:val="20"/>
                <w:szCs w:val="20"/>
                <w:vertAlign w:val="subscript"/>
                <w:lang w:eastAsia="en-IN"/>
                <w14:ligatures w14:val="none"/>
              </w:rPr>
              <w:t>3</w:t>
            </w:r>
            <w:r w:rsidRPr="000C3C9D">
              <w:rPr>
                <w:rFonts w:ascii="Times New Roman" w:eastAsia="Times New Roman" w:hAnsi="Times New Roman" w:cs="Times New Roman"/>
                <w:b/>
                <w:bCs/>
                <w:kern w:val="0"/>
                <w:sz w:val="20"/>
                <w:szCs w:val="20"/>
                <w:lang w:eastAsia="en-IN"/>
                <w14:ligatures w14:val="none"/>
              </w:rPr>
              <w:t xml:space="preserve"> (mg/L)</w:t>
            </w:r>
          </w:p>
        </w:tc>
        <w:tc>
          <w:tcPr>
            <w:tcW w:w="1418" w:type="dxa"/>
            <w:noWrap/>
            <w:vAlign w:val="center"/>
          </w:tcPr>
          <w:p w14:paraId="6ABE866E"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87.19±6.12</w:t>
            </w:r>
          </w:p>
        </w:tc>
        <w:tc>
          <w:tcPr>
            <w:tcW w:w="1417" w:type="dxa"/>
            <w:noWrap/>
            <w:vAlign w:val="center"/>
          </w:tcPr>
          <w:p w14:paraId="2A38273E"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78.47-95.47</w:t>
            </w:r>
          </w:p>
        </w:tc>
        <w:tc>
          <w:tcPr>
            <w:tcW w:w="1418" w:type="dxa"/>
            <w:noWrap/>
            <w:vAlign w:val="center"/>
          </w:tcPr>
          <w:p w14:paraId="474643F9"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83.19±9.44</w:t>
            </w:r>
          </w:p>
        </w:tc>
        <w:tc>
          <w:tcPr>
            <w:tcW w:w="1275" w:type="dxa"/>
            <w:noWrap/>
            <w:vAlign w:val="center"/>
          </w:tcPr>
          <w:p w14:paraId="6DAA881D"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73.4-95.12</w:t>
            </w:r>
          </w:p>
        </w:tc>
        <w:tc>
          <w:tcPr>
            <w:tcW w:w="1418" w:type="dxa"/>
            <w:noWrap/>
            <w:vAlign w:val="center"/>
          </w:tcPr>
          <w:p w14:paraId="4234A683"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106.57±27.01</w:t>
            </w:r>
          </w:p>
        </w:tc>
        <w:tc>
          <w:tcPr>
            <w:tcW w:w="1417" w:type="dxa"/>
            <w:noWrap/>
            <w:vAlign w:val="center"/>
          </w:tcPr>
          <w:p w14:paraId="78E4D1A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72.66-130.79</w:t>
            </w:r>
          </w:p>
        </w:tc>
        <w:tc>
          <w:tcPr>
            <w:tcW w:w="993" w:type="dxa"/>
            <w:vAlign w:val="center"/>
          </w:tcPr>
          <w:p w14:paraId="7D4C8467"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200</w:t>
            </w:r>
          </w:p>
        </w:tc>
        <w:tc>
          <w:tcPr>
            <w:tcW w:w="850" w:type="dxa"/>
            <w:vAlign w:val="center"/>
          </w:tcPr>
          <w:p w14:paraId="7B806A36"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600</w:t>
            </w:r>
          </w:p>
        </w:tc>
        <w:tc>
          <w:tcPr>
            <w:tcW w:w="992" w:type="dxa"/>
            <w:vAlign w:val="center"/>
          </w:tcPr>
          <w:p w14:paraId="0877912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100</w:t>
            </w:r>
          </w:p>
        </w:tc>
        <w:tc>
          <w:tcPr>
            <w:tcW w:w="1134" w:type="dxa"/>
            <w:vAlign w:val="center"/>
          </w:tcPr>
          <w:p w14:paraId="6E076E09"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500</w:t>
            </w:r>
          </w:p>
        </w:tc>
      </w:tr>
      <w:tr w:rsidR="00DE2FA6" w:rsidRPr="000C3C9D" w14:paraId="7F3B2CE9" w14:textId="77777777" w:rsidTr="00F97B8A">
        <w:trPr>
          <w:trHeight w:val="157"/>
          <w:jc w:val="center"/>
        </w:trPr>
        <w:tc>
          <w:tcPr>
            <w:tcW w:w="2972" w:type="dxa"/>
            <w:noWrap/>
            <w:vAlign w:val="center"/>
            <w:hideMark/>
          </w:tcPr>
          <w:p w14:paraId="00775F3A"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Ca Hardness as CaCO</w:t>
            </w:r>
            <w:r w:rsidRPr="000C3C9D">
              <w:rPr>
                <w:rFonts w:ascii="Times New Roman" w:eastAsia="Times New Roman" w:hAnsi="Times New Roman" w:cs="Times New Roman"/>
                <w:b/>
                <w:bCs/>
                <w:kern w:val="0"/>
                <w:sz w:val="20"/>
                <w:szCs w:val="20"/>
                <w:vertAlign w:val="subscript"/>
                <w:lang w:eastAsia="en-IN"/>
                <w14:ligatures w14:val="none"/>
              </w:rPr>
              <w:t>3</w:t>
            </w:r>
            <w:r w:rsidRPr="000C3C9D">
              <w:rPr>
                <w:rFonts w:ascii="Times New Roman" w:eastAsia="Times New Roman" w:hAnsi="Times New Roman" w:cs="Times New Roman"/>
                <w:b/>
                <w:bCs/>
                <w:kern w:val="0"/>
                <w:sz w:val="20"/>
                <w:szCs w:val="20"/>
                <w:lang w:eastAsia="en-IN"/>
                <w14:ligatures w14:val="none"/>
              </w:rPr>
              <w:t xml:space="preserve"> (mg/L)</w:t>
            </w:r>
          </w:p>
        </w:tc>
        <w:tc>
          <w:tcPr>
            <w:tcW w:w="1418" w:type="dxa"/>
            <w:noWrap/>
            <w:vAlign w:val="center"/>
          </w:tcPr>
          <w:p w14:paraId="7E8CDA48"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68.82±3.85</w:t>
            </w:r>
          </w:p>
        </w:tc>
        <w:tc>
          <w:tcPr>
            <w:tcW w:w="1417" w:type="dxa"/>
            <w:noWrap/>
            <w:vAlign w:val="center"/>
          </w:tcPr>
          <w:p w14:paraId="7C9EEE6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65.33-75.79</w:t>
            </w:r>
          </w:p>
        </w:tc>
        <w:tc>
          <w:tcPr>
            <w:tcW w:w="1418" w:type="dxa"/>
            <w:noWrap/>
            <w:vAlign w:val="center"/>
          </w:tcPr>
          <w:p w14:paraId="782D8AC2"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59.85±7.67</w:t>
            </w:r>
          </w:p>
        </w:tc>
        <w:tc>
          <w:tcPr>
            <w:tcW w:w="1275" w:type="dxa"/>
            <w:noWrap/>
            <w:vAlign w:val="center"/>
          </w:tcPr>
          <w:p w14:paraId="0631397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50.88-71.28</w:t>
            </w:r>
          </w:p>
        </w:tc>
        <w:tc>
          <w:tcPr>
            <w:tcW w:w="1418" w:type="dxa"/>
            <w:noWrap/>
            <w:vAlign w:val="center"/>
          </w:tcPr>
          <w:p w14:paraId="2976C0AF"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69.52±12.32</w:t>
            </w:r>
          </w:p>
        </w:tc>
        <w:tc>
          <w:tcPr>
            <w:tcW w:w="1417" w:type="dxa"/>
            <w:noWrap/>
            <w:vAlign w:val="center"/>
          </w:tcPr>
          <w:p w14:paraId="4BCAB85D"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54.12-81.84</w:t>
            </w:r>
          </w:p>
        </w:tc>
        <w:tc>
          <w:tcPr>
            <w:tcW w:w="993" w:type="dxa"/>
          </w:tcPr>
          <w:p w14:paraId="3B0FA9DE"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62F47A92"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580F1378"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556ADA07"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584CA66F" w14:textId="77777777" w:rsidTr="00F97B8A">
        <w:trPr>
          <w:trHeight w:val="157"/>
          <w:jc w:val="center"/>
        </w:trPr>
        <w:tc>
          <w:tcPr>
            <w:tcW w:w="2972" w:type="dxa"/>
            <w:noWrap/>
            <w:vAlign w:val="center"/>
            <w:hideMark/>
          </w:tcPr>
          <w:p w14:paraId="1C36D5D7"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Mg Hardness as CaCO</w:t>
            </w:r>
            <w:r w:rsidRPr="000C3C9D">
              <w:rPr>
                <w:rFonts w:ascii="Times New Roman" w:eastAsia="Times New Roman" w:hAnsi="Times New Roman" w:cs="Times New Roman"/>
                <w:b/>
                <w:bCs/>
                <w:kern w:val="0"/>
                <w:sz w:val="20"/>
                <w:szCs w:val="20"/>
                <w:vertAlign w:val="subscript"/>
                <w:lang w:eastAsia="en-IN"/>
                <w14:ligatures w14:val="none"/>
              </w:rPr>
              <w:t>3</w:t>
            </w:r>
            <w:r w:rsidRPr="000C3C9D">
              <w:rPr>
                <w:rFonts w:ascii="Times New Roman" w:eastAsia="Times New Roman" w:hAnsi="Times New Roman" w:cs="Times New Roman"/>
                <w:b/>
                <w:bCs/>
                <w:kern w:val="0"/>
                <w:sz w:val="20"/>
                <w:szCs w:val="20"/>
                <w:lang w:eastAsia="en-IN"/>
                <w14:ligatures w14:val="none"/>
              </w:rPr>
              <w:t xml:space="preserve"> (mg/L)</w:t>
            </w:r>
          </w:p>
        </w:tc>
        <w:tc>
          <w:tcPr>
            <w:tcW w:w="1418" w:type="dxa"/>
            <w:noWrap/>
            <w:vAlign w:val="center"/>
          </w:tcPr>
          <w:p w14:paraId="7EB661D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18.37±8.43</w:t>
            </w:r>
          </w:p>
        </w:tc>
        <w:tc>
          <w:tcPr>
            <w:tcW w:w="1417" w:type="dxa"/>
            <w:noWrap/>
            <w:vAlign w:val="center"/>
          </w:tcPr>
          <w:p w14:paraId="35D51D13"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2.68-26.22</w:t>
            </w:r>
          </w:p>
        </w:tc>
        <w:tc>
          <w:tcPr>
            <w:tcW w:w="1418" w:type="dxa"/>
            <w:noWrap/>
            <w:vAlign w:val="center"/>
          </w:tcPr>
          <w:p w14:paraId="4BC927F6"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23.33±11.25</w:t>
            </w:r>
          </w:p>
        </w:tc>
        <w:tc>
          <w:tcPr>
            <w:tcW w:w="1275" w:type="dxa"/>
            <w:noWrap/>
            <w:vAlign w:val="center"/>
          </w:tcPr>
          <w:p w14:paraId="7F0EDBD5"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2.7-33.08</w:t>
            </w:r>
          </w:p>
        </w:tc>
        <w:tc>
          <w:tcPr>
            <w:tcW w:w="1418" w:type="dxa"/>
            <w:noWrap/>
            <w:vAlign w:val="center"/>
          </w:tcPr>
          <w:p w14:paraId="781487E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37.05±16.45</w:t>
            </w:r>
          </w:p>
        </w:tc>
        <w:tc>
          <w:tcPr>
            <w:tcW w:w="1417" w:type="dxa"/>
            <w:noWrap/>
            <w:vAlign w:val="center"/>
          </w:tcPr>
          <w:p w14:paraId="46AF20D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18.54-55.55</w:t>
            </w:r>
          </w:p>
        </w:tc>
        <w:tc>
          <w:tcPr>
            <w:tcW w:w="993" w:type="dxa"/>
          </w:tcPr>
          <w:p w14:paraId="478C4D58"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6C80165D"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08E6CF1F"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19A489F1"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7C8F7130" w14:textId="77777777" w:rsidTr="00F97B8A">
        <w:trPr>
          <w:trHeight w:val="157"/>
          <w:jc w:val="center"/>
        </w:trPr>
        <w:tc>
          <w:tcPr>
            <w:tcW w:w="2972" w:type="dxa"/>
            <w:noWrap/>
            <w:vAlign w:val="center"/>
          </w:tcPr>
          <w:p w14:paraId="0F99DFE5"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Mg</w:t>
            </w:r>
            <w:r w:rsidRPr="000C3C9D">
              <w:rPr>
                <w:rFonts w:ascii="Times New Roman" w:eastAsia="Times New Roman" w:hAnsi="Times New Roman" w:cs="Times New Roman"/>
                <w:b/>
                <w:bCs/>
                <w:kern w:val="0"/>
                <w:sz w:val="20"/>
                <w:szCs w:val="20"/>
                <w:vertAlign w:val="superscript"/>
                <w:lang w:eastAsia="en-IN"/>
                <w14:ligatures w14:val="none"/>
              </w:rPr>
              <w:t>2+</w:t>
            </w:r>
            <w:r w:rsidRPr="000C3C9D">
              <w:rPr>
                <w:rFonts w:ascii="Times New Roman" w:eastAsia="Times New Roman" w:hAnsi="Times New Roman" w:cs="Times New Roman"/>
                <w:b/>
                <w:bCs/>
                <w:kern w:val="0"/>
                <w:sz w:val="20"/>
                <w:szCs w:val="20"/>
                <w:lang w:eastAsia="en-IN"/>
                <w14:ligatures w14:val="none"/>
              </w:rPr>
              <w:t xml:space="preserve"> (mg/L)</w:t>
            </w:r>
          </w:p>
        </w:tc>
        <w:tc>
          <w:tcPr>
            <w:tcW w:w="1418" w:type="dxa"/>
            <w:noWrap/>
            <w:vAlign w:val="center"/>
          </w:tcPr>
          <w:p w14:paraId="1D2F196D"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4.48±2.06</w:t>
            </w:r>
          </w:p>
        </w:tc>
        <w:tc>
          <w:tcPr>
            <w:tcW w:w="1417" w:type="dxa"/>
            <w:noWrap/>
            <w:vAlign w:val="center"/>
          </w:tcPr>
          <w:p w14:paraId="32EF3E25"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0.65-6.4</w:t>
            </w:r>
          </w:p>
        </w:tc>
        <w:tc>
          <w:tcPr>
            <w:tcW w:w="1418" w:type="dxa"/>
            <w:noWrap/>
            <w:vAlign w:val="center"/>
          </w:tcPr>
          <w:p w14:paraId="1F2FD93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5.67±2.73</w:t>
            </w:r>
          </w:p>
        </w:tc>
        <w:tc>
          <w:tcPr>
            <w:tcW w:w="1275" w:type="dxa"/>
            <w:noWrap/>
            <w:vAlign w:val="center"/>
          </w:tcPr>
          <w:p w14:paraId="09AD3A00"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0.66-8.04</w:t>
            </w:r>
          </w:p>
        </w:tc>
        <w:tc>
          <w:tcPr>
            <w:tcW w:w="1418" w:type="dxa"/>
            <w:noWrap/>
            <w:vAlign w:val="center"/>
          </w:tcPr>
          <w:p w14:paraId="5596C0C1"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9.01±4</w:t>
            </w:r>
          </w:p>
        </w:tc>
        <w:tc>
          <w:tcPr>
            <w:tcW w:w="1417" w:type="dxa"/>
            <w:noWrap/>
            <w:vAlign w:val="center"/>
          </w:tcPr>
          <w:p w14:paraId="136D9325"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4.51-13.5</w:t>
            </w:r>
          </w:p>
        </w:tc>
        <w:tc>
          <w:tcPr>
            <w:tcW w:w="993" w:type="dxa"/>
            <w:vAlign w:val="center"/>
          </w:tcPr>
          <w:p w14:paraId="6DB29C8C"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30</w:t>
            </w:r>
          </w:p>
        </w:tc>
        <w:tc>
          <w:tcPr>
            <w:tcW w:w="850" w:type="dxa"/>
            <w:vAlign w:val="center"/>
          </w:tcPr>
          <w:p w14:paraId="782CAA35"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100</w:t>
            </w:r>
          </w:p>
        </w:tc>
        <w:tc>
          <w:tcPr>
            <w:tcW w:w="992" w:type="dxa"/>
            <w:vAlign w:val="center"/>
          </w:tcPr>
          <w:p w14:paraId="648A9D20"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&lt;50</w:t>
            </w:r>
          </w:p>
        </w:tc>
        <w:tc>
          <w:tcPr>
            <w:tcW w:w="1134" w:type="dxa"/>
            <w:vAlign w:val="center"/>
          </w:tcPr>
          <w:p w14:paraId="34BAC7CA"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&lt;150</w:t>
            </w:r>
          </w:p>
        </w:tc>
      </w:tr>
      <w:tr w:rsidR="00DE2FA6" w:rsidRPr="000C3C9D" w14:paraId="557E866B" w14:textId="77777777" w:rsidTr="00F97B8A">
        <w:trPr>
          <w:trHeight w:val="157"/>
          <w:jc w:val="center"/>
        </w:trPr>
        <w:tc>
          <w:tcPr>
            <w:tcW w:w="2972" w:type="dxa"/>
            <w:noWrap/>
            <w:vAlign w:val="center"/>
          </w:tcPr>
          <w:p w14:paraId="25F6325A"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Ca</w:t>
            </w:r>
            <w:r w:rsidRPr="000C3C9D">
              <w:rPr>
                <w:rFonts w:ascii="Times New Roman" w:eastAsia="Times New Roman" w:hAnsi="Times New Roman" w:cs="Times New Roman"/>
                <w:b/>
                <w:bCs/>
                <w:kern w:val="0"/>
                <w:sz w:val="20"/>
                <w:szCs w:val="20"/>
                <w:vertAlign w:val="superscript"/>
                <w:lang w:eastAsia="en-IN"/>
                <w14:ligatures w14:val="none"/>
              </w:rPr>
              <w:t>2+</w:t>
            </w:r>
            <w:r w:rsidRPr="000C3C9D">
              <w:rPr>
                <w:rFonts w:ascii="Times New Roman" w:eastAsia="Times New Roman" w:hAnsi="Times New Roman" w:cs="Times New Roman"/>
                <w:b/>
                <w:bCs/>
                <w:kern w:val="0"/>
                <w:sz w:val="20"/>
                <w:szCs w:val="20"/>
                <w:lang w:eastAsia="en-IN"/>
                <w14:ligatures w14:val="none"/>
              </w:rPr>
              <w:t xml:space="preserve"> (mg/L)</w:t>
            </w:r>
          </w:p>
        </w:tc>
        <w:tc>
          <w:tcPr>
            <w:tcW w:w="1418" w:type="dxa"/>
            <w:noWrap/>
            <w:vAlign w:val="center"/>
          </w:tcPr>
          <w:p w14:paraId="70F68088"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27.58±1.54</w:t>
            </w:r>
          </w:p>
        </w:tc>
        <w:tc>
          <w:tcPr>
            <w:tcW w:w="1417" w:type="dxa"/>
            <w:noWrap/>
            <w:vAlign w:val="center"/>
          </w:tcPr>
          <w:p w14:paraId="3BADD971"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26.18-30.37</w:t>
            </w:r>
          </w:p>
        </w:tc>
        <w:tc>
          <w:tcPr>
            <w:tcW w:w="1418" w:type="dxa"/>
            <w:noWrap/>
            <w:vAlign w:val="center"/>
          </w:tcPr>
          <w:p w14:paraId="177B9D98"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23.38±3.67</w:t>
            </w:r>
          </w:p>
        </w:tc>
        <w:tc>
          <w:tcPr>
            <w:tcW w:w="1275" w:type="dxa"/>
            <w:noWrap/>
            <w:vAlign w:val="center"/>
          </w:tcPr>
          <w:p w14:paraId="7C598604"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19.24-28.57</w:t>
            </w:r>
          </w:p>
        </w:tc>
        <w:tc>
          <w:tcPr>
            <w:tcW w:w="1418" w:type="dxa"/>
            <w:noWrap/>
            <w:vAlign w:val="center"/>
          </w:tcPr>
          <w:p w14:paraId="11773154"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27.86±4.94</w:t>
            </w:r>
          </w:p>
        </w:tc>
        <w:tc>
          <w:tcPr>
            <w:tcW w:w="1417" w:type="dxa"/>
            <w:noWrap/>
            <w:vAlign w:val="center"/>
          </w:tcPr>
          <w:p w14:paraId="24AC3052"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21.69-32.8</w:t>
            </w:r>
          </w:p>
        </w:tc>
        <w:tc>
          <w:tcPr>
            <w:tcW w:w="993" w:type="dxa"/>
            <w:vAlign w:val="center"/>
          </w:tcPr>
          <w:p w14:paraId="7CC6743B"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75</w:t>
            </w:r>
          </w:p>
        </w:tc>
        <w:tc>
          <w:tcPr>
            <w:tcW w:w="850" w:type="dxa"/>
            <w:vAlign w:val="center"/>
          </w:tcPr>
          <w:p w14:paraId="6465EF59"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200</w:t>
            </w:r>
          </w:p>
        </w:tc>
        <w:tc>
          <w:tcPr>
            <w:tcW w:w="992" w:type="dxa"/>
            <w:vAlign w:val="center"/>
          </w:tcPr>
          <w:p w14:paraId="359C032C"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&lt;75</w:t>
            </w:r>
          </w:p>
        </w:tc>
        <w:tc>
          <w:tcPr>
            <w:tcW w:w="1134" w:type="dxa"/>
            <w:vAlign w:val="center"/>
          </w:tcPr>
          <w:p w14:paraId="3D3280A8"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&lt;200</w:t>
            </w:r>
          </w:p>
        </w:tc>
      </w:tr>
      <w:tr w:rsidR="00DE2FA6" w:rsidRPr="000C3C9D" w14:paraId="26585266" w14:textId="77777777" w:rsidTr="00F97B8A">
        <w:trPr>
          <w:trHeight w:val="157"/>
          <w:jc w:val="center"/>
        </w:trPr>
        <w:tc>
          <w:tcPr>
            <w:tcW w:w="2972" w:type="dxa"/>
            <w:noWrap/>
            <w:vAlign w:val="center"/>
          </w:tcPr>
          <w:p w14:paraId="71F7AB75"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Na</w:t>
            </w:r>
            <w:r w:rsidRPr="000C3C9D">
              <w:rPr>
                <w:rFonts w:ascii="Times New Roman" w:eastAsia="Times New Roman" w:hAnsi="Times New Roman" w:cs="Times New Roman"/>
                <w:b/>
                <w:bCs/>
                <w:kern w:val="0"/>
                <w:sz w:val="20"/>
                <w:szCs w:val="20"/>
                <w:vertAlign w:val="superscript"/>
                <w:lang w:eastAsia="en-IN"/>
                <w14:ligatures w14:val="none"/>
              </w:rPr>
              <w:t>+</w:t>
            </w:r>
            <w:r w:rsidRPr="000C3C9D">
              <w:rPr>
                <w:rFonts w:ascii="Times New Roman" w:eastAsia="Times New Roman" w:hAnsi="Times New Roman" w:cs="Times New Roman"/>
                <w:b/>
                <w:bCs/>
                <w:kern w:val="0"/>
                <w:sz w:val="20"/>
                <w:szCs w:val="20"/>
                <w:lang w:eastAsia="en-IN"/>
                <w14:ligatures w14:val="none"/>
              </w:rPr>
              <w:t xml:space="preserve"> (mg/L)</w:t>
            </w:r>
          </w:p>
        </w:tc>
        <w:tc>
          <w:tcPr>
            <w:tcW w:w="1418" w:type="dxa"/>
            <w:noWrap/>
            <w:vAlign w:val="center"/>
          </w:tcPr>
          <w:p w14:paraId="4579999F"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1.08±0.32</w:t>
            </w:r>
          </w:p>
        </w:tc>
        <w:tc>
          <w:tcPr>
            <w:tcW w:w="1417" w:type="dxa"/>
            <w:noWrap/>
            <w:vAlign w:val="center"/>
          </w:tcPr>
          <w:p w14:paraId="650734D0"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0.7-1.58</w:t>
            </w:r>
          </w:p>
        </w:tc>
        <w:tc>
          <w:tcPr>
            <w:tcW w:w="1418" w:type="dxa"/>
            <w:noWrap/>
            <w:vAlign w:val="center"/>
          </w:tcPr>
          <w:p w14:paraId="6081F769"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2.91±2.28</w:t>
            </w:r>
          </w:p>
        </w:tc>
        <w:tc>
          <w:tcPr>
            <w:tcW w:w="1275" w:type="dxa"/>
            <w:noWrap/>
            <w:vAlign w:val="center"/>
          </w:tcPr>
          <w:p w14:paraId="74FD6DE7"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0.79-5.04</w:t>
            </w:r>
          </w:p>
        </w:tc>
        <w:tc>
          <w:tcPr>
            <w:tcW w:w="1418" w:type="dxa"/>
            <w:noWrap/>
            <w:vAlign w:val="center"/>
          </w:tcPr>
          <w:p w14:paraId="396E334D"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1.02±0.1</w:t>
            </w:r>
          </w:p>
        </w:tc>
        <w:tc>
          <w:tcPr>
            <w:tcW w:w="1417" w:type="dxa"/>
            <w:noWrap/>
            <w:vAlign w:val="center"/>
          </w:tcPr>
          <w:p w14:paraId="53B2D887"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0.93-1.16</w:t>
            </w:r>
          </w:p>
        </w:tc>
        <w:tc>
          <w:tcPr>
            <w:tcW w:w="993" w:type="dxa"/>
            <w:vAlign w:val="center"/>
          </w:tcPr>
          <w:p w14:paraId="0F299ECB"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vAlign w:val="center"/>
          </w:tcPr>
          <w:p w14:paraId="4ABD8CDD"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vAlign w:val="center"/>
          </w:tcPr>
          <w:p w14:paraId="64D1E030"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&lt;200</w:t>
            </w:r>
          </w:p>
        </w:tc>
        <w:tc>
          <w:tcPr>
            <w:tcW w:w="1134" w:type="dxa"/>
            <w:vAlign w:val="center"/>
          </w:tcPr>
          <w:p w14:paraId="62926C79"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&lt;200</w:t>
            </w:r>
          </w:p>
        </w:tc>
      </w:tr>
      <w:tr w:rsidR="00DE2FA6" w:rsidRPr="000C3C9D" w14:paraId="495C72CA" w14:textId="77777777" w:rsidTr="00F97B8A">
        <w:trPr>
          <w:trHeight w:val="157"/>
          <w:jc w:val="center"/>
        </w:trPr>
        <w:tc>
          <w:tcPr>
            <w:tcW w:w="2972" w:type="dxa"/>
            <w:noWrap/>
            <w:vAlign w:val="center"/>
          </w:tcPr>
          <w:p w14:paraId="255DD0DF"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K</w:t>
            </w:r>
            <w:r w:rsidRPr="000C3C9D">
              <w:rPr>
                <w:rFonts w:ascii="Times New Roman" w:eastAsia="Times New Roman" w:hAnsi="Times New Roman" w:cs="Times New Roman"/>
                <w:b/>
                <w:bCs/>
                <w:kern w:val="0"/>
                <w:sz w:val="20"/>
                <w:szCs w:val="20"/>
                <w:vertAlign w:val="superscript"/>
                <w:lang w:eastAsia="en-IN"/>
                <w14:ligatures w14:val="none"/>
              </w:rPr>
              <w:t>+</w:t>
            </w:r>
            <w:r w:rsidRPr="000C3C9D">
              <w:rPr>
                <w:rFonts w:ascii="Times New Roman" w:eastAsia="Times New Roman" w:hAnsi="Times New Roman" w:cs="Times New Roman"/>
                <w:b/>
                <w:bCs/>
                <w:kern w:val="0"/>
                <w:sz w:val="20"/>
                <w:szCs w:val="20"/>
                <w:lang w:eastAsia="en-IN"/>
                <w14:ligatures w14:val="none"/>
              </w:rPr>
              <w:t xml:space="preserve"> (mg/L)</w:t>
            </w:r>
          </w:p>
        </w:tc>
        <w:tc>
          <w:tcPr>
            <w:tcW w:w="1418" w:type="dxa"/>
            <w:noWrap/>
            <w:vAlign w:val="center"/>
          </w:tcPr>
          <w:p w14:paraId="1B22CF3C"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1.12±0.33</w:t>
            </w:r>
          </w:p>
        </w:tc>
        <w:tc>
          <w:tcPr>
            <w:tcW w:w="1417" w:type="dxa"/>
            <w:noWrap/>
            <w:vAlign w:val="center"/>
          </w:tcPr>
          <w:p w14:paraId="2174EA92"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0.76-1.72</w:t>
            </w:r>
          </w:p>
        </w:tc>
        <w:tc>
          <w:tcPr>
            <w:tcW w:w="1418" w:type="dxa"/>
            <w:noWrap/>
            <w:vAlign w:val="center"/>
          </w:tcPr>
          <w:p w14:paraId="1D57983E"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2.56±2.05</w:t>
            </w:r>
          </w:p>
        </w:tc>
        <w:tc>
          <w:tcPr>
            <w:tcW w:w="1275" w:type="dxa"/>
            <w:noWrap/>
            <w:vAlign w:val="center"/>
          </w:tcPr>
          <w:p w14:paraId="447834A7"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0.64-4.66</w:t>
            </w:r>
          </w:p>
        </w:tc>
        <w:tc>
          <w:tcPr>
            <w:tcW w:w="1418" w:type="dxa"/>
            <w:noWrap/>
            <w:vAlign w:val="center"/>
          </w:tcPr>
          <w:p w14:paraId="5288B200"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0.61±0.05</w:t>
            </w:r>
          </w:p>
        </w:tc>
        <w:tc>
          <w:tcPr>
            <w:tcW w:w="1417" w:type="dxa"/>
            <w:noWrap/>
            <w:vAlign w:val="center"/>
          </w:tcPr>
          <w:p w14:paraId="612180D7"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0.53-0.65</w:t>
            </w:r>
          </w:p>
        </w:tc>
        <w:tc>
          <w:tcPr>
            <w:tcW w:w="993" w:type="dxa"/>
            <w:vAlign w:val="center"/>
          </w:tcPr>
          <w:p w14:paraId="5D58A5F3"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vAlign w:val="center"/>
          </w:tcPr>
          <w:p w14:paraId="2CE3400F"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vAlign w:val="center"/>
          </w:tcPr>
          <w:p w14:paraId="251D3EB1"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&lt;10</w:t>
            </w:r>
          </w:p>
        </w:tc>
        <w:tc>
          <w:tcPr>
            <w:tcW w:w="1134" w:type="dxa"/>
            <w:vAlign w:val="center"/>
          </w:tcPr>
          <w:p w14:paraId="6DFACB76"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&lt;10</w:t>
            </w:r>
          </w:p>
        </w:tc>
      </w:tr>
      <w:tr w:rsidR="00DE2FA6" w:rsidRPr="000C3C9D" w14:paraId="2F3C0AB0" w14:textId="77777777" w:rsidTr="00F97B8A">
        <w:trPr>
          <w:trHeight w:val="157"/>
          <w:jc w:val="center"/>
        </w:trPr>
        <w:tc>
          <w:tcPr>
            <w:tcW w:w="2972" w:type="dxa"/>
            <w:noWrap/>
            <w:vAlign w:val="center"/>
          </w:tcPr>
          <w:p w14:paraId="7AAC9236"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HCO</w:t>
            </w:r>
            <w:r w:rsidRPr="000C3C9D">
              <w:rPr>
                <w:rFonts w:ascii="Times New Roman" w:eastAsia="Times New Roman" w:hAnsi="Times New Roman" w:cs="Times New Roman"/>
                <w:b/>
                <w:bCs/>
                <w:kern w:val="0"/>
                <w:sz w:val="20"/>
                <w:szCs w:val="20"/>
                <w:vertAlign w:val="subscript"/>
                <w:lang w:eastAsia="en-IN"/>
                <w14:ligatures w14:val="none"/>
              </w:rPr>
              <w:t>3</w:t>
            </w:r>
            <w:r w:rsidRPr="000C3C9D">
              <w:rPr>
                <w:rFonts w:ascii="Times New Roman" w:eastAsia="Times New Roman" w:hAnsi="Times New Roman" w:cs="Times New Roman"/>
                <w:b/>
                <w:bCs/>
                <w:kern w:val="0"/>
                <w:sz w:val="20"/>
                <w:szCs w:val="20"/>
                <w:vertAlign w:val="superscript"/>
                <w:lang w:eastAsia="en-IN"/>
                <w14:ligatures w14:val="none"/>
              </w:rPr>
              <w:t>–</w:t>
            </w:r>
            <w:r w:rsidRPr="000C3C9D">
              <w:rPr>
                <w:rFonts w:ascii="Times New Roman" w:eastAsia="Times New Roman" w:hAnsi="Times New Roman" w:cs="Times New Roman"/>
                <w:b/>
                <w:bCs/>
                <w:kern w:val="0"/>
                <w:sz w:val="20"/>
                <w:szCs w:val="20"/>
                <w:lang w:eastAsia="en-IN"/>
                <w14:ligatures w14:val="none"/>
              </w:rPr>
              <w:t>(mg/L)</w:t>
            </w:r>
          </w:p>
        </w:tc>
        <w:tc>
          <w:tcPr>
            <w:tcW w:w="1418" w:type="dxa"/>
            <w:noWrap/>
            <w:vAlign w:val="center"/>
          </w:tcPr>
          <w:p w14:paraId="497211DC"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75.98±13.31</w:t>
            </w:r>
          </w:p>
        </w:tc>
        <w:tc>
          <w:tcPr>
            <w:tcW w:w="1417" w:type="dxa"/>
            <w:noWrap/>
            <w:vAlign w:val="center"/>
          </w:tcPr>
          <w:p w14:paraId="382402A8"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53.63-89.39</w:t>
            </w:r>
          </w:p>
        </w:tc>
        <w:tc>
          <w:tcPr>
            <w:tcW w:w="1418" w:type="dxa"/>
            <w:noWrap/>
            <w:vAlign w:val="center"/>
          </w:tcPr>
          <w:p w14:paraId="5886C9C9"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67.94±13.48</w:t>
            </w:r>
          </w:p>
        </w:tc>
        <w:tc>
          <w:tcPr>
            <w:tcW w:w="1275" w:type="dxa"/>
            <w:noWrap/>
            <w:vAlign w:val="center"/>
          </w:tcPr>
          <w:p w14:paraId="45F80D4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45.17-84.68</w:t>
            </w:r>
          </w:p>
        </w:tc>
        <w:tc>
          <w:tcPr>
            <w:tcW w:w="1418" w:type="dxa"/>
            <w:noWrap/>
            <w:vAlign w:val="center"/>
          </w:tcPr>
          <w:p w14:paraId="5822D7F4"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78.52±15.36</w:t>
            </w:r>
          </w:p>
        </w:tc>
        <w:tc>
          <w:tcPr>
            <w:tcW w:w="1417" w:type="dxa"/>
            <w:noWrap/>
            <w:vAlign w:val="center"/>
          </w:tcPr>
          <w:p w14:paraId="4BC38016"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54.85-93.57</w:t>
            </w:r>
          </w:p>
        </w:tc>
        <w:tc>
          <w:tcPr>
            <w:tcW w:w="993" w:type="dxa"/>
            <w:vAlign w:val="center"/>
          </w:tcPr>
          <w:p w14:paraId="26159AAB"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vAlign w:val="center"/>
          </w:tcPr>
          <w:p w14:paraId="25DB6152"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vAlign w:val="center"/>
          </w:tcPr>
          <w:p w14:paraId="6C316067"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&lt;300</w:t>
            </w:r>
          </w:p>
        </w:tc>
        <w:tc>
          <w:tcPr>
            <w:tcW w:w="1134" w:type="dxa"/>
            <w:vAlign w:val="center"/>
          </w:tcPr>
          <w:p w14:paraId="3D4C328C"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&lt;600</w:t>
            </w:r>
          </w:p>
        </w:tc>
      </w:tr>
      <w:tr w:rsidR="00DE2FA6" w:rsidRPr="000C3C9D" w14:paraId="000E8E5D" w14:textId="77777777" w:rsidTr="00F97B8A">
        <w:trPr>
          <w:trHeight w:val="157"/>
          <w:jc w:val="center"/>
        </w:trPr>
        <w:tc>
          <w:tcPr>
            <w:tcW w:w="2972" w:type="dxa"/>
            <w:noWrap/>
            <w:vAlign w:val="center"/>
          </w:tcPr>
          <w:p w14:paraId="2D72D602"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vertAlign w:val="superscript"/>
                <w:lang w:eastAsia="en-IN"/>
                <w14:ligatures w14:val="none"/>
              </w:rPr>
            </w:pPr>
            <w:r w:rsidRPr="000C3C9D">
              <w:rPr>
                <w:rFonts w:ascii="Times New Roman" w:eastAsia="Times New Roman" w:hAnsi="Times New Roman" w:cs="Times New Roman"/>
                <w:b/>
                <w:bCs/>
                <w:kern w:val="0"/>
                <w:sz w:val="20"/>
                <w:szCs w:val="20"/>
                <w:lang w:eastAsia="en-IN"/>
                <w14:ligatures w14:val="none"/>
              </w:rPr>
              <w:t>CO</w:t>
            </w:r>
            <w:r w:rsidRPr="000C3C9D">
              <w:rPr>
                <w:rFonts w:ascii="Times New Roman" w:eastAsia="Times New Roman" w:hAnsi="Times New Roman" w:cs="Times New Roman"/>
                <w:b/>
                <w:bCs/>
                <w:kern w:val="0"/>
                <w:sz w:val="20"/>
                <w:szCs w:val="20"/>
                <w:vertAlign w:val="subscript"/>
                <w:lang w:eastAsia="en-IN"/>
                <w14:ligatures w14:val="none"/>
              </w:rPr>
              <w:t>3</w:t>
            </w:r>
            <w:r w:rsidRPr="000C3C9D">
              <w:rPr>
                <w:rFonts w:ascii="Times New Roman" w:eastAsia="Times New Roman" w:hAnsi="Times New Roman" w:cs="Times New Roman"/>
                <w:b/>
                <w:bCs/>
                <w:kern w:val="0"/>
                <w:sz w:val="20"/>
                <w:szCs w:val="20"/>
                <w:vertAlign w:val="superscript"/>
                <w:lang w:eastAsia="en-IN"/>
                <w14:ligatures w14:val="none"/>
              </w:rPr>
              <w:t>2—</w:t>
            </w:r>
          </w:p>
        </w:tc>
        <w:tc>
          <w:tcPr>
            <w:tcW w:w="1418" w:type="dxa"/>
            <w:noWrap/>
            <w:vAlign w:val="center"/>
          </w:tcPr>
          <w:p w14:paraId="2988DCED"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3.17±3.56</w:t>
            </w:r>
          </w:p>
        </w:tc>
        <w:tc>
          <w:tcPr>
            <w:tcW w:w="1417" w:type="dxa"/>
            <w:noWrap/>
            <w:vAlign w:val="center"/>
          </w:tcPr>
          <w:p w14:paraId="02902D8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0-7.82</w:t>
            </w:r>
          </w:p>
        </w:tc>
        <w:tc>
          <w:tcPr>
            <w:tcW w:w="5528" w:type="dxa"/>
            <w:gridSpan w:val="4"/>
            <w:noWrap/>
            <w:vAlign w:val="center"/>
          </w:tcPr>
          <w:p w14:paraId="702FDEDF"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Not detected</w:t>
            </w:r>
          </w:p>
        </w:tc>
        <w:tc>
          <w:tcPr>
            <w:tcW w:w="993" w:type="dxa"/>
          </w:tcPr>
          <w:p w14:paraId="778605C0"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6B978784"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2F36BB08"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61B1E0EB"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17B2654E" w14:textId="77777777" w:rsidTr="00F97B8A">
        <w:trPr>
          <w:trHeight w:val="157"/>
          <w:jc w:val="center"/>
        </w:trPr>
        <w:tc>
          <w:tcPr>
            <w:tcW w:w="2972" w:type="dxa"/>
            <w:noWrap/>
            <w:vAlign w:val="center"/>
          </w:tcPr>
          <w:p w14:paraId="497823FB"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SO</w:t>
            </w:r>
            <w:r w:rsidRPr="000C3C9D">
              <w:rPr>
                <w:rFonts w:ascii="Times New Roman" w:eastAsia="Times New Roman" w:hAnsi="Times New Roman" w:cs="Times New Roman"/>
                <w:b/>
                <w:bCs/>
                <w:kern w:val="0"/>
                <w:sz w:val="20"/>
                <w:szCs w:val="20"/>
                <w:vertAlign w:val="subscript"/>
                <w:lang w:eastAsia="en-IN"/>
                <w14:ligatures w14:val="none"/>
              </w:rPr>
              <w:t>4</w:t>
            </w:r>
            <w:r w:rsidRPr="000C3C9D">
              <w:rPr>
                <w:rFonts w:ascii="Times New Roman" w:eastAsia="Times New Roman" w:hAnsi="Times New Roman" w:cs="Times New Roman"/>
                <w:b/>
                <w:bCs/>
                <w:kern w:val="0"/>
                <w:sz w:val="20"/>
                <w:szCs w:val="20"/>
                <w:vertAlign w:val="superscript"/>
                <w:lang w:eastAsia="en-IN"/>
                <w14:ligatures w14:val="none"/>
              </w:rPr>
              <w:t>2—</w:t>
            </w:r>
            <w:r w:rsidRPr="000C3C9D">
              <w:rPr>
                <w:rFonts w:ascii="Times New Roman" w:eastAsia="Times New Roman" w:hAnsi="Times New Roman" w:cs="Times New Roman"/>
                <w:b/>
                <w:bCs/>
                <w:kern w:val="0"/>
                <w:sz w:val="20"/>
                <w:szCs w:val="20"/>
                <w:lang w:eastAsia="en-IN"/>
                <w14:ligatures w14:val="none"/>
              </w:rPr>
              <w:t xml:space="preserve"> (mg/L)</w:t>
            </w:r>
          </w:p>
        </w:tc>
        <w:tc>
          <w:tcPr>
            <w:tcW w:w="1418" w:type="dxa"/>
            <w:noWrap/>
            <w:vAlign w:val="center"/>
          </w:tcPr>
          <w:p w14:paraId="210935BE"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21.05±2.44</w:t>
            </w:r>
          </w:p>
        </w:tc>
        <w:tc>
          <w:tcPr>
            <w:tcW w:w="1417" w:type="dxa"/>
            <w:noWrap/>
            <w:vAlign w:val="center"/>
          </w:tcPr>
          <w:p w14:paraId="795F8E2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16.46-23.34</w:t>
            </w:r>
          </w:p>
        </w:tc>
        <w:tc>
          <w:tcPr>
            <w:tcW w:w="1418" w:type="dxa"/>
            <w:noWrap/>
            <w:vAlign w:val="center"/>
          </w:tcPr>
          <w:p w14:paraId="61DDE0C9"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26.14±3.8</w:t>
            </w:r>
          </w:p>
        </w:tc>
        <w:tc>
          <w:tcPr>
            <w:tcW w:w="1275" w:type="dxa"/>
            <w:noWrap/>
            <w:vAlign w:val="center"/>
          </w:tcPr>
          <w:p w14:paraId="18055ED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20.06-29.23</w:t>
            </w:r>
          </w:p>
        </w:tc>
        <w:tc>
          <w:tcPr>
            <w:tcW w:w="1418" w:type="dxa"/>
            <w:noWrap/>
            <w:vAlign w:val="center"/>
          </w:tcPr>
          <w:p w14:paraId="2114B740"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31.81±8.48</w:t>
            </w:r>
          </w:p>
        </w:tc>
        <w:tc>
          <w:tcPr>
            <w:tcW w:w="1417" w:type="dxa"/>
            <w:noWrap/>
            <w:vAlign w:val="center"/>
          </w:tcPr>
          <w:p w14:paraId="32C6D4DD"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20.85-38.74</w:t>
            </w:r>
          </w:p>
        </w:tc>
        <w:tc>
          <w:tcPr>
            <w:tcW w:w="993" w:type="dxa"/>
            <w:vAlign w:val="center"/>
          </w:tcPr>
          <w:p w14:paraId="10E0E81F"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200</w:t>
            </w:r>
          </w:p>
        </w:tc>
        <w:tc>
          <w:tcPr>
            <w:tcW w:w="850" w:type="dxa"/>
            <w:vAlign w:val="center"/>
          </w:tcPr>
          <w:p w14:paraId="1F35ABD4"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400</w:t>
            </w:r>
          </w:p>
        </w:tc>
        <w:tc>
          <w:tcPr>
            <w:tcW w:w="992" w:type="dxa"/>
            <w:vAlign w:val="center"/>
          </w:tcPr>
          <w:p w14:paraId="690DB131"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&lt;400</w:t>
            </w:r>
          </w:p>
        </w:tc>
        <w:tc>
          <w:tcPr>
            <w:tcW w:w="1134" w:type="dxa"/>
            <w:vAlign w:val="center"/>
          </w:tcPr>
          <w:p w14:paraId="4D538216"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&lt;400</w:t>
            </w:r>
          </w:p>
        </w:tc>
      </w:tr>
      <w:tr w:rsidR="00DE2FA6" w:rsidRPr="000C3C9D" w14:paraId="6D4FA52E" w14:textId="77777777" w:rsidTr="00F97B8A">
        <w:trPr>
          <w:trHeight w:val="157"/>
          <w:jc w:val="center"/>
        </w:trPr>
        <w:tc>
          <w:tcPr>
            <w:tcW w:w="2972" w:type="dxa"/>
            <w:noWrap/>
            <w:vAlign w:val="center"/>
          </w:tcPr>
          <w:p w14:paraId="31E5169C"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Cl</w:t>
            </w:r>
            <w:r w:rsidRPr="000C3C9D">
              <w:rPr>
                <w:rFonts w:ascii="Times New Roman" w:eastAsia="Times New Roman" w:hAnsi="Times New Roman" w:cs="Times New Roman"/>
                <w:b/>
                <w:bCs/>
                <w:kern w:val="0"/>
                <w:sz w:val="20"/>
                <w:szCs w:val="20"/>
                <w:vertAlign w:val="superscript"/>
                <w:lang w:eastAsia="en-IN"/>
                <w14:ligatures w14:val="none"/>
              </w:rPr>
              <w:t>—</w:t>
            </w:r>
            <w:r w:rsidRPr="000C3C9D">
              <w:rPr>
                <w:rFonts w:ascii="Times New Roman" w:eastAsia="Times New Roman" w:hAnsi="Times New Roman" w:cs="Times New Roman"/>
                <w:b/>
                <w:bCs/>
                <w:kern w:val="0"/>
                <w:sz w:val="20"/>
                <w:szCs w:val="20"/>
                <w:lang w:eastAsia="en-IN"/>
                <w14:ligatures w14:val="none"/>
              </w:rPr>
              <w:t>(mg/L)</w:t>
            </w:r>
          </w:p>
        </w:tc>
        <w:tc>
          <w:tcPr>
            <w:tcW w:w="1418" w:type="dxa"/>
            <w:noWrap/>
            <w:vAlign w:val="center"/>
          </w:tcPr>
          <w:p w14:paraId="3CA13E22"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4.85±1.16</w:t>
            </w:r>
          </w:p>
        </w:tc>
        <w:tc>
          <w:tcPr>
            <w:tcW w:w="1417" w:type="dxa"/>
            <w:noWrap/>
            <w:vAlign w:val="center"/>
          </w:tcPr>
          <w:p w14:paraId="10D96191"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3.78-6.43</w:t>
            </w:r>
          </w:p>
        </w:tc>
        <w:tc>
          <w:tcPr>
            <w:tcW w:w="1418" w:type="dxa"/>
            <w:noWrap/>
            <w:vAlign w:val="center"/>
          </w:tcPr>
          <w:p w14:paraId="7E80A887"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6.2±3.62</w:t>
            </w:r>
          </w:p>
        </w:tc>
        <w:tc>
          <w:tcPr>
            <w:tcW w:w="1275" w:type="dxa"/>
            <w:noWrap/>
            <w:vAlign w:val="center"/>
          </w:tcPr>
          <w:p w14:paraId="28CE2D5E"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2.98-12.12</w:t>
            </w:r>
          </w:p>
        </w:tc>
        <w:tc>
          <w:tcPr>
            <w:tcW w:w="1418" w:type="dxa"/>
            <w:noWrap/>
            <w:vAlign w:val="center"/>
          </w:tcPr>
          <w:p w14:paraId="08AF3F66"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1.57±0.44</w:t>
            </w:r>
          </w:p>
        </w:tc>
        <w:tc>
          <w:tcPr>
            <w:tcW w:w="1417" w:type="dxa"/>
            <w:noWrap/>
            <w:vAlign w:val="center"/>
          </w:tcPr>
          <w:p w14:paraId="461FF423"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1.04-2.08</w:t>
            </w:r>
          </w:p>
        </w:tc>
        <w:tc>
          <w:tcPr>
            <w:tcW w:w="993" w:type="dxa"/>
            <w:vAlign w:val="center"/>
          </w:tcPr>
          <w:p w14:paraId="52E5B283"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250</w:t>
            </w:r>
          </w:p>
        </w:tc>
        <w:tc>
          <w:tcPr>
            <w:tcW w:w="850" w:type="dxa"/>
            <w:vAlign w:val="center"/>
          </w:tcPr>
          <w:p w14:paraId="50FE3696"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1000</w:t>
            </w:r>
          </w:p>
        </w:tc>
        <w:tc>
          <w:tcPr>
            <w:tcW w:w="992" w:type="dxa"/>
            <w:vAlign w:val="center"/>
          </w:tcPr>
          <w:p w14:paraId="43810104"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&lt;250</w:t>
            </w:r>
          </w:p>
        </w:tc>
        <w:tc>
          <w:tcPr>
            <w:tcW w:w="1134" w:type="dxa"/>
            <w:vAlign w:val="center"/>
          </w:tcPr>
          <w:p w14:paraId="4710DF34"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&lt;250</w:t>
            </w:r>
          </w:p>
        </w:tc>
      </w:tr>
      <w:tr w:rsidR="00DE2FA6" w:rsidRPr="000C3C9D" w14:paraId="61081587" w14:textId="77777777" w:rsidTr="00F97B8A">
        <w:trPr>
          <w:trHeight w:val="157"/>
          <w:jc w:val="center"/>
        </w:trPr>
        <w:tc>
          <w:tcPr>
            <w:tcW w:w="2972" w:type="dxa"/>
            <w:noWrap/>
            <w:vAlign w:val="center"/>
            <w:hideMark/>
          </w:tcPr>
          <w:p w14:paraId="2380C701"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eastAsia="Times New Roman" w:hAnsi="Times New Roman" w:cs="Times New Roman"/>
                <w:b/>
                <w:bCs/>
                <w:kern w:val="0"/>
                <w:sz w:val="20"/>
                <w:szCs w:val="20"/>
                <w:lang w:eastAsia="en-IN"/>
                <w14:ligatures w14:val="none"/>
              </w:rPr>
              <w:t>F</w:t>
            </w:r>
            <w:r w:rsidRPr="000C3C9D">
              <w:rPr>
                <w:rFonts w:ascii="Times New Roman" w:eastAsia="Times New Roman" w:hAnsi="Times New Roman" w:cs="Times New Roman"/>
                <w:b/>
                <w:bCs/>
                <w:kern w:val="0"/>
                <w:sz w:val="20"/>
                <w:szCs w:val="20"/>
                <w:vertAlign w:val="superscript"/>
                <w:lang w:eastAsia="en-IN"/>
                <w14:ligatures w14:val="none"/>
              </w:rPr>
              <w:t>—</w:t>
            </w:r>
            <w:r w:rsidRPr="000C3C9D">
              <w:rPr>
                <w:rFonts w:ascii="Times New Roman" w:eastAsia="Times New Roman" w:hAnsi="Times New Roman" w:cs="Times New Roman"/>
                <w:b/>
                <w:bCs/>
                <w:kern w:val="0"/>
                <w:sz w:val="20"/>
                <w:szCs w:val="20"/>
                <w:lang w:eastAsia="en-IN"/>
                <w14:ligatures w14:val="none"/>
              </w:rPr>
              <w:t xml:space="preserve"> (mg/L)</w:t>
            </w:r>
          </w:p>
        </w:tc>
        <w:tc>
          <w:tcPr>
            <w:tcW w:w="2835" w:type="dxa"/>
            <w:gridSpan w:val="2"/>
            <w:noWrap/>
            <w:vAlign w:val="center"/>
          </w:tcPr>
          <w:p w14:paraId="1E5F3D6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Not detected</w:t>
            </w:r>
          </w:p>
        </w:tc>
        <w:tc>
          <w:tcPr>
            <w:tcW w:w="1418" w:type="dxa"/>
            <w:noWrap/>
            <w:vAlign w:val="center"/>
          </w:tcPr>
          <w:p w14:paraId="46C3F35C"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0.74±0.91</w:t>
            </w:r>
          </w:p>
        </w:tc>
        <w:tc>
          <w:tcPr>
            <w:tcW w:w="1275" w:type="dxa"/>
            <w:vAlign w:val="center"/>
          </w:tcPr>
          <w:p w14:paraId="665BE0D1"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0.08-2.45</w:t>
            </w:r>
          </w:p>
        </w:tc>
        <w:tc>
          <w:tcPr>
            <w:tcW w:w="2835" w:type="dxa"/>
            <w:gridSpan w:val="2"/>
            <w:noWrap/>
            <w:vAlign w:val="center"/>
          </w:tcPr>
          <w:p w14:paraId="6DCCAE4E"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 xml:space="preserve">Not detected </w:t>
            </w:r>
          </w:p>
        </w:tc>
        <w:tc>
          <w:tcPr>
            <w:tcW w:w="993" w:type="dxa"/>
          </w:tcPr>
          <w:p w14:paraId="6047D441"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3EA6AD6F"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vAlign w:val="center"/>
          </w:tcPr>
          <w:p w14:paraId="1B5863C7"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1</w:t>
            </w:r>
          </w:p>
        </w:tc>
        <w:tc>
          <w:tcPr>
            <w:tcW w:w="1134" w:type="dxa"/>
            <w:vAlign w:val="center"/>
          </w:tcPr>
          <w:p w14:paraId="28F884B6"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sz w:val="20"/>
                <w:szCs w:val="20"/>
              </w:rPr>
              <w:t>1.5</w:t>
            </w:r>
          </w:p>
        </w:tc>
      </w:tr>
      <w:tr w:rsidR="00DE2FA6" w:rsidRPr="000C3C9D" w14:paraId="561398BB" w14:textId="77777777" w:rsidTr="00F97B8A">
        <w:trPr>
          <w:trHeight w:val="157"/>
          <w:jc w:val="center"/>
        </w:trPr>
        <w:tc>
          <w:tcPr>
            <w:tcW w:w="2972" w:type="dxa"/>
            <w:noWrap/>
            <w:vAlign w:val="center"/>
          </w:tcPr>
          <w:p w14:paraId="0E2ECCF7"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hAnsi="Times New Roman" w:cs="Times New Roman"/>
                <w:b/>
                <w:bCs/>
                <w:sz w:val="20"/>
                <w:szCs w:val="20"/>
              </w:rPr>
              <w:t xml:space="preserve">(Ca²⁺+Mg²⁺) vs. TZ⁺ </w:t>
            </w:r>
          </w:p>
        </w:tc>
        <w:tc>
          <w:tcPr>
            <w:tcW w:w="1418" w:type="dxa"/>
            <w:noWrap/>
            <w:vAlign w:val="bottom"/>
          </w:tcPr>
          <w:p w14:paraId="3479C8F1"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0.96±0.01</w:t>
            </w:r>
          </w:p>
        </w:tc>
        <w:tc>
          <w:tcPr>
            <w:tcW w:w="1417" w:type="dxa"/>
            <w:noWrap/>
            <w:vAlign w:val="bottom"/>
          </w:tcPr>
          <w:p w14:paraId="3F1E9BA5"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0.94-0.97</w:t>
            </w:r>
          </w:p>
        </w:tc>
        <w:tc>
          <w:tcPr>
            <w:tcW w:w="1418" w:type="dxa"/>
            <w:noWrap/>
            <w:vAlign w:val="bottom"/>
          </w:tcPr>
          <w:p w14:paraId="1445D778"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0.90±0.08</w:t>
            </w:r>
          </w:p>
        </w:tc>
        <w:tc>
          <w:tcPr>
            <w:tcW w:w="1275" w:type="dxa"/>
            <w:vAlign w:val="bottom"/>
          </w:tcPr>
          <w:p w14:paraId="5667D7D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0.81-0.97</w:t>
            </w:r>
          </w:p>
        </w:tc>
        <w:tc>
          <w:tcPr>
            <w:tcW w:w="1418" w:type="dxa"/>
            <w:noWrap/>
            <w:vAlign w:val="bottom"/>
          </w:tcPr>
          <w:p w14:paraId="68D0CE6A"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0.97±0.01</w:t>
            </w:r>
          </w:p>
        </w:tc>
        <w:tc>
          <w:tcPr>
            <w:tcW w:w="1417" w:type="dxa"/>
            <w:noWrap/>
            <w:vAlign w:val="bottom"/>
          </w:tcPr>
          <w:p w14:paraId="2D8B9AE4"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0.96-0.98</w:t>
            </w:r>
          </w:p>
        </w:tc>
        <w:tc>
          <w:tcPr>
            <w:tcW w:w="993" w:type="dxa"/>
          </w:tcPr>
          <w:p w14:paraId="5FC1E342"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2C38514A"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07935675"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3A68806D"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1011311A" w14:textId="77777777" w:rsidTr="00F97B8A">
        <w:trPr>
          <w:trHeight w:val="157"/>
          <w:jc w:val="center"/>
        </w:trPr>
        <w:tc>
          <w:tcPr>
            <w:tcW w:w="2972" w:type="dxa"/>
            <w:noWrap/>
            <w:vAlign w:val="bottom"/>
          </w:tcPr>
          <w:p w14:paraId="48D7348B"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hAnsi="Times New Roman" w:cs="Times New Roman"/>
                <w:b/>
                <w:bCs/>
                <w:sz w:val="20"/>
                <w:szCs w:val="20"/>
              </w:rPr>
              <w:t>(Ca²⁺+Mg²⁺) vs. (Na</w:t>
            </w:r>
            <w:r w:rsidRPr="000C3C9D">
              <w:rPr>
                <w:rFonts w:ascii="Times New Roman" w:hAnsi="Times New Roman" w:cs="Times New Roman"/>
                <w:b/>
                <w:bCs/>
                <w:sz w:val="20"/>
                <w:szCs w:val="20"/>
                <w:vertAlign w:val="superscript"/>
              </w:rPr>
              <w:t>+</w:t>
            </w:r>
            <w:r w:rsidRPr="000C3C9D">
              <w:rPr>
                <w:rFonts w:ascii="Times New Roman" w:hAnsi="Times New Roman" w:cs="Times New Roman"/>
                <w:b/>
                <w:bCs/>
                <w:sz w:val="20"/>
                <w:szCs w:val="20"/>
              </w:rPr>
              <w:t>+K</w:t>
            </w:r>
            <w:r w:rsidRPr="000C3C9D">
              <w:rPr>
                <w:rFonts w:ascii="Times New Roman" w:hAnsi="Times New Roman" w:cs="Times New Roman"/>
                <w:b/>
                <w:bCs/>
                <w:sz w:val="20"/>
                <w:szCs w:val="20"/>
                <w:vertAlign w:val="superscript"/>
              </w:rPr>
              <w:t>+</w:t>
            </w:r>
            <w:r w:rsidRPr="000C3C9D">
              <w:rPr>
                <w:rFonts w:ascii="Times New Roman" w:hAnsi="Times New Roman" w:cs="Times New Roman"/>
                <w:b/>
                <w:bCs/>
                <w:sz w:val="20"/>
                <w:szCs w:val="20"/>
              </w:rPr>
              <w:t>)</w:t>
            </w:r>
          </w:p>
        </w:tc>
        <w:tc>
          <w:tcPr>
            <w:tcW w:w="1418" w:type="dxa"/>
            <w:noWrap/>
            <w:vAlign w:val="bottom"/>
          </w:tcPr>
          <w:p w14:paraId="0307A6F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24.41±6.27</w:t>
            </w:r>
          </w:p>
        </w:tc>
        <w:tc>
          <w:tcPr>
            <w:tcW w:w="1417" w:type="dxa"/>
            <w:noWrap/>
            <w:vAlign w:val="bottom"/>
          </w:tcPr>
          <w:p w14:paraId="579C3B59"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15.32-32.7</w:t>
            </w:r>
          </w:p>
        </w:tc>
        <w:tc>
          <w:tcPr>
            <w:tcW w:w="1418" w:type="dxa"/>
            <w:noWrap/>
            <w:vAlign w:val="bottom"/>
          </w:tcPr>
          <w:p w14:paraId="1F9DB056"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18.53±15.57</w:t>
            </w:r>
          </w:p>
        </w:tc>
        <w:tc>
          <w:tcPr>
            <w:tcW w:w="1275" w:type="dxa"/>
            <w:vAlign w:val="bottom"/>
          </w:tcPr>
          <w:p w14:paraId="7F82860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4.15-36.36</w:t>
            </w:r>
          </w:p>
        </w:tc>
        <w:tc>
          <w:tcPr>
            <w:tcW w:w="1418" w:type="dxa"/>
            <w:noWrap/>
            <w:vAlign w:val="bottom"/>
          </w:tcPr>
          <w:p w14:paraId="4D5D33AE"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36.08±10.52</w:t>
            </w:r>
          </w:p>
        </w:tc>
        <w:tc>
          <w:tcPr>
            <w:tcW w:w="1417" w:type="dxa"/>
            <w:noWrap/>
            <w:vAlign w:val="bottom"/>
          </w:tcPr>
          <w:p w14:paraId="0B947268"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22.43-45.48</w:t>
            </w:r>
          </w:p>
        </w:tc>
        <w:tc>
          <w:tcPr>
            <w:tcW w:w="993" w:type="dxa"/>
          </w:tcPr>
          <w:p w14:paraId="58F5AB3D"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63B72A7C"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04E5C366"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7D85C631"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098BB542" w14:textId="77777777" w:rsidTr="00F97B8A">
        <w:trPr>
          <w:trHeight w:val="157"/>
          <w:jc w:val="center"/>
        </w:trPr>
        <w:tc>
          <w:tcPr>
            <w:tcW w:w="2972" w:type="dxa"/>
            <w:noWrap/>
            <w:vAlign w:val="bottom"/>
          </w:tcPr>
          <w:p w14:paraId="7E956A1D"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hAnsi="Times New Roman" w:cs="Times New Roman"/>
                <w:b/>
                <w:bCs/>
                <w:sz w:val="20"/>
                <w:szCs w:val="20"/>
              </w:rPr>
              <w:t>(Na</w:t>
            </w:r>
            <w:r w:rsidRPr="000C3C9D">
              <w:rPr>
                <w:rFonts w:ascii="Times New Roman" w:hAnsi="Times New Roman" w:cs="Times New Roman"/>
                <w:b/>
                <w:bCs/>
                <w:sz w:val="20"/>
                <w:szCs w:val="20"/>
                <w:vertAlign w:val="superscript"/>
              </w:rPr>
              <w:t>+</w:t>
            </w:r>
            <w:r w:rsidRPr="000C3C9D">
              <w:rPr>
                <w:rFonts w:ascii="Times New Roman" w:hAnsi="Times New Roman" w:cs="Times New Roman"/>
                <w:b/>
                <w:bCs/>
                <w:sz w:val="20"/>
                <w:szCs w:val="20"/>
              </w:rPr>
              <w:t>+K</w:t>
            </w:r>
            <w:r w:rsidRPr="000C3C9D">
              <w:rPr>
                <w:rFonts w:ascii="Times New Roman" w:hAnsi="Times New Roman" w:cs="Times New Roman"/>
                <w:b/>
                <w:bCs/>
                <w:sz w:val="20"/>
                <w:szCs w:val="20"/>
                <w:vertAlign w:val="superscript"/>
              </w:rPr>
              <w:t>+</w:t>
            </w:r>
            <w:r w:rsidRPr="000C3C9D">
              <w:rPr>
                <w:rFonts w:ascii="Times New Roman" w:hAnsi="Times New Roman" w:cs="Times New Roman"/>
                <w:b/>
                <w:bCs/>
                <w:sz w:val="20"/>
                <w:szCs w:val="20"/>
              </w:rPr>
              <w:t xml:space="preserve">) vs. TZ⁺ </w:t>
            </w:r>
          </w:p>
        </w:tc>
        <w:tc>
          <w:tcPr>
            <w:tcW w:w="1418" w:type="dxa"/>
            <w:noWrap/>
            <w:vAlign w:val="bottom"/>
          </w:tcPr>
          <w:p w14:paraId="4514D92A"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0.04±0.01</w:t>
            </w:r>
          </w:p>
        </w:tc>
        <w:tc>
          <w:tcPr>
            <w:tcW w:w="1417" w:type="dxa"/>
            <w:noWrap/>
            <w:vAlign w:val="bottom"/>
          </w:tcPr>
          <w:p w14:paraId="4BDBF933"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0.03-0.06</w:t>
            </w:r>
          </w:p>
        </w:tc>
        <w:tc>
          <w:tcPr>
            <w:tcW w:w="1418" w:type="dxa"/>
            <w:noWrap/>
            <w:vAlign w:val="bottom"/>
          </w:tcPr>
          <w:p w14:paraId="50F3E44E"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0.1±0.08</w:t>
            </w:r>
          </w:p>
        </w:tc>
        <w:tc>
          <w:tcPr>
            <w:tcW w:w="1275" w:type="dxa"/>
            <w:vAlign w:val="bottom"/>
          </w:tcPr>
          <w:p w14:paraId="378A68D1"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0.03-0.19</w:t>
            </w:r>
          </w:p>
        </w:tc>
        <w:tc>
          <w:tcPr>
            <w:tcW w:w="1418" w:type="dxa"/>
            <w:noWrap/>
            <w:vAlign w:val="bottom"/>
          </w:tcPr>
          <w:p w14:paraId="53E3E3A8"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0.03±0.01</w:t>
            </w:r>
          </w:p>
        </w:tc>
        <w:tc>
          <w:tcPr>
            <w:tcW w:w="1417" w:type="dxa"/>
            <w:noWrap/>
            <w:vAlign w:val="bottom"/>
          </w:tcPr>
          <w:p w14:paraId="68A173AE"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0.02-0.04</w:t>
            </w:r>
          </w:p>
        </w:tc>
        <w:tc>
          <w:tcPr>
            <w:tcW w:w="993" w:type="dxa"/>
          </w:tcPr>
          <w:p w14:paraId="14DFB746"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6586C2D5"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7DED4D60"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13BE6093"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375BCE54" w14:textId="77777777" w:rsidTr="00F97B8A">
        <w:trPr>
          <w:trHeight w:val="157"/>
          <w:jc w:val="center"/>
        </w:trPr>
        <w:tc>
          <w:tcPr>
            <w:tcW w:w="2972" w:type="dxa"/>
            <w:noWrap/>
            <w:vAlign w:val="center"/>
          </w:tcPr>
          <w:p w14:paraId="4FB54DE3" w14:textId="77777777" w:rsidR="00DE2FA6" w:rsidRPr="000C3C9D" w:rsidRDefault="00DE2FA6" w:rsidP="00F97B8A">
            <w:pPr>
              <w:spacing w:after="0" w:line="240" w:lineRule="auto"/>
              <w:jc w:val="both"/>
              <w:rPr>
                <w:rFonts w:ascii="Times New Roman" w:hAnsi="Times New Roman" w:cs="Times New Roman"/>
                <w:b/>
                <w:bCs/>
                <w:sz w:val="20"/>
                <w:szCs w:val="20"/>
              </w:rPr>
            </w:pPr>
            <w:r w:rsidRPr="000C3C9D">
              <w:rPr>
                <w:rFonts w:ascii="Times New Roman" w:hAnsi="Times New Roman" w:cs="Times New Roman"/>
                <w:b/>
                <w:bCs/>
                <w:color w:val="000000"/>
                <w:sz w:val="20"/>
                <w:szCs w:val="20"/>
              </w:rPr>
              <w:t>[HCO</w:t>
            </w:r>
            <w:r w:rsidRPr="000C3C9D">
              <w:rPr>
                <w:rFonts w:ascii="Times New Roman" w:hAnsi="Times New Roman" w:cs="Times New Roman"/>
                <w:b/>
                <w:bCs/>
                <w:color w:val="000000"/>
                <w:sz w:val="20"/>
                <w:szCs w:val="20"/>
                <w:vertAlign w:val="subscript"/>
              </w:rPr>
              <w:t>3</w:t>
            </w:r>
            <w:r w:rsidRPr="000C3C9D">
              <w:rPr>
                <w:rFonts w:ascii="Times New Roman" w:hAnsi="Times New Roman" w:cs="Times New Roman"/>
                <w:b/>
                <w:bCs/>
                <w:color w:val="000000"/>
                <w:sz w:val="20"/>
                <w:szCs w:val="20"/>
                <w:vertAlign w:val="superscript"/>
              </w:rPr>
              <w:t>-</w:t>
            </w:r>
            <w:r w:rsidRPr="000C3C9D">
              <w:rPr>
                <w:rFonts w:ascii="Times New Roman" w:hAnsi="Times New Roman" w:cs="Times New Roman"/>
                <w:b/>
                <w:bCs/>
                <w:color w:val="000000"/>
                <w:sz w:val="20"/>
                <w:szCs w:val="20"/>
              </w:rPr>
              <w:t>/Ca</w:t>
            </w:r>
            <w:r w:rsidRPr="000C3C9D">
              <w:rPr>
                <w:rFonts w:ascii="Times New Roman" w:hAnsi="Times New Roman" w:cs="Times New Roman"/>
                <w:b/>
                <w:bCs/>
                <w:color w:val="000000"/>
                <w:sz w:val="20"/>
                <w:szCs w:val="20"/>
                <w:vertAlign w:val="superscript"/>
              </w:rPr>
              <w:t>2+</w:t>
            </w:r>
            <w:r w:rsidRPr="000C3C9D">
              <w:rPr>
                <w:rFonts w:ascii="Times New Roman" w:hAnsi="Times New Roman" w:cs="Times New Roman"/>
                <w:b/>
                <w:bCs/>
                <w:color w:val="000000"/>
                <w:sz w:val="20"/>
                <w:szCs w:val="20"/>
              </w:rPr>
              <w:t>]</w:t>
            </w:r>
          </w:p>
        </w:tc>
        <w:tc>
          <w:tcPr>
            <w:tcW w:w="1418" w:type="dxa"/>
            <w:noWrap/>
            <w:vAlign w:val="center"/>
          </w:tcPr>
          <w:p w14:paraId="7979DE0B"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1.14±0.21</w:t>
            </w:r>
          </w:p>
        </w:tc>
        <w:tc>
          <w:tcPr>
            <w:tcW w:w="1417" w:type="dxa"/>
            <w:noWrap/>
            <w:vAlign w:val="center"/>
          </w:tcPr>
          <w:p w14:paraId="5348515E"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0.89-1.49</w:t>
            </w:r>
          </w:p>
        </w:tc>
        <w:tc>
          <w:tcPr>
            <w:tcW w:w="1418" w:type="dxa"/>
            <w:noWrap/>
            <w:vAlign w:val="bottom"/>
          </w:tcPr>
          <w:p w14:paraId="18666947"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1.12±0.44</w:t>
            </w:r>
          </w:p>
        </w:tc>
        <w:tc>
          <w:tcPr>
            <w:tcW w:w="1275" w:type="dxa"/>
            <w:vAlign w:val="bottom"/>
          </w:tcPr>
          <w:p w14:paraId="2BE19260"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0.75-1.93</w:t>
            </w:r>
          </w:p>
        </w:tc>
        <w:tc>
          <w:tcPr>
            <w:tcW w:w="1418" w:type="dxa"/>
            <w:noWrap/>
            <w:vAlign w:val="bottom"/>
          </w:tcPr>
          <w:p w14:paraId="07B92E97"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1.09±0.11</w:t>
            </w:r>
          </w:p>
        </w:tc>
        <w:tc>
          <w:tcPr>
            <w:tcW w:w="1417" w:type="dxa"/>
            <w:noWrap/>
            <w:vAlign w:val="bottom"/>
          </w:tcPr>
          <w:p w14:paraId="663D15CB"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0.96-1.2</w:t>
            </w:r>
          </w:p>
        </w:tc>
        <w:tc>
          <w:tcPr>
            <w:tcW w:w="993" w:type="dxa"/>
          </w:tcPr>
          <w:p w14:paraId="5079FCC3"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72E2B3E1"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7E1BC648"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0A92A8A1"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0F532868" w14:textId="77777777" w:rsidTr="00F97B8A">
        <w:trPr>
          <w:trHeight w:val="157"/>
          <w:jc w:val="center"/>
        </w:trPr>
        <w:tc>
          <w:tcPr>
            <w:tcW w:w="2972" w:type="dxa"/>
            <w:noWrap/>
            <w:vAlign w:val="center"/>
          </w:tcPr>
          <w:p w14:paraId="58073BF0" w14:textId="77777777" w:rsidR="00DE2FA6" w:rsidRPr="000C3C9D" w:rsidRDefault="00DE2FA6" w:rsidP="00F97B8A">
            <w:pPr>
              <w:spacing w:after="0" w:line="240" w:lineRule="auto"/>
              <w:jc w:val="both"/>
              <w:rPr>
                <w:rFonts w:ascii="Times New Roman" w:hAnsi="Times New Roman" w:cs="Times New Roman"/>
                <w:b/>
                <w:bCs/>
                <w:sz w:val="20"/>
                <w:szCs w:val="20"/>
              </w:rPr>
            </w:pPr>
            <w:r w:rsidRPr="000C3C9D">
              <w:rPr>
                <w:rFonts w:ascii="Times New Roman" w:hAnsi="Times New Roman" w:cs="Times New Roman"/>
                <w:b/>
                <w:bCs/>
                <w:color w:val="000000"/>
                <w:sz w:val="20"/>
                <w:szCs w:val="20"/>
              </w:rPr>
              <w:t>[HCO</w:t>
            </w:r>
            <w:r w:rsidRPr="000C3C9D">
              <w:rPr>
                <w:rFonts w:ascii="Times New Roman" w:hAnsi="Times New Roman" w:cs="Times New Roman"/>
                <w:b/>
                <w:bCs/>
                <w:color w:val="000000"/>
                <w:sz w:val="20"/>
                <w:szCs w:val="20"/>
                <w:vertAlign w:val="subscript"/>
              </w:rPr>
              <w:t>3</w:t>
            </w:r>
            <w:r w:rsidRPr="000C3C9D">
              <w:rPr>
                <w:rFonts w:ascii="Times New Roman" w:hAnsi="Times New Roman" w:cs="Times New Roman"/>
                <w:b/>
                <w:bCs/>
                <w:color w:val="000000"/>
                <w:sz w:val="20"/>
                <w:szCs w:val="20"/>
                <w:vertAlign w:val="superscript"/>
              </w:rPr>
              <w:t>-</w:t>
            </w:r>
            <w:r w:rsidRPr="000C3C9D">
              <w:rPr>
                <w:rFonts w:ascii="Times New Roman" w:hAnsi="Times New Roman" w:cs="Times New Roman"/>
                <w:b/>
                <w:bCs/>
                <w:color w:val="000000"/>
                <w:sz w:val="20"/>
                <w:szCs w:val="20"/>
              </w:rPr>
              <w:t>/(Ca</w:t>
            </w:r>
            <w:r w:rsidRPr="000C3C9D">
              <w:rPr>
                <w:rFonts w:ascii="Times New Roman" w:hAnsi="Times New Roman" w:cs="Times New Roman"/>
                <w:b/>
                <w:bCs/>
                <w:color w:val="000000"/>
                <w:sz w:val="20"/>
                <w:szCs w:val="20"/>
                <w:vertAlign w:val="superscript"/>
              </w:rPr>
              <w:t>2+</w:t>
            </w:r>
            <w:r w:rsidRPr="000C3C9D">
              <w:rPr>
                <w:rFonts w:ascii="Times New Roman" w:hAnsi="Times New Roman" w:cs="Times New Roman"/>
                <w:b/>
                <w:bCs/>
                <w:color w:val="000000"/>
                <w:sz w:val="20"/>
                <w:szCs w:val="20"/>
              </w:rPr>
              <w:t>+Mg</w:t>
            </w:r>
            <w:r w:rsidRPr="000C3C9D">
              <w:rPr>
                <w:rFonts w:ascii="Times New Roman" w:hAnsi="Times New Roman" w:cs="Times New Roman"/>
                <w:b/>
                <w:bCs/>
                <w:color w:val="000000"/>
                <w:sz w:val="20"/>
                <w:szCs w:val="20"/>
                <w:vertAlign w:val="superscript"/>
              </w:rPr>
              <w:t>2+</w:t>
            </w:r>
            <w:r w:rsidRPr="000C3C9D">
              <w:rPr>
                <w:rFonts w:ascii="Times New Roman" w:hAnsi="Times New Roman" w:cs="Times New Roman"/>
                <w:b/>
                <w:bCs/>
                <w:color w:val="000000"/>
                <w:sz w:val="20"/>
                <w:szCs w:val="20"/>
              </w:rPr>
              <w:t>)]</w:t>
            </w:r>
          </w:p>
        </w:tc>
        <w:tc>
          <w:tcPr>
            <w:tcW w:w="1418" w:type="dxa"/>
            <w:noWrap/>
            <w:vAlign w:val="center"/>
          </w:tcPr>
          <w:p w14:paraId="289354B5"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0.71±0.13</w:t>
            </w:r>
          </w:p>
        </w:tc>
        <w:tc>
          <w:tcPr>
            <w:tcW w:w="1417" w:type="dxa"/>
            <w:noWrap/>
            <w:vAlign w:val="center"/>
          </w:tcPr>
          <w:p w14:paraId="37257A86"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0.52-0.86</w:t>
            </w:r>
          </w:p>
        </w:tc>
        <w:tc>
          <w:tcPr>
            <w:tcW w:w="1418" w:type="dxa"/>
            <w:noWrap/>
            <w:vAlign w:val="bottom"/>
          </w:tcPr>
          <w:p w14:paraId="33DA273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0.69±0.15</w:t>
            </w:r>
          </w:p>
        </w:tc>
        <w:tc>
          <w:tcPr>
            <w:tcW w:w="1275" w:type="dxa"/>
            <w:vAlign w:val="bottom"/>
          </w:tcPr>
          <w:p w14:paraId="531E6BB3"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0.5-0.87</w:t>
            </w:r>
          </w:p>
        </w:tc>
        <w:tc>
          <w:tcPr>
            <w:tcW w:w="1418" w:type="dxa"/>
            <w:noWrap/>
            <w:vAlign w:val="bottom"/>
          </w:tcPr>
          <w:p w14:paraId="51169741"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0.61±0.07</w:t>
            </w:r>
          </w:p>
        </w:tc>
        <w:tc>
          <w:tcPr>
            <w:tcW w:w="1417" w:type="dxa"/>
            <w:noWrap/>
            <w:vAlign w:val="bottom"/>
          </w:tcPr>
          <w:p w14:paraId="6AB581A9"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0.53-0.73</w:t>
            </w:r>
          </w:p>
        </w:tc>
        <w:tc>
          <w:tcPr>
            <w:tcW w:w="993" w:type="dxa"/>
          </w:tcPr>
          <w:p w14:paraId="503C238F"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2E2D05C2"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1042B108"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698E334E"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28C4C43C" w14:textId="77777777" w:rsidTr="00F97B8A">
        <w:trPr>
          <w:trHeight w:val="157"/>
          <w:jc w:val="center"/>
        </w:trPr>
        <w:tc>
          <w:tcPr>
            <w:tcW w:w="2972" w:type="dxa"/>
            <w:noWrap/>
            <w:vAlign w:val="bottom"/>
          </w:tcPr>
          <w:p w14:paraId="0441D4EF"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hAnsi="Times New Roman" w:cs="Times New Roman"/>
                <w:b/>
                <w:bCs/>
                <w:color w:val="000000"/>
                <w:sz w:val="20"/>
                <w:szCs w:val="20"/>
              </w:rPr>
              <w:t>C-Ratio</w:t>
            </w:r>
          </w:p>
        </w:tc>
        <w:tc>
          <w:tcPr>
            <w:tcW w:w="1418" w:type="dxa"/>
            <w:noWrap/>
            <w:vAlign w:val="bottom"/>
          </w:tcPr>
          <w:p w14:paraId="6C927C4F"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0.74±0.05</w:t>
            </w:r>
          </w:p>
        </w:tc>
        <w:tc>
          <w:tcPr>
            <w:tcW w:w="1417" w:type="dxa"/>
            <w:noWrap/>
            <w:vAlign w:val="bottom"/>
          </w:tcPr>
          <w:p w14:paraId="4AB7D856"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0.66-0.81</w:t>
            </w:r>
          </w:p>
        </w:tc>
        <w:tc>
          <w:tcPr>
            <w:tcW w:w="1418" w:type="dxa"/>
            <w:noWrap/>
            <w:vAlign w:val="bottom"/>
          </w:tcPr>
          <w:p w14:paraId="09F33BF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0.67±0.04</w:t>
            </w:r>
          </w:p>
        </w:tc>
        <w:tc>
          <w:tcPr>
            <w:tcW w:w="1275" w:type="dxa"/>
            <w:vAlign w:val="bottom"/>
          </w:tcPr>
          <w:p w14:paraId="5350AC67"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0.62-0.74</w:t>
            </w:r>
          </w:p>
        </w:tc>
        <w:tc>
          <w:tcPr>
            <w:tcW w:w="1418" w:type="dxa"/>
            <w:noWrap/>
            <w:vAlign w:val="bottom"/>
          </w:tcPr>
          <w:p w14:paraId="58F2C94D"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0.66±0.03</w:t>
            </w:r>
          </w:p>
        </w:tc>
        <w:tc>
          <w:tcPr>
            <w:tcW w:w="1417" w:type="dxa"/>
            <w:noWrap/>
            <w:vAlign w:val="bottom"/>
          </w:tcPr>
          <w:p w14:paraId="75217FA9"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0.63-0.71</w:t>
            </w:r>
          </w:p>
        </w:tc>
        <w:tc>
          <w:tcPr>
            <w:tcW w:w="993" w:type="dxa"/>
          </w:tcPr>
          <w:p w14:paraId="212B7DCB"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1C8590EA"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4B153560"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07AD91F3"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307BA01D" w14:textId="77777777" w:rsidTr="00F97B8A">
        <w:trPr>
          <w:trHeight w:val="157"/>
          <w:jc w:val="center"/>
        </w:trPr>
        <w:tc>
          <w:tcPr>
            <w:tcW w:w="2972" w:type="dxa"/>
            <w:noWrap/>
            <w:vAlign w:val="bottom"/>
          </w:tcPr>
          <w:p w14:paraId="1FA90B0A"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hAnsi="Times New Roman" w:cs="Times New Roman"/>
                <w:b/>
                <w:bCs/>
                <w:color w:val="000000"/>
                <w:sz w:val="20"/>
                <w:szCs w:val="20"/>
              </w:rPr>
              <w:t>TD/EC</w:t>
            </w:r>
          </w:p>
        </w:tc>
        <w:tc>
          <w:tcPr>
            <w:tcW w:w="1418" w:type="dxa"/>
            <w:noWrap/>
            <w:vAlign w:val="bottom"/>
          </w:tcPr>
          <w:p w14:paraId="33193EEC"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0.66±0</w:t>
            </w:r>
          </w:p>
        </w:tc>
        <w:tc>
          <w:tcPr>
            <w:tcW w:w="1417" w:type="dxa"/>
            <w:noWrap/>
            <w:vAlign w:val="bottom"/>
          </w:tcPr>
          <w:p w14:paraId="6A8FB7BA"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0.66-0.66</w:t>
            </w:r>
          </w:p>
        </w:tc>
        <w:tc>
          <w:tcPr>
            <w:tcW w:w="1418" w:type="dxa"/>
            <w:noWrap/>
            <w:vAlign w:val="bottom"/>
          </w:tcPr>
          <w:p w14:paraId="26884C2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0.66±0.01</w:t>
            </w:r>
          </w:p>
        </w:tc>
        <w:tc>
          <w:tcPr>
            <w:tcW w:w="1275" w:type="dxa"/>
            <w:vAlign w:val="bottom"/>
          </w:tcPr>
          <w:p w14:paraId="55DEA8D2"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0.65-0.67</w:t>
            </w:r>
          </w:p>
        </w:tc>
        <w:tc>
          <w:tcPr>
            <w:tcW w:w="1418" w:type="dxa"/>
            <w:noWrap/>
            <w:vAlign w:val="bottom"/>
          </w:tcPr>
          <w:p w14:paraId="59FF57A7"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0.66±0.01</w:t>
            </w:r>
          </w:p>
        </w:tc>
        <w:tc>
          <w:tcPr>
            <w:tcW w:w="1417" w:type="dxa"/>
            <w:noWrap/>
            <w:vAlign w:val="bottom"/>
          </w:tcPr>
          <w:p w14:paraId="33D299EE"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0.65-0.67</w:t>
            </w:r>
          </w:p>
        </w:tc>
        <w:tc>
          <w:tcPr>
            <w:tcW w:w="993" w:type="dxa"/>
          </w:tcPr>
          <w:p w14:paraId="31680765"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7EF06F8D"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68F46776"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033201CC"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25A5FC3D" w14:textId="77777777" w:rsidTr="00F97B8A">
        <w:trPr>
          <w:trHeight w:val="157"/>
          <w:jc w:val="center"/>
        </w:trPr>
        <w:tc>
          <w:tcPr>
            <w:tcW w:w="2972" w:type="dxa"/>
            <w:noWrap/>
            <w:vAlign w:val="bottom"/>
          </w:tcPr>
          <w:p w14:paraId="11BA4A70"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hAnsi="Times New Roman" w:cs="Times New Roman"/>
                <w:b/>
                <w:bCs/>
                <w:color w:val="000000"/>
                <w:sz w:val="20"/>
                <w:szCs w:val="20"/>
              </w:rPr>
              <w:t>S-Ratio</w:t>
            </w:r>
          </w:p>
        </w:tc>
        <w:tc>
          <w:tcPr>
            <w:tcW w:w="1418" w:type="dxa"/>
            <w:noWrap/>
            <w:vAlign w:val="bottom"/>
          </w:tcPr>
          <w:p w14:paraId="32C6634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0.26±0.05</w:t>
            </w:r>
          </w:p>
        </w:tc>
        <w:tc>
          <w:tcPr>
            <w:tcW w:w="1417" w:type="dxa"/>
            <w:noWrap/>
            <w:vAlign w:val="bottom"/>
          </w:tcPr>
          <w:p w14:paraId="7FDABA2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0.19-0.34</w:t>
            </w:r>
          </w:p>
        </w:tc>
        <w:tc>
          <w:tcPr>
            <w:tcW w:w="1418" w:type="dxa"/>
            <w:noWrap/>
            <w:vAlign w:val="bottom"/>
          </w:tcPr>
          <w:p w14:paraId="05239E6B"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0.33±0.04</w:t>
            </w:r>
          </w:p>
        </w:tc>
        <w:tc>
          <w:tcPr>
            <w:tcW w:w="1275" w:type="dxa"/>
            <w:vAlign w:val="bottom"/>
          </w:tcPr>
          <w:p w14:paraId="42813049"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0.26-0.38</w:t>
            </w:r>
          </w:p>
        </w:tc>
        <w:tc>
          <w:tcPr>
            <w:tcW w:w="1418" w:type="dxa"/>
            <w:noWrap/>
            <w:vAlign w:val="bottom"/>
          </w:tcPr>
          <w:p w14:paraId="712629F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0.34±0.03</w:t>
            </w:r>
          </w:p>
        </w:tc>
        <w:tc>
          <w:tcPr>
            <w:tcW w:w="1417" w:type="dxa"/>
            <w:noWrap/>
            <w:vAlign w:val="bottom"/>
          </w:tcPr>
          <w:p w14:paraId="6024296A"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0.29-0.37</w:t>
            </w:r>
          </w:p>
        </w:tc>
        <w:tc>
          <w:tcPr>
            <w:tcW w:w="993" w:type="dxa"/>
          </w:tcPr>
          <w:p w14:paraId="6655B520"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011282DE"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3E3323E3"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4AF49FDF"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10E010DD" w14:textId="77777777" w:rsidTr="00F97B8A">
        <w:trPr>
          <w:trHeight w:val="157"/>
          <w:jc w:val="center"/>
        </w:trPr>
        <w:tc>
          <w:tcPr>
            <w:tcW w:w="2972" w:type="dxa"/>
            <w:noWrap/>
            <w:vAlign w:val="bottom"/>
          </w:tcPr>
          <w:p w14:paraId="6BCA7BE9" w14:textId="77777777" w:rsidR="00DE2FA6" w:rsidRPr="000C3C9D" w:rsidRDefault="00DE2FA6" w:rsidP="00F97B8A">
            <w:pPr>
              <w:spacing w:after="0" w:line="240" w:lineRule="auto"/>
              <w:jc w:val="both"/>
              <w:rPr>
                <w:rFonts w:ascii="Times New Roman" w:hAnsi="Times New Roman" w:cs="Times New Roman"/>
                <w:b/>
                <w:bCs/>
                <w:color w:val="000000"/>
                <w:sz w:val="20"/>
                <w:szCs w:val="20"/>
              </w:rPr>
            </w:pPr>
            <w:r w:rsidRPr="000C3C9D">
              <w:rPr>
                <w:rFonts w:ascii="Times New Roman" w:hAnsi="Times New Roman" w:cs="Times New Roman"/>
                <w:b/>
                <w:bCs/>
                <w:color w:val="000000"/>
                <w:sz w:val="20"/>
                <w:szCs w:val="20"/>
              </w:rPr>
              <w:t xml:space="preserve">Ca²⁺/Na⁺ </w:t>
            </w:r>
          </w:p>
        </w:tc>
        <w:tc>
          <w:tcPr>
            <w:tcW w:w="1418" w:type="dxa"/>
            <w:noWrap/>
            <w:vAlign w:val="bottom"/>
          </w:tcPr>
          <w:p w14:paraId="52008BFC"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31.56±8.82</w:t>
            </w:r>
          </w:p>
        </w:tc>
        <w:tc>
          <w:tcPr>
            <w:tcW w:w="1417" w:type="dxa"/>
            <w:noWrap/>
            <w:vAlign w:val="bottom"/>
          </w:tcPr>
          <w:p w14:paraId="7A072393"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20.11-42.91</w:t>
            </w:r>
          </w:p>
        </w:tc>
        <w:tc>
          <w:tcPr>
            <w:tcW w:w="1418" w:type="dxa"/>
            <w:noWrap/>
            <w:vAlign w:val="bottom"/>
          </w:tcPr>
          <w:p w14:paraId="7EECC738"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20.55±17.46</w:t>
            </w:r>
          </w:p>
        </w:tc>
        <w:tc>
          <w:tcPr>
            <w:tcW w:w="1275" w:type="dxa"/>
            <w:vAlign w:val="bottom"/>
          </w:tcPr>
          <w:p w14:paraId="5CA3A34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4.41-38.25</w:t>
            </w:r>
          </w:p>
        </w:tc>
        <w:tc>
          <w:tcPr>
            <w:tcW w:w="1418" w:type="dxa"/>
            <w:noWrap/>
            <w:vAlign w:val="bottom"/>
          </w:tcPr>
          <w:p w14:paraId="0CBAF4D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32.08±8.28</w:t>
            </w:r>
          </w:p>
        </w:tc>
        <w:tc>
          <w:tcPr>
            <w:tcW w:w="1417" w:type="dxa"/>
            <w:noWrap/>
            <w:vAlign w:val="bottom"/>
          </w:tcPr>
          <w:p w14:paraId="7B4EC798"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21.45-40.32</w:t>
            </w:r>
          </w:p>
        </w:tc>
        <w:tc>
          <w:tcPr>
            <w:tcW w:w="993" w:type="dxa"/>
          </w:tcPr>
          <w:p w14:paraId="184C11F9"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395A4BC2"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58192432"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578E8062"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7F54CBEE" w14:textId="77777777" w:rsidTr="00F97B8A">
        <w:trPr>
          <w:trHeight w:val="157"/>
          <w:jc w:val="center"/>
        </w:trPr>
        <w:tc>
          <w:tcPr>
            <w:tcW w:w="2972" w:type="dxa"/>
            <w:noWrap/>
            <w:vAlign w:val="bottom"/>
          </w:tcPr>
          <w:p w14:paraId="7EF398EA" w14:textId="77777777" w:rsidR="00DE2FA6" w:rsidRPr="000C3C9D" w:rsidRDefault="00DE2FA6" w:rsidP="00F97B8A">
            <w:pPr>
              <w:spacing w:after="0" w:line="240" w:lineRule="auto"/>
              <w:jc w:val="both"/>
              <w:rPr>
                <w:rFonts w:ascii="Times New Roman" w:hAnsi="Times New Roman" w:cs="Times New Roman"/>
                <w:b/>
                <w:bCs/>
                <w:color w:val="000000"/>
                <w:sz w:val="20"/>
                <w:szCs w:val="20"/>
              </w:rPr>
            </w:pPr>
            <w:r w:rsidRPr="000C3C9D">
              <w:rPr>
                <w:rFonts w:ascii="Times New Roman" w:hAnsi="Times New Roman" w:cs="Times New Roman"/>
                <w:b/>
                <w:bCs/>
                <w:color w:val="000000"/>
                <w:sz w:val="20"/>
                <w:szCs w:val="20"/>
              </w:rPr>
              <w:t xml:space="preserve">Mg²⁺/Na⁺ </w:t>
            </w:r>
          </w:p>
        </w:tc>
        <w:tc>
          <w:tcPr>
            <w:tcW w:w="1418" w:type="dxa"/>
            <w:noWrap/>
            <w:vAlign w:val="bottom"/>
          </w:tcPr>
          <w:p w14:paraId="623E56C5"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8.9±5.31</w:t>
            </w:r>
          </w:p>
        </w:tc>
        <w:tc>
          <w:tcPr>
            <w:tcW w:w="1417" w:type="dxa"/>
            <w:noWrap/>
            <w:vAlign w:val="bottom"/>
          </w:tcPr>
          <w:p w14:paraId="0C93B6E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1.04-14.93</w:t>
            </w:r>
          </w:p>
        </w:tc>
        <w:tc>
          <w:tcPr>
            <w:tcW w:w="1418" w:type="dxa"/>
            <w:noWrap/>
            <w:vAlign w:val="bottom"/>
          </w:tcPr>
          <w:p w14:paraId="19DBC47C"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7.26±8.04</w:t>
            </w:r>
          </w:p>
        </w:tc>
        <w:tc>
          <w:tcPr>
            <w:tcW w:w="1275" w:type="dxa"/>
            <w:vAlign w:val="bottom"/>
          </w:tcPr>
          <w:p w14:paraId="1F0D8E5C"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1.42-18.33</w:t>
            </w:r>
          </w:p>
        </w:tc>
        <w:tc>
          <w:tcPr>
            <w:tcW w:w="1418" w:type="dxa"/>
            <w:noWrap/>
            <w:vAlign w:val="bottom"/>
          </w:tcPr>
          <w:p w14:paraId="661B1392"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17.36±8.62</w:t>
            </w:r>
          </w:p>
        </w:tc>
        <w:tc>
          <w:tcPr>
            <w:tcW w:w="1417" w:type="dxa"/>
            <w:noWrap/>
            <w:vAlign w:val="bottom"/>
          </w:tcPr>
          <w:p w14:paraId="37CAB210"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7.35-27.28</w:t>
            </w:r>
          </w:p>
        </w:tc>
        <w:tc>
          <w:tcPr>
            <w:tcW w:w="993" w:type="dxa"/>
          </w:tcPr>
          <w:p w14:paraId="761DEA79"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74B91BEA"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7C70D8DD"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103C960B"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6CDC5666" w14:textId="77777777" w:rsidTr="00F97B8A">
        <w:trPr>
          <w:trHeight w:val="157"/>
          <w:jc w:val="center"/>
        </w:trPr>
        <w:tc>
          <w:tcPr>
            <w:tcW w:w="2972" w:type="dxa"/>
            <w:noWrap/>
            <w:vAlign w:val="bottom"/>
          </w:tcPr>
          <w:p w14:paraId="7320628B" w14:textId="77777777" w:rsidR="00DE2FA6" w:rsidRPr="000C3C9D" w:rsidRDefault="00DE2FA6" w:rsidP="00F97B8A">
            <w:pPr>
              <w:spacing w:after="0" w:line="240" w:lineRule="auto"/>
              <w:jc w:val="both"/>
              <w:rPr>
                <w:rFonts w:ascii="Times New Roman" w:hAnsi="Times New Roman" w:cs="Times New Roman"/>
                <w:b/>
                <w:bCs/>
                <w:color w:val="000000"/>
                <w:sz w:val="20"/>
                <w:szCs w:val="20"/>
              </w:rPr>
            </w:pPr>
            <w:r w:rsidRPr="000C3C9D">
              <w:rPr>
                <w:rFonts w:ascii="Times New Roman" w:hAnsi="Times New Roman" w:cs="Times New Roman"/>
                <w:b/>
                <w:bCs/>
                <w:color w:val="000000"/>
                <w:sz w:val="20"/>
                <w:szCs w:val="20"/>
              </w:rPr>
              <w:t xml:space="preserve">HCO₃⁻/Na⁺ </w:t>
            </w:r>
          </w:p>
        </w:tc>
        <w:tc>
          <w:tcPr>
            <w:tcW w:w="1418" w:type="dxa"/>
            <w:noWrap/>
            <w:vAlign w:val="bottom"/>
          </w:tcPr>
          <w:p w14:paraId="3C715CB7"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27.96±6.49</w:t>
            </w:r>
          </w:p>
        </w:tc>
        <w:tc>
          <w:tcPr>
            <w:tcW w:w="1417" w:type="dxa"/>
            <w:noWrap/>
            <w:vAlign w:val="bottom"/>
          </w:tcPr>
          <w:p w14:paraId="63FEB9CF"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17.28-35.54</w:t>
            </w:r>
          </w:p>
        </w:tc>
        <w:tc>
          <w:tcPr>
            <w:tcW w:w="1418" w:type="dxa"/>
            <w:noWrap/>
            <w:vAlign w:val="bottom"/>
          </w:tcPr>
          <w:p w14:paraId="3E2B3887"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16.56±12.75</w:t>
            </w:r>
          </w:p>
        </w:tc>
        <w:tc>
          <w:tcPr>
            <w:tcW w:w="1275" w:type="dxa"/>
            <w:vAlign w:val="bottom"/>
          </w:tcPr>
          <w:p w14:paraId="1B247653"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5.19-33.69</w:t>
            </w:r>
          </w:p>
        </w:tc>
        <w:tc>
          <w:tcPr>
            <w:tcW w:w="1418" w:type="dxa"/>
            <w:noWrap/>
            <w:vAlign w:val="bottom"/>
          </w:tcPr>
          <w:p w14:paraId="60DC1B7A"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29.7±7.99</w:t>
            </w:r>
          </w:p>
        </w:tc>
        <w:tc>
          <w:tcPr>
            <w:tcW w:w="1417" w:type="dxa"/>
            <w:noWrap/>
            <w:vAlign w:val="bottom"/>
          </w:tcPr>
          <w:p w14:paraId="7717028A"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17.82-37.64</w:t>
            </w:r>
          </w:p>
        </w:tc>
        <w:tc>
          <w:tcPr>
            <w:tcW w:w="993" w:type="dxa"/>
          </w:tcPr>
          <w:p w14:paraId="48C96590"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714A21D9"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4401682F"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0506B1B6"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r w:rsidR="00DE2FA6" w:rsidRPr="000C3C9D" w14:paraId="14656B4D" w14:textId="77777777" w:rsidTr="00F97B8A">
        <w:trPr>
          <w:trHeight w:val="157"/>
          <w:jc w:val="center"/>
        </w:trPr>
        <w:tc>
          <w:tcPr>
            <w:tcW w:w="2972" w:type="dxa"/>
            <w:noWrap/>
            <w:vAlign w:val="bottom"/>
          </w:tcPr>
          <w:p w14:paraId="5BEB8B9A" w14:textId="77777777" w:rsidR="00DE2FA6" w:rsidRPr="000C3C9D" w:rsidRDefault="00DE2FA6" w:rsidP="00F97B8A">
            <w:pPr>
              <w:spacing w:after="0" w:line="240" w:lineRule="auto"/>
              <w:jc w:val="both"/>
              <w:rPr>
                <w:rFonts w:ascii="Times New Roman" w:eastAsia="Times New Roman" w:hAnsi="Times New Roman" w:cs="Times New Roman"/>
                <w:b/>
                <w:bCs/>
                <w:kern w:val="0"/>
                <w:sz w:val="20"/>
                <w:szCs w:val="20"/>
                <w:lang w:eastAsia="en-IN"/>
                <w14:ligatures w14:val="none"/>
              </w:rPr>
            </w:pPr>
            <w:r w:rsidRPr="000C3C9D">
              <w:rPr>
                <w:rFonts w:ascii="Times New Roman" w:hAnsi="Times New Roman" w:cs="Times New Roman"/>
                <w:b/>
                <w:bCs/>
                <w:color w:val="000000"/>
                <w:sz w:val="20"/>
                <w:szCs w:val="20"/>
              </w:rPr>
              <w:t>Na</w:t>
            </w:r>
            <w:r w:rsidRPr="000C3C9D">
              <w:rPr>
                <w:rFonts w:ascii="Times New Roman" w:hAnsi="Times New Roman" w:cs="Times New Roman"/>
                <w:b/>
                <w:bCs/>
                <w:color w:val="000000"/>
                <w:sz w:val="20"/>
                <w:szCs w:val="20"/>
                <w:vertAlign w:val="superscript"/>
              </w:rPr>
              <w:t>+</w:t>
            </w:r>
            <w:r w:rsidRPr="000C3C9D">
              <w:rPr>
                <w:rFonts w:ascii="Times New Roman" w:hAnsi="Times New Roman" w:cs="Times New Roman"/>
                <w:b/>
                <w:bCs/>
                <w:color w:val="000000"/>
                <w:sz w:val="20"/>
                <w:szCs w:val="20"/>
              </w:rPr>
              <w:t>/Cl⁻</w:t>
            </w:r>
          </w:p>
        </w:tc>
        <w:tc>
          <w:tcPr>
            <w:tcW w:w="1418" w:type="dxa"/>
            <w:noWrap/>
            <w:vAlign w:val="bottom"/>
          </w:tcPr>
          <w:p w14:paraId="76577938"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0.34±0.08</w:t>
            </w:r>
          </w:p>
        </w:tc>
        <w:tc>
          <w:tcPr>
            <w:tcW w:w="1417" w:type="dxa"/>
            <w:noWrap/>
            <w:vAlign w:val="bottom"/>
          </w:tcPr>
          <w:p w14:paraId="14D2573A"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0.29-0.49</w:t>
            </w:r>
          </w:p>
        </w:tc>
        <w:tc>
          <w:tcPr>
            <w:tcW w:w="1418" w:type="dxa"/>
            <w:noWrap/>
            <w:vAlign w:val="bottom"/>
          </w:tcPr>
          <w:p w14:paraId="6469058A"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0.64±0.3</w:t>
            </w:r>
          </w:p>
        </w:tc>
        <w:tc>
          <w:tcPr>
            <w:tcW w:w="1275" w:type="dxa"/>
            <w:vAlign w:val="bottom"/>
          </w:tcPr>
          <w:p w14:paraId="2C066530" w14:textId="77777777" w:rsidR="00DE2FA6" w:rsidRPr="000C3C9D" w:rsidRDefault="00DE2FA6" w:rsidP="00F97B8A">
            <w:pPr>
              <w:spacing w:after="0" w:line="240" w:lineRule="auto"/>
              <w:jc w:val="center"/>
              <w:rPr>
                <w:rFonts w:ascii="Times New Roman" w:eastAsia="Times New Roman" w:hAnsi="Times New Roman" w:cs="Times New Roman"/>
                <w:kern w:val="0"/>
                <w:sz w:val="20"/>
                <w:szCs w:val="20"/>
                <w:lang w:eastAsia="en-IN"/>
                <w14:ligatures w14:val="none"/>
              </w:rPr>
            </w:pPr>
            <w:r w:rsidRPr="000C3C9D">
              <w:rPr>
                <w:rFonts w:ascii="Times New Roman" w:hAnsi="Times New Roman" w:cs="Times New Roman"/>
                <w:color w:val="000000"/>
                <w:sz w:val="20"/>
                <w:szCs w:val="20"/>
              </w:rPr>
              <w:t>0.38-1.02</w:t>
            </w:r>
          </w:p>
        </w:tc>
        <w:tc>
          <w:tcPr>
            <w:tcW w:w="1418" w:type="dxa"/>
            <w:noWrap/>
            <w:vAlign w:val="bottom"/>
          </w:tcPr>
          <w:p w14:paraId="0C64A50D"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1.08±0.37</w:t>
            </w:r>
          </w:p>
        </w:tc>
        <w:tc>
          <w:tcPr>
            <w:tcW w:w="1417" w:type="dxa"/>
            <w:noWrap/>
            <w:vAlign w:val="bottom"/>
          </w:tcPr>
          <w:p w14:paraId="0C1CA98F" w14:textId="77777777" w:rsidR="00DE2FA6" w:rsidRPr="000C3C9D" w:rsidRDefault="00DE2FA6" w:rsidP="00F97B8A">
            <w:pPr>
              <w:spacing w:after="0" w:line="240" w:lineRule="auto"/>
              <w:jc w:val="center"/>
              <w:rPr>
                <w:rFonts w:ascii="Times New Roman" w:hAnsi="Times New Roman" w:cs="Times New Roman"/>
                <w:color w:val="000000"/>
                <w:sz w:val="20"/>
                <w:szCs w:val="20"/>
              </w:rPr>
            </w:pPr>
            <w:r w:rsidRPr="000C3C9D">
              <w:rPr>
                <w:rFonts w:ascii="Times New Roman" w:hAnsi="Times New Roman" w:cs="Times New Roman"/>
                <w:color w:val="000000"/>
                <w:sz w:val="20"/>
                <w:szCs w:val="20"/>
              </w:rPr>
              <w:t>0.7-1.67</w:t>
            </w:r>
          </w:p>
        </w:tc>
        <w:tc>
          <w:tcPr>
            <w:tcW w:w="993" w:type="dxa"/>
          </w:tcPr>
          <w:p w14:paraId="42A19184"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850" w:type="dxa"/>
          </w:tcPr>
          <w:p w14:paraId="4B584221"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992" w:type="dxa"/>
          </w:tcPr>
          <w:p w14:paraId="13EDC947"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c>
          <w:tcPr>
            <w:tcW w:w="1134" w:type="dxa"/>
          </w:tcPr>
          <w:p w14:paraId="244F61BE" w14:textId="77777777" w:rsidR="00DE2FA6" w:rsidRPr="000C3C9D" w:rsidRDefault="00DE2FA6" w:rsidP="00F97B8A">
            <w:pPr>
              <w:spacing w:after="0" w:line="240" w:lineRule="auto"/>
              <w:jc w:val="center"/>
              <w:rPr>
                <w:rFonts w:ascii="Times New Roman" w:hAnsi="Times New Roman" w:cs="Times New Roman"/>
                <w:color w:val="000000"/>
                <w:sz w:val="20"/>
                <w:szCs w:val="20"/>
              </w:rPr>
            </w:pPr>
          </w:p>
        </w:tc>
      </w:tr>
    </w:tbl>
    <w:p w14:paraId="58162776" w14:textId="77777777" w:rsidR="00306C8B" w:rsidRDefault="00306C8B" w:rsidP="00DE2FA6">
      <w:pPr>
        <w:sectPr w:rsidR="00306C8B" w:rsidSect="00F23E11">
          <w:type w:val="continuous"/>
          <w:pgSz w:w="16838" w:h="11906" w:orient="landscape"/>
          <w:pgMar w:top="993" w:right="1440" w:bottom="1440" w:left="1276" w:header="708" w:footer="708" w:gutter="0"/>
          <w:cols w:space="708"/>
          <w:docGrid w:linePitch="360"/>
        </w:sectPr>
      </w:pPr>
    </w:p>
    <w:p w14:paraId="6A8BA71F" w14:textId="11C19DEA" w:rsidR="0057394A" w:rsidRPr="00EA19F0" w:rsidRDefault="00244CA5" w:rsidP="003261F5">
      <w:pPr>
        <w:pStyle w:val="NoSpacing"/>
        <w:jc w:val="both"/>
        <w:rPr>
          <w:rFonts w:asciiTheme="minorBidi" w:hAnsiTheme="minorBidi"/>
          <w:sz w:val="24"/>
          <w:szCs w:val="24"/>
        </w:rPr>
      </w:pPr>
      <w:r w:rsidRPr="00EA19F0">
        <w:rPr>
          <w:rFonts w:asciiTheme="minorBidi" w:hAnsiTheme="minorBidi"/>
          <w:sz w:val="24"/>
          <w:szCs w:val="24"/>
        </w:rPr>
        <w:lastRenderedPageBreak/>
        <w:t>The analytical results show temporal variations</w:t>
      </w:r>
      <w:r w:rsidR="00F473A4" w:rsidRPr="00EA19F0">
        <w:rPr>
          <w:rFonts w:asciiTheme="minorBidi" w:hAnsiTheme="minorBidi"/>
          <w:sz w:val="24"/>
          <w:szCs w:val="24"/>
        </w:rPr>
        <w:t xml:space="preserve">; </w:t>
      </w:r>
      <w:r w:rsidR="00F05319" w:rsidRPr="00EA19F0">
        <w:rPr>
          <w:rFonts w:asciiTheme="minorBidi" w:hAnsiTheme="minorBidi"/>
          <w:sz w:val="24"/>
          <w:szCs w:val="24"/>
        </w:rPr>
        <w:t>most parameters</w:t>
      </w:r>
      <w:r w:rsidR="00A365CE" w:rsidRPr="00EA19F0">
        <w:rPr>
          <w:rFonts w:asciiTheme="minorBidi" w:hAnsiTheme="minorBidi"/>
          <w:sz w:val="24"/>
          <w:szCs w:val="24"/>
        </w:rPr>
        <w:t>, except Ca</w:t>
      </w:r>
      <w:r w:rsidR="00A365CE" w:rsidRPr="00EA19F0">
        <w:rPr>
          <w:rFonts w:asciiTheme="minorBidi" w:hAnsiTheme="minorBidi"/>
          <w:sz w:val="24"/>
          <w:szCs w:val="24"/>
          <w:vertAlign w:val="superscript"/>
        </w:rPr>
        <w:t>2+</w:t>
      </w:r>
      <w:r w:rsidR="00DF6C03" w:rsidRPr="00EA19F0">
        <w:rPr>
          <w:rFonts w:asciiTheme="minorBidi" w:hAnsiTheme="minorBidi"/>
          <w:sz w:val="24"/>
          <w:szCs w:val="24"/>
        </w:rPr>
        <w:t>,</w:t>
      </w:r>
      <w:r w:rsidR="00DF6C03" w:rsidRPr="00EA19F0">
        <w:rPr>
          <w:rFonts w:asciiTheme="minorBidi" w:hAnsiTheme="minorBidi"/>
          <w:sz w:val="24"/>
          <w:szCs w:val="24"/>
          <w:vertAlign w:val="superscript"/>
        </w:rPr>
        <w:t xml:space="preserve"> </w:t>
      </w:r>
      <w:r w:rsidR="00DF6C03" w:rsidRPr="00EA19F0">
        <w:rPr>
          <w:rFonts w:asciiTheme="minorBidi" w:hAnsiTheme="minorBidi"/>
          <w:sz w:val="24"/>
          <w:szCs w:val="24"/>
        </w:rPr>
        <w:t>Cl</w:t>
      </w:r>
      <w:r w:rsidR="00DF6C03" w:rsidRPr="00EA19F0">
        <w:rPr>
          <w:rFonts w:ascii="Cambria Math" w:hAnsi="Cambria Math" w:cs="Cambria Math"/>
          <w:sz w:val="24"/>
          <w:szCs w:val="24"/>
        </w:rPr>
        <w:t>⁻</w:t>
      </w:r>
      <w:r w:rsidR="00DF6C03" w:rsidRPr="00EA19F0">
        <w:rPr>
          <w:rFonts w:asciiTheme="minorBidi" w:hAnsiTheme="minorBidi"/>
          <w:sz w:val="24"/>
          <w:szCs w:val="24"/>
        </w:rPr>
        <w:t>, CO</w:t>
      </w:r>
      <w:r w:rsidR="00DF6C03" w:rsidRPr="00EA19F0">
        <w:rPr>
          <w:rFonts w:asciiTheme="minorBidi" w:hAnsiTheme="minorBidi"/>
          <w:sz w:val="24"/>
          <w:szCs w:val="24"/>
          <w:vertAlign w:val="subscript"/>
        </w:rPr>
        <w:t>3</w:t>
      </w:r>
      <w:r w:rsidR="00DF6C03" w:rsidRPr="00EA19F0">
        <w:rPr>
          <w:rFonts w:asciiTheme="minorBidi" w:hAnsiTheme="minorBidi"/>
          <w:sz w:val="24"/>
          <w:szCs w:val="24"/>
          <w:vertAlign w:val="superscript"/>
        </w:rPr>
        <w:t>2-</w:t>
      </w:r>
      <w:r w:rsidR="00DF6C03" w:rsidRPr="00EA19F0">
        <w:rPr>
          <w:rFonts w:asciiTheme="minorBidi" w:hAnsiTheme="minorBidi"/>
          <w:sz w:val="24"/>
          <w:szCs w:val="24"/>
        </w:rPr>
        <w:t xml:space="preserve"> </w:t>
      </w:r>
      <w:r w:rsidR="00A365CE" w:rsidRPr="00EA19F0">
        <w:rPr>
          <w:rFonts w:asciiTheme="minorBidi" w:hAnsiTheme="minorBidi"/>
          <w:sz w:val="24"/>
          <w:szCs w:val="24"/>
        </w:rPr>
        <w:t>and HCO</w:t>
      </w:r>
      <w:r w:rsidR="00A365CE" w:rsidRPr="00EA19F0">
        <w:rPr>
          <w:rFonts w:asciiTheme="minorBidi" w:hAnsiTheme="minorBidi"/>
          <w:sz w:val="24"/>
          <w:szCs w:val="24"/>
          <w:vertAlign w:val="subscript"/>
        </w:rPr>
        <w:t>3</w:t>
      </w:r>
      <w:r w:rsidR="00A365CE" w:rsidRPr="00EA19F0">
        <w:rPr>
          <w:rFonts w:ascii="Cambria Math" w:hAnsi="Cambria Math" w:cs="Cambria Math"/>
          <w:sz w:val="24"/>
          <w:szCs w:val="24"/>
        </w:rPr>
        <w:t>⁻</w:t>
      </w:r>
      <w:r w:rsidR="00A365CE" w:rsidRPr="00EA19F0">
        <w:rPr>
          <w:rFonts w:asciiTheme="minorBidi" w:hAnsiTheme="minorBidi"/>
          <w:sz w:val="24"/>
          <w:szCs w:val="24"/>
        </w:rPr>
        <w:t>,</w:t>
      </w:r>
      <w:r w:rsidR="00F05319" w:rsidRPr="00EA19F0">
        <w:rPr>
          <w:rFonts w:asciiTheme="minorBidi" w:hAnsiTheme="minorBidi"/>
          <w:sz w:val="24"/>
          <w:szCs w:val="24"/>
        </w:rPr>
        <w:t xml:space="preserve"> attain comparatively lower values during the </w:t>
      </w:r>
      <w:r w:rsidR="00A365CE" w:rsidRPr="00EA19F0">
        <w:rPr>
          <w:rFonts w:asciiTheme="minorBidi" w:hAnsiTheme="minorBidi"/>
          <w:sz w:val="24"/>
          <w:szCs w:val="24"/>
        </w:rPr>
        <w:t xml:space="preserve">Early </w:t>
      </w:r>
      <w:r w:rsidRPr="00EA19F0">
        <w:rPr>
          <w:rFonts w:asciiTheme="minorBidi" w:hAnsiTheme="minorBidi"/>
          <w:sz w:val="24"/>
          <w:szCs w:val="24"/>
        </w:rPr>
        <w:t>Melting Period</w:t>
      </w:r>
      <w:r w:rsidR="00F05319" w:rsidRPr="00EA19F0">
        <w:rPr>
          <w:rFonts w:asciiTheme="minorBidi" w:hAnsiTheme="minorBidi"/>
          <w:sz w:val="24"/>
          <w:szCs w:val="24"/>
        </w:rPr>
        <w:t xml:space="preserve"> (</w:t>
      </w:r>
      <w:r w:rsidR="00A365CE" w:rsidRPr="00EA19F0">
        <w:rPr>
          <w:rFonts w:asciiTheme="minorBidi" w:hAnsiTheme="minorBidi"/>
          <w:sz w:val="24"/>
          <w:szCs w:val="24"/>
        </w:rPr>
        <w:t>E</w:t>
      </w:r>
      <w:r w:rsidRPr="00EA19F0">
        <w:rPr>
          <w:rFonts w:asciiTheme="minorBidi" w:hAnsiTheme="minorBidi"/>
          <w:sz w:val="24"/>
          <w:szCs w:val="24"/>
        </w:rPr>
        <w:t>MP</w:t>
      </w:r>
      <w:r w:rsidR="00F05319" w:rsidRPr="00EA19F0">
        <w:rPr>
          <w:rFonts w:asciiTheme="minorBidi" w:hAnsiTheme="minorBidi"/>
          <w:sz w:val="24"/>
          <w:szCs w:val="24"/>
        </w:rPr>
        <w:t xml:space="preserve">), primarily due to enhanced dilution from intense </w:t>
      </w:r>
      <w:r w:rsidRPr="00EA19F0">
        <w:rPr>
          <w:rFonts w:asciiTheme="minorBidi" w:hAnsiTheme="minorBidi"/>
          <w:sz w:val="24"/>
          <w:szCs w:val="24"/>
        </w:rPr>
        <w:t>snow and glaciers melting</w:t>
      </w:r>
      <w:r w:rsidR="001263DB" w:rsidRPr="00EA19F0">
        <w:rPr>
          <w:rFonts w:asciiTheme="minorBidi" w:hAnsiTheme="minorBidi"/>
          <w:sz w:val="24"/>
          <w:szCs w:val="24"/>
        </w:rPr>
        <w:t xml:space="preserve"> with higher contribution from carbonate weathering</w:t>
      </w:r>
      <w:r w:rsidR="00AF3511" w:rsidRPr="00EA19F0">
        <w:rPr>
          <w:rFonts w:asciiTheme="minorBidi" w:hAnsiTheme="minorBidi"/>
          <w:sz w:val="24"/>
          <w:szCs w:val="24"/>
        </w:rPr>
        <w:t xml:space="preserve"> (Calcite Rocks)</w:t>
      </w:r>
      <w:r w:rsidR="001263DB" w:rsidRPr="00EA19F0">
        <w:rPr>
          <w:rFonts w:asciiTheme="minorBidi" w:hAnsiTheme="minorBidi"/>
          <w:sz w:val="24"/>
          <w:szCs w:val="24"/>
        </w:rPr>
        <w:t xml:space="preserve">. </w:t>
      </w:r>
      <w:r w:rsidR="00006224" w:rsidRPr="00EA19F0">
        <w:rPr>
          <w:rFonts w:asciiTheme="minorBidi" w:hAnsiTheme="minorBidi"/>
          <w:sz w:val="24"/>
          <w:szCs w:val="24"/>
        </w:rPr>
        <w:t xml:space="preserve">In contrast, </w:t>
      </w:r>
      <w:r w:rsidR="00ED751F" w:rsidRPr="00EA19F0">
        <w:rPr>
          <w:rFonts w:asciiTheme="minorBidi" w:hAnsiTheme="minorBidi"/>
          <w:sz w:val="24"/>
          <w:szCs w:val="24"/>
        </w:rPr>
        <w:t>the concentration of most</w:t>
      </w:r>
      <w:r w:rsidR="007E4242" w:rsidRPr="00EA19F0">
        <w:rPr>
          <w:rFonts w:asciiTheme="minorBidi" w:hAnsiTheme="minorBidi"/>
          <w:sz w:val="24"/>
          <w:szCs w:val="24"/>
        </w:rPr>
        <w:t xml:space="preserve"> </w:t>
      </w:r>
      <w:r w:rsidR="00ED751F" w:rsidRPr="00EA19F0">
        <w:rPr>
          <w:rFonts w:asciiTheme="minorBidi" w:hAnsiTheme="minorBidi"/>
          <w:sz w:val="24"/>
          <w:szCs w:val="24"/>
        </w:rPr>
        <w:t>parameters rises in water, except Na</w:t>
      </w:r>
      <w:r w:rsidR="00ED751F" w:rsidRPr="00EA19F0">
        <w:rPr>
          <w:rFonts w:asciiTheme="minorBidi" w:hAnsiTheme="minorBidi"/>
          <w:sz w:val="24"/>
          <w:szCs w:val="24"/>
          <w:vertAlign w:val="superscript"/>
        </w:rPr>
        <w:t>+</w:t>
      </w:r>
      <w:r w:rsidR="00ED751F" w:rsidRPr="00EA19F0">
        <w:rPr>
          <w:rFonts w:asciiTheme="minorBidi" w:hAnsiTheme="minorBidi"/>
          <w:sz w:val="24"/>
          <w:szCs w:val="24"/>
        </w:rPr>
        <w:t>, Cl</w:t>
      </w:r>
      <w:r w:rsidR="00ED751F" w:rsidRPr="00EA19F0">
        <w:rPr>
          <w:rFonts w:ascii="Cambria Math" w:hAnsi="Cambria Math" w:cs="Cambria Math"/>
          <w:sz w:val="24"/>
          <w:szCs w:val="24"/>
        </w:rPr>
        <w:t>⁻</w:t>
      </w:r>
      <w:r w:rsidR="00ED751F" w:rsidRPr="00EA19F0">
        <w:rPr>
          <w:rFonts w:asciiTheme="minorBidi" w:hAnsiTheme="minorBidi"/>
          <w:sz w:val="24"/>
          <w:szCs w:val="24"/>
        </w:rPr>
        <w:t>, K</w:t>
      </w:r>
      <w:r w:rsidR="00ED751F" w:rsidRPr="00EA19F0">
        <w:rPr>
          <w:rFonts w:asciiTheme="minorBidi" w:hAnsiTheme="minorBidi"/>
          <w:sz w:val="24"/>
          <w:szCs w:val="24"/>
          <w:vertAlign w:val="superscript"/>
        </w:rPr>
        <w:t>+</w:t>
      </w:r>
      <w:r w:rsidR="00ED751F" w:rsidRPr="00EA19F0">
        <w:rPr>
          <w:rFonts w:asciiTheme="minorBidi" w:hAnsiTheme="minorBidi"/>
          <w:sz w:val="24"/>
          <w:szCs w:val="24"/>
        </w:rPr>
        <w:t xml:space="preserve">, </w:t>
      </w:r>
      <w:r w:rsidR="009718A3" w:rsidRPr="00EA19F0">
        <w:rPr>
          <w:rFonts w:asciiTheme="minorBidi" w:hAnsiTheme="minorBidi"/>
          <w:sz w:val="24"/>
          <w:szCs w:val="24"/>
        </w:rPr>
        <w:t>and F</w:t>
      </w:r>
      <w:r w:rsidR="009718A3" w:rsidRPr="00EA19F0">
        <w:rPr>
          <w:rFonts w:ascii="Cambria Math" w:hAnsi="Cambria Math" w:cs="Cambria Math"/>
          <w:sz w:val="24"/>
          <w:szCs w:val="24"/>
        </w:rPr>
        <w:t>⁻</w:t>
      </w:r>
      <w:r w:rsidR="009718A3" w:rsidRPr="00EA19F0">
        <w:rPr>
          <w:rFonts w:asciiTheme="minorBidi" w:hAnsiTheme="minorBidi"/>
          <w:sz w:val="24"/>
          <w:szCs w:val="24"/>
        </w:rPr>
        <w:t xml:space="preserve">, </w:t>
      </w:r>
      <w:r w:rsidR="00ED751F" w:rsidRPr="00EA19F0">
        <w:rPr>
          <w:rFonts w:asciiTheme="minorBidi" w:hAnsiTheme="minorBidi"/>
          <w:sz w:val="24"/>
          <w:szCs w:val="24"/>
        </w:rPr>
        <w:t xml:space="preserve">during the </w:t>
      </w:r>
      <w:commentRangeStart w:id="13"/>
      <w:r w:rsidR="009718A3" w:rsidRPr="00EA19F0">
        <w:rPr>
          <w:rFonts w:asciiTheme="minorBidi" w:hAnsiTheme="minorBidi"/>
          <w:sz w:val="24"/>
          <w:szCs w:val="24"/>
        </w:rPr>
        <w:t>Late Melting Period (LMP).</w:t>
      </w:r>
      <w:r w:rsidR="00ED751F" w:rsidRPr="00EA19F0">
        <w:rPr>
          <w:rFonts w:asciiTheme="minorBidi" w:hAnsiTheme="minorBidi"/>
          <w:sz w:val="24"/>
          <w:szCs w:val="24"/>
        </w:rPr>
        <w:t xml:space="preserve"> </w:t>
      </w:r>
      <w:commentRangeEnd w:id="13"/>
      <w:r w:rsidR="00C91796">
        <w:rPr>
          <w:rStyle w:val="CommentReference"/>
        </w:rPr>
        <w:commentReference w:id="13"/>
      </w:r>
      <w:r w:rsidR="009718A3" w:rsidRPr="00EA19F0">
        <w:rPr>
          <w:rFonts w:asciiTheme="minorBidi" w:hAnsiTheme="minorBidi"/>
          <w:sz w:val="24"/>
          <w:szCs w:val="24"/>
        </w:rPr>
        <w:t>T</w:t>
      </w:r>
      <w:r w:rsidR="00006224" w:rsidRPr="00EA19F0">
        <w:rPr>
          <w:rFonts w:asciiTheme="minorBidi" w:hAnsiTheme="minorBidi"/>
          <w:sz w:val="24"/>
          <w:szCs w:val="24"/>
        </w:rPr>
        <w:t>he intensity of snow and glacier melting decreases</w:t>
      </w:r>
      <w:r w:rsidR="009718A3" w:rsidRPr="00EA19F0">
        <w:rPr>
          <w:rFonts w:asciiTheme="minorBidi" w:hAnsiTheme="minorBidi"/>
          <w:sz w:val="24"/>
          <w:szCs w:val="24"/>
        </w:rPr>
        <w:t xml:space="preserve"> during winter (LMP)</w:t>
      </w:r>
      <w:r w:rsidR="00006224" w:rsidRPr="00EA19F0">
        <w:rPr>
          <w:rFonts w:asciiTheme="minorBidi" w:hAnsiTheme="minorBidi"/>
          <w:sz w:val="24"/>
          <w:szCs w:val="24"/>
        </w:rPr>
        <w:t>, discharge volume declines, and the river flow is</w:t>
      </w:r>
      <w:r w:rsidR="00ED751F" w:rsidRPr="00EA19F0">
        <w:rPr>
          <w:rFonts w:asciiTheme="minorBidi" w:hAnsiTheme="minorBidi"/>
          <w:sz w:val="24"/>
          <w:szCs w:val="24"/>
        </w:rPr>
        <w:t xml:space="preserve"> </w:t>
      </w:r>
      <w:r w:rsidR="00006224" w:rsidRPr="00EA19F0">
        <w:rPr>
          <w:rFonts w:asciiTheme="minorBidi" w:hAnsiTheme="minorBidi"/>
          <w:sz w:val="24"/>
          <w:szCs w:val="24"/>
        </w:rPr>
        <w:t xml:space="preserve">sustained primarily by baseflow from groundwater, </w:t>
      </w:r>
      <w:r w:rsidR="003A2BE0" w:rsidRPr="00EA19F0">
        <w:rPr>
          <w:rFonts w:asciiTheme="minorBidi" w:hAnsiTheme="minorBidi"/>
          <w:sz w:val="24"/>
          <w:szCs w:val="24"/>
        </w:rPr>
        <w:t xml:space="preserve">which </w:t>
      </w:r>
      <w:r w:rsidR="00006224" w:rsidRPr="00EA19F0">
        <w:rPr>
          <w:rFonts w:asciiTheme="minorBidi" w:hAnsiTheme="minorBidi"/>
          <w:sz w:val="24"/>
          <w:szCs w:val="24"/>
        </w:rPr>
        <w:t>may be responsible for</w:t>
      </w:r>
      <w:r w:rsidR="009718A3" w:rsidRPr="00EA19F0">
        <w:rPr>
          <w:rFonts w:asciiTheme="minorBidi" w:hAnsiTheme="minorBidi"/>
          <w:sz w:val="24"/>
          <w:szCs w:val="24"/>
        </w:rPr>
        <w:t xml:space="preserve"> the highest values </w:t>
      </w:r>
      <w:r w:rsidR="0004770C" w:rsidRPr="00EA19F0">
        <w:rPr>
          <w:rFonts w:asciiTheme="minorBidi" w:hAnsiTheme="minorBidi"/>
          <w:sz w:val="24"/>
          <w:szCs w:val="24"/>
        </w:rPr>
        <w:t xml:space="preserve">of these parameters </w:t>
      </w:r>
      <w:r w:rsidR="009718A3" w:rsidRPr="00EA19F0">
        <w:rPr>
          <w:rFonts w:asciiTheme="minorBidi" w:hAnsiTheme="minorBidi"/>
          <w:sz w:val="24"/>
          <w:szCs w:val="24"/>
        </w:rPr>
        <w:t>recorded during the</w:t>
      </w:r>
      <w:r w:rsidR="008B78DC" w:rsidRPr="00EA19F0">
        <w:rPr>
          <w:rFonts w:asciiTheme="minorBidi" w:hAnsiTheme="minorBidi"/>
          <w:sz w:val="24"/>
          <w:szCs w:val="24"/>
        </w:rPr>
        <w:t xml:space="preserve"> </w:t>
      </w:r>
      <w:r w:rsidR="009718A3" w:rsidRPr="00EA19F0">
        <w:rPr>
          <w:rFonts w:asciiTheme="minorBidi" w:hAnsiTheme="minorBidi"/>
          <w:sz w:val="24"/>
          <w:szCs w:val="24"/>
        </w:rPr>
        <w:t>LMP</w:t>
      </w:r>
      <w:r w:rsidR="008B78DC" w:rsidRPr="00EA19F0">
        <w:rPr>
          <w:rFonts w:asciiTheme="minorBidi" w:hAnsiTheme="minorBidi"/>
          <w:sz w:val="24"/>
          <w:szCs w:val="24"/>
        </w:rPr>
        <w:t xml:space="preserve"> </w:t>
      </w:r>
      <w:r w:rsidR="00EF2C4E"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{"citationID":"3M8Q1v2I","properties":{"formattedCitation":"(Ali et al., 2024a)","plainCitation":"(Ali et al., 2024a)","noteIndex":0},"citationItems":[{"id":1311,"uris":["http://zotero.org/users/local/GtKGLMn4/items/HM7SD3GP","http://zotero.org/users/17566097/items/HM7SD3GP"],"itemData":{"id":1311,"type":"article-journal","abstract":"The decline in water quality, particularly in river water, is a significant concern, especially in semi-arid areas and tourist destinations such as Ladakh. Periodic assessment of water quality could be a crucial step for ensuring its potability and serve as a foundation for formulating effective policies for sustainable water resource management. Consequently, this research aimed to analyze the periodic variations in the water quality of Indus River for domestic and agricultural use, focusing on the impact of geochemical processes within the basin. Various physicochemical parameters namely temperature, pH, electrical conductivity, turbidity, total dissolved solids, total hardness, total alkalinity, K+, Na+, Mg2+, Ca2+, Cl−, SO42−, SiO2, HCO3−, CO32−, and NO3− for sixty-five water samples from seven key locations were assessed during three distinct periods: April–May (early melting period, EMP), July–August (peak melting period, PMP), and October–November (late melting period, LMP), 2023. The ion contents found were in the following order: Ca2+ &gt; Na+ &gt; Mg2+ &gt; K+ and HCO3− &gt; SO42− &gt; Cl− &gt; SiO2 &gt; NO3− &gt; F−, reflecting Ca-HCO3 water types. However, temporal and spatial variation in ion content and hydrochemical facies were observed when the water moved downstream and confluences with the Zanskar River to give calcium</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magnesium-sulphate facies. Water quality indices- Canadian Council of the Ministers of the Environment Water Quality Index (CCMEWQI) and Weighted Arithmetic Water Quality Index (WAWQI) were employed to assess the water quality over these periods, identify long-term trends, evaluate the water quality status, and provide insights into immediate conditions. WAWQI values recorded for EMP (56.89–509.53), PMP (289.82–3419.23), and LMP (55.16–159.14) found were poor to unsuitable for drinking while using CCMEWQI, it was in the marginal range. Additionally, the Wilcox diagram and other important irrigational indices like Percent sodium, Sodium Absorption Ratio, Residual Sodium Carbonate, Magnesium hazard, Permeability Index, Kelly's ratio, Ryznar stability index indicated the suitability of the water for agricultural use in all the periods. Apart from arsenic (54 μg/L), all other heavy metal ions measured were within the permissible limits according to the Heavy Metal Pollution index. Principal Component Analysis identified different principal components contributing to the hydrochemistry of the river water whereas correlational analysis was conducted to understand the correlation among different parameters and their potential source in water. Rapid carbonate mineral reactions and sulphate reduction were found to affect the alkalinity and hardness of the water. This study will serve as a scientific reference and methodological guide for researchers- to understand water chemistry; committee awareness on health and agricultural impacts; and policymakers for decision-making on water use, policy, and conservation.","container-title":"Marine Pollution Bulletin","DOI":"10.1016/j.marpolbul.2024.117413","ISSN":"0025-326X","journalAbbreviation":"Marine Pollution Bulletin","page":"117413","source":"ScienceDirect","title":"Hydrogeochemical investigation and water quality assessment of the Indus River in the semiarid region of Ladakh, India","URL":"https://www.sciencedirect.com/science/article/pii/S0025326X24013900","volume":"211","author":[{"family":"Ali","given":"Gh."},{"family":"Chaudhari","given":"Mukesh P."},{"family":"Syed","given":"Saif"},{"family":"Rajpurohit","given":"Dushyantsingh"},{"family":"Sanyal","given":"Mallika"},{"family":"Shrivastav","given":"Pranav S."}],"accessed":{"date-parts":[["2024",12,14]]},"issued":{"date-parts":[["2024",12,13]]}}}],"schema":"https://github.com/citation-style-language/schema/raw/master/csl-citation.json"} </w:instrText>
      </w:r>
      <w:r w:rsidR="00EF2C4E" w:rsidRPr="00EA19F0">
        <w:rPr>
          <w:rFonts w:asciiTheme="minorBidi" w:hAnsiTheme="minorBidi"/>
          <w:color w:val="0070C0"/>
          <w:sz w:val="24"/>
          <w:szCs w:val="24"/>
        </w:rPr>
        <w:fldChar w:fldCharType="separate"/>
      </w:r>
      <w:r w:rsidR="00445DFA" w:rsidRPr="00EA19F0">
        <w:rPr>
          <w:rFonts w:asciiTheme="minorBidi" w:hAnsiTheme="minorBidi"/>
          <w:color w:val="0070C0"/>
          <w:sz w:val="24"/>
        </w:rPr>
        <w:t>(Ali et al., 2024a)</w:t>
      </w:r>
      <w:r w:rsidR="00EF2C4E" w:rsidRPr="00EA19F0">
        <w:rPr>
          <w:rFonts w:asciiTheme="minorBidi" w:hAnsiTheme="minorBidi"/>
          <w:color w:val="0070C0"/>
          <w:sz w:val="24"/>
          <w:szCs w:val="24"/>
        </w:rPr>
        <w:fldChar w:fldCharType="end"/>
      </w:r>
      <w:r w:rsidR="00006224" w:rsidRPr="00EA19F0">
        <w:rPr>
          <w:rFonts w:asciiTheme="minorBidi" w:hAnsiTheme="minorBidi"/>
          <w:color w:val="0070C0"/>
          <w:sz w:val="24"/>
          <w:szCs w:val="24"/>
        </w:rPr>
        <w:t>.</w:t>
      </w:r>
      <w:r w:rsidR="00006224" w:rsidRPr="00EA19F0">
        <w:rPr>
          <w:rFonts w:asciiTheme="minorBidi" w:hAnsiTheme="minorBidi"/>
          <w:sz w:val="24"/>
          <w:szCs w:val="24"/>
        </w:rPr>
        <w:t xml:space="preserve"> </w:t>
      </w:r>
      <w:r w:rsidR="00DC5EE1" w:rsidRPr="00EA19F0">
        <w:rPr>
          <w:rFonts w:asciiTheme="minorBidi" w:hAnsiTheme="minorBidi"/>
          <w:sz w:val="24"/>
          <w:szCs w:val="24"/>
        </w:rPr>
        <w:t>However, the concentration</w:t>
      </w:r>
      <w:r w:rsidR="00D6632D" w:rsidRPr="00EA19F0">
        <w:rPr>
          <w:rFonts w:asciiTheme="minorBidi" w:hAnsiTheme="minorBidi"/>
          <w:sz w:val="24"/>
          <w:szCs w:val="24"/>
        </w:rPr>
        <w:t>s</w:t>
      </w:r>
      <w:r w:rsidR="00DC5EE1" w:rsidRPr="00EA19F0">
        <w:rPr>
          <w:rFonts w:asciiTheme="minorBidi" w:hAnsiTheme="minorBidi"/>
          <w:sz w:val="24"/>
          <w:szCs w:val="24"/>
        </w:rPr>
        <w:t xml:space="preserve"> of</w:t>
      </w:r>
      <w:r w:rsidR="00D6632D" w:rsidRPr="00EA19F0">
        <w:rPr>
          <w:rFonts w:asciiTheme="minorBidi" w:hAnsiTheme="minorBidi"/>
          <w:sz w:val="24"/>
          <w:szCs w:val="24"/>
        </w:rPr>
        <w:t xml:space="preserve"> Na</w:t>
      </w:r>
      <w:r w:rsidR="00D6632D" w:rsidRPr="00EA19F0">
        <w:rPr>
          <w:rFonts w:asciiTheme="minorBidi" w:hAnsiTheme="minorBidi"/>
          <w:sz w:val="24"/>
          <w:szCs w:val="24"/>
          <w:vertAlign w:val="superscript"/>
        </w:rPr>
        <w:t>+</w:t>
      </w:r>
      <w:r w:rsidR="00D6632D" w:rsidRPr="00EA19F0">
        <w:rPr>
          <w:rFonts w:asciiTheme="minorBidi" w:hAnsiTheme="minorBidi"/>
          <w:sz w:val="24"/>
          <w:szCs w:val="24"/>
        </w:rPr>
        <w:t>, Cl</w:t>
      </w:r>
      <w:r w:rsidR="00D6632D" w:rsidRPr="00EA19F0">
        <w:rPr>
          <w:rFonts w:ascii="Cambria Math" w:hAnsi="Cambria Math" w:cs="Cambria Math"/>
          <w:sz w:val="24"/>
          <w:szCs w:val="24"/>
        </w:rPr>
        <w:t>⁻</w:t>
      </w:r>
      <w:r w:rsidR="00D6632D" w:rsidRPr="00EA19F0">
        <w:rPr>
          <w:rFonts w:asciiTheme="minorBidi" w:hAnsiTheme="minorBidi"/>
          <w:sz w:val="24"/>
          <w:szCs w:val="24"/>
        </w:rPr>
        <w:t>, K</w:t>
      </w:r>
      <w:r w:rsidR="00D6632D" w:rsidRPr="00EA19F0">
        <w:rPr>
          <w:rFonts w:asciiTheme="minorBidi" w:hAnsiTheme="minorBidi"/>
          <w:sz w:val="24"/>
          <w:szCs w:val="24"/>
          <w:vertAlign w:val="superscript"/>
        </w:rPr>
        <w:t>+</w:t>
      </w:r>
      <w:r w:rsidR="00D6632D" w:rsidRPr="00EA19F0">
        <w:rPr>
          <w:rFonts w:asciiTheme="minorBidi" w:hAnsiTheme="minorBidi"/>
          <w:sz w:val="24"/>
          <w:szCs w:val="24"/>
        </w:rPr>
        <w:t>, and F</w:t>
      </w:r>
      <w:r w:rsidR="00D6632D" w:rsidRPr="00EA19F0">
        <w:rPr>
          <w:rFonts w:ascii="Cambria Math" w:hAnsi="Cambria Math" w:cs="Cambria Math"/>
          <w:sz w:val="24"/>
          <w:szCs w:val="24"/>
        </w:rPr>
        <w:t>⁻</w:t>
      </w:r>
      <w:r w:rsidR="00D6632D" w:rsidRPr="00EA19F0">
        <w:rPr>
          <w:rFonts w:asciiTheme="minorBidi" w:hAnsiTheme="minorBidi"/>
          <w:sz w:val="24"/>
          <w:szCs w:val="24"/>
        </w:rPr>
        <w:t xml:space="preserve"> were highest during the PMP (summer), indicating anthropogenic </w:t>
      </w:r>
      <w:r w:rsidR="00F40741" w:rsidRPr="00EA19F0">
        <w:rPr>
          <w:rFonts w:asciiTheme="minorBidi" w:hAnsiTheme="minorBidi"/>
          <w:sz w:val="24"/>
          <w:szCs w:val="24"/>
        </w:rPr>
        <w:t>and atmospheric contributions</w:t>
      </w:r>
      <w:r w:rsidR="00D6632D" w:rsidRPr="00EA19F0">
        <w:rPr>
          <w:rFonts w:asciiTheme="minorBidi" w:hAnsiTheme="minorBidi"/>
          <w:sz w:val="24"/>
          <w:szCs w:val="24"/>
        </w:rPr>
        <w:t xml:space="preserve"> </w:t>
      </w:r>
      <w:r w:rsidR="00F40741" w:rsidRPr="00EA19F0">
        <w:rPr>
          <w:rFonts w:asciiTheme="minorBidi" w:hAnsiTheme="minorBidi"/>
          <w:sz w:val="24"/>
          <w:szCs w:val="24"/>
        </w:rPr>
        <w:t>to</w:t>
      </w:r>
      <w:r w:rsidR="00D6632D" w:rsidRPr="00EA19F0">
        <w:rPr>
          <w:rFonts w:asciiTheme="minorBidi" w:hAnsiTheme="minorBidi"/>
          <w:sz w:val="24"/>
          <w:szCs w:val="24"/>
        </w:rPr>
        <w:t xml:space="preserve"> water quality</w:t>
      </w:r>
      <w:r w:rsidR="004161CA" w:rsidRPr="00EA19F0">
        <w:rPr>
          <w:rFonts w:asciiTheme="minorBidi" w:hAnsiTheme="minorBidi"/>
          <w:color w:val="0070C0"/>
          <w:sz w:val="24"/>
          <w:szCs w:val="24"/>
        </w:rPr>
        <w:t xml:space="preserve"> </w:t>
      </w:r>
      <w:r w:rsidR="004161CA"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{"citationID":"nzhwTdMO","properties":{"formattedCitation":"(Wieczorek et al., 2023)","plainCitation":"(Wieczorek et al., 2023)","noteIndex":0},"citationItems":[{"id":1689,"uris":["http://zotero.org/users/17566097/items/4U76A7TE"],"itemData":{"id":1689,"type":"article-journal","abstract":"This study was a continuation of our investigation of the spatio-temporal variability of the Bzura River’s water chemistry. Our research is of particular importance in the context of the recent ecological disaster on the Oder River and concerns the international problem of surface water contamination. The study area was a 120 km section of the Bzura River. We tested more measurement points and with a higher sampling frequency than those used in the national monitoring of river water quality. During two hydrological years, 360 water samples were collected. The selected parameters: electrical conductivity, temperature, dissolved oxygen, dissolved organic carbon, nitrates, phosphates, bicarbonates, chlorides, sodium, potassium, calcium, and magnesium were determined. Numerous results exceeded the Polish threshold limits. Spatio-temporal variability and water quality were assessed using principal component analysis (PCA), cluster analysis (CA), and water quality index (WQI) approaches. Many point sources of pollution related to urbanization, agriculture, and industry were detected. Moreover, due to the changing climatic conditions, a significant difference between temporal variability in both years was observed. Our results indicated that it is necessary to increase the number of measurement stations for surface water monitoring; it will allow for a faster detection of the threat.","container-title":"International Journal of Environmental Research and Public Health","DOI":"10.3390/ijerph20043032","ISSN":"1660-4601","issue":"4","language":"en","license":"http://creativecommons.org/licenses/by/3.0/","note":"publisher: Multidisciplinary Digital Publishing Institute","page":"3032","source":"www.mdpi.com","title":"Combined Effect of Climate and Anthropopressure on River Water Quality","URL":"https://www.mdpi.com/1660-4601/20/4/3032","volume":"20","author":[{"family":"Wieczorek","given":"Kinga"},{"family":"Turek","given":"Anna"},{"family":"Wolf","given":"Wojciech M."}],"accessed":{"date-parts":[["2025",8,20]]},"issued":{"date-parts":[["2023",1]]}}}],"schema":"https://github.com/citation-style-language/schema/raw/master/csl-citation.json"} </w:instrText>
      </w:r>
      <w:r w:rsidR="004161CA" w:rsidRPr="00EA19F0">
        <w:rPr>
          <w:rFonts w:asciiTheme="minorBidi" w:hAnsiTheme="minorBidi"/>
          <w:color w:val="0070C0"/>
          <w:sz w:val="24"/>
          <w:szCs w:val="24"/>
        </w:rPr>
        <w:fldChar w:fldCharType="separate"/>
      </w:r>
      <w:r w:rsidR="00445DFA" w:rsidRPr="00EA19F0">
        <w:rPr>
          <w:rFonts w:asciiTheme="minorBidi" w:hAnsiTheme="minorBidi"/>
          <w:color w:val="0070C0"/>
          <w:sz w:val="24"/>
        </w:rPr>
        <w:t>(Wieczorek et al., 2023)</w:t>
      </w:r>
      <w:r w:rsidR="004161CA" w:rsidRPr="00EA19F0">
        <w:rPr>
          <w:rFonts w:asciiTheme="minorBidi" w:hAnsiTheme="minorBidi"/>
          <w:color w:val="0070C0"/>
          <w:sz w:val="24"/>
          <w:szCs w:val="24"/>
        </w:rPr>
        <w:fldChar w:fldCharType="end"/>
      </w:r>
      <w:r w:rsidR="00D6632D" w:rsidRPr="00EA19F0">
        <w:rPr>
          <w:rFonts w:asciiTheme="minorBidi" w:hAnsiTheme="minorBidi"/>
          <w:color w:val="0070C0"/>
          <w:sz w:val="24"/>
          <w:szCs w:val="24"/>
        </w:rPr>
        <w:t>.</w:t>
      </w:r>
      <w:r w:rsidR="00D6632D" w:rsidRPr="00EA19F0">
        <w:rPr>
          <w:rFonts w:asciiTheme="minorBidi" w:hAnsiTheme="minorBidi"/>
          <w:sz w:val="24"/>
          <w:szCs w:val="24"/>
        </w:rPr>
        <w:t xml:space="preserve"> </w:t>
      </w:r>
      <w:r w:rsidR="00F05319" w:rsidRPr="00EA19F0">
        <w:rPr>
          <w:rFonts w:asciiTheme="minorBidi" w:hAnsiTheme="minorBidi"/>
          <w:sz w:val="24"/>
          <w:szCs w:val="24"/>
        </w:rPr>
        <w:t xml:space="preserve">pH values </w:t>
      </w:r>
      <w:r w:rsidR="002C1133" w:rsidRPr="00EA19F0">
        <w:rPr>
          <w:rFonts w:asciiTheme="minorBidi" w:hAnsiTheme="minorBidi"/>
          <w:sz w:val="24"/>
          <w:szCs w:val="24"/>
        </w:rPr>
        <w:t xml:space="preserve">indicate </w:t>
      </w:r>
      <w:r w:rsidR="00F05319" w:rsidRPr="00EA19F0">
        <w:rPr>
          <w:rFonts w:asciiTheme="minorBidi" w:hAnsiTheme="minorBidi"/>
          <w:sz w:val="24"/>
          <w:szCs w:val="24"/>
        </w:rPr>
        <w:t xml:space="preserve">that </w:t>
      </w:r>
      <w:r w:rsidR="000B0094" w:rsidRPr="00EA19F0">
        <w:rPr>
          <w:rFonts w:asciiTheme="minorBidi" w:hAnsiTheme="minorBidi"/>
          <w:sz w:val="24"/>
          <w:szCs w:val="24"/>
        </w:rPr>
        <w:t xml:space="preserve">the river </w:t>
      </w:r>
      <w:r w:rsidR="00F05319" w:rsidRPr="00EA19F0">
        <w:rPr>
          <w:rFonts w:asciiTheme="minorBidi" w:hAnsiTheme="minorBidi"/>
          <w:sz w:val="24"/>
          <w:szCs w:val="24"/>
        </w:rPr>
        <w:t>water</w:t>
      </w:r>
      <w:r w:rsidR="000B0094" w:rsidRPr="00EA19F0">
        <w:rPr>
          <w:rFonts w:asciiTheme="minorBidi" w:hAnsiTheme="minorBidi"/>
          <w:sz w:val="24"/>
          <w:szCs w:val="24"/>
        </w:rPr>
        <w:t xml:space="preserve"> is </w:t>
      </w:r>
      <w:r w:rsidR="00F05319" w:rsidRPr="00EA19F0">
        <w:rPr>
          <w:rFonts w:asciiTheme="minorBidi" w:hAnsiTheme="minorBidi"/>
          <w:sz w:val="24"/>
          <w:szCs w:val="24"/>
        </w:rPr>
        <w:t>generally alkaline</w:t>
      </w:r>
      <w:r w:rsidR="005A5FE7" w:rsidRPr="00EA19F0">
        <w:rPr>
          <w:rFonts w:asciiTheme="minorBidi" w:hAnsiTheme="minorBidi"/>
          <w:sz w:val="24"/>
          <w:szCs w:val="24"/>
        </w:rPr>
        <w:t xml:space="preserve"> during the study periods</w:t>
      </w:r>
      <w:r w:rsidR="0066221B">
        <w:rPr>
          <w:rFonts w:asciiTheme="minorBidi" w:hAnsiTheme="minorBidi"/>
          <w:sz w:val="24"/>
          <w:szCs w:val="24"/>
        </w:rPr>
        <w:t xml:space="preserve"> </w:t>
      </w:r>
      <w:commentRangeStart w:id="14"/>
      <w:r w:rsidR="0066221B" w:rsidRPr="0066221B">
        <w:rPr>
          <w:rFonts w:asciiTheme="minorBidi" w:hAnsiTheme="minorBidi"/>
          <w:b/>
          <w:bCs/>
          <w:sz w:val="24"/>
          <w:szCs w:val="24"/>
        </w:rPr>
        <w:t>Table 3</w:t>
      </w:r>
      <w:commentRangeEnd w:id="14"/>
      <w:r w:rsidR="00C91796">
        <w:rPr>
          <w:rStyle w:val="CommentReference"/>
        </w:rPr>
        <w:commentReference w:id="14"/>
      </w:r>
      <w:r w:rsidR="002C1133" w:rsidRPr="00EA19F0">
        <w:rPr>
          <w:rFonts w:asciiTheme="minorBidi" w:hAnsiTheme="minorBidi"/>
          <w:sz w:val="24"/>
          <w:szCs w:val="24"/>
        </w:rPr>
        <w:t xml:space="preserve">. </w:t>
      </w:r>
      <w:r w:rsidR="007D1F6A" w:rsidRPr="00EA19F0">
        <w:rPr>
          <w:rFonts w:asciiTheme="minorBidi" w:hAnsiTheme="minorBidi"/>
          <w:sz w:val="24"/>
          <w:szCs w:val="24"/>
        </w:rPr>
        <w:t xml:space="preserve">This slight alkalinity is likely attributable to the presence of bicarbonate ions, which are formed when carbon dioxide dissolves in water to produce carbonic acid. The subsequent dissociation of carbonic acid increases bicarbonate concentrations, thereby influencing the pH of the water </w:t>
      </w:r>
      <w:r w:rsidR="007D1F6A"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{"citationID":"m2n3qD8e","properties":{"formattedCitation":"(Azeez et al., 2000; Magesh and Chandrasekar, 2013)","plainCitation":"(Azeez et al., 2000; Magesh and Chandrasekar, 2013)","noteIndex":0},"citationItems":[{"id":1612,"uris":["http://zotero.org/users/17566097/items/BKAKDWKT"],"itemData":{"id":1612,"type":"article-journal","abstract":"The study examines influence of the Keoladeo National Park wetland on chemistry of ground water and watertable. Wells in villages close to the boundary of the Park and inside the Park were analyzed for physico-chemical characteristics and select metals. Most well water samples were sodium and mixed anionic type while a few were chloride type. High EC and the anionic and cationic ratios suggests long residence time of the ground water. In many wells in the nearby villages, to the northeast of the Park, water level rise with inundation of the wetland. The overall ground water flow in the area is towards river Yamuna to the east. Three major guilds can be identified among the wells on hierarchical clustering of the water samples. The wells closer to the wetland and wetland water surface water formed one guild suggesting the influence of the wetland on the ground water quality.","container-title":"Pollution Research","issue":"2","journalAbbreviation":"Pollution Research","page":"249-255","source":"ResearchGate","title":"The impact of a monsoonal wetland on ground water chemistry","volume":"19","author":[{"family":"Azeez","given":"P A"},{"family":"Nadarajan","given":"Nr"},{"family":"Mittel","given":"DD"}],"issued":{"date-parts":[["2000",1,1]]}}},{"id":1610,"uris":["http://zotero.org/users/17566097/items/T6IGY8E2"],"itemData":{"id":1610,"type":"article-journal","abstract":"Groundwater plays a major life support to mankind. It is the major source to meet the domestic, irrigation and industrial water demands. The depletion of groundwater through excessive consumption and less recharge in the study area has detoriated the quality of groundwater. The present study has analyzed the pre- and post-monsoon physicochemical data of groundwater samples from 49 different bore wells in Virudunagar district. Spatial distribution maps were prepared for various physicochemical parameters using geographic information system. These maps are further classified according to highest desirable, maximum permissible and not permissible prescribed by the World Health Organization. Furthermore, a water quality index (WQI) map was also generated to understand the groundwater quality in the study area. It was observed that the groundwater in the area is hard and alkaline in nature and the WQI reveals that most part of the study area fall under fair water quality class. Also, the effect of recharge during monsoon period has diluted the geochemistry of the groundwater. The application of GIS and WQI in the study area is a promising tool to understand the spatial pattern of groundwater quality and its management.","container-title":"Arabian Journal of Geosciences","DOI":"10.1007/s12517-011-0496-z","ISSN":"1866-7538","issue":"6","journalAbbreviation":"Arab J Geosci","language":"en","page":"1883-1898","source":"Springer Link","title":"Evaluation of spatial variations in groundwater quality by WQI and GIS technique: a case study of Virudunagar District, Tamil Nadu, India","title-short":"Evaluation of spatial variations in groundwater quality by WQI and GIS technique","URL":"https://doi.org/10.1007/s12517-011-0496-z","volume":"6","author":[{"family":"Magesh","given":"N. S."},{"family":"Chandrasekar","given":"N."}],"accessed":{"date-parts":[["2025",8,15]]},"issued":{"date-parts":[["2013",6,1]]}}}],"schema":"https://github.com/citation-style-language/schema/raw/master/csl-citation.json"} </w:instrText>
      </w:r>
      <w:r w:rsidR="007D1F6A" w:rsidRPr="00EA19F0">
        <w:rPr>
          <w:rFonts w:asciiTheme="minorBidi" w:hAnsiTheme="minorBidi"/>
          <w:color w:val="0070C0"/>
          <w:sz w:val="24"/>
          <w:szCs w:val="24"/>
        </w:rPr>
        <w:fldChar w:fldCharType="separate"/>
      </w:r>
      <w:r w:rsidR="00445DFA" w:rsidRPr="00EA19F0">
        <w:rPr>
          <w:rFonts w:asciiTheme="minorBidi" w:hAnsiTheme="minorBidi"/>
          <w:color w:val="0070C0"/>
          <w:sz w:val="24"/>
        </w:rPr>
        <w:t>(Azeez et al., 2000; Magesh and Chandrasekar, 2013)</w:t>
      </w:r>
      <w:r w:rsidR="007D1F6A" w:rsidRPr="00EA19F0">
        <w:rPr>
          <w:rFonts w:asciiTheme="minorBidi" w:hAnsiTheme="minorBidi"/>
          <w:color w:val="0070C0"/>
          <w:sz w:val="24"/>
          <w:szCs w:val="24"/>
        </w:rPr>
        <w:fldChar w:fldCharType="end"/>
      </w:r>
      <w:r w:rsidR="007D1F6A" w:rsidRPr="00EA19F0">
        <w:rPr>
          <w:rFonts w:asciiTheme="minorBidi" w:hAnsiTheme="minorBidi"/>
          <w:color w:val="0070C0"/>
          <w:sz w:val="24"/>
          <w:szCs w:val="24"/>
        </w:rPr>
        <w:t>.</w:t>
      </w:r>
      <w:r w:rsidR="007D1F6A" w:rsidRPr="00EA19F0">
        <w:rPr>
          <w:rFonts w:asciiTheme="minorBidi" w:hAnsiTheme="minorBidi"/>
          <w:sz w:val="24"/>
          <w:szCs w:val="24"/>
        </w:rPr>
        <w:t xml:space="preserve"> </w:t>
      </w:r>
      <w:r w:rsidR="00F05319" w:rsidRPr="00EA19F0">
        <w:rPr>
          <w:rFonts w:asciiTheme="minorBidi" w:hAnsiTheme="minorBidi"/>
          <w:sz w:val="24"/>
          <w:szCs w:val="24"/>
        </w:rPr>
        <w:t>For natural, unpolluted river systems, pH typically falls between 6.50 and 8.50, with waters draining carbonate-rich basins being largely governed by carbonate equilibria</w:t>
      </w:r>
      <w:r w:rsidR="00553F79" w:rsidRPr="00EA19F0">
        <w:rPr>
          <w:rFonts w:asciiTheme="minorBidi" w:hAnsiTheme="minorBidi"/>
          <w:sz w:val="24"/>
          <w:szCs w:val="24"/>
        </w:rPr>
        <w:t xml:space="preserve"> </w:t>
      </w:r>
      <w:r w:rsidR="00553F79"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{"citationID":"I6mmn6ia","properties":{"formattedCitation":"(Hren et al., 2007; Thomas et al., 2014)","plainCitation":"(Hren et al., 2007; Thomas et al., 2014)","noteIndex":0},"citationItems":[{"id":1598,"uris":["http://zotero.org/users/17566097/items/6I4SWLDR"],"itemData":{"id":1598,"type":"article-journal","abstract":"The Yarlung Tsangpo–Brahmaputra river drains a large portion of the Himalaya and southern Tibetan plateau, including the eastern Himalayan syntaxis, one of the most tectonically active regions on the globe. We measured the solute chemistry of 161 streams and major tributaries of the Tsangpo–Brahmaputra to examine the effect of tectonic, climatic, and geologic factors on chemical weathering rates. Specifically, we quantify chemical weathering fluxes and CO2 consumption by silicate weathering in southern Tibet and the eastern syntaxis of the Himalaya, examine the major chemical weathering reactions in the tributaries of the Tsangpo–Brahmaputra, and determine the total weathering flux from carbonate and silicate weathering processes in this region. We show that high precipitation, rapid tectonic uplift, steep channel slopes, and high stream power generate high rates of chemical weathering in the eastern syntaxis. The total dissolved solids (TDS) flux from the this area is greater than 520tonskm−2yr−1 and the silicate cation flux more than 34tonskm−2yr−1. In total, chemical weathering in this area consumes 15.2×105mol CO2km−2yr−1, which is twice the Brahmaputra average. These data show that 15–20% of the total CO2 consumption by silicate weathering in the Brahmaputra catchment is derived from only 4% of the total land area of the basin. Hot springs and evaporite weathering provide significant contributions to dissolved Na+ and Cl− fluxes throughout southern Tibet, comprising more than 50% of all Na+ in some stream systems. Carbonate weathering generates 80–90% of all dissolved Ca2+ and Mg2+ cations in much of the Yarlung Tsangpo catchment.","container-title":"Geochimica et Cosmochimica Acta","DOI":"10.1016/j.gca.2007.03.021","ISSN":"0016-7037","issue":"12","journalAbbreviation":"Geochimica et Cosmochimica Acta","page":"2907-2935","source":"ScienceDirect","title":"Major ion chemistry of the Yarlung Tsangpo–Brahmaputra river: Chemical weathering, erosion, and CO2 consumption in the southern Tibetan plateau and eastern syntaxis of the Himalaya","title-short":"Major ion chemistry of the Yarlung Tsangpo–Brahmaputra river","URL":"https://www.sciencedirect.com/science/article/pii/S0016703707001329","volume":"71","author":[{"family":"Hren","given":"Michael T."},{"family":"Chamberlain","given":"C. Page"},{"family":"Hilley","given":"George E."},{"family":"Blisniuk","given":"Peter M."},{"family":"Bookhagen","given":"Bodo"}],"accessed":{"date-parts":[["2025",8,14]]},"issued":{"date-parts":[["2007",6,15]]}}},{"id":1396,"uris":["http://zotero.org/users/local/GtKGLMn4/items/TRK7X6EF","http://zotero.org/users/17566097/items/TRK7X6EF"],"itemData":{"id":1396,"type":"article-journal","abstract":"A comprehensive and systematic study to understand various geochemical processes as well as process drivers controlling the water quality and patterns of the hydrochemical composition of river water in Muthirapuzha River Basin, MRB (a major tributary of Periyar, the longest river in Kerala, India), was carried out during various seasons, such as monsoon, post-monsoon and pre-monsoon of 2007–2008, based on the data collected at 15 monitoring stations (i.e., 15 × 3 = 45 samples). Ca2+ and Mg2+ dominate the cations, while Cl− followed by HCO3− dominates the anions. In general, major ion chemistry of MRB is jointly controlled by weathering of silicate and carbonate rocks, which is confirmed by relatively larger Ca2+ + Mg2+/Na+ + K+ ratios as well as Ca2+/Na+ vs. Mg2+/Na+ and Ca2+/Na+ vs. HCO3−/Na+ scatter plots. The relationship between Cl− and Na+ implies stronger contributions of anthropogenic activities modifying the hydrochemical composition, irrespective of seasons. The water types emerged from this study are transitional waters or waters that changed their chemical character by mixing with waters of geochemically different ionic signatures. However, various ionic ratios, hydrochemical plots and graphical diagrams suggest seasonality over the hydrochemical composition, which is solely controlled by the rainfall pattern. Relatively higher pCO2 indicates the disequilibrium existing in natural waterbodies vis-à-vis the atmosphere, which is an outcome of both the contribution of groundwater to stream discharge and anthropogenic activities. Hence, continuous monitoring of hydrochemical composition of mountain rivers is essential in the context of climate change, which has serious implications on tropical mountain fluvial-hydro systems.","container-title":"Environmental Earth Sciences","DOI":"10.1007/s12665-013-2634-2","ISSN":"1866-6299","issue":"5","journalAbbreviation":"Environ Earth Sci","language":"en","page":"2333-2351","source":"Springer Link","title":"Seasonal variation in major ion chemistry of a tropical mountain river, the southern Western Ghats, Kerala, India","URL":"https://doi.org/10.1007/s12665-013-2634-2","volume":"71","author":[{"family":"Thomas","given":"Jobin"},{"family":"Joseph","given":"Sabu"},{"family":"Thrivikramji","given":"K. P."},{"family":"Manjusree","given":"T. M."},{"family":"Arunkumar","given":"K. S."}],"accessed":{"date-parts":[["2025",7,13]]},"issued":{"date-parts":[["2014",3,1]]}}}],"schema":"https://github.com/citation-style-language/schema/raw/master/csl-citation.json"} </w:instrText>
      </w:r>
      <w:r w:rsidR="00553F79" w:rsidRPr="00EA19F0">
        <w:rPr>
          <w:rFonts w:asciiTheme="minorBidi" w:hAnsiTheme="minorBidi"/>
          <w:color w:val="0070C0"/>
          <w:sz w:val="24"/>
          <w:szCs w:val="24"/>
        </w:rPr>
        <w:fldChar w:fldCharType="separate"/>
      </w:r>
      <w:r w:rsidR="00445DFA" w:rsidRPr="00EA19F0">
        <w:rPr>
          <w:rFonts w:asciiTheme="minorBidi" w:hAnsiTheme="minorBidi"/>
          <w:color w:val="0070C0"/>
          <w:sz w:val="24"/>
        </w:rPr>
        <w:t>(Hren et al., 2007; Thomas et al., 2014)</w:t>
      </w:r>
      <w:r w:rsidR="00553F79" w:rsidRPr="00EA19F0">
        <w:rPr>
          <w:rFonts w:asciiTheme="minorBidi" w:hAnsiTheme="minorBidi"/>
          <w:color w:val="0070C0"/>
          <w:sz w:val="24"/>
          <w:szCs w:val="24"/>
        </w:rPr>
        <w:fldChar w:fldCharType="end"/>
      </w:r>
      <w:r w:rsidR="00F05319" w:rsidRPr="00EA19F0">
        <w:rPr>
          <w:rFonts w:asciiTheme="minorBidi" w:hAnsiTheme="minorBidi"/>
          <w:color w:val="0070C0"/>
          <w:sz w:val="24"/>
          <w:szCs w:val="24"/>
        </w:rPr>
        <w:t>.</w:t>
      </w:r>
      <w:r w:rsidR="00746174" w:rsidRPr="00EA19F0">
        <w:rPr>
          <w:rFonts w:asciiTheme="minorBidi" w:hAnsiTheme="minorBidi"/>
          <w:sz w:val="24"/>
          <w:szCs w:val="24"/>
        </w:rPr>
        <w:t xml:space="preserve"> </w:t>
      </w:r>
      <w:r w:rsidR="006F4416" w:rsidRPr="00EA19F0">
        <w:rPr>
          <w:rFonts w:asciiTheme="minorBidi" w:hAnsiTheme="minorBidi"/>
          <w:sz w:val="24"/>
          <w:szCs w:val="24"/>
        </w:rPr>
        <w:t xml:space="preserve"> </w:t>
      </w:r>
      <w:r w:rsidR="009461F9" w:rsidRPr="00EA19F0">
        <w:rPr>
          <w:rFonts w:asciiTheme="minorBidi" w:hAnsiTheme="minorBidi"/>
          <w:sz w:val="24"/>
          <w:szCs w:val="24"/>
        </w:rPr>
        <w:t xml:space="preserve"> </w:t>
      </w:r>
      <w:r w:rsidR="00F05319" w:rsidRPr="00EA19F0">
        <w:rPr>
          <w:rFonts w:asciiTheme="minorBidi" w:hAnsiTheme="minorBidi"/>
          <w:sz w:val="24"/>
          <w:szCs w:val="24"/>
        </w:rPr>
        <w:t>Electrical conductivity (EC)</w:t>
      </w:r>
      <w:r w:rsidR="00746174" w:rsidRPr="00EA19F0">
        <w:rPr>
          <w:rFonts w:asciiTheme="minorBidi" w:hAnsiTheme="minorBidi"/>
          <w:sz w:val="24"/>
          <w:szCs w:val="24"/>
        </w:rPr>
        <w:t xml:space="preserve"> </w:t>
      </w:r>
      <w:r w:rsidR="00F05319" w:rsidRPr="00EA19F0">
        <w:rPr>
          <w:rFonts w:asciiTheme="minorBidi" w:hAnsiTheme="minorBidi"/>
          <w:sz w:val="24"/>
          <w:szCs w:val="24"/>
        </w:rPr>
        <w:t>reflect</w:t>
      </w:r>
      <w:r w:rsidR="00746174" w:rsidRPr="00EA19F0">
        <w:rPr>
          <w:rFonts w:asciiTheme="minorBidi" w:hAnsiTheme="minorBidi"/>
          <w:sz w:val="24"/>
          <w:szCs w:val="24"/>
        </w:rPr>
        <w:t xml:space="preserve">s </w:t>
      </w:r>
      <w:r w:rsidR="00A365CE" w:rsidRPr="00EA19F0">
        <w:rPr>
          <w:rFonts w:asciiTheme="minorBidi" w:hAnsiTheme="minorBidi"/>
          <w:sz w:val="24"/>
          <w:szCs w:val="24"/>
        </w:rPr>
        <w:t>mineralisation</w:t>
      </w:r>
      <w:r w:rsidR="00F05319" w:rsidRPr="00EA19F0">
        <w:rPr>
          <w:rFonts w:asciiTheme="minorBidi" w:hAnsiTheme="minorBidi"/>
          <w:sz w:val="24"/>
          <w:szCs w:val="24"/>
        </w:rPr>
        <w:t xml:space="preserve"> and ionic strength</w:t>
      </w:r>
      <w:r w:rsidR="00F16F6E" w:rsidRPr="00EA19F0">
        <w:rPr>
          <w:rFonts w:asciiTheme="minorBidi" w:hAnsiTheme="minorBidi"/>
          <w:sz w:val="24"/>
          <w:szCs w:val="24"/>
        </w:rPr>
        <w:t xml:space="preserve">, recorded </w:t>
      </w:r>
      <w:r w:rsidR="00F05319" w:rsidRPr="00EA19F0">
        <w:rPr>
          <w:rFonts w:asciiTheme="minorBidi" w:hAnsiTheme="minorBidi"/>
          <w:sz w:val="24"/>
          <w:szCs w:val="24"/>
        </w:rPr>
        <w:t xml:space="preserve">highest during </w:t>
      </w:r>
      <w:r w:rsidR="00BB4D07" w:rsidRPr="00EA19F0">
        <w:rPr>
          <w:rFonts w:asciiTheme="minorBidi" w:hAnsiTheme="minorBidi"/>
          <w:sz w:val="24"/>
          <w:szCs w:val="24"/>
        </w:rPr>
        <w:t>LMP</w:t>
      </w:r>
      <w:r w:rsidR="00A56F9A" w:rsidRPr="00EA19F0">
        <w:rPr>
          <w:rFonts w:asciiTheme="minorBidi" w:hAnsiTheme="minorBidi"/>
          <w:sz w:val="24"/>
          <w:szCs w:val="24"/>
        </w:rPr>
        <w:t>,</w:t>
      </w:r>
      <w:r w:rsidR="008859A2" w:rsidRPr="00EA19F0">
        <w:rPr>
          <w:rFonts w:asciiTheme="minorBidi" w:hAnsiTheme="minorBidi"/>
          <w:sz w:val="24"/>
          <w:szCs w:val="24"/>
        </w:rPr>
        <w:t xml:space="preserve"> </w:t>
      </w:r>
      <w:r w:rsidR="00A56F9A" w:rsidRPr="00EA19F0">
        <w:rPr>
          <w:rFonts w:asciiTheme="minorBidi" w:hAnsiTheme="minorBidi"/>
          <w:sz w:val="24"/>
          <w:szCs w:val="24"/>
        </w:rPr>
        <w:t>but markedly lowe</w:t>
      </w:r>
      <w:r w:rsidR="008859A2" w:rsidRPr="00EA19F0">
        <w:rPr>
          <w:rFonts w:asciiTheme="minorBidi" w:hAnsiTheme="minorBidi"/>
          <w:sz w:val="24"/>
          <w:szCs w:val="24"/>
        </w:rPr>
        <w:t>st</w:t>
      </w:r>
      <w:r w:rsidR="00A56F9A" w:rsidRPr="00EA19F0">
        <w:rPr>
          <w:rFonts w:asciiTheme="minorBidi" w:hAnsiTheme="minorBidi"/>
          <w:sz w:val="24"/>
          <w:szCs w:val="24"/>
        </w:rPr>
        <w:t xml:space="preserve"> in </w:t>
      </w:r>
      <w:r w:rsidR="00A54C89" w:rsidRPr="00EA19F0">
        <w:rPr>
          <w:rFonts w:asciiTheme="minorBidi" w:hAnsiTheme="minorBidi"/>
          <w:sz w:val="24"/>
          <w:szCs w:val="24"/>
        </w:rPr>
        <w:t>EMP</w:t>
      </w:r>
      <w:r w:rsidR="00F05319" w:rsidRPr="00EA19F0">
        <w:rPr>
          <w:rFonts w:asciiTheme="minorBidi" w:hAnsiTheme="minorBidi"/>
          <w:sz w:val="24"/>
          <w:szCs w:val="24"/>
        </w:rPr>
        <w:t xml:space="preserve"> </w:t>
      </w:r>
      <w:r w:rsidR="00A56F9A" w:rsidRPr="00EA19F0">
        <w:rPr>
          <w:rFonts w:asciiTheme="minorBidi" w:hAnsiTheme="minorBidi"/>
          <w:sz w:val="24"/>
          <w:szCs w:val="24"/>
        </w:rPr>
        <w:t>and</w:t>
      </w:r>
      <w:r w:rsidR="008859A2" w:rsidRPr="00EA19F0">
        <w:rPr>
          <w:rFonts w:asciiTheme="minorBidi" w:hAnsiTheme="minorBidi"/>
          <w:sz w:val="24"/>
          <w:szCs w:val="24"/>
        </w:rPr>
        <w:t xml:space="preserve"> </w:t>
      </w:r>
      <w:r w:rsidR="00953642" w:rsidRPr="00EA19F0">
        <w:rPr>
          <w:rFonts w:asciiTheme="minorBidi" w:hAnsiTheme="minorBidi"/>
          <w:sz w:val="24"/>
          <w:szCs w:val="24"/>
        </w:rPr>
        <w:t>in PMP</w:t>
      </w:r>
      <w:r w:rsidR="00F05319" w:rsidRPr="00EA19F0">
        <w:rPr>
          <w:rFonts w:asciiTheme="minorBidi" w:hAnsiTheme="minorBidi"/>
          <w:sz w:val="24"/>
          <w:szCs w:val="24"/>
        </w:rPr>
        <w:t>. A similar pattern is observed for total dissolved solids (TDS)</w:t>
      </w:r>
      <w:r w:rsidR="00F16F6E" w:rsidRPr="00EA19F0">
        <w:rPr>
          <w:rFonts w:asciiTheme="minorBidi" w:hAnsiTheme="minorBidi"/>
          <w:sz w:val="24"/>
          <w:szCs w:val="24"/>
        </w:rPr>
        <w:t xml:space="preserve">, </w:t>
      </w:r>
      <w:r w:rsidR="002C1133" w:rsidRPr="00EA19F0">
        <w:rPr>
          <w:rFonts w:asciiTheme="minorBidi" w:hAnsiTheme="minorBidi"/>
          <w:sz w:val="24"/>
          <w:szCs w:val="24"/>
        </w:rPr>
        <w:t xml:space="preserve">recorded highest </w:t>
      </w:r>
      <w:r w:rsidR="00F05319" w:rsidRPr="00EA19F0">
        <w:rPr>
          <w:rFonts w:asciiTheme="minorBidi" w:hAnsiTheme="minorBidi"/>
          <w:sz w:val="24"/>
          <w:szCs w:val="24"/>
        </w:rPr>
        <w:t>in</w:t>
      </w:r>
      <w:r w:rsidR="002C1133" w:rsidRPr="00EA19F0">
        <w:rPr>
          <w:rFonts w:asciiTheme="minorBidi" w:hAnsiTheme="minorBidi"/>
          <w:sz w:val="24"/>
          <w:szCs w:val="24"/>
        </w:rPr>
        <w:t xml:space="preserve"> LMP</w:t>
      </w:r>
      <w:r w:rsidR="008859A2" w:rsidRPr="00EA19F0">
        <w:rPr>
          <w:rFonts w:asciiTheme="minorBidi" w:hAnsiTheme="minorBidi"/>
          <w:sz w:val="24"/>
          <w:szCs w:val="24"/>
        </w:rPr>
        <w:t xml:space="preserve">, lowest during EMP, and </w:t>
      </w:r>
      <w:r w:rsidR="00953642" w:rsidRPr="00EA19F0">
        <w:rPr>
          <w:rFonts w:asciiTheme="minorBidi" w:hAnsiTheme="minorBidi"/>
          <w:sz w:val="24"/>
          <w:szCs w:val="24"/>
        </w:rPr>
        <w:t>PMP</w:t>
      </w:r>
      <w:r w:rsidR="00961B43" w:rsidRPr="00EA19F0">
        <w:rPr>
          <w:rFonts w:asciiTheme="minorBidi" w:hAnsiTheme="minorBidi"/>
          <w:sz w:val="24"/>
          <w:szCs w:val="24"/>
        </w:rPr>
        <w:t xml:space="preserve"> </w:t>
      </w:r>
      <w:r w:rsidR="00961B43" w:rsidRPr="00EA19F0">
        <w:rPr>
          <w:rFonts w:asciiTheme="minorBidi" w:hAnsiTheme="minorBidi"/>
          <w:b/>
          <w:bCs/>
          <w:sz w:val="24"/>
          <w:szCs w:val="24"/>
        </w:rPr>
        <w:t>Table 3</w:t>
      </w:r>
      <w:r w:rsidR="00953642" w:rsidRPr="00EA19F0">
        <w:rPr>
          <w:rFonts w:asciiTheme="minorBidi" w:hAnsiTheme="minorBidi"/>
          <w:sz w:val="24"/>
          <w:szCs w:val="24"/>
        </w:rPr>
        <w:t xml:space="preserve">.  </w:t>
      </w:r>
      <w:r w:rsidR="009E2DD7" w:rsidRPr="00EA19F0">
        <w:rPr>
          <w:rFonts w:asciiTheme="minorBidi" w:hAnsiTheme="minorBidi"/>
          <w:sz w:val="24"/>
          <w:szCs w:val="24"/>
        </w:rPr>
        <w:t>The lowest TDS and EC values observed during the EMP may be attributed to altered ionic ratios resulting from elevated flow rates under intense snow and glacier melting conditions, which minimi</w:t>
      </w:r>
      <w:r w:rsidR="00961B43" w:rsidRPr="00EA19F0">
        <w:rPr>
          <w:rFonts w:asciiTheme="minorBidi" w:hAnsiTheme="minorBidi"/>
          <w:sz w:val="24"/>
          <w:szCs w:val="24"/>
        </w:rPr>
        <w:t xml:space="preserve">se </w:t>
      </w:r>
      <w:r w:rsidR="009E2DD7" w:rsidRPr="00EA19F0">
        <w:rPr>
          <w:rFonts w:asciiTheme="minorBidi" w:hAnsiTheme="minorBidi"/>
          <w:sz w:val="24"/>
          <w:szCs w:val="24"/>
        </w:rPr>
        <w:t xml:space="preserve">rock–water interaction and enhance dilution of dissolved ions  </w:t>
      </w:r>
      <w:r w:rsidR="009E2DD7"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{"citationID":"PoKsYp86","properties":{"formattedCitation":"(Zhang et al., 2019)","plainCitation":"(Zhang et al., 2019)","noteIndex":0},"citationItems":[{"id":675,"uris":["http://zotero.org/users/17566097/items/S7IRMJGE"],"itemData":{"id":675,"type":"article-journal","abstract":"Glacier runoff shows significant change under global warming in the headwater region of the Indus River with great impact on its highly populated downstream area, but the hydrochemistry characteristics of meltwater and the changing mechanism remain unclear in this region. In this study, runoff water samples were collected during May and June, 2015, from four glacial catchments in the Upper Indus Basin to investigate general characteristics and daytime dynamics of meltwater runoff together with sediment and chemical contents. Results showed that glacier runoff in the studied area had an alkaline pH and much higher sediment yields than the local average of the non-glacier areas. The carbonate-dominated geological feature in the four catchments resulted in single chemical facies of Ca–HCO3. The dominant process determining the glacier runoff chemistry was rock-water interaction, with less soluble minerals and less intensive evaporate weathering in the Passu and Gulmit catchments than the B&amp;B and Hinarchi catchments. Comparing the investigated catchments, the larger glacier with longer flow path exhibited higher runoff but lower melting rate, higher SSC resulting from higher erosive power of flow, and higher solute concentrations as a consequence of more intensive contact of meltwater with rock minerals along the longer flow path. For individual catchments, a negative correlation between TDS and flow rate (R2 = 0.26~0.53) and changing trends of ion ratios with flow rate demonstrated that under intensive melting conditions, rock-water interactions were reduced, resulting in dilution of solutes. Overall, the general chemical characteristics of the investigated glacier runoff indicated geological control, whereas individual glacier illustrated hydrological control on the daytime dynamics of glacier runoff chemistry. The presence of glacier terminal lake and agriculture land can significantly alter the hydrochemistry of downstream runoff.","container-title":"Environmental Science and Pollution Research","DOI":"10.1007/s11356-019-05422-5","ISSN":"1614-7499","issue":"23","journalAbbreviation":"Environ Sci Pollut Res","language":"en","page":"23645-23660","source":"Springer Link","title":"Meltwater hydrochemistry at four glacial catchments in the headwater of Indus River","URL":"https://doi.org/10.1007/s11356-019-05422-5","volume":"26","author":[{"family":"Zhang","given":"Fan"},{"family":"Qaiser","given":"Faizan-ur-Rehman"},{"family":"Zeng","given":"Chen"},{"family":"Pant","given":"Ramesh Raj"},{"family":"Wang","given":"Guanxing"},{"family":"Zhang","given":"Hongbo"},{"family":"Chen","given":"Deliang"}],"accessed":{"date-parts":[["2024",1,31]]},"issued":{"date-parts":[["2019",8,1]]}}}],"schema":"https://github.com/citation-style-language/schema/raw/master/csl-citation.json"} </w:instrText>
      </w:r>
      <w:r w:rsidR="009E2DD7" w:rsidRPr="00EA19F0">
        <w:rPr>
          <w:rFonts w:asciiTheme="minorBidi" w:hAnsiTheme="minorBidi"/>
          <w:color w:val="0070C0"/>
          <w:sz w:val="24"/>
          <w:szCs w:val="24"/>
        </w:rPr>
        <w:fldChar w:fldCharType="separate"/>
      </w:r>
      <w:r w:rsidR="00445DFA" w:rsidRPr="00EA19F0">
        <w:rPr>
          <w:rFonts w:asciiTheme="minorBidi" w:hAnsiTheme="minorBidi"/>
          <w:color w:val="0070C0"/>
          <w:sz w:val="24"/>
        </w:rPr>
        <w:t>(Zhang et al., 2019)</w:t>
      </w:r>
      <w:r w:rsidR="009E2DD7" w:rsidRPr="00EA19F0">
        <w:rPr>
          <w:rFonts w:asciiTheme="minorBidi" w:hAnsiTheme="minorBidi"/>
          <w:color w:val="0070C0"/>
          <w:sz w:val="24"/>
          <w:szCs w:val="24"/>
        </w:rPr>
        <w:fldChar w:fldCharType="end"/>
      </w:r>
      <w:r w:rsidR="009E2DD7" w:rsidRPr="00EA19F0">
        <w:rPr>
          <w:rFonts w:asciiTheme="minorBidi" w:hAnsiTheme="minorBidi"/>
          <w:color w:val="0070C0"/>
          <w:sz w:val="24"/>
          <w:szCs w:val="24"/>
        </w:rPr>
        <w:t>.</w:t>
      </w:r>
      <w:r w:rsidR="00C26642" w:rsidRPr="00EA19F0">
        <w:rPr>
          <w:rFonts w:asciiTheme="minorBidi" w:hAnsiTheme="minorBidi"/>
          <w:color w:val="0070C0"/>
          <w:sz w:val="24"/>
          <w:szCs w:val="24"/>
        </w:rPr>
        <w:t xml:space="preserve"> </w:t>
      </w:r>
      <w:r w:rsidR="00C26642" w:rsidRPr="00EA19F0">
        <w:rPr>
          <w:rFonts w:asciiTheme="minorBidi" w:hAnsiTheme="minorBidi"/>
          <w:color w:val="000000" w:themeColor="text1"/>
          <w:sz w:val="24"/>
          <w:szCs w:val="24"/>
        </w:rPr>
        <w:t>As the river moves downstream towards Drass town (</w:t>
      </w:r>
      <w:r w:rsidR="00F16F6E" w:rsidRPr="00EA19F0">
        <w:rPr>
          <w:rFonts w:asciiTheme="minorBidi" w:hAnsiTheme="minorBidi"/>
          <w:color w:val="000000" w:themeColor="text1"/>
          <w:sz w:val="24"/>
          <w:szCs w:val="24"/>
        </w:rPr>
        <w:t>DR-</w:t>
      </w:r>
      <w:r w:rsidR="005A3CC2" w:rsidRPr="00EA19F0">
        <w:rPr>
          <w:rFonts w:asciiTheme="minorBidi" w:hAnsiTheme="minorBidi"/>
          <w:color w:val="000000" w:themeColor="text1"/>
          <w:sz w:val="24"/>
          <w:szCs w:val="24"/>
        </w:rPr>
        <w:t xml:space="preserve">3 &amp; </w:t>
      </w:r>
      <w:r w:rsidR="00F16F6E" w:rsidRPr="00EA19F0">
        <w:rPr>
          <w:rFonts w:asciiTheme="minorBidi" w:hAnsiTheme="minorBidi"/>
          <w:color w:val="000000" w:themeColor="text1"/>
          <w:sz w:val="24"/>
          <w:szCs w:val="24"/>
        </w:rPr>
        <w:t>DR-</w:t>
      </w:r>
      <w:r w:rsidR="005A3CC2" w:rsidRPr="00EA19F0">
        <w:rPr>
          <w:rFonts w:asciiTheme="minorBidi" w:hAnsiTheme="minorBidi"/>
          <w:color w:val="000000" w:themeColor="text1"/>
          <w:sz w:val="24"/>
          <w:szCs w:val="24"/>
        </w:rPr>
        <w:t>4</w:t>
      </w:r>
      <w:r w:rsidR="00C26642" w:rsidRPr="00EA19F0">
        <w:rPr>
          <w:rFonts w:asciiTheme="minorBidi" w:hAnsiTheme="minorBidi"/>
          <w:color w:val="000000" w:themeColor="text1"/>
          <w:sz w:val="24"/>
          <w:szCs w:val="24"/>
        </w:rPr>
        <w:t xml:space="preserve">), a slight increase in TDS and EC is observed, indicating enhanced weathering rates and possible influence of effluents from Drass town and the nearby agricultural area on water quality. At the confluence with the </w:t>
      </w:r>
      <w:r w:rsidR="003F0AFD" w:rsidRPr="00EA19F0">
        <w:rPr>
          <w:rFonts w:asciiTheme="minorBidi" w:hAnsiTheme="minorBidi"/>
          <w:color w:val="000000" w:themeColor="text1"/>
          <w:sz w:val="24"/>
          <w:szCs w:val="24"/>
        </w:rPr>
        <w:t>Shingo</w:t>
      </w:r>
      <w:r w:rsidR="00C26642" w:rsidRPr="00EA19F0">
        <w:rPr>
          <w:rFonts w:asciiTheme="minorBidi" w:hAnsiTheme="minorBidi"/>
          <w:color w:val="000000" w:themeColor="text1"/>
          <w:sz w:val="24"/>
          <w:szCs w:val="24"/>
        </w:rPr>
        <w:t xml:space="preserve"> River (</w:t>
      </w:r>
      <w:r w:rsidR="003F0AFD" w:rsidRPr="00EA19F0">
        <w:rPr>
          <w:rFonts w:asciiTheme="minorBidi" w:hAnsiTheme="minorBidi"/>
          <w:color w:val="000000" w:themeColor="text1"/>
          <w:sz w:val="24"/>
          <w:szCs w:val="24"/>
        </w:rPr>
        <w:t>DR-6</w:t>
      </w:r>
      <w:r w:rsidR="00C26642" w:rsidRPr="00EA19F0">
        <w:rPr>
          <w:rFonts w:asciiTheme="minorBidi" w:hAnsiTheme="minorBidi"/>
          <w:color w:val="000000" w:themeColor="text1"/>
          <w:sz w:val="24"/>
          <w:szCs w:val="24"/>
        </w:rPr>
        <w:t xml:space="preserve">), EC and TDS values decline sharply, reflecting the dilution effect exerted by the </w:t>
      </w:r>
      <w:r w:rsidR="003F0AFD" w:rsidRPr="00EA19F0">
        <w:rPr>
          <w:rFonts w:asciiTheme="minorBidi" w:hAnsiTheme="minorBidi"/>
          <w:color w:val="000000" w:themeColor="text1"/>
          <w:sz w:val="24"/>
          <w:szCs w:val="24"/>
        </w:rPr>
        <w:t>Shingo</w:t>
      </w:r>
      <w:r w:rsidR="00C26642" w:rsidRPr="00EA19F0">
        <w:rPr>
          <w:rFonts w:asciiTheme="minorBidi" w:hAnsiTheme="minorBidi"/>
          <w:color w:val="000000" w:themeColor="text1"/>
          <w:sz w:val="24"/>
          <w:szCs w:val="24"/>
        </w:rPr>
        <w:t xml:space="preserve"> River on the </w:t>
      </w:r>
      <w:r w:rsidR="003F0AFD" w:rsidRPr="00EA19F0">
        <w:rPr>
          <w:rFonts w:asciiTheme="minorBidi" w:hAnsiTheme="minorBidi"/>
          <w:color w:val="000000" w:themeColor="text1"/>
          <w:sz w:val="24"/>
          <w:szCs w:val="24"/>
        </w:rPr>
        <w:t>Drass</w:t>
      </w:r>
      <w:r w:rsidR="00C26642" w:rsidRPr="00EA19F0">
        <w:rPr>
          <w:rFonts w:asciiTheme="minorBidi" w:hAnsiTheme="minorBidi"/>
          <w:color w:val="000000" w:themeColor="text1"/>
          <w:sz w:val="24"/>
          <w:szCs w:val="24"/>
        </w:rPr>
        <w:t xml:space="preserve"> River. This effect is particularly pronounced during the </w:t>
      </w:r>
      <w:r w:rsidR="00917A6E" w:rsidRPr="00EA19F0">
        <w:rPr>
          <w:rFonts w:asciiTheme="minorBidi" w:hAnsiTheme="minorBidi"/>
          <w:color w:val="000000" w:themeColor="text1"/>
          <w:sz w:val="24"/>
          <w:szCs w:val="24"/>
        </w:rPr>
        <w:t>L</w:t>
      </w:r>
      <w:r w:rsidR="00C26642" w:rsidRPr="00EA19F0">
        <w:rPr>
          <w:rFonts w:asciiTheme="minorBidi" w:hAnsiTheme="minorBidi"/>
          <w:color w:val="000000" w:themeColor="text1"/>
          <w:sz w:val="24"/>
          <w:szCs w:val="24"/>
        </w:rPr>
        <w:t xml:space="preserve">MP, </w:t>
      </w:r>
      <w:r w:rsidR="00917A6E" w:rsidRPr="00EA19F0">
        <w:rPr>
          <w:rFonts w:asciiTheme="minorBidi" w:hAnsiTheme="minorBidi"/>
          <w:color w:val="000000" w:themeColor="text1"/>
          <w:sz w:val="24"/>
          <w:szCs w:val="24"/>
        </w:rPr>
        <w:t>when river discharges in the DRB are significantly reduced due to the extreme cold conditions in the area.</w:t>
      </w:r>
      <w:r w:rsidR="00C848DD" w:rsidRPr="00EA19F0">
        <w:rPr>
          <w:rFonts w:asciiTheme="minorBidi" w:hAnsiTheme="minorBidi"/>
          <w:color w:val="000000" w:themeColor="text1"/>
          <w:sz w:val="24"/>
          <w:szCs w:val="24"/>
        </w:rPr>
        <w:t xml:space="preserve"> </w:t>
      </w:r>
      <w:r w:rsidR="00711BFA" w:rsidRPr="00EA19F0">
        <w:rPr>
          <w:rFonts w:asciiTheme="minorBidi" w:hAnsiTheme="minorBidi"/>
          <w:sz w:val="24"/>
          <w:szCs w:val="24"/>
        </w:rPr>
        <w:t>Turbidity (NTU) measures the optical clarity of water, affected by the presence of dissolved organic and inorganic matter, suspended particulates, and temperature</w:t>
      </w:r>
      <w:r w:rsidR="0047009F" w:rsidRPr="00EA19F0">
        <w:rPr>
          <w:rFonts w:asciiTheme="minorBidi" w:hAnsiTheme="minorBidi"/>
          <w:sz w:val="24"/>
          <w:szCs w:val="24"/>
        </w:rPr>
        <w:t xml:space="preserve"> </w:t>
      </w:r>
      <w:r w:rsidR="0047009F"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{"citationID":"HEqq4BRK","properties":{"formattedCitation":"(Kitchener et al., 2017)","plainCitation":"(Kitchener et al., 2017)","noteIndex":0},"citationItems":[{"id":1600,"uris":["http://zotero.org/users/17566097/items/MF7IASII"],"itemData":{"id":1600,"type":"article-journal","abstract":"Turbidity of water due to the presence of suspended sediment is measured and interpreted in a variety of ways, which can lead to the misinterpretation of data. ...","archive_location":"Sage UK: London, England","container-title":"Progress in Physical Geography","DOI":"10.1177/0309133317726540","language":"EN","license":"© The Author(s) 2017","note":"publisher: SAGE PublicationsSage UK: London, England","source":"journals.sagepub.com","title":"A review of the principles of turbidity measurement","URL":"https://journals.sagepub.com/doi/full/10.1177/0309133317726540","author":[{"family":"Kitchener","given":"Ben GB"},{"family":"Wainwright","given":"John"},{"family":"Parsons","given":"Anthony J."}],"accessed":{"date-parts":[["2025",8,14]]},"issued":{"date-parts":[["2017",8,23]]}}}],"schema":"https://github.com/citation-style-language/schema/raw/master/csl-citation.json"} </w:instrText>
      </w:r>
      <w:r w:rsidR="0047009F" w:rsidRPr="00EA19F0">
        <w:rPr>
          <w:rFonts w:asciiTheme="minorBidi" w:hAnsiTheme="minorBidi"/>
          <w:color w:val="0070C0"/>
          <w:sz w:val="24"/>
          <w:szCs w:val="24"/>
        </w:rPr>
        <w:fldChar w:fldCharType="separate"/>
      </w:r>
      <w:r w:rsidR="00445DFA" w:rsidRPr="00EA19F0">
        <w:rPr>
          <w:rFonts w:asciiTheme="minorBidi" w:hAnsiTheme="minorBidi"/>
          <w:color w:val="0070C0"/>
          <w:sz w:val="24"/>
        </w:rPr>
        <w:t>(Kitchener et al., 2017)</w:t>
      </w:r>
      <w:r w:rsidR="0047009F" w:rsidRPr="00EA19F0">
        <w:rPr>
          <w:rFonts w:asciiTheme="minorBidi" w:hAnsiTheme="minorBidi"/>
          <w:color w:val="0070C0"/>
          <w:sz w:val="24"/>
          <w:szCs w:val="24"/>
        </w:rPr>
        <w:fldChar w:fldCharType="end"/>
      </w:r>
      <w:r w:rsidR="00711BFA" w:rsidRPr="00EA19F0">
        <w:rPr>
          <w:rFonts w:asciiTheme="minorBidi" w:hAnsiTheme="minorBidi"/>
          <w:color w:val="0070C0"/>
          <w:sz w:val="24"/>
          <w:szCs w:val="24"/>
        </w:rPr>
        <w:t>.</w:t>
      </w:r>
      <w:r w:rsidR="0066221B">
        <w:rPr>
          <w:rFonts w:asciiTheme="minorBidi" w:hAnsiTheme="minorBidi"/>
          <w:color w:val="0070C0"/>
          <w:sz w:val="24"/>
          <w:szCs w:val="24"/>
        </w:rPr>
        <w:t xml:space="preserve"> </w:t>
      </w:r>
      <w:r w:rsidR="00127326" w:rsidRPr="00EA19F0">
        <w:rPr>
          <w:rFonts w:asciiTheme="minorBidi" w:hAnsiTheme="minorBidi"/>
          <w:sz w:val="24"/>
          <w:szCs w:val="24"/>
        </w:rPr>
        <w:t xml:space="preserve">Temporal </w:t>
      </w:r>
      <w:r w:rsidR="00711BFA" w:rsidRPr="00EA19F0">
        <w:rPr>
          <w:rFonts w:asciiTheme="minorBidi" w:hAnsiTheme="minorBidi"/>
          <w:sz w:val="24"/>
          <w:szCs w:val="24"/>
        </w:rPr>
        <w:t xml:space="preserve">variability was most pronounced in the </w:t>
      </w:r>
      <w:r w:rsidR="00EA6FDB" w:rsidRPr="00EA19F0">
        <w:rPr>
          <w:rFonts w:asciiTheme="minorBidi" w:hAnsiTheme="minorBidi"/>
          <w:sz w:val="24"/>
          <w:szCs w:val="24"/>
        </w:rPr>
        <w:t xml:space="preserve">PMP and </w:t>
      </w:r>
      <w:r w:rsidR="00711BFA" w:rsidRPr="00EA19F0">
        <w:rPr>
          <w:rFonts w:asciiTheme="minorBidi" w:hAnsiTheme="minorBidi"/>
          <w:sz w:val="24"/>
          <w:szCs w:val="24"/>
        </w:rPr>
        <w:t xml:space="preserve">EMP, following the trend </w:t>
      </w:r>
      <w:r w:rsidR="00EA6FDB" w:rsidRPr="00EA19F0">
        <w:rPr>
          <w:rFonts w:asciiTheme="minorBidi" w:hAnsiTheme="minorBidi"/>
          <w:sz w:val="24"/>
          <w:szCs w:val="24"/>
        </w:rPr>
        <w:t>P</w:t>
      </w:r>
      <w:r w:rsidR="00127326" w:rsidRPr="00EA19F0">
        <w:rPr>
          <w:rFonts w:asciiTheme="minorBidi" w:hAnsiTheme="minorBidi"/>
          <w:sz w:val="24"/>
          <w:szCs w:val="24"/>
        </w:rPr>
        <w:t xml:space="preserve">MP </w:t>
      </w:r>
      <w:r w:rsidR="00EA6FDB" w:rsidRPr="00EA19F0">
        <w:rPr>
          <w:rFonts w:ascii="Segoe UI Symbol" w:hAnsi="Segoe UI Symbol" w:cs="Segoe UI Symbol"/>
          <w:sz w:val="24"/>
          <w:szCs w:val="24"/>
        </w:rPr>
        <w:t>⁓</w:t>
      </w:r>
      <w:r w:rsidR="00EA6FDB" w:rsidRPr="00EA19F0">
        <w:rPr>
          <w:rFonts w:asciiTheme="minorBidi" w:hAnsiTheme="minorBidi"/>
          <w:sz w:val="24"/>
          <w:szCs w:val="24"/>
        </w:rPr>
        <w:t>E</w:t>
      </w:r>
      <w:r w:rsidR="00711BFA" w:rsidRPr="00EA19F0">
        <w:rPr>
          <w:rFonts w:asciiTheme="minorBidi" w:hAnsiTheme="minorBidi"/>
          <w:sz w:val="24"/>
          <w:szCs w:val="24"/>
        </w:rPr>
        <w:t>MP &gt;</w:t>
      </w:r>
      <w:r w:rsidR="00EA6FDB" w:rsidRPr="00EA19F0">
        <w:rPr>
          <w:rFonts w:asciiTheme="minorBidi" w:hAnsiTheme="minorBidi"/>
          <w:sz w:val="24"/>
          <w:szCs w:val="24"/>
        </w:rPr>
        <w:t>&gt;</w:t>
      </w:r>
      <w:r w:rsidR="00711BFA" w:rsidRPr="00EA19F0">
        <w:rPr>
          <w:rFonts w:asciiTheme="minorBidi" w:hAnsiTheme="minorBidi"/>
          <w:sz w:val="24"/>
          <w:szCs w:val="24"/>
        </w:rPr>
        <w:t xml:space="preserve"> LMP.</w:t>
      </w:r>
      <w:r w:rsidR="00C10C14" w:rsidRPr="00EA19F0">
        <w:rPr>
          <w:rFonts w:asciiTheme="minorBidi" w:hAnsiTheme="minorBidi"/>
          <w:sz w:val="24"/>
          <w:szCs w:val="24"/>
        </w:rPr>
        <w:t xml:space="preserve"> The t</w:t>
      </w:r>
      <w:r w:rsidR="006F4C89" w:rsidRPr="00EA19F0">
        <w:rPr>
          <w:rFonts w:asciiTheme="minorBidi" w:hAnsiTheme="minorBidi"/>
          <w:sz w:val="24"/>
          <w:szCs w:val="24"/>
        </w:rPr>
        <w:t>urbidity value slightly degraded after DR-3</w:t>
      </w:r>
      <w:r w:rsidR="00711BFA" w:rsidRPr="00EA19F0">
        <w:rPr>
          <w:rFonts w:asciiTheme="minorBidi" w:hAnsiTheme="minorBidi"/>
          <w:sz w:val="24"/>
          <w:szCs w:val="24"/>
        </w:rPr>
        <w:t xml:space="preserve">, indicating </w:t>
      </w:r>
      <w:r w:rsidR="00C10C14" w:rsidRPr="00EA19F0">
        <w:rPr>
          <w:rFonts w:asciiTheme="minorBidi" w:hAnsiTheme="minorBidi"/>
          <w:sz w:val="24"/>
          <w:szCs w:val="24"/>
        </w:rPr>
        <w:t xml:space="preserve">that </w:t>
      </w:r>
      <w:r w:rsidR="006F4C89" w:rsidRPr="00EA19F0">
        <w:rPr>
          <w:rFonts w:asciiTheme="minorBidi" w:hAnsiTheme="minorBidi"/>
          <w:sz w:val="24"/>
          <w:szCs w:val="24"/>
        </w:rPr>
        <w:t>urban effluents and agricultural runoff</w:t>
      </w:r>
      <w:r w:rsidR="00C10C14" w:rsidRPr="00EA19F0">
        <w:rPr>
          <w:rFonts w:asciiTheme="minorBidi" w:hAnsiTheme="minorBidi"/>
          <w:sz w:val="24"/>
          <w:szCs w:val="24"/>
        </w:rPr>
        <w:t xml:space="preserve"> transport </w:t>
      </w:r>
      <w:r w:rsidR="00711BFA" w:rsidRPr="00EA19F0">
        <w:rPr>
          <w:rFonts w:asciiTheme="minorBidi" w:hAnsiTheme="minorBidi"/>
          <w:sz w:val="24"/>
          <w:szCs w:val="24"/>
        </w:rPr>
        <w:t xml:space="preserve">suspended sediment load </w:t>
      </w:r>
      <w:r w:rsidR="00C10C14" w:rsidRPr="00EA19F0">
        <w:rPr>
          <w:rFonts w:asciiTheme="minorBidi" w:hAnsiTheme="minorBidi"/>
          <w:sz w:val="24"/>
          <w:szCs w:val="24"/>
        </w:rPr>
        <w:t xml:space="preserve">to </w:t>
      </w:r>
      <w:r w:rsidR="00711BFA" w:rsidRPr="00EA19F0">
        <w:rPr>
          <w:rFonts w:asciiTheme="minorBidi" w:hAnsiTheme="minorBidi"/>
          <w:sz w:val="24"/>
          <w:szCs w:val="24"/>
        </w:rPr>
        <w:t xml:space="preserve">the </w:t>
      </w:r>
      <w:r w:rsidR="006F4C89" w:rsidRPr="00EA19F0">
        <w:rPr>
          <w:rFonts w:asciiTheme="minorBidi" w:hAnsiTheme="minorBidi"/>
          <w:sz w:val="24"/>
          <w:szCs w:val="24"/>
        </w:rPr>
        <w:t>Drass</w:t>
      </w:r>
      <w:r w:rsidR="00711BFA" w:rsidRPr="00EA19F0">
        <w:rPr>
          <w:rFonts w:asciiTheme="minorBidi" w:hAnsiTheme="minorBidi"/>
          <w:sz w:val="24"/>
          <w:szCs w:val="24"/>
        </w:rPr>
        <w:t xml:space="preserve"> River. </w:t>
      </w:r>
      <w:r w:rsidR="00275FA7" w:rsidRPr="00EA19F0">
        <w:rPr>
          <w:rFonts w:asciiTheme="minorBidi" w:hAnsiTheme="minorBidi"/>
          <w:sz w:val="24"/>
          <w:szCs w:val="24"/>
        </w:rPr>
        <w:t xml:space="preserve">During the </w:t>
      </w:r>
      <w:r w:rsidR="00FA6173" w:rsidRPr="00EA19F0">
        <w:rPr>
          <w:rFonts w:asciiTheme="minorBidi" w:hAnsiTheme="minorBidi"/>
          <w:sz w:val="24"/>
          <w:szCs w:val="24"/>
        </w:rPr>
        <w:t>Snow</w:t>
      </w:r>
      <w:r w:rsidR="00275FA7" w:rsidRPr="00EA19F0">
        <w:rPr>
          <w:rFonts w:asciiTheme="minorBidi" w:hAnsiTheme="minorBidi"/>
          <w:sz w:val="24"/>
          <w:szCs w:val="24"/>
        </w:rPr>
        <w:t xml:space="preserve"> Melting Period (</w:t>
      </w:r>
      <w:r w:rsidR="00FA6173" w:rsidRPr="00EA19F0">
        <w:rPr>
          <w:rFonts w:asciiTheme="minorBidi" w:hAnsiTheme="minorBidi"/>
          <w:sz w:val="24"/>
          <w:szCs w:val="24"/>
        </w:rPr>
        <w:t>PMP and EMP</w:t>
      </w:r>
      <w:r w:rsidR="00275FA7" w:rsidRPr="00EA19F0">
        <w:rPr>
          <w:rFonts w:asciiTheme="minorBidi" w:hAnsiTheme="minorBidi"/>
          <w:sz w:val="24"/>
          <w:szCs w:val="24"/>
        </w:rPr>
        <w:t xml:space="preserve">), snow cover inhibits supra-glacial, subglacial, and englacial drainage from the glacierized zone. As the winter-accumulated snow in the basin melts, suspended solid load in the basin originates from well-routed glacier melt, producing a distinct Q–SSC hysteresis pattern. </w:t>
      </w:r>
      <w:r w:rsidR="007524E3" w:rsidRPr="00EA19F0">
        <w:rPr>
          <w:rFonts w:asciiTheme="minorBidi" w:hAnsiTheme="minorBidi"/>
          <w:sz w:val="24"/>
          <w:szCs w:val="24"/>
        </w:rPr>
        <w:t xml:space="preserve"> Further, during the EMP, the alternating action of freeze-thaw cycles accelerates soil erosion, thereby increasing turbidity in the </w:t>
      </w:r>
      <w:r w:rsidR="007524E3" w:rsidRPr="0066221B">
        <w:rPr>
          <w:rFonts w:asciiTheme="minorBidi" w:hAnsiTheme="minorBidi"/>
          <w:sz w:val="24"/>
          <w:szCs w:val="24"/>
        </w:rPr>
        <w:t>basin</w:t>
      </w:r>
      <w:r w:rsidR="007524E3" w:rsidRPr="00EA19F0">
        <w:rPr>
          <w:rFonts w:asciiTheme="minorBidi" w:hAnsiTheme="minorBidi"/>
          <w:color w:val="0070C0"/>
          <w:sz w:val="24"/>
          <w:szCs w:val="24"/>
        </w:rPr>
        <w:t xml:space="preserve"> </w:t>
      </w:r>
      <w:r w:rsidR="007524E3"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{"citationID":"reOrX2LS","properties":{"formattedCitation":"(Sun et al., 2022)","plainCitation":"(Sun et al., 2022)","noteIndex":0},"citationItems":[{"id":1691,"uris":["http://zotero.org/users/17566097/items/UA2WBKM4"],"itemData":{"id":1691,"type":"article-journal","abstract":"Soil erosion is very pronounced during late winter and early spring when frozen soil thaws on the Loess Plateau of China. The alternating action of seasonal freeze–thaw and wind erosion provides sufficient material sources for water erosion in the rainy season, greatly increasing the risk and intensity of soil erosion. To quantify the effect of seasonal freeze–thaw, wind erosion and their alternating action on runoff and sediment of different slopes, rainfall tests of different slopes (control, seasonal freeze–thaw, wind erosion and seasonal freeze–thaw + wind erosion of sandy loam, silty loam and clay loam) were carried out indoors. The results showed that the mean runoff and sediment yield start times of sandy loam (9.84 and 12.75 min) were significantly greater than those of silty loam (8.92 and 9.98 min) and clay loam (4.92 and 5.98 min, P &lt; 0.05). The start time of runoff yield after wind erosion, freeze–thaw and alternating action slopes increased by 1.14, 1.35 and 1.62 times, respectively, and the time of runoff and sediment yield on the control slope were all the lowest. The runoff rates under different slopes all substantially increased first and then gradually stabilized. On different slopes, the mean runoff rates of the three soils decreased in the order of wind erosion &gt; alternating action &gt; freeze–thaw &gt; control slopes. The minimum value occurred on the alternating action slope with silty loam (161.56 ± 24.78 g/(m2 min)), and the maximum occurred on the wind erosion slope with clay loam (360.77 ± 35.98 g/(m2 min)). The process of sedimentation was similar to that of runoff. The mean sediment yield values of sandy loam (4.82 ± 0.83 kg) and silty loam (4.66 ± 0.58 kg) were much greater than those of clay loam (0.65 ± 0.17 kg). In addition, the sediment yield increase magnitudes of silty loam under freeze–thaw, wind erosion and their alternating action slopes (58.86 %, 17.47 % and 58.18 %, respectively) were higher than those of sandy loam (29.96 %, 3.23 % and 44.28 %, respectively) and clay loam (20.50 %, 13.16 % and 46.19 %, respectively). The contribution rate to sediment yield of soil types was greatest (84.01 %), followed by freeze–thaw (9.56 %) and wind erosion (0.79 %). This study can provide a reference for the study of compound erosional mechanisms and soil and water conservation in seasonal freezing-thaw zones.","container-title":"CATENA","DOI":"10.1016/j.catena.2022.106309","ISSN":"0341-8162","journalAbbreviation":"CATENA","page":"106309","source":"ScienceDirect","title":"Effects of seasonal freeze–thaw and wind erosion on runoff and sediment yields of three loamy slopes of Loess Plateau, China","URL":"https://www.sciencedirect.com/science/article/pii/S0341816222002958","volume":"215","author":[{"family":"Sun","given":"Baoyang"},{"family":"Liu","given":"Jigen"},{"family":"Ren","given":"Feipeng"},{"family":"Li","given":"Hao"},{"family":"Zhang","given":"Guanhua"},{"family":"Ma","given":"Jianye"},{"family":"Ma","given":"Bo"},{"family":"Li","given":"Zhanbin"}],"accessed":{"date-parts":[["2025",8,20]]},"issued":{"date-parts":[["2022",8,1]]}}}],"schema":"https://github.com/citation-style-language/schema/raw/master/csl-citation.json"} </w:instrText>
      </w:r>
      <w:r w:rsidR="007524E3" w:rsidRPr="00EA19F0">
        <w:rPr>
          <w:rFonts w:asciiTheme="minorBidi" w:hAnsiTheme="minorBidi"/>
          <w:color w:val="0070C0"/>
          <w:sz w:val="24"/>
          <w:szCs w:val="24"/>
        </w:rPr>
        <w:fldChar w:fldCharType="separate"/>
      </w:r>
      <w:r w:rsidR="00445DFA" w:rsidRPr="00EA19F0">
        <w:rPr>
          <w:rFonts w:asciiTheme="minorBidi" w:hAnsiTheme="minorBidi"/>
          <w:color w:val="0070C0"/>
          <w:sz w:val="24"/>
        </w:rPr>
        <w:t>(Sun et al., 2022)</w:t>
      </w:r>
      <w:r w:rsidR="007524E3" w:rsidRPr="00EA19F0">
        <w:rPr>
          <w:rFonts w:asciiTheme="minorBidi" w:hAnsiTheme="minorBidi"/>
          <w:color w:val="0070C0"/>
          <w:sz w:val="24"/>
          <w:szCs w:val="24"/>
        </w:rPr>
        <w:fldChar w:fldCharType="end"/>
      </w:r>
      <w:r w:rsidR="007524E3" w:rsidRPr="00EA19F0">
        <w:rPr>
          <w:rFonts w:asciiTheme="minorBidi" w:hAnsiTheme="minorBidi"/>
          <w:color w:val="0070C0"/>
          <w:sz w:val="24"/>
          <w:szCs w:val="24"/>
        </w:rPr>
        <w:t xml:space="preserve">. </w:t>
      </w:r>
      <w:r w:rsidR="00275FA7" w:rsidRPr="00EA19F0">
        <w:rPr>
          <w:rFonts w:asciiTheme="minorBidi" w:hAnsiTheme="minorBidi"/>
          <w:sz w:val="24"/>
          <w:szCs w:val="24"/>
        </w:rPr>
        <w:t xml:space="preserve">By September, </w:t>
      </w:r>
      <w:r w:rsidR="00CD7FE1" w:rsidRPr="00EA19F0">
        <w:rPr>
          <w:rFonts w:asciiTheme="minorBidi" w:hAnsiTheme="minorBidi"/>
          <w:sz w:val="24"/>
          <w:szCs w:val="24"/>
        </w:rPr>
        <w:t xml:space="preserve">the </w:t>
      </w:r>
      <w:r w:rsidR="00275FA7" w:rsidRPr="00EA19F0">
        <w:rPr>
          <w:rFonts w:asciiTheme="minorBidi" w:hAnsiTheme="minorBidi"/>
          <w:sz w:val="24"/>
          <w:szCs w:val="24"/>
        </w:rPr>
        <w:t>declining temperatures lead to partial refreezing</w:t>
      </w:r>
      <w:r w:rsidR="00CD7FE1" w:rsidRPr="00EA19F0">
        <w:rPr>
          <w:rFonts w:asciiTheme="minorBidi" w:hAnsiTheme="minorBidi"/>
          <w:sz w:val="24"/>
          <w:szCs w:val="24"/>
        </w:rPr>
        <w:t xml:space="preserve"> of the source and surrounding areas, resulting in a </w:t>
      </w:r>
      <w:r w:rsidR="00275FA7" w:rsidRPr="00EA19F0">
        <w:rPr>
          <w:rFonts w:asciiTheme="minorBidi" w:hAnsiTheme="minorBidi"/>
          <w:sz w:val="24"/>
          <w:szCs w:val="24"/>
        </w:rPr>
        <w:t>reduc</w:t>
      </w:r>
      <w:r w:rsidR="00CD7FE1" w:rsidRPr="00EA19F0">
        <w:rPr>
          <w:rFonts w:asciiTheme="minorBidi" w:hAnsiTheme="minorBidi"/>
          <w:sz w:val="24"/>
          <w:szCs w:val="24"/>
        </w:rPr>
        <w:t>tion in</w:t>
      </w:r>
      <w:r w:rsidR="00275FA7" w:rsidRPr="00EA19F0">
        <w:rPr>
          <w:rFonts w:asciiTheme="minorBidi" w:hAnsiTheme="minorBidi"/>
          <w:sz w:val="24"/>
          <w:szCs w:val="24"/>
        </w:rPr>
        <w:t xml:space="preserve"> </w:t>
      </w:r>
      <w:r w:rsidR="00CD7FE1" w:rsidRPr="00EA19F0">
        <w:rPr>
          <w:rFonts w:asciiTheme="minorBidi" w:hAnsiTheme="minorBidi"/>
          <w:sz w:val="24"/>
          <w:szCs w:val="24"/>
        </w:rPr>
        <w:t>the river discharge</w:t>
      </w:r>
      <w:r w:rsidR="00CD7FE1" w:rsidRPr="00EA19F0">
        <w:rPr>
          <w:rFonts w:asciiTheme="minorBidi" w:hAnsiTheme="minorBidi"/>
          <w:color w:val="0070C0"/>
          <w:sz w:val="24"/>
          <w:szCs w:val="24"/>
        </w:rPr>
        <w:t xml:space="preserve"> </w:t>
      </w:r>
      <w:r w:rsidR="00275FA7"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{"citationID":"PTQ0fqxE","properties":{"formattedCitation":"(\\uc0\\u321{}epkowska and Stachnik, 2018; Singh et al., 2020)","plainCitation":"(Łepkowska and Stachnik, 2018; Singh et al., 2020)","noteIndex":0},"citationItems":[{"id":1603,"uris":["http://zotero.org/users/17566097/items/T2U292IP"],"itemData":{"id":1603,"type":"article-journal","abstract":"A unique data set of suspended sediment transport from the Breelva, which drains the Werenskioldbreen (Southwestern Spitsbergen), is reported for the period 2007–2012. This basin is thoroughly described hydrologically, glaciologically, and chemically. However, until now there was a lack of full recognition of mechanical denudation. This study extends the information on quantitative suspended sediment load (SSL), amounting to 37.30–130.94 kt per year, and also underlines the importance of its modification by high discharge events, triggered by intense snowmelt or heavy rainfall. The large floods during the hydrologically active season transported even 83% of the total SSL. The variability of the SSL is controlled by glacial storage and release mechanisms. Particularly interesting is the second half of the hydrologically active season when intense rainfall events plays a key role in shaping the sediment supply pattern. The main source of fine mineral matter is the basal moraine, drained by subglacial outflows. Their higher mobilization occurs when the hydrostatic pressure increases, often as a result of rainwater supply to the glacier system. An increasing precipitation trend for Hornsund fjord region determines a positive trend predicted for sediment flux.","container-title":"Water","DOI":"10.3390/w10101408","ISSN":"2073-4441","issue":"10","language":"en","license":"http://creativecommons.org/licenses/by/3.0/","note":"publisher: Multidisciplinary Digital Publishing Institute","page":"1408","source":"www.mdpi.com","title":"Which Drivers Control the Suspended Sediment Flux in a High Arctic Glacierized Basin (Werenskioldbreen, Spitsbergen)?","URL":"https://www.mdpi.com/2073-4441/10/10/1408","volume":"10","author":[{"family":"Łepkowska","given":"Elżbieta"},{"family":"Stachnik","given":"Łukasz"}],"accessed":{"date-parts":[["2025",8,14]]},"issued":{"date-parts":[["2018",10]]}}},{"id":1607,"uris":["http://zotero.org/users/17566097/items/LZ98ULH9"],"itemData":{"id":1607,"type":"article-journal","abstract":"Glacier systems are important components of the hydrological cycle and a major source of meltwater and sediment flux that controls the river ecology, water quality, and hydropower generation in the Indian Himalayan Region (IHR). Thus, understanding short- and long-term changes in water and suspended sediment (SS) dynamics is crucial in highly sensitive pro-glacial Himalayan Rivers. In the present study, the Chandra River basin in Western Himalaya was chosen to study river discharge, SS transport dynamics, physical erosion rate, and their governing factors for the 2017 melting season (May–September). The daily mean water discharge and SS concentration in the Chandra River was 260.7 m3s−1 and 775.5 mgL−1 with maximum discharge and SS flux in the month of July. The air temperature showed significant relationship with the river discharge (R2 = 0.67; n = 156; p &lt; 0.001), which in turn controlled the SS export in the basin (R2 = 0.86; n = 130; p &lt; 0.001). An anticlockwise sediment-discharge hysteresis during peak flow conditions suggest exhausted sediments or large distance of sediment transport (&gt;100 km) from the upper glacierized region to the end of the basin. Statistical analysis of SS particle size showed poorly sorted immature grains with a dominance of silt particles (85%), followed by sand (8.5%) and clay (6.5%). The SS estimates revealed a total suspended sediment yield of 1285 tons km−2 yr−1 and physical erosion rate of 0.47 mm yr−1. Considering the socio-economic importance of the Himalayan region, the present study will help to evaluate the water and sediment budget of the Chandra River, Western Himalaya and to establish their relationship to the meteorological conditions in the basin.","container-title":"Journal of Earth System Science","DOI":"10.1007/s12040-020-01455-4","ISSN":"0973-774X","issue":"1","journalAbbreviation":"J Earth Syst Sci","language":"en","page":"206","source":"Springer Link","title":"Water discharge and suspended sediment dynamics in the Chandra River, Western Himalaya","URL":"https://doi.org/10.1007/s12040-020-01455-4","volume":"129","author":[{"family":"Singh","given":"Ajit T."},{"family":"Sharma","given":"Parmanand"},{"family":"Sharma","given":"Chirag"},{"family":"Laluraj","given":"C. M."},{"family":"Patel","given":"Lavkush"},{"family":"Pratap","given":"Bhanu"},{"family":"Oulkar","given":"Sunil"},{"family":"Thamban","given":"Meloth"}],"accessed":{"date-parts":[["2025",8,14]]},"issued":{"date-parts":[["2020",10,7]]}}}],"schema":"https://github.com/citation-style-language/schema/raw/master/csl-citation.json"} </w:instrText>
      </w:r>
      <w:r w:rsidR="00275FA7" w:rsidRPr="00EA19F0">
        <w:rPr>
          <w:rFonts w:asciiTheme="minorBidi" w:hAnsiTheme="minorBidi"/>
          <w:color w:val="0070C0"/>
          <w:sz w:val="24"/>
          <w:szCs w:val="24"/>
        </w:rPr>
        <w:fldChar w:fldCharType="separate"/>
      </w:r>
      <w:r w:rsidR="00445DFA" w:rsidRPr="00EA19F0">
        <w:rPr>
          <w:rFonts w:asciiTheme="minorBidi" w:hAnsiTheme="minorBidi"/>
          <w:color w:val="0070C0"/>
          <w:kern w:val="0"/>
          <w:sz w:val="24"/>
        </w:rPr>
        <w:t>(Łepkowska and Stachnik, 2018; Singh et al., 2020)</w:t>
      </w:r>
      <w:r w:rsidR="00275FA7" w:rsidRPr="00EA19F0">
        <w:rPr>
          <w:rFonts w:asciiTheme="minorBidi" w:hAnsiTheme="minorBidi"/>
          <w:color w:val="0070C0"/>
          <w:sz w:val="24"/>
          <w:szCs w:val="24"/>
        </w:rPr>
        <w:fldChar w:fldCharType="end"/>
      </w:r>
      <w:r w:rsidR="00275FA7" w:rsidRPr="00EA19F0">
        <w:rPr>
          <w:rFonts w:asciiTheme="minorBidi" w:hAnsiTheme="minorBidi"/>
          <w:sz w:val="24"/>
          <w:szCs w:val="24"/>
        </w:rPr>
        <w:t xml:space="preserve">. </w:t>
      </w:r>
      <w:r w:rsidR="00E709EC" w:rsidRPr="00EA19F0">
        <w:rPr>
          <w:rFonts w:asciiTheme="minorBidi" w:hAnsiTheme="minorBidi"/>
          <w:sz w:val="24"/>
          <w:szCs w:val="24"/>
        </w:rPr>
        <w:t>Therefore, i</w:t>
      </w:r>
      <w:r w:rsidR="00A2498A" w:rsidRPr="00EA19F0">
        <w:rPr>
          <w:rFonts w:asciiTheme="minorBidi" w:hAnsiTheme="minorBidi"/>
          <w:sz w:val="24"/>
          <w:szCs w:val="24"/>
        </w:rPr>
        <w:t xml:space="preserve">n the LMP, low temperatures freeze the source areas, leading to consistently low turbidity with minimal variability. </w:t>
      </w:r>
      <w:r w:rsidR="0057394A" w:rsidRPr="00EA19F0">
        <w:rPr>
          <w:rFonts w:asciiTheme="minorBidi" w:hAnsiTheme="minorBidi"/>
          <w:sz w:val="24"/>
          <w:szCs w:val="24"/>
        </w:rPr>
        <w:t>Total alkalinity (TA) refers to the overall concentration of bases present in water expressed as calcium carbonate (CaCO</w:t>
      </w:r>
      <w:r w:rsidR="0057394A" w:rsidRPr="00EA19F0">
        <w:rPr>
          <w:rFonts w:ascii="Cambria Math" w:hAnsi="Cambria Math" w:cs="Cambria Math"/>
          <w:sz w:val="24"/>
          <w:szCs w:val="24"/>
        </w:rPr>
        <w:t>₃</w:t>
      </w:r>
      <w:r w:rsidR="0057394A" w:rsidRPr="00EA19F0">
        <w:rPr>
          <w:rFonts w:asciiTheme="minorBidi" w:hAnsiTheme="minorBidi"/>
          <w:sz w:val="24"/>
          <w:szCs w:val="24"/>
        </w:rPr>
        <w:t xml:space="preserve">). In most natural waters, bicarbonate is the dominant contributor to alkalinity at pH </w:t>
      </w:r>
      <w:r w:rsidR="0057394A" w:rsidRPr="00EA19F0">
        <w:rPr>
          <w:rFonts w:ascii="Arial" w:hAnsi="Arial" w:cs="Arial"/>
          <w:sz w:val="24"/>
          <w:szCs w:val="24"/>
        </w:rPr>
        <w:t>≤</w:t>
      </w:r>
      <w:r w:rsidR="0057394A" w:rsidRPr="00EA19F0">
        <w:rPr>
          <w:rFonts w:asciiTheme="minorBidi" w:hAnsiTheme="minorBidi"/>
          <w:sz w:val="24"/>
          <w:szCs w:val="24"/>
        </w:rPr>
        <w:t xml:space="preserve"> 8.3, while carbonate and hydroxide</w:t>
      </w:r>
      <w:r w:rsidR="000F65CE" w:rsidRPr="00EA19F0">
        <w:rPr>
          <w:rFonts w:asciiTheme="minorBidi" w:hAnsiTheme="minorBidi"/>
          <w:sz w:val="24"/>
          <w:szCs w:val="24"/>
        </w:rPr>
        <w:t xml:space="preserve"> (occasionally)</w:t>
      </w:r>
      <w:r w:rsidR="0057394A" w:rsidRPr="00EA19F0">
        <w:rPr>
          <w:rFonts w:asciiTheme="minorBidi" w:hAnsiTheme="minorBidi"/>
          <w:sz w:val="24"/>
          <w:szCs w:val="24"/>
        </w:rPr>
        <w:t xml:space="preserve"> become more significant at higher pH values</w:t>
      </w:r>
      <w:r w:rsidR="0057394A" w:rsidRPr="00EA19F0">
        <w:rPr>
          <w:rFonts w:asciiTheme="minorBidi" w:hAnsiTheme="minorBidi"/>
          <w:color w:val="0070C0"/>
          <w:sz w:val="24"/>
          <w:szCs w:val="24"/>
        </w:rPr>
        <w:t xml:space="preserve"> </w:t>
      </w:r>
      <w:r w:rsidR="00F46CA8"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{"citationID":"kCuFZ3uF","properties":{"formattedCitation":"(Boyd et al., 2016)","plainCitation":"(Boyd et al., 2016)","noteIndex":0},"citationItems":[{"id":1617,"uris":["http://zotero.org/users/17566097/items/ULH6PXC3"],"itemData":{"id":1617,"type":"article-journal","abstract":"Total alkalinity and total hardness are familiar variables in aquatic animal production. Aquaculturists—both scientists and practitioners alike—have some understanding of the two variables and of methods for adjusting their concentrations. The chemistry and the biological effects of alkalinity and hardness, however, are more complex than generally realized or depicted in the aquaculture literature. Moreover, the discussions of alkalinity and hardness—alkalinity in particular—found in water chemistry texts are presented in a rigorous manner and without explanation of how the two variables relate to aquaculture. This review provides a thorough but less rigorous discussion of alkalinity and hardness specifically oriented toward aquaculture. Alkalinity and hardness are defined, their sources identified, and analytical methods explained. This is followed by a discussion of the roles of the two variables in aquaculture, including their relationships with carbon dioxide, pH, atmospheric pollution, ammonia, and other inorganic nitrogen compounds, phytoplankton communities, trace metals, animal physiology, and clay turbidity. Liming and other practices to manage alkalinity and hardness are explained. Changes in alkalinity and hardness concentrations that occur over time in aquaculture systems are discussed. Emphasis is placed on interactions among alkalinity, hardness, water quality, and aquacultural production.","container-title":"Journal of the World Aquaculture Society","DOI":"10.1111/jwas.12241","ISSN":"1749-7345","issue":"1","language":"en","license":"© Copyright by the World Aquaculture Society 2016","note":"_eprint: https://onlinelibrary.wiley.com/doi/pdf/10.1111/jwas.12241","page":"6-41","source":"Wiley Online Library","title":"Alkalinity and Hardness: Critical but Elusive Concepts in Aquaculture","title-short":"Alkalinity and Hardness","URL":"https://onlinelibrary.wiley.com/doi/abs/10.1111/jwas.12241","volume":"47","author":[{"family":"Boyd","given":"Claude E."},{"family":"Tucker","given":"Craig S."},{"family":"Somridhivej","given":"Benjaporn"}],"accessed":{"date-parts":[["2025",8,15]]},"issued":{"date-parts":[["2016"]]}}}],"schema":"https://github.com/citation-style-language/schema/raw/master/csl-citation.json"} </w:instrText>
      </w:r>
      <w:r w:rsidR="00F46CA8"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(Boyd et al., 2016)</w:t>
      </w:r>
      <w:r w:rsidR="00F46CA8" w:rsidRPr="00EA19F0">
        <w:rPr>
          <w:rFonts w:asciiTheme="minorBidi" w:hAnsiTheme="minorBidi"/>
          <w:color w:val="0070C0"/>
          <w:sz w:val="24"/>
          <w:szCs w:val="24"/>
        </w:rPr>
        <w:fldChar w:fldCharType="end"/>
      </w:r>
      <w:r w:rsidR="0057394A" w:rsidRPr="00EA19F0">
        <w:rPr>
          <w:rFonts w:asciiTheme="minorBidi" w:hAnsiTheme="minorBidi"/>
          <w:sz w:val="24"/>
          <w:szCs w:val="24"/>
        </w:rPr>
        <w:t>.</w:t>
      </w:r>
      <w:r w:rsidR="00D408E1" w:rsidRPr="00EA19F0">
        <w:rPr>
          <w:rFonts w:asciiTheme="minorBidi" w:hAnsiTheme="minorBidi"/>
          <w:sz w:val="24"/>
          <w:szCs w:val="24"/>
        </w:rPr>
        <w:t xml:space="preserve"> The mean value of TA as CaCO</w:t>
      </w:r>
      <w:r w:rsidR="00D408E1" w:rsidRPr="00EA19F0">
        <w:rPr>
          <w:rFonts w:ascii="Cambria Math" w:hAnsi="Cambria Math" w:cs="Cambria Math"/>
          <w:sz w:val="24"/>
          <w:szCs w:val="24"/>
        </w:rPr>
        <w:t>₃</w:t>
      </w:r>
      <w:r w:rsidR="000F65CE" w:rsidRPr="00EA19F0">
        <w:rPr>
          <w:rFonts w:asciiTheme="minorBidi" w:hAnsiTheme="minorBidi"/>
          <w:sz w:val="24"/>
          <w:szCs w:val="24"/>
        </w:rPr>
        <w:t xml:space="preserve"> </w:t>
      </w:r>
      <w:r w:rsidR="00D408E1" w:rsidRPr="00EA19F0">
        <w:rPr>
          <w:rFonts w:asciiTheme="minorBidi" w:hAnsiTheme="minorBidi"/>
          <w:sz w:val="24"/>
          <w:szCs w:val="24"/>
        </w:rPr>
        <w:t xml:space="preserve">recorded the lowest </w:t>
      </w:r>
      <w:r w:rsidR="000556ED" w:rsidRPr="00EA19F0">
        <w:rPr>
          <w:rFonts w:asciiTheme="minorBidi" w:hAnsiTheme="minorBidi"/>
          <w:sz w:val="24"/>
          <w:szCs w:val="24"/>
        </w:rPr>
        <w:t>during PMP</w:t>
      </w:r>
      <w:r w:rsidR="009F1F52" w:rsidRPr="00EA19F0">
        <w:rPr>
          <w:rFonts w:asciiTheme="minorBidi" w:hAnsiTheme="minorBidi"/>
          <w:sz w:val="24"/>
          <w:szCs w:val="24"/>
        </w:rPr>
        <w:t>,</w:t>
      </w:r>
      <w:r w:rsidR="00D408E1" w:rsidRPr="00EA19F0">
        <w:rPr>
          <w:rFonts w:asciiTheme="minorBidi" w:hAnsiTheme="minorBidi"/>
          <w:sz w:val="24"/>
          <w:szCs w:val="24"/>
        </w:rPr>
        <w:t xml:space="preserve"> and comparatively higher </w:t>
      </w:r>
      <w:r w:rsidR="000556ED" w:rsidRPr="00EA19F0">
        <w:rPr>
          <w:rFonts w:asciiTheme="minorBidi" w:hAnsiTheme="minorBidi"/>
          <w:sz w:val="24"/>
          <w:szCs w:val="24"/>
        </w:rPr>
        <w:t xml:space="preserve">in EMP and </w:t>
      </w:r>
      <w:r w:rsidR="00D408E1" w:rsidRPr="00EA19F0">
        <w:rPr>
          <w:rFonts w:asciiTheme="minorBidi" w:hAnsiTheme="minorBidi"/>
          <w:sz w:val="24"/>
          <w:szCs w:val="24"/>
        </w:rPr>
        <w:t xml:space="preserve">PMP. </w:t>
      </w:r>
    </w:p>
    <w:p w14:paraId="6328B0AB" w14:textId="73CAE977" w:rsidR="0091040F" w:rsidRPr="00EA19F0" w:rsidRDefault="002D4B31" w:rsidP="00BA3E59">
      <w:pPr>
        <w:pStyle w:val="NoSpacing"/>
        <w:jc w:val="both"/>
        <w:rPr>
          <w:rFonts w:asciiTheme="minorBidi" w:hAnsiTheme="minorBidi"/>
          <w:sz w:val="24"/>
          <w:szCs w:val="24"/>
        </w:rPr>
      </w:pPr>
      <w:r w:rsidRPr="00EA19F0">
        <w:rPr>
          <w:rFonts w:asciiTheme="minorBidi" w:hAnsiTheme="minorBidi"/>
          <w:sz w:val="24"/>
          <w:szCs w:val="24"/>
        </w:rPr>
        <w:lastRenderedPageBreak/>
        <w:t xml:space="preserve">Total Hardness of water is a function of the total concentration of dissolved </w:t>
      </w:r>
      <w:r w:rsidR="004C51B8" w:rsidRPr="00EA19F0">
        <w:rPr>
          <w:rFonts w:asciiTheme="minorBidi" w:hAnsiTheme="minorBidi"/>
          <w:sz w:val="24"/>
          <w:szCs w:val="24"/>
        </w:rPr>
        <w:t>Ca</w:t>
      </w:r>
      <w:r w:rsidR="004C51B8" w:rsidRPr="00EA19F0">
        <w:rPr>
          <w:rFonts w:asciiTheme="minorBidi" w:hAnsiTheme="minorBidi"/>
          <w:sz w:val="24"/>
          <w:szCs w:val="24"/>
          <w:vertAlign w:val="superscript"/>
        </w:rPr>
        <w:t xml:space="preserve">2+ </w:t>
      </w:r>
      <w:r w:rsidRPr="00EA19F0">
        <w:rPr>
          <w:rFonts w:asciiTheme="minorBidi" w:hAnsiTheme="minorBidi"/>
          <w:sz w:val="24"/>
          <w:szCs w:val="24"/>
        </w:rPr>
        <w:t xml:space="preserve">and </w:t>
      </w:r>
      <w:r w:rsidR="004C51B8" w:rsidRPr="00EA19F0">
        <w:rPr>
          <w:rFonts w:asciiTheme="minorBidi" w:hAnsiTheme="minorBidi"/>
          <w:sz w:val="24"/>
          <w:szCs w:val="24"/>
        </w:rPr>
        <w:t>Mg</w:t>
      </w:r>
      <w:r w:rsidR="004C51B8" w:rsidRPr="00EA19F0">
        <w:rPr>
          <w:rFonts w:asciiTheme="minorBidi" w:hAnsiTheme="minorBidi"/>
          <w:sz w:val="24"/>
          <w:szCs w:val="24"/>
          <w:vertAlign w:val="superscript"/>
        </w:rPr>
        <w:t>2+</w:t>
      </w:r>
      <w:r w:rsidRPr="00EA19F0">
        <w:rPr>
          <w:rFonts w:asciiTheme="minorBidi" w:hAnsiTheme="minorBidi"/>
          <w:sz w:val="24"/>
          <w:szCs w:val="24"/>
        </w:rPr>
        <w:t xml:space="preserve"> ions in water and </w:t>
      </w:r>
      <w:r w:rsidR="000556ED" w:rsidRPr="00EA19F0">
        <w:rPr>
          <w:rFonts w:asciiTheme="minorBidi" w:hAnsiTheme="minorBidi"/>
          <w:sz w:val="24"/>
          <w:szCs w:val="24"/>
        </w:rPr>
        <w:t xml:space="preserve">is </w:t>
      </w:r>
      <w:r w:rsidRPr="00EA19F0">
        <w:rPr>
          <w:rFonts w:asciiTheme="minorBidi" w:hAnsiTheme="minorBidi"/>
          <w:sz w:val="24"/>
          <w:szCs w:val="24"/>
        </w:rPr>
        <w:t xml:space="preserve">expressed </w:t>
      </w:r>
      <w:r w:rsidR="00906247" w:rsidRPr="00EA19F0">
        <w:rPr>
          <w:rFonts w:asciiTheme="minorBidi" w:hAnsiTheme="minorBidi"/>
          <w:sz w:val="24"/>
          <w:szCs w:val="24"/>
        </w:rPr>
        <w:t>in terms of the concentration of Ca</w:t>
      </w:r>
      <w:r w:rsidR="00D02C80" w:rsidRPr="00EA19F0">
        <w:rPr>
          <w:rFonts w:asciiTheme="minorBidi" w:hAnsiTheme="minorBidi"/>
          <w:sz w:val="24"/>
          <w:szCs w:val="24"/>
        </w:rPr>
        <w:t>CO</w:t>
      </w:r>
      <w:r w:rsidR="00906247" w:rsidRPr="00EA19F0">
        <w:rPr>
          <w:rFonts w:asciiTheme="minorBidi" w:hAnsiTheme="minorBidi"/>
          <w:sz w:val="24"/>
          <w:szCs w:val="24"/>
          <w:vertAlign w:val="subscript"/>
        </w:rPr>
        <w:t>3</w:t>
      </w:r>
      <w:r w:rsidRPr="00EA19F0">
        <w:rPr>
          <w:rFonts w:asciiTheme="minorBidi" w:hAnsiTheme="minorBidi"/>
          <w:sz w:val="24"/>
          <w:szCs w:val="24"/>
        </w:rPr>
        <w:t xml:space="preserve">. </w:t>
      </w:r>
      <w:r w:rsidR="00906247" w:rsidRPr="00EA19F0">
        <w:rPr>
          <w:rFonts w:asciiTheme="minorBidi" w:hAnsiTheme="minorBidi"/>
          <w:sz w:val="24"/>
          <w:szCs w:val="24"/>
        </w:rPr>
        <w:t>B</w:t>
      </w:r>
      <w:r w:rsidRPr="00EA19F0">
        <w:rPr>
          <w:rFonts w:asciiTheme="minorBidi" w:hAnsiTheme="minorBidi"/>
          <w:sz w:val="24"/>
          <w:szCs w:val="24"/>
        </w:rPr>
        <w:t xml:space="preserve">icarbonates and carbonates of </w:t>
      </w:r>
      <w:r w:rsidR="005A165B" w:rsidRPr="00EA19F0">
        <w:rPr>
          <w:rFonts w:asciiTheme="minorBidi" w:hAnsiTheme="minorBidi"/>
          <w:sz w:val="24"/>
          <w:szCs w:val="24"/>
        </w:rPr>
        <w:t>Ca</w:t>
      </w:r>
      <w:r w:rsidR="005A165B" w:rsidRPr="00EA19F0">
        <w:rPr>
          <w:rFonts w:asciiTheme="minorBidi" w:hAnsiTheme="minorBidi"/>
          <w:sz w:val="24"/>
          <w:szCs w:val="24"/>
          <w:vertAlign w:val="superscript"/>
        </w:rPr>
        <w:t xml:space="preserve">2+ </w:t>
      </w:r>
      <w:r w:rsidR="005A165B" w:rsidRPr="00EA19F0">
        <w:rPr>
          <w:rFonts w:asciiTheme="minorBidi" w:hAnsiTheme="minorBidi"/>
          <w:sz w:val="24"/>
          <w:szCs w:val="24"/>
        </w:rPr>
        <w:t>and Mg</w:t>
      </w:r>
      <w:r w:rsidR="005A165B" w:rsidRPr="00EA19F0">
        <w:rPr>
          <w:rFonts w:asciiTheme="minorBidi" w:hAnsiTheme="minorBidi"/>
          <w:sz w:val="24"/>
          <w:szCs w:val="24"/>
          <w:vertAlign w:val="superscript"/>
        </w:rPr>
        <w:t>2+</w:t>
      </w:r>
      <w:r w:rsidR="005A165B" w:rsidRPr="00EA19F0">
        <w:rPr>
          <w:rFonts w:asciiTheme="minorBidi" w:hAnsiTheme="minorBidi"/>
          <w:sz w:val="24"/>
          <w:szCs w:val="24"/>
        </w:rPr>
        <w:t xml:space="preserve"> </w:t>
      </w:r>
      <w:r w:rsidR="00906247" w:rsidRPr="00EA19F0">
        <w:rPr>
          <w:rFonts w:asciiTheme="minorBidi" w:hAnsiTheme="minorBidi"/>
          <w:sz w:val="24"/>
          <w:szCs w:val="24"/>
        </w:rPr>
        <w:t>are responsible for temporary hardness</w:t>
      </w:r>
      <w:r w:rsidRPr="00EA19F0">
        <w:rPr>
          <w:rFonts w:asciiTheme="minorBidi" w:hAnsiTheme="minorBidi"/>
          <w:sz w:val="24"/>
          <w:szCs w:val="24"/>
        </w:rPr>
        <w:t xml:space="preserve">, while </w:t>
      </w:r>
      <w:r w:rsidR="00906247" w:rsidRPr="00EA19F0">
        <w:rPr>
          <w:rFonts w:asciiTheme="minorBidi" w:hAnsiTheme="minorBidi"/>
          <w:sz w:val="24"/>
          <w:szCs w:val="24"/>
        </w:rPr>
        <w:t xml:space="preserve">their </w:t>
      </w:r>
      <w:r w:rsidR="00EB459C" w:rsidRPr="00EA19F0">
        <w:rPr>
          <w:rFonts w:asciiTheme="minorBidi" w:hAnsiTheme="minorBidi"/>
          <w:sz w:val="24"/>
          <w:szCs w:val="24"/>
        </w:rPr>
        <w:t>SO</w:t>
      </w:r>
      <w:r w:rsidR="00EB459C" w:rsidRPr="00EA19F0">
        <w:rPr>
          <w:rFonts w:asciiTheme="minorBidi" w:hAnsiTheme="minorBidi"/>
          <w:sz w:val="24"/>
          <w:szCs w:val="24"/>
          <w:vertAlign w:val="subscript"/>
        </w:rPr>
        <w:t>4</w:t>
      </w:r>
      <w:r w:rsidR="00EB459C" w:rsidRPr="00EA19F0">
        <w:rPr>
          <w:rFonts w:asciiTheme="minorBidi" w:hAnsiTheme="minorBidi"/>
          <w:sz w:val="24"/>
          <w:szCs w:val="24"/>
          <w:vertAlign w:val="superscript"/>
        </w:rPr>
        <w:t>2-</w:t>
      </w:r>
      <w:r w:rsidRPr="00EA19F0">
        <w:rPr>
          <w:rFonts w:asciiTheme="minorBidi" w:hAnsiTheme="minorBidi"/>
          <w:sz w:val="24"/>
          <w:szCs w:val="24"/>
        </w:rPr>
        <w:t xml:space="preserve"> and </w:t>
      </w:r>
      <w:r w:rsidR="00EB459C" w:rsidRPr="00EA19F0">
        <w:rPr>
          <w:rFonts w:asciiTheme="minorBidi" w:hAnsiTheme="minorBidi"/>
          <w:sz w:val="24"/>
          <w:szCs w:val="24"/>
        </w:rPr>
        <w:t>Cl</w:t>
      </w:r>
      <w:r w:rsidR="00EB459C" w:rsidRPr="00EA19F0">
        <w:rPr>
          <w:rFonts w:ascii="Cambria Math" w:hAnsi="Cambria Math" w:cs="Cambria Math"/>
          <w:sz w:val="24"/>
          <w:szCs w:val="24"/>
          <w:vertAlign w:val="superscript"/>
        </w:rPr>
        <w:t>⁻</w:t>
      </w:r>
      <w:r w:rsidRPr="00EA19F0">
        <w:rPr>
          <w:rFonts w:asciiTheme="minorBidi" w:hAnsiTheme="minorBidi"/>
          <w:sz w:val="24"/>
          <w:szCs w:val="24"/>
        </w:rPr>
        <w:t xml:space="preserve"> contribute to permanent hardness </w:t>
      </w:r>
      <w:r w:rsidR="00906247" w:rsidRPr="00EA19F0">
        <w:rPr>
          <w:rFonts w:asciiTheme="minorBidi" w:hAnsiTheme="minorBidi"/>
          <w:sz w:val="24"/>
          <w:szCs w:val="24"/>
        </w:rPr>
        <w:t xml:space="preserve">in </w:t>
      </w:r>
      <w:r w:rsidRPr="00EA19F0">
        <w:rPr>
          <w:rFonts w:asciiTheme="minorBidi" w:hAnsiTheme="minorBidi"/>
          <w:color w:val="000000" w:themeColor="text1"/>
          <w:sz w:val="24"/>
          <w:szCs w:val="24"/>
        </w:rPr>
        <w:t>water</w:t>
      </w:r>
      <w:r w:rsidR="0067575A" w:rsidRPr="00EA19F0">
        <w:rPr>
          <w:rFonts w:asciiTheme="minorBidi" w:hAnsiTheme="minorBidi"/>
          <w:color w:val="0070C0"/>
          <w:sz w:val="24"/>
          <w:szCs w:val="24"/>
        </w:rPr>
        <w:t xml:space="preserve"> </w:t>
      </w:r>
      <w:r w:rsidR="0067575A"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{"citationID":"nPPF7kjf","properties":{"formattedCitation":"(Boyd, 2015)","plainCitation":"(Boyd, 2015)","noteIndex":0},"citationItems":[{"id":1609,"uris":["http://zotero.org/users/17566097/items/MABAJ4NF"],"itemData":{"id":1609,"type":"chapter","abstract":"The total hardness of water results from divalent cations—mainly from calcium and magnesium—expressed as equivalent calcium carbonate. The total hardness equivalence of 1 mg/L calcium is 2.5 mg/L, while 1 mg/L magnesium equates to 4.12 mg/L. Hardness and alkalinity often are similar in concentration in waters of humid regions, but hardness frequently exceeds alkalinity in waters of arid regions. Hardness generally is less important than alkalinity as a biological factor, but it is quite important in water supply and use. High concentrations of calcium and magnesium in water containing appreciable alkalinity lead to scale formation when the water is heated or its pH increases. This leads to clogging of water pipes and scale accumulation in boilers and on heat exchangers. The Langelier Saturation Index often is used to determine if water has potential to cause scaling. Divalent ions also precipitate soap increasing soap use for domestic purposes and in commercial laundries. The traditional method for softening water is to precipitate calcium as calcium carbonate and magnesium as magnesium hydroxide by the lime-soda ash process. Water also may be softened by passing it through a cation exchange medium such as zeolite.","container-title":"Water Quality: An Introduction","event-place":"Cham","ISBN":"978-3-319-17446-4","language":"en","note":"DOI: 10.1007/978-3-319-17446-4_9","page":"179-187","publisher":"Springer International Publishing","publisher-place":"Cham","source":"Springer Link","title":"Total Hardness","URL":"https://doi.org/10.1007/978-3-319-17446-4_9","author":[{"family":"Boyd","given":"Claude E."}],"editor":[{"family":"Boyd","given":"Claude E."}],"accessed":{"date-parts":[["2025",8,15]]},"issued":{"date-parts":[["2015"]]}}}],"schema":"https://github.com/citation-style-language/schema/raw/master/csl-citation.json"} </w:instrText>
      </w:r>
      <w:r w:rsidR="0067575A"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(Boyd, 2015)</w:t>
      </w:r>
      <w:r w:rsidR="0067575A" w:rsidRPr="00EA19F0">
        <w:rPr>
          <w:rFonts w:asciiTheme="minorBidi" w:hAnsiTheme="minorBidi"/>
          <w:color w:val="0070C0"/>
          <w:sz w:val="24"/>
          <w:szCs w:val="24"/>
        </w:rPr>
        <w:fldChar w:fldCharType="end"/>
      </w:r>
      <w:r w:rsidR="0067575A" w:rsidRPr="00EA19F0">
        <w:rPr>
          <w:rFonts w:asciiTheme="minorBidi" w:hAnsiTheme="minorBidi"/>
          <w:color w:val="0070C0"/>
          <w:sz w:val="24"/>
          <w:szCs w:val="24"/>
        </w:rPr>
        <w:t>.</w:t>
      </w:r>
      <w:r w:rsidR="00AD380E" w:rsidRPr="00EA19F0">
        <w:rPr>
          <w:rFonts w:asciiTheme="minorBidi" w:hAnsiTheme="minorBidi"/>
          <w:color w:val="0070C0"/>
          <w:sz w:val="24"/>
          <w:szCs w:val="24"/>
        </w:rPr>
        <w:t xml:space="preserve"> </w:t>
      </w:r>
      <w:r w:rsidR="00F05319" w:rsidRPr="00EA19F0">
        <w:rPr>
          <w:rFonts w:asciiTheme="minorBidi" w:hAnsiTheme="minorBidi"/>
          <w:sz w:val="24"/>
          <w:szCs w:val="24"/>
        </w:rPr>
        <w:t>T</w:t>
      </w:r>
      <w:r w:rsidR="00AD380E" w:rsidRPr="00EA19F0">
        <w:rPr>
          <w:rFonts w:asciiTheme="minorBidi" w:hAnsiTheme="minorBidi"/>
          <w:sz w:val="24"/>
          <w:szCs w:val="24"/>
        </w:rPr>
        <w:t xml:space="preserve">he mean value of </w:t>
      </w:r>
      <w:r w:rsidR="0098399D" w:rsidRPr="00EA19F0">
        <w:rPr>
          <w:rFonts w:asciiTheme="minorBidi" w:hAnsiTheme="minorBidi"/>
          <w:sz w:val="24"/>
          <w:szCs w:val="24"/>
        </w:rPr>
        <w:t>TH</w:t>
      </w:r>
      <w:r w:rsidR="00F05319" w:rsidRPr="00EA19F0">
        <w:rPr>
          <w:rFonts w:asciiTheme="minorBidi" w:hAnsiTheme="minorBidi"/>
          <w:sz w:val="24"/>
          <w:szCs w:val="24"/>
        </w:rPr>
        <w:t xml:space="preserve"> as CaCO</w:t>
      </w:r>
      <w:r w:rsidR="00F05319" w:rsidRPr="00EA19F0">
        <w:rPr>
          <w:rFonts w:ascii="Cambria Math" w:hAnsi="Cambria Math" w:cs="Cambria Math"/>
          <w:sz w:val="24"/>
          <w:szCs w:val="24"/>
        </w:rPr>
        <w:t>₃</w:t>
      </w:r>
      <w:r w:rsidR="00F05319" w:rsidRPr="00EA19F0">
        <w:rPr>
          <w:rFonts w:asciiTheme="minorBidi" w:hAnsiTheme="minorBidi"/>
          <w:sz w:val="24"/>
          <w:szCs w:val="24"/>
        </w:rPr>
        <w:t xml:space="preserve"> </w:t>
      </w:r>
      <w:r w:rsidR="0066221B">
        <w:rPr>
          <w:rFonts w:asciiTheme="minorBidi" w:hAnsiTheme="minorBidi"/>
          <w:sz w:val="24"/>
          <w:szCs w:val="24"/>
        </w:rPr>
        <w:t xml:space="preserve">was </w:t>
      </w:r>
      <w:r w:rsidR="00AD380E" w:rsidRPr="00EA19F0">
        <w:rPr>
          <w:rFonts w:asciiTheme="minorBidi" w:hAnsiTheme="minorBidi"/>
          <w:sz w:val="24"/>
          <w:szCs w:val="24"/>
        </w:rPr>
        <w:t>recorded</w:t>
      </w:r>
      <w:r w:rsidR="000F6EAC" w:rsidRPr="00EA19F0">
        <w:rPr>
          <w:rFonts w:asciiTheme="minorBidi" w:hAnsiTheme="minorBidi"/>
          <w:sz w:val="24"/>
          <w:szCs w:val="24"/>
        </w:rPr>
        <w:t xml:space="preserve"> </w:t>
      </w:r>
      <w:r w:rsidR="0066221B">
        <w:rPr>
          <w:rFonts w:asciiTheme="minorBidi" w:hAnsiTheme="minorBidi"/>
          <w:sz w:val="24"/>
          <w:szCs w:val="24"/>
        </w:rPr>
        <w:t xml:space="preserve">as the </w:t>
      </w:r>
      <w:r w:rsidR="003162BC" w:rsidRPr="00EA19F0">
        <w:rPr>
          <w:rFonts w:asciiTheme="minorBidi" w:hAnsiTheme="minorBidi"/>
          <w:sz w:val="24"/>
          <w:szCs w:val="24"/>
        </w:rPr>
        <w:t xml:space="preserve">highest </w:t>
      </w:r>
      <w:r w:rsidR="00D408E1" w:rsidRPr="00EA19F0">
        <w:rPr>
          <w:rFonts w:asciiTheme="minorBidi" w:hAnsiTheme="minorBidi"/>
          <w:sz w:val="24"/>
          <w:szCs w:val="24"/>
        </w:rPr>
        <w:t xml:space="preserve">in LMP </w:t>
      </w:r>
      <w:r w:rsidR="003162BC" w:rsidRPr="00EA19F0">
        <w:rPr>
          <w:rFonts w:asciiTheme="minorBidi" w:hAnsiTheme="minorBidi"/>
          <w:sz w:val="24"/>
          <w:szCs w:val="24"/>
        </w:rPr>
        <w:t>and comparative</w:t>
      </w:r>
      <w:r w:rsidR="000F6EAC" w:rsidRPr="00EA19F0">
        <w:rPr>
          <w:rFonts w:asciiTheme="minorBidi" w:hAnsiTheme="minorBidi"/>
          <w:sz w:val="24"/>
          <w:szCs w:val="24"/>
        </w:rPr>
        <w:t>ly</w:t>
      </w:r>
      <w:r w:rsidR="003162BC" w:rsidRPr="00EA19F0">
        <w:rPr>
          <w:rFonts w:asciiTheme="minorBidi" w:hAnsiTheme="minorBidi"/>
          <w:sz w:val="24"/>
          <w:szCs w:val="24"/>
        </w:rPr>
        <w:t xml:space="preserve"> lowest during EMP and PMP</w:t>
      </w:r>
      <w:r w:rsidR="005166D0" w:rsidRPr="00EA19F0">
        <w:rPr>
          <w:rFonts w:asciiTheme="minorBidi" w:hAnsiTheme="minorBidi"/>
          <w:sz w:val="24"/>
          <w:szCs w:val="24"/>
        </w:rPr>
        <w:t>.</w:t>
      </w:r>
      <w:r w:rsidR="00F05319" w:rsidRPr="00EA19F0">
        <w:rPr>
          <w:rFonts w:asciiTheme="minorBidi" w:hAnsiTheme="minorBidi"/>
          <w:sz w:val="24"/>
          <w:szCs w:val="24"/>
        </w:rPr>
        <w:t xml:space="preserve"> </w:t>
      </w:r>
      <w:r w:rsidR="00122CFB" w:rsidRPr="00EA19F0">
        <w:rPr>
          <w:rFonts w:asciiTheme="minorBidi" w:hAnsiTheme="minorBidi"/>
          <w:sz w:val="24"/>
          <w:szCs w:val="24"/>
        </w:rPr>
        <w:t xml:space="preserve">Based on the classification of water hardness proposed by </w:t>
      </w:r>
      <w:r w:rsidR="00122CFB" w:rsidRPr="00EA19F0">
        <w:rPr>
          <w:rFonts w:asciiTheme="minorBidi" w:hAnsiTheme="minorBidi"/>
          <w:color w:val="0070C0"/>
          <w:sz w:val="24"/>
          <w:szCs w:val="24"/>
        </w:rPr>
        <w:t>Sawyer</w:t>
      </w:r>
      <w:r w:rsidR="00011D09" w:rsidRPr="00EA19F0">
        <w:rPr>
          <w:rFonts w:asciiTheme="minorBidi" w:hAnsiTheme="minorBidi"/>
          <w:color w:val="0070C0"/>
          <w:sz w:val="24"/>
          <w:szCs w:val="24"/>
        </w:rPr>
        <w:t xml:space="preserve"> </w:t>
      </w:r>
      <w:r w:rsidR="00122CFB" w:rsidRPr="00EA19F0">
        <w:rPr>
          <w:rFonts w:asciiTheme="minorBidi" w:hAnsiTheme="minorBidi"/>
          <w:color w:val="0070C0"/>
          <w:sz w:val="24"/>
          <w:szCs w:val="24"/>
        </w:rPr>
        <w:t xml:space="preserve">(1967), </w:t>
      </w:r>
      <w:r w:rsidR="00122CFB" w:rsidRPr="00EA19F0">
        <w:rPr>
          <w:rFonts w:asciiTheme="minorBidi" w:hAnsiTheme="minorBidi"/>
          <w:sz w:val="24"/>
          <w:szCs w:val="24"/>
        </w:rPr>
        <w:t xml:space="preserve">hardness values of 0–75 </w:t>
      </w:r>
      <w:r w:rsidR="002938A1" w:rsidRPr="00EA19F0">
        <w:rPr>
          <w:rFonts w:asciiTheme="minorBidi" w:hAnsiTheme="minorBidi"/>
          <w:sz w:val="24"/>
          <w:szCs w:val="24"/>
        </w:rPr>
        <w:t>mg/L</w:t>
      </w:r>
      <w:r w:rsidR="00122CFB" w:rsidRPr="00EA19F0">
        <w:rPr>
          <w:rFonts w:asciiTheme="minorBidi" w:hAnsiTheme="minorBidi"/>
          <w:sz w:val="24"/>
          <w:szCs w:val="24"/>
        </w:rPr>
        <w:t xml:space="preserve"> (as CaCO</w:t>
      </w:r>
      <w:r w:rsidR="00122CFB" w:rsidRPr="00EA19F0">
        <w:rPr>
          <w:rFonts w:ascii="Cambria Math" w:hAnsi="Cambria Math" w:cs="Cambria Math"/>
          <w:sz w:val="24"/>
          <w:szCs w:val="24"/>
        </w:rPr>
        <w:t>₃</w:t>
      </w:r>
      <w:r w:rsidR="00122CFB" w:rsidRPr="00EA19F0">
        <w:rPr>
          <w:rFonts w:asciiTheme="minorBidi" w:hAnsiTheme="minorBidi"/>
          <w:sz w:val="24"/>
          <w:szCs w:val="24"/>
        </w:rPr>
        <w:t>) are considered soft, 75</w:t>
      </w:r>
      <w:r w:rsidR="00122CFB" w:rsidRPr="00EA19F0">
        <w:rPr>
          <w:rFonts w:ascii="Arial" w:hAnsi="Arial" w:cs="Arial"/>
          <w:sz w:val="24"/>
          <w:szCs w:val="24"/>
        </w:rPr>
        <w:t>–</w:t>
      </w:r>
      <w:r w:rsidR="00122CFB" w:rsidRPr="00EA19F0">
        <w:rPr>
          <w:rFonts w:asciiTheme="minorBidi" w:hAnsiTheme="minorBidi"/>
          <w:sz w:val="24"/>
          <w:szCs w:val="24"/>
        </w:rPr>
        <w:t xml:space="preserve">150 </w:t>
      </w:r>
      <w:r w:rsidR="002938A1" w:rsidRPr="00EA19F0">
        <w:rPr>
          <w:rFonts w:asciiTheme="minorBidi" w:hAnsiTheme="minorBidi"/>
          <w:sz w:val="24"/>
          <w:szCs w:val="24"/>
        </w:rPr>
        <w:t>mg/L</w:t>
      </w:r>
      <w:r w:rsidR="00122CFB" w:rsidRPr="00EA19F0">
        <w:rPr>
          <w:rFonts w:asciiTheme="minorBidi" w:hAnsiTheme="minorBidi"/>
          <w:sz w:val="24"/>
          <w:szCs w:val="24"/>
        </w:rPr>
        <w:t xml:space="preserve"> as moderately hard, 150–300 </w:t>
      </w:r>
      <w:r w:rsidR="002938A1" w:rsidRPr="00EA19F0">
        <w:rPr>
          <w:rFonts w:asciiTheme="minorBidi" w:hAnsiTheme="minorBidi"/>
          <w:sz w:val="24"/>
          <w:szCs w:val="24"/>
        </w:rPr>
        <w:t>mg/L</w:t>
      </w:r>
      <w:r w:rsidR="00122CFB" w:rsidRPr="00EA19F0">
        <w:rPr>
          <w:rFonts w:asciiTheme="minorBidi" w:hAnsiTheme="minorBidi"/>
          <w:sz w:val="24"/>
          <w:szCs w:val="24"/>
        </w:rPr>
        <w:t xml:space="preserve"> as hard, and values exceeding 300 </w:t>
      </w:r>
      <w:r w:rsidR="002938A1" w:rsidRPr="00EA19F0">
        <w:rPr>
          <w:rFonts w:asciiTheme="minorBidi" w:hAnsiTheme="minorBidi"/>
          <w:sz w:val="24"/>
          <w:szCs w:val="24"/>
        </w:rPr>
        <w:t>mg/L</w:t>
      </w:r>
      <w:r w:rsidR="00122CFB" w:rsidRPr="00EA19F0">
        <w:rPr>
          <w:rFonts w:asciiTheme="minorBidi" w:hAnsiTheme="minorBidi"/>
          <w:sz w:val="24"/>
          <w:szCs w:val="24"/>
        </w:rPr>
        <w:t xml:space="preserve"> as very hard</w:t>
      </w:r>
      <w:r w:rsidR="00A70A23" w:rsidRPr="00EA19F0">
        <w:rPr>
          <w:rFonts w:asciiTheme="minorBidi" w:hAnsiTheme="minorBidi"/>
          <w:sz w:val="24"/>
          <w:szCs w:val="24"/>
        </w:rPr>
        <w:t xml:space="preserve"> </w:t>
      </w:r>
      <w:r w:rsidR="00A70A23" w:rsidRPr="008A33A4">
        <w:rPr>
          <w:rFonts w:asciiTheme="minorBidi" w:hAnsiTheme="minorBidi"/>
          <w:color w:val="0070C0"/>
          <w:sz w:val="24"/>
          <w:szCs w:val="24"/>
        </w:rPr>
        <w:fldChar w:fldCharType="begin"/>
      </w:r>
      <w:r w:rsidR="00445DFA" w:rsidRPr="008A33A4">
        <w:rPr>
          <w:rFonts w:asciiTheme="minorBidi" w:hAnsiTheme="minorBidi"/>
          <w:color w:val="0070C0"/>
          <w:sz w:val="24"/>
          <w:szCs w:val="24"/>
        </w:rPr>
        <w:instrText xml:space="preserve"> ADDIN ZOTERO_ITEM CSL_CITATION {"citationID":"8gvxvpiW","properties":{"formattedCitation":"(Magesh and Chandrasekar, 2013; Sawyer, 1967)","plainCitation":"(Magesh and Chandrasekar, 2013; Sawyer, 1967)","noteIndex":0},"citationItems":[{"id":1610,"uris":["http://zotero.org/users/17566097/items/T6IGY8E2"],"itemData":{"id":1610,"type":"article-journal","abstract":"Groundwater plays a major life support to mankind. It is the major source to meet the domestic, irrigation and industrial water demands. The depletion of groundwater through excessive consumption and less recharge in the study area has detoriated the quality of groundwater. The present study has analyzed the pre- and post-monsoon physicochemical data of groundwater samples from 49 different bore wells in Virudunagar district. Spatial distribution maps were prepared for various physicochemical parameters using geographic information system. These maps are further classified according to highest desirable, maximum permissible and not permissible prescribed by the World Health Organization. Furthermore, a water quality index (WQI) map was also generated to understand the groundwater quality in the study area. It was observed that the groundwater in the area is hard and alkaline in nature and the WQI reveals that most part of the study area fall under fair water quality class. Also, the effect of recharge during monsoon period has diluted the geochemistry of the groundwater. The application of GIS and WQI in the study area is a promising tool to understand the spatial pattern of groundwater quality and its management.","container-title":"Arabian Journal of Geosciences","DOI":"10.1007/s12517-011-0496-z","ISSN":"1866-7538","issue":"6","journalAbbreviation":"Arab J Geosci","language":"en","page":"1883-1898","source":"Springer Link","title":"Evaluation of spatial variations in groundwater quality by WQI and GIS technique: a case study of Virudunagar District, Tamil Nadu, India","title-short":"Evaluation of spatial variations in groundwater quality by WQI and GIS technique","URL":"https://doi.org/10.1007/s12517-011-0496-z","volume":"6","author":[{"family":"Magesh","given":"N. S."},{"family":"Chandrasekar","given":"N."}],"accessed":{"date-parts":[["2025",8,15]]},"issued":{"date-parts":[["2013",6,1]]}}},{"id":1375,"uris":["http://zotero.org/users/17566097/items/HDD3LSYR"],"itemData":{"id":1375,"type":"book","ISBN":"978-0-07-054970-8","language":"en","note":"Google-Books-ID: hj9RAAAAMAAJ","number-of-pages":"542","publisher":"McGraw-Hill","source":"Google Books","title":"Chemistry for Sanitary Engineers","author":[{"family":"Sawyer","given":"Clair N."}],"issued":{"date-parts":[["1967"]]}}}],"schema":"https://github.com/citation-style-language/schema/raw/master/csl-citation.json"} </w:instrText>
      </w:r>
      <w:r w:rsidR="00A70A23" w:rsidRPr="008A33A4">
        <w:rPr>
          <w:rFonts w:asciiTheme="minorBidi" w:hAnsiTheme="minorBidi"/>
          <w:color w:val="0070C0"/>
          <w:sz w:val="24"/>
          <w:szCs w:val="24"/>
        </w:rPr>
        <w:fldChar w:fldCharType="separate"/>
      </w:r>
      <w:r w:rsidR="00BA3E59" w:rsidRPr="008A33A4">
        <w:rPr>
          <w:rFonts w:ascii="Arial" w:hAnsi="Arial" w:cs="Arial"/>
          <w:color w:val="0070C0"/>
          <w:sz w:val="24"/>
        </w:rPr>
        <w:t>(Magesh and Chandrasekar, 2013; Sawyer, 1967)</w:t>
      </w:r>
      <w:r w:rsidR="00A70A23" w:rsidRPr="008A33A4">
        <w:rPr>
          <w:rFonts w:asciiTheme="minorBidi" w:hAnsiTheme="minorBidi"/>
          <w:color w:val="0070C0"/>
          <w:sz w:val="24"/>
          <w:szCs w:val="24"/>
        </w:rPr>
        <w:fldChar w:fldCharType="end"/>
      </w:r>
      <w:r w:rsidR="00122CFB" w:rsidRPr="00EA19F0">
        <w:rPr>
          <w:rFonts w:asciiTheme="minorBidi" w:hAnsiTheme="minorBidi"/>
          <w:sz w:val="24"/>
          <w:szCs w:val="24"/>
        </w:rPr>
        <w:t xml:space="preserve">. </w:t>
      </w:r>
      <w:r w:rsidR="007139B3" w:rsidRPr="00EA19F0">
        <w:rPr>
          <w:rFonts w:asciiTheme="minorBidi" w:hAnsiTheme="minorBidi"/>
          <w:sz w:val="24"/>
          <w:szCs w:val="24"/>
        </w:rPr>
        <w:t xml:space="preserve">A </w:t>
      </w:r>
      <w:r w:rsidR="00122CFB" w:rsidRPr="00EA19F0">
        <w:rPr>
          <w:rFonts w:asciiTheme="minorBidi" w:hAnsiTheme="minorBidi"/>
          <w:sz w:val="24"/>
          <w:szCs w:val="24"/>
        </w:rPr>
        <w:t>total of three samples</w:t>
      </w:r>
      <w:r w:rsidR="00EB459C" w:rsidRPr="00EA19F0">
        <w:rPr>
          <w:rFonts w:asciiTheme="minorBidi" w:hAnsiTheme="minorBidi"/>
          <w:sz w:val="24"/>
          <w:szCs w:val="24"/>
        </w:rPr>
        <w:t>,</w:t>
      </w:r>
      <w:r w:rsidR="00122CFB" w:rsidRPr="00EA19F0">
        <w:rPr>
          <w:rFonts w:asciiTheme="minorBidi" w:hAnsiTheme="minorBidi"/>
          <w:sz w:val="24"/>
          <w:szCs w:val="24"/>
        </w:rPr>
        <w:t xml:space="preserve"> </w:t>
      </w:r>
      <w:r w:rsidR="005166D0" w:rsidRPr="00EA19F0">
        <w:rPr>
          <w:rFonts w:asciiTheme="minorBidi" w:hAnsiTheme="minorBidi"/>
          <w:sz w:val="24"/>
          <w:szCs w:val="24"/>
        </w:rPr>
        <w:t>DR-6 (PMP)</w:t>
      </w:r>
      <w:r w:rsidR="00EB459C" w:rsidRPr="00EA19F0">
        <w:rPr>
          <w:rFonts w:asciiTheme="minorBidi" w:hAnsiTheme="minorBidi"/>
          <w:sz w:val="24"/>
          <w:szCs w:val="24"/>
        </w:rPr>
        <w:t xml:space="preserve">, and </w:t>
      </w:r>
      <w:r w:rsidR="005166D0" w:rsidRPr="00EA19F0">
        <w:rPr>
          <w:rFonts w:asciiTheme="minorBidi" w:hAnsiTheme="minorBidi"/>
          <w:sz w:val="24"/>
          <w:szCs w:val="24"/>
        </w:rPr>
        <w:t xml:space="preserve">DR-5 </w:t>
      </w:r>
      <w:r w:rsidR="00EB459C" w:rsidRPr="00EA19F0">
        <w:rPr>
          <w:rFonts w:asciiTheme="minorBidi" w:hAnsiTheme="minorBidi"/>
          <w:sz w:val="24"/>
          <w:szCs w:val="24"/>
        </w:rPr>
        <w:t>and DR</w:t>
      </w:r>
      <w:r w:rsidR="005166D0" w:rsidRPr="00EA19F0">
        <w:rPr>
          <w:rFonts w:asciiTheme="minorBidi" w:hAnsiTheme="minorBidi"/>
          <w:sz w:val="24"/>
          <w:szCs w:val="24"/>
        </w:rPr>
        <w:t xml:space="preserve">-6 (LMP) </w:t>
      </w:r>
      <w:r w:rsidR="00122CFB" w:rsidRPr="00EA19F0">
        <w:rPr>
          <w:rFonts w:asciiTheme="minorBidi" w:hAnsiTheme="minorBidi"/>
          <w:sz w:val="24"/>
          <w:szCs w:val="24"/>
        </w:rPr>
        <w:t xml:space="preserve">were classified as </w:t>
      </w:r>
      <w:r w:rsidR="004374F3" w:rsidRPr="00EA19F0">
        <w:rPr>
          <w:rFonts w:asciiTheme="minorBidi" w:hAnsiTheme="minorBidi"/>
          <w:sz w:val="24"/>
          <w:szCs w:val="24"/>
        </w:rPr>
        <w:t>‘</w:t>
      </w:r>
      <w:r w:rsidR="007139B3" w:rsidRPr="00EA19F0">
        <w:rPr>
          <w:rFonts w:asciiTheme="minorBidi" w:hAnsiTheme="minorBidi"/>
          <w:sz w:val="24"/>
          <w:szCs w:val="24"/>
        </w:rPr>
        <w:t>soft water</w:t>
      </w:r>
      <w:r w:rsidR="004374F3" w:rsidRPr="00EA19F0">
        <w:rPr>
          <w:rFonts w:asciiTheme="minorBidi" w:hAnsiTheme="minorBidi"/>
          <w:sz w:val="24"/>
          <w:szCs w:val="24"/>
        </w:rPr>
        <w:t>’,</w:t>
      </w:r>
      <w:r w:rsidR="005166D0" w:rsidRPr="00EA19F0">
        <w:rPr>
          <w:rFonts w:asciiTheme="minorBidi" w:hAnsiTheme="minorBidi"/>
          <w:sz w:val="24"/>
          <w:szCs w:val="24"/>
        </w:rPr>
        <w:t xml:space="preserve"> and </w:t>
      </w:r>
      <w:r w:rsidR="004374F3" w:rsidRPr="00EA19F0">
        <w:rPr>
          <w:rFonts w:asciiTheme="minorBidi" w:hAnsiTheme="minorBidi"/>
          <w:sz w:val="24"/>
          <w:szCs w:val="24"/>
        </w:rPr>
        <w:t xml:space="preserve">the </w:t>
      </w:r>
      <w:r w:rsidR="005166D0" w:rsidRPr="00EA19F0">
        <w:rPr>
          <w:rFonts w:asciiTheme="minorBidi" w:hAnsiTheme="minorBidi"/>
          <w:sz w:val="24"/>
          <w:szCs w:val="24"/>
        </w:rPr>
        <w:t xml:space="preserve">rest </w:t>
      </w:r>
      <w:r w:rsidR="007139B3" w:rsidRPr="00EA19F0">
        <w:rPr>
          <w:rFonts w:asciiTheme="minorBidi" w:hAnsiTheme="minorBidi"/>
          <w:sz w:val="24"/>
          <w:szCs w:val="24"/>
        </w:rPr>
        <w:t xml:space="preserve">are in </w:t>
      </w:r>
      <w:r w:rsidR="004374F3" w:rsidRPr="00EA19F0">
        <w:rPr>
          <w:rFonts w:asciiTheme="minorBidi" w:hAnsiTheme="minorBidi"/>
          <w:sz w:val="24"/>
          <w:szCs w:val="24"/>
        </w:rPr>
        <w:t>the ‘</w:t>
      </w:r>
      <w:r w:rsidR="005166D0" w:rsidRPr="00EA19F0">
        <w:rPr>
          <w:rFonts w:asciiTheme="minorBidi" w:hAnsiTheme="minorBidi"/>
          <w:sz w:val="24"/>
          <w:szCs w:val="24"/>
        </w:rPr>
        <w:t xml:space="preserve">moderately </w:t>
      </w:r>
      <w:r w:rsidR="00122CFB" w:rsidRPr="00EA19F0">
        <w:rPr>
          <w:rFonts w:asciiTheme="minorBidi" w:hAnsiTheme="minorBidi"/>
          <w:sz w:val="24"/>
          <w:szCs w:val="24"/>
        </w:rPr>
        <w:t>hard water category</w:t>
      </w:r>
      <w:r w:rsidR="004374F3" w:rsidRPr="00EA19F0">
        <w:rPr>
          <w:rFonts w:asciiTheme="minorBidi" w:hAnsiTheme="minorBidi"/>
          <w:sz w:val="24"/>
          <w:szCs w:val="24"/>
        </w:rPr>
        <w:t>’</w:t>
      </w:r>
      <w:r w:rsidR="00122CFB" w:rsidRPr="00EA19F0">
        <w:rPr>
          <w:rFonts w:asciiTheme="minorBidi" w:hAnsiTheme="minorBidi"/>
          <w:sz w:val="24"/>
          <w:szCs w:val="24"/>
        </w:rPr>
        <w:t xml:space="preserve">. </w:t>
      </w:r>
      <w:r w:rsidR="0066221B">
        <w:rPr>
          <w:rFonts w:asciiTheme="minorBidi" w:hAnsiTheme="minorBidi"/>
          <w:sz w:val="24"/>
          <w:szCs w:val="24"/>
        </w:rPr>
        <w:t>Ca²</w:t>
      </w:r>
      <w:r w:rsidR="0066221B" w:rsidRPr="00EA19F0">
        <w:rPr>
          <w:rFonts w:ascii="Cambria Math" w:hAnsi="Cambria Math" w:cs="Cambria Math"/>
          <w:sz w:val="24"/>
          <w:szCs w:val="24"/>
        </w:rPr>
        <w:t>⁺</w:t>
      </w:r>
      <w:r w:rsidR="0066221B">
        <w:rPr>
          <w:rFonts w:asciiTheme="minorBidi" w:hAnsiTheme="minorBidi"/>
          <w:sz w:val="24"/>
          <w:szCs w:val="24"/>
        </w:rPr>
        <w:t xml:space="preserve"> dominates the cationic composition</w:t>
      </w:r>
      <w:r w:rsidR="00F05319" w:rsidRPr="00EA19F0">
        <w:rPr>
          <w:rFonts w:asciiTheme="minorBidi" w:hAnsiTheme="minorBidi"/>
          <w:sz w:val="24"/>
          <w:szCs w:val="24"/>
        </w:rPr>
        <w:t xml:space="preserve"> across all seasons. Its primary sources </w:t>
      </w:r>
      <w:r w:rsidR="00C44EB9" w:rsidRPr="00EA19F0">
        <w:rPr>
          <w:rFonts w:asciiTheme="minorBidi" w:hAnsiTheme="minorBidi"/>
          <w:sz w:val="24"/>
          <w:szCs w:val="24"/>
        </w:rPr>
        <w:t>in natural water systems are</w:t>
      </w:r>
      <w:r w:rsidR="00F05319" w:rsidRPr="00EA19F0">
        <w:rPr>
          <w:rFonts w:asciiTheme="minorBidi" w:hAnsiTheme="minorBidi"/>
          <w:sz w:val="24"/>
          <w:szCs w:val="24"/>
        </w:rPr>
        <w:t xml:space="preserve"> weathering of igneous and metamorphic minerals (e.g., pyroxenes, amphiboles, plagioclase feldspars) </w:t>
      </w:r>
      <w:r w:rsidR="004B0F4B" w:rsidRPr="00EA19F0">
        <w:rPr>
          <w:rFonts w:asciiTheme="minorBidi" w:hAnsiTheme="minorBidi"/>
          <w:sz w:val="24"/>
          <w:szCs w:val="24"/>
        </w:rPr>
        <w:t>and</w:t>
      </w:r>
      <w:r w:rsidR="00F05319" w:rsidRPr="00EA19F0">
        <w:rPr>
          <w:rFonts w:asciiTheme="minorBidi" w:hAnsiTheme="minorBidi"/>
          <w:sz w:val="24"/>
          <w:szCs w:val="24"/>
        </w:rPr>
        <w:t xml:space="preserve"> carbonate </w:t>
      </w:r>
      <w:r w:rsidR="00C44EB9" w:rsidRPr="00EA19F0">
        <w:rPr>
          <w:rFonts w:asciiTheme="minorBidi" w:hAnsiTheme="minorBidi"/>
          <w:sz w:val="24"/>
          <w:szCs w:val="24"/>
        </w:rPr>
        <w:t>rocks</w:t>
      </w:r>
      <w:r w:rsidR="00F05319" w:rsidRPr="00EA19F0">
        <w:rPr>
          <w:rFonts w:asciiTheme="minorBidi" w:hAnsiTheme="minorBidi"/>
          <w:sz w:val="24"/>
          <w:szCs w:val="24"/>
        </w:rPr>
        <w:t>. Mg²</w:t>
      </w:r>
      <w:r w:rsidR="00F05319" w:rsidRPr="00EA19F0">
        <w:rPr>
          <w:rFonts w:ascii="Cambria Math" w:hAnsi="Cambria Math" w:cs="Cambria Math"/>
          <w:sz w:val="24"/>
          <w:szCs w:val="24"/>
        </w:rPr>
        <w:t>⁺</w:t>
      </w:r>
      <w:r w:rsidR="0066221B">
        <w:rPr>
          <w:rFonts w:ascii="Cambria Math" w:hAnsi="Cambria Math" w:cs="Cambria Math"/>
          <w:sz w:val="24"/>
          <w:szCs w:val="24"/>
        </w:rPr>
        <w:t xml:space="preserve"> </w:t>
      </w:r>
      <w:r w:rsidR="00F05319" w:rsidRPr="00EA19F0">
        <w:rPr>
          <w:rFonts w:asciiTheme="minorBidi" w:hAnsiTheme="minorBidi"/>
          <w:sz w:val="24"/>
          <w:szCs w:val="24"/>
        </w:rPr>
        <w:t>largely sourced from weathering of ferromagnesian minerals such as biotite and amphiboles</w:t>
      </w:r>
      <w:r w:rsidR="007E7C69" w:rsidRPr="00EA19F0">
        <w:rPr>
          <w:rFonts w:asciiTheme="minorBidi" w:hAnsiTheme="minorBidi"/>
          <w:sz w:val="24"/>
          <w:szCs w:val="24"/>
        </w:rPr>
        <w:t xml:space="preserve"> </w:t>
      </w:r>
      <w:r w:rsidR="007E7C69"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{"citationID":"MrSjEJum","properties":{"formattedCitation":"(Magaritz et al., 1989; Thomas et al., 2014)","plainCitation":"(Magaritz et al., 1989; Thomas et al., 2014)","noteIndex":0},"citationItems":[{"id":1619,"uris":["http://zotero.org/users/17566097/items/7QTGGJHG"],"itemData":{"id":1619,"type":"article-journal","abstract":"The relationship between the stable isotopic and chemical composition of rain, spring, and stream water was studied in the high Andes of northern Chile. The isotopic pattern of the springs is mainly a reflection of the altitude of their recharge areas; however, processes that occur during snow melting seem to play a major role in the high-altitude springs. The streams show patterns similar to the springs in the higher part of the basins, but their isotopic composition is modified along the river course, due mainly to evaporation. The difference in chemical composition between the springs at high and intermediate elevations reflects the duration of water-rock interaction. The best parameter to trace this length of travelling time is the Na+K+ ratio, which increases as a result of removal of K+ into alteration minerals (K-silicates). The Na+Cl− ratio increases with salinity in springs and decreases in stream water. This reflects the different sources of salt, whereas the main source of salts in spring water is the dissolution of silicate and sulfide minerals. Halite accumulations close to the surface is the main salt source in the streams. During floods the stream water chemical characteristics change, Na+Cl− increases with decreased salinity and Na+K+ decreases.","container-title":"Journal of Hydrology","DOI":"10.1016/0022-1694(89)90292-8","ISSN":"0022-1694","journalAbbreviation":"Journal of Hydrology","page":"323-341","source":"ScienceDirect","title":"Water chemistry and isotope study of streams and springs in northern Chile","URL":"https://www.sciencedirect.com/science/article/pii/0022169489902928","volume":"108","author":[{"family":"Magaritz","given":"M."},{"family":"Aravena","given":"R."},{"family":"Peña","given":"H."},{"family":"Suzuki","given":"O."},{"family":"Grilli","given":"A."}],"accessed":{"date-parts":[["2025",8,15]]},"issued":{"date-parts":[["1989",1,1]]}}},{"id":1396,"uris":["http://zotero.org/users/local/GtKGLMn4/items/TRK7X6EF","http://zotero.org/users/17566097/items/TRK7X6EF"],"itemData":{"id":1396,"type":"article-journal","abstract":"A comprehensive and systematic study to understand various geochemical processes as well as process drivers controlling the water quality and patterns of the hydrochemical composition of river water in Muthirapuzha River Basin, MRB (a major tributary of Periyar, the longest river in Kerala, India), was carried out during various seasons, such as monsoon, post-monsoon and pre-monsoon of 2007–2008, based on the data collected at 15 monitoring stations (i.e., 15 × 3 = 45 samples). Ca2+ and Mg2+ dominate the cations, while Cl− followed by HCO3− dominates the anions. In general, major ion chemistry of MRB is jointly controlled by weathering of silicate and carbonate rocks, which is confirmed by relatively larger Ca2+ + Mg2+/Na+ + K+ ratios as well as Ca2+/Na+ vs. Mg2+/Na+ and Ca2+/Na+ vs. HCO3−/Na+ scatter plots. The relationship between Cl− and Na+ implies stronger contributions of anthropogenic activities modifying the hydrochemical composition, irrespective of seasons. The water types emerged from this study are transitional waters or waters that changed their chemical character by mixing with waters of geochemically different ionic signatures. However, various ionic ratios, hydrochemical plots and graphical diagrams suggest seasonality over the hydrochemical composition, which is solely controlled by the rainfall pattern. Relatively higher pCO2 indicates the disequilibrium existing in natural waterbodies vis-à-vis the atmosphere, which is an outcome of both the contribution of groundwater to stream discharge and anthropogenic activities. Hence, continuous monitoring of hydrochemical composition of mountain rivers is essential in the context of climate change, which has serious implications on tropical mountain fluvial-hydro systems.","container-title":"Environmental Earth Sciences","DOI":"10.1007/s12665-013-2634-2","ISSN":"1866-6299","issue":"5","journalAbbreviation":"Environ Earth Sci","language":"en","page":"2333-2351","source":"Springer Link","title":"Seasonal variation in major ion chemistry of a tropical mountain river, the southern Western Ghats, Kerala, India","URL":"https://doi.org/10.1007/s12665-013-2634-2","volume":"71","author":[{"family":"Thomas","given":"Jobin"},{"family":"Joseph","given":"Sabu"},{"family":"Thrivikramji","given":"K. P."},{"family":"Manjusree","given":"T. M."},{"family":"Arunkumar","given":"K. S."}],"accessed":{"date-parts":[["2025",7,13]]},"issued":{"date-parts":[["2014",3,1]]}}}],"schema":"https://github.com/citation-style-language/schema/raw/master/csl-citation.json"} </w:instrText>
      </w:r>
      <w:r w:rsidR="007E7C69" w:rsidRPr="00EA19F0">
        <w:rPr>
          <w:rFonts w:asciiTheme="minorBidi" w:hAnsiTheme="minorBidi"/>
          <w:color w:val="0070C0"/>
          <w:sz w:val="24"/>
          <w:szCs w:val="24"/>
        </w:rPr>
        <w:fldChar w:fldCharType="separate"/>
      </w:r>
      <w:r w:rsidR="00445DFA" w:rsidRPr="00EA19F0">
        <w:rPr>
          <w:rFonts w:asciiTheme="minorBidi" w:hAnsiTheme="minorBidi"/>
          <w:color w:val="0070C0"/>
          <w:sz w:val="24"/>
        </w:rPr>
        <w:t>(Magaritz et al., 1989; Thomas et al., 2014)</w:t>
      </w:r>
      <w:r w:rsidR="007E7C69" w:rsidRPr="00EA19F0">
        <w:rPr>
          <w:rFonts w:asciiTheme="minorBidi" w:hAnsiTheme="minorBidi"/>
          <w:color w:val="0070C0"/>
          <w:sz w:val="24"/>
          <w:szCs w:val="24"/>
        </w:rPr>
        <w:fldChar w:fldCharType="end"/>
      </w:r>
      <w:r w:rsidR="00F05319" w:rsidRPr="00EA19F0">
        <w:rPr>
          <w:rFonts w:asciiTheme="minorBidi" w:hAnsiTheme="minorBidi"/>
          <w:color w:val="0070C0"/>
          <w:sz w:val="24"/>
          <w:szCs w:val="24"/>
        </w:rPr>
        <w:t>.</w:t>
      </w:r>
      <w:r w:rsidR="00100B33" w:rsidRPr="00EA19F0">
        <w:rPr>
          <w:rFonts w:asciiTheme="minorBidi" w:hAnsiTheme="minorBidi"/>
          <w:sz w:val="24"/>
          <w:szCs w:val="24"/>
        </w:rPr>
        <w:t xml:space="preserve"> </w:t>
      </w:r>
      <w:r w:rsidR="00FA33BE" w:rsidRPr="00EA19F0">
        <w:rPr>
          <w:rFonts w:asciiTheme="minorBidi" w:hAnsiTheme="minorBidi"/>
          <w:sz w:val="24"/>
          <w:szCs w:val="24"/>
        </w:rPr>
        <w:t>Temporal variations in Na</w:t>
      </w:r>
      <w:r w:rsidR="00FA33BE" w:rsidRPr="00EA19F0">
        <w:rPr>
          <w:rFonts w:ascii="Cambria Math" w:hAnsi="Cambria Math" w:cs="Cambria Math"/>
          <w:sz w:val="24"/>
          <w:szCs w:val="24"/>
        </w:rPr>
        <w:t>⁺</w:t>
      </w:r>
      <w:r w:rsidR="00FA33BE" w:rsidRPr="00EA19F0">
        <w:rPr>
          <w:rFonts w:asciiTheme="minorBidi" w:hAnsiTheme="minorBidi"/>
          <w:sz w:val="24"/>
          <w:szCs w:val="24"/>
        </w:rPr>
        <w:t xml:space="preserve"> and K</w:t>
      </w:r>
      <w:r w:rsidR="00FA33BE" w:rsidRPr="00EA19F0">
        <w:rPr>
          <w:rFonts w:ascii="Cambria Math" w:hAnsi="Cambria Math" w:cs="Cambria Math"/>
          <w:sz w:val="24"/>
          <w:szCs w:val="24"/>
        </w:rPr>
        <w:t>⁺</w:t>
      </w:r>
      <w:r w:rsidR="00FA33BE" w:rsidRPr="00EA19F0">
        <w:rPr>
          <w:rFonts w:asciiTheme="minorBidi" w:hAnsiTheme="minorBidi"/>
          <w:sz w:val="24"/>
          <w:szCs w:val="24"/>
        </w:rPr>
        <w:t xml:space="preserve"> concentrations were observed during the study period. The major sources of Na</w:t>
      </w:r>
      <w:r w:rsidR="00FA33BE" w:rsidRPr="00EA19F0">
        <w:rPr>
          <w:rFonts w:ascii="Cambria Math" w:hAnsi="Cambria Math" w:cs="Cambria Math"/>
          <w:sz w:val="24"/>
          <w:szCs w:val="24"/>
        </w:rPr>
        <w:t>⁺</w:t>
      </w:r>
      <w:r w:rsidR="00FA33BE" w:rsidRPr="00EA19F0">
        <w:rPr>
          <w:rFonts w:asciiTheme="minorBidi" w:hAnsiTheme="minorBidi"/>
          <w:sz w:val="24"/>
          <w:szCs w:val="24"/>
        </w:rPr>
        <w:t xml:space="preserve"> are atmospheric deposition and mineral weathering (particularly plagioclase), whereas K</w:t>
      </w:r>
      <w:r w:rsidR="00FA33BE" w:rsidRPr="00EA19F0">
        <w:rPr>
          <w:rFonts w:ascii="Cambria Math" w:hAnsi="Cambria Math" w:cs="Cambria Math"/>
          <w:sz w:val="24"/>
          <w:szCs w:val="24"/>
        </w:rPr>
        <w:t>⁺</w:t>
      </w:r>
      <w:r w:rsidR="00FA33BE" w:rsidRPr="00EA19F0">
        <w:rPr>
          <w:rFonts w:asciiTheme="minorBidi" w:hAnsiTheme="minorBidi"/>
          <w:sz w:val="24"/>
          <w:szCs w:val="24"/>
        </w:rPr>
        <w:t xml:space="preserve"> predominantly originates from the chemical weathering of K-feldspar minerals such as orthoclase and microcline </w:t>
      </w:r>
      <w:r w:rsidR="00FA33BE"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{"citationID":"hglipDWy","properties":{"formattedCitation":"(Welti et al., 2019)","plainCitation":"(Welti et al., 2019)","noteIndex":0},"citationItems":[{"id":1621,"uris":["http://zotero.org/users/17566097/items/L2NRP5ES"],"itemData":{"id":1621,"type":"article-journal","abstract":"The relation between the mineralogical characteristics of size selected feldspar particles from 50–800nm and their ability to act as ice nucleating particles (INPs) in the immersion mode is presented. Five polymorph members of K-feldspar (two microclines, orthoclase, adularia and sanidine) and four Na/Ca- rich feldspar samples (three labradorites and a pericline sample) are tested. Microcline was found to be the most active INP in the immersion mode consistent with previous findings. Samples are selected for their differences in typical feldspar properties such as crystal structure, bulk and trace elemental composition and ordering of the crystal lattice. The mentioned properties are related to the temperature of feldspar crystallization from the melt rocks during formation. Properties characteristic for low temperature feldspar formation coincide with an increased ability to nucleate ice. Ice nucleation is most efficient on the crystallographic ordered, triclinic K-feldspar species microcline, while the intermediate and disordered, monoclinic K-feldspar polymorphs orthoclase and sanidine nucleate ice at lower temperatures. The ice nucleation ability of disordered, triclinic Na/Ca-feldspar is comparable to disordered K-feldspar. The conditions of feldspar rock formation also leave a chemical fingerprint with varying abundance of trace elements in the samples. X-ray fluorescence spectroscopy analysis to determine metal oxide and trace elemental composition of the feldspar samples revealed a correlation with median freezing temperatures (T50) of the K-feldspar samples allowing to sort them for their ice nucleation efficiency according to the abundance of specific trace elements. A pronounced size dependence of ice nucleation activity for the feldspar samples is observed, which also depends on mineralogical characteristics. In particular, microcline exhibited immersion freezing even for 50nm particles which is unique for heterogeneous ice nucleation of mineral dusts. This suggests that small microcline particles that are susceptible to long-range transport can affect cloud properties via immersion freezing far away from the source. The measurements generally imply that temperatures at which feldspars can affect cloud glaciation depends on the transported particle size.","container-title":"Atmospheric Chemistry and Physics Discussions","DOI":"10.5194/acp-2018-1271","journalAbbreviation":"Atmospheric Chemistry and Physics Discussions","page":"1-25","source":"ResearchGate","title":"Ice nucleation properties of K-feldspar polymorphs and plagioclase feldspars","author":[{"family":"Welti","given":"André"},{"family":"Lohmann","given":"Ulrike"},{"family":"Kanji","given":"Zamin"}],"issued":{"date-parts":[["2019",1,11]]}}}],"schema":"https://github.com/citation-style-language/schema/raw/master/csl-citation.json"} </w:instrText>
      </w:r>
      <w:r w:rsidR="00FA33BE" w:rsidRPr="00EA19F0">
        <w:rPr>
          <w:rFonts w:asciiTheme="minorBidi" w:hAnsiTheme="minorBidi"/>
          <w:color w:val="0070C0"/>
          <w:sz w:val="24"/>
          <w:szCs w:val="24"/>
        </w:rPr>
        <w:fldChar w:fldCharType="separate"/>
      </w:r>
      <w:r w:rsidR="00445DFA" w:rsidRPr="00EA19F0">
        <w:rPr>
          <w:rFonts w:asciiTheme="minorBidi" w:hAnsiTheme="minorBidi"/>
          <w:color w:val="0070C0"/>
          <w:sz w:val="24"/>
        </w:rPr>
        <w:t>(Welti et al., 2019)</w:t>
      </w:r>
      <w:r w:rsidR="00FA33BE" w:rsidRPr="00EA19F0">
        <w:rPr>
          <w:rFonts w:asciiTheme="minorBidi" w:hAnsiTheme="minorBidi"/>
          <w:color w:val="0070C0"/>
          <w:sz w:val="24"/>
          <w:szCs w:val="24"/>
        </w:rPr>
        <w:fldChar w:fldCharType="end"/>
      </w:r>
      <w:r w:rsidR="00FA33BE" w:rsidRPr="00EA19F0">
        <w:rPr>
          <w:rFonts w:asciiTheme="minorBidi" w:hAnsiTheme="minorBidi"/>
          <w:color w:val="0070C0"/>
          <w:sz w:val="24"/>
          <w:szCs w:val="24"/>
        </w:rPr>
        <w:t xml:space="preserve">. </w:t>
      </w:r>
      <w:r w:rsidR="00FA33BE" w:rsidRPr="00EA19F0">
        <w:rPr>
          <w:rFonts w:asciiTheme="minorBidi" w:hAnsiTheme="minorBidi"/>
          <w:sz w:val="24"/>
          <w:szCs w:val="24"/>
        </w:rPr>
        <w:t>The enhanced concentrations of Na</w:t>
      </w:r>
      <w:r w:rsidR="00FA33BE" w:rsidRPr="00EA19F0">
        <w:rPr>
          <w:rFonts w:ascii="Cambria Math" w:hAnsi="Cambria Math" w:cs="Cambria Math"/>
          <w:sz w:val="24"/>
          <w:szCs w:val="24"/>
        </w:rPr>
        <w:t>⁺</w:t>
      </w:r>
      <w:r w:rsidR="00FA33BE" w:rsidRPr="00EA19F0">
        <w:rPr>
          <w:rFonts w:asciiTheme="minorBidi" w:hAnsiTheme="minorBidi"/>
          <w:sz w:val="24"/>
          <w:szCs w:val="24"/>
        </w:rPr>
        <w:t xml:space="preserve"> and K</w:t>
      </w:r>
      <w:r w:rsidR="00FA33BE" w:rsidRPr="00EA19F0">
        <w:rPr>
          <w:rFonts w:ascii="Cambria Math" w:hAnsi="Cambria Math" w:cs="Cambria Math"/>
          <w:sz w:val="24"/>
          <w:szCs w:val="24"/>
        </w:rPr>
        <w:t>⁺</w:t>
      </w:r>
      <w:r w:rsidR="00FA33BE" w:rsidRPr="00EA19F0">
        <w:rPr>
          <w:rFonts w:asciiTheme="minorBidi" w:hAnsiTheme="minorBidi"/>
          <w:sz w:val="24"/>
          <w:szCs w:val="24"/>
        </w:rPr>
        <w:t xml:space="preserve"> during the PMP can be attributed to intensified silicate rock weathering under elevated ambient temperatures and increased glacier meltwater discharge, which collectively enhance the mobilisation of these ions into the river system. </w:t>
      </w:r>
      <w:r w:rsidR="00B4596D" w:rsidRPr="00EA19F0">
        <w:rPr>
          <w:rFonts w:asciiTheme="minorBidi" w:hAnsiTheme="minorBidi"/>
          <w:sz w:val="24"/>
          <w:szCs w:val="24"/>
        </w:rPr>
        <w:t>HCO</w:t>
      </w:r>
      <w:r w:rsidR="00B4596D" w:rsidRPr="00EA19F0">
        <w:rPr>
          <w:rFonts w:ascii="Cambria Math" w:hAnsi="Cambria Math" w:cs="Cambria Math"/>
          <w:sz w:val="24"/>
          <w:szCs w:val="24"/>
        </w:rPr>
        <w:t>₃⁻</w:t>
      </w:r>
      <w:r w:rsidR="00B4596D" w:rsidRPr="00EA19F0">
        <w:rPr>
          <w:rFonts w:asciiTheme="minorBidi" w:hAnsiTheme="minorBidi"/>
          <w:sz w:val="24"/>
          <w:szCs w:val="24"/>
        </w:rPr>
        <w:t xml:space="preserve"> </w:t>
      </w:r>
      <w:r w:rsidR="00B4596D">
        <w:rPr>
          <w:rFonts w:asciiTheme="minorBidi" w:hAnsiTheme="minorBidi"/>
          <w:sz w:val="24"/>
          <w:szCs w:val="24"/>
        </w:rPr>
        <w:t>dominates the a</w:t>
      </w:r>
      <w:r w:rsidR="00F05319" w:rsidRPr="00EA19F0">
        <w:rPr>
          <w:rFonts w:asciiTheme="minorBidi" w:hAnsiTheme="minorBidi"/>
          <w:sz w:val="24"/>
          <w:szCs w:val="24"/>
        </w:rPr>
        <w:t>nion chemistry throughout the year</w:t>
      </w:r>
      <w:r w:rsidR="00A04D30" w:rsidRPr="00EA19F0">
        <w:rPr>
          <w:rFonts w:asciiTheme="minorBidi" w:hAnsiTheme="minorBidi"/>
          <w:sz w:val="24"/>
          <w:szCs w:val="24"/>
        </w:rPr>
        <w:t>.</w:t>
      </w:r>
      <w:r w:rsidR="00D26E99" w:rsidRPr="00EA19F0">
        <w:rPr>
          <w:rFonts w:asciiTheme="minorBidi" w:hAnsiTheme="minorBidi"/>
          <w:sz w:val="24"/>
          <w:szCs w:val="24"/>
        </w:rPr>
        <w:t xml:space="preserve"> </w:t>
      </w:r>
      <w:r w:rsidR="00CC34E4" w:rsidRPr="00EA19F0">
        <w:rPr>
          <w:rFonts w:asciiTheme="minorBidi" w:hAnsiTheme="minorBidi"/>
          <w:sz w:val="24"/>
          <w:szCs w:val="24"/>
        </w:rPr>
        <w:t>CO</w:t>
      </w:r>
      <w:r w:rsidR="00CC34E4" w:rsidRPr="00EA19F0">
        <w:rPr>
          <w:rFonts w:ascii="Cambria Math" w:hAnsi="Cambria Math" w:cs="Cambria Math"/>
          <w:sz w:val="24"/>
          <w:szCs w:val="24"/>
        </w:rPr>
        <w:t>₃</w:t>
      </w:r>
      <w:r w:rsidR="00CC34E4" w:rsidRPr="00EA19F0">
        <w:rPr>
          <w:rFonts w:ascii="Arial" w:hAnsi="Arial" w:cs="Arial"/>
          <w:sz w:val="24"/>
          <w:szCs w:val="24"/>
        </w:rPr>
        <w:t>²</w:t>
      </w:r>
      <w:r w:rsidR="00CC34E4" w:rsidRPr="00EA19F0">
        <w:rPr>
          <w:rFonts w:ascii="Cambria Math" w:hAnsi="Cambria Math" w:cs="Cambria Math"/>
          <w:sz w:val="24"/>
          <w:szCs w:val="24"/>
        </w:rPr>
        <w:t>⁻</w:t>
      </w:r>
      <w:r w:rsidR="00CC34E4" w:rsidRPr="00EA19F0">
        <w:rPr>
          <w:rFonts w:asciiTheme="minorBidi" w:hAnsiTheme="minorBidi"/>
          <w:sz w:val="24"/>
          <w:szCs w:val="24"/>
        </w:rPr>
        <w:t xml:space="preserve"> remains negligible in all seasons. </w:t>
      </w:r>
      <w:r w:rsidR="00F05319" w:rsidRPr="00EA19F0">
        <w:rPr>
          <w:rFonts w:asciiTheme="minorBidi" w:hAnsiTheme="minorBidi"/>
          <w:sz w:val="24"/>
          <w:szCs w:val="24"/>
        </w:rPr>
        <w:t>SO</w:t>
      </w:r>
      <w:r w:rsidR="00F05319" w:rsidRPr="00EA19F0">
        <w:rPr>
          <w:rFonts w:ascii="Cambria Math" w:hAnsi="Cambria Math" w:cs="Cambria Math"/>
          <w:sz w:val="24"/>
          <w:szCs w:val="24"/>
        </w:rPr>
        <w:t>₄</w:t>
      </w:r>
      <w:r w:rsidR="00F05319" w:rsidRPr="00EA19F0">
        <w:rPr>
          <w:rFonts w:ascii="Arial" w:hAnsi="Arial" w:cs="Arial"/>
          <w:sz w:val="24"/>
          <w:szCs w:val="24"/>
        </w:rPr>
        <w:t>²</w:t>
      </w:r>
      <w:r w:rsidR="00F05319" w:rsidRPr="00EA19F0">
        <w:rPr>
          <w:rFonts w:ascii="Cambria Math" w:hAnsi="Cambria Math" w:cs="Cambria Math"/>
          <w:sz w:val="24"/>
          <w:szCs w:val="24"/>
        </w:rPr>
        <w:t>⁻</w:t>
      </w:r>
      <w:r w:rsidR="00F05319" w:rsidRPr="00EA19F0">
        <w:rPr>
          <w:rFonts w:asciiTheme="minorBidi" w:hAnsiTheme="minorBidi"/>
          <w:sz w:val="24"/>
          <w:szCs w:val="24"/>
        </w:rPr>
        <w:t xml:space="preserve"> concentrations </w:t>
      </w:r>
      <w:r w:rsidR="00B4596D">
        <w:rPr>
          <w:rFonts w:asciiTheme="minorBidi" w:hAnsiTheme="minorBidi"/>
          <w:sz w:val="24"/>
          <w:szCs w:val="24"/>
        </w:rPr>
        <w:t>were recorded</w:t>
      </w:r>
      <w:r w:rsidR="00F05319" w:rsidRPr="00EA19F0">
        <w:rPr>
          <w:rFonts w:asciiTheme="minorBidi" w:hAnsiTheme="minorBidi"/>
          <w:sz w:val="24"/>
          <w:szCs w:val="24"/>
        </w:rPr>
        <w:t xml:space="preserve"> </w:t>
      </w:r>
      <w:r w:rsidR="00B4596D">
        <w:rPr>
          <w:rFonts w:asciiTheme="minorBidi" w:hAnsiTheme="minorBidi"/>
          <w:sz w:val="24"/>
          <w:szCs w:val="24"/>
        </w:rPr>
        <w:t xml:space="preserve">as </w:t>
      </w:r>
      <w:r w:rsidR="00F05319" w:rsidRPr="00EA19F0">
        <w:rPr>
          <w:rFonts w:asciiTheme="minorBidi" w:hAnsiTheme="minorBidi"/>
          <w:sz w:val="24"/>
          <w:szCs w:val="24"/>
        </w:rPr>
        <w:t xml:space="preserve">lowest in </w:t>
      </w:r>
      <w:r w:rsidR="00D26E99" w:rsidRPr="00EA19F0">
        <w:rPr>
          <w:rFonts w:asciiTheme="minorBidi" w:hAnsiTheme="minorBidi"/>
          <w:sz w:val="24"/>
          <w:szCs w:val="24"/>
        </w:rPr>
        <w:t>EMP</w:t>
      </w:r>
      <w:r w:rsidR="00B4596D">
        <w:rPr>
          <w:rFonts w:asciiTheme="minorBidi" w:hAnsiTheme="minorBidi"/>
          <w:sz w:val="24"/>
          <w:szCs w:val="24"/>
        </w:rPr>
        <w:t xml:space="preserve"> </w:t>
      </w:r>
      <w:r w:rsidR="005C40C5" w:rsidRPr="00EA19F0">
        <w:rPr>
          <w:rFonts w:asciiTheme="minorBidi" w:hAnsiTheme="minorBidi"/>
          <w:sz w:val="24"/>
          <w:szCs w:val="24"/>
        </w:rPr>
        <w:t>and highest</w:t>
      </w:r>
      <w:r w:rsidR="00B4596D">
        <w:rPr>
          <w:rFonts w:asciiTheme="minorBidi" w:hAnsiTheme="minorBidi"/>
          <w:sz w:val="24"/>
          <w:szCs w:val="24"/>
        </w:rPr>
        <w:t xml:space="preserve"> </w:t>
      </w:r>
      <w:r w:rsidR="005C40C5" w:rsidRPr="00EA19F0">
        <w:rPr>
          <w:rFonts w:asciiTheme="minorBidi" w:hAnsiTheme="minorBidi"/>
          <w:sz w:val="24"/>
          <w:szCs w:val="24"/>
        </w:rPr>
        <w:t>during LMP</w:t>
      </w:r>
      <w:r w:rsidR="00D26E99" w:rsidRPr="00EA19F0">
        <w:rPr>
          <w:rFonts w:asciiTheme="minorBidi" w:hAnsiTheme="minorBidi"/>
          <w:sz w:val="24"/>
          <w:szCs w:val="24"/>
        </w:rPr>
        <w:t>.</w:t>
      </w:r>
      <w:r w:rsidR="00F05319" w:rsidRPr="00EA19F0">
        <w:rPr>
          <w:rFonts w:asciiTheme="minorBidi" w:hAnsiTheme="minorBidi"/>
          <w:sz w:val="24"/>
          <w:szCs w:val="24"/>
        </w:rPr>
        <w:t xml:space="preserve"> </w:t>
      </w:r>
      <w:r w:rsidR="001C6C3E" w:rsidRPr="00EA19F0">
        <w:rPr>
          <w:rFonts w:asciiTheme="minorBidi" w:hAnsiTheme="minorBidi"/>
          <w:sz w:val="24"/>
          <w:szCs w:val="24"/>
        </w:rPr>
        <w:t xml:space="preserve">Increase in sulphate from EMP to LMP reflects glacier retreat, which exposes larger sulphide-bearing rocks to oxidation and water interaction. A study by </w:t>
      </w:r>
      <w:r w:rsidR="001C6C3E" w:rsidRPr="00EA19F0">
        <w:rPr>
          <w:rFonts w:asciiTheme="minorBidi" w:hAnsiTheme="minorBidi"/>
          <w:color w:val="0070C0"/>
          <w:sz w:val="24"/>
          <w:szCs w:val="24"/>
        </w:rPr>
        <w:fldChar w:fldCharType="begin"/>
      </w:r>
      <w:r w:rsidR="00957F75" w:rsidRPr="00EA19F0">
        <w:rPr>
          <w:rFonts w:asciiTheme="minorBidi" w:hAnsiTheme="minorBidi"/>
          <w:color w:val="0070C0"/>
          <w:sz w:val="24"/>
          <w:szCs w:val="24"/>
        </w:rPr>
        <w:instrText xml:space="preserve"> ADDIN ZOTERO_ITEM CSL_CITATION {"citationID":"WEAtDqIN","properties":{"formattedCitation":"(Salerno et al., 2016)","plainCitation":"(Salerno et al., 2016)","dontUpdate":true,"noteIndex":0},"citationItems":[{"id":1577,"uris":["http://zotero.org/users/17566097/items/WJLUZHQ3"],"itemData":{"id":1577,"type":"article-journal","abstract":"Over the past two decades, we observed a substantial rise in ionic content that was mainly determined by the sulfate concentration at 20 remote high elevation lakes located in central southern Himalaya. At LCN9, which was monitored on an annual basis for the last 20 years, the sulfate concentrations increased over 4-fold. Among the main causes, we exclude a change in the composition of wet atmospheric deposition, as well as a possible influence of decrease in seasonal snow cover duration, which could have exposed larger basin surfaces to alteration processes. Glacier retreat likely was the main factor responsible for the observed increase of sulfate concentrations. We attribute this chemical changes mainly to the sulfide oxidation processes that occur in subglacial environments. Moreover, we observe that the weakened monsoon of the past two decades has only partially contributed to the lakes enrichment through runoff waters that are more concentrated in solutes or lowering the water table, resulting in more rock exposed to air and enhanced mineral oxidation.","container-title":"Environmental Science &amp; Technology","DOI":"10.1021/acs.est.6b02735","ISSN":"0013-936X","issue":"17","journalAbbreviation":"Environ. Sci. Technol.","note":"publisher: American Chemical Society","page":"9150-9160","source":"ACS Publications","title":"Glacier Melting Increases the Solute Concentrations of Himalayan Glacial Lakes","URL":"https://doi.org/10.1021/acs.est.6b02735","volume":"50","author":[{"family":"Salerno","given":"Franco"},{"family":"Rogora","given":"Michela"},{"family":"Balestrini","given":"Raffaella"},{"family":"Lami","given":"Andrea"},{"family":"Tartari","given":"Gabriele A."},{"family":"Thakuri","given":"Sudeep"},{"family":"Godone","given":"Danilo"},{"family":"Freppaz","given":"Michele"},{"family":"Tartari","given":"Gianni"}],"accessed":{"date-parts":[["2025",8,11]]},"issued":{"date-parts":[["2016",9,6]]}}}],"schema":"https://github.com/citation-style-language/schema/raw/master/csl-citation.json"} </w:instrText>
      </w:r>
      <w:r w:rsidR="001C6C3E" w:rsidRPr="00EA19F0">
        <w:rPr>
          <w:rFonts w:asciiTheme="minorBidi" w:hAnsiTheme="minorBidi"/>
          <w:color w:val="0070C0"/>
          <w:sz w:val="24"/>
          <w:szCs w:val="24"/>
        </w:rPr>
        <w:fldChar w:fldCharType="separate"/>
      </w:r>
      <w:r w:rsidR="001C6C3E" w:rsidRPr="00EA19F0">
        <w:rPr>
          <w:rFonts w:asciiTheme="minorBidi" w:hAnsiTheme="minorBidi"/>
          <w:color w:val="0070C0"/>
          <w:sz w:val="24"/>
          <w:szCs w:val="24"/>
        </w:rPr>
        <w:t>Salerno et al. (2016)</w:t>
      </w:r>
      <w:r w:rsidR="001C6C3E" w:rsidRPr="00EA19F0">
        <w:rPr>
          <w:rFonts w:asciiTheme="minorBidi" w:hAnsiTheme="minorBidi"/>
          <w:color w:val="0070C0"/>
          <w:sz w:val="24"/>
          <w:szCs w:val="24"/>
        </w:rPr>
        <w:fldChar w:fldCharType="end"/>
      </w:r>
      <w:r w:rsidR="001C6C3E" w:rsidRPr="00EA19F0">
        <w:rPr>
          <w:rFonts w:asciiTheme="minorBidi" w:hAnsiTheme="minorBidi"/>
          <w:sz w:val="24"/>
          <w:szCs w:val="24"/>
        </w:rPr>
        <w:t xml:space="preserve"> reported a fourfold rise in sulphate in high-elevation Himalayan lakes over two decades, confirming that glacier melting and associated sulphide oxidation are the dominant drivers, while atmospheric deposition and snow cover changes are negligible</w:t>
      </w:r>
      <w:r w:rsidR="00DB3371">
        <w:rPr>
          <w:rFonts w:asciiTheme="minorBidi" w:hAnsiTheme="minorBidi"/>
          <w:sz w:val="24"/>
          <w:szCs w:val="24"/>
        </w:rPr>
        <w:t xml:space="preserve"> </w:t>
      </w:r>
      <w:r w:rsidR="006145EE" w:rsidRPr="00DB3371">
        <w:rPr>
          <w:rFonts w:asciiTheme="minorBidi" w:hAnsiTheme="minorBidi"/>
          <w:color w:val="0070C0"/>
          <w:sz w:val="24"/>
          <w:szCs w:val="24"/>
        </w:rPr>
        <w:fldChar w:fldCharType="begin"/>
      </w:r>
      <w:r w:rsidR="00445DFA" w:rsidRPr="00DB3371">
        <w:rPr>
          <w:rFonts w:asciiTheme="minorBidi" w:hAnsiTheme="minorBidi"/>
          <w:color w:val="0070C0"/>
          <w:sz w:val="24"/>
          <w:szCs w:val="24"/>
        </w:rPr>
        <w:instrText xml:space="preserve"> ADDIN ZOTERO_ITEM CSL_CITATION {"citationID":"a8j9to5d5k","properties":{"formattedCitation":"(Salerno et al., 2016)","plainCitation":"(Salerno et al., 2016)","noteIndex":0},"citationItems":[{"id":1577,"uris":["http://zotero.org/users/17566097/items/WJLUZHQ3"],"itemData":{"id":1577,"type":"article-journal","abstract":"Over the past two decades, we observed a substantial rise in ionic content that was mainly determined by the sulfate concentration at 20 remote high elevation lakes located in central southern Himalaya. At LCN9, which was monitored on an annual basis for the last 20 years, the sulfate concentrations increased over 4-fold. Among the main causes, we exclude a change in the composition of wet atmospheric deposition, as well as a possible influence of decrease in seasonal snow cover duration, which could have exposed larger basin surfaces to alteration processes. Glacier retreat likely was the main factor responsible for the observed increase of sulfate concentrations. We attribute this chemical changes mainly to the sulfide oxidation processes that occur in subglacial environments. Moreover, we observe that the weakened monsoon of the past two decades has only partially contributed to the lakes enrichment through runoff waters that are more concentrated in solutes or lowering the water table, resulting in more rock exposed to air and enhanced mineral oxidation.","container-title":"Environmental Science &amp; Technology","DOI":"10.1021/acs.est.6b02735","ISSN":"0013-936X","issue":"17","journalAbbreviation":"Environ. Sci. Technol.","note":"publisher: American Chemical Society","page":"9150-9160","source":"ACS Publications","title":"Glacier Melting Increases the Solute Concentrations of Himalayan Glacial Lakes","URL":"https://doi.org/10.1021/acs.est.6b02735","volume":"50","author":[{"family":"Salerno","given":"Franco"},{"family":"Rogora","given":"Michela"},{"family":"Balestrini","given":"Raffaella"},{"family":"Lami","given":"Andrea"},{"family":"Tartari","given":"Gabriele A."},{"family":"Thakuri","given":"Sudeep"},{"family":"Godone","given":"Danilo"},{"family":"Freppaz","given":"Michele"},{"family":"Tartari","given":"Gianni"}],"accessed":{"date-parts":[["2025",8,11]]},"issued":{"date-parts":[["2016",9,6]]}}}],"schema":"https://github.com/citation-style-language/schema/raw/master/csl-citation.json"} </w:instrText>
      </w:r>
      <w:r w:rsidR="006145EE" w:rsidRPr="00DB3371">
        <w:rPr>
          <w:rFonts w:asciiTheme="minorBidi" w:hAnsiTheme="minorBidi"/>
          <w:color w:val="0070C0"/>
          <w:sz w:val="24"/>
          <w:szCs w:val="24"/>
        </w:rPr>
        <w:fldChar w:fldCharType="separate"/>
      </w:r>
      <w:r w:rsidR="00BA3E59" w:rsidRPr="00DB3371">
        <w:rPr>
          <w:rFonts w:ascii="Arial" w:hAnsi="Arial" w:cs="Arial"/>
          <w:color w:val="0070C0"/>
          <w:sz w:val="24"/>
          <w:szCs w:val="24"/>
        </w:rPr>
        <w:t>(Salerno et al., 2016)</w:t>
      </w:r>
      <w:r w:rsidR="006145EE" w:rsidRPr="00DB3371">
        <w:rPr>
          <w:rFonts w:asciiTheme="minorBidi" w:hAnsiTheme="minorBidi"/>
          <w:color w:val="0070C0"/>
          <w:sz w:val="24"/>
          <w:szCs w:val="24"/>
        </w:rPr>
        <w:fldChar w:fldCharType="end"/>
      </w:r>
      <w:r w:rsidR="001C6C3E" w:rsidRPr="00EA19F0">
        <w:rPr>
          <w:rFonts w:asciiTheme="minorBidi" w:hAnsiTheme="minorBidi"/>
          <w:sz w:val="24"/>
          <w:szCs w:val="24"/>
        </w:rPr>
        <w:t xml:space="preserve">. </w:t>
      </w:r>
      <w:r w:rsidR="00CC34E4" w:rsidRPr="00EA19F0">
        <w:rPr>
          <w:rFonts w:asciiTheme="minorBidi" w:hAnsiTheme="minorBidi"/>
          <w:sz w:val="24"/>
          <w:szCs w:val="24"/>
        </w:rPr>
        <w:t xml:space="preserve">The </w:t>
      </w:r>
      <w:r w:rsidR="00B4596D">
        <w:rPr>
          <w:rFonts w:asciiTheme="minorBidi" w:hAnsiTheme="minorBidi"/>
          <w:sz w:val="24"/>
          <w:szCs w:val="24"/>
        </w:rPr>
        <w:t>Cl</w:t>
      </w:r>
      <w:r w:rsidR="00B4596D" w:rsidRPr="00EA19F0">
        <w:rPr>
          <w:rFonts w:ascii="Cambria Math" w:hAnsi="Cambria Math" w:cs="Cambria Math"/>
          <w:sz w:val="24"/>
          <w:szCs w:val="24"/>
        </w:rPr>
        <w:t>⁻</w:t>
      </w:r>
      <w:r w:rsidR="00B4596D" w:rsidRPr="00EA19F0">
        <w:rPr>
          <w:rFonts w:asciiTheme="minorBidi" w:hAnsiTheme="minorBidi"/>
          <w:sz w:val="24"/>
          <w:szCs w:val="24"/>
        </w:rPr>
        <w:t xml:space="preserve"> </w:t>
      </w:r>
      <w:r w:rsidR="00CC34E4" w:rsidRPr="00EA19F0">
        <w:rPr>
          <w:rFonts w:asciiTheme="minorBidi" w:hAnsiTheme="minorBidi"/>
          <w:sz w:val="24"/>
          <w:szCs w:val="24"/>
        </w:rPr>
        <w:t xml:space="preserve">level showed seasonal </w:t>
      </w:r>
      <w:r w:rsidR="00B4596D">
        <w:rPr>
          <w:rFonts w:asciiTheme="minorBidi" w:hAnsiTheme="minorBidi"/>
          <w:sz w:val="24"/>
          <w:szCs w:val="24"/>
        </w:rPr>
        <w:t xml:space="preserve">variation, with the lowest value </w:t>
      </w:r>
      <w:r w:rsidR="00E91738" w:rsidRPr="00EA19F0">
        <w:rPr>
          <w:rFonts w:asciiTheme="minorBidi" w:hAnsiTheme="minorBidi"/>
          <w:sz w:val="24"/>
          <w:szCs w:val="24"/>
        </w:rPr>
        <w:t>recorded</w:t>
      </w:r>
      <w:r w:rsidR="00B4596D">
        <w:rPr>
          <w:rFonts w:asciiTheme="minorBidi" w:hAnsiTheme="minorBidi"/>
          <w:sz w:val="24"/>
          <w:szCs w:val="24"/>
        </w:rPr>
        <w:t xml:space="preserve"> </w:t>
      </w:r>
      <w:r w:rsidR="00CC34E4" w:rsidRPr="00EA19F0">
        <w:rPr>
          <w:rFonts w:asciiTheme="minorBidi" w:hAnsiTheme="minorBidi"/>
          <w:sz w:val="24"/>
          <w:szCs w:val="24"/>
        </w:rPr>
        <w:t xml:space="preserve">in </w:t>
      </w:r>
      <w:r w:rsidR="00B4596D">
        <w:rPr>
          <w:rFonts w:asciiTheme="minorBidi" w:hAnsiTheme="minorBidi"/>
          <w:sz w:val="24"/>
          <w:szCs w:val="24"/>
        </w:rPr>
        <w:t xml:space="preserve">the </w:t>
      </w:r>
      <w:r w:rsidR="00CC34E4" w:rsidRPr="00EA19F0">
        <w:rPr>
          <w:rFonts w:asciiTheme="minorBidi" w:hAnsiTheme="minorBidi"/>
          <w:sz w:val="24"/>
          <w:szCs w:val="24"/>
        </w:rPr>
        <w:t>LMP</w:t>
      </w:r>
      <w:r w:rsidR="00B4596D">
        <w:rPr>
          <w:rFonts w:asciiTheme="minorBidi" w:hAnsiTheme="minorBidi"/>
          <w:sz w:val="24"/>
          <w:szCs w:val="24"/>
        </w:rPr>
        <w:t xml:space="preserve"> and the </w:t>
      </w:r>
      <w:r w:rsidR="00CC34E4" w:rsidRPr="00EA19F0">
        <w:rPr>
          <w:rFonts w:asciiTheme="minorBidi" w:hAnsiTheme="minorBidi"/>
          <w:sz w:val="24"/>
          <w:szCs w:val="24"/>
        </w:rPr>
        <w:t xml:space="preserve">highest in </w:t>
      </w:r>
      <w:r w:rsidR="00B4596D">
        <w:rPr>
          <w:rFonts w:asciiTheme="minorBidi" w:hAnsiTheme="minorBidi"/>
          <w:sz w:val="24"/>
          <w:szCs w:val="24"/>
        </w:rPr>
        <w:t xml:space="preserve">the </w:t>
      </w:r>
      <w:r w:rsidR="00CC34E4" w:rsidRPr="00EA19F0">
        <w:rPr>
          <w:rFonts w:asciiTheme="minorBidi" w:hAnsiTheme="minorBidi"/>
          <w:sz w:val="24"/>
          <w:szCs w:val="24"/>
        </w:rPr>
        <w:t>PMP.</w:t>
      </w:r>
      <w:r w:rsidR="00CC0CBD" w:rsidRPr="00EA19F0">
        <w:rPr>
          <w:rFonts w:asciiTheme="minorBidi" w:hAnsiTheme="minorBidi"/>
          <w:sz w:val="24"/>
          <w:szCs w:val="24"/>
        </w:rPr>
        <w:t xml:space="preserve"> </w:t>
      </w:r>
      <w:r w:rsidR="00227FC3" w:rsidRPr="00EA19F0">
        <w:rPr>
          <w:rFonts w:asciiTheme="minorBidi" w:hAnsiTheme="minorBidi"/>
          <w:sz w:val="24"/>
          <w:szCs w:val="24"/>
        </w:rPr>
        <w:t>F</w:t>
      </w:r>
      <w:r w:rsidR="00227FC3" w:rsidRPr="00EA19F0">
        <w:rPr>
          <w:rFonts w:ascii="Cambria Math" w:hAnsi="Cambria Math" w:cs="Cambria Math"/>
          <w:sz w:val="24"/>
          <w:szCs w:val="24"/>
        </w:rPr>
        <w:t>⁻</w:t>
      </w:r>
      <w:r w:rsidR="00227FC3" w:rsidRPr="00EA19F0">
        <w:rPr>
          <w:rFonts w:asciiTheme="minorBidi" w:hAnsiTheme="minorBidi"/>
          <w:sz w:val="24"/>
          <w:szCs w:val="24"/>
        </w:rPr>
        <w:t xml:space="preserve"> was detected during PMP only; an </w:t>
      </w:r>
      <w:r w:rsidR="00CC0CBD" w:rsidRPr="00EA19F0">
        <w:rPr>
          <w:rFonts w:asciiTheme="minorBidi" w:hAnsiTheme="minorBidi"/>
          <w:sz w:val="24"/>
          <w:szCs w:val="24"/>
        </w:rPr>
        <w:t>elevated F</w:t>
      </w:r>
      <w:r w:rsidR="00CC0CBD" w:rsidRPr="00EA19F0">
        <w:rPr>
          <w:rFonts w:ascii="Cambria Math" w:hAnsi="Cambria Math" w:cs="Cambria Math"/>
          <w:sz w:val="24"/>
          <w:szCs w:val="24"/>
        </w:rPr>
        <w:t>⁻</w:t>
      </w:r>
      <w:r w:rsidR="00CC0CBD" w:rsidRPr="00EA19F0">
        <w:rPr>
          <w:rFonts w:asciiTheme="minorBidi" w:hAnsiTheme="minorBidi"/>
          <w:sz w:val="24"/>
          <w:szCs w:val="24"/>
        </w:rPr>
        <w:t xml:space="preserve"> </w:t>
      </w:r>
      <w:r w:rsidR="00227FC3" w:rsidRPr="00EA19F0">
        <w:rPr>
          <w:rFonts w:asciiTheme="minorBidi" w:hAnsiTheme="minorBidi"/>
          <w:sz w:val="24"/>
          <w:szCs w:val="24"/>
        </w:rPr>
        <w:t xml:space="preserve">level </w:t>
      </w:r>
      <w:r w:rsidR="00CC0CBD" w:rsidRPr="00EA19F0">
        <w:rPr>
          <w:rFonts w:asciiTheme="minorBidi" w:hAnsiTheme="minorBidi"/>
          <w:sz w:val="24"/>
          <w:szCs w:val="24"/>
        </w:rPr>
        <w:t>was observed at site DR-2</w:t>
      </w:r>
      <w:r w:rsidR="00CC542C" w:rsidRPr="00EA19F0">
        <w:rPr>
          <w:rFonts w:asciiTheme="minorBidi" w:hAnsiTheme="minorBidi"/>
          <w:sz w:val="24"/>
          <w:szCs w:val="24"/>
        </w:rPr>
        <w:t xml:space="preserve">, higher than </w:t>
      </w:r>
      <w:r w:rsidR="006145EE" w:rsidRPr="00EA19F0">
        <w:rPr>
          <w:rFonts w:asciiTheme="minorBidi" w:hAnsiTheme="minorBidi"/>
          <w:sz w:val="24"/>
          <w:szCs w:val="24"/>
        </w:rPr>
        <w:t xml:space="preserve">the </w:t>
      </w:r>
      <w:r w:rsidR="00CC542C" w:rsidRPr="00EA19F0">
        <w:rPr>
          <w:rFonts w:asciiTheme="minorBidi" w:hAnsiTheme="minorBidi"/>
          <w:sz w:val="24"/>
          <w:szCs w:val="24"/>
        </w:rPr>
        <w:t xml:space="preserve">acceptable limit recommended by </w:t>
      </w:r>
      <w:r w:rsidR="00CC542C" w:rsidRPr="000573DC">
        <w:rPr>
          <w:rFonts w:asciiTheme="minorBidi" w:hAnsiTheme="minorBidi"/>
          <w:color w:val="0070C0"/>
          <w:sz w:val="24"/>
          <w:szCs w:val="24"/>
        </w:rPr>
        <w:t xml:space="preserve">BIS (2012) </w:t>
      </w:r>
      <w:r w:rsidR="00CC542C" w:rsidRPr="00EA19F0">
        <w:rPr>
          <w:rFonts w:asciiTheme="minorBidi" w:hAnsiTheme="minorBidi"/>
          <w:sz w:val="24"/>
          <w:szCs w:val="24"/>
        </w:rPr>
        <w:t xml:space="preserve">and </w:t>
      </w:r>
      <w:commentRangeStart w:id="15"/>
      <w:r w:rsidR="00CC542C" w:rsidRPr="000573DC">
        <w:rPr>
          <w:rFonts w:asciiTheme="minorBidi" w:hAnsiTheme="minorBidi"/>
          <w:color w:val="0070C0"/>
          <w:sz w:val="24"/>
          <w:szCs w:val="24"/>
        </w:rPr>
        <w:t>WHO (2017)</w:t>
      </w:r>
      <w:r w:rsidR="00CC542C" w:rsidRPr="00EA19F0">
        <w:rPr>
          <w:rFonts w:asciiTheme="minorBidi" w:hAnsiTheme="minorBidi"/>
          <w:color w:val="0070C0"/>
          <w:sz w:val="24"/>
          <w:szCs w:val="24"/>
        </w:rPr>
        <w:fldChar w:fldCharType="begin"/>
      </w:r>
      <w:r w:rsidR="00BA3E59">
        <w:rPr>
          <w:rFonts w:asciiTheme="minorBidi" w:hAnsiTheme="minorBidi"/>
          <w:color w:val="0070C0"/>
          <w:sz w:val="24"/>
          <w:szCs w:val="24"/>
        </w:rPr>
        <w:instrText xml:space="preserve"> ADDIN ZOTERO_ITEM CSL_CITATION {"citationID":"a6eu41nooh","properties":{"formattedCitation":"(BIS, 2012; Selvam et al., 2021; WHO, 2017)","plainCitation":"(BIS, 2012; Selvam et al., 2021; WHO, 2017)","noteIndex":0},"citationItems":[{"id":1118,"uris":["http://zotero.org/users/17566097/items/TQX3UUJT"],"itemData":{"id":1118,"type":"article-journal","container-title":"Environmental research","note":"publisher: Elsevier","page":"111461","source":"Google Scholar","title":"Assessment of groundwater from an industrial coastal area of south India for human health risk from consumption and irrigation suitability","URL":"https://www.sciencedirect.com/science/article/pii/S0013935121007556","volume":"200","author":[{"family":"Selvam","given":"S."},{"family":"Jesuraja","given":"K."},{"family":"Roy","given":"Priyadarsi D."},{"family":"Venkatramanan","given":"S."},{"family":"Chung","given":"S. Y."},{"family":"Elzain","given":"Hussam Eldin"},{"family":"Muthukumar","given":"P."},{"family":"Nath","given":"Akhila V."},{"family":"Karthik","given":"R."}],"accessed":{"date-parts":[["2024",6,29]]},"issued":{"date-parts":[["2021"]]}}},{"id":1146,"uris":["http://zotero.org/users/17566097/items/BTLWDWN9"],"itemData":{"id":1146,"type":"article-journal","container-title":"New Delhi","page":"2–3","source":"Google Scholar","title":"Bureau of Indian Standards","URL":"https://ratnamani.emetriodemos.com/uploads/quality_certificates/BIS-3589-CS-Kheerwa-2023.pdf","author":[{"family":"BIS","given":"Indian Standard  Drinking Water Specification"}],"accessed":{"date-parts":[["2024",7,13]]},"issued":{"date-parts":[["2012"]]}}},{"id":1370,"uris":["http://zotero.org/users/17566097/items/YIY5IUZZ"],"itemData":{"id":1370,"type":"webpage","abstract":"The fourth edition of the World Health Organization’s (WHO) Guidelines for drinking-water quality (GDWQ) builds on over 50 years of guidance by WHO on drinking-water quality, which has formed an authoritative basis for the setting of national regulations and standards for water safety in support of public health.","container-title":"Guidelines for Drinking Water Quality: Fourth Edition Incorporating the First Addendum. World Health Organization, Geneva.","language":"en","title":"Guidelines for drinking-water quality, 4th edition, incorporating the 1st addendum","URL":"https://www.who.int/publications/i/item/9789241549950","author":[{"family":"WHO","given":""}],"accessed":{"date-parts":[["2025",7,12]]},"issued":{"date-parts":[["2017"]]}}}],"schema":"https://github.com/citation-style-language/schema/raw/master/csl-citation.json"} </w:instrText>
      </w:r>
      <w:r w:rsidR="00CC542C" w:rsidRPr="00EA19F0">
        <w:rPr>
          <w:rFonts w:asciiTheme="minorBidi" w:hAnsiTheme="minorBidi"/>
          <w:color w:val="0070C0"/>
          <w:sz w:val="24"/>
          <w:szCs w:val="24"/>
        </w:rPr>
        <w:fldChar w:fldCharType="separate"/>
      </w:r>
      <w:r w:rsidR="00BA3E59" w:rsidRPr="00BA3E59">
        <w:rPr>
          <w:rFonts w:ascii="Arial" w:hAnsi="Arial" w:cs="Arial"/>
          <w:color w:val="0070C0"/>
          <w:sz w:val="24"/>
          <w:szCs w:val="24"/>
        </w:rPr>
        <w:t>(BIS, 2012; Selvam et al., 2021; WHO, 2017)</w:t>
      </w:r>
      <w:r w:rsidR="00CC542C" w:rsidRPr="00EA19F0">
        <w:rPr>
          <w:rFonts w:asciiTheme="minorBidi" w:hAnsiTheme="minorBidi"/>
          <w:color w:val="0070C0"/>
          <w:sz w:val="24"/>
          <w:szCs w:val="24"/>
        </w:rPr>
        <w:fldChar w:fldCharType="end"/>
      </w:r>
      <w:commentRangeEnd w:id="15"/>
      <w:r w:rsidR="0010719A">
        <w:rPr>
          <w:rStyle w:val="CommentReference"/>
        </w:rPr>
        <w:commentReference w:id="15"/>
      </w:r>
      <w:r w:rsidR="00CC542C" w:rsidRPr="00EA19F0">
        <w:rPr>
          <w:rFonts w:asciiTheme="minorBidi" w:hAnsiTheme="minorBidi"/>
          <w:sz w:val="24"/>
          <w:szCs w:val="24"/>
        </w:rPr>
        <w:t>.</w:t>
      </w:r>
      <w:r w:rsidR="00CC0CBD" w:rsidRPr="00EA19F0">
        <w:rPr>
          <w:rFonts w:asciiTheme="minorBidi" w:hAnsiTheme="minorBidi"/>
          <w:sz w:val="24"/>
          <w:szCs w:val="24"/>
        </w:rPr>
        <w:t xml:space="preserve"> </w:t>
      </w:r>
      <w:r w:rsidR="00BD1BF6" w:rsidRPr="00EA19F0">
        <w:rPr>
          <w:rFonts w:asciiTheme="minorBidi" w:hAnsiTheme="minorBidi"/>
          <w:sz w:val="24"/>
          <w:szCs w:val="24"/>
        </w:rPr>
        <w:t xml:space="preserve">However, the concentration </w:t>
      </w:r>
      <w:r w:rsidR="00595D65" w:rsidRPr="00EA19F0">
        <w:rPr>
          <w:rFonts w:asciiTheme="minorBidi" w:hAnsiTheme="minorBidi"/>
          <w:sz w:val="24"/>
          <w:szCs w:val="24"/>
        </w:rPr>
        <w:t xml:space="preserve">consistently </w:t>
      </w:r>
      <w:r w:rsidR="00227FC3" w:rsidRPr="00EA19F0">
        <w:rPr>
          <w:rFonts w:asciiTheme="minorBidi" w:hAnsiTheme="minorBidi"/>
          <w:sz w:val="24"/>
          <w:szCs w:val="24"/>
        </w:rPr>
        <w:t>decreased</w:t>
      </w:r>
      <w:r w:rsidR="00CC0CBD" w:rsidRPr="00EA19F0">
        <w:rPr>
          <w:rFonts w:asciiTheme="minorBidi" w:hAnsiTheme="minorBidi"/>
          <w:sz w:val="24"/>
          <w:szCs w:val="24"/>
        </w:rPr>
        <w:t xml:space="preserve"> downstream, consistent with a </w:t>
      </w:r>
      <w:r w:rsidR="00227FC3" w:rsidRPr="00EA19F0">
        <w:rPr>
          <w:rFonts w:asciiTheme="minorBidi" w:hAnsiTheme="minorBidi"/>
          <w:sz w:val="24"/>
          <w:szCs w:val="24"/>
        </w:rPr>
        <w:t>localised</w:t>
      </w:r>
      <w:r w:rsidR="00CC0CBD" w:rsidRPr="00EA19F0">
        <w:rPr>
          <w:rFonts w:asciiTheme="minorBidi" w:hAnsiTheme="minorBidi"/>
          <w:sz w:val="24"/>
          <w:szCs w:val="24"/>
        </w:rPr>
        <w:t xml:space="preserve"> anthropogenic input that becomes diluted by tributary mixing. Ongoing works on the Zojila Tunnel are situated near the DR-2, and several materials commonly used in tunnel construction</w:t>
      </w:r>
      <w:r w:rsidR="00227FC3" w:rsidRPr="00EA19F0">
        <w:rPr>
          <w:rFonts w:asciiTheme="minorBidi" w:hAnsiTheme="minorBidi"/>
          <w:sz w:val="24"/>
          <w:szCs w:val="24"/>
        </w:rPr>
        <w:t xml:space="preserve">, </w:t>
      </w:r>
      <w:r w:rsidR="00CC0CBD" w:rsidRPr="00EA19F0">
        <w:rPr>
          <w:rFonts w:asciiTheme="minorBidi" w:hAnsiTheme="minorBidi"/>
          <w:sz w:val="24"/>
          <w:szCs w:val="24"/>
        </w:rPr>
        <w:t>especially shotcrete with alkali-free accelerators that contain fluoride/fluorosilicate species</w:t>
      </w:r>
      <w:r w:rsidR="00227FC3" w:rsidRPr="00EA19F0">
        <w:rPr>
          <w:rFonts w:asciiTheme="minorBidi" w:hAnsiTheme="minorBidi"/>
          <w:sz w:val="24"/>
          <w:szCs w:val="24"/>
        </w:rPr>
        <w:t>, may be responsible for</w:t>
      </w:r>
      <w:r w:rsidR="00CC0CBD" w:rsidRPr="00EA19F0">
        <w:rPr>
          <w:rFonts w:asciiTheme="minorBidi" w:hAnsiTheme="minorBidi"/>
          <w:sz w:val="24"/>
          <w:szCs w:val="24"/>
        </w:rPr>
        <w:t xml:space="preserve"> leachable fluoride. Runoff or wastewater from such works can therefore plausibly contribute F</w:t>
      </w:r>
      <w:r w:rsidR="00CC0CBD" w:rsidRPr="00EA19F0">
        <w:rPr>
          <w:rFonts w:ascii="Cambria Math" w:hAnsi="Cambria Math" w:cs="Cambria Math"/>
          <w:sz w:val="24"/>
          <w:szCs w:val="24"/>
        </w:rPr>
        <w:t>⁻</w:t>
      </w:r>
      <w:r w:rsidR="00CC0CBD" w:rsidRPr="00EA19F0">
        <w:rPr>
          <w:rFonts w:asciiTheme="minorBidi" w:hAnsiTheme="minorBidi"/>
          <w:sz w:val="24"/>
          <w:szCs w:val="24"/>
        </w:rPr>
        <w:t xml:space="preserve"> to nearby surface waters</w:t>
      </w:r>
      <w:r w:rsidR="00227FC3" w:rsidRPr="00EA19F0">
        <w:rPr>
          <w:rFonts w:asciiTheme="minorBidi" w:hAnsiTheme="minorBidi"/>
          <w:sz w:val="24"/>
          <w:szCs w:val="24"/>
        </w:rPr>
        <w:t xml:space="preserve"> </w:t>
      </w:r>
      <w:r w:rsidR="00227FC3"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{"citationID":"H6unr6Wp","properties":{"formattedCitation":"(Wang et al., 2025, 2022)","plainCitation":"(Wang et al., 2025, 2022)","noteIndex":0},"citationItems":[{"id":1696,"uris":["http://zotero.org/users/17566097/items/NDXMFEEI"],"itemData":{"id":1696,"type":"article-journal","abstract":"The liquid accelerator plays a vital role in shotcrete construction. Now, liquid accelerators exhibit several serious issues, including slow setting times, low late-stage strength and high preparation costs. Despite the availability of various types of liquid accelerators on the market, addressing these issues remains challenging. In this study, a low-alkali liquid accelerator (SLA) is prepared using the water bath heating method. This accelerator promotes the setting and hardening of cement and improves late-stage strength through the synergistic effect of low dosages of sodium fluorosilicate (SF) and sodium silicate (SS), while also reducing the preparation costs. At a dosage of 7% SLA, the cement paste achieves a final setting time of 3 min 30 s. The 1 day compressive strength of the mortar reaches 9.5 MPa, and the 28 day compressive strength is 7% higher than the control sample. It is found that the synergistic effect of SS and SF generates silicon dioxide gels and C–S–H gels while creating an alkaline environment that promotes the dissolution of the coating layer of hydration products and silicate mineral phases. Thus, SLA prepared through the synergistic action of SS and SF effectively overcomes the shortcomings of liquid accelerators.","container-title":"Advances in Cement Research","DOI":"10.1680/jadcr.24.00144","ISSN":"0951-7197","journalAbbreviation":"Advances in Cement Research","page":"1-12","source":"Silverchair","title":"Synergistic effect of sodium metasilicate and sodium fluorosilicate in an accelerator on cement hydration","URL":"https://doi.org/10.1680/jadcr.24.00144","author":[{"family":"Wang","given":"Jiawei"},{"family":"Wu","given":"Zhihong"},{"family":"Li","given":"Chunmei"},{"family":"Pan","given":"Yuexin"},{"family":"Wang","given":"Jin"},{"family":"Qiu","given":"Junlong"},{"family":"Ren","given":"Shufang"},{"family":"Xu","given":"Hongjin"}],"accessed":{"date-parts":[["2025",8,20]]},"issued":{"date-parts":[["2025",3,4]]}}},{"id":1693,"uris":["http://zotero.org/users/17566097/items/FGBMNXP5"],"itemData":{"id":1693,"type":"article-journal","abstract":"Fluoride-containing alkali-free setting accelerators are a common type of admixture used in tunnel shotcrete but few studies in the literature focus on the effect of their fluoride compounds on the setting and hardening properties of accelerated cement paste under low environment temperatures. Tunnel shotcrete in cold regions or winter construction periods would be obviously influenced by low environment temperatures, especially for its fast setting and quick support applications. The objective of this work is to evaluate the early age hydration behavior of different accelerated cement pastes under 20 °C and 5 °C environment temperatures. In this study, setting time measurement, early age strength development, hydration ion leaching concentration, isothermal calorimetry, X-ray diffraction, and ESEM were performed on cement systems prepared with a non-fluoride alkali-free accelerator (aluminum sulfate solution with over 60% solid content) and a designed fluoride-containing alkali-free setting accelerator (aluminum sulfate and fluoride compound). The results showed that the fluorides obtained in alkali-free accelerators promote C3S dissolution and massive ettringite needles together with monosulfoaluminate (AFm) hydrate formation, thus leading to a quicker setting effect and low sensitivity to low environment temperatures than in non- fluoride groups. However, the rate of mechanical strength development of cement pastes hydrated within 24 h was decreased obviously when fluorine-containing alkali-free accelerator was used. This phenomenon is mainly related to the crystallization of thin-plate shape calcium fluoride (CaF2) formations and promoted conversion of ettringite to monosulfoaluminate hydrate in the accelerating period, thus weakening the denseness of C-S-H gel and inhibiting alite further hydration.","container-title":"Materials","DOI":"10.3390/ma15196907","ISSN":"1996-1944","issue":"19","language":"en","license":"http://creativecommons.org/licenses/by/3.0/","note":"publisher: Multidisciplinary Digital Publishing Institute","page":"6907","source":"www.mdpi.com","title":"The Influence of Alkali-Free Shotcrete Accelerators on Early Age Hydration and Property Development within Cement Systems","URL":"https://www.mdpi.com/1996-1944/15/19/6907","volume":"15","author":[{"family":"Wang","given":"Wei"},{"family":"Zeng","given":"Luping"},{"family":"Du","given":"Shuang"},{"family":"Qiao","given":"Min"},{"family":"Chen","given":"Junsong"},{"family":"Zhu","given":"Bosong"}],"accessed":{"date-parts":[["2025",8,20]]},"issued":{"date-parts":[["2022",1]]}}}],"schema":"https://github.com/citation-style-language/schema/raw/master/csl-citation.json"} </w:instrText>
      </w:r>
      <w:r w:rsidR="00227FC3" w:rsidRPr="00EA19F0">
        <w:rPr>
          <w:rFonts w:asciiTheme="minorBidi" w:hAnsiTheme="minorBidi"/>
          <w:color w:val="0070C0"/>
          <w:sz w:val="24"/>
          <w:szCs w:val="24"/>
        </w:rPr>
        <w:fldChar w:fldCharType="separate"/>
      </w:r>
      <w:r w:rsidR="00445DFA" w:rsidRPr="00EA19F0">
        <w:rPr>
          <w:rFonts w:asciiTheme="minorBidi" w:hAnsiTheme="minorBidi"/>
          <w:color w:val="0070C0"/>
          <w:sz w:val="24"/>
        </w:rPr>
        <w:t>(Wang et al., 2025, 2022)</w:t>
      </w:r>
      <w:r w:rsidR="00227FC3" w:rsidRPr="00EA19F0">
        <w:rPr>
          <w:rFonts w:asciiTheme="minorBidi" w:hAnsiTheme="minorBidi"/>
          <w:color w:val="0070C0"/>
          <w:sz w:val="24"/>
          <w:szCs w:val="24"/>
        </w:rPr>
        <w:fldChar w:fldCharType="end"/>
      </w:r>
      <w:r w:rsidR="00CC0CBD" w:rsidRPr="00EA19F0">
        <w:rPr>
          <w:rFonts w:asciiTheme="minorBidi" w:hAnsiTheme="minorBidi"/>
          <w:color w:val="0070C0"/>
          <w:sz w:val="24"/>
          <w:szCs w:val="24"/>
        </w:rPr>
        <w:t>.</w:t>
      </w:r>
      <w:r w:rsidR="00CC0CBD" w:rsidRPr="00EA19F0">
        <w:rPr>
          <w:rFonts w:asciiTheme="minorBidi" w:hAnsiTheme="minorBidi"/>
          <w:sz w:val="24"/>
          <w:szCs w:val="24"/>
        </w:rPr>
        <w:t xml:space="preserve"> By contrast, natural F</w:t>
      </w:r>
      <w:r w:rsidR="00CC0CBD" w:rsidRPr="00EA19F0">
        <w:rPr>
          <w:rFonts w:ascii="Cambria Math" w:hAnsi="Cambria Math" w:cs="Cambria Math"/>
          <w:sz w:val="24"/>
          <w:szCs w:val="24"/>
        </w:rPr>
        <w:t>⁻</w:t>
      </w:r>
      <w:r w:rsidR="00CC0CBD" w:rsidRPr="00EA19F0">
        <w:rPr>
          <w:rFonts w:asciiTheme="minorBidi" w:hAnsiTheme="minorBidi"/>
          <w:sz w:val="24"/>
          <w:szCs w:val="24"/>
        </w:rPr>
        <w:t xml:space="preserve"> in Himalayan settings typically derives from weathering of F-bearing minerals (e.g., fluorite/apatite)</w:t>
      </w:r>
      <w:r w:rsidR="007E12D9" w:rsidRPr="00EA19F0">
        <w:rPr>
          <w:rFonts w:asciiTheme="minorBidi" w:hAnsiTheme="minorBidi"/>
          <w:sz w:val="24"/>
          <w:szCs w:val="24"/>
        </w:rPr>
        <w:t xml:space="preserve"> </w:t>
      </w:r>
      <w:r w:rsidR="007E12D9"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{"citationID":"RV6YEn0e","properties":{"formattedCitation":"(Natarajan and Subramanian, 2001)","plainCitation":"(Natarajan and Subramanian, 2001)","noteIndex":0},"citationItems":[{"id":1699,"uris":["http://zotero.org/users/17566097/items/GPUMQPJI"],"itemData":{"id":1699,"type":"article-journal","abstract":"Fluoride levels in various types of environmental samples show wide variations from a low of 1.2 μg/m3 in the air samples over Delhi to a very high value of over 18,000 μg/l in a hot spring in the Western Ghats region, due to which the surface water samples in the mountain streams generally show higher F levels. Large rivers with large run-off show higher levels of fluoride and hence greater fluoride flux to the oceans. Higher fluoride exposures due to enhanced application of rock phosphates adversely affect the health of our aquatic environment, in addition to decreasing the per capita availability of safe drinking water.","container-title":"Current Science","journalAbbreviation":"Current Science","page":"1312-1319","source":"ResearchGate","title":"Fluoride concentration in river waters of south Asia","volume":"80","author":[{"family":"Natarajan","given":"Madhavan"},{"family":"Subramanian","given":"Venkatraman"}],"issued":{"date-parts":[["2001",5,25]]}}}],"schema":"https://github.com/citation-style-language/schema/raw/master/csl-citation.json"} </w:instrText>
      </w:r>
      <w:r w:rsidR="007E12D9" w:rsidRPr="00EA19F0">
        <w:rPr>
          <w:rFonts w:asciiTheme="minorBidi" w:hAnsiTheme="minorBidi"/>
          <w:color w:val="0070C0"/>
          <w:sz w:val="24"/>
          <w:szCs w:val="24"/>
        </w:rPr>
        <w:fldChar w:fldCharType="separate"/>
      </w:r>
      <w:r w:rsidR="00445DFA" w:rsidRPr="00EA19F0">
        <w:rPr>
          <w:rFonts w:asciiTheme="minorBidi" w:hAnsiTheme="minorBidi"/>
          <w:color w:val="0070C0"/>
          <w:sz w:val="24"/>
        </w:rPr>
        <w:t>(Natarajan and Subramanian, 2001)</w:t>
      </w:r>
      <w:r w:rsidR="007E12D9" w:rsidRPr="00EA19F0">
        <w:rPr>
          <w:rFonts w:asciiTheme="minorBidi" w:hAnsiTheme="minorBidi"/>
          <w:color w:val="0070C0"/>
          <w:sz w:val="24"/>
          <w:szCs w:val="24"/>
        </w:rPr>
        <w:fldChar w:fldCharType="end"/>
      </w:r>
      <w:r w:rsidR="00CC0CBD" w:rsidRPr="00EA19F0">
        <w:rPr>
          <w:rFonts w:asciiTheme="minorBidi" w:hAnsiTheme="minorBidi"/>
          <w:sz w:val="24"/>
          <w:szCs w:val="24"/>
        </w:rPr>
        <w:t xml:space="preserve">; however, the sharp spatial </w:t>
      </w:r>
      <w:r w:rsidR="007E12D9" w:rsidRPr="00EA19F0">
        <w:rPr>
          <w:rFonts w:asciiTheme="minorBidi" w:hAnsiTheme="minorBidi"/>
          <w:sz w:val="24"/>
          <w:szCs w:val="24"/>
        </w:rPr>
        <w:t>rise</w:t>
      </w:r>
      <w:r w:rsidR="00CC0CBD" w:rsidRPr="00EA19F0">
        <w:rPr>
          <w:rFonts w:asciiTheme="minorBidi" w:hAnsiTheme="minorBidi"/>
          <w:sz w:val="24"/>
          <w:szCs w:val="24"/>
        </w:rPr>
        <w:t xml:space="preserve"> at DR-2 during PMP and subsequent downstream dilution are more consistent with a point-proximate construction source than with diffuse lithologic weathering alone.</w:t>
      </w:r>
      <w:r w:rsidR="00ED645B" w:rsidRPr="00EA19F0">
        <w:rPr>
          <w:rFonts w:asciiTheme="minorBidi" w:hAnsiTheme="minorBidi"/>
          <w:sz w:val="24"/>
          <w:szCs w:val="24"/>
        </w:rPr>
        <w:t xml:space="preserve"> </w:t>
      </w:r>
      <w:r w:rsidR="00F05319" w:rsidRPr="00EA19F0">
        <w:rPr>
          <w:rFonts w:asciiTheme="minorBidi" w:hAnsiTheme="minorBidi"/>
          <w:sz w:val="24"/>
          <w:szCs w:val="24"/>
        </w:rPr>
        <w:t>Overall, all measured parameters</w:t>
      </w:r>
      <w:r w:rsidR="00177E0A" w:rsidRPr="00EA19F0">
        <w:rPr>
          <w:rFonts w:asciiTheme="minorBidi" w:hAnsiTheme="minorBidi"/>
          <w:sz w:val="24"/>
          <w:szCs w:val="24"/>
        </w:rPr>
        <w:t>,</w:t>
      </w:r>
      <w:r w:rsidR="0087383A" w:rsidRPr="00EA19F0">
        <w:rPr>
          <w:rFonts w:asciiTheme="minorBidi" w:hAnsiTheme="minorBidi"/>
          <w:sz w:val="24"/>
          <w:szCs w:val="24"/>
        </w:rPr>
        <w:t xml:space="preserve"> except turbidity</w:t>
      </w:r>
      <w:r w:rsidR="00177E0A" w:rsidRPr="00EA19F0">
        <w:rPr>
          <w:rFonts w:asciiTheme="minorBidi" w:hAnsiTheme="minorBidi"/>
          <w:sz w:val="24"/>
          <w:szCs w:val="24"/>
        </w:rPr>
        <w:t>,</w:t>
      </w:r>
      <w:r w:rsidR="0087383A" w:rsidRPr="00EA19F0">
        <w:rPr>
          <w:rFonts w:asciiTheme="minorBidi" w:hAnsiTheme="minorBidi"/>
          <w:sz w:val="24"/>
          <w:szCs w:val="24"/>
        </w:rPr>
        <w:t xml:space="preserve"> </w:t>
      </w:r>
      <w:r w:rsidR="00F05319" w:rsidRPr="00EA19F0">
        <w:rPr>
          <w:rFonts w:asciiTheme="minorBidi" w:hAnsiTheme="minorBidi"/>
          <w:sz w:val="24"/>
          <w:szCs w:val="24"/>
        </w:rPr>
        <w:t xml:space="preserve">remain within the permissible limits for drinking water as per </w:t>
      </w:r>
      <w:r w:rsidR="0087383A" w:rsidRPr="00EA19F0">
        <w:rPr>
          <w:rFonts w:asciiTheme="minorBidi" w:hAnsiTheme="minorBidi"/>
          <w:color w:val="000000" w:themeColor="text1"/>
          <w:sz w:val="24"/>
          <w:szCs w:val="24"/>
        </w:rPr>
        <w:t xml:space="preserve">Bureau of Indian Standards </w:t>
      </w:r>
      <w:r w:rsidR="005F412B" w:rsidRPr="00EA19F0">
        <w:rPr>
          <w:rFonts w:asciiTheme="minorBidi" w:hAnsiTheme="minorBidi"/>
          <w:color w:val="0070C0"/>
          <w:sz w:val="24"/>
          <w:szCs w:val="24"/>
        </w:rPr>
        <w:t>(</w:t>
      </w:r>
      <w:r w:rsidR="0087383A" w:rsidRPr="00EA19F0">
        <w:rPr>
          <w:rFonts w:asciiTheme="minorBidi" w:hAnsiTheme="minorBidi"/>
          <w:color w:val="0070C0"/>
          <w:sz w:val="24"/>
          <w:szCs w:val="24"/>
        </w:rPr>
        <w:t>BIS</w:t>
      </w:r>
      <w:r w:rsidR="005F412B" w:rsidRPr="00EA19F0">
        <w:rPr>
          <w:rFonts w:asciiTheme="minorBidi" w:hAnsiTheme="minorBidi"/>
          <w:color w:val="0070C0"/>
          <w:sz w:val="24"/>
          <w:szCs w:val="24"/>
        </w:rPr>
        <w:t xml:space="preserve">, </w:t>
      </w:r>
      <w:r w:rsidR="0087383A" w:rsidRPr="00EA19F0">
        <w:rPr>
          <w:rFonts w:asciiTheme="minorBidi" w:hAnsiTheme="minorBidi"/>
          <w:color w:val="0070C0"/>
          <w:sz w:val="24"/>
          <w:szCs w:val="24"/>
        </w:rPr>
        <w:t xml:space="preserve">2012) </w:t>
      </w:r>
      <w:r w:rsidR="0087383A" w:rsidRPr="00EA19F0">
        <w:rPr>
          <w:rFonts w:asciiTheme="minorBidi" w:hAnsiTheme="minorBidi"/>
          <w:color w:val="000000" w:themeColor="text1"/>
          <w:sz w:val="24"/>
          <w:szCs w:val="24"/>
        </w:rPr>
        <w:t xml:space="preserve">and World Health Organisation </w:t>
      </w:r>
      <w:r w:rsidR="0087383A" w:rsidRPr="00EA19F0">
        <w:rPr>
          <w:rFonts w:asciiTheme="minorBidi" w:hAnsiTheme="minorBidi"/>
          <w:color w:val="0070C0"/>
          <w:sz w:val="24"/>
          <w:szCs w:val="24"/>
        </w:rPr>
        <w:t>(</w:t>
      </w:r>
      <w:r w:rsidR="00F05319" w:rsidRPr="00EA19F0">
        <w:rPr>
          <w:rFonts w:asciiTheme="minorBidi" w:hAnsiTheme="minorBidi"/>
          <w:color w:val="0070C0"/>
          <w:sz w:val="24"/>
          <w:szCs w:val="24"/>
        </w:rPr>
        <w:t>WHO</w:t>
      </w:r>
      <w:r w:rsidR="0087383A" w:rsidRPr="00EA19F0">
        <w:rPr>
          <w:rFonts w:asciiTheme="minorBidi" w:hAnsiTheme="minorBidi"/>
          <w:color w:val="0070C0"/>
          <w:sz w:val="24"/>
          <w:szCs w:val="24"/>
        </w:rPr>
        <w:t xml:space="preserve">, </w:t>
      </w:r>
      <w:r w:rsidR="00F05319" w:rsidRPr="00EA19F0">
        <w:rPr>
          <w:rFonts w:asciiTheme="minorBidi" w:hAnsiTheme="minorBidi"/>
          <w:color w:val="0070C0"/>
          <w:sz w:val="24"/>
          <w:szCs w:val="24"/>
        </w:rPr>
        <w:t xml:space="preserve">2011) </w:t>
      </w:r>
      <w:r w:rsidR="00177E0A" w:rsidRPr="00EA19F0">
        <w:rPr>
          <w:rFonts w:asciiTheme="minorBidi" w:hAnsiTheme="minorBidi"/>
          <w:sz w:val="24"/>
          <w:szCs w:val="24"/>
        </w:rPr>
        <w:t>guidelines</w:t>
      </w:r>
      <w:r w:rsidR="00177E0A" w:rsidRPr="00EA19F0">
        <w:rPr>
          <w:rFonts w:asciiTheme="minorBidi" w:hAnsiTheme="minorBidi"/>
          <w:color w:val="0070C0"/>
          <w:sz w:val="24"/>
          <w:szCs w:val="24"/>
        </w:rPr>
        <w:t xml:space="preserve">, </w:t>
      </w:r>
      <w:r w:rsidR="00177E0A" w:rsidRPr="00EA19F0">
        <w:rPr>
          <w:rFonts w:asciiTheme="minorBidi" w:hAnsiTheme="minorBidi"/>
          <w:sz w:val="24"/>
          <w:szCs w:val="24"/>
        </w:rPr>
        <w:t>indicating</w:t>
      </w:r>
      <w:r w:rsidR="00F05319" w:rsidRPr="00EA19F0">
        <w:rPr>
          <w:rFonts w:asciiTheme="minorBidi" w:hAnsiTheme="minorBidi"/>
          <w:sz w:val="24"/>
          <w:szCs w:val="24"/>
        </w:rPr>
        <w:t xml:space="preserve"> the suitability of </w:t>
      </w:r>
      <w:r w:rsidR="00C350AB" w:rsidRPr="00EA19F0">
        <w:rPr>
          <w:rFonts w:asciiTheme="minorBidi" w:hAnsiTheme="minorBidi"/>
          <w:sz w:val="24"/>
          <w:szCs w:val="24"/>
        </w:rPr>
        <w:t>D</w:t>
      </w:r>
      <w:r w:rsidR="00F05319" w:rsidRPr="00EA19F0">
        <w:rPr>
          <w:rFonts w:asciiTheme="minorBidi" w:hAnsiTheme="minorBidi"/>
          <w:sz w:val="24"/>
          <w:szCs w:val="24"/>
        </w:rPr>
        <w:t>RB waters for potable use</w:t>
      </w:r>
      <w:r w:rsidR="0087383A" w:rsidRPr="00EA19F0">
        <w:rPr>
          <w:rFonts w:asciiTheme="minorBidi" w:hAnsiTheme="minorBidi"/>
          <w:sz w:val="24"/>
          <w:szCs w:val="24"/>
        </w:rPr>
        <w:t xml:space="preserve"> after proper treatment for turbidity</w:t>
      </w:r>
      <w:r w:rsidR="00F05319" w:rsidRPr="00EA19F0">
        <w:rPr>
          <w:rFonts w:asciiTheme="minorBidi" w:hAnsiTheme="minorBidi"/>
          <w:sz w:val="24"/>
          <w:szCs w:val="24"/>
        </w:rPr>
        <w:t>.</w:t>
      </w:r>
    </w:p>
    <w:p w14:paraId="2C084609" w14:textId="04F25433" w:rsidR="0091040F" w:rsidRPr="000A33CC" w:rsidRDefault="00E327D0" w:rsidP="003261F5">
      <w:pPr>
        <w:pStyle w:val="NoSpacing"/>
        <w:rPr>
          <w:rFonts w:asciiTheme="minorBidi" w:hAnsiTheme="minorBidi"/>
          <w:b/>
          <w:bCs/>
          <w:i/>
          <w:iCs/>
          <w:sz w:val="24"/>
          <w:szCs w:val="24"/>
        </w:rPr>
      </w:pPr>
      <w:r w:rsidRPr="000A33CC">
        <w:rPr>
          <w:rFonts w:asciiTheme="minorBidi" w:hAnsiTheme="minorBidi"/>
          <w:b/>
          <w:bCs/>
          <w:i/>
          <w:iCs/>
          <w:sz w:val="24"/>
          <w:szCs w:val="24"/>
        </w:rPr>
        <w:t>3</w:t>
      </w:r>
      <w:r w:rsidR="00DF19B5" w:rsidRPr="000A33CC">
        <w:rPr>
          <w:rFonts w:asciiTheme="minorBidi" w:hAnsiTheme="minorBidi"/>
          <w:b/>
          <w:bCs/>
          <w:i/>
          <w:iCs/>
          <w:sz w:val="24"/>
          <w:szCs w:val="24"/>
        </w:rPr>
        <w:t xml:space="preserve">.2 </w:t>
      </w:r>
      <w:r w:rsidR="0091040F" w:rsidRPr="000A33CC">
        <w:rPr>
          <w:rFonts w:asciiTheme="minorBidi" w:hAnsiTheme="minorBidi"/>
          <w:b/>
          <w:bCs/>
          <w:i/>
          <w:iCs/>
          <w:sz w:val="24"/>
          <w:szCs w:val="24"/>
        </w:rPr>
        <w:t>Major Ion Chemistry</w:t>
      </w:r>
    </w:p>
    <w:p w14:paraId="0AAFBC15" w14:textId="6FCF0C2C" w:rsidR="00B32453" w:rsidRDefault="0091040F" w:rsidP="00E05DC0">
      <w:pPr>
        <w:pStyle w:val="NoSpacing"/>
        <w:jc w:val="both"/>
        <w:rPr>
          <w:rFonts w:asciiTheme="minorBidi" w:hAnsiTheme="minorBidi"/>
          <w:sz w:val="24"/>
          <w:szCs w:val="24"/>
        </w:rPr>
      </w:pPr>
      <w:r w:rsidRPr="00EA19F0">
        <w:rPr>
          <w:rFonts w:asciiTheme="minorBidi" w:hAnsiTheme="minorBidi"/>
          <w:sz w:val="24"/>
          <w:szCs w:val="24"/>
        </w:rPr>
        <w:t xml:space="preserve">The abundance of cations in the </w:t>
      </w:r>
      <w:r w:rsidR="009C2915" w:rsidRPr="00EA19F0">
        <w:rPr>
          <w:rFonts w:asciiTheme="minorBidi" w:hAnsiTheme="minorBidi"/>
          <w:sz w:val="24"/>
          <w:szCs w:val="24"/>
        </w:rPr>
        <w:t>D</w:t>
      </w:r>
      <w:r w:rsidRPr="00EA19F0">
        <w:rPr>
          <w:rFonts w:asciiTheme="minorBidi" w:hAnsiTheme="minorBidi"/>
          <w:sz w:val="24"/>
          <w:szCs w:val="24"/>
        </w:rPr>
        <w:t xml:space="preserve">RB shows a </w:t>
      </w:r>
      <w:r w:rsidR="009C2915" w:rsidRPr="00EA19F0">
        <w:rPr>
          <w:rFonts w:asciiTheme="minorBidi" w:hAnsiTheme="minorBidi"/>
          <w:sz w:val="24"/>
          <w:szCs w:val="24"/>
        </w:rPr>
        <w:t>consistent</w:t>
      </w:r>
      <w:r w:rsidRPr="00EA19F0">
        <w:rPr>
          <w:rFonts w:asciiTheme="minorBidi" w:hAnsiTheme="minorBidi"/>
          <w:sz w:val="24"/>
          <w:szCs w:val="24"/>
        </w:rPr>
        <w:t xml:space="preserve"> pattern</w:t>
      </w:r>
      <w:r w:rsidR="00811EA1" w:rsidRPr="00EA19F0">
        <w:rPr>
          <w:rFonts w:asciiTheme="minorBidi" w:hAnsiTheme="minorBidi"/>
          <w:sz w:val="24"/>
          <w:szCs w:val="24"/>
        </w:rPr>
        <w:t xml:space="preserve"> following the order </w:t>
      </w:r>
      <w:r w:rsidRPr="00EA19F0">
        <w:rPr>
          <w:rFonts w:asciiTheme="minorBidi" w:hAnsiTheme="minorBidi"/>
          <w:sz w:val="24"/>
          <w:szCs w:val="24"/>
        </w:rPr>
        <w:t>Ca²</w:t>
      </w:r>
      <w:r w:rsidRPr="00EA19F0">
        <w:rPr>
          <w:rFonts w:ascii="Cambria Math" w:hAnsi="Cambria Math" w:cs="Cambria Math"/>
          <w:sz w:val="24"/>
          <w:szCs w:val="24"/>
        </w:rPr>
        <w:t>⁺</w:t>
      </w:r>
      <w:r w:rsidRPr="00EA19F0">
        <w:rPr>
          <w:rFonts w:asciiTheme="minorBidi" w:hAnsiTheme="minorBidi"/>
          <w:sz w:val="24"/>
          <w:szCs w:val="24"/>
        </w:rPr>
        <w:t xml:space="preserve"> &gt; Mg</w:t>
      </w:r>
      <w:r w:rsidRPr="00EA19F0">
        <w:rPr>
          <w:rFonts w:ascii="Arial" w:hAnsi="Arial" w:cs="Arial"/>
          <w:sz w:val="24"/>
          <w:szCs w:val="24"/>
        </w:rPr>
        <w:t>²</w:t>
      </w:r>
      <w:r w:rsidRPr="00EA19F0">
        <w:rPr>
          <w:rFonts w:ascii="Cambria Math" w:hAnsi="Cambria Math" w:cs="Cambria Math"/>
          <w:sz w:val="24"/>
          <w:szCs w:val="24"/>
        </w:rPr>
        <w:t>⁺</w:t>
      </w:r>
      <w:r w:rsidRPr="00EA19F0">
        <w:rPr>
          <w:rFonts w:asciiTheme="minorBidi" w:hAnsiTheme="minorBidi"/>
          <w:sz w:val="24"/>
          <w:szCs w:val="24"/>
        </w:rPr>
        <w:t xml:space="preserve"> </w:t>
      </w:r>
      <w:r w:rsidR="009C2915" w:rsidRPr="00EA19F0">
        <w:rPr>
          <w:rFonts w:asciiTheme="minorBidi" w:hAnsiTheme="minorBidi"/>
          <w:sz w:val="24"/>
          <w:szCs w:val="24"/>
        </w:rPr>
        <w:t>&gt; Na</w:t>
      </w:r>
      <w:r w:rsidR="009C2915" w:rsidRPr="00EA19F0">
        <w:rPr>
          <w:rFonts w:ascii="Cambria Math" w:hAnsi="Cambria Math" w:cs="Cambria Math"/>
          <w:sz w:val="24"/>
          <w:szCs w:val="24"/>
        </w:rPr>
        <w:t>⁺</w:t>
      </w:r>
      <w:r w:rsidR="009C2915" w:rsidRPr="00EA19F0">
        <w:rPr>
          <w:rFonts w:asciiTheme="minorBidi" w:hAnsiTheme="minorBidi"/>
          <w:sz w:val="24"/>
          <w:szCs w:val="24"/>
        </w:rPr>
        <w:t xml:space="preserve"> </w:t>
      </w:r>
      <w:r w:rsidRPr="00EA19F0">
        <w:rPr>
          <w:rFonts w:asciiTheme="minorBidi" w:hAnsiTheme="minorBidi"/>
          <w:sz w:val="24"/>
          <w:szCs w:val="24"/>
        </w:rPr>
        <w:t>&gt; K</w:t>
      </w:r>
      <w:r w:rsidRPr="00EA19F0">
        <w:rPr>
          <w:rFonts w:ascii="Cambria Math" w:hAnsi="Cambria Math" w:cs="Cambria Math"/>
          <w:sz w:val="24"/>
          <w:szCs w:val="24"/>
        </w:rPr>
        <w:t>⁺</w:t>
      </w:r>
      <w:r w:rsidR="00370383" w:rsidRPr="00EA19F0">
        <w:rPr>
          <w:rFonts w:asciiTheme="minorBidi" w:hAnsiTheme="minorBidi"/>
          <w:sz w:val="24"/>
          <w:szCs w:val="24"/>
        </w:rPr>
        <w:t xml:space="preserve"> in all the study periods. </w:t>
      </w:r>
      <w:r w:rsidRPr="00EA19F0">
        <w:rPr>
          <w:rFonts w:asciiTheme="minorBidi" w:hAnsiTheme="minorBidi"/>
          <w:sz w:val="24"/>
          <w:szCs w:val="24"/>
        </w:rPr>
        <w:t xml:space="preserve">In </w:t>
      </w:r>
      <w:r w:rsidR="00024786" w:rsidRPr="00EA19F0">
        <w:rPr>
          <w:rFonts w:asciiTheme="minorBidi" w:hAnsiTheme="minorBidi"/>
          <w:sz w:val="24"/>
          <w:szCs w:val="24"/>
        </w:rPr>
        <w:t>contrast, anions</w:t>
      </w:r>
      <w:r w:rsidR="00811EA1" w:rsidRPr="00EA19F0">
        <w:rPr>
          <w:rFonts w:asciiTheme="minorBidi" w:hAnsiTheme="minorBidi"/>
          <w:sz w:val="24"/>
          <w:szCs w:val="24"/>
        </w:rPr>
        <w:t xml:space="preserve"> show </w:t>
      </w:r>
      <w:r w:rsidR="00024786" w:rsidRPr="00EA19F0">
        <w:rPr>
          <w:rFonts w:asciiTheme="minorBidi" w:hAnsiTheme="minorBidi"/>
          <w:sz w:val="24"/>
          <w:szCs w:val="24"/>
        </w:rPr>
        <w:t>a distinct periodic pattern</w:t>
      </w:r>
      <w:r w:rsidR="00625216" w:rsidRPr="00EA19F0">
        <w:rPr>
          <w:rFonts w:asciiTheme="minorBidi" w:hAnsiTheme="minorBidi"/>
          <w:sz w:val="24"/>
          <w:szCs w:val="24"/>
        </w:rPr>
        <w:t>: in</w:t>
      </w:r>
      <w:r w:rsidR="00024786" w:rsidRPr="00EA19F0">
        <w:rPr>
          <w:rFonts w:asciiTheme="minorBidi" w:hAnsiTheme="minorBidi"/>
          <w:sz w:val="24"/>
          <w:szCs w:val="24"/>
        </w:rPr>
        <w:t xml:space="preserve"> the EMP, the order of anion abundance </w:t>
      </w:r>
      <w:r w:rsidR="00FC13EB" w:rsidRPr="00EA19F0">
        <w:rPr>
          <w:rFonts w:asciiTheme="minorBidi" w:hAnsiTheme="minorBidi"/>
          <w:sz w:val="24"/>
          <w:szCs w:val="24"/>
        </w:rPr>
        <w:t>was</w:t>
      </w:r>
      <w:r w:rsidR="00024786" w:rsidRPr="00EA19F0">
        <w:rPr>
          <w:rFonts w:asciiTheme="minorBidi" w:hAnsiTheme="minorBidi"/>
          <w:sz w:val="24"/>
          <w:szCs w:val="24"/>
        </w:rPr>
        <w:t xml:space="preserve"> HCO</w:t>
      </w:r>
      <w:r w:rsidR="00024786" w:rsidRPr="00EA19F0">
        <w:rPr>
          <w:rFonts w:ascii="Cambria Math" w:hAnsi="Cambria Math" w:cs="Cambria Math"/>
          <w:sz w:val="24"/>
          <w:szCs w:val="24"/>
        </w:rPr>
        <w:t>₃⁻</w:t>
      </w:r>
      <w:r w:rsidR="00024786" w:rsidRPr="00EA19F0">
        <w:rPr>
          <w:rFonts w:asciiTheme="minorBidi" w:hAnsiTheme="minorBidi"/>
          <w:sz w:val="24"/>
          <w:szCs w:val="24"/>
        </w:rPr>
        <w:t xml:space="preserve"> &gt; SO</w:t>
      </w:r>
      <w:r w:rsidR="00024786" w:rsidRPr="00EA19F0">
        <w:rPr>
          <w:rFonts w:ascii="Cambria Math" w:hAnsi="Cambria Math" w:cs="Cambria Math"/>
          <w:sz w:val="24"/>
          <w:szCs w:val="24"/>
        </w:rPr>
        <w:t>₄</w:t>
      </w:r>
      <w:r w:rsidR="00024786" w:rsidRPr="00EA19F0">
        <w:rPr>
          <w:rFonts w:ascii="Arial" w:hAnsi="Arial" w:cs="Arial"/>
          <w:sz w:val="24"/>
          <w:szCs w:val="24"/>
        </w:rPr>
        <w:t>²</w:t>
      </w:r>
      <w:r w:rsidR="00024786" w:rsidRPr="00EA19F0">
        <w:rPr>
          <w:rFonts w:ascii="Cambria Math" w:hAnsi="Cambria Math" w:cs="Cambria Math"/>
          <w:sz w:val="24"/>
          <w:szCs w:val="24"/>
        </w:rPr>
        <w:t>⁻</w:t>
      </w:r>
      <w:r w:rsidR="00024786" w:rsidRPr="00EA19F0">
        <w:rPr>
          <w:rFonts w:asciiTheme="minorBidi" w:hAnsiTheme="minorBidi"/>
          <w:sz w:val="24"/>
          <w:szCs w:val="24"/>
        </w:rPr>
        <w:t xml:space="preserve"> &gt; Cl</w:t>
      </w:r>
      <w:r w:rsidR="00024786" w:rsidRPr="00EA19F0">
        <w:rPr>
          <w:rFonts w:ascii="Cambria Math" w:hAnsi="Cambria Math" w:cs="Cambria Math"/>
          <w:sz w:val="24"/>
          <w:szCs w:val="24"/>
        </w:rPr>
        <w:t>⁻</w:t>
      </w:r>
      <w:r w:rsidR="00024786" w:rsidRPr="00EA19F0">
        <w:rPr>
          <w:rFonts w:asciiTheme="minorBidi" w:hAnsiTheme="minorBidi"/>
          <w:sz w:val="24"/>
          <w:szCs w:val="24"/>
        </w:rPr>
        <w:t xml:space="preserve"> &gt; CO</w:t>
      </w:r>
      <w:r w:rsidR="00024786" w:rsidRPr="00EA19F0">
        <w:rPr>
          <w:rFonts w:ascii="Cambria Math" w:hAnsi="Cambria Math" w:cs="Cambria Math"/>
          <w:sz w:val="24"/>
          <w:szCs w:val="24"/>
        </w:rPr>
        <w:t>₃</w:t>
      </w:r>
      <w:r w:rsidR="00024786" w:rsidRPr="00EA19F0">
        <w:rPr>
          <w:rFonts w:ascii="Arial" w:hAnsi="Arial" w:cs="Arial"/>
          <w:sz w:val="24"/>
          <w:szCs w:val="24"/>
        </w:rPr>
        <w:t>²</w:t>
      </w:r>
      <w:r w:rsidR="00024786" w:rsidRPr="00EA19F0">
        <w:rPr>
          <w:rFonts w:ascii="Cambria Math" w:hAnsi="Cambria Math" w:cs="Cambria Math"/>
          <w:sz w:val="24"/>
          <w:szCs w:val="24"/>
        </w:rPr>
        <w:t>⁻</w:t>
      </w:r>
      <w:r w:rsidR="00024786" w:rsidRPr="00EA19F0">
        <w:rPr>
          <w:rFonts w:asciiTheme="minorBidi" w:hAnsiTheme="minorBidi"/>
          <w:sz w:val="24"/>
          <w:szCs w:val="24"/>
        </w:rPr>
        <w:t xml:space="preserve">, </w:t>
      </w:r>
      <w:r w:rsidR="00024786" w:rsidRPr="00EA19F0">
        <w:rPr>
          <w:rFonts w:asciiTheme="minorBidi" w:hAnsiTheme="minorBidi"/>
          <w:sz w:val="24"/>
          <w:szCs w:val="24"/>
        </w:rPr>
        <w:lastRenderedPageBreak/>
        <w:t>HCO</w:t>
      </w:r>
      <w:r w:rsidR="00024786" w:rsidRPr="00EA19F0">
        <w:rPr>
          <w:rFonts w:ascii="Cambria Math" w:hAnsi="Cambria Math" w:cs="Cambria Math"/>
          <w:sz w:val="24"/>
          <w:szCs w:val="24"/>
        </w:rPr>
        <w:t>₃⁻</w:t>
      </w:r>
      <w:r w:rsidR="00024786" w:rsidRPr="00EA19F0">
        <w:rPr>
          <w:rFonts w:asciiTheme="minorBidi" w:hAnsiTheme="minorBidi"/>
          <w:sz w:val="24"/>
          <w:szCs w:val="24"/>
        </w:rPr>
        <w:t xml:space="preserve"> &gt; SO</w:t>
      </w:r>
      <w:r w:rsidR="00024786" w:rsidRPr="00EA19F0">
        <w:rPr>
          <w:rFonts w:ascii="Cambria Math" w:hAnsi="Cambria Math" w:cs="Cambria Math"/>
          <w:sz w:val="24"/>
          <w:szCs w:val="24"/>
        </w:rPr>
        <w:t>₄</w:t>
      </w:r>
      <w:r w:rsidR="00024786" w:rsidRPr="00EA19F0">
        <w:rPr>
          <w:rFonts w:ascii="Arial" w:hAnsi="Arial" w:cs="Arial"/>
          <w:sz w:val="24"/>
          <w:szCs w:val="24"/>
        </w:rPr>
        <w:t>²</w:t>
      </w:r>
      <w:r w:rsidR="00024786" w:rsidRPr="00EA19F0">
        <w:rPr>
          <w:rFonts w:ascii="Cambria Math" w:hAnsi="Cambria Math" w:cs="Cambria Math"/>
          <w:sz w:val="24"/>
          <w:szCs w:val="24"/>
        </w:rPr>
        <w:t>⁻</w:t>
      </w:r>
      <w:r w:rsidR="00024786" w:rsidRPr="00EA19F0">
        <w:rPr>
          <w:rFonts w:asciiTheme="minorBidi" w:hAnsiTheme="minorBidi"/>
          <w:sz w:val="24"/>
          <w:szCs w:val="24"/>
        </w:rPr>
        <w:t xml:space="preserve"> &gt; Cl</w:t>
      </w:r>
      <w:r w:rsidR="00E73FB4" w:rsidRPr="00EA19F0">
        <w:rPr>
          <w:rFonts w:ascii="Cambria Math" w:hAnsi="Cambria Math" w:cs="Cambria Math"/>
          <w:sz w:val="24"/>
          <w:szCs w:val="24"/>
        </w:rPr>
        <w:t>⁻</w:t>
      </w:r>
      <w:r w:rsidR="00E73FB4" w:rsidRPr="00EA19F0">
        <w:rPr>
          <w:rFonts w:asciiTheme="minorBidi" w:hAnsiTheme="minorBidi"/>
          <w:sz w:val="24"/>
          <w:szCs w:val="24"/>
        </w:rPr>
        <w:t xml:space="preserve"> &gt;</w:t>
      </w:r>
      <w:r w:rsidR="00024786" w:rsidRPr="00EA19F0">
        <w:rPr>
          <w:rFonts w:asciiTheme="minorBidi" w:hAnsiTheme="minorBidi"/>
          <w:sz w:val="24"/>
          <w:szCs w:val="24"/>
        </w:rPr>
        <w:t xml:space="preserve"> F</w:t>
      </w:r>
      <w:r w:rsidR="00024786" w:rsidRPr="00EA19F0">
        <w:rPr>
          <w:rFonts w:ascii="Cambria Math" w:hAnsi="Cambria Math" w:cs="Cambria Math"/>
          <w:sz w:val="24"/>
          <w:szCs w:val="24"/>
        </w:rPr>
        <w:t>⁻</w:t>
      </w:r>
      <w:r w:rsidR="00024786" w:rsidRPr="00EA19F0">
        <w:rPr>
          <w:rFonts w:asciiTheme="minorBidi" w:hAnsiTheme="minorBidi"/>
          <w:sz w:val="24"/>
          <w:szCs w:val="24"/>
        </w:rPr>
        <w:t xml:space="preserve"> </w:t>
      </w:r>
      <w:r w:rsidR="00FC13EB" w:rsidRPr="00EA19F0">
        <w:rPr>
          <w:rFonts w:asciiTheme="minorBidi" w:hAnsiTheme="minorBidi"/>
          <w:sz w:val="24"/>
          <w:szCs w:val="24"/>
        </w:rPr>
        <w:t xml:space="preserve">in PMP, </w:t>
      </w:r>
      <w:r w:rsidR="00024786" w:rsidRPr="00EA19F0">
        <w:rPr>
          <w:rFonts w:asciiTheme="minorBidi" w:hAnsiTheme="minorBidi"/>
          <w:sz w:val="24"/>
          <w:szCs w:val="24"/>
        </w:rPr>
        <w:t>and HCO</w:t>
      </w:r>
      <w:r w:rsidR="00024786" w:rsidRPr="00EA19F0">
        <w:rPr>
          <w:rFonts w:ascii="Cambria Math" w:hAnsi="Cambria Math" w:cs="Cambria Math"/>
          <w:sz w:val="24"/>
          <w:szCs w:val="24"/>
        </w:rPr>
        <w:t>₃⁻</w:t>
      </w:r>
      <w:r w:rsidR="00024786" w:rsidRPr="00EA19F0">
        <w:rPr>
          <w:rFonts w:asciiTheme="minorBidi" w:hAnsiTheme="minorBidi"/>
          <w:sz w:val="24"/>
          <w:szCs w:val="24"/>
        </w:rPr>
        <w:t xml:space="preserve"> &gt; SO</w:t>
      </w:r>
      <w:r w:rsidR="00024786" w:rsidRPr="00EA19F0">
        <w:rPr>
          <w:rFonts w:ascii="Cambria Math" w:hAnsi="Cambria Math" w:cs="Cambria Math"/>
          <w:sz w:val="24"/>
          <w:szCs w:val="24"/>
        </w:rPr>
        <w:t>₄</w:t>
      </w:r>
      <w:r w:rsidR="00024786" w:rsidRPr="00EA19F0">
        <w:rPr>
          <w:rFonts w:ascii="Arial" w:hAnsi="Arial" w:cs="Arial"/>
          <w:sz w:val="24"/>
          <w:szCs w:val="24"/>
        </w:rPr>
        <w:t>²</w:t>
      </w:r>
      <w:r w:rsidR="00024786" w:rsidRPr="00EA19F0">
        <w:rPr>
          <w:rFonts w:ascii="Cambria Math" w:hAnsi="Cambria Math" w:cs="Cambria Math"/>
          <w:sz w:val="24"/>
          <w:szCs w:val="24"/>
        </w:rPr>
        <w:t>⁻</w:t>
      </w:r>
      <w:r w:rsidR="00024786" w:rsidRPr="00EA19F0">
        <w:rPr>
          <w:rFonts w:asciiTheme="minorBidi" w:hAnsiTheme="minorBidi"/>
          <w:sz w:val="24"/>
          <w:szCs w:val="24"/>
        </w:rPr>
        <w:t xml:space="preserve"> &gt; Cl</w:t>
      </w:r>
      <w:r w:rsidR="00024786" w:rsidRPr="00EA19F0">
        <w:rPr>
          <w:rFonts w:ascii="Cambria Math" w:hAnsi="Cambria Math" w:cs="Cambria Math"/>
          <w:sz w:val="24"/>
          <w:szCs w:val="24"/>
        </w:rPr>
        <w:t>⁻</w:t>
      </w:r>
      <w:r w:rsidR="00FC13EB" w:rsidRPr="00EA19F0">
        <w:rPr>
          <w:rFonts w:asciiTheme="minorBidi" w:hAnsiTheme="minorBidi"/>
          <w:sz w:val="24"/>
          <w:szCs w:val="24"/>
        </w:rPr>
        <w:t xml:space="preserve"> in LMP.</w:t>
      </w:r>
      <w:r w:rsidR="00024786" w:rsidRPr="00EA19F0">
        <w:rPr>
          <w:rFonts w:asciiTheme="minorBidi" w:hAnsiTheme="minorBidi"/>
          <w:sz w:val="24"/>
          <w:szCs w:val="24"/>
        </w:rPr>
        <w:t xml:space="preserve"> </w:t>
      </w:r>
      <w:r w:rsidRPr="00EA19F0">
        <w:rPr>
          <w:rFonts w:asciiTheme="minorBidi" w:hAnsiTheme="minorBidi"/>
          <w:sz w:val="24"/>
          <w:szCs w:val="24"/>
        </w:rPr>
        <w:t xml:space="preserve">The relative abundance of major cations and anions is illustrated in the </w:t>
      </w:r>
      <w:r w:rsidR="00CA72E4" w:rsidRPr="00EA19F0">
        <w:rPr>
          <w:rFonts w:asciiTheme="minorBidi" w:hAnsiTheme="minorBidi"/>
          <w:sz w:val="24"/>
          <w:szCs w:val="24"/>
        </w:rPr>
        <w:t xml:space="preserve">bar diagram </w:t>
      </w:r>
      <w:r w:rsidR="00B32453">
        <w:rPr>
          <w:rFonts w:asciiTheme="minorBidi" w:hAnsiTheme="minorBidi"/>
          <w:sz w:val="24"/>
          <w:szCs w:val="24"/>
        </w:rPr>
        <w:t xml:space="preserve">in </w:t>
      </w:r>
      <w:r w:rsidRPr="00EA19F0">
        <w:rPr>
          <w:rFonts w:asciiTheme="minorBidi" w:hAnsiTheme="minorBidi"/>
          <w:b/>
          <w:bCs/>
          <w:sz w:val="24"/>
          <w:szCs w:val="24"/>
        </w:rPr>
        <w:t xml:space="preserve">Fig. </w:t>
      </w:r>
      <w:r w:rsidR="00A74CFD" w:rsidRPr="00EA19F0">
        <w:rPr>
          <w:rFonts w:asciiTheme="minorBidi" w:hAnsiTheme="minorBidi"/>
          <w:b/>
          <w:bCs/>
          <w:sz w:val="24"/>
          <w:szCs w:val="24"/>
        </w:rPr>
        <w:t>2.</w:t>
      </w:r>
      <w:r w:rsidR="00DF4E7E" w:rsidRPr="00EA19F0">
        <w:rPr>
          <w:rFonts w:asciiTheme="minorBidi" w:hAnsiTheme="minorBidi"/>
          <w:sz w:val="24"/>
          <w:szCs w:val="24"/>
        </w:rPr>
        <w:t xml:space="preserve"> </w:t>
      </w:r>
    </w:p>
    <w:p w14:paraId="3C5559A0" w14:textId="306C839C" w:rsidR="00B32453" w:rsidRDefault="008E60AD" w:rsidP="003261F5">
      <w:pPr>
        <w:pStyle w:val="NoSpacing"/>
        <w:jc w:val="both"/>
        <w:rPr>
          <w:rFonts w:asciiTheme="minorBidi" w:hAnsiTheme="minorBidi"/>
          <w:sz w:val="24"/>
          <w:szCs w:val="24"/>
        </w:rPr>
      </w:pPr>
      <w:r w:rsidRPr="00EA19F0">
        <w:rPr>
          <w:rFonts w:asciiTheme="minorBidi" w:hAnsiTheme="minorBidi"/>
          <w:sz w:val="24"/>
          <w:szCs w:val="24"/>
        </w:rPr>
        <w:t xml:space="preserve">To understand the mechanism that controls the hydrogeochemistry and ionic sources </w:t>
      </w:r>
      <w:r w:rsidR="00DF4E7E" w:rsidRPr="00EA19F0">
        <w:rPr>
          <w:rFonts w:asciiTheme="minorBidi" w:hAnsiTheme="minorBidi"/>
          <w:sz w:val="24"/>
          <w:szCs w:val="24"/>
        </w:rPr>
        <w:t>in the</w:t>
      </w:r>
      <w:r w:rsidRPr="00EA19F0">
        <w:rPr>
          <w:rFonts w:asciiTheme="minorBidi" w:hAnsiTheme="minorBidi"/>
          <w:sz w:val="24"/>
          <w:szCs w:val="24"/>
        </w:rPr>
        <w:t xml:space="preserve"> DRB, </w:t>
      </w:r>
      <w:r w:rsidR="00DF4E7E" w:rsidRPr="00EA19F0">
        <w:rPr>
          <w:rFonts w:asciiTheme="minorBidi" w:hAnsiTheme="minorBidi"/>
          <w:sz w:val="24"/>
          <w:szCs w:val="24"/>
        </w:rPr>
        <w:t xml:space="preserve">the </w:t>
      </w:r>
      <w:r w:rsidRPr="00EA19F0">
        <w:rPr>
          <w:rFonts w:asciiTheme="minorBidi" w:hAnsiTheme="minorBidi"/>
          <w:sz w:val="24"/>
          <w:szCs w:val="24"/>
        </w:rPr>
        <w:t>ionic relationship</w:t>
      </w:r>
      <w:r w:rsidR="00DF4E7E" w:rsidRPr="00EA19F0">
        <w:rPr>
          <w:rFonts w:asciiTheme="minorBidi" w:hAnsiTheme="minorBidi"/>
          <w:sz w:val="24"/>
          <w:szCs w:val="24"/>
        </w:rPr>
        <w:t>s</w:t>
      </w:r>
      <w:r w:rsidRPr="00EA19F0">
        <w:rPr>
          <w:rFonts w:asciiTheme="minorBidi" w:hAnsiTheme="minorBidi"/>
          <w:sz w:val="24"/>
          <w:szCs w:val="24"/>
        </w:rPr>
        <w:t xml:space="preserve"> and their ratios were examined  </w:t>
      </w:r>
      <w:r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{"citationID":"L1ysGTZs","properties":{"formattedCitation":"(Bisht et al., 2022; Kumar et al., 2019; Sharma et al., 2013)","plainCitation":"(Bisht et al., 2022; Kumar et al., 2019; Sharma et al., 2013)","noteIndex":0},"citationItems":[{"id":1389,"uris":["http://zotero.org/users/local/GtKGLMn4/items/NVPCNHBC","http://zotero.org/users/17566097/items/NVPCNHBC"],"itemData":{"id":1389,"type":"article-journal","abstract":"This paper presents an insight on major ion chemistry and identification of solute sources in meltwater of Chaturangi glacier throughout the ablation period 2015 and 2016. The results indicate that meltwater is slightly acidic with Ca–HCO3 and Mg–HCO3 dominated hydrochemical facies. In meltwater, Ca2+ and HCO3− are the most dominant cation and anion, respectively. The Water Quality Index values show that the quality of meltwater is good for both the ablation seasons. An important factor governing the quality of water is the residence time for dissolving minerals from the rocks. Mineralogy of surrounding rocks and Gibbs plot suggest that the meltwater ionic concentration is mostly controlled by weathering of rocks with slight contribution from atmospheric aerosols. For meltwater, the average equivalent ratios of Na/Cl and K/Cl were calculated as 3.36 ± 1.29 and 2.29 ± 0.62 in 2015 and 1.39 ± 0.6 and 0.8 ± 0.2 in 2016, which are considerably higher than the marine aerosols (Na/Cl = 0.85 and K/Cl = 0.017), it also confirmed the less contribution of atmospheric input in meltwater. The petrographic analysis of surrounding rocks indicate positive relationship among the cations (Ca2+, Mg2+, Na+ and K+) and mineral abundance. Our observations suggest that the bedrock mineralogy and weathering reactions together with amount and composition of atmospheric inputs are the main sources of ions, dissolved in the glacier meltwater. It might be due to rate of chemical reaction which leads decomposition of rocks and leaching of minerals into the meltwater. Additionally, the geology of the area plays a significant as the influence of geology and climate on water quality is observed by the quantity and types of dissolved materials and amount of the sediment carried by the streams. The elevated proportion of Ca + Mg in total cations and high Ca + Mg/(Na + K ratios, 1.47 ± 0.14 in the year 2015 and 1.44 ± 0.28 in 2016 clearly reveal that the ionic composition is primarily controlled by carbonate weathering and partly by silicate weathering. Further, the low Na + K/TZ− ratio (0.41 ± 0.02) and (0.22 ± 0.05) in 2015 and 2016, respectively also supports that carbonate weathering is main geochemical process controlling the hydrochemistry of meltwater. In addition, the ion denudation rate was calculated for both the years. The results show that the cation denudation rate of meltwater was 32.84 and 22.30 ton/km2/ablation during 2015 and 2016, respectively, whereas the anion denudation rate was found to be 205.43 in 2015 and 170.24 ton/km2/ablation in 2016.","container-title":"Applied Water Science","DOI":"10.1007/s13201-021-01510-5","ISSN":"2190-5495","issue":"3","journalAbbreviation":"Appl Water Sci","language":"en","page":"29","source":"Springer Link","title":"Hydrogeochemical analysis and identification of solute sources in the meltwater of Chaturangi glacier, Garhwal Himalaya, India","URL":"https://doi.org/10.1007/s13201-021-01510-5","volume":"12","author":[{"family":"Bisht","given":"Harish"},{"family":"Kotlia","given":"Bahadur Singh"},{"family":"Kumar","given":"Kireet"},{"family":"Taloor","given":"Ajay Kumar"},{"family":"Arya","given":"Prakash Chandra"},{"family":"Sah","given":"Saurabh Kumar"},{"family":"Agnihotri","given":"Vasudha"},{"family":"Tewari","given":"Mohit"},{"family":"Upadhyay","given":"Rajeev"}],"accessed":{"date-parts":[["2025",7,13]]},"issued":{"date-parts":[["2022",2,7]]}}},{"id":1382,"uris":["http://zotero.org/users/local/GtKGLMn4/items/5ASZH477","http://zotero.org/users/17566097/items/5ASZH477"],"itemData":{"id":1382,"type":"article-journal","abstract":"This study was carried out from 2003 to 2007 to understand the hydrogeochemical processes and the solute sources of the meltwaters of the Chhota Shigri Glacier, Himalaya. The meltwater is almost neutral to slightly alkaline in nature: bicarbonate and sulphate are the dominant anions, while calcium and magnesium are the dominant cations. Bicarbonate is found to be derived from carbonate weathering and partly from silicate weathering. Rock weathering followed by precipitation are the main controlling factors that influence the meltwater chemistry of this region. The relatively high values of pCO2 reflect a higher rate of solubility in comparison to release of excess CO2 gas to the atmosphere. The presence of active hydrogeochemical processes and sediment–water interaction results in excess solute transport through the meltwater to the Chandra River that feeds the Chenab, one of the great Himalayan river systems, and ultimately flows into the ocean. This study is the first of its kind to understand in detail the hydrogeochemical process and resultant solute load transport in this Himalayan glacier. Citation Sharma, P., Ramanathan, A.L., and Pottakkal, J., 2013. Study of solute sources and evolution of hydrogeochemical processes of the Chhota Shigri Glacier meltwaters, Himachal Himalaya, India. Hydrological Sciences Journal, 58 (5), 1128–1143. Editor Z.W. Kundzewicz","container-title":"Hydrological Sciences Journal","DOI":"10.1080/02626667.2013.802092","ISSN":"0262-6667","issue":"5","note":"publisher: Taylor &amp; Francis\n_eprint: https://doi.org/10.1080/02626667.2013.802092","page":"1128-1143","source":"Taylor and Francis+NEJM","title":"Study of solute sources and evolution of hydrogeochemical processes of the Chhota Shigri Glacier meltwaters, Himachal Himalaya, India","URL":"https://doi.org/10.1080/02626667.2013.802092","volume":"58","author":[{"family":"Sharma","given":"Parmanand"},{"family":"Ramanathan","given":"A. L."},{"family":"Pottakkal","given":"Jose"}],"accessed":{"date-parts":[["2025",7,13]]},"issued":{"date-parts":[["2013",7,1]]}}},{"id":1391,"uris":["http://zotero.org/users/local/GtKGLMn4/items/9GQKD32N","http://zotero.org/users/17566097/items/9GQKD32N"],"itemData":{"id":1391,"type":"article-journal","container-title":"Acta Geophysica","DOI":"10.1007/s11600-019-00262-w","ISSN":"1895-6572, 1895-7455","issue":"2","journalAbbreviation":"Acta Geophys.","language":"en","license":"http://www.springer.com/tdm","note":"publisher: Springer Science and Business Media LLC","page":"651-660","source":"Crossref","title":"Hydro-geochemical analysis of meltwater draining from Bilare Banga glacier, Western Himalaya","URL":"http://link.springer.com/10.1007/s11600-019-00262-w","volume":"67","author":[{"family":"Kumar","given":"Ramesh"},{"family":"Kumar","given":"Rajesh"},{"family":"Singh","given":"Atar"},{"family":"Singh","given":"Shaktiman"},{"family":"Bhardwaj","given":"Anshuman"},{"family":"Kumari","given":"Anupma"},{"family":"Sinha","given":"Ravindra Kumar"},{"family":"Gupta","given":"Akhilesh"}],"accessed":{"date-parts":[["2025",7,13]]},"issued":{"date-parts":[["2019",4]]}}}],"schema":"https://github.com/citation-style-language/schema/raw/master/csl-citation.json"} </w:instrText>
      </w:r>
      <w:r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(Bisht et al., 2022; Kumar et al., 2019; Sharma et al., 2013)</w:t>
      </w:r>
      <w:r w:rsidRPr="00EA19F0">
        <w:rPr>
          <w:rFonts w:asciiTheme="minorBidi" w:hAnsiTheme="minorBidi"/>
          <w:color w:val="0070C0"/>
          <w:sz w:val="24"/>
          <w:szCs w:val="24"/>
        </w:rPr>
        <w:fldChar w:fldCharType="end"/>
      </w:r>
      <w:r w:rsidRPr="00EA19F0">
        <w:rPr>
          <w:rFonts w:asciiTheme="minorBidi" w:hAnsiTheme="minorBidi"/>
          <w:color w:val="0070C0"/>
          <w:sz w:val="24"/>
          <w:szCs w:val="24"/>
        </w:rPr>
        <w:t xml:space="preserve">. </w:t>
      </w:r>
      <w:r w:rsidR="00AB4141" w:rsidRPr="00EA19F0">
        <w:rPr>
          <w:rFonts w:asciiTheme="minorBidi" w:hAnsiTheme="minorBidi"/>
          <w:sz w:val="24"/>
          <w:szCs w:val="24"/>
        </w:rPr>
        <w:t xml:space="preserve">The scatter plot </w:t>
      </w:r>
      <w:bookmarkStart w:id="16" w:name="_Hlk205303487"/>
      <w:bookmarkStart w:id="17" w:name="_Hlk206596880"/>
      <w:r w:rsidR="00AB4141" w:rsidRPr="00EA19F0">
        <w:rPr>
          <w:rFonts w:asciiTheme="minorBidi" w:hAnsiTheme="minorBidi"/>
          <w:sz w:val="24"/>
          <w:szCs w:val="24"/>
        </w:rPr>
        <w:t>(Ca²</w:t>
      </w:r>
      <w:r w:rsidR="00AB4141" w:rsidRPr="00EA19F0">
        <w:rPr>
          <w:rFonts w:ascii="Cambria Math" w:hAnsi="Cambria Math" w:cs="Cambria Math"/>
          <w:sz w:val="24"/>
          <w:szCs w:val="24"/>
        </w:rPr>
        <w:t>⁺</w:t>
      </w:r>
      <w:r w:rsidR="00AB4141" w:rsidRPr="00EA19F0">
        <w:rPr>
          <w:rFonts w:asciiTheme="minorBidi" w:hAnsiTheme="minorBidi"/>
          <w:sz w:val="24"/>
          <w:szCs w:val="24"/>
        </w:rPr>
        <w:t xml:space="preserve"> + Mg</w:t>
      </w:r>
      <w:r w:rsidR="00AB4141" w:rsidRPr="00EA19F0">
        <w:rPr>
          <w:rFonts w:ascii="Arial" w:hAnsi="Arial" w:cs="Arial"/>
          <w:sz w:val="24"/>
          <w:szCs w:val="24"/>
        </w:rPr>
        <w:t>²</w:t>
      </w:r>
      <w:r w:rsidR="00AB4141" w:rsidRPr="00EA19F0">
        <w:rPr>
          <w:rFonts w:ascii="Cambria Math" w:hAnsi="Cambria Math" w:cs="Cambria Math"/>
          <w:sz w:val="24"/>
          <w:szCs w:val="24"/>
        </w:rPr>
        <w:t>⁺</w:t>
      </w:r>
      <w:r w:rsidR="00AB4141" w:rsidRPr="00EA19F0">
        <w:rPr>
          <w:rFonts w:asciiTheme="minorBidi" w:hAnsiTheme="minorBidi"/>
          <w:sz w:val="24"/>
          <w:szCs w:val="24"/>
        </w:rPr>
        <w:t>)</w:t>
      </w:r>
      <w:bookmarkEnd w:id="16"/>
      <w:r w:rsidR="00AB4141" w:rsidRPr="00EA19F0">
        <w:rPr>
          <w:rFonts w:asciiTheme="minorBidi" w:hAnsiTheme="minorBidi"/>
          <w:sz w:val="24"/>
          <w:szCs w:val="24"/>
        </w:rPr>
        <w:t xml:space="preserve"> </w:t>
      </w:r>
      <w:r w:rsidR="00671645" w:rsidRPr="00EA19F0">
        <w:rPr>
          <w:rFonts w:asciiTheme="minorBidi" w:hAnsiTheme="minorBidi"/>
          <w:sz w:val="24"/>
          <w:szCs w:val="24"/>
        </w:rPr>
        <w:t>vs.</w:t>
      </w:r>
      <w:r w:rsidR="00AB4141" w:rsidRPr="00EA19F0">
        <w:rPr>
          <w:rFonts w:asciiTheme="minorBidi" w:hAnsiTheme="minorBidi"/>
          <w:sz w:val="24"/>
          <w:szCs w:val="24"/>
        </w:rPr>
        <w:t xml:space="preserve"> TZ</w:t>
      </w:r>
      <w:r w:rsidR="00AB4141" w:rsidRPr="00EA19F0">
        <w:rPr>
          <w:rFonts w:ascii="Cambria Math" w:hAnsi="Cambria Math" w:cs="Cambria Math"/>
          <w:sz w:val="24"/>
          <w:szCs w:val="24"/>
        </w:rPr>
        <w:t>⁺</w:t>
      </w:r>
      <w:r w:rsidR="00AB4141" w:rsidRPr="00EA19F0">
        <w:rPr>
          <w:rFonts w:asciiTheme="minorBidi" w:hAnsiTheme="minorBidi"/>
          <w:sz w:val="24"/>
          <w:szCs w:val="24"/>
        </w:rPr>
        <w:t xml:space="preserve"> </w:t>
      </w:r>
      <w:bookmarkStart w:id="18" w:name="_Hlk205303135"/>
      <w:r w:rsidR="00AB4141" w:rsidRPr="00EA19F0">
        <w:rPr>
          <w:rFonts w:asciiTheme="minorBidi" w:hAnsiTheme="minorBidi"/>
          <w:sz w:val="24"/>
          <w:szCs w:val="24"/>
        </w:rPr>
        <w:t>(TZ</w:t>
      </w:r>
      <w:r w:rsidR="00AB4141" w:rsidRPr="00EA19F0">
        <w:rPr>
          <w:rFonts w:ascii="Cambria Math" w:hAnsi="Cambria Math" w:cs="Cambria Math"/>
          <w:sz w:val="24"/>
          <w:szCs w:val="24"/>
        </w:rPr>
        <w:t>⁺</w:t>
      </w:r>
      <w:r w:rsidR="00AB4141" w:rsidRPr="00EA19F0">
        <w:rPr>
          <w:rFonts w:asciiTheme="minorBidi" w:hAnsiTheme="minorBidi"/>
          <w:sz w:val="24"/>
          <w:szCs w:val="24"/>
        </w:rPr>
        <w:t>=Na</w:t>
      </w:r>
      <w:r w:rsidR="00AB4141" w:rsidRPr="00EA19F0">
        <w:rPr>
          <w:rFonts w:asciiTheme="minorBidi" w:hAnsiTheme="minorBidi"/>
          <w:sz w:val="24"/>
          <w:szCs w:val="24"/>
          <w:vertAlign w:val="superscript"/>
        </w:rPr>
        <w:t>+</w:t>
      </w:r>
      <w:r w:rsidR="00AB4141" w:rsidRPr="00EA19F0">
        <w:rPr>
          <w:rFonts w:asciiTheme="minorBidi" w:hAnsiTheme="minorBidi"/>
          <w:sz w:val="24"/>
          <w:szCs w:val="24"/>
        </w:rPr>
        <w:t>+K</w:t>
      </w:r>
      <w:r w:rsidR="00AB4141" w:rsidRPr="00EA19F0">
        <w:rPr>
          <w:rFonts w:asciiTheme="minorBidi" w:hAnsiTheme="minorBidi"/>
          <w:sz w:val="24"/>
          <w:szCs w:val="24"/>
          <w:vertAlign w:val="superscript"/>
        </w:rPr>
        <w:t>+</w:t>
      </w:r>
      <w:r w:rsidR="00AB4141" w:rsidRPr="00EA19F0">
        <w:rPr>
          <w:rFonts w:asciiTheme="minorBidi" w:hAnsiTheme="minorBidi"/>
          <w:sz w:val="24"/>
          <w:szCs w:val="24"/>
        </w:rPr>
        <w:t>+Ca²</w:t>
      </w:r>
      <w:r w:rsidR="00AB4141" w:rsidRPr="00EA19F0">
        <w:rPr>
          <w:rFonts w:ascii="Cambria Math" w:hAnsi="Cambria Math" w:cs="Cambria Math"/>
          <w:sz w:val="24"/>
          <w:szCs w:val="24"/>
        </w:rPr>
        <w:t>⁺</w:t>
      </w:r>
      <w:r w:rsidR="00AB4141" w:rsidRPr="00EA19F0">
        <w:rPr>
          <w:rFonts w:asciiTheme="minorBidi" w:hAnsiTheme="minorBidi"/>
          <w:sz w:val="24"/>
          <w:szCs w:val="24"/>
        </w:rPr>
        <w:t>+Mg</w:t>
      </w:r>
      <w:r w:rsidR="00AB4141" w:rsidRPr="00EA19F0">
        <w:rPr>
          <w:rFonts w:ascii="Arial" w:hAnsi="Arial" w:cs="Arial"/>
          <w:sz w:val="24"/>
          <w:szCs w:val="24"/>
        </w:rPr>
        <w:t>²</w:t>
      </w:r>
      <w:r w:rsidR="00AB4141" w:rsidRPr="00EA19F0">
        <w:rPr>
          <w:rFonts w:ascii="Cambria Math" w:hAnsi="Cambria Math" w:cs="Cambria Math"/>
          <w:sz w:val="24"/>
          <w:szCs w:val="24"/>
        </w:rPr>
        <w:t>⁺</w:t>
      </w:r>
      <w:r w:rsidR="00AB4141" w:rsidRPr="00EA19F0">
        <w:rPr>
          <w:rFonts w:asciiTheme="minorBidi" w:hAnsiTheme="minorBidi"/>
          <w:sz w:val="24"/>
          <w:szCs w:val="24"/>
        </w:rPr>
        <w:t>)</w:t>
      </w:r>
      <w:bookmarkEnd w:id="17"/>
      <w:bookmarkEnd w:id="18"/>
      <w:r w:rsidR="00AB4141" w:rsidRPr="00EA19F0">
        <w:rPr>
          <w:rFonts w:asciiTheme="minorBidi" w:hAnsiTheme="minorBidi"/>
          <w:sz w:val="24"/>
          <w:szCs w:val="24"/>
        </w:rPr>
        <w:t xml:space="preserve">, shows all the points above the 1:1 </w:t>
      </w:r>
      <w:commentRangeStart w:id="19"/>
      <w:r w:rsidR="00AB4141" w:rsidRPr="00EA19F0">
        <w:rPr>
          <w:rFonts w:asciiTheme="minorBidi" w:hAnsiTheme="minorBidi"/>
          <w:sz w:val="24"/>
          <w:szCs w:val="24"/>
        </w:rPr>
        <w:t xml:space="preserve">equiline </w:t>
      </w:r>
      <w:r w:rsidR="00AB4141" w:rsidRPr="00EA19F0">
        <w:rPr>
          <w:rFonts w:asciiTheme="minorBidi" w:hAnsiTheme="minorBidi"/>
          <w:b/>
          <w:bCs/>
          <w:sz w:val="24"/>
          <w:szCs w:val="24"/>
        </w:rPr>
        <w:t>Fig. 3</w:t>
      </w:r>
      <w:r w:rsidR="00AB4141" w:rsidRPr="00EA19F0">
        <w:rPr>
          <w:rFonts w:asciiTheme="minorBidi" w:hAnsiTheme="minorBidi"/>
          <w:sz w:val="24"/>
          <w:szCs w:val="24"/>
        </w:rPr>
        <w:t xml:space="preserve">, </w:t>
      </w:r>
      <w:commentRangeEnd w:id="19"/>
      <w:r w:rsidR="00C06ABB">
        <w:rPr>
          <w:rStyle w:val="CommentReference"/>
        </w:rPr>
        <w:commentReference w:id="19"/>
      </w:r>
      <w:r w:rsidR="009F4F57" w:rsidRPr="00EA19F0">
        <w:rPr>
          <w:rFonts w:asciiTheme="minorBidi" w:hAnsiTheme="minorBidi"/>
          <w:sz w:val="24"/>
          <w:szCs w:val="24"/>
        </w:rPr>
        <w:t>reflecting the</w:t>
      </w:r>
      <w:r w:rsidR="00AB4141" w:rsidRPr="00EA19F0">
        <w:rPr>
          <w:rFonts w:asciiTheme="minorBidi" w:hAnsiTheme="minorBidi"/>
          <w:sz w:val="24"/>
          <w:szCs w:val="24"/>
        </w:rPr>
        <w:t xml:space="preserve"> dominance of divalent cations with a mean ratio of </w:t>
      </w:r>
      <w:r w:rsidR="00B84A49" w:rsidRPr="00EA19F0">
        <w:rPr>
          <w:rFonts w:asciiTheme="minorBidi" w:hAnsiTheme="minorBidi"/>
          <w:sz w:val="24"/>
          <w:szCs w:val="24"/>
        </w:rPr>
        <w:t>0.96±0.01 in EMP, 0.90±0.08</w:t>
      </w:r>
      <w:r w:rsidR="00BF6947" w:rsidRPr="00EA19F0">
        <w:rPr>
          <w:rFonts w:asciiTheme="minorBidi" w:hAnsiTheme="minorBidi"/>
          <w:sz w:val="24"/>
          <w:szCs w:val="24"/>
        </w:rPr>
        <w:t xml:space="preserve"> </w:t>
      </w:r>
      <w:r w:rsidR="00B84A49" w:rsidRPr="00EA19F0">
        <w:rPr>
          <w:rFonts w:asciiTheme="minorBidi" w:hAnsiTheme="minorBidi"/>
          <w:sz w:val="24"/>
          <w:szCs w:val="24"/>
        </w:rPr>
        <w:t xml:space="preserve">in PMP, and 0.97±0.01 in LMP </w:t>
      </w:r>
      <w:r w:rsidR="00AB4141" w:rsidRPr="00EA19F0">
        <w:rPr>
          <w:rFonts w:asciiTheme="minorBidi" w:hAnsiTheme="minorBidi"/>
          <w:b/>
          <w:bCs/>
          <w:sz w:val="24"/>
          <w:szCs w:val="24"/>
        </w:rPr>
        <w:t>Table 3</w:t>
      </w:r>
      <w:r w:rsidR="00AB4141" w:rsidRPr="00EA19F0">
        <w:rPr>
          <w:rFonts w:asciiTheme="minorBidi" w:hAnsiTheme="minorBidi"/>
          <w:sz w:val="24"/>
          <w:szCs w:val="24"/>
        </w:rPr>
        <w:t>.</w:t>
      </w:r>
      <w:r w:rsidR="008C4D46" w:rsidRPr="00EA19F0">
        <w:rPr>
          <w:rFonts w:asciiTheme="minorBidi" w:hAnsiTheme="minorBidi"/>
          <w:sz w:val="24"/>
          <w:szCs w:val="24"/>
        </w:rPr>
        <w:t xml:space="preserve"> </w:t>
      </w:r>
      <w:r w:rsidR="00AB4141" w:rsidRPr="00EA19F0">
        <w:rPr>
          <w:rFonts w:asciiTheme="minorBidi" w:hAnsiTheme="minorBidi"/>
          <w:sz w:val="24"/>
          <w:szCs w:val="24"/>
        </w:rPr>
        <w:t xml:space="preserve">Similarly, the ratios of </w:t>
      </w:r>
      <w:r w:rsidR="00123D1E" w:rsidRPr="00EA19F0">
        <w:rPr>
          <w:rFonts w:asciiTheme="minorBidi" w:hAnsiTheme="minorBidi"/>
          <w:sz w:val="24"/>
          <w:szCs w:val="24"/>
        </w:rPr>
        <w:t>[</w:t>
      </w:r>
      <w:r w:rsidR="00AB4141" w:rsidRPr="00EA19F0">
        <w:rPr>
          <w:rFonts w:asciiTheme="minorBidi" w:hAnsiTheme="minorBidi"/>
          <w:sz w:val="24"/>
          <w:szCs w:val="24"/>
        </w:rPr>
        <w:t>(Ca²</w:t>
      </w:r>
      <w:r w:rsidR="00AB4141" w:rsidRPr="00EA19F0">
        <w:rPr>
          <w:rFonts w:ascii="Cambria Math" w:hAnsi="Cambria Math" w:cs="Cambria Math"/>
          <w:sz w:val="24"/>
          <w:szCs w:val="24"/>
        </w:rPr>
        <w:t>⁺</w:t>
      </w:r>
      <w:r w:rsidR="00AB4141" w:rsidRPr="00EA19F0">
        <w:rPr>
          <w:rFonts w:asciiTheme="minorBidi" w:hAnsiTheme="minorBidi"/>
          <w:sz w:val="24"/>
          <w:szCs w:val="24"/>
        </w:rPr>
        <w:t>+Mg</w:t>
      </w:r>
      <w:r w:rsidR="00AB4141" w:rsidRPr="00EA19F0">
        <w:rPr>
          <w:rFonts w:ascii="Arial" w:hAnsi="Arial" w:cs="Arial"/>
          <w:sz w:val="24"/>
          <w:szCs w:val="24"/>
        </w:rPr>
        <w:t>²</w:t>
      </w:r>
      <w:r w:rsidR="00AB4141" w:rsidRPr="00EA19F0">
        <w:rPr>
          <w:rFonts w:ascii="Cambria Math" w:hAnsi="Cambria Math" w:cs="Cambria Math"/>
          <w:sz w:val="24"/>
          <w:szCs w:val="24"/>
        </w:rPr>
        <w:t>⁺</w:t>
      </w:r>
      <w:r w:rsidR="00AB4141" w:rsidRPr="00EA19F0">
        <w:rPr>
          <w:rFonts w:asciiTheme="minorBidi" w:hAnsiTheme="minorBidi"/>
          <w:sz w:val="24"/>
          <w:szCs w:val="24"/>
        </w:rPr>
        <w:t>)</w:t>
      </w:r>
      <w:r w:rsidR="00123D1E" w:rsidRPr="00EA19F0">
        <w:rPr>
          <w:rFonts w:asciiTheme="minorBidi" w:hAnsiTheme="minorBidi"/>
          <w:sz w:val="24"/>
          <w:szCs w:val="24"/>
        </w:rPr>
        <w:t>/</w:t>
      </w:r>
      <w:r w:rsidR="00AB4141" w:rsidRPr="00EA19F0">
        <w:rPr>
          <w:rFonts w:asciiTheme="minorBidi" w:hAnsiTheme="minorBidi"/>
          <w:sz w:val="24"/>
          <w:szCs w:val="24"/>
        </w:rPr>
        <w:t>(Na</w:t>
      </w:r>
      <w:r w:rsidR="00AB4141" w:rsidRPr="00EA19F0">
        <w:rPr>
          <w:rFonts w:ascii="Cambria Math" w:hAnsi="Cambria Math" w:cs="Cambria Math"/>
          <w:sz w:val="24"/>
          <w:szCs w:val="24"/>
        </w:rPr>
        <w:t>⁺</w:t>
      </w:r>
      <w:r w:rsidR="00AB4141" w:rsidRPr="00EA19F0">
        <w:rPr>
          <w:rFonts w:asciiTheme="minorBidi" w:hAnsiTheme="minorBidi"/>
          <w:sz w:val="24"/>
          <w:szCs w:val="24"/>
        </w:rPr>
        <w:t>+K</w:t>
      </w:r>
      <w:r w:rsidR="00AB4141" w:rsidRPr="00EA19F0">
        <w:rPr>
          <w:rFonts w:ascii="Cambria Math" w:hAnsi="Cambria Math" w:cs="Cambria Math"/>
          <w:sz w:val="24"/>
          <w:szCs w:val="24"/>
        </w:rPr>
        <w:t>⁺</w:t>
      </w:r>
      <w:r w:rsidR="00AB4141" w:rsidRPr="00EA19F0">
        <w:rPr>
          <w:rFonts w:asciiTheme="minorBidi" w:hAnsiTheme="minorBidi"/>
          <w:sz w:val="24"/>
          <w:szCs w:val="24"/>
        </w:rPr>
        <w:t>)</w:t>
      </w:r>
      <w:r w:rsidR="00123D1E" w:rsidRPr="00EA19F0">
        <w:rPr>
          <w:rFonts w:asciiTheme="minorBidi" w:hAnsiTheme="minorBidi"/>
          <w:sz w:val="24"/>
          <w:szCs w:val="24"/>
        </w:rPr>
        <w:t>]</w:t>
      </w:r>
      <w:r w:rsidR="00AB4141" w:rsidRPr="00EA19F0">
        <w:rPr>
          <w:rFonts w:asciiTheme="minorBidi" w:hAnsiTheme="minorBidi"/>
          <w:sz w:val="24"/>
          <w:szCs w:val="24"/>
        </w:rPr>
        <w:t xml:space="preserve"> were </w:t>
      </w:r>
      <w:r w:rsidR="00B84A49" w:rsidRPr="00EA19F0">
        <w:rPr>
          <w:rFonts w:asciiTheme="minorBidi" w:hAnsiTheme="minorBidi"/>
          <w:sz w:val="24"/>
          <w:szCs w:val="24"/>
        </w:rPr>
        <w:t>24.41±6.27 in EMP, 18.53±15.57 in PMP, and 36.08±10.52 in LM</w:t>
      </w:r>
      <w:r w:rsidR="00AB4141" w:rsidRPr="00EA19F0">
        <w:rPr>
          <w:rFonts w:asciiTheme="minorBidi" w:hAnsiTheme="minorBidi"/>
          <w:sz w:val="24"/>
          <w:szCs w:val="24"/>
        </w:rPr>
        <w:t xml:space="preserve">P, </w:t>
      </w:r>
      <w:r w:rsidR="00B84A49" w:rsidRPr="00EA19F0">
        <w:rPr>
          <w:rFonts w:asciiTheme="minorBidi" w:hAnsiTheme="minorBidi"/>
          <w:sz w:val="24"/>
          <w:szCs w:val="24"/>
        </w:rPr>
        <w:t xml:space="preserve">higher than </w:t>
      </w:r>
      <w:r w:rsidR="00AB4141" w:rsidRPr="00EA19F0">
        <w:rPr>
          <w:rFonts w:asciiTheme="minorBidi" w:hAnsiTheme="minorBidi"/>
          <w:sz w:val="24"/>
          <w:szCs w:val="24"/>
        </w:rPr>
        <w:t xml:space="preserve">the global average of 2.2, </w:t>
      </w:r>
      <w:r w:rsidR="00B84A49" w:rsidRPr="00EA19F0">
        <w:rPr>
          <w:rFonts w:asciiTheme="minorBidi" w:hAnsiTheme="minorBidi"/>
          <w:sz w:val="24"/>
          <w:szCs w:val="24"/>
        </w:rPr>
        <w:t xml:space="preserve">showing </w:t>
      </w:r>
      <w:r w:rsidR="00AB4141" w:rsidRPr="00EA19F0">
        <w:rPr>
          <w:rFonts w:asciiTheme="minorBidi" w:hAnsiTheme="minorBidi"/>
          <w:sz w:val="24"/>
          <w:szCs w:val="24"/>
        </w:rPr>
        <w:t xml:space="preserve">that carbonate weathering is </w:t>
      </w:r>
      <w:r w:rsidR="00B84A49" w:rsidRPr="00EA19F0">
        <w:rPr>
          <w:rFonts w:asciiTheme="minorBidi" w:hAnsiTheme="minorBidi"/>
          <w:sz w:val="24"/>
          <w:szCs w:val="24"/>
        </w:rPr>
        <w:t xml:space="preserve">primarily responsible </w:t>
      </w:r>
      <w:r w:rsidR="00AB4141" w:rsidRPr="00EA19F0">
        <w:rPr>
          <w:rFonts w:asciiTheme="minorBidi" w:hAnsiTheme="minorBidi"/>
          <w:sz w:val="24"/>
          <w:szCs w:val="24"/>
        </w:rPr>
        <w:t xml:space="preserve">for dissolved ions </w:t>
      </w:r>
      <w:r w:rsidR="00AB4141"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{"citationID":"rr4U9dI1","properties":{"formattedCitation":"(Ahmad et al., 1998)","plainCitation":"(Ahmad et al., 1998)","noteIndex":0},"citationItems":[{"id":509,"uris":["http://zotero.org/users/17566097/items/DCS5LEUD"],"itemData":{"id":509,"type":"article-journal","container-title":"Journal of Asian Earth Sciences","DOI":"10.1016/S0743-9547(98)00016-6","ISSN":"13679120","issue":"2-3","journalAbbreviation":"Journal of Asian Earth Sciences","language":"en","page":"333-346","source":"DOI.org (Crossref)","title":"Geochemical characteristics of water and sediment of the Indus river, Trans-Himalaya, India: constraints on weathering and erosion","title-short":"Geochemical characteristics of water and sediment of the Indus river, Trans-Himalaya, India","URL":"https://linkinghub.elsevier.com/retrieve/pii/S0743954798000166","volume":"16","author":[{"family":"Ahmad","given":"T."},{"family":"Khanna","given":"P.P."},{"family":"Chakrapani","given":"G.J."},{"family":"Balakrishnan","given":"S."}],"accessed":{"date-parts":[["2024",1,31]]},"issued":{"date-parts":[["1998",4]]}}}],"schema":"https://github.com/citation-style-language/schema/raw/master/csl-citation.json"} </w:instrText>
      </w:r>
      <w:r w:rsidR="00AB4141" w:rsidRPr="00EA19F0">
        <w:rPr>
          <w:rFonts w:asciiTheme="minorBidi" w:hAnsiTheme="minorBidi"/>
          <w:color w:val="0070C0"/>
          <w:sz w:val="24"/>
          <w:szCs w:val="24"/>
        </w:rPr>
        <w:fldChar w:fldCharType="separate"/>
      </w:r>
      <w:r w:rsidR="00445DFA" w:rsidRPr="00EA19F0">
        <w:rPr>
          <w:rFonts w:asciiTheme="minorBidi" w:hAnsiTheme="minorBidi"/>
          <w:color w:val="0070C0"/>
          <w:sz w:val="24"/>
        </w:rPr>
        <w:t>(Ahmad et al., 1998)</w:t>
      </w:r>
      <w:r w:rsidR="00AB4141" w:rsidRPr="00EA19F0">
        <w:rPr>
          <w:rFonts w:asciiTheme="minorBidi" w:hAnsiTheme="minorBidi"/>
          <w:color w:val="0070C0"/>
          <w:sz w:val="24"/>
          <w:szCs w:val="24"/>
        </w:rPr>
        <w:fldChar w:fldCharType="end"/>
      </w:r>
      <w:r w:rsidR="00AB4141" w:rsidRPr="00EA19F0">
        <w:rPr>
          <w:rFonts w:asciiTheme="minorBidi" w:hAnsiTheme="minorBidi"/>
          <w:color w:val="0070C0"/>
          <w:sz w:val="24"/>
          <w:szCs w:val="24"/>
        </w:rPr>
        <w:t>.</w:t>
      </w:r>
      <w:r w:rsidR="00AB4141" w:rsidRPr="00EA19F0">
        <w:rPr>
          <w:rFonts w:asciiTheme="minorBidi" w:hAnsiTheme="minorBidi"/>
          <w:sz w:val="24"/>
          <w:szCs w:val="24"/>
        </w:rPr>
        <w:t xml:space="preserve"> </w:t>
      </w:r>
      <w:r w:rsidR="00436EE7" w:rsidRPr="00EA19F0">
        <w:rPr>
          <w:rFonts w:asciiTheme="minorBidi" w:hAnsiTheme="minorBidi"/>
          <w:sz w:val="24"/>
          <w:szCs w:val="24"/>
        </w:rPr>
        <w:t>The scatter plot of TZ</w:t>
      </w:r>
      <w:r w:rsidR="00436EE7" w:rsidRPr="00EA19F0">
        <w:rPr>
          <w:rFonts w:ascii="Cambria Math" w:hAnsi="Cambria Math" w:cs="Cambria Math"/>
          <w:sz w:val="24"/>
          <w:szCs w:val="24"/>
        </w:rPr>
        <w:t>⁺</w:t>
      </w:r>
      <w:r w:rsidR="00436EE7" w:rsidRPr="00EA19F0">
        <w:rPr>
          <w:rFonts w:asciiTheme="minorBidi" w:hAnsiTheme="minorBidi"/>
          <w:sz w:val="24"/>
          <w:szCs w:val="24"/>
        </w:rPr>
        <w:t xml:space="preserve"> versus (Na</w:t>
      </w:r>
      <w:r w:rsidR="00436EE7" w:rsidRPr="00EA19F0">
        <w:rPr>
          <w:rFonts w:ascii="Cambria Math" w:hAnsi="Cambria Math" w:cs="Cambria Math"/>
          <w:sz w:val="24"/>
          <w:szCs w:val="24"/>
        </w:rPr>
        <w:t>⁺</w:t>
      </w:r>
      <w:r w:rsidR="00436EE7" w:rsidRPr="00EA19F0">
        <w:rPr>
          <w:rFonts w:asciiTheme="minorBidi" w:hAnsiTheme="minorBidi"/>
          <w:sz w:val="24"/>
          <w:szCs w:val="24"/>
        </w:rPr>
        <w:t>+K</w:t>
      </w:r>
      <w:r w:rsidR="00436EE7" w:rsidRPr="00EA19F0">
        <w:rPr>
          <w:rFonts w:ascii="Cambria Math" w:hAnsi="Cambria Math" w:cs="Cambria Math"/>
          <w:sz w:val="24"/>
          <w:szCs w:val="24"/>
        </w:rPr>
        <w:t>⁺</w:t>
      </w:r>
      <w:r w:rsidR="00436EE7" w:rsidRPr="00EA19F0">
        <w:rPr>
          <w:rFonts w:asciiTheme="minorBidi" w:hAnsiTheme="minorBidi"/>
          <w:sz w:val="24"/>
          <w:szCs w:val="24"/>
        </w:rPr>
        <w:t xml:space="preserve">) shows that </w:t>
      </w:r>
      <w:r w:rsidR="00F85F8C" w:rsidRPr="00EA19F0">
        <w:rPr>
          <w:rFonts w:asciiTheme="minorBidi" w:hAnsiTheme="minorBidi"/>
          <w:sz w:val="24"/>
          <w:szCs w:val="24"/>
        </w:rPr>
        <w:t>all the</w:t>
      </w:r>
      <w:r w:rsidR="00436EE7" w:rsidRPr="00EA19F0">
        <w:rPr>
          <w:rFonts w:asciiTheme="minorBidi" w:hAnsiTheme="minorBidi"/>
          <w:sz w:val="24"/>
          <w:szCs w:val="24"/>
        </w:rPr>
        <w:t xml:space="preserve"> points deviate markedly from the 1:1 equiline, with mean ratios of 0.04 ± 0.01 in EMP, 0.10 ± 0.08 in PMP, and 0.03 ± 0.01 in LMP</w:t>
      </w:r>
      <w:r w:rsidR="00F777E1" w:rsidRPr="00EA19F0">
        <w:rPr>
          <w:rFonts w:asciiTheme="minorBidi" w:hAnsiTheme="minorBidi"/>
          <w:sz w:val="24"/>
          <w:szCs w:val="24"/>
        </w:rPr>
        <w:t xml:space="preserve"> </w:t>
      </w:r>
      <w:r w:rsidR="00F777E1" w:rsidRPr="00EA19F0">
        <w:rPr>
          <w:rFonts w:asciiTheme="minorBidi" w:hAnsiTheme="minorBidi"/>
          <w:b/>
          <w:bCs/>
          <w:sz w:val="24"/>
          <w:szCs w:val="24"/>
        </w:rPr>
        <w:t>Fig. 4</w:t>
      </w:r>
      <w:r w:rsidR="00436EE7" w:rsidRPr="00EA19F0">
        <w:rPr>
          <w:rFonts w:asciiTheme="minorBidi" w:hAnsiTheme="minorBidi"/>
          <w:sz w:val="24"/>
          <w:szCs w:val="24"/>
        </w:rPr>
        <w:t>.</w:t>
      </w:r>
    </w:p>
    <w:p w14:paraId="0D1B598A" w14:textId="77777777" w:rsidR="00E05DC0" w:rsidRPr="004C0BF0" w:rsidRDefault="00E05DC0" w:rsidP="00E05DC0">
      <w:pPr>
        <w:keepNext/>
        <w:rPr>
          <w:rFonts w:ascii="Times New Roman" w:hAnsi="Times New Roman" w:cs="Times New Roman"/>
          <w:sz w:val="24"/>
          <w:szCs w:val="24"/>
        </w:rPr>
      </w:pPr>
      <w:r w:rsidRPr="004C0BF0">
        <w:rPr>
          <w:rFonts w:ascii="Times New Roman" w:hAnsi="Times New Roman" w:cs="Times New Roman"/>
          <w:noProof/>
          <w:sz w:val="24"/>
          <w:szCs w:val="24"/>
        </w:rPr>
        <w:drawing>
          <wp:inline distT="0" distB="0" distL="0" distR="0" wp14:anchorId="4BC17CE3" wp14:editId="6FDF4A21">
            <wp:extent cx="3247200" cy="2516400"/>
            <wp:effectExtent l="0" t="0" r="0" b="6350"/>
            <wp:docPr id="1408614130" name="Picture 1" descr="A graph of a functi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8614130" name="Picture 1" descr="A graph of a function&#10;&#10;AI-generated content may be incorrect."/>
                    <pic:cNvPicPr preferRelativeResize="0"/>
                  </pic:nvPicPr>
                  <pic:blipFill>
                    <a:blip r:embed="rId19"/>
                    <a:stretch>
                      <a:fillRect/>
                    </a:stretch>
                  </pic:blipFill>
                  <pic:spPr>
                    <a:xfrm>
                      <a:off x="0" y="0"/>
                      <a:ext cx="3247200" cy="2516400"/>
                    </a:xfrm>
                    <a:prstGeom prst="rect">
                      <a:avLst/>
                    </a:prstGeom>
                  </pic:spPr>
                </pic:pic>
              </a:graphicData>
            </a:graphic>
          </wp:inline>
        </w:drawing>
      </w:r>
    </w:p>
    <w:p w14:paraId="6D46AF57" w14:textId="77777777" w:rsidR="00E05DC0" w:rsidRPr="004C0BF0" w:rsidRDefault="00E05DC0" w:rsidP="00E05DC0">
      <w:pPr>
        <w:pStyle w:val="Caption"/>
        <w:rPr>
          <w:rFonts w:ascii="Times New Roman" w:hAnsi="Times New Roman" w:cs="Times New Roman"/>
          <w:i w:val="0"/>
          <w:iCs w:val="0"/>
          <w:color w:val="auto"/>
          <w:sz w:val="24"/>
          <w:szCs w:val="24"/>
        </w:rPr>
      </w:pPr>
      <w:r w:rsidRPr="004C0BF0">
        <w:rPr>
          <w:rFonts w:ascii="Times New Roman" w:hAnsi="Times New Roman" w:cs="Times New Roman"/>
          <w:i w:val="0"/>
          <w:iCs w:val="0"/>
          <w:color w:val="auto"/>
          <w:sz w:val="24"/>
          <w:szCs w:val="24"/>
        </w:rPr>
        <w:t>Figure 3 Scatter plot of (Ca²⁺ + Mg²⁺) vs. TZ⁺ (TZ⁺=Na</w:t>
      </w:r>
      <w:r w:rsidRPr="004C0BF0">
        <w:rPr>
          <w:rFonts w:ascii="Times New Roman" w:hAnsi="Times New Roman" w:cs="Times New Roman"/>
          <w:i w:val="0"/>
          <w:iCs w:val="0"/>
          <w:color w:val="auto"/>
          <w:sz w:val="24"/>
          <w:szCs w:val="24"/>
          <w:vertAlign w:val="superscript"/>
        </w:rPr>
        <w:t>+</w:t>
      </w:r>
      <w:r w:rsidRPr="004C0BF0">
        <w:rPr>
          <w:rFonts w:ascii="Times New Roman" w:hAnsi="Times New Roman" w:cs="Times New Roman"/>
          <w:i w:val="0"/>
          <w:iCs w:val="0"/>
          <w:color w:val="auto"/>
          <w:sz w:val="24"/>
          <w:szCs w:val="24"/>
        </w:rPr>
        <w:t>+K</w:t>
      </w:r>
      <w:r w:rsidRPr="004C0BF0">
        <w:rPr>
          <w:rFonts w:ascii="Times New Roman" w:hAnsi="Times New Roman" w:cs="Times New Roman"/>
          <w:i w:val="0"/>
          <w:iCs w:val="0"/>
          <w:color w:val="auto"/>
          <w:sz w:val="24"/>
          <w:szCs w:val="24"/>
          <w:vertAlign w:val="superscript"/>
        </w:rPr>
        <w:t>+</w:t>
      </w:r>
      <w:r w:rsidRPr="004C0BF0">
        <w:rPr>
          <w:rFonts w:ascii="Times New Roman" w:hAnsi="Times New Roman" w:cs="Times New Roman"/>
          <w:i w:val="0"/>
          <w:iCs w:val="0"/>
          <w:color w:val="auto"/>
          <w:sz w:val="24"/>
          <w:szCs w:val="24"/>
        </w:rPr>
        <w:t>+Ca²⁺+Mg²⁺)</w:t>
      </w:r>
    </w:p>
    <w:p w14:paraId="39B57F80" w14:textId="77777777" w:rsidR="00E05DC0" w:rsidRDefault="00E05DC0" w:rsidP="003261F5">
      <w:pPr>
        <w:pStyle w:val="NoSpacing"/>
        <w:jc w:val="both"/>
        <w:rPr>
          <w:rFonts w:asciiTheme="minorBidi" w:hAnsiTheme="minorBidi"/>
          <w:sz w:val="24"/>
          <w:szCs w:val="24"/>
        </w:rPr>
      </w:pPr>
    </w:p>
    <w:p w14:paraId="6D68056A" w14:textId="77777777" w:rsidR="00E05DC0" w:rsidRDefault="00E05DC0" w:rsidP="003261F5">
      <w:pPr>
        <w:pStyle w:val="NoSpacing"/>
        <w:jc w:val="both"/>
        <w:rPr>
          <w:rFonts w:asciiTheme="minorBidi" w:hAnsiTheme="minorBidi"/>
          <w:sz w:val="24"/>
          <w:szCs w:val="24"/>
        </w:rPr>
      </w:pPr>
    </w:p>
    <w:p w14:paraId="260E5B87" w14:textId="77777777" w:rsidR="00B32453" w:rsidRPr="004C0BF0" w:rsidRDefault="00B32453" w:rsidP="00B32453">
      <w:pPr>
        <w:keepNext/>
        <w:rPr>
          <w:rFonts w:ascii="Times New Roman" w:hAnsi="Times New Roman" w:cs="Times New Roman"/>
          <w:sz w:val="24"/>
          <w:szCs w:val="24"/>
        </w:rPr>
      </w:pPr>
      <w:r w:rsidRPr="004C0BF0">
        <w:rPr>
          <w:rFonts w:ascii="Times New Roman" w:hAnsi="Times New Roman" w:cs="Times New Roman"/>
          <w:noProof/>
          <w:sz w:val="24"/>
          <w:szCs w:val="24"/>
        </w:rPr>
        <w:drawing>
          <wp:inline distT="0" distB="0" distL="0" distR="0" wp14:anchorId="3C5AC0E6" wp14:editId="00A70569">
            <wp:extent cx="3247200" cy="2516400"/>
            <wp:effectExtent l="0" t="0" r="0" b="0"/>
            <wp:docPr id="807865306" name="Picture 1" descr="A graph with colored dots and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74593" name="Picture 1" descr="A graph with colored dots and lines&#10;&#10;AI-generated content may be incorrect."/>
                    <pic:cNvPicPr preferRelativeResize="0"/>
                  </pic:nvPicPr>
                  <pic:blipFill>
                    <a:blip r:embed="rId20"/>
                    <a:stretch>
                      <a:fillRect/>
                    </a:stretch>
                  </pic:blipFill>
                  <pic:spPr>
                    <a:xfrm>
                      <a:off x="0" y="0"/>
                      <a:ext cx="3247200" cy="2516400"/>
                    </a:xfrm>
                    <a:prstGeom prst="rect">
                      <a:avLst/>
                    </a:prstGeom>
                  </pic:spPr>
                </pic:pic>
              </a:graphicData>
            </a:graphic>
          </wp:inline>
        </w:drawing>
      </w:r>
    </w:p>
    <w:p w14:paraId="600958D9" w14:textId="26A5A52F" w:rsidR="00B32453" w:rsidRDefault="00B32453" w:rsidP="00B32453">
      <w:pPr>
        <w:pStyle w:val="Caption"/>
        <w:rPr>
          <w:rFonts w:ascii="Times New Roman" w:hAnsi="Times New Roman" w:cs="Times New Roman"/>
          <w:i w:val="0"/>
          <w:iCs w:val="0"/>
          <w:color w:val="000000" w:themeColor="text1"/>
          <w:sz w:val="24"/>
          <w:szCs w:val="24"/>
        </w:rPr>
      </w:pPr>
      <w:r w:rsidRPr="004C0BF0">
        <w:rPr>
          <w:rFonts w:ascii="Times New Roman" w:hAnsi="Times New Roman" w:cs="Times New Roman"/>
          <w:i w:val="0"/>
          <w:iCs w:val="0"/>
          <w:color w:val="000000" w:themeColor="text1"/>
          <w:sz w:val="24"/>
          <w:szCs w:val="24"/>
        </w:rPr>
        <w:t>Figure 4 Scatter plot of (Na</w:t>
      </w:r>
      <w:r w:rsidRPr="004C0BF0">
        <w:rPr>
          <w:rFonts w:ascii="Times New Roman" w:hAnsi="Times New Roman" w:cs="Times New Roman"/>
          <w:i w:val="0"/>
          <w:iCs w:val="0"/>
          <w:color w:val="000000" w:themeColor="text1"/>
          <w:sz w:val="24"/>
          <w:szCs w:val="24"/>
          <w:vertAlign w:val="superscript"/>
        </w:rPr>
        <w:t>+</w:t>
      </w:r>
      <w:r w:rsidRPr="004C0BF0">
        <w:rPr>
          <w:rFonts w:ascii="Times New Roman" w:hAnsi="Times New Roman" w:cs="Times New Roman"/>
          <w:i w:val="0"/>
          <w:iCs w:val="0"/>
          <w:color w:val="000000" w:themeColor="text1"/>
          <w:sz w:val="24"/>
          <w:szCs w:val="24"/>
        </w:rPr>
        <w:t>+K</w:t>
      </w:r>
      <w:r w:rsidRPr="004C0BF0">
        <w:rPr>
          <w:rFonts w:ascii="Times New Roman" w:hAnsi="Times New Roman" w:cs="Times New Roman"/>
          <w:i w:val="0"/>
          <w:iCs w:val="0"/>
          <w:color w:val="000000" w:themeColor="text1"/>
          <w:sz w:val="24"/>
          <w:szCs w:val="24"/>
          <w:vertAlign w:val="superscript"/>
        </w:rPr>
        <w:t>+</w:t>
      </w:r>
      <w:r w:rsidRPr="004C0BF0">
        <w:rPr>
          <w:rFonts w:ascii="Times New Roman" w:hAnsi="Times New Roman" w:cs="Times New Roman"/>
          <w:i w:val="0"/>
          <w:iCs w:val="0"/>
          <w:color w:val="000000" w:themeColor="text1"/>
          <w:sz w:val="24"/>
          <w:szCs w:val="24"/>
        </w:rPr>
        <w:t xml:space="preserve">) vs. TZ⁺ </w:t>
      </w:r>
    </w:p>
    <w:p w14:paraId="49BEBEFD" w14:textId="77777777" w:rsidR="00E05DC0" w:rsidRPr="004C0BF0" w:rsidRDefault="00E05DC0" w:rsidP="00E05DC0">
      <w:pPr>
        <w:keepNext/>
        <w:rPr>
          <w:rFonts w:ascii="Times New Roman" w:hAnsi="Times New Roman" w:cs="Times New Roman"/>
          <w:sz w:val="24"/>
          <w:szCs w:val="24"/>
        </w:rPr>
      </w:pPr>
      <w:r w:rsidRPr="004C0BF0">
        <w:rPr>
          <w:rFonts w:ascii="Times New Roman" w:hAnsi="Times New Roman" w:cs="Times New Roman"/>
          <w:noProof/>
          <w:sz w:val="24"/>
          <w:szCs w:val="24"/>
        </w:rPr>
        <w:lastRenderedPageBreak/>
        <w:drawing>
          <wp:inline distT="0" distB="0" distL="0" distR="0" wp14:anchorId="03BA7837" wp14:editId="44339741">
            <wp:extent cx="3247200" cy="2516400"/>
            <wp:effectExtent l="0" t="0" r="0" b="0"/>
            <wp:docPr id="795197034"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97034" name="Picture 1" descr="A diagram of a graph&#10;&#10;AI-generated content may be incorrect."/>
                    <pic:cNvPicPr/>
                  </pic:nvPicPr>
                  <pic:blipFill>
                    <a:blip r:embed="rId21"/>
                    <a:stretch>
                      <a:fillRect/>
                    </a:stretch>
                  </pic:blipFill>
                  <pic:spPr>
                    <a:xfrm>
                      <a:off x="0" y="0"/>
                      <a:ext cx="3247200" cy="2516400"/>
                    </a:xfrm>
                    <a:prstGeom prst="rect">
                      <a:avLst/>
                    </a:prstGeom>
                  </pic:spPr>
                </pic:pic>
              </a:graphicData>
            </a:graphic>
          </wp:inline>
        </w:drawing>
      </w:r>
    </w:p>
    <w:p w14:paraId="35B1DEBB" w14:textId="77777777" w:rsidR="00E05DC0" w:rsidRPr="004C0BF0" w:rsidRDefault="00E05DC0" w:rsidP="00E05DC0">
      <w:pPr>
        <w:pStyle w:val="Caption"/>
        <w:rPr>
          <w:rFonts w:ascii="Times New Roman" w:hAnsi="Times New Roman" w:cs="Times New Roman"/>
          <w:i w:val="0"/>
          <w:iCs w:val="0"/>
          <w:color w:val="auto"/>
          <w:sz w:val="24"/>
          <w:szCs w:val="24"/>
        </w:rPr>
      </w:pPr>
      <w:r w:rsidRPr="004C0BF0">
        <w:rPr>
          <w:rFonts w:ascii="Times New Roman" w:hAnsi="Times New Roman" w:cs="Times New Roman"/>
          <w:i w:val="0"/>
          <w:iCs w:val="0"/>
          <w:color w:val="auto"/>
          <w:sz w:val="24"/>
          <w:szCs w:val="24"/>
        </w:rPr>
        <w:t xml:space="preserve">Figure 5 Scatter plot of (Ca²⁺+Mg²⁺) vs (HCO₃⁻ + SO₄²⁻) </w:t>
      </w:r>
    </w:p>
    <w:p w14:paraId="288C91B3" w14:textId="4FB7FA47" w:rsidR="005F6ED4" w:rsidRDefault="00436EE7" w:rsidP="003261F5">
      <w:pPr>
        <w:pStyle w:val="NoSpacing"/>
        <w:jc w:val="both"/>
        <w:rPr>
          <w:rFonts w:asciiTheme="minorBidi" w:hAnsiTheme="minorBidi"/>
          <w:sz w:val="24"/>
          <w:szCs w:val="24"/>
        </w:rPr>
      </w:pPr>
      <w:r w:rsidRPr="00EA19F0">
        <w:rPr>
          <w:rFonts w:asciiTheme="minorBidi" w:hAnsiTheme="minorBidi"/>
          <w:sz w:val="24"/>
          <w:szCs w:val="24"/>
        </w:rPr>
        <w:t xml:space="preserve">The consistently low </w:t>
      </w:r>
      <w:r w:rsidR="0095229B" w:rsidRPr="00EA19F0">
        <w:rPr>
          <w:rFonts w:asciiTheme="minorBidi" w:hAnsiTheme="minorBidi"/>
          <w:sz w:val="24"/>
          <w:szCs w:val="24"/>
        </w:rPr>
        <w:t>[</w:t>
      </w:r>
      <w:r w:rsidRPr="00EA19F0">
        <w:rPr>
          <w:rFonts w:asciiTheme="minorBidi" w:hAnsiTheme="minorBidi"/>
          <w:sz w:val="24"/>
          <w:szCs w:val="24"/>
        </w:rPr>
        <w:t>(Na</w:t>
      </w:r>
      <w:r w:rsidRPr="00EA19F0">
        <w:rPr>
          <w:rFonts w:ascii="Cambria Math" w:hAnsi="Cambria Math" w:cs="Cambria Math"/>
          <w:sz w:val="24"/>
          <w:szCs w:val="24"/>
        </w:rPr>
        <w:t>⁺</w:t>
      </w:r>
      <w:r w:rsidRPr="00EA19F0">
        <w:rPr>
          <w:rFonts w:asciiTheme="minorBidi" w:hAnsiTheme="minorBidi"/>
          <w:sz w:val="24"/>
          <w:szCs w:val="24"/>
        </w:rPr>
        <w:t>+K</w:t>
      </w:r>
      <w:r w:rsidRPr="00EA19F0">
        <w:rPr>
          <w:rFonts w:ascii="Cambria Math" w:hAnsi="Cambria Math" w:cs="Cambria Math"/>
          <w:sz w:val="24"/>
          <w:szCs w:val="24"/>
        </w:rPr>
        <w:t>⁺</w:t>
      </w:r>
      <w:r w:rsidRPr="00EA19F0">
        <w:rPr>
          <w:rFonts w:asciiTheme="minorBidi" w:hAnsiTheme="minorBidi"/>
          <w:sz w:val="24"/>
          <w:szCs w:val="24"/>
        </w:rPr>
        <w:t>)/TZ</w:t>
      </w:r>
      <w:r w:rsidRPr="00EA19F0">
        <w:rPr>
          <w:rFonts w:ascii="Cambria Math" w:hAnsi="Cambria Math" w:cs="Cambria Math"/>
          <w:sz w:val="24"/>
          <w:szCs w:val="24"/>
        </w:rPr>
        <w:t>⁺</w:t>
      </w:r>
      <w:r w:rsidR="0095229B" w:rsidRPr="00EA19F0">
        <w:rPr>
          <w:rFonts w:asciiTheme="minorBidi" w:hAnsiTheme="minorBidi"/>
          <w:sz w:val="24"/>
          <w:szCs w:val="24"/>
        </w:rPr>
        <w:t xml:space="preserve">] </w:t>
      </w:r>
      <w:r w:rsidRPr="00EA19F0">
        <w:rPr>
          <w:rFonts w:asciiTheme="minorBidi" w:hAnsiTheme="minorBidi"/>
          <w:sz w:val="24"/>
          <w:szCs w:val="24"/>
        </w:rPr>
        <w:t xml:space="preserve">ratios, coupled with high </w:t>
      </w:r>
      <w:r w:rsidR="0095229B" w:rsidRPr="00EA19F0">
        <w:rPr>
          <w:rFonts w:asciiTheme="minorBidi" w:hAnsiTheme="minorBidi"/>
          <w:sz w:val="24"/>
          <w:szCs w:val="24"/>
        </w:rPr>
        <w:t>[</w:t>
      </w:r>
      <w:r w:rsidRPr="00EA19F0">
        <w:rPr>
          <w:rFonts w:asciiTheme="minorBidi" w:hAnsiTheme="minorBidi"/>
          <w:sz w:val="24"/>
          <w:szCs w:val="24"/>
        </w:rPr>
        <w:t>(Ca²</w:t>
      </w:r>
      <w:r w:rsidRPr="00EA19F0">
        <w:rPr>
          <w:rFonts w:ascii="Cambria Math" w:hAnsi="Cambria Math" w:cs="Cambria Math"/>
          <w:sz w:val="24"/>
          <w:szCs w:val="24"/>
        </w:rPr>
        <w:t>⁺</w:t>
      </w:r>
      <w:r w:rsidRPr="00EA19F0">
        <w:rPr>
          <w:rFonts w:asciiTheme="minorBidi" w:hAnsiTheme="minorBidi"/>
          <w:sz w:val="24"/>
          <w:szCs w:val="24"/>
        </w:rPr>
        <w:t>+Mg</w:t>
      </w:r>
      <w:r w:rsidRPr="00EA19F0">
        <w:rPr>
          <w:rFonts w:ascii="Arial" w:hAnsi="Arial" w:cs="Arial"/>
          <w:sz w:val="24"/>
          <w:szCs w:val="24"/>
        </w:rPr>
        <w:t>²</w:t>
      </w:r>
      <w:r w:rsidRPr="00EA19F0">
        <w:rPr>
          <w:rFonts w:ascii="Cambria Math" w:hAnsi="Cambria Math" w:cs="Cambria Math"/>
          <w:sz w:val="24"/>
          <w:szCs w:val="24"/>
        </w:rPr>
        <w:t>⁺</w:t>
      </w:r>
      <w:r w:rsidRPr="00EA19F0">
        <w:rPr>
          <w:rFonts w:asciiTheme="minorBidi" w:hAnsiTheme="minorBidi"/>
          <w:sz w:val="24"/>
          <w:szCs w:val="24"/>
        </w:rPr>
        <w:t>)/(Na</w:t>
      </w:r>
      <w:r w:rsidRPr="00EA19F0">
        <w:rPr>
          <w:rFonts w:ascii="Cambria Math" w:hAnsi="Cambria Math" w:cs="Cambria Math"/>
          <w:sz w:val="24"/>
          <w:szCs w:val="24"/>
        </w:rPr>
        <w:t>⁺</w:t>
      </w:r>
      <w:r w:rsidRPr="00EA19F0">
        <w:rPr>
          <w:rFonts w:asciiTheme="minorBidi" w:hAnsiTheme="minorBidi"/>
          <w:sz w:val="24"/>
          <w:szCs w:val="24"/>
        </w:rPr>
        <w:t>+K</w:t>
      </w:r>
      <w:r w:rsidRPr="00EA19F0">
        <w:rPr>
          <w:rFonts w:ascii="Cambria Math" w:hAnsi="Cambria Math" w:cs="Cambria Math"/>
          <w:sz w:val="24"/>
          <w:szCs w:val="24"/>
        </w:rPr>
        <w:t>⁺</w:t>
      </w:r>
      <w:r w:rsidRPr="00EA19F0">
        <w:rPr>
          <w:rFonts w:asciiTheme="minorBidi" w:hAnsiTheme="minorBidi"/>
          <w:sz w:val="24"/>
          <w:szCs w:val="24"/>
        </w:rPr>
        <w:t>)</w:t>
      </w:r>
      <w:r w:rsidR="0095229B" w:rsidRPr="00EA19F0">
        <w:rPr>
          <w:rFonts w:asciiTheme="minorBidi" w:hAnsiTheme="minorBidi"/>
          <w:sz w:val="24"/>
          <w:szCs w:val="24"/>
        </w:rPr>
        <w:t>]</w:t>
      </w:r>
      <w:r w:rsidRPr="00EA19F0">
        <w:rPr>
          <w:rFonts w:asciiTheme="minorBidi" w:hAnsiTheme="minorBidi"/>
          <w:sz w:val="24"/>
          <w:szCs w:val="24"/>
        </w:rPr>
        <w:t xml:space="preserve"> ratios, indicate that carbonate weathering is the dominant process governing the hydrogeochemistry of Drass River water across all periods, with only a minor contribution from silicate weathering</w:t>
      </w:r>
      <w:r w:rsidR="00D22A28" w:rsidRPr="00EA19F0">
        <w:rPr>
          <w:rFonts w:asciiTheme="minorBidi" w:hAnsiTheme="minorBidi"/>
          <w:sz w:val="24"/>
          <w:szCs w:val="24"/>
        </w:rPr>
        <w:t xml:space="preserve"> </w:t>
      </w:r>
      <w:r w:rsidR="00D22A28"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{"citationID":"fAmAjVAb","properties":{"formattedCitation":"(Bisht et al., 2022)","plainCitation":"(Bisht et al., 2022)","noteIndex":0},"citationItems":[{"id":1389,"uris":["http://zotero.org/users/local/GtKGLMn4/items/NVPCNHBC","http://zotero.org/users/17566097/items/NVPCNHBC"],"itemData":{"id":1389,"type":"article-journal","abstract":"This paper presents an insight on major ion chemistry and identification of solute sources in meltwater of Chaturangi glacier throughout the ablation period 2015 and 2016. The results indicate that meltwater is slightly acidic with Ca–HCO3 and Mg–HCO3 dominated hydrochemical facies. In meltwater, Ca2+ and HCO3− are the most dominant cation and anion, respectively. The Water Quality Index values show that the quality of meltwater is good for both the ablation seasons. An important factor governing the quality of water is the residence time for dissolving minerals from the rocks. Mineralogy of surrounding rocks and Gibbs plot suggest that the meltwater ionic concentration is mostly controlled by weathering of rocks with slight contribution from atmospheric aerosols. For meltwater, the average equivalent ratios of Na/Cl and K/Cl were calculated as 3.36 ± 1.29 and 2.29 ± 0.62 in 2015 and 1.39 ± 0.6 and 0.8 ± 0.2 in 2016, which are considerably higher than the marine aerosols (Na/Cl = 0.85 and K/Cl = 0.017), it also confirmed the less contribution of atmospheric input in meltwater. The petrographic analysis of surrounding rocks indicate positive relationship among the cations (Ca2+, Mg2+, Na+ and K+) and mineral abundance. Our observations suggest that the bedrock mineralogy and weathering reactions together with amount and composition of atmospheric inputs are the main sources of ions, dissolved in the glacier meltwater. It might be due to rate of chemical reaction which leads decomposition of rocks and leaching of minerals into the meltwater. Additionally, the geology of the area plays a significant as the influence of geology and climate on water quality is observed by the quantity and types of dissolved materials and amount of the sediment carried by the streams. The elevated proportion of Ca + Mg in total cations and high Ca + Mg/(Na + K ratios, 1.47 ± 0.14 in the year 2015 and 1.44 ± 0.28 in 2016 clearly reveal that the ionic composition is primarily controlled by carbonate weathering and partly by silicate weathering. Further, the low Na + K/TZ− ratio (0.41 ± 0.02) and (0.22 ± 0.05) in 2015 and 2016, respectively also supports that carbonate weathering is main geochemical process controlling the hydrochemistry of meltwater. In addition, the ion denudation rate was calculated for both the years. The results show that the cation denudation rate of meltwater was 32.84 and 22.30 ton/km2/ablation during 2015 and 2016, respectively, whereas the anion denudation rate was found to be 205.43 in 2015 and 170.24 ton/km2/ablation in 2016.","container-title":"Applied Water Science","DOI":"10.1007/s13201-021-01510-5","ISSN":"2190-5495","issue":"3","journalAbbreviation":"Appl Water Sci","language":"en","page":"29","source":"Springer Link","title":"Hydrogeochemical analysis and identification of solute sources in the meltwater of Chaturangi glacier, Garhwal Himalaya, India","URL":"https://doi.org/10.1007/s13201-021-01510-5","volume":"12","author":[{"family":"Bisht","given":"Harish"},{"family":"Kotlia","given":"Bahadur Singh"},{"family":"Kumar","given":"Kireet"},{"family":"Taloor","given":"Ajay Kumar"},{"family":"Arya","given":"Prakash Chandra"},{"family":"Sah","given":"Saurabh Kumar"},{"family":"Agnihotri","given":"Vasudha"},{"family":"Tewari","given":"Mohit"},{"family":"Upadhyay","given":"Rajeev"}],"accessed":{"date-parts":[["2025",7,13]]},"issued":{"date-parts":[["2022",2,7]]}}}],"schema":"https://github.com/citation-style-language/schema/raw/master/csl-citation.json"} </w:instrText>
      </w:r>
      <w:r w:rsidR="00D22A28"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(Bisht et al., 2022)</w:t>
      </w:r>
      <w:r w:rsidR="00D22A28" w:rsidRPr="00EA19F0">
        <w:rPr>
          <w:rFonts w:asciiTheme="minorBidi" w:hAnsiTheme="minorBidi"/>
          <w:color w:val="0070C0"/>
          <w:sz w:val="24"/>
          <w:szCs w:val="24"/>
        </w:rPr>
        <w:fldChar w:fldCharType="end"/>
      </w:r>
      <w:r w:rsidR="00D22A28" w:rsidRPr="00EA19F0">
        <w:rPr>
          <w:rFonts w:asciiTheme="minorBidi" w:hAnsiTheme="minorBidi"/>
          <w:color w:val="0070C0"/>
          <w:sz w:val="24"/>
          <w:szCs w:val="24"/>
        </w:rPr>
        <w:t>.</w:t>
      </w:r>
      <w:r w:rsidR="00D22A28" w:rsidRPr="00EA19F0">
        <w:rPr>
          <w:rFonts w:asciiTheme="minorBidi" w:hAnsiTheme="minorBidi"/>
          <w:color w:val="000000" w:themeColor="text1"/>
          <w:sz w:val="24"/>
          <w:szCs w:val="24"/>
        </w:rPr>
        <w:t xml:space="preserve"> </w:t>
      </w:r>
      <w:r w:rsidR="0095229B" w:rsidRPr="00EA19F0">
        <w:rPr>
          <w:rFonts w:asciiTheme="minorBidi" w:hAnsiTheme="minorBidi"/>
          <w:color w:val="000000" w:themeColor="text1"/>
          <w:sz w:val="24"/>
          <w:szCs w:val="24"/>
        </w:rPr>
        <w:t>Generally</w:t>
      </w:r>
      <w:r w:rsidR="0095229B" w:rsidRPr="00EA19F0">
        <w:rPr>
          <w:rFonts w:asciiTheme="minorBidi" w:hAnsiTheme="minorBidi"/>
          <w:color w:val="0070C0"/>
          <w:sz w:val="24"/>
          <w:szCs w:val="24"/>
        </w:rPr>
        <w:t xml:space="preserve">, </w:t>
      </w:r>
      <w:r w:rsidR="00D90B37" w:rsidRPr="00EA19F0">
        <w:rPr>
          <w:rFonts w:asciiTheme="minorBidi" w:hAnsiTheme="minorBidi"/>
          <w:sz w:val="24"/>
          <w:szCs w:val="24"/>
        </w:rPr>
        <w:t xml:space="preserve">carbonate minerals weather 12–40 times faster than silicates; thus, even minor carbonate outcrops can exert major control on regional water chemistry </w:t>
      </w:r>
      <w:r w:rsidR="00D90B37"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{"citationID":"aVFJLt1f","properties":{"formattedCitation":"(Meybeck, 1987)","plainCitation":"(Meybeck, 1987)","noteIndex":0},"citationItems":[{"id":1626,"uris":["http://zotero.org/users/17566097/items/Z7YK3CCV"],"itemData":{"id":1626,"type":"article-journal","abstract":"By Michel Meybeck. ...","container-title":"American Journal of Science","DOI":"10.2475/ajs.287.5.401","issue":"5","journalAbbreviation":"American Journal of Science","language":"en","note":"publisher: American Journal of Science","page":"401-428","source":"ajsonline.org","title":"Global chemical weathering of surficial rocks estimated from river dissolved loads","URL":"https://ajsonline.org/article/60410-global-chemical-weathering-of-surficial-rocks-estimated-from-river-dissolved-loads","volume":"287","author":[{"family":"Meybeck","given":"Michel"}],"accessed":{"date-parts":[["2025",8,16]]},"issued":{"date-parts":[["1987",5,1]]}}}],"schema":"https://github.com/citation-style-language/schema/raw/master/csl-citation.json"} </w:instrText>
      </w:r>
      <w:r w:rsidR="00D90B37" w:rsidRPr="00EA19F0">
        <w:rPr>
          <w:rFonts w:asciiTheme="minorBidi" w:hAnsiTheme="minorBidi"/>
          <w:color w:val="0070C0"/>
          <w:sz w:val="24"/>
          <w:szCs w:val="24"/>
        </w:rPr>
        <w:fldChar w:fldCharType="separate"/>
      </w:r>
      <w:r w:rsidR="00445DFA" w:rsidRPr="00EA19F0">
        <w:rPr>
          <w:rFonts w:asciiTheme="minorBidi" w:hAnsiTheme="minorBidi"/>
          <w:color w:val="0070C0"/>
          <w:sz w:val="24"/>
        </w:rPr>
        <w:t>(Meybeck, 1987)</w:t>
      </w:r>
      <w:r w:rsidR="00D90B37" w:rsidRPr="00EA19F0">
        <w:rPr>
          <w:rFonts w:asciiTheme="minorBidi" w:hAnsiTheme="minorBidi"/>
          <w:color w:val="0070C0"/>
          <w:sz w:val="24"/>
          <w:szCs w:val="24"/>
        </w:rPr>
        <w:fldChar w:fldCharType="end"/>
      </w:r>
      <w:r w:rsidR="00D90B37" w:rsidRPr="00EA19F0">
        <w:rPr>
          <w:rFonts w:asciiTheme="minorBidi" w:hAnsiTheme="minorBidi"/>
          <w:color w:val="0070C0"/>
          <w:sz w:val="24"/>
          <w:szCs w:val="24"/>
        </w:rPr>
        <w:t>.</w:t>
      </w:r>
      <w:r w:rsidR="00F85F8C" w:rsidRPr="00EA19F0">
        <w:rPr>
          <w:rFonts w:asciiTheme="minorBidi" w:hAnsiTheme="minorBidi"/>
          <w:sz w:val="24"/>
          <w:szCs w:val="24"/>
        </w:rPr>
        <w:t xml:space="preserve"> </w:t>
      </w:r>
      <w:r w:rsidR="001B65C3" w:rsidRPr="00EA19F0">
        <w:rPr>
          <w:rFonts w:asciiTheme="minorBidi" w:hAnsiTheme="minorBidi"/>
          <w:sz w:val="24"/>
          <w:szCs w:val="24"/>
        </w:rPr>
        <w:t>The [HCO</w:t>
      </w:r>
      <w:r w:rsidR="001B65C3" w:rsidRPr="00EA19F0">
        <w:rPr>
          <w:rFonts w:ascii="Cambria Math" w:hAnsi="Cambria Math" w:cs="Cambria Math"/>
          <w:sz w:val="24"/>
          <w:szCs w:val="24"/>
        </w:rPr>
        <w:t>₃⁻</w:t>
      </w:r>
      <w:r w:rsidR="001B65C3" w:rsidRPr="00EA19F0">
        <w:rPr>
          <w:rFonts w:asciiTheme="minorBidi" w:hAnsiTheme="minorBidi"/>
          <w:sz w:val="24"/>
          <w:szCs w:val="24"/>
        </w:rPr>
        <w:t>/Ca</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 ratio generally ranges between 1.0 and 2.0, reflecting the combined effects of carbonic acid and strong acids such as HNO</w:t>
      </w:r>
      <w:r w:rsidR="001B65C3" w:rsidRPr="00EA19F0">
        <w:rPr>
          <w:rFonts w:ascii="Cambria Math" w:hAnsi="Cambria Math" w:cs="Cambria Math"/>
          <w:sz w:val="24"/>
          <w:szCs w:val="24"/>
        </w:rPr>
        <w:t>₃</w:t>
      </w:r>
      <w:r w:rsidR="001B65C3" w:rsidRPr="00EA19F0">
        <w:rPr>
          <w:rFonts w:asciiTheme="minorBidi" w:hAnsiTheme="minorBidi"/>
          <w:sz w:val="24"/>
          <w:szCs w:val="24"/>
        </w:rPr>
        <w:t xml:space="preserve"> and H</w:t>
      </w:r>
      <w:r w:rsidR="001B65C3" w:rsidRPr="00EA19F0">
        <w:rPr>
          <w:rFonts w:ascii="Cambria Math" w:hAnsi="Cambria Math" w:cs="Cambria Math"/>
          <w:sz w:val="24"/>
          <w:szCs w:val="24"/>
        </w:rPr>
        <w:t>₂</w:t>
      </w:r>
      <w:r w:rsidR="001B65C3" w:rsidRPr="00EA19F0">
        <w:rPr>
          <w:rFonts w:asciiTheme="minorBidi" w:hAnsiTheme="minorBidi"/>
          <w:sz w:val="24"/>
          <w:szCs w:val="24"/>
        </w:rPr>
        <w:t>SO</w:t>
      </w:r>
      <w:r w:rsidR="001B65C3" w:rsidRPr="00EA19F0">
        <w:rPr>
          <w:rFonts w:ascii="Cambria Math" w:hAnsi="Cambria Math" w:cs="Cambria Math"/>
          <w:sz w:val="24"/>
          <w:szCs w:val="24"/>
        </w:rPr>
        <w:t>₄</w:t>
      </w:r>
      <w:r w:rsidR="001B65C3" w:rsidRPr="00EA19F0">
        <w:rPr>
          <w:rFonts w:asciiTheme="minorBidi" w:hAnsiTheme="minorBidi"/>
          <w:sz w:val="24"/>
          <w:szCs w:val="24"/>
        </w:rPr>
        <w:t>, whereas a ratio of 1.0 to 0.5 indicates dolomite dissolution. Similarly, [HCO</w:t>
      </w:r>
      <w:r w:rsidR="001B65C3" w:rsidRPr="00EA19F0">
        <w:rPr>
          <w:rFonts w:ascii="Cambria Math" w:hAnsi="Cambria Math" w:cs="Cambria Math"/>
          <w:sz w:val="24"/>
          <w:szCs w:val="24"/>
        </w:rPr>
        <w:t>₃⁻</w:t>
      </w:r>
      <w:r w:rsidR="001B65C3" w:rsidRPr="00EA19F0">
        <w:rPr>
          <w:rFonts w:asciiTheme="minorBidi" w:hAnsiTheme="minorBidi"/>
          <w:sz w:val="24"/>
          <w:szCs w:val="24"/>
        </w:rPr>
        <w:t>/(Ca</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+Mg</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 ratios in the range of 1.0 to 2.0 confirm that carbonate weathering is the main source of Ca</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 Mg</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 and HCO</w:t>
      </w:r>
      <w:r w:rsidR="001B65C3" w:rsidRPr="00EA19F0">
        <w:rPr>
          <w:rFonts w:ascii="Cambria Math" w:hAnsi="Cambria Math" w:cs="Cambria Math"/>
          <w:sz w:val="24"/>
          <w:szCs w:val="24"/>
        </w:rPr>
        <w:t>₃⁻</w:t>
      </w:r>
      <w:r w:rsidR="001B65C3" w:rsidRPr="00EA19F0">
        <w:rPr>
          <w:rFonts w:asciiTheme="minorBidi" w:hAnsiTheme="minorBidi"/>
          <w:sz w:val="24"/>
          <w:szCs w:val="24"/>
        </w:rPr>
        <w:t>. Samples with a ratio equal to 1.0 specifically signify the dissolution of dolomite</w:t>
      </w:r>
      <w:r w:rsidR="00B63C2B" w:rsidRPr="00EA19F0">
        <w:rPr>
          <w:rFonts w:asciiTheme="minorBidi" w:hAnsiTheme="minorBidi"/>
          <w:sz w:val="24"/>
          <w:szCs w:val="24"/>
        </w:rPr>
        <w:t xml:space="preserve"> </w:t>
      </w:r>
      <w:r w:rsidR="00B63C2B"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{"citationID":"Q6SdBQr8","properties":{"formattedCitation":"(Benmerabet et al., 2025)","plainCitation":"(Benmerabet et al., 2025)","noteIndex":0},"citationItems":[{"id":1630,"uris":["http://zotero.org/users/17566097/items/YISVN5DF"],"itemData":{"id":1630,"type":"article-journal","abstract":"Understanding groundwater geochemical evolution is crucial for sustainable water management, particularly in Algeria's semi-arid regions, where water scarcity is a major challenge. Sixty-five groundwater samples were collected and analyzed in March 2021 from the study area to identify hydrogeochemical processes, water–rock interactions, and groundwater suitability for drinking and irrigation. Results indicate significant variations in mineralization, with over 90% of samples highly mineralized, reaching 31,700 µS/cm. The abundance of major ions was Na2+ &amp;gt; Ca2+ &amp;gt; Mg2+ &amp;gt; K+ for cations and Cl− &amp;gt; HCO3− &amp;gt; SO42− &amp;gt; NO32− for anions. Most samples are classified as very hard-brackish or hard-brackish, with Ca-Mg-Cl-SO4, Na-Cl, and Ca-Mg-HCO3 as the main water types. The increase in salinity is primarily due to geogenic processes, with some anthropogenic influence. Water–rock interactions and evaporation are the key factors controlling groundwater chemistry, with the dissolution of halite, gypsum, anhydrite, calcite, and dolomite playing a major role. Additionally, cation exchange and silicate weathering are prevalent processes in the groundwater system. Saturation index analysis reveals that anhydrite, gypsum, and halite are unsaturated, whereas aragonite, dolomite, and calcite are saturated. Regarding usability, over 73% of groundwater samples require treatment before drinking, while more than 80% are suitable for irrigation.","container-title":"Water Supply","DOI":"10.2166/ws.2025.023","ISSN":"1606-9749","issue":"3","journalAbbreviation":"Water Supply","page":"404-423","source":"Silverchair","title":"Hydrogeochemical processes, water–rock interactions, and the suitability of groundwater in a semi-arid region, Northeastern Algeria","URL":"https://doi.org/10.2166/ws.2025.023","volume":"25","author":[{"family":"Benmerabet","given":"Nadia"},{"family":"Sedrati","given":"Nassima"},{"family":"Djabri","given":"Larbi"}],"accessed":{"date-parts":[["2025",8,16]]},"issued":{"date-parts":[["2025",2,17]]}}}],"schema":"https://github.com/citation-style-language/schema/raw/master/csl-citation.json"} </w:instrText>
      </w:r>
      <w:r w:rsidR="00B63C2B"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(Benmerabet et al., 2025)</w:t>
      </w:r>
      <w:r w:rsidR="00B63C2B" w:rsidRPr="00EA19F0">
        <w:rPr>
          <w:rFonts w:asciiTheme="minorBidi" w:hAnsiTheme="minorBidi"/>
          <w:color w:val="0070C0"/>
          <w:sz w:val="24"/>
          <w:szCs w:val="24"/>
        </w:rPr>
        <w:fldChar w:fldCharType="end"/>
      </w:r>
      <w:r w:rsidR="001B65C3" w:rsidRPr="00EA19F0">
        <w:rPr>
          <w:rFonts w:asciiTheme="minorBidi" w:hAnsiTheme="minorBidi"/>
          <w:sz w:val="24"/>
          <w:szCs w:val="24"/>
        </w:rPr>
        <w:t>. In this study, the [HCO</w:t>
      </w:r>
      <w:r w:rsidR="001B65C3" w:rsidRPr="00EA19F0">
        <w:rPr>
          <w:rFonts w:ascii="Cambria Math" w:hAnsi="Cambria Math" w:cs="Cambria Math"/>
          <w:sz w:val="24"/>
          <w:szCs w:val="24"/>
        </w:rPr>
        <w:t>₃⁻</w:t>
      </w:r>
      <w:r w:rsidR="001B65C3" w:rsidRPr="00EA19F0">
        <w:rPr>
          <w:rFonts w:asciiTheme="minorBidi" w:hAnsiTheme="minorBidi"/>
          <w:sz w:val="24"/>
          <w:szCs w:val="24"/>
        </w:rPr>
        <w:t>/Ca</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 ratio was observed</w:t>
      </w:r>
      <w:r w:rsidR="00C2597F" w:rsidRPr="00EA19F0">
        <w:rPr>
          <w:rFonts w:asciiTheme="minorBidi" w:hAnsiTheme="minorBidi"/>
          <w:sz w:val="24"/>
          <w:szCs w:val="24"/>
        </w:rPr>
        <w:t>:</w:t>
      </w:r>
      <w:r w:rsidR="001045CD" w:rsidRPr="00EA19F0">
        <w:rPr>
          <w:rFonts w:asciiTheme="minorBidi" w:hAnsiTheme="minorBidi"/>
          <w:sz w:val="24"/>
          <w:szCs w:val="24"/>
        </w:rPr>
        <w:t xml:space="preserve"> </w:t>
      </w:r>
      <w:commentRangeStart w:id="20"/>
      <w:r w:rsidR="001B65C3" w:rsidRPr="00EA19F0">
        <w:rPr>
          <w:rFonts w:asciiTheme="minorBidi" w:hAnsiTheme="minorBidi"/>
          <w:sz w:val="24"/>
          <w:szCs w:val="24"/>
        </w:rPr>
        <w:t xml:space="preserve">1.14±0.21 </w:t>
      </w:r>
      <w:commentRangeEnd w:id="20"/>
      <w:r w:rsidR="00C06ABB">
        <w:rPr>
          <w:rStyle w:val="CommentReference"/>
        </w:rPr>
        <w:commentReference w:id="20"/>
      </w:r>
      <w:r w:rsidR="001B65C3" w:rsidRPr="00EA19F0">
        <w:rPr>
          <w:rFonts w:asciiTheme="minorBidi" w:hAnsiTheme="minorBidi"/>
          <w:sz w:val="24"/>
          <w:szCs w:val="24"/>
        </w:rPr>
        <w:t>in EMP, 1.12±0.44 in PMP, and 1.09±0.11 in LMP, collectively highlighting the influence of both carbonic acid and strong acids on carbonate weathering</w:t>
      </w:r>
      <w:r w:rsidR="009E1762" w:rsidRPr="00EA19F0">
        <w:rPr>
          <w:rFonts w:asciiTheme="minorBidi" w:hAnsiTheme="minorBidi"/>
          <w:sz w:val="24"/>
          <w:szCs w:val="24"/>
        </w:rPr>
        <w:t xml:space="preserve"> </w:t>
      </w:r>
      <w:commentRangeStart w:id="21"/>
      <w:r w:rsidR="009E1762" w:rsidRPr="00EA19F0">
        <w:rPr>
          <w:rFonts w:asciiTheme="minorBidi" w:hAnsiTheme="minorBidi"/>
          <w:b/>
          <w:bCs/>
          <w:sz w:val="24"/>
          <w:szCs w:val="24"/>
        </w:rPr>
        <w:t>Table 3</w:t>
      </w:r>
      <w:r w:rsidR="001B65C3" w:rsidRPr="00EA19F0">
        <w:rPr>
          <w:rFonts w:asciiTheme="minorBidi" w:hAnsiTheme="minorBidi"/>
          <w:sz w:val="24"/>
          <w:szCs w:val="24"/>
        </w:rPr>
        <w:t xml:space="preserve">. </w:t>
      </w:r>
      <w:commentRangeEnd w:id="21"/>
      <w:r w:rsidR="00C06ABB">
        <w:rPr>
          <w:rStyle w:val="CommentReference"/>
        </w:rPr>
        <w:commentReference w:id="21"/>
      </w:r>
      <w:r w:rsidR="001B65C3" w:rsidRPr="00EA19F0">
        <w:rPr>
          <w:rFonts w:asciiTheme="minorBidi" w:hAnsiTheme="minorBidi"/>
          <w:sz w:val="24"/>
          <w:szCs w:val="24"/>
        </w:rPr>
        <w:t>Similarly, [HCO</w:t>
      </w:r>
      <w:r w:rsidR="001B65C3" w:rsidRPr="00EA19F0">
        <w:rPr>
          <w:rFonts w:ascii="Cambria Math" w:hAnsi="Cambria Math" w:cs="Cambria Math"/>
          <w:sz w:val="24"/>
          <w:szCs w:val="24"/>
        </w:rPr>
        <w:t>₃⁻</w:t>
      </w:r>
      <w:r w:rsidR="001B65C3" w:rsidRPr="00EA19F0">
        <w:rPr>
          <w:rFonts w:asciiTheme="minorBidi" w:hAnsiTheme="minorBidi"/>
          <w:sz w:val="24"/>
          <w:szCs w:val="24"/>
        </w:rPr>
        <w:t>/(Ca</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+Mg</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 xml:space="preserve">)] ratios were comparatively lower, with values of 0.71 </w:t>
      </w:r>
      <w:r w:rsidR="001B65C3" w:rsidRPr="00EA19F0">
        <w:rPr>
          <w:rFonts w:ascii="Arial" w:hAnsi="Arial" w:cs="Arial"/>
          <w:sz w:val="24"/>
          <w:szCs w:val="24"/>
        </w:rPr>
        <w:t>±</w:t>
      </w:r>
      <w:r w:rsidR="001B65C3" w:rsidRPr="00EA19F0">
        <w:rPr>
          <w:rFonts w:asciiTheme="minorBidi" w:hAnsiTheme="minorBidi"/>
          <w:sz w:val="24"/>
          <w:szCs w:val="24"/>
        </w:rPr>
        <w:t xml:space="preserve"> 0.13 in EMP, 0.69 </w:t>
      </w:r>
      <w:r w:rsidR="001B65C3" w:rsidRPr="00EA19F0">
        <w:rPr>
          <w:rFonts w:ascii="Arial" w:hAnsi="Arial" w:cs="Arial"/>
          <w:sz w:val="24"/>
          <w:szCs w:val="24"/>
        </w:rPr>
        <w:t>±</w:t>
      </w:r>
      <w:r w:rsidR="001B65C3" w:rsidRPr="00EA19F0">
        <w:rPr>
          <w:rFonts w:asciiTheme="minorBidi" w:hAnsiTheme="minorBidi"/>
          <w:sz w:val="24"/>
          <w:szCs w:val="24"/>
        </w:rPr>
        <w:t xml:space="preserve"> 0.15 in PMP, and 0.61 </w:t>
      </w:r>
      <w:r w:rsidR="001B65C3" w:rsidRPr="00EA19F0">
        <w:rPr>
          <w:rFonts w:ascii="Arial" w:hAnsi="Arial" w:cs="Arial"/>
          <w:sz w:val="24"/>
          <w:szCs w:val="24"/>
        </w:rPr>
        <w:t>±</w:t>
      </w:r>
      <w:r w:rsidR="001B65C3" w:rsidRPr="00EA19F0">
        <w:rPr>
          <w:rFonts w:asciiTheme="minorBidi" w:hAnsiTheme="minorBidi"/>
          <w:sz w:val="24"/>
          <w:szCs w:val="24"/>
        </w:rPr>
        <w:t xml:space="preserve"> 0.07 in LMP, falling below the typical carbonate weathering range</w:t>
      </w:r>
      <w:r w:rsidR="009E1762" w:rsidRPr="00EA19F0">
        <w:rPr>
          <w:rFonts w:asciiTheme="minorBidi" w:hAnsiTheme="minorBidi"/>
          <w:sz w:val="24"/>
          <w:szCs w:val="24"/>
        </w:rPr>
        <w:t xml:space="preserve"> </w:t>
      </w:r>
      <w:commentRangeStart w:id="22"/>
      <w:r w:rsidR="009E1762" w:rsidRPr="00EA19F0">
        <w:rPr>
          <w:rFonts w:asciiTheme="minorBidi" w:hAnsiTheme="minorBidi"/>
          <w:b/>
          <w:bCs/>
          <w:sz w:val="24"/>
          <w:szCs w:val="24"/>
        </w:rPr>
        <w:t>Table 3</w:t>
      </w:r>
      <w:r w:rsidR="001B65C3" w:rsidRPr="00EA19F0">
        <w:rPr>
          <w:rFonts w:asciiTheme="minorBidi" w:hAnsiTheme="minorBidi"/>
          <w:sz w:val="24"/>
          <w:szCs w:val="24"/>
        </w:rPr>
        <w:t xml:space="preserve">. </w:t>
      </w:r>
      <w:commentRangeEnd w:id="22"/>
      <w:r w:rsidR="00C06ABB">
        <w:rPr>
          <w:rStyle w:val="CommentReference"/>
        </w:rPr>
        <w:commentReference w:id="22"/>
      </w:r>
      <w:r w:rsidR="001B65C3" w:rsidRPr="00EA19F0">
        <w:rPr>
          <w:rFonts w:asciiTheme="minorBidi" w:hAnsiTheme="minorBidi"/>
          <w:sz w:val="24"/>
          <w:szCs w:val="24"/>
        </w:rPr>
        <w:t>These lower ratios suggest that, alongside carbonate dissolution, other geochemical processes contribute to the release of Ca²</w:t>
      </w:r>
      <w:r w:rsidR="001B65C3" w:rsidRPr="00EA19F0">
        <w:rPr>
          <w:rFonts w:ascii="Cambria Math" w:hAnsi="Cambria Math" w:cs="Cambria Math"/>
          <w:sz w:val="24"/>
          <w:szCs w:val="24"/>
        </w:rPr>
        <w:t>⁺</w:t>
      </w:r>
      <w:r w:rsidR="001B65C3" w:rsidRPr="00EA19F0">
        <w:rPr>
          <w:rFonts w:asciiTheme="minorBidi" w:hAnsiTheme="minorBidi"/>
          <w:sz w:val="24"/>
          <w:szCs w:val="24"/>
        </w:rPr>
        <w:t xml:space="preserve"> and Mg</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 possibly due to sulphate mineral dissolution (e.g., gypsum, anhydrite), sulphide oxidation (pyrite oxidation producing sulfuric acid, which releases Ca</w:t>
      </w:r>
      <w:r w:rsidR="001B65C3" w:rsidRPr="00EA19F0">
        <w:rPr>
          <w:rFonts w:ascii="Arial" w:hAnsi="Arial" w:cs="Arial"/>
          <w:sz w:val="24"/>
          <w:szCs w:val="24"/>
        </w:rPr>
        <w:t>²</w:t>
      </w:r>
      <w:r w:rsidR="001B65C3" w:rsidRPr="00EA19F0">
        <w:rPr>
          <w:rFonts w:ascii="Cambria Math" w:hAnsi="Cambria Math" w:cs="Cambria Math"/>
          <w:sz w:val="24"/>
          <w:szCs w:val="24"/>
        </w:rPr>
        <w:t>⁺</w:t>
      </w:r>
      <w:r w:rsidR="001B65C3" w:rsidRPr="00EA19F0">
        <w:rPr>
          <w:rFonts w:asciiTheme="minorBidi" w:hAnsiTheme="minorBidi"/>
          <w:sz w:val="24"/>
          <w:szCs w:val="24"/>
        </w:rPr>
        <w:t xml:space="preserve"> </w:t>
      </w:r>
      <w:r w:rsidR="00561D8D" w:rsidRPr="00EA19F0">
        <w:rPr>
          <w:rFonts w:asciiTheme="minorBidi" w:hAnsiTheme="minorBidi"/>
          <w:sz w:val="24"/>
          <w:szCs w:val="24"/>
        </w:rPr>
        <w:t xml:space="preserve">and </w:t>
      </w:r>
      <w:r w:rsidR="001B65C3" w:rsidRPr="00EA19F0">
        <w:rPr>
          <w:rFonts w:asciiTheme="minorBidi" w:hAnsiTheme="minorBidi"/>
          <w:sz w:val="24"/>
          <w:szCs w:val="24"/>
        </w:rPr>
        <w:t>Mg²</w:t>
      </w:r>
      <w:r w:rsidR="001B65C3" w:rsidRPr="00EA19F0">
        <w:rPr>
          <w:rFonts w:ascii="Cambria Math" w:hAnsi="Cambria Math" w:cs="Cambria Math"/>
          <w:sz w:val="24"/>
          <w:szCs w:val="24"/>
        </w:rPr>
        <w:t>⁺</w:t>
      </w:r>
      <w:r w:rsidR="005D1673" w:rsidRPr="00EA19F0">
        <w:rPr>
          <w:rFonts w:asciiTheme="minorBidi" w:hAnsiTheme="minorBidi"/>
          <w:sz w:val="24"/>
          <w:szCs w:val="24"/>
        </w:rPr>
        <w:t>)</w:t>
      </w:r>
      <w:r w:rsidR="001B65C3" w:rsidRPr="00EA19F0">
        <w:rPr>
          <w:rFonts w:asciiTheme="minorBidi" w:hAnsiTheme="minorBidi"/>
          <w:sz w:val="24"/>
          <w:szCs w:val="24"/>
        </w:rPr>
        <w:t>, and strong acid weathering (H</w:t>
      </w:r>
      <w:r w:rsidR="001B65C3" w:rsidRPr="00EA19F0">
        <w:rPr>
          <w:rFonts w:ascii="Cambria Math" w:hAnsi="Cambria Math" w:cs="Cambria Math"/>
          <w:sz w:val="24"/>
          <w:szCs w:val="24"/>
        </w:rPr>
        <w:t>₂</w:t>
      </w:r>
      <w:r w:rsidR="001B65C3" w:rsidRPr="00EA19F0">
        <w:rPr>
          <w:rFonts w:asciiTheme="minorBidi" w:hAnsiTheme="minorBidi"/>
          <w:sz w:val="24"/>
          <w:szCs w:val="24"/>
        </w:rPr>
        <w:t>SO</w:t>
      </w:r>
      <w:r w:rsidR="001B65C3" w:rsidRPr="00EA19F0">
        <w:rPr>
          <w:rFonts w:ascii="Cambria Math" w:hAnsi="Cambria Math" w:cs="Cambria Math"/>
          <w:sz w:val="24"/>
          <w:szCs w:val="24"/>
        </w:rPr>
        <w:t>₄</w:t>
      </w:r>
      <w:r w:rsidR="001B65C3" w:rsidRPr="00EA19F0">
        <w:rPr>
          <w:rFonts w:asciiTheme="minorBidi" w:hAnsiTheme="minorBidi"/>
          <w:sz w:val="24"/>
          <w:szCs w:val="24"/>
        </w:rPr>
        <w:t xml:space="preserve"> or HNO</w:t>
      </w:r>
      <w:r w:rsidR="001B65C3" w:rsidRPr="00EA19F0">
        <w:rPr>
          <w:rFonts w:ascii="Cambria Math" w:hAnsi="Cambria Math" w:cs="Cambria Math"/>
          <w:sz w:val="24"/>
          <w:szCs w:val="24"/>
        </w:rPr>
        <w:t>₃</w:t>
      </w:r>
      <w:r w:rsidR="001B65C3" w:rsidRPr="00EA19F0">
        <w:rPr>
          <w:rFonts w:asciiTheme="minorBidi" w:hAnsiTheme="minorBidi"/>
          <w:sz w:val="24"/>
          <w:szCs w:val="24"/>
        </w:rPr>
        <w:t>)</w:t>
      </w:r>
      <w:r w:rsidR="002A3C95" w:rsidRPr="00EA19F0">
        <w:rPr>
          <w:rFonts w:asciiTheme="minorBidi" w:hAnsiTheme="minorBidi"/>
          <w:sz w:val="24"/>
          <w:szCs w:val="24"/>
        </w:rPr>
        <w:t xml:space="preserve"> </w:t>
      </w:r>
      <w:r w:rsidR="002A3C95"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{"citationID":"4tFPjHFY","properties":{"formattedCitation":"(Benmerabet et al., 2025)","plainCitation":"(Benmerabet et al., 2025)","noteIndex":0},"citationItems":[{"id":1630,"uris":["http://zotero.org/users/17566097/items/YISVN5DF"],"itemData":{"id":1630,"type":"article-journal","abstract":"Understanding groundwater geochemical evolution is crucial for sustainable water management, particularly in Algeria's semi-arid regions, where water scarcity is a major challenge. Sixty-five groundwater samples were collected and analyzed in March 2021 from the study area to identify hydrogeochemical processes, water–rock interactions, and groundwater suitability for drinking and irrigation. Results indicate significant variations in mineralization, with over 90% of samples highly mineralized, reaching 31,700 µS/cm. The abundance of major ions was Na2+ &amp;gt; Ca2+ &amp;gt; Mg2+ &amp;gt; K+ for cations and Cl− &amp;gt; HCO3− &amp;gt; SO42− &amp;gt; NO32− for anions. Most samples are classified as very hard-brackish or hard-brackish, with Ca-Mg-Cl-SO4, Na-Cl, and Ca-Mg-HCO3 as the main water types. The increase in salinity is primarily due to geogenic processes, with some anthropogenic influence. Water–rock interactions and evaporation are the key factors controlling groundwater chemistry, with the dissolution of halite, gypsum, anhydrite, calcite, and dolomite playing a major role. Additionally, cation exchange and silicate weathering are prevalent processes in the groundwater system. Saturation index analysis reveals that anhydrite, gypsum, and halite are unsaturated, whereas aragonite, dolomite, and calcite are saturated. Regarding usability, over 73% of groundwater samples require treatment before drinking, while more than 80% are suitable for irrigation.","container-title":"Water Supply","DOI":"10.2166/ws.2025.023","ISSN":"1606-9749","issue":"3","journalAbbreviation":"Water Supply","page":"404-423","source":"Silverchair","title":"Hydrogeochemical processes, water–rock interactions, and the suitability of groundwater in a semi-arid region, Northeastern Algeria","URL":"https://doi.org/10.2166/ws.2025.023","volume":"25","author":[{"family":"Benmerabet","given":"Nadia"},{"family":"Sedrati","given":"Nassima"},{"family":"Djabri","given":"Larbi"}],"accessed":{"date-parts":[["2025",8,16]]},"issued":{"date-parts":[["2025",2,17]]}}}],"schema":"https://github.com/citation-style-language/schema/raw/master/csl-citation.json"} </w:instrText>
      </w:r>
      <w:r w:rsidR="002A3C95"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(Benmerabet et al., 2025)</w:t>
      </w:r>
      <w:r w:rsidR="002A3C95" w:rsidRPr="00EA19F0">
        <w:rPr>
          <w:rFonts w:asciiTheme="minorBidi" w:hAnsiTheme="minorBidi"/>
          <w:color w:val="0070C0"/>
          <w:sz w:val="24"/>
          <w:szCs w:val="24"/>
        </w:rPr>
        <w:fldChar w:fldCharType="end"/>
      </w:r>
      <w:r w:rsidR="001B65C3" w:rsidRPr="00EA19F0">
        <w:rPr>
          <w:rFonts w:asciiTheme="minorBidi" w:hAnsiTheme="minorBidi"/>
          <w:color w:val="0070C0"/>
          <w:sz w:val="24"/>
          <w:szCs w:val="24"/>
        </w:rPr>
        <w:t xml:space="preserve">. </w:t>
      </w:r>
      <w:r w:rsidR="0030074B" w:rsidRPr="00EA19F0">
        <w:rPr>
          <w:rFonts w:asciiTheme="minorBidi" w:hAnsiTheme="minorBidi"/>
          <w:sz w:val="24"/>
          <w:szCs w:val="24"/>
        </w:rPr>
        <w:t xml:space="preserve">To evaluate the relative importance of proton-generating reactions, namely carbonate dissolution and sulphide oxidation, the C-ratio, defined as </w:t>
      </w:r>
      <w:r w:rsidR="002915DD" w:rsidRPr="00EA19F0">
        <w:rPr>
          <w:rFonts w:asciiTheme="minorBidi" w:hAnsiTheme="minorBidi"/>
          <w:sz w:val="24"/>
          <w:szCs w:val="24"/>
        </w:rPr>
        <w:t>[</w:t>
      </w:r>
      <w:r w:rsidR="0030074B" w:rsidRPr="00EA19F0">
        <w:rPr>
          <w:rFonts w:asciiTheme="minorBidi" w:hAnsiTheme="minorBidi"/>
          <w:sz w:val="24"/>
          <w:szCs w:val="24"/>
        </w:rPr>
        <w:t>HCO</w:t>
      </w:r>
      <w:r w:rsidR="0030074B" w:rsidRPr="00EA19F0">
        <w:rPr>
          <w:rFonts w:ascii="Cambria Math" w:hAnsi="Cambria Math" w:cs="Cambria Math"/>
          <w:sz w:val="24"/>
          <w:szCs w:val="24"/>
        </w:rPr>
        <w:t>₃⁻</w:t>
      </w:r>
      <w:r w:rsidR="002915DD" w:rsidRPr="00EA19F0">
        <w:rPr>
          <w:rFonts w:asciiTheme="minorBidi" w:hAnsiTheme="minorBidi"/>
          <w:sz w:val="24"/>
          <w:szCs w:val="24"/>
        </w:rPr>
        <w:t>/(</w:t>
      </w:r>
      <w:r w:rsidR="0030074B" w:rsidRPr="00EA19F0">
        <w:rPr>
          <w:rFonts w:asciiTheme="minorBidi" w:hAnsiTheme="minorBidi"/>
          <w:sz w:val="24"/>
          <w:szCs w:val="24"/>
        </w:rPr>
        <w:t>HCO</w:t>
      </w:r>
      <w:r w:rsidR="0030074B" w:rsidRPr="00EA19F0">
        <w:rPr>
          <w:rFonts w:ascii="Cambria Math" w:hAnsi="Cambria Math" w:cs="Cambria Math"/>
          <w:sz w:val="24"/>
          <w:szCs w:val="24"/>
        </w:rPr>
        <w:t>₃⁻</w:t>
      </w:r>
      <w:r w:rsidR="0030074B" w:rsidRPr="00EA19F0">
        <w:rPr>
          <w:rFonts w:asciiTheme="minorBidi" w:hAnsiTheme="minorBidi"/>
          <w:sz w:val="24"/>
          <w:szCs w:val="24"/>
        </w:rPr>
        <w:t>+SO</w:t>
      </w:r>
      <w:r w:rsidR="0030074B" w:rsidRPr="00EA19F0">
        <w:rPr>
          <w:rFonts w:ascii="Cambria Math" w:hAnsi="Cambria Math" w:cs="Cambria Math"/>
          <w:sz w:val="24"/>
          <w:szCs w:val="24"/>
        </w:rPr>
        <w:t>₄</w:t>
      </w:r>
      <w:r w:rsidR="0030074B" w:rsidRPr="00EA19F0">
        <w:rPr>
          <w:rFonts w:ascii="Arial" w:hAnsi="Arial" w:cs="Arial"/>
          <w:sz w:val="24"/>
          <w:szCs w:val="24"/>
        </w:rPr>
        <w:t>²</w:t>
      </w:r>
      <w:r w:rsidR="0030074B" w:rsidRPr="00EA19F0">
        <w:rPr>
          <w:rFonts w:ascii="Cambria Math" w:hAnsi="Cambria Math" w:cs="Cambria Math"/>
          <w:sz w:val="24"/>
          <w:szCs w:val="24"/>
        </w:rPr>
        <w:t>⁻</w:t>
      </w:r>
      <w:r w:rsidR="0030074B" w:rsidRPr="00EA19F0">
        <w:rPr>
          <w:rFonts w:asciiTheme="minorBidi" w:hAnsiTheme="minorBidi"/>
          <w:sz w:val="24"/>
          <w:szCs w:val="24"/>
        </w:rPr>
        <w:t>)</w:t>
      </w:r>
      <w:r w:rsidR="002915DD" w:rsidRPr="00EA19F0">
        <w:rPr>
          <w:rFonts w:asciiTheme="minorBidi" w:hAnsiTheme="minorBidi"/>
          <w:sz w:val="24"/>
          <w:szCs w:val="24"/>
        </w:rPr>
        <w:t>]</w:t>
      </w:r>
      <w:r w:rsidR="0030074B" w:rsidRPr="00EA19F0">
        <w:rPr>
          <w:rFonts w:asciiTheme="minorBidi" w:hAnsiTheme="minorBidi"/>
          <w:sz w:val="24"/>
          <w:szCs w:val="24"/>
        </w:rPr>
        <w:t xml:space="preserve">, was calculated. A C-ratio of 1.0 signifies </w:t>
      </w:r>
      <w:r w:rsidR="00E73C98" w:rsidRPr="00EA19F0">
        <w:rPr>
          <w:rFonts w:asciiTheme="minorBidi" w:hAnsiTheme="minorBidi"/>
          <w:sz w:val="24"/>
          <w:szCs w:val="24"/>
        </w:rPr>
        <w:t xml:space="preserve">dominant weathering by carbonation reactions, whereas values close to 0.5 reflect coupled processes, where carbonate dissolution is driven by protons released during pyrite oxidation </w:t>
      </w:r>
      <w:r w:rsidR="00E73C98"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{"citationID":"4kblU337","properties":{"formattedCitation":"(Brown et al., 1996)","plainCitation":"(Brown et al., 1996)","noteIndex":0},"citationItems":[{"id":1013,"uris":["http://zotero.org/users/17566097/items/EVPJED3V"],"itemData":{"id":1013,"type":"article-journal","container-title":"Annals of glaciology","DOI":"https://doi.org/10.3189/1996AoG22-1-25-31","note":"publisher: Cambridge University Press","page":"25–31","source":"Google Scholar","title":"Subglacial chemical erosion: seasonal variations in solute provenance, Haut Glacier d’Arolla, Valais, Switzerland","title-short":"Subglacial chemical erosion","URL":"https://www.cambridge.org/core/journals/annals-of-glaciology/article/subglacial-chemical-erosion-seasonal-variations-in-solute-provenance-haut-glacier-darolla-valais-switzerland/6195F6F31F5F32360A60390D74F3E9F1","volume":"22","author":[{"family":"Brown","given":"G. H."},{"family":"Sharp","given":"M."},{"family":"Tranter","given":"M."}],"accessed":{"date-parts":[["2024",6,7]]},"issued":{"date-parts":[["1996"]]}}}],"schema":"https://github.com/citation-style-language/schema/raw/master/csl-citation.json"} </w:instrText>
      </w:r>
      <w:r w:rsidR="00E73C98"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(Brown et al., 1996)</w:t>
      </w:r>
      <w:r w:rsidR="00E73C98" w:rsidRPr="00EA19F0">
        <w:rPr>
          <w:rFonts w:asciiTheme="minorBidi" w:hAnsiTheme="minorBidi"/>
          <w:color w:val="0070C0"/>
          <w:sz w:val="24"/>
          <w:szCs w:val="24"/>
        </w:rPr>
        <w:fldChar w:fldCharType="end"/>
      </w:r>
      <w:r w:rsidR="0030074B" w:rsidRPr="00EA19F0">
        <w:rPr>
          <w:rFonts w:asciiTheme="minorBidi" w:hAnsiTheme="minorBidi"/>
          <w:sz w:val="24"/>
          <w:szCs w:val="24"/>
        </w:rPr>
        <w:t xml:space="preserve">. </w:t>
      </w:r>
      <w:r w:rsidR="00E73C98" w:rsidRPr="00EA19F0">
        <w:rPr>
          <w:rFonts w:asciiTheme="minorBidi" w:hAnsiTheme="minorBidi"/>
          <w:sz w:val="24"/>
          <w:szCs w:val="24"/>
        </w:rPr>
        <w:t xml:space="preserve">Similarly, the S-ratio, expressed as </w:t>
      </w:r>
      <w:r w:rsidR="002915DD" w:rsidRPr="00EA19F0">
        <w:rPr>
          <w:rFonts w:asciiTheme="minorBidi" w:hAnsiTheme="minorBidi"/>
          <w:sz w:val="24"/>
          <w:szCs w:val="24"/>
        </w:rPr>
        <w:t>[</w:t>
      </w:r>
      <w:r w:rsidR="00E73C98" w:rsidRPr="00EA19F0">
        <w:rPr>
          <w:rFonts w:asciiTheme="minorBidi" w:hAnsiTheme="minorBidi"/>
          <w:sz w:val="24"/>
          <w:szCs w:val="24"/>
        </w:rPr>
        <w:t>SO</w:t>
      </w:r>
      <w:r w:rsidR="00E73C98" w:rsidRPr="00EA19F0">
        <w:rPr>
          <w:rFonts w:ascii="Cambria Math" w:hAnsi="Cambria Math" w:cs="Cambria Math"/>
          <w:sz w:val="24"/>
          <w:szCs w:val="24"/>
        </w:rPr>
        <w:t>₄</w:t>
      </w:r>
      <w:r w:rsidR="00E73C98" w:rsidRPr="00EA19F0">
        <w:rPr>
          <w:rFonts w:ascii="Arial" w:hAnsi="Arial" w:cs="Arial"/>
          <w:sz w:val="24"/>
          <w:szCs w:val="24"/>
        </w:rPr>
        <w:t>²</w:t>
      </w:r>
      <w:r w:rsidR="00E73C98" w:rsidRPr="00EA19F0">
        <w:rPr>
          <w:rFonts w:ascii="Cambria Math" w:hAnsi="Cambria Math" w:cs="Cambria Math"/>
          <w:sz w:val="24"/>
          <w:szCs w:val="24"/>
        </w:rPr>
        <w:t>⁻</w:t>
      </w:r>
      <w:r w:rsidR="00E73C98" w:rsidRPr="00EA19F0">
        <w:rPr>
          <w:rFonts w:asciiTheme="minorBidi" w:hAnsiTheme="minorBidi"/>
          <w:sz w:val="24"/>
          <w:szCs w:val="24"/>
        </w:rPr>
        <w:t>/(SO</w:t>
      </w:r>
      <w:r w:rsidR="00E73C98" w:rsidRPr="00EA19F0">
        <w:rPr>
          <w:rFonts w:ascii="Cambria Math" w:hAnsi="Cambria Math" w:cs="Cambria Math"/>
          <w:sz w:val="24"/>
          <w:szCs w:val="24"/>
        </w:rPr>
        <w:t>₄</w:t>
      </w:r>
      <w:r w:rsidR="00E73C98" w:rsidRPr="00EA19F0">
        <w:rPr>
          <w:rFonts w:ascii="Arial" w:hAnsi="Arial" w:cs="Arial"/>
          <w:sz w:val="24"/>
          <w:szCs w:val="24"/>
        </w:rPr>
        <w:t>²</w:t>
      </w:r>
      <w:r w:rsidR="00E73C98" w:rsidRPr="00EA19F0">
        <w:rPr>
          <w:rFonts w:ascii="Cambria Math" w:hAnsi="Cambria Math" w:cs="Cambria Math"/>
          <w:sz w:val="24"/>
          <w:szCs w:val="24"/>
        </w:rPr>
        <w:t>⁻</w:t>
      </w:r>
      <w:r w:rsidR="00E73C98" w:rsidRPr="00EA19F0">
        <w:rPr>
          <w:rFonts w:asciiTheme="minorBidi" w:hAnsiTheme="minorBidi"/>
          <w:sz w:val="24"/>
          <w:szCs w:val="24"/>
        </w:rPr>
        <w:t>+HCO</w:t>
      </w:r>
      <w:r w:rsidR="00E73C98" w:rsidRPr="00EA19F0">
        <w:rPr>
          <w:rFonts w:ascii="Cambria Math" w:hAnsi="Cambria Math" w:cs="Cambria Math"/>
          <w:sz w:val="24"/>
          <w:szCs w:val="24"/>
        </w:rPr>
        <w:t>₃⁻</w:t>
      </w:r>
      <w:r w:rsidR="00E73C98" w:rsidRPr="00EA19F0">
        <w:rPr>
          <w:rFonts w:asciiTheme="minorBidi" w:hAnsiTheme="minorBidi"/>
          <w:sz w:val="24"/>
          <w:szCs w:val="24"/>
        </w:rPr>
        <w:t>)</w:t>
      </w:r>
      <w:r w:rsidR="002915DD" w:rsidRPr="00EA19F0">
        <w:rPr>
          <w:rFonts w:asciiTheme="minorBidi" w:hAnsiTheme="minorBidi"/>
          <w:sz w:val="24"/>
          <w:szCs w:val="24"/>
        </w:rPr>
        <w:t>]</w:t>
      </w:r>
      <w:r w:rsidR="00E73C98" w:rsidRPr="00EA19F0">
        <w:rPr>
          <w:rFonts w:asciiTheme="minorBidi" w:hAnsiTheme="minorBidi"/>
          <w:sz w:val="24"/>
          <w:szCs w:val="24"/>
        </w:rPr>
        <w:t xml:space="preserve">, provides complementary insights. Values near 0.5 denote the combined influence of sulphide oxidation and carbonate dissolution, while ratios approaching zero highlight carbonation as the principal weathering mechanism </w:t>
      </w:r>
      <w:r w:rsidR="00E73C98"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{"citationID":"QmQ4PC93","properties":{"formattedCitation":"(Bisht et al., 2022; Tranter et al., 1997)","plainCitation":"(Bisht et al., 2022; Tranter et al., 1997)","noteIndex":0},"citationItems":[{"id":1389,"uris":["http://zotero.org/users/local/GtKGLMn4/items/NVPCNHBC","http://zotero.org/users/17566097/items/NVPCNHBC"],"itemData":{"id":1389,"type":"article-journal","abstract":"This paper presents an insight on major ion chemistry and identification of solute sources in meltwater of Chaturangi glacier throughout the ablation period 2015 and 2016. The results indicate that meltwater is slightly acidic with Ca–HCO3 and Mg–HCO3 dominated hydrochemical facies. In meltwater, Ca2+ and HCO3− are the most dominant cation and anion, respectively. The Water Quality Index values show that the quality of meltwater is good for both the ablation seasons. An important factor governing the quality of water is the residence time for dissolving minerals from the rocks. Mineralogy of surrounding rocks and Gibbs plot suggest that the meltwater ionic concentration is mostly controlled by weathering of rocks with slight contribution from atmospheric aerosols. For meltwater, the average equivalent ratios of Na/Cl and K/Cl were calculated as 3.36 ± 1.29 and 2.29 ± 0.62 in 2015 and 1.39 ± 0.6 and 0.8 ± 0.2 in 2016, which are considerably higher than the marine aerosols (Na/Cl = 0.85 and K/Cl = 0.017), it also confirmed the less contribution of atmospheric input in meltwater. The petrographic analysis of surrounding rocks indicate positive relationship among the cations (Ca2+, Mg2+, Na+ and K+) and mineral abundance. Our observations suggest that the bedrock mineralogy and weathering reactions together with amount and composition of atmospheric inputs are the main sources of ions, dissolved in the glacier meltwater. It might be due to rate of chemical reaction which leads decomposition of rocks and leaching of minerals into the meltwater. Additionally, the geology of the area plays a significant as the influence of geology and climate on water quality is observed by the quantity and types of dissolved materials and amount of the sediment carried by the streams. The elevated proportion of Ca + Mg in total cations and high Ca + Mg/(Na + K ratios, 1.47 ± 0.14 in the year 2015 and 1.44 ± 0.28 in 2016 clearly reveal that the ionic composition is primarily controlled by carbonate weathering and partly by silicate weathering. Further, the low Na + K/TZ− ratio (0.41 ± 0.02) and (0.22 ± 0.05) in 2015 and 2016, respectively also supports that carbonate weathering is main geochemical process controlling the hydrochemistry of meltwater. In addition, the ion denudation rate was calculated for both the years. The results show that the cation denudation rate of meltwater was 32.84 and 22.30 ton/km2/ablation during 2015 and 2016, respectively, whereas the anion denudation rate was found to be 205.43 in 2015 and 170.24 ton/km2/ablation in 2016.","container-title":"Applied Water Science","DOI":"10.1007/s13201-021-01510-5","ISSN":"2190-5495","issue":"3","journalAbbreviation":"Appl Water Sci","language":"en","page":"29","source":"Springer Link","title":"Hydrogeochemical analysis and identification of solute sources in the meltwater of Chaturangi glacier, Garhwal Himalaya, India","URL":"https://doi.org/10.1007/s13201-021-01510-5","volume":"12","author":[{"family":"Bisht","given":"Harish"},{"family":"Kotlia","given":"Bahadur Singh"},{"family":"Kumar","given":"Kireet"},{"family":"Taloor","given":"Ajay Kumar"},{"family":"Arya","given":"Prakash Chandra"},{"family":"Sah","given":"Saurabh Kumar"},{"family":"Agnihotri","given":"Vasudha"},{"family":"Tewari","given":"Mohit"},{"family":"Upadhyay","given":"Rajeev"}],"accessed":{"date-parts":[["2025",7,13]]},"issued":{"date-parts":[["2022",2,7]]}}},{"id":1530,"uris":["http://zotero.org/users/17566097/items/78QQCKSB"],"itemData":{"id":1530,"type":"article-journal","abstract":"Meltwaters collected from boreholes drilled to the base of the Haut Glacier d'Arolla, Switzerland have chemical compositions that can be classified into three main groups. The first group is dilute, whereas the second group is similar to, though generally less concentrated in major ions, than contemporaneous bulk glacial runoff. The third group is more concentrated than any observed bulk runoff, including periods of flow recession. Waters of the first group are believed to represent supraglacial meltwater and ice melted during drilling. Limited solutes may be derived from interactions with debris in the borehole. The spatial pattern of borehole water levels and borehole water column stratification, combined with the chemical composition of the different groups, suggest that the second group represent samples of subglacial waters that exchange with channel water on a diurnal basis, and that the third group represent samples of water draining through a ‘distributed’ subglacial hydraulic system. High NO−3 concentrations in the third group suggest that snowmelt may provide a significant proportion of the waters and that the residence time of the waters at the bed in this particular section of the distributed system is of the order of a few months. The high NO−3 concentrations also suggest that some snowmelt is routed along different subglacial flowpaths to those used by icemelt. The average SO2−4: (HCO−3 + SO2−4) ratio of the third group of meltwaters is 0.3, suggesting that sulphide oxidation and carbonate dissolution (which gives rise to a ratio of 0.5) cannot provide all the HCO−3 to solution. Hence, carbonate hydrolysis may be occurring before sulphide oxidation, or there may be subglacial sources of CO2, perhaps arising from microbial oxidation of organic C in bedrock, air bubbles in glacier ice or pockets of air trapped in subglacial cavities. The channel marginal zone is identified as an area that may influence the composition of bulk meltwater during periods of recession flow and low diurnal discharge regimes. © 1997 by John Wiley &amp; Sons, Ltd.","container-title":"Hydrological Processes","DOI":"10.1002/(SICI)1099-1085(199701)11:1&lt;59::AID-HYP403&gt;3.0.CO;2-S","ISSN":"1099-1085","issue":"1","language":"en","license":"Copyright © 1997 John Wiley &amp; Sons, Ltd.","note":"_eprint: https://onlinelibrary.wiley.com/doi/pdf/10.1002/%28SICI%291099-1085%28199701%2911%3A1%3C59%3A%3AAID-HYP403%3E3.0.CO%3B2-S","page":"59-77","source":"Wiley Online Library","title":"Variability in the Chemical Composition of in Situ Subglacial Meltwaters","URL":"https://onlinelibrary.wiley.com/doi/abs/10.1002/%28SICI%291099-1085%28199701%2911%3A1%3C59%3A%3AAID-HYP403%3E3.0.CO%3B2-S","volume":"11","author":[{"family":"Tranter","given":"M."},{"family":"Sharp","given":"M. J."},{"family":"Brown","given":"G. H."},{"family":"Willis","given":"I. C."},{"family":"Hubbard","given":"B. P."},{"family":"Nielsen","given":"M. K."},{"family":"Smart","given":"C. C."},{"family":"Gordon","given":"S."},{"family":"Tulley","given":"M."},{"family":"Lamb","given":"H. R."}],"accessed":{"date-parts":[["2025",8,6]]},"issued":{"date-parts":[["1997"]]}}}],"schema":"https://github.com/citation-style-language/schema/raw/master/csl-citation.json"} </w:instrText>
      </w:r>
      <w:r w:rsidR="00E73C98"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(Bisht et al., 2022; Tranter et al., 1997)</w:t>
      </w:r>
      <w:r w:rsidR="00E73C98" w:rsidRPr="00EA19F0">
        <w:rPr>
          <w:rFonts w:asciiTheme="minorBidi" w:hAnsiTheme="minorBidi"/>
          <w:color w:val="0070C0"/>
          <w:sz w:val="24"/>
          <w:szCs w:val="24"/>
        </w:rPr>
        <w:fldChar w:fldCharType="end"/>
      </w:r>
      <w:r w:rsidR="00E73C98" w:rsidRPr="00EA19F0">
        <w:rPr>
          <w:rFonts w:asciiTheme="minorBidi" w:hAnsiTheme="minorBidi"/>
          <w:color w:val="0070C0"/>
          <w:sz w:val="24"/>
          <w:szCs w:val="24"/>
        </w:rPr>
        <w:t>.</w:t>
      </w:r>
      <w:r w:rsidR="00E73C98" w:rsidRPr="00EA19F0">
        <w:rPr>
          <w:rFonts w:asciiTheme="minorBidi" w:hAnsiTheme="minorBidi"/>
          <w:sz w:val="24"/>
          <w:szCs w:val="24"/>
        </w:rPr>
        <w:t xml:space="preserve"> </w:t>
      </w:r>
      <w:r w:rsidR="0030074B" w:rsidRPr="00EA19F0">
        <w:rPr>
          <w:rFonts w:asciiTheme="minorBidi" w:hAnsiTheme="minorBidi"/>
          <w:sz w:val="24"/>
          <w:szCs w:val="24"/>
        </w:rPr>
        <w:t xml:space="preserve">In the present study, the C-ratio of the Drass River was </w:t>
      </w:r>
      <w:r w:rsidR="00944482" w:rsidRPr="00EA19F0">
        <w:rPr>
          <w:rFonts w:asciiTheme="minorBidi" w:hAnsiTheme="minorBidi"/>
          <w:sz w:val="24"/>
          <w:szCs w:val="24"/>
        </w:rPr>
        <w:t xml:space="preserve">calculated as: </w:t>
      </w:r>
      <w:r w:rsidR="0030074B" w:rsidRPr="00EA19F0">
        <w:rPr>
          <w:rFonts w:asciiTheme="minorBidi" w:hAnsiTheme="minorBidi"/>
          <w:sz w:val="24"/>
          <w:szCs w:val="24"/>
        </w:rPr>
        <w:t xml:space="preserve">0.74±0.05 during the EMP, 0.67±0.04 during the PMP, and </w:t>
      </w:r>
      <w:r w:rsidR="0030074B" w:rsidRPr="00EA19F0">
        <w:rPr>
          <w:rFonts w:asciiTheme="minorBidi" w:hAnsiTheme="minorBidi"/>
          <w:color w:val="000000"/>
          <w:sz w:val="24"/>
          <w:szCs w:val="24"/>
        </w:rPr>
        <w:t xml:space="preserve">0.66±0.03 </w:t>
      </w:r>
      <w:r w:rsidR="0030074B" w:rsidRPr="00EA19F0">
        <w:rPr>
          <w:rFonts w:asciiTheme="minorBidi" w:hAnsiTheme="minorBidi"/>
          <w:sz w:val="24"/>
          <w:szCs w:val="24"/>
        </w:rPr>
        <w:t xml:space="preserve">during the </w:t>
      </w:r>
      <w:r w:rsidR="00944482" w:rsidRPr="00EA19F0">
        <w:rPr>
          <w:rFonts w:asciiTheme="minorBidi" w:hAnsiTheme="minorBidi"/>
          <w:sz w:val="24"/>
          <w:szCs w:val="24"/>
        </w:rPr>
        <w:t>LMP</w:t>
      </w:r>
      <w:r w:rsidR="0030074B" w:rsidRPr="00EA19F0">
        <w:rPr>
          <w:rFonts w:asciiTheme="minorBidi" w:hAnsiTheme="minorBidi"/>
          <w:sz w:val="24"/>
          <w:szCs w:val="24"/>
        </w:rPr>
        <w:t xml:space="preserve">. </w:t>
      </w:r>
      <w:r w:rsidR="00E04972" w:rsidRPr="00EA19F0">
        <w:rPr>
          <w:rFonts w:asciiTheme="minorBidi" w:hAnsiTheme="minorBidi"/>
          <w:sz w:val="24"/>
          <w:szCs w:val="24"/>
        </w:rPr>
        <w:t>Based on the C-Ratio, the overall composition of the river water is largely governed by coupled reactions where carbonate dissolution is driven mainly, though not solely, by protons released during sulphide oxidation</w:t>
      </w:r>
      <w:r w:rsidR="00E04972" w:rsidRPr="00EA19F0">
        <w:rPr>
          <w:rFonts w:asciiTheme="minorBidi" w:hAnsiTheme="minorBidi"/>
          <w:color w:val="0070C0"/>
          <w:sz w:val="24"/>
          <w:szCs w:val="24"/>
        </w:rPr>
        <w:t xml:space="preserve"> </w:t>
      </w:r>
      <w:r w:rsidR="00E04972"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{"citationID":"IPjzYkVG","properties":{"formattedCitation":"(Brown et al., 1996)","plainCitation":"(Brown et al., 1996)","noteIndex":0},"citationItems":[{"id":1013,"uris":["http://zotero.org/users/17566097/items/EVPJED3V"],"itemData":{"id":1013,"type":"article-journal","container-title":"Annals of glaciology","DOI":"https://doi.org/10.3189/1996AoG22-1-25-31","note":"publisher: Cambridge University Press","page":"25–31","source":"Google Scholar","title":"Subglacial chemical erosion: seasonal variations in solute provenance, Haut Glacier d’Arolla, Valais, Switzerland","title-short":"Subglacial chemical erosion","URL":"https://www.cambridge.org/core/journals/annals-of-glaciology/article/subglacial-chemical-erosion-seasonal-variations-in-solute-provenance-haut-glacier-darolla-valais-switzerland/6195F6F31F5F32360A60390D74F3E9F1","volume":"22","author":[{"family":"Brown","given":"G. H."},{"family":"Sharp","given":"M."},{"family":"Tranter","given":"M."}],"accessed":{"date-parts":[["2024",6,7]]},"issued":{"date-parts":[["1996"]]}}}],"schema":"https://github.com/citation-style-language/schema/raw/master/csl-citation.json"} </w:instrText>
      </w:r>
      <w:r w:rsidR="00E04972"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(Brown et al., 1996)</w:t>
      </w:r>
      <w:r w:rsidR="00E04972" w:rsidRPr="00EA19F0">
        <w:rPr>
          <w:rFonts w:asciiTheme="minorBidi" w:hAnsiTheme="minorBidi"/>
          <w:color w:val="0070C0"/>
          <w:sz w:val="24"/>
          <w:szCs w:val="24"/>
        </w:rPr>
        <w:fldChar w:fldCharType="end"/>
      </w:r>
      <w:r w:rsidR="00E04972" w:rsidRPr="00EA19F0">
        <w:rPr>
          <w:rFonts w:asciiTheme="minorBidi" w:hAnsiTheme="minorBidi"/>
          <w:sz w:val="24"/>
          <w:szCs w:val="24"/>
        </w:rPr>
        <w:t xml:space="preserve">. </w:t>
      </w:r>
      <w:r w:rsidR="002C6DA7" w:rsidRPr="00EA19F0">
        <w:rPr>
          <w:rFonts w:asciiTheme="minorBidi" w:hAnsiTheme="minorBidi"/>
          <w:sz w:val="24"/>
          <w:szCs w:val="24"/>
        </w:rPr>
        <w:t>Carbonate dissolution is further promoted by CO</w:t>
      </w:r>
      <w:r w:rsidR="002C6DA7" w:rsidRPr="00EA19F0">
        <w:rPr>
          <w:rFonts w:ascii="Cambria Math" w:hAnsi="Cambria Math" w:cs="Cambria Math"/>
          <w:sz w:val="24"/>
          <w:szCs w:val="24"/>
        </w:rPr>
        <w:t>₂</w:t>
      </w:r>
      <w:r w:rsidR="002C6DA7" w:rsidRPr="00EA19F0">
        <w:rPr>
          <w:rFonts w:asciiTheme="minorBidi" w:hAnsiTheme="minorBidi"/>
          <w:sz w:val="24"/>
          <w:szCs w:val="24"/>
        </w:rPr>
        <w:t xml:space="preserve">-rich water, which enhances the solubility of calcite </w:t>
      </w:r>
      <w:r w:rsidR="002C6DA7" w:rsidRPr="00EA19F0">
        <w:rPr>
          <w:rFonts w:asciiTheme="minorBidi" w:hAnsiTheme="minorBidi"/>
          <w:sz w:val="24"/>
          <w:szCs w:val="24"/>
        </w:rPr>
        <w:lastRenderedPageBreak/>
        <w:t>and dolomite along the flow path, thereby raising Ca</w:t>
      </w:r>
      <w:r w:rsidR="002C6DA7" w:rsidRPr="00EA19F0">
        <w:rPr>
          <w:rFonts w:ascii="Arial" w:hAnsi="Arial" w:cs="Arial"/>
          <w:sz w:val="24"/>
          <w:szCs w:val="24"/>
        </w:rPr>
        <w:t>²</w:t>
      </w:r>
      <w:r w:rsidR="002C6DA7" w:rsidRPr="00EA19F0">
        <w:rPr>
          <w:rFonts w:ascii="Cambria Math" w:hAnsi="Cambria Math" w:cs="Cambria Math"/>
          <w:sz w:val="24"/>
          <w:szCs w:val="24"/>
        </w:rPr>
        <w:t>⁺</w:t>
      </w:r>
      <w:r w:rsidR="002C6DA7" w:rsidRPr="00EA19F0">
        <w:rPr>
          <w:rFonts w:asciiTheme="minorBidi" w:hAnsiTheme="minorBidi"/>
          <w:sz w:val="24"/>
          <w:szCs w:val="24"/>
        </w:rPr>
        <w:t>, Mg</w:t>
      </w:r>
      <w:r w:rsidR="002C6DA7" w:rsidRPr="00EA19F0">
        <w:rPr>
          <w:rFonts w:ascii="Arial" w:hAnsi="Arial" w:cs="Arial"/>
          <w:sz w:val="24"/>
          <w:szCs w:val="24"/>
        </w:rPr>
        <w:t>²</w:t>
      </w:r>
      <w:r w:rsidR="002C6DA7" w:rsidRPr="00EA19F0">
        <w:rPr>
          <w:rFonts w:ascii="Cambria Math" w:hAnsi="Cambria Math" w:cs="Cambria Math"/>
          <w:sz w:val="24"/>
          <w:szCs w:val="24"/>
        </w:rPr>
        <w:t>⁺</w:t>
      </w:r>
      <w:r w:rsidR="002C6DA7" w:rsidRPr="00EA19F0">
        <w:rPr>
          <w:rFonts w:asciiTheme="minorBidi" w:hAnsiTheme="minorBidi"/>
          <w:sz w:val="24"/>
          <w:szCs w:val="24"/>
        </w:rPr>
        <w:t>, and HCO</w:t>
      </w:r>
      <w:r w:rsidR="002C6DA7" w:rsidRPr="00EA19F0">
        <w:rPr>
          <w:rFonts w:ascii="Cambria Math" w:hAnsi="Cambria Math" w:cs="Cambria Math"/>
          <w:sz w:val="24"/>
          <w:szCs w:val="24"/>
        </w:rPr>
        <w:t>₃⁻</w:t>
      </w:r>
      <w:r w:rsidR="002C6DA7" w:rsidRPr="00EA19F0">
        <w:rPr>
          <w:rFonts w:asciiTheme="minorBidi" w:hAnsiTheme="minorBidi"/>
          <w:sz w:val="24"/>
          <w:szCs w:val="24"/>
        </w:rPr>
        <w:t xml:space="preserve"> concentrations. </w:t>
      </w:r>
      <w:r w:rsidR="002479DA" w:rsidRPr="00EA19F0">
        <w:rPr>
          <w:rFonts w:asciiTheme="minorBidi" w:hAnsiTheme="minorBidi"/>
          <w:sz w:val="24"/>
          <w:szCs w:val="24"/>
        </w:rPr>
        <w:t>Furthermore,</w:t>
      </w:r>
      <w:r w:rsidR="009F23AA" w:rsidRPr="00EA19F0">
        <w:rPr>
          <w:rFonts w:asciiTheme="minorBidi" w:hAnsiTheme="minorBidi"/>
          <w:sz w:val="24"/>
          <w:szCs w:val="24"/>
        </w:rPr>
        <w:t xml:space="preserve"> the average S-ratio</w:t>
      </w:r>
      <w:r w:rsidR="002479DA" w:rsidRPr="00EA19F0">
        <w:rPr>
          <w:rFonts w:asciiTheme="minorBidi" w:hAnsiTheme="minorBidi"/>
          <w:sz w:val="24"/>
          <w:szCs w:val="24"/>
        </w:rPr>
        <w:t>s</w:t>
      </w:r>
      <w:r w:rsidR="009F23AA" w:rsidRPr="00EA19F0">
        <w:rPr>
          <w:rFonts w:asciiTheme="minorBidi" w:hAnsiTheme="minorBidi"/>
          <w:sz w:val="24"/>
          <w:szCs w:val="24"/>
        </w:rPr>
        <w:t xml:space="preserve"> of 0.26±0.05 in EMP, 0.33±0.04</w:t>
      </w:r>
      <w:r w:rsidR="00E04972" w:rsidRPr="00EA19F0">
        <w:rPr>
          <w:rFonts w:asciiTheme="minorBidi" w:hAnsiTheme="minorBidi"/>
          <w:sz w:val="24"/>
          <w:szCs w:val="24"/>
        </w:rPr>
        <w:t xml:space="preserve"> </w:t>
      </w:r>
      <w:r w:rsidR="009F23AA" w:rsidRPr="00EA19F0">
        <w:rPr>
          <w:rFonts w:asciiTheme="minorBidi" w:hAnsiTheme="minorBidi"/>
          <w:sz w:val="24"/>
          <w:szCs w:val="24"/>
        </w:rPr>
        <w:t>in PMP, and 0.34±0.03</w:t>
      </w:r>
      <w:r w:rsidR="002479DA" w:rsidRPr="00EA19F0">
        <w:rPr>
          <w:rFonts w:asciiTheme="minorBidi" w:hAnsiTheme="minorBidi"/>
          <w:sz w:val="24"/>
          <w:szCs w:val="24"/>
        </w:rPr>
        <w:t xml:space="preserve"> </w:t>
      </w:r>
      <w:r w:rsidR="009F23AA" w:rsidRPr="00EA19F0">
        <w:rPr>
          <w:rFonts w:asciiTheme="minorBidi" w:hAnsiTheme="minorBidi"/>
          <w:sz w:val="24"/>
          <w:szCs w:val="24"/>
        </w:rPr>
        <w:t xml:space="preserve">in LMP further substantiate that </w:t>
      </w:r>
      <w:r w:rsidR="00E04972" w:rsidRPr="00EA19F0">
        <w:rPr>
          <w:rFonts w:asciiTheme="minorBidi" w:hAnsiTheme="minorBidi"/>
          <w:sz w:val="24"/>
          <w:szCs w:val="24"/>
        </w:rPr>
        <w:t>coupled reaction</w:t>
      </w:r>
      <w:r w:rsidR="009F23AA" w:rsidRPr="00EA19F0">
        <w:rPr>
          <w:rFonts w:asciiTheme="minorBidi" w:hAnsiTheme="minorBidi"/>
          <w:sz w:val="24"/>
          <w:szCs w:val="24"/>
        </w:rPr>
        <w:t xml:space="preserve"> is the dominant chemical weathering process operating in the basin.</w:t>
      </w:r>
      <w:r w:rsidR="00B64658" w:rsidRPr="00EA19F0">
        <w:rPr>
          <w:rFonts w:asciiTheme="minorBidi" w:hAnsiTheme="minorBidi"/>
          <w:sz w:val="24"/>
          <w:szCs w:val="24"/>
        </w:rPr>
        <w:t xml:space="preserve"> The sources of major ions like Ca²</w:t>
      </w:r>
      <w:r w:rsidR="00B64658" w:rsidRPr="00EA19F0">
        <w:rPr>
          <w:rFonts w:ascii="Cambria Math" w:hAnsi="Cambria Math" w:cs="Cambria Math"/>
          <w:sz w:val="24"/>
          <w:szCs w:val="24"/>
        </w:rPr>
        <w:t>⁺</w:t>
      </w:r>
      <w:r w:rsidR="00B64658" w:rsidRPr="00EA19F0">
        <w:rPr>
          <w:rFonts w:asciiTheme="minorBidi" w:hAnsiTheme="minorBidi"/>
          <w:sz w:val="24"/>
          <w:szCs w:val="24"/>
        </w:rPr>
        <w:t>, Mg</w:t>
      </w:r>
      <w:r w:rsidR="00B64658" w:rsidRPr="00EA19F0">
        <w:rPr>
          <w:rFonts w:ascii="Arial" w:hAnsi="Arial" w:cs="Arial"/>
          <w:sz w:val="24"/>
          <w:szCs w:val="24"/>
        </w:rPr>
        <w:t>²</w:t>
      </w:r>
      <w:r w:rsidR="00B64658" w:rsidRPr="00EA19F0">
        <w:rPr>
          <w:rFonts w:ascii="Cambria Math" w:hAnsi="Cambria Math" w:cs="Cambria Math"/>
          <w:sz w:val="24"/>
          <w:szCs w:val="24"/>
        </w:rPr>
        <w:t>⁺</w:t>
      </w:r>
      <w:r w:rsidR="00B64658" w:rsidRPr="00EA19F0">
        <w:rPr>
          <w:rFonts w:asciiTheme="minorBidi" w:hAnsiTheme="minorBidi"/>
          <w:sz w:val="24"/>
          <w:szCs w:val="24"/>
        </w:rPr>
        <w:t>, HCO</w:t>
      </w:r>
      <w:r w:rsidR="00B64658" w:rsidRPr="00EA19F0">
        <w:rPr>
          <w:rFonts w:ascii="Cambria Math" w:hAnsi="Cambria Math" w:cs="Cambria Math"/>
          <w:sz w:val="24"/>
          <w:szCs w:val="24"/>
        </w:rPr>
        <w:t>₃⁻</w:t>
      </w:r>
      <w:r w:rsidR="00B64658" w:rsidRPr="00EA19F0">
        <w:rPr>
          <w:rFonts w:asciiTheme="minorBidi" w:hAnsiTheme="minorBidi"/>
          <w:sz w:val="24"/>
          <w:szCs w:val="24"/>
        </w:rPr>
        <w:t xml:space="preserve"> and SO</w:t>
      </w:r>
      <w:r w:rsidR="00B64658" w:rsidRPr="00EA19F0">
        <w:rPr>
          <w:rFonts w:ascii="Cambria Math" w:hAnsi="Cambria Math" w:cs="Cambria Math"/>
          <w:sz w:val="24"/>
          <w:szCs w:val="24"/>
        </w:rPr>
        <w:t>₄</w:t>
      </w:r>
      <w:r w:rsidR="00B64658" w:rsidRPr="00EA19F0">
        <w:rPr>
          <w:rFonts w:ascii="Arial" w:hAnsi="Arial" w:cs="Arial"/>
          <w:sz w:val="24"/>
          <w:szCs w:val="24"/>
        </w:rPr>
        <w:t>²</w:t>
      </w:r>
      <w:r w:rsidR="00B64658" w:rsidRPr="00EA19F0">
        <w:rPr>
          <w:rFonts w:ascii="Cambria Math" w:hAnsi="Cambria Math" w:cs="Cambria Math"/>
          <w:sz w:val="24"/>
          <w:szCs w:val="24"/>
        </w:rPr>
        <w:t>⁻</w:t>
      </w:r>
      <w:r w:rsidR="00B64658" w:rsidRPr="00EA19F0">
        <w:rPr>
          <w:rFonts w:asciiTheme="minorBidi" w:hAnsiTheme="minorBidi"/>
          <w:sz w:val="24"/>
          <w:szCs w:val="24"/>
        </w:rPr>
        <w:t xml:space="preserve"> in water can be further understood by t</w:t>
      </w:r>
      <w:r w:rsidR="00C3627C" w:rsidRPr="00EA19F0">
        <w:rPr>
          <w:rFonts w:asciiTheme="minorBidi" w:hAnsiTheme="minorBidi"/>
          <w:sz w:val="24"/>
          <w:szCs w:val="24"/>
        </w:rPr>
        <w:t>he scatter plot</w:t>
      </w:r>
      <w:r w:rsidR="00B64658" w:rsidRPr="00EA19F0">
        <w:rPr>
          <w:rFonts w:asciiTheme="minorBidi" w:hAnsiTheme="minorBidi"/>
          <w:sz w:val="24"/>
          <w:szCs w:val="24"/>
        </w:rPr>
        <w:t xml:space="preserve"> of</w:t>
      </w:r>
      <w:r w:rsidR="00C3627C" w:rsidRPr="00EA19F0">
        <w:rPr>
          <w:rFonts w:asciiTheme="minorBidi" w:hAnsiTheme="minorBidi"/>
          <w:sz w:val="24"/>
          <w:szCs w:val="24"/>
        </w:rPr>
        <w:t xml:space="preserve"> </w:t>
      </w:r>
      <w:bookmarkStart w:id="23" w:name="_Hlk206602051"/>
      <w:r w:rsidR="00C3627C" w:rsidRPr="00EA19F0">
        <w:rPr>
          <w:rFonts w:asciiTheme="minorBidi" w:hAnsiTheme="minorBidi"/>
          <w:sz w:val="24"/>
          <w:szCs w:val="24"/>
        </w:rPr>
        <w:t>(Ca²</w:t>
      </w:r>
      <w:r w:rsidR="00C3627C" w:rsidRPr="00EA19F0">
        <w:rPr>
          <w:rFonts w:ascii="Cambria Math" w:hAnsi="Cambria Math" w:cs="Cambria Math"/>
          <w:sz w:val="24"/>
          <w:szCs w:val="24"/>
        </w:rPr>
        <w:t>⁺</w:t>
      </w:r>
      <w:r w:rsidR="00C3627C" w:rsidRPr="00EA19F0">
        <w:rPr>
          <w:rFonts w:asciiTheme="minorBidi" w:hAnsiTheme="minorBidi"/>
          <w:sz w:val="24"/>
          <w:szCs w:val="24"/>
        </w:rPr>
        <w:t>+Mg</w:t>
      </w:r>
      <w:r w:rsidR="00C3627C" w:rsidRPr="00EA19F0">
        <w:rPr>
          <w:rFonts w:ascii="Arial" w:hAnsi="Arial" w:cs="Arial"/>
          <w:sz w:val="24"/>
          <w:szCs w:val="24"/>
        </w:rPr>
        <w:t>²</w:t>
      </w:r>
      <w:r w:rsidR="00C3627C" w:rsidRPr="00EA19F0">
        <w:rPr>
          <w:rFonts w:ascii="Cambria Math" w:hAnsi="Cambria Math" w:cs="Cambria Math"/>
          <w:sz w:val="24"/>
          <w:szCs w:val="24"/>
        </w:rPr>
        <w:t>⁺</w:t>
      </w:r>
      <w:r w:rsidR="00C3627C" w:rsidRPr="00EA19F0">
        <w:rPr>
          <w:rFonts w:asciiTheme="minorBidi" w:hAnsiTheme="minorBidi"/>
          <w:sz w:val="24"/>
          <w:szCs w:val="24"/>
        </w:rPr>
        <w:t>) vs (HCO</w:t>
      </w:r>
      <w:r w:rsidR="00C3627C" w:rsidRPr="00EA19F0">
        <w:rPr>
          <w:rFonts w:ascii="Cambria Math" w:hAnsi="Cambria Math" w:cs="Cambria Math"/>
          <w:sz w:val="24"/>
          <w:szCs w:val="24"/>
        </w:rPr>
        <w:t>₃⁻</w:t>
      </w:r>
      <w:r w:rsidR="00C3627C" w:rsidRPr="00EA19F0">
        <w:rPr>
          <w:rFonts w:asciiTheme="minorBidi" w:hAnsiTheme="minorBidi"/>
          <w:sz w:val="24"/>
          <w:szCs w:val="24"/>
        </w:rPr>
        <w:t xml:space="preserve"> + SO</w:t>
      </w:r>
      <w:r w:rsidR="00C3627C" w:rsidRPr="00EA19F0">
        <w:rPr>
          <w:rFonts w:ascii="Cambria Math" w:hAnsi="Cambria Math" w:cs="Cambria Math"/>
          <w:sz w:val="24"/>
          <w:szCs w:val="24"/>
        </w:rPr>
        <w:t>₄</w:t>
      </w:r>
      <w:r w:rsidR="00C3627C" w:rsidRPr="00EA19F0">
        <w:rPr>
          <w:rFonts w:ascii="Arial" w:hAnsi="Arial" w:cs="Arial"/>
          <w:sz w:val="24"/>
          <w:szCs w:val="24"/>
        </w:rPr>
        <w:t>²</w:t>
      </w:r>
      <w:r w:rsidR="00C3627C" w:rsidRPr="00EA19F0">
        <w:rPr>
          <w:rFonts w:ascii="Cambria Math" w:hAnsi="Cambria Math" w:cs="Cambria Math"/>
          <w:sz w:val="24"/>
          <w:szCs w:val="24"/>
        </w:rPr>
        <w:t>⁻</w:t>
      </w:r>
      <w:r w:rsidR="00C3627C" w:rsidRPr="00EA19F0">
        <w:rPr>
          <w:rFonts w:asciiTheme="minorBidi" w:hAnsiTheme="minorBidi"/>
          <w:sz w:val="24"/>
          <w:szCs w:val="24"/>
        </w:rPr>
        <w:t>)</w:t>
      </w:r>
      <w:bookmarkEnd w:id="23"/>
      <w:r w:rsidR="00C3627C" w:rsidRPr="00EA19F0">
        <w:rPr>
          <w:rFonts w:asciiTheme="minorBidi" w:hAnsiTheme="minorBidi"/>
          <w:sz w:val="24"/>
          <w:szCs w:val="24"/>
        </w:rPr>
        <w:t xml:space="preserve">. If the water samples fall </w:t>
      </w:r>
      <w:r w:rsidR="001C05B1" w:rsidRPr="00EA19F0">
        <w:rPr>
          <w:rFonts w:asciiTheme="minorBidi" w:hAnsiTheme="minorBidi"/>
          <w:sz w:val="24"/>
          <w:szCs w:val="24"/>
        </w:rPr>
        <w:t>below</w:t>
      </w:r>
      <w:r w:rsidR="00C3627C" w:rsidRPr="00EA19F0">
        <w:rPr>
          <w:rFonts w:asciiTheme="minorBidi" w:hAnsiTheme="minorBidi"/>
          <w:sz w:val="24"/>
          <w:szCs w:val="24"/>
        </w:rPr>
        <w:t xml:space="preserve"> the 1:1 equiline, it signifies that (Ca²</w:t>
      </w:r>
      <w:r w:rsidR="00C3627C" w:rsidRPr="00EA19F0">
        <w:rPr>
          <w:rFonts w:ascii="Cambria Math" w:hAnsi="Cambria Math" w:cs="Cambria Math"/>
          <w:sz w:val="24"/>
          <w:szCs w:val="24"/>
        </w:rPr>
        <w:t>⁺</w:t>
      </w:r>
      <w:r w:rsidR="00C3627C" w:rsidRPr="00EA19F0">
        <w:rPr>
          <w:rFonts w:asciiTheme="minorBidi" w:hAnsiTheme="minorBidi"/>
          <w:sz w:val="24"/>
          <w:szCs w:val="24"/>
        </w:rPr>
        <w:t xml:space="preserve"> + Mg</w:t>
      </w:r>
      <w:r w:rsidR="00C3627C" w:rsidRPr="00EA19F0">
        <w:rPr>
          <w:rFonts w:ascii="Arial" w:hAnsi="Arial" w:cs="Arial"/>
          <w:sz w:val="24"/>
          <w:szCs w:val="24"/>
        </w:rPr>
        <w:t>²</w:t>
      </w:r>
      <w:r w:rsidR="00C3627C" w:rsidRPr="00EA19F0">
        <w:rPr>
          <w:rFonts w:ascii="Cambria Math" w:hAnsi="Cambria Math" w:cs="Cambria Math"/>
          <w:sz w:val="24"/>
          <w:szCs w:val="24"/>
        </w:rPr>
        <w:t>⁺</w:t>
      </w:r>
      <w:r w:rsidR="00C3627C" w:rsidRPr="00EA19F0">
        <w:rPr>
          <w:rFonts w:asciiTheme="minorBidi" w:hAnsiTheme="minorBidi"/>
          <w:sz w:val="24"/>
          <w:szCs w:val="24"/>
        </w:rPr>
        <w:t>) exceeds that of the corresponding anions (HCO</w:t>
      </w:r>
      <w:r w:rsidR="00C3627C" w:rsidRPr="00EA19F0">
        <w:rPr>
          <w:rFonts w:ascii="Cambria Math" w:hAnsi="Cambria Math" w:cs="Cambria Math"/>
          <w:sz w:val="24"/>
          <w:szCs w:val="24"/>
        </w:rPr>
        <w:t>₃⁻</w:t>
      </w:r>
      <w:r w:rsidR="00C3627C" w:rsidRPr="00EA19F0">
        <w:rPr>
          <w:rFonts w:asciiTheme="minorBidi" w:hAnsiTheme="minorBidi"/>
          <w:sz w:val="24"/>
          <w:szCs w:val="24"/>
        </w:rPr>
        <w:t xml:space="preserve"> + SO</w:t>
      </w:r>
      <w:r w:rsidR="00C3627C" w:rsidRPr="00EA19F0">
        <w:rPr>
          <w:rFonts w:ascii="Cambria Math" w:hAnsi="Cambria Math" w:cs="Cambria Math"/>
          <w:sz w:val="24"/>
          <w:szCs w:val="24"/>
        </w:rPr>
        <w:t>₄</w:t>
      </w:r>
      <w:r w:rsidR="00C3627C" w:rsidRPr="00EA19F0">
        <w:rPr>
          <w:rFonts w:ascii="Arial" w:hAnsi="Arial" w:cs="Arial"/>
          <w:sz w:val="24"/>
          <w:szCs w:val="24"/>
        </w:rPr>
        <w:t>²</w:t>
      </w:r>
      <w:r w:rsidR="00C3627C" w:rsidRPr="00EA19F0">
        <w:rPr>
          <w:rFonts w:ascii="Cambria Math" w:hAnsi="Cambria Math" w:cs="Cambria Math"/>
          <w:sz w:val="24"/>
          <w:szCs w:val="24"/>
        </w:rPr>
        <w:t>⁻</w:t>
      </w:r>
      <w:r w:rsidR="00C3627C" w:rsidRPr="00EA19F0">
        <w:rPr>
          <w:rFonts w:asciiTheme="minorBidi" w:hAnsiTheme="minorBidi"/>
          <w:sz w:val="24"/>
          <w:szCs w:val="24"/>
        </w:rPr>
        <w:t xml:space="preserve">), indicating predominance of </w:t>
      </w:r>
      <w:r w:rsidR="00C3627C" w:rsidRPr="00EA19F0">
        <w:rPr>
          <w:rStyle w:val="Strong"/>
          <w:rFonts w:asciiTheme="minorBidi" w:hAnsiTheme="minorBidi"/>
          <w:b w:val="0"/>
          <w:bCs w:val="0"/>
          <w:sz w:val="24"/>
          <w:szCs w:val="24"/>
        </w:rPr>
        <w:t>carbonate weathering</w:t>
      </w:r>
      <w:r w:rsidR="00C3627C" w:rsidRPr="00EA19F0">
        <w:rPr>
          <w:rFonts w:asciiTheme="minorBidi" w:hAnsiTheme="minorBidi"/>
          <w:sz w:val="24"/>
          <w:szCs w:val="24"/>
        </w:rPr>
        <w:t xml:space="preserve">. In contrast, when the sample points are located </w:t>
      </w:r>
      <w:r w:rsidR="001C05B1" w:rsidRPr="00EA19F0">
        <w:rPr>
          <w:rFonts w:asciiTheme="minorBidi" w:hAnsiTheme="minorBidi"/>
          <w:sz w:val="24"/>
          <w:szCs w:val="24"/>
        </w:rPr>
        <w:t>above</w:t>
      </w:r>
      <w:r w:rsidR="00C3627C" w:rsidRPr="00EA19F0">
        <w:rPr>
          <w:rFonts w:asciiTheme="minorBidi" w:hAnsiTheme="minorBidi"/>
          <w:sz w:val="24"/>
          <w:szCs w:val="24"/>
        </w:rPr>
        <w:t xml:space="preserve"> the equiline, it reflects a dominant contribution from </w:t>
      </w:r>
      <w:r w:rsidR="00C3627C" w:rsidRPr="00EA19F0">
        <w:rPr>
          <w:rStyle w:val="Strong"/>
          <w:rFonts w:asciiTheme="minorBidi" w:hAnsiTheme="minorBidi"/>
          <w:b w:val="0"/>
          <w:bCs w:val="0"/>
          <w:sz w:val="24"/>
          <w:szCs w:val="24"/>
        </w:rPr>
        <w:t>silicate weathering</w:t>
      </w:r>
      <w:r w:rsidR="00C3627C" w:rsidRPr="00EA19F0">
        <w:rPr>
          <w:rFonts w:asciiTheme="minorBidi" w:hAnsiTheme="minorBidi"/>
          <w:sz w:val="24"/>
          <w:szCs w:val="24"/>
        </w:rPr>
        <w:t>, since the release of cations is relatively lower compared to the associated anions. Samples that fall along the equiline (where Ca²</w:t>
      </w:r>
      <w:r w:rsidR="00C3627C" w:rsidRPr="00EA19F0">
        <w:rPr>
          <w:rFonts w:ascii="Cambria Math" w:hAnsi="Cambria Math" w:cs="Cambria Math"/>
          <w:sz w:val="24"/>
          <w:szCs w:val="24"/>
        </w:rPr>
        <w:t>⁺</w:t>
      </w:r>
      <w:r w:rsidR="00C3627C" w:rsidRPr="00EA19F0">
        <w:rPr>
          <w:rFonts w:asciiTheme="minorBidi" w:hAnsiTheme="minorBidi"/>
          <w:sz w:val="24"/>
          <w:szCs w:val="24"/>
        </w:rPr>
        <w:t xml:space="preserve"> + Mg</w:t>
      </w:r>
      <w:r w:rsidR="00C3627C" w:rsidRPr="00EA19F0">
        <w:rPr>
          <w:rFonts w:ascii="Arial" w:hAnsi="Arial" w:cs="Arial"/>
          <w:sz w:val="24"/>
          <w:szCs w:val="24"/>
        </w:rPr>
        <w:t>²</w:t>
      </w:r>
      <w:r w:rsidR="00C3627C" w:rsidRPr="00EA19F0">
        <w:rPr>
          <w:rFonts w:ascii="Cambria Math" w:hAnsi="Cambria Math" w:cs="Cambria Math"/>
          <w:sz w:val="24"/>
          <w:szCs w:val="24"/>
        </w:rPr>
        <w:t>⁺</w:t>
      </w:r>
      <w:r w:rsidR="00C3627C" w:rsidRPr="00EA19F0">
        <w:rPr>
          <w:rFonts w:asciiTheme="minorBidi" w:hAnsiTheme="minorBidi"/>
          <w:sz w:val="24"/>
          <w:szCs w:val="24"/>
        </w:rPr>
        <w:t xml:space="preserve"> = HCO</w:t>
      </w:r>
      <w:r w:rsidR="00C3627C" w:rsidRPr="00EA19F0">
        <w:rPr>
          <w:rFonts w:ascii="Cambria Math" w:hAnsi="Cambria Math" w:cs="Cambria Math"/>
          <w:sz w:val="24"/>
          <w:szCs w:val="24"/>
        </w:rPr>
        <w:t>₃⁻</w:t>
      </w:r>
      <w:r w:rsidR="00C3627C" w:rsidRPr="00EA19F0">
        <w:rPr>
          <w:rFonts w:asciiTheme="minorBidi" w:hAnsiTheme="minorBidi"/>
          <w:sz w:val="24"/>
          <w:szCs w:val="24"/>
        </w:rPr>
        <w:t xml:space="preserve"> + SO</w:t>
      </w:r>
      <w:r w:rsidR="00C3627C" w:rsidRPr="00EA19F0">
        <w:rPr>
          <w:rFonts w:ascii="Cambria Math" w:hAnsi="Cambria Math" w:cs="Cambria Math"/>
          <w:sz w:val="24"/>
          <w:szCs w:val="24"/>
        </w:rPr>
        <w:t>₄</w:t>
      </w:r>
      <w:r w:rsidR="00C3627C" w:rsidRPr="00EA19F0">
        <w:rPr>
          <w:rFonts w:ascii="Arial" w:hAnsi="Arial" w:cs="Arial"/>
          <w:sz w:val="24"/>
          <w:szCs w:val="24"/>
        </w:rPr>
        <w:t>²</w:t>
      </w:r>
      <w:r w:rsidR="00C3627C" w:rsidRPr="00EA19F0">
        <w:rPr>
          <w:rFonts w:ascii="Cambria Math" w:hAnsi="Cambria Math" w:cs="Cambria Math"/>
          <w:sz w:val="24"/>
          <w:szCs w:val="24"/>
        </w:rPr>
        <w:t>⁻</w:t>
      </w:r>
      <w:r w:rsidR="00C3627C" w:rsidRPr="00EA19F0">
        <w:rPr>
          <w:rFonts w:asciiTheme="minorBidi" w:hAnsiTheme="minorBidi"/>
          <w:sz w:val="24"/>
          <w:szCs w:val="24"/>
        </w:rPr>
        <w:t xml:space="preserve">) suggest that the dissolved ions are derived from a combined influence of both </w:t>
      </w:r>
      <w:r w:rsidR="00C3627C" w:rsidRPr="00EA19F0">
        <w:rPr>
          <w:rStyle w:val="Strong"/>
          <w:rFonts w:asciiTheme="minorBidi" w:hAnsiTheme="minorBidi"/>
          <w:b w:val="0"/>
          <w:bCs w:val="0"/>
          <w:sz w:val="24"/>
          <w:szCs w:val="24"/>
        </w:rPr>
        <w:t xml:space="preserve">carbonate weathering </w:t>
      </w:r>
      <w:r w:rsidR="00C3627C" w:rsidRPr="00EA19F0">
        <w:rPr>
          <w:rFonts w:asciiTheme="minorBidi" w:hAnsiTheme="minorBidi"/>
          <w:sz w:val="24"/>
          <w:szCs w:val="24"/>
        </w:rPr>
        <w:t>and</w:t>
      </w:r>
      <w:r w:rsidR="00C3627C" w:rsidRPr="00EA19F0">
        <w:rPr>
          <w:rFonts w:asciiTheme="minorBidi" w:hAnsiTheme="minorBidi"/>
          <w:b/>
          <w:bCs/>
          <w:sz w:val="24"/>
          <w:szCs w:val="24"/>
        </w:rPr>
        <w:t xml:space="preserve"> </w:t>
      </w:r>
      <w:r w:rsidR="00C3627C" w:rsidRPr="00EA19F0">
        <w:rPr>
          <w:rStyle w:val="Strong"/>
          <w:rFonts w:asciiTheme="minorBidi" w:hAnsiTheme="minorBidi"/>
          <w:b w:val="0"/>
          <w:bCs w:val="0"/>
          <w:sz w:val="24"/>
          <w:szCs w:val="24"/>
        </w:rPr>
        <w:t>silicate weathering</w:t>
      </w:r>
      <w:r w:rsidR="00791D27" w:rsidRPr="00EA19F0">
        <w:rPr>
          <w:rStyle w:val="Strong"/>
          <w:rFonts w:asciiTheme="minorBidi" w:hAnsiTheme="minorBidi"/>
          <w:b w:val="0"/>
          <w:bCs w:val="0"/>
          <w:sz w:val="24"/>
          <w:szCs w:val="24"/>
        </w:rPr>
        <w:t xml:space="preserve"> </w:t>
      </w:r>
      <w:r w:rsidR="00791D27" w:rsidRPr="00EA19F0">
        <w:rPr>
          <w:rStyle w:val="Strong"/>
          <w:rFonts w:asciiTheme="minorBidi" w:hAnsiTheme="minorBidi"/>
          <w:b w:val="0"/>
          <w:bCs w:val="0"/>
          <w:color w:val="0070C0"/>
          <w:sz w:val="24"/>
          <w:szCs w:val="24"/>
        </w:rPr>
        <w:fldChar w:fldCharType="begin"/>
      </w:r>
      <w:r w:rsidR="00445DFA" w:rsidRPr="00EA19F0">
        <w:rPr>
          <w:rStyle w:val="Strong"/>
          <w:rFonts w:asciiTheme="minorBidi" w:hAnsiTheme="minorBidi"/>
          <w:b w:val="0"/>
          <w:bCs w:val="0"/>
          <w:color w:val="0070C0"/>
          <w:sz w:val="24"/>
          <w:szCs w:val="24"/>
        </w:rPr>
        <w:instrText xml:space="preserve"> ADDIN ZOTERO_ITEM CSL_CITATION {"citationID":"QtctXeSn","properties":{"formattedCitation":"(Ahmad et al., 1998; Dehnavi et al., 2011; Tay, 2021)","plainCitation":"(Ahmad et al., 1998; Dehnavi et al., 2011; Tay, 2021)","noteIndex":0},"citationItems":[{"id":509,"uris":["http://zotero.org/users/17566097/items/DCS5LEUD"],"itemData":{"id":509,"type":"article-journal","container-title":"Journal of Asian Earth Sciences","DOI":"10.1016/S0743-9547(98)00016-6","ISSN":"13679120","issue":"2-3","journalAbbreviation":"Journal of Asian Earth Sciences","language":"en","page":"333-346","source":"DOI.org (Crossref)","title":"Geochemical characteristics of water and sediment of the Indus river, Trans-Himalaya, India: constraints on weathering and erosion","title-short":"Geochemical characteristics of water and sediment of the Indus river, Trans-Himalaya, India","URL":"https://linkinghub.elsevier.com/retrieve/pii/S0743954798000166","volume":"16","author":[{"family":"Ahmad","given":"T."},{"family":"Khanna","given":"P.P."},{"family":"Chakrapani","given":"G.J."},{"family":"Balakrishnan","given":"S."}],"accessed":{"date-parts":[["2024",1,31]]},"issued":{"date-parts":[["1998",4]]}}},{"id":1635,"uris":["http://zotero.org/users/17566097/items/8EUCN4FY"],"itemData":{"id":1635,"type":"article-journal","abstract":"Chemical dissolution of bed rock/minerals plays a important role in determining the geochemistry of natural waters. The major source of dissolved species to natural water is the rocks forming in contact with water, water rock interactions starts and moves forward towards equilibrium by dissolving or leaching bedrock minerals in to the solution. By this mechanism, major cations, anions, silica and other essential nutrients are released into the hydrosphere. The solute concentration in the water system is proportional to the reactivity of the bedrock minerals constituting the catchment. Thus, the chemical compositions of natural waters are a direct indication of the geology of their catchment. Dissolution kinetics of rocks and minerals is important in understanding different rates of chemical weathering of various lithologies, development of soils, production of secondary porosity in the rocks, triggering of landslides and sequestration of atmospheric carbon dioxide, recent studies on mineral weathering phenomena in inter-terrestrial materials and under space weathering under different physical and chemical conditions.","container-title":"Int J Environ Sci Res","journalAbbreviation":"Int J Environ Sci Res","source":"ResearchGate","title":"Hydro geochemical and rock water interaction studies in East of Kurdistan, N-W of Iran","volume":"1","author":[{"family":"Dehnavi","given":"Artimes"},{"family":"Sarikhani","given":"Ramin"},{"family":"Nagaraju","given":"Doddaiah"}],"issued":{"date-parts":[["2011",1,1]]}}},{"id":1641,"uris":["http://zotero.org/users/17566097/items/7XJLWCQT"],"itemData":{"id":1641,"type":"article-journal","abstract":"Hydrogeochemical processes responsible for groundwater composition within the Asutifi-North district were assessed. The aim was to delineate the factors influencing groundwater within the district. Results show that the pH values of groundwater within the district are moderately acidic to neutral and ranged from 4.4 to 7.5 with a mean value and standard deviation of 6.1 ± 0.7 pH units. 67.4% of groundwater is acidic (pH 4–6.5) due principally to the influence of aquifer materials on the chemistry of groundwater. Acid mine drainage investigations in groundwater within the district shows that, when exposed, sulphides such as pyrites (FeS2) and arsenopyrite (FeAsS) react with water and oxygen to principally produce Fe(OH)3. The major ion concentrations are within the WHO (2004) Guideline values for drinking water. The relative abundance of cations and anions in groundwater within the district is in the order of: Ca2+  &gt; Na+  &gt; Mg2+  &gt; K+ and HCO3− &gt; Cl− &gt; SO42−, respectively. The study further shows that, albite/anorthite-(plagioclase) and calcite/dolomite(carbonates) dissolution as well as ion-exchange reactions may have contributed significantly to major ion concentrations in groundwater within the district. Hydrochemical facies using Piper trillinear diagrams delineated two major water types, the Ca–Mg–HCO3 and Na–Cl water types, with Ca–Mg–Cl, Ca–Mg–SO4–Cl and Na–K–HCO3 as minor water types. Using principal component analysis (PCA), three (3) main principal components accounting for 73.1% of the total variance with eigenvalues &gt; 1 were extracted. PCA delineated the main natural processes through which groundwater within the district acquires its chemical characteristics, the incongruent dissolution of silicate/aluminosilicates and the prevalence of pollution principally from the application of inorganic fertilizers such as nitrates and ammonia via agricultural activities within the district.","container-title":"Applied Water Science","DOI":"10.1007/s13201-021-01398-1","ISSN":"2190-5495","issue":"4","journalAbbreviation":"Appl Water Sci","language":"en","page":"72","source":"Springer Link","title":"Hydrogeochemical framework of groundwater within the Asutifi-North District of the Brong-Ahafo Region, Ghana","URL":"https://doi.org/10.1007/s13201-021-01398-1","volume":"11","author":[{"family":"Tay","given":"Collins K."}],"accessed":{"date-parts":[["2025",8,16]]},"issued":{"date-parts":[["2021",4,9]]}}}],"schema":"https://github.com/citation-style-language/schema/raw/master/csl-citation.json"} </w:instrText>
      </w:r>
      <w:r w:rsidR="00791D27" w:rsidRPr="00EA19F0">
        <w:rPr>
          <w:rStyle w:val="Strong"/>
          <w:rFonts w:asciiTheme="minorBidi" w:hAnsiTheme="minorBidi"/>
          <w:b w:val="0"/>
          <w:bCs w:val="0"/>
          <w:color w:val="0070C0"/>
          <w:sz w:val="24"/>
          <w:szCs w:val="24"/>
        </w:rPr>
        <w:fldChar w:fldCharType="separate"/>
      </w:r>
      <w:r w:rsidR="00445DFA" w:rsidRPr="00EA19F0">
        <w:rPr>
          <w:rFonts w:asciiTheme="minorBidi" w:hAnsiTheme="minorBidi"/>
          <w:color w:val="0070C0"/>
          <w:sz w:val="24"/>
        </w:rPr>
        <w:t>(Ahmad et al., 1998; Dehnavi et al., 2011; Tay, 2021)</w:t>
      </w:r>
      <w:r w:rsidR="00791D27" w:rsidRPr="00EA19F0">
        <w:rPr>
          <w:rStyle w:val="Strong"/>
          <w:rFonts w:asciiTheme="minorBidi" w:hAnsiTheme="minorBidi"/>
          <w:b w:val="0"/>
          <w:bCs w:val="0"/>
          <w:color w:val="0070C0"/>
          <w:sz w:val="24"/>
          <w:szCs w:val="24"/>
        </w:rPr>
        <w:fldChar w:fldCharType="end"/>
      </w:r>
      <w:r w:rsidR="00C3627C" w:rsidRPr="00EA19F0">
        <w:rPr>
          <w:rFonts w:asciiTheme="minorBidi" w:hAnsiTheme="minorBidi"/>
          <w:b/>
          <w:bCs/>
          <w:color w:val="0070C0"/>
          <w:sz w:val="24"/>
          <w:szCs w:val="24"/>
        </w:rPr>
        <w:t>.</w:t>
      </w:r>
      <w:r w:rsidR="00A51631" w:rsidRPr="00EA19F0">
        <w:rPr>
          <w:rFonts w:asciiTheme="minorBidi" w:hAnsiTheme="minorBidi"/>
          <w:b/>
          <w:bCs/>
          <w:sz w:val="24"/>
          <w:szCs w:val="24"/>
        </w:rPr>
        <w:t xml:space="preserve"> </w:t>
      </w:r>
      <w:r w:rsidR="006E5448" w:rsidRPr="00EA19F0">
        <w:rPr>
          <w:rFonts w:asciiTheme="minorBidi" w:hAnsiTheme="minorBidi"/>
          <w:sz w:val="24"/>
          <w:szCs w:val="24"/>
        </w:rPr>
        <w:t>As shown in</w:t>
      </w:r>
      <w:r w:rsidR="001C05B1" w:rsidRPr="00EA19F0">
        <w:rPr>
          <w:rFonts w:asciiTheme="minorBidi" w:hAnsiTheme="minorBidi"/>
          <w:sz w:val="24"/>
          <w:szCs w:val="24"/>
        </w:rPr>
        <w:t xml:space="preserve"> </w:t>
      </w:r>
      <w:r w:rsidR="001870EE" w:rsidRPr="00EA19F0">
        <w:rPr>
          <w:rFonts w:asciiTheme="minorBidi" w:hAnsiTheme="minorBidi"/>
          <w:b/>
          <w:bCs/>
          <w:sz w:val="24"/>
          <w:szCs w:val="24"/>
        </w:rPr>
        <w:t>Fig. 5</w:t>
      </w:r>
      <w:r w:rsidR="001870EE" w:rsidRPr="00EA19F0">
        <w:rPr>
          <w:rFonts w:asciiTheme="minorBidi" w:hAnsiTheme="minorBidi"/>
          <w:sz w:val="24"/>
          <w:szCs w:val="24"/>
        </w:rPr>
        <w:t>, most of the water samples cluster above and below the line, suggesting that the combined influence of carbonate weathering, silicate weathering, and ion-exchange reactions controls</w:t>
      </w:r>
      <w:r w:rsidR="006E5448" w:rsidRPr="00EA19F0">
        <w:rPr>
          <w:rFonts w:asciiTheme="minorBidi" w:hAnsiTheme="minorBidi"/>
          <w:sz w:val="24"/>
          <w:szCs w:val="24"/>
        </w:rPr>
        <w:t xml:space="preserve"> water composition.</w:t>
      </w:r>
      <w:r w:rsidR="009F781F" w:rsidRPr="00EA19F0">
        <w:rPr>
          <w:rFonts w:asciiTheme="minorBidi" w:hAnsiTheme="minorBidi"/>
          <w:sz w:val="24"/>
          <w:szCs w:val="24"/>
        </w:rPr>
        <w:t xml:space="preserve"> </w:t>
      </w:r>
      <w:r w:rsidR="00D6262D" w:rsidRPr="00EA19F0">
        <w:rPr>
          <w:rFonts w:asciiTheme="minorBidi" w:hAnsiTheme="minorBidi"/>
          <w:sz w:val="24"/>
          <w:szCs w:val="24"/>
        </w:rPr>
        <w:t>Natural waters draining from carbonate rocks are enriched in Ca²</w:t>
      </w:r>
      <w:r w:rsidR="00D6262D" w:rsidRPr="00EA19F0">
        <w:rPr>
          <w:rFonts w:ascii="Cambria Math" w:hAnsi="Cambria Math" w:cs="Cambria Math"/>
          <w:sz w:val="24"/>
          <w:szCs w:val="24"/>
        </w:rPr>
        <w:t>⁺</w:t>
      </w:r>
      <w:r w:rsidR="00D6262D" w:rsidRPr="00EA19F0">
        <w:rPr>
          <w:rFonts w:asciiTheme="minorBidi" w:hAnsiTheme="minorBidi"/>
          <w:sz w:val="24"/>
          <w:szCs w:val="24"/>
        </w:rPr>
        <w:t xml:space="preserve"> and Mg</w:t>
      </w:r>
      <w:r w:rsidR="00D6262D" w:rsidRPr="00EA19F0">
        <w:rPr>
          <w:rFonts w:ascii="Arial" w:hAnsi="Arial" w:cs="Arial"/>
          <w:sz w:val="24"/>
          <w:szCs w:val="24"/>
        </w:rPr>
        <w:t>²</w:t>
      </w:r>
      <w:r w:rsidR="00D6262D" w:rsidRPr="00EA19F0">
        <w:rPr>
          <w:rFonts w:ascii="Cambria Math" w:hAnsi="Cambria Math" w:cs="Cambria Math"/>
          <w:sz w:val="24"/>
          <w:szCs w:val="24"/>
        </w:rPr>
        <w:t>⁺</w:t>
      </w:r>
      <w:r w:rsidR="00D6262D" w:rsidRPr="00EA19F0">
        <w:rPr>
          <w:rFonts w:asciiTheme="minorBidi" w:hAnsiTheme="minorBidi"/>
          <w:sz w:val="24"/>
          <w:szCs w:val="24"/>
        </w:rPr>
        <w:t xml:space="preserve"> and </w:t>
      </w:r>
      <w:r w:rsidR="00586EE4" w:rsidRPr="00EA19F0">
        <w:rPr>
          <w:rFonts w:asciiTheme="minorBidi" w:hAnsiTheme="minorBidi"/>
          <w:sz w:val="24"/>
          <w:szCs w:val="24"/>
        </w:rPr>
        <w:t>exhibit</w:t>
      </w:r>
      <w:r w:rsidR="00D6262D" w:rsidRPr="00EA19F0">
        <w:rPr>
          <w:rFonts w:asciiTheme="minorBidi" w:hAnsiTheme="minorBidi"/>
          <w:sz w:val="24"/>
          <w:szCs w:val="24"/>
        </w:rPr>
        <w:t xml:space="preserve"> distinctly higher ion ratios: HCO</w:t>
      </w:r>
      <w:r w:rsidR="00D6262D" w:rsidRPr="00EA19F0">
        <w:rPr>
          <w:rFonts w:ascii="Cambria Math" w:hAnsi="Cambria Math" w:cs="Cambria Math"/>
          <w:sz w:val="24"/>
          <w:szCs w:val="24"/>
        </w:rPr>
        <w:t>₃⁻</w:t>
      </w:r>
      <w:r w:rsidR="00D6262D" w:rsidRPr="00EA19F0">
        <w:rPr>
          <w:rFonts w:asciiTheme="minorBidi" w:hAnsiTheme="minorBidi"/>
          <w:sz w:val="24"/>
          <w:szCs w:val="24"/>
        </w:rPr>
        <w:t>/</w:t>
      </w:r>
      <w:r w:rsidR="00586EE4" w:rsidRPr="00EA19F0">
        <w:rPr>
          <w:rFonts w:asciiTheme="minorBidi" w:hAnsiTheme="minorBidi"/>
          <w:sz w:val="24"/>
          <w:szCs w:val="24"/>
        </w:rPr>
        <w:t>Na</w:t>
      </w:r>
      <w:r w:rsidR="00586EE4" w:rsidRPr="00EA19F0">
        <w:rPr>
          <w:rFonts w:ascii="Segoe UI Symbol" w:hAnsi="Segoe UI Symbol" w:cs="Segoe UI Symbol"/>
          <w:sz w:val="24"/>
          <w:szCs w:val="24"/>
        </w:rPr>
        <w:t>⁓</w:t>
      </w:r>
      <w:r w:rsidR="00586EE4" w:rsidRPr="00EA19F0">
        <w:rPr>
          <w:rFonts w:asciiTheme="minorBidi" w:hAnsiTheme="minorBidi"/>
          <w:sz w:val="24"/>
          <w:szCs w:val="24"/>
        </w:rPr>
        <w:t>120</w:t>
      </w:r>
      <w:r w:rsidR="00D6262D" w:rsidRPr="00EA19F0">
        <w:rPr>
          <w:rFonts w:asciiTheme="minorBidi" w:hAnsiTheme="minorBidi"/>
          <w:sz w:val="24"/>
          <w:szCs w:val="24"/>
        </w:rPr>
        <w:t>, Ca²</w:t>
      </w:r>
      <w:r w:rsidR="00D6262D" w:rsidRPr="00EA19F0">
        <w:rPr>
          <w:rFonts w:ascii="Cambria Math" w:hAnsi="Cambria Math" w:cs="Cambria Math"/>
          <w:sz w:val="24"/>
          <w:szCs w:val="24"/>
        </w:rPr>
        <w:t>⁺</w:t>
      </w:r>
      <w:r w:rsidR="00D6262D" w:rsidRPr="00EA19F0">
        <w:rPr>
          <w:rFonts w:asciiTheme="minorBidi" w:hAnsiTheme="minorBidi"/>
          <w:sz w:val="24"/>
          <w:szCs w:val="24"/>
        </w:rPr>
        <w:t>/</w:t>
      </w:r>
      <w:r w:rsidR="00586EE4" w:rsidRPr="00EA19F0">
        <w:rPr>
          <w:rFonts w:asciiTheme="minorBidi" w:hAnsiTheme="minorBidi"/>
          <w:sz w:val="24"/>
          <w:szCs w:val="24"/>
        </w:rPr>
        <w:t>Na</w:t>
      </w:r>
      <w:r w:rsidR="00586EE4" w:rsidRPr="00EA19F0">
        <w:rPr>
          <w:rFonts w:ascii="Segoe UI Symbol" w:hAnsi="Segoe UI Symbol" w:cs="Segoe UI Symbol"/>
          <w:sz w:val="24"/>
          <w:szCs w:val="24"/>
        </w:rPr>
        <w:t>⁓</w:t>
      </w:r>
      <w:r w:rsidR="00586EE4" w:rsidRPr="00EA19F0">
        <w:rPr>
          <w:rFonts w:asciiTheme="minorBidi" w:hAnsiTheme="minorBidi"/>
          <w:sz w:val="24"/>
          <w:szCs w:val="24"/>
        </w:rPr>
        <w:t>50</w:t>
      </w:r>
      <w:r w:rsidR="00D6262D" w:rsidRPr="00EA19F0">
        <w:rPr>
          <w:rFonts w:asciiTheme="minorBidi" w:hAnsiTheme="minorBidi"/>
          <w:sz w:val="24"/>
          <w:szCs w:val="24"/>
        </w:rPr>
        <w:t>, and Mg²</w:t>
      </w:r>
      <w:r w:rsidR="00D6262D" w:rsidRPr="00EA19F0">
        <w:rPr>
          <w:rFonts w:ascii="Cambria Math" w:hAnsi="Cambria Math" w:cs="Cambria Math"/>
          <w:sz w:val="24"/>
          <w:szCs w:val="24"/>
        </w:rPr>
        <w:t>⁺</w:t>
      </w:r>
      <w:r w:rsidR="00D6262D" w:rsidRPr="00EA19F0">
        <w:rPr>
          <w:rFonts w:asciiTheme="minorBidi" w:hAnsiTheme="minorBidi"/>
          <w:sz w:val="24"/>
          <w:szCs w:val="24"/>
        </w:rPr>
        <w:t>/</w:t>
      </w:r>
      <w:r w:rsidR="00586EE4" w:rsidRPr="00EA19F0">
        <w:rPr>
          <w:rFonts w:asciiTheme="minorBidi" w:hAnsiTheme="minorBidi"/>
          <w:sz w:val="24"/>
          <w:szCs w:val="24"/>
        </w:rPr>
        <w:t>Na</w:t>
      </w:r>
      <w:r w:rsidR="00586EE4" w:rsidRPr="00EA19F0">
        <w:rPr>
          <w:rFonts w:ascii="Segoe UI Symbol" w:hAnsi="Segoe UI Symbol" w:cs="Segoe UI Symbol"/>
          <w:sz w:val="24"/>
          <w:szCs w:val="24"/>
        </w:rPr>
        <w:t>⁓</w:t>
      </w:r>
      <w:r w:rsidR="00586EE4" w:rsidRPr="00EA19F0">
        <w:rPr>
          <w:rFonts w:asciiTheme="minorBidi" w:hAnsiTheme="minorBidi"/>
          <w:sz w:val="24"/>
          <w:szCs w:val="24"/>
        </w:rPr>
        <w:t xml:space="preserve">10 </w:t>
      </w:r>
      <w:r w:rsidR="00D6262D"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{"citationID":"C9Gz617I","properties":{"formattedCitation":"(Meybeck, 1983; N\\uc0\\u233{}grel et al., 1993; Singh et al., 2014)","plainCitation":"(Meybeck, 1983; Négrel et al., 1993; Singh et al., 2014)","noteIndex":0},"citationItems":[{"id":1133,"uris":["http://zotero.org/users/17566097/items/5JJSFSHL"],"itemData":{"id":1133,"type":"article-journal","container-title":"Dissolved loads of rivers and surface water quantity/quality relationships","note":"publisher: IAHS publication","page":"173–192","source":"Google Scholar","title":"Atmospheric inputs and river transport of dissolved substances","URL":"https://iahs.info/uploads/dms/iahs_141_0173.pdf","volume":"141","author":[{"family":"Meybeck","given":"Michel"}],"accessed":{"date-parts":[["2024",7,11]]},"issued":{"date-parts":[["1983"]]}}},{"id":1132,"uris":["http://zotero.org/users/17566097/items/NXXPEE4M"],"itemData":{"id":1132,"type":"article-journal","container-title":"Earth and Planetary Science Letters","issue":"1-2","note":"publisher: Elsevier","page":"59–76","source":"Google Scholar","title":"Erosion sources determined by inversion of major and trace element ratios and strontium isotopic ratios in river water: the Congo Basin case","title-short":"Erosion sources determined by inversion of major and trace element ratios and strontium isotopic ratios in river water","URL":"https://www.sciencedirect.com/science/article/pii/0012821X93900233","volume":"120","author":[{"family":"Négrel","given":"Philippe"},{"family":"Allègre","given":"Claude J."},{"family":"Dupré","given":"Bernard"},{"family":"Lewin","given":"Eric"}],"accessed":{"date-parts":[["2024",7,11]]},"issued":{"date-parts":[["1993"]]}}},{"id":1122,"uris":["http://zotero.org/users/local/GtKGLMn4/items/CB7R8EIE","http://zotero.org/users/17566097/items/CB7R8EIE"],"itemData":{"id":1122,"type":"article-journal","abstract":"A systematic study on the seasonal variation of major cations and anions was carried out to understand the source of dissolved ions as well as the geochemical weathering processes controlling the meltwater chemistry of Gangotri glacier. Calcium and magnesium are the major cations while sulphate is the dominant anion followed by bicarbonate. The high ratios of (Ca+Mg)/(Na+K), Ca/Na, Mg/Na, HCO3/Na and low ratio of (Na+K)/TZ+ for pre-monsoon, monsoon and post-monsoon seasons indicate the dominance of carbonate weathering, which is a major source of the dissolved ions in the meltwater of Gangotri glacier followed by silicate weathering. High equivalent ratios of Na/Cl and K/Cl as compared to sea water indicate relatively lesser contribution from atmospheric input to the chemical composition of meltwater. Correlation matrix and factor analysis were used to identify various factors controlling the major ion chemistry. Marked seasonal and diurnal variations were observed in the dissolved ions and suspended sediment concentration. Daily mean suspended sediment concentration for pre-monsoon, monsoon and post-monsoon was observed as 1719, 3281 and 445mgl−1, respectively. Highest suspended sediment load was observed in monsoon season followed by pre-monsoon and post-monsoon seasons. The cation denudation rates of Gangotri glacier meltwater were calculated to be 42.2, 46.5 and 15.9tkm−2y−1 for pre-monsoon (June only), monsoon and post-monsoon respectively. These values are higher than that of other Himalayan glaciers. Whereas physical weathering rate of the Gangotri glacier catchment was observed to be 7056, 15,344 and 588tkm−2y−1 for pre-monsoon (June only), monsoon and post-monsoon respectively, much higher than the Indian and world averages of river.","container-title":"Journal of Asian Earth Sciences","DOI":"10.1016/j.jseaes.2013.09.010","ISSN":"1367-9120","journalAbbreviation":"Journal of Asian Earth Sciences","page":"224-234","source":"ScienceDirect","title":"Seasonal variation of the solute and suspended sediment load in Gangotri glacier meltwater, central Himalaya, India","URL":"https://www.sciencedirect.com/science/article/pii/S1367912013004860","volume":"79","author":[{"family":"Singh","given":"Virendra Bahadur"},{"family":"Ramanathan","given":"AL."},{"family":"Pottakkal","given":"Jose George"},{"family":"Kumar","given":"Manoj"}],"accessed":{"date-parts":[["2024",7,3]]},"issued":{"date-parts":[["2014",1,5]]}}}],"schema":"https://github.com/citation-style-language/schema/raw/master/csl-citation.json"} </w:instrText>
      </w:r>
      <w:r w:rsidR="00D6262D" w:rsidRPr="00EA19F0">
        <w:rPr>
          <w:rFonts w:asciiTheme="minorBidi" w:hAnsiTheme="minorBidi"/>
          <w:color w:val="0070C0"/>
          <w:sz w:val="24"/>
          <w:szCs w:val="24"/>
        </w:rPr>
        <w:fldChar w:fldCharType="separate"/>
      </w:r>
      <w:r w:rsidR="00445DFA" w:rsidRPr="00EA19F0">
        <w:rPr>
          <w:rFonts w:asciiTheme="minorBidi" w:hAnsiTheme="minorBidi"/>
          <w:color w:val="0070C0"/>
          <w:kern w:val="0"/>
          <w:sz w:val="24"/>
        </w:rPr>
        <w:t>(Meybeck, 1983; Négrel et al., 1993; Singh et al., 2014)</w:t>
      </w:r>
      <w:r w:rsidR="00D6262D" w:rsidRPr="00EA19F0">
        <w:rPr>
          <w:rFonts w:asciiTheme="minorBidi" w:hAnsiTheme="minorBidi"/>
          <w:color w:val="0070C0"/>
          <w:sz w:val="24"/>
          <w:szCs w:val="24"/>
        </w:rPr>
        <w:fldChar w:fldCharType="end"/>
      </w:r>
      <w:r w:rsidR="00D6262D" w:rsidRPr="00EA19F0">
        <w:rPr>
          <w:rFonts w:asciiTheme="minorBidi" w:hAnsiTheme="minorBidi"/>
          <w:color w:val="0070C0"/>
          <w:sz w:val="24"/>
          <w:szCs w:val="24"/>
        </w:rPr>
        <w:t>.</w:t>
      </w:r>
      <w:r w:rsidR="00D6262D" w:rsidRPr="00EA19F0">
        <w:rPr>
          <w:rFonts w:asciiTheme="minorBidi" w:hAnsiTheme="minorBidi"/>
          <w:sz w:val="24"/>
          <w:szCs w:val="24"/>
        </w:rPr>
        <w:t xml:space="preserve"> </w:t>
      </w:r>
      <w:commentRangeStart w:id="24"/>
      <w:r w:rsidR="001C57D4" w:rsidRPr="00EA19F0">
        <w:rPr>
          <w:rFonts w:asciiTheme="minorBidi" w:hAnsiTheme="minorBidi"/>
          <w:sz w:val="24"/>
          <w:szCs w:val="24"/>
        </w:rPr>
        <w:t>Conversely</w:t>
      </w:r>
      <w:r w:rsidR="00D6262D" w:rsidRPr="00EA19F0">
        <w:rPr>
          <w:rFonts w:asciiTheme="minorBidi" w:hAnsiTheme="minorBidi"/>
          <w:sz w:val="24"/>
          <w:szCs w:val="24"/>
        </w:rPr>
        <w:t xml:space="preserve">, waters draining silicate </w:t>
      </w:r>
      <w:r w:rsidR="001C57D4" w:rsidRPr="00EA19F0">
        <w:rPr>
          <w:rFonts w:asciiTheme="minorBidi" w:hAnsiTheme="minorBidi"/>
          <w:sz w:val="24"/>
          <w:szCs w:val="24"/>
        </w:rPr>
        <w:t>rocks exhibit</w:t>
      </w:r>
      <w:r w:rsidR="00D6262D" w:rsidRPr="00EA19F0">
        <w:rPr>
          <w:rFonts w:asciiTheme="minorBidi" w:hAnsiTheme="minorBidi"/>
          <w:sz w:val="24"/>
          <w:szCs w:val="24"/>
        </w:rPr>
        <w:t xml:space="preserve"> much lower values,</w:t>
      </w:r>
      <w:commentRangeEnd w:id="24"/>
      <w:r w:rsidR="00A9121B">
        <w:rPr>
          <w:rStyle w:val="CommentReference"/>
        </w:rPr>
        <w:commentReference w:id="24"/>
      </w:r>
      <w:r w:rsidR="00D6262D" w:rsidRPr="00EA19F0">
        <w:rPr>
          <w:rFonts w:asciiTheme="minorBidi" w:hAnsiTheme="minorBidi"/>
          <w:sz w:val="24"/>
          <w:szCs w:val="24"/>
        </w:rPr>
        <w:t xml:space="preserve"> with HCO</w:t>
      </w:r>
      <w:r w:rsidR="00D6262D" w:rsidRPr="00EA19F0">
        <w:rPr>
          <w:rFonts w:ascii="Cambria Math" w:hAnsi="Cambria Math" w:cs="Cambria Math"/>
          <w:sz w:val="24"/>
          <w:szCs w:val="24"/>
        </w:rPr>
        <w:t>₃⁻</w:t>
      </w:r>
      <w:r w:rsidR="00D6262D" w:rsidRPr="00EA19F0">
        <w:rPr>
          <w:rFonts w:asciiTheme="minorBidi" w:hAnsiTheme="minorBidi"/>
          <w:sz w:val="24"/>
          <w:szCs w:val="24"/>
        </w:rPr>
        <w:t>/Na</w:t>
      </w:r>
      <w:r w:rsidR="00D6262D" w:rsidRPr="00EA19F0">
        <w:rPr>
          <w:rFonts w:ascii="Cambria Math" w:hAnsi="Cambria Math" w:cs="Cambria Math"/>
          <w:sz w:val="24"/>
          <w:szCs w:val="24"/>
        </w:rPr>
        <w:t>⁺</w:t>
      </w:r>
      <w:r w:rsidR="00D6262D" w:rsidRPr="00EA19F0">
        <w:rPr>
          <w:rFonts w:asciiTheme="minorBidi" w:hAnsiTheme="minorBidi"/>
          <w:sz w:val="24"/>
          <w:szCs w:val="24"/>
        </w:rPr>
        <w:t xml:space="preserve"> </w:t>
      </w:r>
      <w:r w:rsidR="001C57D4" w:rsidRPr="00EA19F0">
        <w:rPr>
          <w:rFonts w:ascii="Segoe UI Symbol" w:hAnsi="Segoe UI Symbol" w:cs="Segoe UI Symbol"/>
          <w:sz w:val="24"/>
          <w:szCs w:val="24"/>
        </w:rPr>
        <w:t>⁓</w:t>
      </w:r>
      <w:r w:rsidR="00D6262D" w:rsidRPr="00EA19F0">
        <w:rPr>
          <w:rFonts w:asciiTheme="minorBidi" w:hAnsiTheme="minorBidi"/>
          <w:sz w:val="24"/>
          <w:szCs w:val="24"/>
        </w:rPr>
        <w:t>2 ± 1, Ca²</w:t>
      </w:r>
      <w:r w:rsidR="00D6262D" w:rsidRPr="00EA19F0">
        <w:rPr>
          <w:rFonts w:ascii="Cambria Math" w:hAnsi="Cambria Math" w:cs="Cambria Math"/>
          <w:sz w:val="24"/>
          <w:szCs w:val="24"/>
        </w:rPr>
        <w:t>⁺</w:t>
      </w:r>
      <w:r w:rsidR="00D6262D" w:rsidRPr="00EA19F0">
        <w:rPr>
          <w:rFonts w:asciiTheme="minorBidi" w:hAnsiTheme="minorBidi"/>
          <w:sz w:val="24"/>
          <w:szCs w:val="24"/>
        </w:rPr>
        <w:t>/Na</w:t>
      </w:r>
      <w:r w:rsidR="00D6262D" w:rsidRPr="00EA19F0">
        <w:rPr>
          <w:rFonts w:ascii="Cambria Math" w:hAnsi="Cambria Math" w:cs="Cambria Math"/>
          <w:sz w:val="24"/>
          <w:szCs w:val="24"/>
        </w:rPr>
        <w:t>⁺</w:t>
      </w:r>
      <w:r w:rsidR="00D6262D" w:rsidRPr="00EA19F0">
        <w:rPr>
          <w:rFonts w:asciiTheme="minorBidi" w:hAnsiTheme="minorBidi"/>
          <w:sz w:val="24"/>
          <w:szCs w:val="24"/>
        </w:rPr>
        <w:t xml:space="preserve"> </w:t>
      </w:r>
      <w:r w:rsidR="00D40BA3" w:rsidRPr="00EA19F0">
        <w:rPr>
          <w:rFonts w:ascii="Segoe UI Symbol" w:hAnsi="Segoe UI Symbol" w:cs="Segoe UI Symbol"/>
          <w:sz w:val="24"/>
          <w:szCs w:val="24"/>
        </w:rPr>
        <w:t>⁓</w:t>
      </w:r>
      <w:r w:rsidR="00D6262D" w:rsidRPr="00EA19F0">
        <w:rPr>
          <w:rFonts w:asciiTheme="minorBidi" w:hAnsiTheme="minorBidi"/>
          <w:sz w:val="24"/>
          <w:szCs w:val="24"/>
        </w:rPr>
        <w:t>0.35 ± 0.15, and Mg²</w:t>
      </w:r>
      <w:r w:rsidR="00D6262D" w:rsidRPr="00EA19F0">
        <w:rPr>
          <w:rFonts w:ascii="Cambria Math" w:hAnsi="Cambria Math" w:cs="Cambria Math"/>
          <w:sz w:val="24"/>
          <w:szCs w:val="24"/>
        </w:rPr>
        <w:t>⁺</w:t>
      </w:r>
      <w:r w:rsidR="00D6262D" w:rsidRPr="00EA19F0">
        <w:rPr>
          <w:rFonts w:asciiTheme="minorBidi" w:hAnsiTheme="minorBidi"/>
          <w:sz w:val="24"/>
          <w:szCs w:val="24"/>
        </w:rPr>
        <w:t>/Na</w:t>
      </w:r>
      <w:r w:rsidR="00D6262D" w:rsidRPr="00EA19F0">
        <w:rPr>
          <w:rFonts w:ascii="Cambria Math" w:hAnsi="Cambria Math" w:cs="Cambria Math"/>
          <w:sz w:val="24"/>
          <w:szCs w:val="24"/>
        </w:rPr>
        <w:t>⁺</w:t>
      </w:r>
      <w:r w:rsidR="00D6262D" w:rsidRPr="00EA19F0">
        <w:rPr>
          <w:rFonts w:asciiTheme="minorBidi" w:hAnsiTheme="minorBidi"/>
          <w:sz w:val="24"/>
          <w:szCs w:val="24"/>
        </w:rPr>
        <w:t xml:space="preserve"> </w:t>
      </w:r>
      <w:r w:rsidR="00D40BA3" w:rsidRPr="00EA19F0">
        <w:rPr>
          <w:rFonts w:ascii="Segoe UI Symbol" w:hAnsi="Segoe UI Symbol" w:cs="Segoe UI Symbol"/>
          <w:sz w:val="24"/>
          <w:szCs w:val="24"/>
        </w:rPr>
        <w:t>⁓</w:t>
      </w:r>
      <w:r w:rsidR="00D6262D" w:rsidRPr="00EA19F0">
        <w:rPr>
          <w:rFonts w:asciiTheme="minorBidi" w:hAnsiTheme="minorBidi"/>
          <w:sz w:val="24"/>
          <w:szCs w:val="24"/>
        </w:rPr>
        <w:t xml:space="preserve">0.24 ± 0.12 </w:t>
      </w:r>
      <w:r w:rsidR="00D6262D"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{"citationID":"a10evd8t2de","properties":{"formattedCitation":"(Ali et al., 2024a; Gaillardet et al., 1999; Tiwari and Singh, 2014)","plainCitation":"(Ali et al., 2024a; Gaillardet et al., 1999; Tiwari and Singh, 2014)","noteIndex":0},"citationItems":[{"id":720,"uris":["http://zotero.org/users/17566097/items/FBGCZSP8"],"itemData":{"id":720,"type":"article-journal","container-title":"Chemical Geology","DOI":"10.1016/S0009-2541(99)00031-5","ISSN":"00092541","issue":"1-4","journalAbbreviation":"Chemical Geology","language":"en","page":"3-30","source":"DOI.org (Crossref)","title":"Global silicate weathering and CO2 consumption rates deduced from the chemistry of large rivers","URL":"https://linkinghub.elsevier.com/retrieve/pii/S0009254199000315","volume":"159","author":[{"family":"Gaillardet","given":"J."},{"family":"Dupré","given":"B."},{"family":"Louvat","given":"P."},{"family":"Allègre","given":"C.J."}],"accessed":{"date-parts":[["2024",3,23]]},"issued":{"date-parts":[["1999",7]]}}},{"id":1311,"uris":["http://zotero.org/users/local/GtKGLMn4/items/HM7SD3GP","http://zotero.org/users/17566097/items/HM7SD3GP"],"itemData":{"id":1311,"type":"article-journal","abstract":"The decline in water quality, particularly in river water, is a significant concern, especially in semi-arid areas and tourist destinations such as Ladakh. Periodic assessment of water quality could be a crucial step for ensuring its potability and serve as a foundation for formulating effective policies for sustainable water resource management. Consequently, this research aimed to analyze the periodic variations in the water quality of Indus River for domestic and agricultural use, focusing on the impact of geochemical processes within the basin. Various physicochemical parameters namely temperature, pH, electrical conductivity, turbidity, total dissolved solids, total hardness, total alkalinity, K+, Na+, Mg2+, Ca2+, Cl−, SO42−, SiO2, HCO3−, CO32−, and NO3− for sixty-five water samples from seven key locations were assessed during three distinct periods: April–May (early melting period, EMP), July–August (peak melting period, PMP), and October–November (late melting period, LMP), 2023. The ion contents found were in the following order: Ca2+ &gt; Na+ &gt; Mg2+ &gt; K+ and HCO3− &gt; SO42− &gt; Cl− &gt; SiO2 &gt; NO3− &gt; F−, reflecting Ca-HCO3 water types. However, temporal and spatial variation in ion content and hydrochemical facies were observed when the water moved downstream and confluences with the Zanskar River to give calcium</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magnesium-sulphate facies. Water quality indices- Canadian Council of the Ministers of the Environment Water Quality Index (CCMEWQI) and Weighted Arithmetic Water Quality Index (WAWQI) were employed to assess the water quality over these periods, identify long-term trends, evaluate the water quality status, and provide insights into immediate conditions. WAWQI values recorded for EMP (56.89–509.53), PMP (289.82–3419.23), and LMP (55.16–159.14) found were poor to unsuitable for drinking while using CCMEWQI, it was in the marginal range. Additionally, the Wilcox diagram and other important irrigational indices like Percent sodium, Sodium Absorption Ratio, Residual Sodium Carbonate, Magnesium hazard, Permeability Index, Kelly's ratio, Ryznar stability index indicated the suitability of the water for agricultural use in all the periods. Apart from arsenic (54 μg/L), all other heavy metal ions measured were within the permissible limits according to the Heavy Metal Pollution index. Principal Component Analysis identified different principal components contributing to the hydrochemistry of the river water whereas correlational analysis was conducted to understand the correlation among different parameters and their potential source in water. Rapid carbonate mineral reactions and sulphate reduction were found to affect the alkalinity and hardness of the water. This study will serve as a scientific reference and methodological guide for researchers- to understand water chemistry; committee awareness on health and agricultural impacts; and policymakers for decision-making on water use, policy, and conservation.","container-title":"Marine Pollution Bulletin","DOI":"10.1016/j.marpolbul.2024.117413","ISSN":"0025-326X","journalAbbreviation":"Marine Pollution Bulletin","page":"117413","source":"ScienceDirect","title":"Hydrogeochemical investigation and water quality assessment of the Indus River in the semiarid region of Ladakh, India","URL":"https://www.sciencedirect.com/science/article/pii/S0025326X24013900","volume":"211","author":[{"family":"Ali","given":"Gh."},{"family":"Chaudhari","given":"Mukesh P."},{"family":"Syed","given":"Saif"},{"family":"Rajpurohit","given":"Dushyantsingh"},{"family":"Sanyal","given":"Mallika"},{"family":"Shrivastav","given":"Pranav S."}],"accessed":{"date-parts":[["2024",12,14]]},"issued":{"date-parts":[["2024",12,13]]}}},{"id":845,"uris":["http://zotero.org/users/local/GtKGLMn4/items/K6AIY6QU","http://zotero.org/users/17566097/items/K6AIY6QU"],"itemData":{"id":845,"type":"article-journal","abstract":"HydogrochemicalinvestigationofgroundwaterresourcesofParagraphdistricthasbeencarriedouttoassess thesoluteacquisitionprocessesandwaterqualityfordomesticandirrigationuses.Fifty-fivegroundwatersampleswere HcaonCldlOecH3t-C,eSdO3Oa-,4n2-d)Cl-aa,nnadlMycg2za+te,idoNfnaso+r(aCnpad2H,+C,ael2e+Mcagt2rr+ei,ctahNlea+c,moanjK+do)ur.cctSitovunittdryiy,brtuetosituanlltgsidirosensvsoetlaovlettdhheastdoilgisrsdoso,ulnvhdeadrwdastnoelerisdso,sf.tTmhahejeaorrheyaadnirisooganlesko(aclFih-en,emiiClnc-,alnatdNautOr3ae, suggestthatweatheringofrockformingmineralsalongwithsecondarycontributionsfromagriculturalandanthropogenic sourcesaremainlycontrollingthegroundwatercompositionofPratapgarhdistrict.Alkalineearthmetals(Ca2++Mg2+) exceedalkalis(Na++K+)andweakacid(HCO3-)dominateoverstrongacids(Cl-+SO42-)inmajorityofthegroundwater sTahempcloes.mpCuat-edMgs-atHurCaOti3oanndinCdai-ceMsg-dCel-mHonCstOr3aatreetohveerdsoatmuirnaatnetdhcyodrnodigteioocnhewimtihcarlefsapcieecstitnothdeolgoromuitnedawantdercoaflctihteeaarenad. undersaturatedwithgypsumandfluorite.Acomparisonofgroundwaterqualityparametersinrelationtospecifiedlimits wfaotrerdrsiankmipnlges.waQtueralisthyoaswssetshsatmecnotnfcoernitrrraitgiaotinsonofusTesDrSe,vFe-a,ltNhaOt3-thaendgrtootuanldhwaartderneisssgeoxocdefeodrtirhreigdaetisiorna.blHeoliwemivtesr,ivnalmuaensy ofsalinity,sodiumadsorptionratio(SAR),residualsodiumcarbonate(RSC),%NaandKelleyindexareexceedingthe prescribedlimitatsomesites,demandingadequatedrainageandwatermanagementplanforthearea.","container-title":"Journal of the Geological Society of India","DOI":"10.1007/s12594-014-0045-y","ISSN":"0016-7622, 0974-6889","issue":"3","journalAbbreviation":"J Geol Soc India","language":"en","license":"http://www.springer.com/tdm","page":"329-343","source":"DOI.org (Crossref)","title":"Hydrogeochemical investigation and groundwater quality assessment of Pratapgarh district, Uttar Pradesh","URL":"http://link.springer.com/10.1007/s12594-014-0045-y","volume":"83","author":[{"family":"Tiwari","given":"Ashwani Kumar"},{"family":"Singh","given":"Abhay Kumar"}],"accessed":{"date-parts":[["2024",5,11]]},"issued":{"date-parts":[["2014",3]]}}}],"schema":"https://github.com/citation-style-language/schema/raw/master/csl-citation.json"} </w:instrText>
      </w:r>
      <w:r w:rsidR="00D6262D" w:rsidRPr="00EA19F0">
        <w:rPr>
          <w:rFonts w:asciiTheme="minorBidi" w:hAnsiTheme="minorBidi"/>
          <w:color w:val="0070C0"/>
          <w:sz w:val="24"/>
          <w:szCs w:val="24"/>
        </w:rPr>
        <w:fldChar w:fldCharType="separate"/>
      </w:r>
      <w:r w:rsidR="00445DFA" w:rsidRPr="00EA19F0">
        <w:rPr>
          <w:rFonts w:asciiTheme="minorBidi" w:hAnsiTheme="minorBidi"/>
          <w:color w:val="0070C0"/>
          <w:sz w:val="24"/>
        </w:rPr>
        <w:t>(Ali et al., 2024a; Gaillardet et al., 1999; Tiwari and Singh, 2014)</w:t>
      </w:r>
      <w:r w:rsidR="00D6262D" w:rsidRPr="00EA19F0">
        <w:rPr>
          <w:rFonts w:asciiTheme="minorBidi" w:hAnsiTheme="minorBidi"/>
          <w:color w:val="0070C0"/>
          <w:sz w:val="24"/>
          <w:szCs w:val="24"/>
        </w:rPr>
        <w:fldChar w:fldCharType="end"/>
      </w:r>
      <w:r w:rsidR="00D6262D" w:rsidRPr="00EA19F0">
        <w:rPr>
          <w:rFonts w:asciiTheme="minorBidi" w:hAnsiTheme="minorBidi"/>
          <w:color w:val="0070C0"/>
          <w:sz w:val="24"/>
          <w:szCs w:val="24"/>
        </w:rPr>
        <w:t>.</w:t>
      </w:r>
      <w:r w:rsidR="00D6262D" w:rsidRPr="00EA19F0">
        <w:rPr>
          <w:rFonts w:asciiTheme="minorBidi" w:hAnsiTheme="minorBidi"/>
          <w:sz w:val="24"/>
          <w:szCs w:val="24"/>
        </w:rPr>
        <w:t xml:space="preserve"> In the </w:t>
      </w:r>
      <w:r w:rsidR="005B3AE7" w:rsidRPr="00EA19F0">
        <w:rPr>
          <w:rFonts w:asciiTheme="minorBidi" w:hAnsiTheme="minorBidi"/>
          <w:sz w:val="24"/>
          <w:szCs w:val="24"/>
        </w:rPr>
        <w:t>D</w:t>
      </w:r>
      <w:r w:rsidR="00D6262D" w:rsidRPr="00EA19F0">
        <w:rPr>
          <w:rFonts w:asciiTheme="minorBidi" w:hAnsiTheme="minorBidi"/>
          <w:sz w:val="24"/>
          <w:szCs w:val="24"/>
        </w:rPr>
        <w:t>RB, the HCO</w:t>
      </w:r>
      <w:r w:rsidR="00D6262D" w:rsidRPr="00EA19F0">
        <w:rPr>
          <w:rFonts w:ascii="Cambria Math" w:hAnsi="Cambria Math" w:cs="Cambria Math"/>
          <w:sz w:val="24"/>
          <w:szCs w:val="24"/>
        </w:rPr>
        <w:t>₃⁻</w:t>
      </w:r>
      <w:r w:rsidR="00D6262D" w:rsidRPr="00EA19F0">
        <w:rPr>
          <w:rFonts w:asciiTheme="minorBidi" w:hAnsiTheme="minorBidi"/>
          <w:sz w:val="24"/>
          <w:szCs w:val="24"/>
        </w:rPr>
        <w:t>/Na</w:t>
      </w:r>
      <w:r w:rsidR="00D6262D" w:rsidRPr="00EA19F0">
        <w:rPr>
          <w:rFonts w:ascii="Cambria Math" w:hAnsi="Cambria Math" w:cs="Cambria Math"/>
          <w:sz w:val="24"/>
          <w:szCs w:val="24"/>
        </w:rPr>
        <w:t>⁺</w:t>
      </w:r>
      <w:r w:rsidR="00D6262D" w:rsidRPr="00EA19F0">
        <w:rPr>
          <w:rFonts w:asciiTheme="minorBidi" w:hAnsiTheme="minorBidi"/>
          <w:sz w:val="24"/>
          <w:szCs w:val="24"/>
        </w:rPr>
        <w:t xml:space="preserve"> ratios are </w:t>
      </w:r>
      <w:r w:rsidR="005B3AE7" w:rsidRPr="00EA19F0">
        <w:rPr>
          <w:rFonts w:asciiTheme="minorBidi" w:hAnsiTheme="minorBidi"/>
          <w:color w:val="000000"/>
          <w:sz w:val="24"/>
          <w:szCs w:val="24"/>
        </w:rPr>
        <w:t xml:space="preserve">27.96±6.49 </w:t>
      </w:r>
      <w:r w:rsidR="00D6262D" w:rsidRPr="00EA19F0">
        <w:rPr>
          <w:rFonts w:asciiTheme="minorBidi" w:hAnsiTheme="minorBidi"/>
          <w:sz w:val="24"/>
          <w:szCs w:val="24"/>
        </w:rPr>
        <w:t xml:space="preserve">in EMP, </w:t>
      </w:r>
      <w:r w:rsidR="005B3AE7" w:rsidRPr="00EA19F0">
        <w:rPr>
          <w:rFonts w:asciiTheme="minorBidi" w:hAnsiTheme="minorBidi"/>
          <w:color w:val="000000"/>
          <w:sz w:val="24"/>
          <w:szCs w:val="24"/>
        </w:rPr>
        <w:t xml:space="preserve">16.56±12.75 </w:t>
      </w:r>
      <w:r w:rsidR="00D6262D" w:rsidRPr="00EA19F0">
        <w:rPr>
          <w:rFonts w:asciiTheme="minorBidi" w:hAnsiTheme="minorBidi"/>
          <w:sz w:val="24"/>
          <w:szCs w:val="24"/>
        </w:rPr>
        <w:t xml:space="preserve">in PMP, and </w:t>
      </w:r>
      <w:r w:rsidR="005B3AE7" w:rsidRPr="00EA19F0">
        <w:rPr>
          <w:rFonts w:asciiTheme="minorBidi" w:hAnsiTheme="minorBidi"/>
          <w:color w:val="000000"/>
          <w:sz w:val="24"/>
          <w:szCs w:val="24"/>
        </w:rPr>
        <w:t xml:space="preserve">29.7±7.99 </w:t>
      </w:r>
      <w:r w:rsidR="00D6262D" w:rsidRPr="00EA19F0">
        <w:rPr>
          <w:rFonts w:asciiTheme="minorBidi" w:hAnsiTheme="minorBidi"/>
          <w:sz w:val="24"/>
          <w:szCs w:val="24"/>
        </w:rPr>
        <w:t xml:space="preserve">in </w:t>
      </w:r>
      <w:r w:rsidR="006C31FF" w:rsidRPr="00EA19F0">
        <w:rPr>
          <w:rFonts w:asciiTheme="minorBidi" w:hAnsiTheme="minorBidi"/>
          <w:sz w:val="24"/>
          <w:szCs w:val="24"/>
        </w:rPr>
        <w:t>LMP.</w:t>
      </w:r>
      <w:r w:rsidR="00D6262D" w:rsidRPr="00EA19F0">
        <w:rPr>
          <w:rFonts w:asciiTheme="minorBidi" w:hAnsiTheme="minorBidi"/>
          <w:sz w:val="24"/>
          <w:szCs w:val="24"/>
        </w:rPr>
        <w:t xml:space="preserve"> Similarly, Ca²</w:t>
      </w:r>
      <w:r w:rsidR="00D6262D" w:rsidRPr="00EA19F0">
        <w:rPr>
          <w:rFonts w:ascii="Cambria Math" w:hAnsi="Cambria Math" w:cs="Cambria Math"/>
          <w:sz w:val="24"/>
          <w:szCs w:val="24"/>
        </w:rPr>
        <w:t>⁺</w:t>
      </w:r>
      <w:r w:rsidR="00D6262D" w:rsidRPr="00EA19F0">
        <w:rPr>
          <w:rFonts w:asciiTheme="minorBidi" w:hAnsiTheme="minorBidi"/>
          <w:sz w:val="24"/>
          <w:szCs w:val="24"/>
        </w:rPr>
        <w:t>/Na</w:t>
      </w:r>
      <w:r w:rsidR="00D6262D" w:rsidRPr="00EA19F0">
        <w:rPr>
          <w:rFonts w:ascii="Cambria Math" w:hAnsi="Cambria Math" w:cs="Cambria Math"/>
          <w:sz w:val="24"/>
          <w:szCs w:val="24"/>
        </w:rPr>
        <w:t>⁺</w:t>
      </w:r>
      <w:r w:rsidR="00D6262D" w:rsidRPr="00EA19F0">
        <w:rPr>
          <w:rFonts w:asciiTheme="minorBidi" w:hAnsiTheme="minorBidi"/>
          <w:sz w:val="24"/>
          <w:szCs w:val="24"/>
        </w:rPr>
        <w:t xml:space="preserve"> ratios are </w:t>
      </w:r>
      <w:r w:rsidR="005B3AE7" w:rsidRPr="00EA19F0">
        <w:rPr>
          <w:rFonts w:asciiTheme="minorBidi" w:hAnsiTheme="minorBidi"/>
          <w:color w:val="000000"/>
          <w:sz w:val="24"/>
          <w:szCs w:val="24"/>
        </w:rPr>
        <w:t xml:space="preserve">31.56±8.82 </w:t>
      </w:r>
      <w:r w:rsidR="00D6262D" w:rsidRPr="00EA19F0">
        <w:rPr>
          <w:rFonts w:asciiTheme="minorBidi" w:hAnsiTheme="minorBidi"/>
          <w:sz w:val="24"/>
          <w:szCs w:val="24"/>
        </w:rPr>
        <w:t xml:space="preserve">during the EMP, </w:t>
      </w:r>
      <w:r w:rsidR="005B3AE7" w:rsidRPr="00EA19F0">
        <w:rPr>
          <w:rFonts w:asciiTheme="minorBidi" w:hAnsiTheme="minorBidi"/>
          <w:color w:val="000000"/>
          <w:sz w:val="24"/>
          <w:szCs w:val="24"/>
        </w:rPr>
        <w:t xml:space="preserve">20.55±17.46 </w:t>
      </w:r>
      <w:r w:rsidR="00D6262D" w:rsidRPr="00EA19F0">
        <w:rPr>
          <w:rFonts w:asciiTheme="minorBidi" w:hAnsiTheme="minorBidi"/>
          <w:sz w:val="24"/>
          <w:szCs w:val="24"/>
        </w:rPr>
        <w:t xml:space="preserve">in the PMP, and </w:t>
      </w:r>
      <w:r w:rsidR="005B3AE7" w:rsidRPr="00EA19F0">
        <w:rPr>
          <w:rFonts w:asciiTheme="minorBidi" w:hAnsiTheme="minorBidi"/>
          <w:color w:val="000000"/>
          <w:sz w:val="24"/>
          <w:szCs w:val="24"/>
        </w:rPr>
        <w:t xml:space="preserve">32.08±8.28 </w:t>
      </w:r>
      <w:r w:rsidR="00D6262D" w:rsidRPr="00EA19F0">
        <w:rPr>
          <w:rFonts w:asciiTheme="minorBidi" w:hAnsiTheme="minorBidi"/>
          <w:sz w:val="24"/>
          <w:szCs w:val="24"/>
        </w:rPr>
        <w:t>in the LMP, while Mg²</w:t>
      </w:r>
      <w:r w:rsidR="00D6262D" w:rsidRPr="00EA19F0">
        <w:rPr>
          <w:rFonts w:ascii="Cambria Math" w:hAnsi="Cambria Math" w:cs="Cambria Math"/>
          <w:sz w:val="24"/>
          <w:szCs w:val="24"/>
        </w:rPr>
        <w:t>⁺</w:t>
      </w:r>
      <w:r w:rsidR="00D6262D" w:rsidRPr="00EA19F0">
        <w:rPr>
          <w:rFonts w:asciiTheme="minorBidi" w:hAnsiTheme="minorBidi"/>
          <w:sz w:val="24"/>
          <w:szCs w:val="24"/>
        </w:rPr>
        <w:t>/Na</w:t>
      </w:r>
      <w:r w:rsidR="00D6262D" w:rsidRPr="00EA19F0">
        <w:rPr>
          <w:rFonts w:ascii="Cambria Math" w:hAnsi="Cambria Math" w:cs="Cambria Math"/>
          <w:sz w:val="24"/>
          <w:szCs w:val="24"/>
        </w:rPr>
        <w:t>⁺</w:t>
      </w:r>
      <w:r w:rsidR="00D6262D" w:rsidRPr="00EA19F0">
        <w:rPr>
          <w:rFonts w:asciiTheme="minorBidi" w:hAnsiTheme="minorBidi"/>
          <w:sz w:val="24"/>
          <w:szCs w:val="24"/>
        </w:rPr>
        <w:t xml:space="preserve"> ratios are </w:t>
      </w:r>
      <w:r w:rsidR="005B3AE7" w:rsidRPr="00EA19F0">
        <w:rPr>
          <w:rFonts w:asciiTheme="minorBidi" w:hAnsiTheme="minorBidi"/>
          <w:color w:val="000000"/>
          <w:sz w:val="24"/>
          <w:szCs w:val="24"/>
        </w:rPr>
        <w:t>8.9±5.31</w:t>
      </w:r>
      <w:r w:rsidR="00D6262D" w:rsidRPr="00EA19F0">
        <w:rPr>
          <w:rFonts w:asciiTheme="minorBidi" w:hAnsiTheme="minorBidi"/>
          <w:sz w:val="24"/>
          <w:szCs w:val="24"/>
        </w:rPr>
        <w:t xml:space="preserve">, </w:t>
      </w:r>
      <w:r w:rsidR="005B3AE7" w:rsidRPr="00EA19F0">
        <w:rPr>
          <w:rFonts w:asciiTheme="minorBidi" w:hAnsiTheme="minorBidi"/>
          <w:color w:val="000000"/>
          <w:sz w:val="24"/>
          <w:szCs w:val="24"/>
        </w:rPr>
        <w:t>7.26±8.04</w:t>
      </w:r>
      <w:r w:rsidR="00D6262D" w:rsidRPr="00EA19F0">
        <w:rPr>
          <w:rFonts w:asciiTheme="minorBidi" w:hAnsiTheme="minorBidi"/>
          <w:sz w:val="24"/>
          <w:szCs w:val="24"/>
        </w:rPr>
        <w:t xml:space="preserve">, and </w:t>
      </w:r>
      <w:r w:rsidR="005B3AE7" w:rsidRPr="00EA19F0">
        <w:rPr>
          <w:rFonts w:asciiTheme="minorBidi" w:hAnsiTheme="minorBidi"/>
          <w:color w:val="000000"/>
          <w:sz w:val="24"/>
          <w:szCs w:val="24"/>
        </w:rPr>
        <w:t>17.36±8.62</w:t>
      </w:r>
      <w:r w:rsidR="00D6262D" w:rsidRPr="00EA19F0">
        <w:rPr>
          <w:rFonts w:asciiTheme="minorBidi" w:hAnsiTheme="minorBidi"/>
          <w:sz w:val="24"/>
          <w:szCs w:val="24"/>
        </w:rPr>
        <w:t>, respectively</w:t>
      </w:r>
      <w:r w:rsidR="006C31FF" w:rsidRPr="00EA19F0">
        <w:rPr>
          <w:rFonts w:asciiTheme="minorBidi" w:hAnsiTheme="minorBidi"/>
          <w:sz w:val="24"/>
          <w:szCs w:val="24"/>
        </w:rPr>
        <w:t xml:space="preserve"> </w:t>
      </w:r>
      <w:r w:rsidR="006C31FF" w:rsidRPr="00EA19F0">
        <w:rPr>
          <w:rFonts w:asciiTheme="minorBidi" w:hAnsiTheme="minorBidi"/>
          <w:b/>
          <w:bCs/>
          <w:sz w:val="24"/>
          <w:szCs w:val="24"/>
        </w:rPr>
        <w:t>Table 3</w:t>
      </w:r>
      <w:r w:rsidR="00D6262D" w:rsidRPr="00EA19F0">
        <w:rPr>
          <w:rFonts w:asciiTheme="minorBidi" w:hAnsiTheme="minorBidi"/>
          <w:sz w:val="24"/>
          <w:szCs w:val="24"/>
        </w:rPr>
        <w:t xml:space="preserve">. These values </w:t>
      </w:r>
      <w:r w:rsidR="005B3AE7" w:rsidRPr="00EA19F0">
        <w:rPr>
          <w:rFonts w:asciiTheme="minorBidi" w:hAnsiTheme="minorBidi"/>
          <w:sz w:val="24"/>
          <w:szCs w:val="24"/>
        </w:rPr>
        <w:t>surpass</w:t>
      </w:r>
      <w:r w:rsidR="00D6262D" w:rsidRPr="00EA19F0">
        <w:rPr>
          <w:rFonts w:asciiTheme="minorBidi" w:hAnsiTheme="minorBidi"/>
          <w:sz w:val="24"/>
          <w:szCs w:val="24"/>
        </w:rPr>
        <w:t xml:space="preserve"> </w:t>
      </w:r>
      <w:r w:rsidR="005B3AE7" w:rsidRPr="00EA19F0">
        <w:rPr>
          <w:rFonts w:asciiTheme="minorBidi" w:hAnsiTheme="minorBidi"/>
          <w:sz w:val="24"/>
          <w:szCs w:val="24"/>
        </w:rPr>
        <w:t xml:space="preserve">the </w:t>
      </w:r>
      <w:r w:rsidR="00AC337F" w:rsidRPr="00EA19F0">
        <w:rPr>
          <w:rFonts w:asciiTheme="minorBidi" w:hAnsiTheme="minorBidi"/>
          <w:sz w:val="24"/>
          <w:szCs w:val="24"/>
        </w:rPr>
        <w:t>standard Ca</w:t>
      </w:r>
      <w:r w:rsidR="005B3AE7" w:rsidRPr="00EA19F0">
        <w:rPr>
          <w:rFonts w:asciiTheme="minorBidi" w:hAnsiTheme="minorBidi"/>
          <w:sz w:val="24"/>
          <w:szCs w:val="24"/>
        </w:rPr>
        <w:t>²</w:t>
      </w:r>
      <w:r w:rsidR="005B3AE7" w:rsidRPr="00EA19F0">
        <w:rPr>
          <w:rFonts w:ascii="Cambria Math" w:hAnsi="Cambria Math" w:cs="Cambria Math"/>
          <w:sz w:val="24"/>
          <w:szCs w:val="24"/>
        </w:rPr>
        <w:t>⁺</w:t>
      </w:r>
      <w:r w:rsidR="005B3AE7" w:rsidRPr="00EA19F0">
        <w:rPr>
          <w:rFonts w:asciiTheme="minorBidi" w:hAnsiTheme="minorBidi"/>
          <w:sz w:val="24"/>
          <w:szCs w:val="24"/>
        </w:rPr>
        <w:t xml:space="preserve"> and Mg</w:t>
      </w:r>
      <w:r w:rsidR="005B3AE7" w:rsidRPr="00EA19F0">
        <w:rPr>
          <w:rFonts w:ascii="Arial" w:hAnsi="Arial" w:cs="Arial"/>
          <w:sz w:val="24"/>
          <w:szCs w:val="24"/>
        </w:rPr>
        <w:t>²</w:t>
      </w:r>
      <w:r w:rsidR="005B3AE7" w:rsidRPr="00EA19F0">
        <w:rPr>
          <w:rFonts w:ascii="Cambria Math" w:hAnsi="Cambria Math" w:cs="Cambria Math"/>
          <w:sz w:val="24"/>
          <w:szCs w:val="24"/>
        </w:rPr>
        <w:t>⁺</w:t>
      </w:r>
      <w:r w:rsidR="005B3AE7" w:rsidRPr="00EA19F0">
        <w:rPr>
          <w:rFonts w:asciiTheme="minorBidi" w:hAnsiTheme="minorBidi"/>
          <w:sz w:val="24"/>
          <w:szCs w:val="24"/>
        </w:rPr>
        <w:t xml:space="preserve"> ratio </w:t>
      </w:r>
      <w:r w:rsidR="00AE3A5C" w:rsidRPr="00EA19F0">
        <w:rPr>
          <w:rFonts w:asciiTheme="minorBidi" w:hAnsiTheme="minorBidi"/>
          <w:sz w:val="24"/>
          <w:szCs w:val="24"/>
        </w:rPr>
        <w:t>limit</w:t>
      </w:r>
      <w:r w:rsidR="005243D5" w:rsidRPr="00EA19F0">
        <w:rPr>
          <w:rFonts w:asciiTheme="minorBidi" w:hAnsiTheme="minorBidi"/>
          <w:sz w:val="24"/>
          <w:szCs w:val="24"/>
        </w:rPr>
        <w:t>s,</w:t>
      </w:r>
      <w:r w:rsidR="00AE3A5C" w:rsidRPr="00EA19F0">
        <w:rPr>
          <w:rFonts w:asciiTheme="minorBidi" w:hAnsiTheme="minorBidi"/>
          <w:sz w:val="24"/>
          <w:szCs w:val="24"/>
        </w:rPr>
        <w:t xml:space="preserve"> </w:t>
      </w:r>
      <w:r w:rsidR="00D6262D" w:rsidRPr="00EA19F0">
        <w:rPr>
          <w:rFonts w:asciiTheme="minorBidi" w:hAnsiTheme="minorBidi"/>
          <w:sz w:val="24"/>
          <w:szCs w:val="24"/>
        </w:rPr>
        <w:t xml:space="preserve">draining silicate </w:t>
      </w:r>
      <w:r w:rsidR="005B3AE7" w:rsidRPr="00EA19F0">
        <w:rPr>
          <w:rFonts w:asciiTheme="minorBidi" w:hAnsiTheme="minorBidi"/>
          <w:sz w:val="24"/>
          <w:szCs w:val="24"/>
        </w:rPr>
        <w:t>terrains</w:t>
      </w:r>
      <w:r w:rsidR="005243D5" w:rsidRPr="00EA19F0">
        <w:rPr>
          <w:rFonts w:asciiTheme="minorBidi" w:hAnsiTheme="minorBidi"/>
          <w:sz w:val="24"/>
          <w:szCs w:val="24"/>
        </w:rPr>
        <w:t>,</w:t>
      </w:r>
      <w:r w:rsidR="005B3AE7" w:rsidRPr="00EA19F0">
        <w:rPr>
          <w:rFonts w:asciiTheme="minorBidi" w:hAnsiTheme="minorBidi"/>
          <w:sz w:val="24"/>
          <w:szCs w:val="24"/>
        </w:rPr>
        <w:t xml:space="preserve"> but</w:t>
      </w:r>
      <w:r w:rsidR="005243D5" w:rsidRPr="00EA19F0">
        <w:rPr>
          <w:rFonts w:asciiTheme="minorBidi" w:hAnsiTheme="minorBidi"/>
          <w:sz w:val="24"/>
          <w:szCs w:val="24"/>
        </w:rPr>
        <w:t xml:space="preserve"> are </w:t>
      </w:r>
      <w:r w:rsidR="007301E9" w:rsidRPr="00EA19F0">
        <w:rPr>
          <w:rFonts w:asciiTheme="minorBidi" w:hAnsiTheme="minorBidi"/>
          <w:sz w:val="24"/>
          <w:szCs w:val="24"/>
        </w:rPr>
        <w:t>comparatively close to</w:t>
      </w:r>
      <w:r w:rsidR="00AC337F" w:rsidRPr="00EA19F0">
        <w:rPr>
          <w:rFonts w:asciiTheme="minorBidi" w:hAnsiTheme="minorBidi"/>
          <w:sz w:val="24"/>
          <w:szCs w:val="24"/>
        </w:rPr>
        <w:t xml:space="preserve"> carbonate-dominated</w:t>
      </w:r>
      <w:r w:rsidR="00D6262D" w:rsidRPr="00EA19F0">
        <w:rPr>
          <w:rFonts w:asciiTheme="minorBidi" w:hAnsiTheme="minorBidi"/>
          <w:sz w:val="24"/>
          <w:szCs w:val="24"/>
        </w:rPr>
        <w:t xml:space="preserve"> catchments. Th</w:t>
      </w:r>
      <w:r w:rsidR="005243D5" w:rsidRPr="00EA19F0">
        <w:rPr>
          <w:rFonts w:asciiTheme="minorBidi" w:hAnsiTheme="minorBidi"/>
          <w:sz w:val="24"/>
          <w:szCs w:val="24"/>
        </w:rPr>
        <w:t>ese</w:t>
      </w:r>
      <w:r w:rsidR="00D6262D" w:rsidRPr="00EA19F0">
        <w:rPr>
          <w:rFonts w:asciiTheme="minorBidi" w:hAnsiTheme="minorBidi"/>
          <w:sz w:val="24"/>
          <w:szCs w:val="24"/>
        </w:rPr>
        <w:t xml:space="preserve"> </w:t>
      </w:r>
      <w:r w:rsidR="005243D5" w:rsidRPr="00EA19F0">
        <w:rPr>
          <w:rFonts w:asciiTheme="minorBidi" w:hAnsiTheme="minorBidi"/>
          <w:sz w:val="24"/>
          <w:szCs w:val="24"/>
        </w:rPr>
        <w:t>patterns</w:t>
      </w:r>
      <w:r w:rsidR="00D6262D" w:rsidRPr="00EA19F0">
        <w:rPr>
          <w:rFonts w:asciiTheme="minorBidi" w:hAnsiTheme="minorBidi"/>
          <w:sz w:val="24"/>
          <w:szCs w:val="24"/>
        </w:rPr>
        <w:t xml:space="preserve"> indicat</w:t>
      </w:r>
      <w:r w:rsidR="005243D5" w:rsidRPr="00EA19F0">
        <w:rPr>
          <w:rFonts w:asciiTheme="minorBidi" w:hAnsiTheme="minorBidi"/>
          <w:sz w:val="24"/>
          <w:szCs w:val="24"/>
        </w:rPr>
        <w:t>e</w:t>
      </w:r>
      <w:r w:rsidR="00D6262D" w:rsidRPr="00EA19F0">
        <w:rPr>
          <w:rFonts w:asciiTheme="minorBidi" w:hAnsiTheme="minorBidi"/>
          <w:sz w:val="24"/>
          <w:szCs w:val="24"/>
        </w:rPr>
        <w:t xml:space="preserve"> that</w:t>
      </w:r>
      <w:r w:rsidR="00AC337F" w:rsidRPr="00EA19F0">
        <w:rPr>
          <w:rFonts w:asciiTheme="minorBidi" w:hAnsiTheme="minorBidi"/>
          <w:sz w:val="24"/>
          <w:szCs w:val="24"/>
        </w:rPr>
        <w:t xml:space="preserve"> the weathering of </w:t>
      </w:r>
      <w:r w:rsidR="00D6262D" w:rsidRPr="00EA19F0">
        <w:rPr>
          <w:rFonts w:asciiTheme="minorBidi" w:hAnsiTheme="minorBidi"/>
          <w:sz w:val="24"/>
          <w:szCs w:val="24"/>
        </w:rPr>
        <w:t>carbonate lithology</w:t>
      </w:r>
      <w:r w:rsidR="007301E9" w:rsidRPr="00EA19F0">
        <w:rPr>
          <w:rFonts w:asciiTheme="minorBidi" w:hAnsiTheme="minorBidi"/>
          <w:sz w:val="24"/>
          <w:szCs w:val="24"/>
        </w:rPr>
        <w:t xml:space="preserve"> </w:t>
      </w:r>
      <w:r w:rsidR="005243D5" w:rsidRPr="00EA19F0">
        <w:rPr>
          <w:rFonts w:asciiTheme="minorBidi" w:hAnsiTheme="minorBidi"/>
          <w:sz w:val="24"/>
          <w:szCs w:val="24"/>
        </w:rPr>
        <w:t>is</w:t>
      </w:r>
      <w:r w:rsidR="007301E9" w:rsidRPr="00EA19F0">
        <w:rPr>
          <w:rFonts w:asciiTheme="minorBidi" w:hAnsiTheme="minorBidi"/>
          <w:sz w:val="24"/>
          <w:szCs w:val="24"/>
        </w:rPr>
        <w:t xml:space="preserve"> </w:t>
      </w:r>
      <w:r w:rsidR="005243D5" w:rsidRPr="00EA19F0">
        <w:rPr>
          <w:rFonts w:asciiTheme="minorBidi" w:hAnsiTheme="minorBidi"/>
          <w:sz w:val="24"/>
          <w:szCs w:val="24"/>
        </w:rPr>
        <w:t>the principal</w:t>
      </w:r>
      <w:r w:rsidR="007301E9" w:rsidRPr="00EA19F0">
        <w:rPr>
          <w:rFonts w:asciiTheme="minorBidi" w:hAnsiTheme="minorBidi"/>
          <w:sz w:val="24"/>
          <w:szCs w:val="24"/>
        </w:rPr>
        <w:t xml:space="preserve"> contributor</w:t>
      </w:r>
      <w:r w:rsidR="00AC337F" w:rsidRPr="00EA19F0">
        <w:rPr>
          <w:rFonts w:asciiTheme="minorBidi" w:hAnsiTheme="minorBidi"/>
          <w:sz w:val="24"/>
          <w:szCs w:val="24"/>
        </w:rPr>
        <w:t>,</w:t>
      </w:r>
      <w:r w:rsidR="00D6262D" w:rsidRPr="00EA19F0">
        <w:rPr>
          <w:rFonts w:asciiTheme="minorBidi" w:hAnsiTheme="minorBidi"/>
          <w:sz w:val="24"/>
          <w:szCs w:val="24"/>
        </w:rPr>
        <w:t xml:space="preserve"> with </w:t>
      </w:r>
      <w:r w:rsidR="005243D5" w:rsidRPr="00EA19F0">
        <w:rPr>
          <w:rFonts w:asciiTheme="minorBidi" w:hAnsiTheme="minorBidi"/>
          <w:sz w:val="24"/>
          <w:szCs w:val="24"/>
        </w:rPr>
        <w:t xml:space="preserve">a </w:t>
      </w:r>
      <w:r w:rsidR="007301E9" w:rsidRPr="00EA19F0">
        <w:rPr>
          <w:rFonts w:asciiTheme="minorBidi" w:hAnsiTheme="minorBidi"/>
          <w:sz w:val="24"/>
          <w:szCs w:val="24"/>
        </w:rPr>
        <w:t xml:space="preserve">minor contribution </w:t>
      </w:r>
      <w:r w:rsidR="005243D5" w:rsidRPr="00EA19F0">
        <w:rPr>
          <w:rFonts w:asciiTheme="minorBidi" w:hAnsiTheme="minorBidi"/>
          <w:sz w:val="24"/>
          <w:szCs w:val="24"/>
        </w:rPr>
        <w:t xml:space="preserve">from silicate lithology for </w:t>
      </w:r>
      <w:r w:rsidR="00D6262D" w:rsidRPr="00EA19F0">
        <w:rPr>
          <w:rFonts w:asciiTheme="minorBidi" w:hAnsiTheme="minorBidi"/>
          <w:sz w:val="24"/>
          <w:szCs w:val="24"/>
        </w:rPr>
        <w:t xml:space="preserve">the </w:t>
      </w:r>
      <w:r w:rsidR="00AC337F" w:rsidRPr="00EA19F0">
        <w:rPr>
          <w:rFonts w:asciiTheme="minorBidi" w:hAnsiTheme="minorBidi"/>
          <w:sz w:val="24"/>
          <w:szCs w:val="24"/>
        </w:rPr>
        <w:t>dissolved ions in the</w:t>
      </w:r>
      <w:r w:rsidR="005243D5" w:rsidRPr="00EA19F0">
        <w:rPr>
          <w:rFonts w:asciiTheme="minorBidi" w:hAnsiTheme="minorBidi"/>
          <w:sz w:val="24"/>
          <w:szCs w:val="24"/>
        </w:rPr>
        <w:t xml:space="preserve"> DRB</w:t>
      </w:r>
      <w:r w:rsidR="00D6262D" w:rsidRPr="00EA19F0">
        <w:rPr>
          <w:rFonts w:asciiTheme="minorBidi" w:hAnsiTheme="minorBidi"/>
          <w:sz w:val="24"/>
          <w:szCs w:val="24"/>
        </w:rPr>
        <w:t xml:space="preserve">. The results further suggest that </w:t>
      </w:r>
      <w:r w:rsidR="00D83DE9" w:rsidRPr="00EA19F0">
        <w:rPr>
          <w:rFonts w:asciiTheme="minorBidi" w:hAnsiTheme="minorBidi"/>
          <w:sz w:val="24"/>
          <w:szCs w:val="24"/>
        </w:rPr>
        <w:t xml:space="preserve">the contribution from </w:t>
      </w:r>
      <w:r w:rsidR="00D6262D" w:rsidRPr="00EA19F0">
        <w:rPr>
          <w:rFonts w:asciiTheme="minorBidi" w:hAnsiTheme="minorBidi"/>
          <w:sz w:val="24"/>
          <w:szCs w:val="24"/>
        </w:rPr>
        <w:t>silicate weathering plays a comparatively greater role</w:t>
      </w:r>
      <w:r w:rsidR="00292220" w:rsidRPr="00EA19F0">
        <w:rPr>
          <w:rFonts w:asciiTheme="minorBidi" w:hAnsiTheme="minorBidi"/>
          <w:sz w:val="24"/>
          <w:szCs w:val="24"/>
        </w:rPr>
        <w:t xml:space="preserve"> in </w:t>
      </w:r>
      <w:r w:rsidR="00D108A0" w:rsidRPr="00EA19F0">
        <w:rPr>
          <w:rFonts w:asciiTheme="minorBidi" w:hAnsiTheme="minorBidi"/>
          <w:sz w:val="24"/>
          <w:szCs w:val="24"/>
        </w:rPr>
        <w:t>P</w:t>
      </w:r>
      <w:r w:rsidR="00292220" w:rsidRPr="00EA19F0">
        <w:rPr>
          <w:rFonts w:asciiTheme="minorBidi" w:hAnsiTheme="minorBidi"/>
          <w:sz w:val="24"/>
          <w:szCs w:val="24"/>
        </w:rPr>
        <w:t>MP</w:t>
      </w:r>
      <w:r w:rsidR="00D6262D" w:rsidRPr="00EA19F0">
        <w:rPr>
          <w:rFonts w:asciiTheme="minorBidi" w:hAnsiTheme="minorBidi"/>
          <w:sz w:val="24"/>
          <w:szCs w:val="24"/>
        </w:rPr>
        <w:t xml:space="preserve"> in shaping the chemical composition of the main </w:t>
      </w:r>
      <w:r w:rsidR="00292220" w:rsidRPr="00EA19F0">
        <w:rPr>
          <w:rFonts w:asciiTheme="minorBidi" w:hAnsiTheme="minorBidi"/>
          <w:sz w:val="24"/>
          <w:szCs w:val="24"/>
        </w:rPr>
        <w:t>DRB</w:t>
      </w:r>
      <w:r w:rsidR="00D6262D" w:rsidRPr="00EA19F0">
        <w:rPr>
          <w:rFonts w:asciiTheme="minorBidi" w:hAnsiTheme="minorBidi"/>
          <w:sz w:val="24"/>
          <w:szCs w:val="24"/>
        </w:rPr>
        <w:t xml:space="preserve"> than in </w:t>
      </w:r>
      <w:r w:rsidR="00D108A0" w:rsidRPr="00EA19F0">
        <w:rPr>
          <w:rFonts w:asciiTheme="minorBidi" w:hAnsiTheme="minorBidi"/>
          <w:sz w:val="24"/>
          <w:szCs w:val="24"/>
        </w:rPr>
        <w:t>E</w:t>
      </w:r>
      <w:r w:rsidR="00AC337F" w:rsidRPr="00EA19F0">
        <w:rPr>
          <w:rFonts w:asciiTheme="minorBidi" w:hAnsiTheme="minorBidi"/>
          <w:sz w:val="24"/>
          <w:szCs w:val="24"/>
        </w:rPr>
        <w:t xml:space="preserve">MP and </w:t>
      </w:r>
      <w:r w:rsidR="00D108A0" w:rsidRPr="00EA19F0">
        <w:rPr>
          <w:rFonts w:asciiTheme="minorBidi" w:hAnsiTheme="minorBidi"/>
          <w:sz w:val="24"/>
          <w:szCs w:val="24"/>
        </w:rPr>
        <w:t>L</w:t>
      </w:r>
      <w:r w:rsidR="00AC337F" w:rsidRPr="00EA19F0">
        <w:rPr>
          <w:rFonts w:asciiTheme="minorBidi" w:hAnsiTheme="minorBidi"/>
          <w:sz w:val="24"/>
          <w:szCs w:val="24"/>
        </w:rPr>
        <w:t>MP</w:t>
      </w:r>
      <w:r w:rsidR="00D6262D" w:rsidRPr="00EA19F0">
        <w:rPr>
          <w:rFonts w:asciiTheme="minorBidi" w:hAnsiTheme="minorBidi"/>
          <w:sz w:val="24"/>
          <w:szCs w:val="24"/>
        </w:rPr>
        <w:t>.</w:t>
      </w:r>
      <w:r w:rsidR="002C6DA7" w:rsidRPr="00EA19F0">
        <w:rPr>
          <w:rFonts w:asciiTheme="minorBidi" w:hAnsiTheme="minorBidi"/>
          <w:sz w:val="24"/>
          <w:szCs w:val="24"/>
        </w:rPr>
        <w:t xml:space="preserve"> Higher ratios during </w:t>
      </w:r>
      <w:r w:rsidR="006F6178" w:rsidRPr="00EA19F0">
        <w:rPr>
          <w:rFonts w:asciiTheme="minorBidi" w:hAnsiTheme="minorBidi"/>
          <w:sz w:val="24"/>
          <w:szCs w:val="24"/>
        </w:rPr>
        <w:t>EMP and LMP</w:t>
      </w:r>
      <w:r w:rsidR="002C6DA7" w:rsidRPr="00EA19F0">
        <w:rPr>
          <w:rFonts w:asciiTheme="minorBidi" w:hAnsiTheme="minorBidi"/>
          <w:sz w:val="24"/>
          <w:szCs w:val="24"/>
        </w:rPr>
        <w:t xml:space="preserve"> likely result from increased atmospheric CO</w:t>
      </w:r>
      <w:r w:rsidR="002C6DA7" w:rsidRPr="00EA19F0">
        <w:rPr>
          <w:rFonts w:ascii="Cambria Math" w:hAnsi="Cambria Math" w:cs="Cambria Math"/>
          <w:sz w:val="24"/>
          <w:szCs w:val="24"/>
        </w:rPr>
        <w:t>₂</w:t>
      </w:r>
      <w:r w:rsidR="002C6DA7" w:rsidRPr="00EA19F0">
        <w:rPr>
          <w:rFonts w:asciiTheme="minorBidi" w:hAnsiTheme="minorBidi"/>
          <w:sz w:val="24"/>
          <w:szCs w:val="24"/>
        </w:rPr>
        <w:t xml:space="preserve"> dissolution during </w:t>
      </w:r>
      <w:r w:rsidR="00D80E19" w:rsidRPr="00EA19F0">
        <w:rPr>
          <w:rFonts w:asciiTheme="minorBidi" w:hAnsiTheme="minorBidi"/>
          <w:sz w:val="24"/>
          <w:szCs w:val="24"/>
        </w:rPr>
        <w:t>low temperature and water discharge</w:t>
      </w:r>
      <w:r w:rsidR="002C6DA7" w:rsidRPr="00EA19F0">
        <w:rPr>
          <w:rFonts w:asciiTheme="minorBidi" w:hAnsiTheme="minorBidi"/>
          <w:sz w:val="24"/>
          <w:szCs w:val="24"/>
        </w:rPr>
        <w:t>.</w:t>
      </w:r>
      <w:r w:rsidR="00D80E19" w:rsidRPr="00EA19F0">
        <w:rPr>
          <w:rFonts w:asciiTheme="minorBidi" w:hAnsiTheme="minorBidi"/>
          <w:sz w:val="24"/>
          <w:szCs w:val="24"/>
        </w:rPr>
        <w:t xml:space="preserve"> The higher Ca²</w:t>
      </w:r>
      <w:r w:rsidR="00D80E19" w:rsidRPr="00EA19F0">
        <w:rPr>
          <w:rFonts w:ascii="Cambria Math" w:hAnsi="Cambria Math" w:cs="Cambria Math"/>
          <w:sz w:val="24"/>
          <w:szCs w:val="24"/>
        </w:rPr>
        <w:t>⁺</w:t>
      </w:r>
      <w:r w:rsidR="00D80E19" w:rsidRPr="00EA19F0">
        <w:rPr>
          <w:rFonts w:asciiTheme="minorBidi" w:hAnsiTheme="minorBidi"/>
          <w:sz w:val="24"/>
          <w:szCs w:val="24"/>
        </w:rPr>
        <w:t>/Na</w:t>
      </w:r>
      <w:r w:rsidR="00D80E19" w:rsidRPr="00EA19F0">
        <w:rPr>
          <w:rFonts w:ascii="Cambria Math" w:hAnsi="Cambria Math" w:cs="Cambria Math"/>
          <w:sz w:val="24"/>
          <w:szCs w:val="24"/>
        </w:rPr>
        <w:t>⁺</w:t>
      </w:r>
      <w:r w:rsidR="00D80E19" w:rsidRPr="00EA19F0">
        <w:rPr>
          <w:rFonts w:asciiTheme="minorBidi" w:hAnsiTheme="minorBidi"/>
          <w:sz w:val="24"/>
          <w:szCs w:val="24"/>
        </w:rPr>
        <w:t xml:space="preserve"> and Mg</w:t>
      </w:r>
      <w:r w:rsidR="00D80E19" w:rsidRPr="00EA19F0">
        <w:rPr>
          <w:rFonts w:ascii="Arial" w:hAnsi="Arial" w:cs="Arial"/>
          <w:sz w:val="24"/>
          <w:szCs w:val="24"/>
        </w:rPr>
        <w:t>²</w:t>
      </w:r>
      <w:r w:rsidR="00D80E19" w:rsidRPr="00EA19F0">
        <w:rPr>
          <w:rFonts w:ascii="Cambria Math" w:hAnsi="Cambria Math" w:cs="Cambria Math"/>
          <w:sz w:val="24"/>
          <w:szCs w:val="24"/>
        </w:rPr>
        <w:t>⁺</w:t>
      </w:r>
      <w:r w:rsidR="00D80E19" w:rsidRPr="00EA19F0">
        <w:rPr>
          <w:rFonts w:asciiTheme="minorBidi" w:hAnsiTheme="minorBidi"/>
          <w:sz w:val="24"/>
          <w:szCs w:val="24"/>
        </w:rPr>
        <w:t>/Na</w:t>
      </w:r>
      <w:r w:rsidR="00D80E19" w:rsidRPr="00EA19F0">
        <w:rPr>
          <w:rFonts w:ascii="Cambria Math" w:hAnsi="Cambria Math" w:cs="Cambria Math"/>
          <w:sz w:val="24"/>
          <w:szCs w:val="24"/>
        </w:rPr>
        <w:t>⁺</w:t>
      </w:r>
      <w:r w:rsidR="00D80E19" w:rsidRPr="00EA19F0">
        <w:rPr>
          <w:rFonts w:asciiTheme="minorBidi" w:hAnsiTheme="minorBidi"/>
          <w:sz w:val="24"/>
          <w:szCs w:val="24"/>
        </w:rPr>
        <w:t xml:space="preserve"> ratios indicate dominance of Ca</w:t>
      </w:r>
      <w:r w:rsidR="00D80E19" w:rsidRPr="00EA19F0">
        <w:rPr>
          <w:rFonts w:ascii="Arial" w:hAnsi="Arial" w:cs="Arial"/>
          <w:sz w:val="24"/>
          <w:szCs w:val="24"/>
        </w:rPr>
        <w:t>²</w:t>
      </w:r>
      <w:r w:rsidR="00D80E19" w:rsidRPr="00EA19F0">
        <w:rPr>
          <w:rFonts w:ascii="Cambria Math" w:hAnsi="Cambria Math" w:cs="Cambria Math"/>
          <w:sz w:val="24"/>
          <w:szCs w:val="24"/>
        </w:rPr>
        <w:t>⁺</w:t>
      </w:r>
      <w:r w:rsidR="00D80E19" w:rsidRPr="00EA19F0">
        <w:rPr>
          <w:rFonts w:asciiTheme="minorBidi" w:hAnsiTheme="minorBidi"/>
          <w:sz w:val="24"/>
          <w:szCs w:val="24"/>
        </w:rPr>
        <w:t xml:space="preserve"> and Mg</w:t>
      </w:r>
      <w:r w:rsidR="00D80E19" w:rsidRPr="00EA19F0">
        <w:rPr>
          <w:rFonts w:ascii="Arial" w:hAnsi="Arial" w:cs="Arial"/>
          <w:sz w:val="24"/>
          <w:szCs w:val="24"/>
        </w:rPr>
        <w:t>²</w:t>
      </w:r>
      <w:r w:rsidR="00D80E19" w:rsidRPr="00EA19F0">
        <w:rPr>
          <w:rFonts w:ascii="Cambria Math" w:hAnsi="Cambria Math" w:cs="Cambria Math"/>
          <w:sz w:val="24"/>
          <w:szCs w:val="24"/>
        </w:rPr>
        <w:t>⁺</w:t>
      </w:r>
      <w:r w:rsidR="00D80E19" w:rsidRPr="00EA19F0">
        <w:rPr>
          <w:rFonts w:asciiTheme="minorBidi" w:hAnsiTheme="minorBidi"/>
          <w:sz w:val="24"/>
          <w:szCs w:val="24"/>
        </w:rPr>
        <w:t xml:space="preserve"> over Na</w:t>
      </w:r>
      <w:r w:rsidR="00D80E19" w:rsidRPr="00EA19F0">
        <w:rPr>
          <w:rFonts w:ascii="Cambria Math" w:hAnsi="Cambria Math" w:cs="Cambria Math"/>
          <w:sz w:val="24"/>
          <w:szCs w:val="24"/>
        </w:rPr>
        <w:t>⁺</w:t>
      </w:r>
      <w:r w:rsidR="00D80E19" w:rsidRPr="00EA19F0">
        <w:rPr>
          <w:rFonts w:asciiTheme="minorBidi" w:hAnsiTheme="minorBidi"/>
          <w:sz w:val="24"/>
          <w:szCs w:val="24"/>
        </w:rPr>
        <w:t>, reflecting mafic mineral weathering and/or carbonate dissolution, with enrichment especially during LMP. These values are generally higher than the global mean (2.40), underscoring incongruent dissolution or multiple Ca</w:t>
      </w:r>
      <w:r w:rsidR="00D80E19" w:rsidRPr="00EA19F0">
        <w:rPr>
          <w:rFonts w:ascii="Arial" w:hAnsi="Arial" w:cs="Arial"/>
          <w:sz w:val="24"/>
          <w:szCs w:val="24"/>
        </w:rPr>
        <w:t>²</w:t>
      </w:r>
      <w:r w:rsidR="00D80E19" w:rsidRPr="00EA19F0">
        <w:rPr>
          <w:rFonts w:ascii="Cambria Math" w:hAnsi="Cambria Math" w:cs="Cambria Math"/>
          <w:sz w:val="24"/>
          <w:szCs w:val="24"/>
        </w:rPr>
        <w:t>⁺</w:t>
      </w:r>
      <w:r w:rsidR="00D80E19" w:rsidRPr="00EA19F0">
        <w:rPr>
          <w:rFonts w:asciiTheme="minorBidi" w:hAnsiTheme="minorBidi"/>
          <w:sz w:val="24"/>
          <w:szCs w:val="24"/>
        </w:rPr>
        <w:t xml:space="preserve"> sources. Ca</w:t>
      </w:r>
      <w:r w:rsidR="00D80E19" w:rsidRPr="00EA19F0">
        <w:rPr>
          <w:rFonts w:ascii="Arial" w:hAnsi="Arial" w:cs="Arial"/>
          <w:sz w:val="24"/>
          <w:szCs w:val="24"/>
        </w:rPr>
        <w:t>²</w:t>
      </w:r>
      <w:r w:rsidR="00D80E19" w:rsidRPr="00EA19F0">
        <w:rPr>
          <w:rFonts w:ascii="Cambria Math" w:hAnsi="Cambria Math" w:cs="Cambria Math"/>
          <w:sz w:val="24"/>
          <w:szCs w:val="24"/>
        </w:rPr>
        <w:t>⁺</w:t>
      </w:r>
      <w:r w:rsidR="00D80E19" w:rsidRPr="00EA19F0">
        <w:rPr>
          <w:rFonts w:asciiTheme="minorBidi" w:hAnsiTheme="minorBidi"/>
          <w:sz w:val="24"/>
          <w:szCs w:val="24"/>
        </w:rPr>
        <w:t>/SO</w:t>
      </w:r>
      <w:r w:rsidR="00D80E19" w:rsidRPr="00EA19F0">
        <w:rPr>
          <w:rFonts w:ascii="Cambria Math" w:hAnsi="Cambria Math" w:cs="Cambria Math"/>
          <w:sz w:val="24"/>
          <w:szCs w:val="24"/>
        </w:rPr>
        <w:t>₄</w:t>
      </w:r>
      <w:r w:rsidR="00D80E19" w:rsidRPr="00EA19F0">
        <w:rPr>
          <w:rFonts w:ascii="Arial" w:hAnsi="Arial" w:cs="Arial"/>
          <w:sz w:val="24"/>
          <w:szCs w:val="24"/>
        </w:rPr>
        <w:t>²</w:t>
      </w:r>
      <w:r w:rsidR="00D80E19" w:rsidRPr="00EA19F0">
        <w:rPr>
          <w:rFonts w:ascii="Cambria Math" w:hAnsi="Cambria Math" w:cs="Cambria Math"/>
          <w:sz w:val="24"/>
          <w:szCs w:val="24"/>
        </w:rPr>
        <w:t>⁻</w:t>
      </w:r>
      <w:r w:rsidR="00D80E19" w:rsidRPr="00EA19F0">
        <w:rPr>
          <w:rFonts w:asciiTheme="minorBidi" w:hAnsiTheme="minorBidi"/>
          <w:sz w:val="24"/>
          <w:szCs w:val="24"/>
        </w:rPr>
        <w:t xml:space="preserve"> ratios &gt; 1.0 in all seasons indicate H</w:t>
      </w:r>
      <w:r w:rsidR="00D80E19" w:rsidRPr="00EA19F0">
        <w:rPr>
          <w:rFonts w:ascii="Cambria Math" w:hAnsi="Cambria Math" w:cs="Cambria Math"/>
          <w:sz w:val="24"/>
          <w:szCs w:val="24"/>
        </w:rPr>
        <w:t>₂</w:t>
      </w:r>
      <w:r w:rsidR="00D80E19" w:rsidRPr="00EA19F0">
        <w:rPr>
          <w:rFonts w:asciiTheme="minorBidi" w:hAnsiTheme="minorBidi"/>
          <w:sz w:val="24"/>
          <w:szCs w:val="24"/>
        </w:rPr>
        <w:t>CO</w:t>
      </w:r>
      <w:r w:rsidR="00D80E19" w:rsidRPr="00EA19F0">
        <w:rPr>
          <w:rFonts w:ascii="Cambria Math" w:hAnsi="Cambria Math" w:cs="Cambria Math"/>
          <w:sz w:val="24"/>
          <w:szCs w:val="24"/>
        </w:rPr>
        <w:t>₃</w:t>
      </w:r>
      <w:r w:rsidR="00D80E19" w:rsidRPr="00EA19F0">
        <w:rPr>
          <w:rFonts w:asciiTheme="minorBidi" w:hAnsiTheme="minorBidi"/>
          <w:sz w:val="24"/>
          <w:szCs w:val="24"/>
        </w:rPr>
        <w:t>-driven chemical weathering. Mg</w:t>
      </w:r>
      <w:r w:rsidR="00D80E19" w:rsidRPr="00EA19F0">
        <w:rPr>
          <w:rFonts w:ascii="Arial" w:hAnsi="Arial" w:cs="Arial"/>
          <w:sz w:val="24"/>
          <w:szCs w:val="24"/>
        </w:rPr>
        <w:t>²</w:t>
      </w:r>
      <w:r w:rsidR="00D80E19" w:rsidRPr="00EA19F0">
        <w:rPr>
          <w:rFonts w:ascii="Cambria Math" w:hAnsi="Cambria Math" w:cs="Cambria Math"/>
          <w:sz w:val="24"/>
          <w:szCs w:val="24"/>
        </w:rPr>
        <w:t>⁺</w:t>
      </w:r>
      <w:r w:rsidR="00D80E19" w:rsidRPr="00EA19F0">
        <w:rPr>
          <w:rFonts w:asciiTheme="minorBidi" w:hAnsiTheme="minorBidi"/>
          <w:sz w:val="24"/>
          <w:szCs w:val="24"/>
        </w:rPr>
        <w:t>/Ca</w:t>
      </w:r>
      <w:r w:rsidR="00D80E19" w:rsidRPr="00EA19F0">
        <w:rPr>
          <w:rFonts w:ascii="Arial" w:hAnsi="Arial" w:cs="Arial"/>
          <w:sz w:val="24"/>
          <w:szCs w:val="24"/>
        </w:rPr>
        <w:t>²</w:t>
      </w:r>
      <w:r w:rsidR="00D80E19" w:rsidRPr="00EA19F0">
        <w:rPr>
          <w:rFonts w:ascii="Cambria Math" w:hAnsi="Cambria Math" w:cs="Cambria Math"/>
          <w:sz w:val="24"/>
          <w:szCs w:val="24"/>
        </w:rPr>
        <w:t>⁺</w:t>
      </w:r>
      <w:r w:rsidR="00D80E19" w:rsidRPr="00EA19F0">
        <w:rPr>
          <w:rFonts w:asciiTheme="minorBidi" w:hAnsiTheme="minorBidi"/>
          <w:sz w:val="24"/>
          <w:szCs w:val="24"/>
        </w:rPr>
        <w:t xml:space="preserve"> &gt; 0.50 suggests carbonate precipitation tendencies, although actual precipitation is limited under near-neutral pH</w:t>
      </w:r>
      <w:r w:rsidR="0093654A" w:rsidRPr="00EA19F0">
        <w:rPr>
          <w:rFonts w:asciiTheme="minorBidi" w:hAnsiTheme="minorBidi"/>
          <w:sz w:val="24"/>
          <w:szCs w:val="24"/>
        </w:rPr>
        <w:t xml:space="preserve"> </w:t>
      </w:r>
      <w:r w:rsidR="0093654A"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{"citationID":"45y3HufX","properties":{"formattedCitation":"(Tay, 2021)","plainCitation":"(Tay, 2021)","noteIndex":0},"citationItems":[{"id":1641,"uris":["http://zotero.org/users/17566097/items/7XJLWCQT"],"itemData":{"id":1641,"type":"article-journal","abstract":"Hydrogeochemical processes responsible for groundwater composition within the Asutifi-North district were assessed. The aim was to delineate the factors influencing groundwater within the district. Results show that the pH values of groundwater within the district are moderately acidic to neutral and ranged from 4.4 to 7.5 with a mean value and standard deviation of 6.1 ± 0.7 pH units. 67.4% of groundwater is acidic (pH 4–6.5) due principally to the influence of aquifer materials on the chemistry of groundwater. Acid mine drainage investigations in groundwater within the district shows that, when exposed, sulphides such as pyrites (FeS2) and arsenopyrite (FeAsS) react with water and oxygen to principally produce Fe(OH)3. The major ion concentrations are within the WHO (2004) Guideline values for drinking water. The relative abundance of cations and anions in groundwater within the district is in the order of: Ca2+  &gt; Na+  &gt; Mg2+  &gt; K+ and HCO3− &gt; Cl− &gt; SO42−, respectively. The study further shows that, albite/anorthite-(plagioclase) and calcite/dolomite(carbonates) dissolution as well as ion-exchange reactions may have contributed significantly to major ion concentrations in groundwater within the district. Hydrochemical facies using Piper trillinear diagrams delineated two major water types, the Ca–Mg–HCO3 and Na–Cl water types, with Ca–Mg–Cl, Ca–Mg–SO4–Cl and Na–K–HCO3 as minor water types. Using principal component analysis (PCA), three (3) main principal components accounting for 73.1% of the total variance with eigenvalues &gt; 1 were extracted. PCA delineated the main natural processes through which groundwater within the district acquires its chemical characteristics, the incongruent dissolution of silicate/aluminosilicates and the prevalence of pollution principally from the application of inorganic fertilizers such as nitrates and ammonia via agricultural activities within the district.","container-title":"Applied Water Science","DOI":"10.1007/s13201-021-01398-1","ISSN":"2190-5495","issue":"4","journalAbbreviation":"Appl Water Sci","language":"en","page":"72","source":"Springer Link","title":"Hydrogeochemical framework of groundwater within the Asutifi-North District of the Brong-Ahafo Region, Ghana","URL":"https://doi.org/10.1007/s13201-021-01398-1","volume":"11","author":[{"family":"Tay","given":"Collins K."}],"accessed":{"date-parts":[["2025",8,16]]},"issued":{"date-parts":[["2021",4,9]]}}}],"schema":"https://github.com/citation-style-language/schema/raw/master/csl-citation.json"} </w:instrText>
      </w:r>
      <w:r w:rsidR="0093654A" w:rsidRPr="00EA19F0">
        <w:rPr>
          <w:rFonts w:asciiTheme="minorBidi" w:hAnsiTheme="minorBidi"/>
          <w:color w:val="0070C0"/>
          <w:sz w:val="24"/>
          <w:szCs w:val="24"/>
        </w:rPr>
        <w:fldChar w:fldCharType="separate"/>
      </w:r>
      <w:r w:rsidR="00445DFA" w:rsidRPr="00EA19F0">
        <w:rPr>
          <w:rFonts w:asciiTheme="minorBidi" w:hAnsiTheme="minorBidi"/>
          <w:color w:val="0070C0"/>
          <w:sz w:val="24"/>
        </w:rPr>
        <w:t>(Tay, 2021)</w:t>
      </w:r>
      <w:r w:rsidR="0093654A" w:rsidRPr="00EA19F0">
        <w:rPr>
          <w:rFonts w:asciiTheme="minorBidi" w:hAnsiTheme="minorBidi"/>
          <w:color w:val="0070C0"/>
          <w:sz w:val="24"/>
          <w:szCs w:val="24"/>
        </w:rPr>
        <w:fldChar w:fldCharType="end"/>
      </w:r>
      <w:r w:rsidR="00D80E19" w:rsidRPr="00EA19F0">
        <w:rPr>
          <w:rFonts w:asciiTheme="minorBidi" w:hAnsiTheme="minorBidi"/>
          <w:color w:val="0070C0"/>
          <w:sz w:val="24"/>
          <w:szCs w:val="24"/>
        </w:rPr>
        <w:t>.</w:t>
      </w:r>
      <w:r w:rsidR="006F6178" w:rsidRPr="00EA19F0">
        <w:rPr>
          <w:rFonts w:asciiTheme="minorBidi" w:hAnsiTheme="minorBidi"/>
          <w:sz w:val="24"/>
          <w:szCs w:val="24"/>
        </w:rPr>
        <w:t xml:space="preserve"> </w:t>
      </w:r>
      <w:r w:rsidR="00FA71B9" w:rsidRPr="00EA19F0">
        <w:rPr>
          <w:rFonts w:asciiTheme="minorBidi" w:hAnsiTheme="minorBidi"/>
          <w:sz w:val="24"/>
          <w:szCs w:val="24"/>
        </w:rPr>
        <w:t>In snow-dominated basins, atmospheric inputs such as alkaline dust and sea-salt aerosols can add dissolved ions to meltwater in addition to rock weathering. The Na</w:t>
      </w:r>
      <w:r w:rsidR="00FA71B9" w:rsidRPr="00EA19F0">
        <w:rPr>
          <w:rFonts w:ascii="Cambria Math" w:hAnsi="Cambria Math" w:cs="Cambria Math"/>
          <w:sz w:val="24"/>
          <w:szCs w:val="24"/>
        </w:rPr>
        <w:t>⁺</w:t>
      </w:r>
      <w:r w:rsidR="00FA71B9" w:rsidRPr="00EA19F0">
        <w:rPr>
          <w:rFonts w:asciiTheme="minorBidi" w:hAnsiTheme="minorBidi"/>
          <w:sz w:val="24"/>
          <w:szCs w:val="24"/>
        </w:rPr>
        <w:t>/Cl</w:t>
      </w:r>
      <w:r w:rsidR="00FA71B9" w:rsidRPr="00EA19F0">
        <w:rPr>
          <w:rFonts w:ascii="Cambria Math" w:hAnsi="Cambria Math" w:cs="Cambria Math"/>
          <w:sz w:val="24"/>
          <w:szCs w:val="24"/>
        </w:rPr>
        <w:t>⁻</w:t>
      </w:r>
      <w:r w:rsidR="00FA71B9" w:rsidRPr="00EA19F0">
        <w:rPr>
          <w:rFonts w:asciiTheme="minorBidi" w:hAnsiTheme="minorBidi"/>
          <w:sz w:val="24"/>
          <w:szCs w:val="24"/>
        </w:rPr>
        <w:t xml:space="preserve"> ratio is widely used to identify chloride sources: values near 0.86 indicate marine aerosol contributions</w:t>
      </w:r>
      <w:r w:rsidR="00357F34" w:rsidRPr="00EA19F0">
        <w:rPr>
          <w:rFonts w:asciiTheme="minorBidi" w:hAnsiTheme="minorBidi"/>
          <w:sz w:val="24"/>
          <w:szCs w:val="24"/>
        </w:rPr>
        <w:t>;</w:t>
      </w:r>
      <w:r w:rsidR="00F70A9A" w:rsidRPr="00EA19F0">
        <w:rPr>
          <w:rFonts w:asciiTheme="minorBidi" w:hAnsiTheme="minorBidi"/>
          <w:sz w:val="24"/>
          <w:szCs w:val="24"/>
        </w:rPr>
        <w:t xml:space="preserve"> </w:t>
      </w:r>
      <w:r w:rsidR="000703E6" w:rsidRPr="00EA19F0">
        <w:rPr>
          <w:rFonts w:asciiTheme="minorBidi" w:hAnsiTheme="minorBidi"/>
          <w:sz w:val="24"/>
          <w:szCs w:val="24"/>
        </w:rPr>
        <w:t>however</w:t>
      </w:r>
      <w:r w:rsidR="00357F34" w:rsidRPr="00EA19F0">
        <w:rPr>
          <w:rFonts w:asciiTheme="minorBidi" w:hAnsiTheme="minorBidi"/>
          <w:sz w:val="24"/>
          <w:szCs w:val="24"/>
        </w:rPr>
        <w:t>,</w:t>
      </w:r>
      <w:r w:rsidR="000703E6" w:rsidRPr="00EA19F0">
        <w:rPr>
          <w:rFonts w:asciiTheme="minorBidi" w:hAnsiTheme="minorBidi"/>
          <w:sz w:val="24"/>
          <w:szCs w:val="24"/>
        </w:rPr>
        <w:t xml:space="preserve"> </w:t>
      </w:r>
      <w:r w:rsidR="00F70A9A" w:rsidRPr="00EA19F0">
        <w:rPr>
          <w:rFonts w:asciiTheme="minorBidi" w:hAnsiTheme="minorBidi"/>
          <w:sz w:val="24"/>
          <w:szCs w:val="24"/>
        </w:rPr>
        <w:t>the continental rain records higher values (1.1–1.8) due to salt fractionation during transport</w:t>
      </w:r>
      <w:r w:rsidR="003F313C" w:rsidRPr="00EA19F0">
        <w:rPr>
          <w:rFonts w:asciiTheme="minorBidi" w:hAnsiTheme="minorBidi"/>
          <w:sz w:val="24"/>
          <w:szCs w:val="24"/>
        </w:rPr>
        <w:t>,</w:t>
      </w:r>
      <w:r w:rsidR="00F70A9A" w:rsidRPr="00EA19F0">
        <w:rPr>
          <w:rFonts w:asciiTheme="minorBidi" w:hAnsiTheme="minorBidi"/>
          <w:sz w:val="24"/>
          <w:szCs w:val="24"/>
        </w:rPr>
        <w:t xml:space="preserve"> </w:t>
      </w:r>
      <w:r w:rsidR="00FA71B9" w:rsidRPr="00EA19F0">
        <w:rPr>
          <w:rFonts w:asciiTheme="minorBidi" w:hAnsiTheme="minorBidi"/>
          <w:sz w:val="24"/>
          <w:szCs w:val="24"/>
        </w:rPr>
        <w:t xml:space="preserve">while ratios close to 1 suggest halite dissolution  </w:t>
      </w:r>
      <w:r w:rsidR="00FA71B9"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{"citationID":"lsOHlgXC","properties":{"formattedCitation":"(M\\uc0\\u246{}ller, 2002; Pande et al., 1994; Sarin et al., 1989; Tiwari and Singh, 2014)","plainCitation":"(Möller, 2002; Pande et al., 1994; Sarin et al., 1989; Tiwari and Singh, 2014)","noteIndex":0},"citationItems":[{"id":1283,"uris":["http://zotero.org/users/17566097/items/JHCHXRDR"],"itemData":{"id":1283,"type":"article-journal","abstract":"Possible seasalt and excess component sources for a variable Na/CL ratio in rainwater have been discussed. It is shown that a separation of seasalt Na and Cl takes place during transport from sea to continent, leading to increased seasalt Na/CL ratio (&gt; 0.86) in continental rain, which has to be regarded as the seasalt reference figure. The possible consequences for anthropogenic excess Cl deposition are discussed for the GDR. The maritime HCl degassing is assessed to be of the order of 200 kt yr−1. Based on budget calculations, different Cl fluxes (emission, deposition, river run-off) have been estimated on a global scale.","container-title":"Tellus B","DOI":"10.1034/j.1600-0889.1990.t01-1-00004.x","journalAbbreviation":"Tellus B","page":"254-262","source":"ResearchGate","title":"The Na/CL ratio in rainwater and the seasalt chloride cycle","volume":"42","author":[{"family":"Möller","given":"Detlev"}],"issued":{"date-parts":[["2002",11,4]]}}},{"id":297,"uris":["http://zotero.org/users/17566097/items/WC5IX9V2"],"itemData":{"id":297,"type":"article-journal","abstract":"The Indus River is one of the large river systems draining the Himalaya. We report in this paper the major-ion chemistry, Sr and U isotope systematics of the Indus system, particularly its headwaters. The results show that: ( 1) on an average about a third of the cations in the waters can be from silicate weathering; however, most of the (Ca + Mg) is likely to be from the weathering of carbonates and evaporites; (2) the 87Sr/868r of the waters ranges between 0.7085 and 0.7595, the higher values (&gt; 0.72) are typical of the tributaries draining the Precambrian granite/gneissic terrains. The 87Sr/86Sr of the Indus main channel, throughout its entire stretch, shows only minor variations, 0.7104-0.7116. The Indus transports ~ 8.8.106 tool Sr to the Arabian Sea annually with a 87Sr/86Sr of 0.7111 if our results of Sr concentration and 87Sr/86Sr measured at Thatta can be consiciered typical of the Indus throughout the year; and (3) the U concentration in the Indus and its tributaries is generally high, 0.37-10.3/~g I-i. The source for the high uranium can be the weathering of granites, zones &amp;uranium mineralisation and black shales.","container-title":"Chemical Geology","DOI":"10.1016/0009-2541(94)90017-5","ISSN":"00092541","issue":"3-4","journalAbbreviation":"Chemical Geology","language":"en","page":"245-259","source":"DOI.org (Crossref)","title":"The Indus river system (India-Pakistan): Major-ion chemistry, uranium and strontium isotopes","title-short":"The Indus river system (India-Pakistan)","URL":"https://linkinghub.elsevier.com/retrieve/pii/0009254194900175","volume":"116","author":[{"family":"Pande","given":"Kanchan"},{"family":"Sarin","given":"M.M."},{"family":"Trivedi","given":"J.R."},{"family":"Krishnaswami","given":"S."},{"family":"Sharma","given":"K.K."}],"accessed":{"date-parts":[["2023",4,10]]},"issued":{"date-parts":[["1994",10]]}}},{"id":1018,"uris":["http://zotero.org/users/17566097/items/Y43L7XQU"],"itemData":{"id":1018,"type":"article-journal","container-title":"Geochimica et cosmochimica acta","issue":"5","note":"publisher: Elsevier","page":"997–1009","source":"Google Scholar","title":"Major ion chemistry of the Ganga-Brahmaputra river system: weathering processes and fluxes to the Bay of Bengal","title-short":"Major ion chemistry of the Ganga-Brahmaputra river system","URL":"https://www.sciencedirect.com/science/article/pii/0016703789902056","volume":"53","author":[{"family":"Sarin","given":"M. M."},{"family":"Krishnaswami","given":"S."},{"family":"Dilli","given":"Kadir"},{"family":"Somayajulu","given":"B. L. K."},{"family":"Moore","given":"W. S."}],"accessed":{"date-parts":[["2024",6,10]]},"issued":{"date-parts":[["1989"]]}}},{"id":845,"uris":["http://zotero.org/users/local/GtKGLMn4/items/K6AIY6QU","http://zotero.org/users/17566097/items/K6AIY6QU"],"itemData":{"id":845,"type":"article-journal","abstract":"HydogrochemicalinvestigationofgroundwaterresourcesofParagraphdistricthasbeencarriedouttoassess thesoluteacquisitionprocessesandwaterqualityfordomesticandirrigationuses.Fifty-fivegroundwatersampleswere HcaonCldlOecH3t-C,eSdO3Oa-,4n2-d)Cl-aa,nnadlMycg2za+te,idoNfnaso+r(aCnpad2H,+C,ael2e+Mcagt2rr+ei,ctahNlea+c,moanjK+do)ur.cctSitovunittdryiy,brtuetosituanlltgsidirosensvsoetlaovlettdhheastdoilgisrsdoso,ulnvhdeadrwdastnoelerisdso,sf.tTmhahejeaorrheyaadnirisooganlesko(aclFih-en,emiiClnc-,alnatdNautOr3ae, suggestthatweatheringofrockformingmineralsalongwithsecondarycontributionsfromagriculturalandanthropogenic sourcesaremainlycontrollingthegroundwatercompositionofPratapgarhdistrict.Alkalineearthmetals(Ca2++Mg2+) exceedalkalis(Na++K+)andweakacid(HCO3-)dominateoverstrongacids(Cl-+SO42-)inmajorityofthegroundwater sTahempcloes.mpCuat-edMgs-atHurCaOti3oanndinCdai-ceMsg-dCel-mHonCstOr3aatreetohveerdsoatmuirnaatnetdhcyodrnodigteioocnhewimtihcarlefsapcieecstitnothdeolgoromuitnedawantdercoaflctihteeaarenad. undersaturatedwithgypsumandfluorite.Acomparisonofgroundwaterqualityparametersinrelationtospecifiedlimits wfaotrerdrsiankmipnlges.waQtueralisthyoaswssetshsatmecnotnfcoernitrrraitgiaotinsonofusTesDrSe,vFe-a,ltNhaOt3-thaendgrtootuanldhwaartderneisssgeoxocdefeodrtirhreigdaetisiorna.blHeoliwemivtesr,ivnalmuaensy ofsalinity,sodiumadsorptionratio(SAR),residualsodiumcarbonate(RSC),%NaandKelleyindexareexceedingthe prescribedlimitatsomesites,demandingadequatedrainageandwatermanagementplanforthearea.","container-title":"Journal of the Geological Society of India","DOI":"10.1007/s12594-014-0045-y","ISSN":"0016-7622, 0974-6889","issue":"3","journalAbbreviation":"J Geol Soc India","language":"en","license":"http://www.springer.com/tdm","page":"329-343","source":"DOI.org (Crossref)","title":"Hydrogeochemical investigation and groundwater quality assessment of Pratapgarh district, Uttar Pradesh","URL":"http://link.springer.com/10.1007/s12594-014-0045-y","volume":"83","author":[{"family":"Tiwari","given":"Ashwani Kumar"},{"family":"Singh","given":"Abhay Kumar"}],"accessed":{"date-parts":[["2024",5,11]]},"issued":{"date-parts":[["2014",3]]}}}],"schema":"https://github.com/citation-style-language/schema/raw/master/csl-citation.json"} </w:instrText>
      </w:r>
      <w:r w:rsidR="00FA71B9" w:rsidRPr="00EA19F0">
        <w:rPr>
          <w:rFonts w:asciiTheme="minorBidi" w:hAnsiTheme="minorBidi"/>
          <w:color w:val="0070C0"/>
          <w:sz w:val="24"/>
          <w:szCs w:val="24"/>
        </w:rPr>
        <w:fldChar w:fldCharType="separate"/>
      </w:r>
      <w:r w:rsidR="00445DFA" w:rsidRPr="00EA19F0">
        <w:rPr>
          <w:rFonts w:asciiTheme="minorBidi" w:hAnsiTheme="minorBidi"/>
          <w:color w:val="0070C0"/>
          <w:kern w:val="0"/>
          <w:sz w:val="24"/>
        </w:rPr>
        <w:t>(Möller, 2002; Pande et al., 1994; Sarin et al., 1989; Tiwari and Singh, 2014)</w:t>
      </w:r>
      <w:r w:rsidR="00FA71B9" w:rsidRPr="00EA19F0">
        <w:rPr>
          <w:rFonts w:asciiTheme="minorBidi" w:hAnsiTheme="minorBidi"/>
          <w:color w:val="0070C0"/>
          <w:sz w:val="24"/>
          <w:szCs w:val="24"/>
        </w:rPr>
        <w:fldChar w:fldCharType="end"/>
      </w:r>
      <w:r w:rsidR="00FA71B9" w:rsidRPr="00EA19F0">
        <w:rPr>
          <w:rFonts w:asciiTheme="minorBidi" w:hAnsiTheme="minorBidi"/>
          <w:color w:val="0070C0"/>
          <w:sz w:val="24"/>
          <w:szCs w:val="24"/>
        </w:rPr>
        <w:t>.</w:t>
      </w:r>
      <w:r w:rsidR="00FA71B9" w:rsidRPr="00EA19F0">
        <w:rPr>
          <w:rFonts w:asciiTheme="minorBidi" w:hAnsiTheme="minorBidi"/>
          <w:sz w:val="24"/>
          <w:szCs w:val="24"/>
        </w:rPr>
        <w:t xml:space="preserve"> Since no halite deposits are reported in the region and chloride concentrations are low compared with SO</w:t>
      </w:r>
      <w:r w:rsidR="00FA71B9" w:rsidRPr="00EA19F0">
        <w:rPr>
          <w:rFonts w:ascii="Cambria Math" w:hAnsi="Cambria Math" w:cs="Cambria Math"/>
          <w:sz w:val="24"/>
          <w:szCs w:val="24"/>
        </w:rPr>
        <w:t>₄</w:t>
      </w:r>
      <w:r w:rsidR="00FA71B9" w:rsidRPr="00EA19F0">
        <w:rPr>
          <w:rFonts w:ascii="Arial" w:hAnsi="Arial" w:cs="Arial"/>
          <w:sz w:val="24"/>
          <w:szCs w:val="24"/>
        </w:rPr>
        <w:t>²</w:t>
      </w:r>
      <w:r w:rsidR="00FA71B9" w:rsidRPr="00EA19F0">
        <w:rPr>
          <w:rFonts w:ascii="Cambria Math" w:hAnsi="Cambria Math" w:cs="Cambria Math"/>
          <w:sz w:val="24"/>
          <w:szCs w:val="24"/>
        </w:rPr>
        <w:t>⁻</w:t>
      </w:r>
      <w:r w:rsidR="00FA71B9" w:rsidRPr="00EA19F0">
        <w:rPr>
          <w:rFonts w:asciiTheme="minorBidi" w:hAnsiTheme="minorBidi"/>
          <w:sz w:val="24"/>
          <w:szCs w:val="24"/>
        </w:rPr>
        <w:t xml:space="preserve">, evaporite weathering is unlikely to be a major source </w:t>
      </w:r>
      <w:r w:rsidR="00592494"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{"citationID":"krUwE4jy","properties":{"formattedCitation":"(Pande et al., 1994)","plainCitation":"(Pande et al., 1994)","noteIndex":0},"citationItems":[{"id":297,"uris":["http://zotero.org/users/17566097/items/WC5IX9V2"],"itemData":{"id":297,"type":"article-journal","abstract":"The Indus River is one of the large river systems draining the Himalaya. We report in this paper the major-ion chemistry, Sr and U isotope systematics of the Indus system, particularly its headwaters. The results show that: ( 1) on an average about a third of the cations in the waters can be from silicate weathering; however, most of the (Ca + Mg) is likely to be from the weathering of carbonates and evaporites; (2) the 87Sr/868r of the waters ranges between 0.7085 and 0.7595, the higher values (&gt; 0.72) are typical of the tributaries draining the Precambrian granite/gneissic terrains. The 87Sr/86Sr of the Indus main channel, throughout its entire stretch, shows only minor variations, 0.7104-0.7116. The Indus transports ~ 8.8.106 tool Sr to the Arabian Sea annually with a 87Sr/86Sr of 0.7111 if our results of Sr concentration and 87Sr/86Sr measured at Thatta can be consiciered typical of the Indus throughout the year; and (3) the U concentration in the Indus and its tributaries is generally high, 0.37-10.3/~g I-i. The source for the high uranium can be the weathering of granites, zones &amp;uranium mineralisation and black shales.","container-title":"Chemical Geology","DOI":"10.1016/0009-2541(94)90017-5","ISSN":"00092541","issue":"3-4","journalAbbreviation":"Chemical Geology","language":"en","page":"245-259","source":"DOI.org (Crossref)","title":"The Indus river system (India-Pakistan): Major-ion chemistry, uranium and strontium isotopes","title-short":"The Indus river system (India-Pakistan)","URL":"https://linkinghub.elsevier.com/retrieve/pii/0009254194900175","volume":"116","author":[{"family":"Pande","given":"Kanchan"},{"family":"Sarin","given":"M.M."},{"family":"Trivedi","given":"J.R."},{"family":"Krishnaswami","given":"S."},{"family":"Sharma","given":"K.K."}],"accessed":{"date-parts":[["2023",4,10]]},"issued":{"date-parts":[["1994",10]]}}}],"schema":"https://github.com/citation-style-language/schema/raw/master/csl-citation.json"} </w:instrText>
      </w:r>
      <w:r w:rsidR="00592494" w:rsidRPr="00EA19F0">
        <w:rPr>
          <w:rFonts w:asciiTheme="minorBidi" w:hAnsiTheme="minorBidi"/>
          <w:color w:val="0070C0"/>
          <w:sz w:val="24"/>
          <w:szCs w:val="24"/>
        </w:rPr>
        <w:fldChar w:fldCharType="separate"/>
      </w:r>
      <w:r w:rsidR="00445DFA" w:rsidRPr="00EA19F0">
        <w:rPr>
          <w:rFonts w:asciiTheme="minorBidi" w:hAnsiTheme="minorBidi"/>
          <w:color w:val="0070C0"/>
          <w:sz w:val="24"/>
        </w:rPr>
        <w:t>(Pande et al., 1994)</w:t>
      </w:r>
      <w:r w:rsidR="00592494" w:rsidRPr="00EA19F0">
        <w:rPr>
          <w:rFonts w:asciiTheme="minorBidi" w:hAnsiTheme="minorBidi"/>
          <w:color w:val="0070C0"/>
          <w:sz w:val="24"/>
          <w:szCs w:val="24"/>
        </w:rPr>
        <w:fldChar w:fldCharType="end"/>
      </w:r>
      <w:r w:rsidR="00FA71B9" w:rsidRPr="00EA19F0">
        <w:rPr>
          <w:rFonts w:asciiTheme="minorBidi" w:hAnsiTheme="minorBidi"/>
          <w:color w:val="0070C0"/>
          <w:sz w:val="24"/>
          <w:szCs w:val="24"/>
        </w:rPr>
        <w:t>.</w:t>
      </w:r>
      <w:r w:rsidR="00FA71B9" w:rsidRPr="00EA19F0">
        <w:rPr>
          <w:rFonts w:asciiTheme="minorBidi" w:hAnsiTheme="minorBidi"/>
          <w:sz w:val="24"/>
          <w:szCs w:val="24"/>
        </w:rPr>
        <w:t xml:space="preserve"> </w:t>
      </w:r>
      <w:r w:rsidR="00674EF2" w:rsidRPr="00EA19F0">
        <w:rPr>
          <w:rFonts w:asciiTheme="minorBidi" w:hAnsiTheme="minorBidi"/>
          <w:sz w:val="24"/>
          <w:szCs w:val="24"/>
        </w:rPr>
        <w:t>Therefore, atmospheric deposition appears to be a probable source of chloride in water.</w:t>
      </w:r>
      <w:r w:rsidR="00FA71B9" w:rsidRPr="00EA19F0">
        <w:rPr>
          <w:rFonts w:asciiTheme="minorBidi" w:hAnsiTheme="minorBidi"/>
          <w:sz w:val="24"/>
          <w:szCs w:val="24"/>
        </w:rPr>
        <w:t xml:space="preserve"> </w:t>
      </w:r>
    </w:p>
    <w:p w14:paraId="089437D4" w14:textId="77777777" w:rsidR="00B32453" w:rsidRPr="00EA19F0" w:rsidRDefault="00B32453" w:rsidP="003261F5">
      <w:pPr>
        <w:pStyle w:val="NoSpacing"/>
        <w:jc w:val="both"/>
        <w:rPr>
          <w:rFonts w:asciiTheme="minorBidi" w:hAnsiTheme="minorBidi"/>
          <w:sz w:val="24"/>
          <w:szCs w:val="24"/>
        </w:rPr>
      </w:pPr>
    </w:p>
    <w:p w14:paraId="6F313A69" w14:textId="0352C17E" w:rsidR="00437AD7" w:rsidRPr="000A33CC" w:rsidRDefault="00030926" w:rsidP="003261F5">
      <w:pPr>
        <w:pStyle w:val="NoSpacing"/>
        <w:jc w:val="both"/>
        <w:rPr>
          <w:rFonts w:asciiTheme="minorBidi" w:hAnsiTheme="minorBidi"/>
          <w:b/>
          <w:bCs/>
          <w:i/>
          <w:iCs/>
          <w:sz w:val="24"/>
          <w:szCs w:val="24"/>
        </w:rPr>
      </w:pPr>
      <w:r w:rsidRPr="000A33CC">
        <w:rPr>
          <w:rFonts w:asciiTheme="minorBidi" w:hAnsiTheme="minorBidi"/>
          <w:b/>
          <w:bCs/>
          <w:i/>
          <w:iCs/>
          <w:sz w:val="24"/>
          <w:szCs w:val="24"/>
        </w:rPr>
        <w:t>3</w:t>
      </w:r>
      <w:r w:rsidR="00C91231" w:rsidRPr="000A33CC">
        <w:rPr>
          <w:rFonts w:asciiTheme="minorBidi" w:hAnsiTheme="minorBidi"/>
          <w:b/>
          <w:bCs/>
          <w:i/>
          <w:iCs/>
          <w:sz w:val="24"/>
          <w:szCs w:val="24"/>
        </w:rPr>
        <w:t xml:space="preserve">.3 </w:t>
      </w:r>
      <w:r w:rsidR="00437AD7" w:rsidRPr="000A33CC">
        <w:rPr>
          <w:rFonts w:asciiTheme="minorBidi" w:hAnsiTheme="minorBidi"/>
          <w:b/>
          <w:bCs/>
          <w:i/>
          <w:iCs/>
          <w:sz w:val="24"/>
          <w:szCs w:val="24"/>
        </w:rPr>
        <w:t>Mechanisms controlling hydrochemical composition</w:t>
      </w:r>
    </w:p>
    <w:p w14:paraId="79F5199C" w14:textId="5AD04755" w:rsidR="00202827" w:rsidRDefault="005270D6" w:rsidP="003261F5">
      <w:pPr>
        <w:pStyle w:val="NoSpacing"/>
        <w:jc w:val="both"/>
        <w:rPr>
          <w:rFonts w:asciiTheme="minorBidi" w:hAnsiTheme="minorBidi"/>
          <w:sz w:val="24"/>
          <w:szCs w:val="24"/>
        </w:rPr>
      </w:pPr>
      <w:r w:rsidRPr="00EA19F0">
        <w:rPr>
          <w:rFonts w:asciiTheme="minorBidi" w:hAnsiTheme="minorBidi"/>
          <w:sz w:val="24"/>
          <w:szCs w:val="24"/>
        </w:rPr>
        <w:t>The Gibbs plot is a useful tool to evaluate the dominant mechanisms controlling water quality in a catchment. It also helps to relate water chemistry to the underlying lithology</w:t>
      </w:r>
      <w:r w:rsidR="00B62358" w:rsidRPr="00EA19F0">
        <w:rPr>
          <w:rFonts w:asciiTheme="minorBidi" w:hAnsiTheme="minorBidi"/>
          <w:sz w:val="24"/>
          <w:szCs w:val="24"/>
        </w:rPr>
        <w:t xml:space="preserve"> </w:t>
      </w:r>
      <w:r w:rsidR="00B62358" w:rsidRPr="00EA19F0">
        <w:rPr>
          <w:rFonts w:asciiTheme="minorBidi" w:hAnsiTheme="minorBidi"/>
          <w:color w:val="0070C0"/>
          <w:sz w:val="24"/>
          <w:szCs w:val="24"/>
        </w:rPr>
        <w:lastRenderedPageBreak/>
        <w:fldChar w:fldCharType="begin"/>
      </w:r>
      <w:r w:rsidR="00445DFA" w:rsidRPr="00EA19F0">
        <w:rPr>
          <w:rFonts w:asciiTheme="minorBidi" w:hAnsiTheme="minorBidi"/>
          <w:color w:val="0070C0"/>
          <w:sz w:val="24"/>
          <w:szCs w:val="24"/>
        </w:rPr>
        <w:instrText xml:space="preserve"> ADDIN ZOTERO_ITEM CSL_CITATION {"citationID":"B9aCJwfL","properties":{"formattedCitation":"(Gibbs, 1970; Tay, 2021)","plainCitation":"(Gibbs, 1970; Tay, 2021)","noteIndex":0},"citationItems":[{"id":719,"uris":["http://zotero.org/users/17566097/items/4NN6EVNU"],"itemData":{"id":719,"type":"article-journal","abstract":"On the basis of analytical chemical data for numerous rain, river, lake, and ocean samples, the three major mechanisms controlling world surface water chemistry can be defined as atmospheric precipitation, rock dominance, and the evaporation-crystallization process.","container-title":"Science, New Series","issue":"3962","language":"en","page":"1088-1090","source":"Zotero","title":"Mechanisms Controlling World Water Chemistry","URL":"http://www.jstor.org/stable/1730827","volume":"170","author":[{"family":"Gibbs","given":"Ronald J."}],"issued":{"date-parts":[["1970"]]}}},{"id":1641,"uris":["http://zotero.org/users/17566097/items/7XJLWCQT"],"itemData":{"id":1641,"type":"article-journal","abstract":"Hydrogeochemical processes responsible for groundwater composition within the Asutifi-North district were assessed. The aim was to delineate the factors influencing groundwater within the district. Results show that the pH values of groundwater within the district are moderately acidic to neutral and ranged from 4.4 to 7.5 with a mean value and standard deviation of 6.1 ± 0.7 pH units. 67.4% of groundwater is acidic (pH 4–6.5) due principally to the influence of aquifer materials on the chemistry of groundwater. Acid mine drainage investigations in groundwater within the district shows that, when exposed, sulphides such as pyrites (FeS2) and arsenopyrite (FeAsS) react with water and oxygen to principally produce Fe(OH)3. The major ion concentrations are within the WHO (2004) Guideline values for drinking water. The relative abundance of cations and anions in groundwater within the district is in the order of: Ca2+  &gt; Na+  &gt; Mg2+  &gt; K+ and HCO3− &gt; Cl− &gt; SO42−, respectively. The study further shows that, albite/anorthite-(plagioclase) and calcite/dolomite(carbonates) dissolution as well as ion-exchange reactions may have contributed significantly to major ion concentrations in groundwater within the district. Hydrochemical facies using Piper trillinear diagrams delineated two major water types, the Ca–Mg–HCO3 and Na–Cl water types, with Ca–Mg–Cl, Ca–Mg–SO4–Cl and Na–K–HCO3 as minor water types. Using principal component analysis (PCA), three (3) main principal components accounting for 73.1% of the total variance with eigenvalues &gt; 1 were extracted. PCA delineated the main natural processes through which groundwater within the district acquires its chemical characteristics, the incongruent dissolution of silicate/aluminosilicates and the prevalence of pollution principally from the application of inorganic fertilizers such as nitrates and ammonia via agricultural activities within the district.","container-title":"Applied Water Science","DOI":"10.1007/s13201-021-01398-1","ISSN":"2190-5495","issue":"4","journalAbbreviation":"Appl Water Sci","language":"en","page":"72","source":"Springer Link","title":"Hydrogeochemical framework of groundwater within the Asutifi-North District of the Brong-Ahafo Region, Ghana","URL":"https://doi.org/10.1007/s13201-021-01398-1","volume":"11","author":[{"family":"Tay","given":"Collins K."}],"accessed":{"date-parts":[["2025",8,16]]},"issued":{"date-parts":[["2021",4,9]]}}}],"schema":"https://github.com/citation-style-language/schema/raw/master/csl-citation.json"} </w:instrText>
      </w:r>
      <w:r w:rsidR="00B62358" w:rsidRPr="00EA19F0">
        <w:rPr>
          <w:rFonts w:asciiTheme="minorBidi" w:hAnsiTheme="minorBidi"/>
          <w:color w:val="0070C0"/>
          <w:sz w:val="24"/>
          <w:szCs w:val="24"/>
        </w:rPr>
        <w:fldChar w:fldCharType="separate"/>
      </w:r>
      <w:r w:rsidR="00445DFA" w:rsidRPr="00EA19F0">
        <w:rPr>
          <w:rFonts w:asciiTheme="minorBidi" w:hAnsiTheme="minorBidi"/>
          <w:color w:val="0070C0"/>
          <w:sz w:val="24"/>
        </w:rPr>
        <w:t>(Gibbs, 1970; Tay, 2021)</w:t>
      </w:r>
      <w:r w:rsidR="00B62358" w:rsidRPr="00EA19F0">
        <w:rPr>
          <w:rFonts w:asciiTheme="minorBidi" w:hAnsiTheme="minorBidi"/>
          <w:color w:val="0070C0"/>
          <w:sz w:val="24"/>
          <w:szCs w:val="24"/>
        </w:rPr>
        <w:fldChar w:fldCharType="end"/>
      </w:r>
      <w:r w:rsidRPr="00EA19F0">
        <w:rPr>
          <w:rFonts w:asciiTheme="minorBidi" w:hAnsiTheme="minorBidi"/>
          <w:sz w:val="24"/>
          <w:szCs w:val="24"/>
        </w:rPr>
        <w:t>. In the present study, Gibbs plots [Cl</w:t>
      </w:r>
      <w:r w:rsidRPr="00EA19F0">
        <w:rPr>
          <w:rFonts w:ascii="Cambria Math" w:hAnsi="Cambria Math" w:cs="Cambria Math"/>
          <w:sz w:val="24"/>
          <w:szCs w:val="24"/>
        </w:rPr>
        <w:t>⁻</w:t>
      </w:r>
      <w:r w:rsidR="00350F90" w:rsidRPr="00EA19F0">
        <w:rPr>
          <w:rFonts w:asciiTheme="minorBidi" w:hAnsiTheme="minorBidi"/>
          <w:sz w:val="24"/>
          <w:szCs w:val="24"/>
        </w:rPr>
        <w:t>/ (</w:t>
      </w:r>
      <w:r w:rsidRPr="00EA19F0">
        <w:rPr>
          <w:rFonts w:asciiTheme="minorBidi" w:hAnsiTheme="minorBidi"/>
          <w:sz w:val="24"/>
          <w:szCs w:val="24"/>
        </w:rPr>
        <w:t>Cl</w:t>
      </w:r>
      <w:r w:rsidRPr="00EA19F0">
        <w:rPr>
          <w:rFonts w:ascii="Cambria Math" w:hAnsi="Cambria Math" w:cs="Cambria Math"/>
          <w:sz w:val="24"/>
          <w:szCs w:val="24"/>
        </w:rPr>
        <w:t>⁻</w:t>
      </w:r>
      <w:r w:rsidRPr="00EA19F0">
        <w:rPr>
          <w:rFonts w:asciiTheme="minorBidi" w:hAnsiTheme="minorBidi"/>
          <w:sz w:val="24"/>
          <w:szCs w:val="24"/>
        </w:rPr>
        <w:t xml:space="preserve"> + HCO</w:t>
      </w:r>
      <w:r w:rsidRPr="00EA19F0">
        <w:rPr>
          <w:rFonts w:ascii="Cambria Math" w:hAnsi="Cambria Math" w:cs="Cambria Math"/>
          <w:sz w:val="24"/>
          <w:szCs w:val="24"/>
        </w:rPr>
        <w:t>₃⁻</w:t>
      </w:r>
      <w:r w:rsidRPr="00EA19F0">
        <w:rPr>
          <w:rFonts w:asciiTheme="minorBidi" w:hAnsiTheme="minorBidi"/>
          <w:sz w:val="24"/>
          <w:szCs w:val="24"/>
        </w:rPr>
        <w:t>) vs. TDS and Na</w:t>
      </w:r>
      <w:r w:rsidRPr="00EA19F0">
        <w:rPr>
          <w:rFonts w:ascii="Cambria Math" w:hAnsi="Cambria Math" w:cs="Cambria Math"/>
          <w:sz w:val="24"/>
          <w:szCs w:val="24"/>
        </w:rPr>
        <w:t>⁺</w:t>
      </w:r>
      <w:r w:rsidR="00350F90" w:rsidRPr="00EA19F0">
        <w:rPr>
          <w:rFonts w:asciiTheme="minorBidi" w:hAnsiTheme="minorBidi"/>
          <w:sz w:val="24"/>
          <w:szCs w:val="24"/>
        </w:rPr>
        <w:t>/ (</w:t>
      </w:r>
      <w:r w:rsidRPr="00EA19F0">
        <w:rPr>
          <w:rFonts w:asciiTheme="minorBidi" w:hAnsiTheme="minorBidi"/>
          <w:sz w:val="24"/>
          <w:szCs w:val="24"/>
        </w:rPr>
        <w:t>Na</w:t>
      </w:r>
      <w:r w:rsidRPr="00EA19F0">
        <w:rPr>
          <w:rFonts w:ascii="Cambria Math" w:hAnsi="Cambria Math" w:cs="Cambria Math"/>
          <w:sz w:val="24"/>
          <w:szCs w:val="24"/>
        </w:rPr>
        <w:t>⁺</w:t>
      </w:r>
      <w:r w:rsidRPr="00EA19F0">
        <w:rPr>
          <w:rFonts w:asciiTheme="minorBidi" w:hAnsiTheme="minorBidi"/>
          <w:sz w:val="24"/>
          <w:szCs w:val="24"/>
        </w:rPr>
        <w:t xml:space="preserve"> + Ca</w:t>
      </w:r>
      <w:r w:rsidRPr="00EA19F0">
        <w:rPr>
          <w:rFonts w:ascii="Arial" w:hAnsi="Arial" w:cs="Arial"/>
          <w:sz w:val="24"/>
          <w:szCs w:val="24"/>
        </w:rPr>
        <w:t>²</w:t>
      </w:r>
      <w:r w:rsidRPr="00EA19F0">
        <w:rPr>
          <w:rFonts w:ascii="Cambria Math" w:hAnsi="Cambria Math" w:cs="Cambria Math"/>
          <w:sz w:val="24"/>
          <w:szCs w:val="24"/>
        </w:rPr>
        <w:t>⁺</w:t>
      </w:r>
      <w:r w:rsidRPr="00EA19F0">
        <w:rPr>
          <w:rFonts w:asciiTheme="minorBidi" w:hAnsiTheme="minorBidi"/>
          <w:sz w:val="24"/>
          <w:szCs w:val="24"/>
        </w:rPr>
        <w:t xml:space="preserve">) vs. TDS] reveal that </w:t>
      </w:r>
      <w:r w:rsidR="00350F90" w:rsidRPr="00EA19F0">
        <w:rPr>
          <w:rFonts w:asciiTheme="minorBidi" w:hAnsiTheme="minorBidi"/>
          <w:sz w:val="24"/>
          <w:szCs w:val="24"/>
        </w:rPr>
        <w:t>all</w:t>
      </w:r>
      <w:r w:rsidRPr="00EA19F0">
        <w:rPr>
          <w:rFonts w:asciiTheme="minorBidi" w:hAnsiTheme="minorBidi"/>
          <w:sz w:val="24"/>
          <w:szCs w:val="24"/>
        </w:rPr>
        <w:t xml:space="preserve"> samples from the DRB fall within the rock–water interaction dominance zone</w:t>
      </w:r>
      <w:r w:rsidR="00350F90" w:rsidRPr="00EA19F0">
        <w:rPr>
          <w:rFonts w:asciiTheme="minorBidi" w:hAnsiTheme="minorBidi"/>
          <w:sz w:val="24"/>
          <w:szCs w:val="24"/>
        </w:rPr>
        <w:t xml:space="preserve"> </w:t>
      </w:r>
      <w:r w:rsidRPr="00EA19F0">
        <w:rPr>
          <w:rFonts w:asciiTheme="minorBidi" w:hAnsiTheme="minorBidi"/>
          <w:b/>
          <w:bCs/>
          <w:sz w:val="24"/>
          <w:szCs w:val="24"/>
        </w:rPr>
        <w:t xml:space="preserve">Fig. </w:t>
      </w:r>
      <w:r w:rsidR="00C2597F" w:rsidRPr="00EA19F0">
        <w:rPr>
          <w:rFonts w:asciiTheme="minorBidi" w:hAnsiTheme="minorBidi"/>
          <w:b/>
          <w:bCs/>
          <w:sz w:val="24"/>
          <w:szCs w:val="24"/>
        </w:rPr>
        <w:t>6</w:t>
      </w:r>
      <w:r w:rsidRPr="00EA19F0">
        <w:rPr>
          <w:rFonts w:asciiTheme="minorBidi" w:hAnsiTheme="minorBidi"/>
          <w:sz w:val="24"/>
          <w:szCs w:val="24"/>
        </w:rPr>
        <w:t>. This suggests that rock weathering is the primary process governing solute concentrations</w:t>
      </w:r>
      <w:r w:rsidR="00EF5A34" w:rsidRPr="00EA19F0">
        <w:rPr>
          <w:rFonts w:asciiTheme="minorBidi" w:hAnsiTheme="minorBidi"/>
          <w:sz w:val="24"/>
          <w:szCs w:val="24"/>
        </w:rPr>
        <w:t xml:space="preserve"> in the DRB.</w:t>
      </w:r>
      <w:r w:rsidR="00350F90" w:rsidRPr="00EA19F0">
        <w:rPr>
          <w:rFonts w:asciiTheme="minorBidi" w:hAnsiTheme="minorBidi"/>
          <w:sz w:val="24"/>
          <w:szCs w:val="24"/>
        </w:rPr>
        <w:t xml:space="preserve"> </w:t>
      </w:r>
    </w:p>
    <w:p w14:paraId="7F2114DF" w14:textId="77777777" w:rsidR="000075C3" w:rsidRPr="004C0BF0" w:rsidRDefault="000075C3" w:rsidP="000075C3">
      <w:pPr>
        <w:pStyle w:val="NoSpacing"/>
        <w:keepNext/>
        <w:rPr>
          <w:rFonts w:ascii="Times New Roman" w:hAnsi="Times New Roman" w:cs="Times New Roman"/>
          <w:sz w:val="24"/>
          <w:szCs w:val="24"/>
        </w:rPr>
      </w:pPr>
      <w:r w:rsidRPr="004C0BF0">
        <w:rPr>
          <w:rFonts w:ascii="Times New Roman" w:hAnsi="Times New Roman" w:cs="Times New Roman"/>
          <w:noProof/>
          <w:sz w:val="24"/>
          <w:szCs w:val="24"/>
        </w:rPr>
        <w:drawing>
          <wp:inline distT="0" distB="0" distL="0" distR="0" wp14:anchorId="05857A45" wp14:editId="356342FE">
            <wp:extent cx="5081364" cy="2646052"/>
            <wp:effectExtent l="0" t="0" r="5080" b="1905"/>
            <wp:docPr id="1363830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30185"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30880" cy="2671837"/>
                    </a:xfrm>
                    <a:prstGeom prst="rect">
                      <a:avLst/>
                    </a:prstGeom>
                    <a:noFill/>
                  </pic:spPr>
                </pic:pic>
              </a:graphicData>
            </a:graphic>
          </wp:inline>
        </w:drawing>
      </w:r>
    </w:p>
    <w:p w14:paraId="332AA194" w14:textId="77777777" w:rsidR="000075C3" w:rsidRPr="00934F70" w:rsidRDefault="000075C3" w:rsidP="000075C3">
      <w:pPr>
        <w:pStyle w:val="Caption"/>
        <w:rPr>
          <w:rFonts w:ascii="Times New Roman" w:hAnsi="Times New Roman" w:cs="Times New Roman"/>
          <w:i w:val="0"/>
          <w:iCs w:val="0"/>
          <w:color w:val="000000" w:themeColor="text1"/>
          <w:sz w:val="24"/>
          <w:szCs w:val="24"/>
        </w:rPr>
      </w:pPr>
      <w:r w:rsidRPr="00934F70">
        <w:rPr>
          <w:rFonts w:ascii="Times New Roman" w:hAnsi="Times New Roman" w:cs="Times New Roman"/>
          <w:i w:val="0"/>
          <w:iCs w:val="0"/>
          <w:color w:val="000000" w:themeColor="text1"/>
          <w:sz w:val="24"/>
          <w:szCs w:val="24"/>
        </w:rPr>
        <w:t>Figure 6 Gibbs plot for Drass River during the study period</w:t>
      </w:r>
    </w:p>
    <w:p w14:paraId="195AF6E0" w14:textId="77777777" w:rsidR="000075C3" w:rsidRPr="00EA19F0" w:rsidRDefault="000075C3" w:rsidP="003261F5">
      <w:pPr>
        <w:pStyle w:val="NoSpacing"/>
        <w:jc w:val="both"/>
        <w:rPr>
          <w:rFonts w:asciiTheme="minorBidi" w:hAnsiTheme="minorBidi"/>
          <w:sz w:val="24"/>
          <w:szCs w:val="24"/>
        </w:rPr>
      </w:pPr>
    </w:p>
    <w:p w14:paraId="45D687F0" w14:textId="286705C3" w:rsidR="006E5448" w:rsidRDefault="00791AD9" w:rsidP="003261F5">
      <w:pPr>
        <w:pStyle w:val="NoSpacing"/>
        <w:jc w:val="both"/>
        <w:rPr>
          <w:rFonts w:asciiTheme="minorBidi" w:hAnsiTheme="minorBidi"/>
          <w:sz w:val="24"/>
          <w:szCs w:val="24"/>
        </w:rPr>
      </w:pPr>
      <w:r w:rsidRPr="00EA19F0">
        <w:rPr>
          <w:rFonts w:asciiTheme="minorBidi" w:hAnsiTheme="minorBidi"/>
          <w:sz w:val="24"/>
          <w:szCs w:val="24"/>
        </w:rPr>
        <w:t>The relative influence of silicate and carbonate weathering on water chemistry can be interpreted using a Ca–Mg</w:t>
      </w:r>
      <w:r w:rsidR="005F6ED4" w:rsidRPr="00EA19F0">
        <w:rPr>
          <w:rFonts w:asciiTheme="minorBidi" w:hAnsiTheme="minorBidi"/>
          <w:sz w:val="24"/>
          <w:szCs w:val="24"/>
        </w:rPr>
        <w:t>– (</w:t>
      </w:r>
      <w:r w:rsidRPr="00EA19F0">
        <w:rPr>
          <w:rFonts w:asciiTheme="minorBidi" w:hAnsiTheme="minorBidi"/>
          <w:sz w:val="24"/>
          <w:szCs w:val="24"/>
        </w:rPr>
        <w:t xml:space="preserve">Na + K) ternary diagram. This triangular plot illustrates the phase </w:t>
      </w:r>
      <w:r w:rsidR="00D6664B" w:rsidRPr="00EA19F0">
        <w:rPr>
          <w:rFonts w:asciiTheme="minorBidi" w:hAnsiTheme="minorBidi"/>
          <w:sz w:val="24"/>
          <w:szCs w:val="24"/>
        </w:rPr>
        <w:t>behaviour</w:t>
      </w:r>
      <w:r w:rsidRPr="00EA19F0">
        <w:rPr>
          <w:rFonts w:asciiTheme="minorBidi" w:hAnsiTheme="minorBidi"/>
          <w:sz w:val="24"/>
          <w:szCs w:val="24"/>
        </w:rPr>
        <w:t xml:space="preserve"> of three end-members—Na + K, Ca, and Mg. Samples clustering near the (Na + K) apex suggest dominance of silicate weathering, whereas those plotting closer to the Ca or Mg apex indicate carbonate weathering. When sample points fall in the central part of the diagram, it reflects a mixed contribution from both silicate and carbonate weathering </w:t>
      </w:r>
      <w:r w:rsidR="00FB5867"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{"citationID":"t3rvS1UF","properties":{"formattedCitation":"(Blum et al., 1998; Krishnan et al., 2012; Pattanaik et al., 2013; Vinnarasi et al., 2021)","plainCitation":"(Blum et al., 1998; Krishnan et al., 2012; Pattanaik et al., 2013; Vinnarasi et al., 2021)","noteIndex":0},"citationItems":[{"id":1655,"uris":["http://zotero.org/users/17566097/items/L6LKXR74"],"itemData":{"id":1655,"type":"article-journal","container-title":"Geology","DOI":"https://doi.org/10.1130/0091-7613(1998)026%3C0411:CVSWIT%3E2.3.CO;2","issue":"5","note":"publisher: Geological Society of America","page":"411–414","source":"Google Scholar","title":"Carbonate versus silicate weathering in the Raikhot watershed within the High Himalayan Crystalline Series","URL":"https://pubs.geoscienceworld.org/gsa/geology/article-abstract/26/5/411/206862","volume":"26","author":[{"family":"Blum","given":"Joel D."},{"family":"Gazis","given":"Carey A."},{"family":"Jacobson","given":"Andrew D."},{"family":"Page Chamberlain","given":"C."}],"accessed":{"date-parts":[["2025",8,17]]},"issued":{"date-parts":[["1998"]]}}},{"id":1650,"uris":["http://zotero.org/users/17566097/items/GQXDLB78"],"itemData":{"id":1650,"type":"webpage","abstract":"Bicomponent block copolymers are known to exhibit rich phase behavior in systems containing one or two block-selective homopolymers or solvents. In this study, we combine these efforts by investigating ternary blends composed of an ABA triblock copolymer, an A-selective homopolymer and a B-selective oil. A styrenic thermoplastic elastomer is selected here because of its ability to form a physical network upon microphase separation and thus impart significant elasticity and toughness to such blends. Synchrotron small-angle X-ray scattering is employed to classify the nanostructures of blends varying in composition, homopolymer molecular weight, and oil type, and the results are used to construct ternary morphology diagrams that reveal the phases present at the glass transition temperature of the styrenic endblocks. Of all the classical and complex morphologies commonly observed in binary copolymer blends and solutions, only the bicontinuous gyroid consisting of styrenic channels in a mixed midblock/oil matrix is consistently absent. Variations in nanostructural dimensions with blend composition are provided for selected morphologies.","container-title":"ACS Publications","genre":"research-article","language":"EN","license":"© 2012 American Chemical Society","note":"archive_location: world\npublisher: American Chemical Society\nDOI: 10.1021/ma300417u","title":"Ternary Phase Behavior of a Triblock Copolymer in the Presence of an Endblock-Selective Homopolymer and a Midblock-Selective Oil","URL":"https://pubs.acs.org/doi/full/10.1021/ma300417u","author":[{"family":"Krishnan","given":"Arjun S."},{"family":"Smith","given":"Steven D."},{"family":"Spontak","given":"Richard J."}],"accessed":{"date-parts":[["2025",8,17]]},"issued":{"date-parts":[["2012",7,25]]}}},{"id":1652,"uris":["http://zotero.org/users/17566097/items/MYG5Y7KI"],"itemData":{"id":1652,"type":"article-journal","abstract":"The solute load of the Kaveri River (South India) and its tributaries draining diverse Precambrian terrains during pre-monsoon and monsoon periods was determined. Using average annual flow, total drainage area and atmospheric input corrected major ion concentrations of these rivers chemical weathering rates, annual fluxes of different ionic species to the ocean and CO2 consumption rates were estimated. Bicarbonate is the most dominant ion (27–79% of anion budget) in all the river samples collected during monsoon period followed by Ca2+, whereas, in case of pre-monsoon water samples Na+ is the most dominant ion (in meq/l). Two approaches were adopted to estimate silicate and carbonate weathering rates in the drainage basin. At Musuri silicate weathering rate (SWR) is 9.44±0.29tons/km2/a and carbonate weathering rate (CWR) is 1.46±0.16tons/km2/a. More than 90% of the total ionic budget is derived from weathering of silicates in the Kaveri basin. CO2 consumption rate in the basin for silicate weathering FCO2sil is 3.83±0.12×105mol/km2/a (upper limit), which is comparable with the Himalayan rivers at upper reaches. For carbonate weathering (FCO2carb) CO2 consumption rate is 0.15±0.03×105mol/km2/a in the Kaveri basin. The lower limit of CO2 consumption rate corrected for H2SO4 during silicate and carbonate weathering is FCO2sil is 3.24×1005mol/km2/a and FCO2carb 0.13×105mol/km2/a respectively. CO2 sequestered due to silicate weathering in the Kaveri basin is 25.41 (±0.82)×109mol/a which represents 0.21 (±0.01)% of global CO2 drawdown. This may be due to tropical climatic condition, high rainfall during both SW and NE monsoon and predominance of silicate rocks in the Kaveri basin.","container-title":"Geochimica et Cosmochimica Acta","DOI":"10.1016/j.gca.2013.08.002","ISSN":"0016-7037","journalAbbreviation":"Geochimica et Cosmochimica Acta","page":"611-636","source":"ScienceDirect","title":"Estimation of weathering rates and CO2 drawdown based on solute load: Significance of granulites and gneisses dominated weathering in the Kaveri River basin, Southern India","title-short":"Estimation of weathering rates and CO2 drawdown based on solute load","URL":"https://www.sciencedirect.com/science/article/pii/S0016703713004432","volume":"121","author":[{"family":"Pattanaik","given":"J. K."},{"family":"Balakrishnan","given":"S."},{"family":"Bhutani","given":"R."},{"family":"Singh","given":"P."}],"accessed":{"date-parts":[["2025",8,17]]},"issued":{"date-parts":[["2013",11,15]]}}},{"id":1659,"uris":["http://zotero.org/users/17566097/items/6YDKL4G6"],"itemData":{"id":1659,"type":"article-journal","container-title":"Environmental Geochemistry and Health","DOI":"10.1007/s10653-020-00540-3","ISSN":"0269-4042, 1573-2983","issue":"2","journalAbbreviation":"Environ Geochem Health","language":"en","page":"771-790","source":"DOI.org (Crossref)","title":"Chemical weathering and atmospheric carbon dioxide (CO2) consumption in Shanmuganadhi, South India: evidences from groundwater geochemistry","title-short":"Chemical weathering and atmospheric carbon dioxide (CO2) consumption in Shanmuganadhi, South India","URL":"http://link.springer.com/10.1007/s10653-020-00540-3","volume":"43","author":[{"family":"Vinnarasi","given":"F."},{"family":"Srinivasamoorthy","given":"K."},{"family":"Saravanan","given":"K."},{"family":"Gopinath","given":"S."},{"family":"Prakash","given":"R."},{"family":"Ponnumani","given":"G."},{"family":"Babu","given":"C."}],"accessed":{"date-parts":[["2025",8,17]]},"issued":{"date-parts":[["2021",2]]}}}],"schema":"https://github.com/citation-style-language/schema/raw/master/csl-citation.json"} </w:instrText>
      </w:r>
      <w:r w:rsidR="00FB5867" w:rsidRPr="00EA19F0">
        <w:rPr>
          <w:rFonts w:asciiTheme="minorBidi" w:hAnsiTheme="minorBidi"/>
          <w:color w:val="0070C0"/>
          <w:sz w:val="24"/>
          <w:szCs w:val="24"/>
        </w:rPr>
        <w:fldChar w:fldCharType="separate"/>
      </w:r>
      <w:r w:rsidR="00445DFA" w:rsidRPr="00EA19F0">
        <w:rPr>
          <w:rFonts w:asciiTheme="minorBidi" w:hAnsiTheme="minorBidi"/>
          <w:color w:val="0070C0"/>
          <w:sz w:val="24"/>
        </w:rPr>
        <w:t>(Blum et al., 1998; Krishnan et al., 2012; Pattanaik et al., 2013; Vinnarasi et al., 2021)</w:t>
      </w:r>
      <w:r w:rsidR="00FB5867" w:rsidRPr="00EA19F0">
        <w:rPr>
          <w:rFonts w:asciiTheme="minorBidi" w:hAnsiTheme="minorBidi"/>
          <w:color w:val="0070C0"/>
          <w:sz w:val="24"/>
          <w:szCs w:val="24"/>
        </w:rPr>
        <w:fldChar w:fldCharType="end"/>
      </w:r>
      <w:r w:rsidRPr="00EA19F0">
        <w:rPr>
          <w:rFonts w:asciiTheme="minorBidi" w:hAnsiTheme="minorBidi"/>
          <w:color w:val="0070C0"/>
          <w:sz w:val="24"/>
          <w:szCs w:val="24"/>
        </w:rPr>
        <w:t xml:space="preserve">. </w:t>
      </w:r>
      <w:r w:rsidRPr="00EA19F0">
        <w:rPr>
          <w:rFonts w:asciiTheme="minorBidi" w:hAnsiTheme="minorBidi"/>
          <w:sz w:val="24"/>
          <w:szCs w:val="24"/>
        </w:rPr>
        <w:t xml:space="preserve">In the present study, the ternary plot </w:t>
      </w:r>
      <w:r w:rsidR="005F6ED4" w:rsidRPr="00EA19F0">
        <w:rPr>
          <w:rFonts w:asciiTheme="minorBidi" w:hAnsiTheme="minorBidi"/>
          <w:sz w:val="24"/>
          <w:szCs w:val="24"/>
        </w:rPr>
        <w:t xml:space="preserve">in </w:t>
      </w:r>
      <w:r w:rsidRPr="00EA19F0">
        <w:rPr>
          <w:rFonts w:asciiTheme="minorBidi" w:hAnsiTheme="minorBidi"/>
          <w:b/>
          <w:bCs/>
          <w:sz w:val="24"/>
          <w:szCs w:val="24"/>
        </w:rPr>
        <w:t xml:space="preserve">Fig. </w:t>
      </w:r>
      <w:r w:rsidR="00C2597F" w:rsidRPr="00EA19F0">
        <w:rPr>
          <w:rFonts w:asciiTheme="minorBidi" w:hAnsiTheme="minorBidi"/>
          <w:b/>
          <w:bCs/>
          <w:sz w:val="24"/>
          <w:szCs w:val="24"/>
        </w:rPr>
        <w:t>7</w:t>
      </w:r>
      <w:r w:rsidRPr="00EA19F0">
        <w:rPr>
          <w:rFonts w:asciiTheme="minorBidi" w:hAnsiTheme="minorBidi"/>
          <w:sz w:val="24"/>
          <w:szCs w:val="24"/>
        </w:rPr>
        <w:t xml:space="preserve"> shows that water samples are predominantly controlled by </w:t>
      </w:r>
      <w:r w:rsidR="00A22B88" w:rsidRPr="00EA19F0">
        <w:rPr>
          <w:rFonts w:asciiTheme="minorBidi" w:hAnsiTheme="minorBidi"/>
          <w:sz w:val="24"/>
          <w:szCs w:val="24"/>
        </w:rPr>
        <w:t xml:space="preserve">carbonate </w:t>
      </w:r>
      <w:r w:rsidRPr="00EA19F0">
        <w:rPr>
          <w:rFonts w:asciiTheme="minorBidi" w:hAnsiTheme="minorBidi"/>
          <w:sz w:val="24"/>
          <w:szCs w:val="24"/>
        </w:rPr>
        <w:t>weathering</w:t>
      </w:r>
      <w:r w:rsidR="00A22B88" w:rsidRPr="00EA19F0">
        <w:rPr>
          <w:rFonts w:asciiTheme="minorBidi" w:hAnsiTheme="minorBidi"/>
          <w:sz w:val="24"/>
          <w:szCs w:val="24"/>
        </w:rPr>
        <w:t xml:space="preserve">. </w:t>
      </w:r>
    </w:p>
    <w:p w14:paraId="7DC50DC4" w14:textId="77777777" w:rsidR="000075C3" w:rsidRDefault="000075C3" w:rsidP="003261F5">
      <w:pPr>
        <w:pStyle w:val="NoSpacing"/>
        <w:jc w:val="both"/>
        <w:rPr>
          <w:rFonts w:asciiTheme="minorBidi" w:hAnsiTheme="minorBidi"/>
          <w:sz w:val="24"/>
          <w:szCs w:val="24"/>
        </w:rPr>
      </w:pPr>
    </w:p>
    <w:p w14:paraId="4F1B8198" w14:textId="77777777" w:rsidR="000075C3" w:rsidRPr="004C0BF0" w:rsidRDefault="000075C3" w:rsidP="000075C3">
      <w:pPr>
        <w:pStyle w:val="NoSpacing"/>
        <w:rPr>
          <w:rFonts w:ascii="Times New Roman" w:hAnsi="Times New Roman" w:cs="Times New Roman"/>
          <w:sz w:val="24"/>
          <w:szCs w:val="24"/>
        </w:rPr>
      </w:pPr>
      <w:r w:rsidRPr="004C0BF0">
        <w:rPr>
          <w:rFonts w:ascii="Times New Roman" w:hAnsi="Times New Roman" w:cs="Times New Roman"/>
          <w:noProof/>
          <w:sz w:val="24"/>
          <w:szCs w:val="24"/>
        </w:rPr>
        <w:drawing>
          <wp:inline distT="0" distB="0" distL="0" distR="0" wp14:anchorId="6D1D3BB4" wp14:editId="15884AA0">
            <wp:extent cx="2915382" cy="2611118"/>
            <wp:effectExtent l="0" t="0" r="0" b="0"/>
            <wp:docPr id="191250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24856" name=""/>
                    <pic:cNvPicPr/>
                  </pic:nvPicPr>
                  <pic:blipFill>
                    <a:blip r:embed="rId23"/>
                    <a:stretch>
                      <a:fillRect/>
                    </a:stretch>
                  </pic:blipFill>
                  <pic:spPr>
                    <a:xfrm>
                      <a:off x="0" y="0"/>
                      <a:ext cx="2922159" cy="2617187"/>
                    </a:xfrm>
                    <a:prstGeom prst="rect">
                      <a:avLst/>
                    </a:prstGeom>
                  </pic:spPr>
                </pic:pic>
              </a:graphicData>
            </a:graphic>
          </wp:inline>
        </w:drawing>
      </w:r>
    </w:p>
    <w:p w14:paraId="6D478DF1" w14:textId="77777777" w:rsidR="000075C3" w:rsidRPr="004C0BF0" w:rsidRDefault="000075C3" w:rsidP="000075C3">
      <w:pPr>
        <w:pStyle w:val="NoSpacing"/>
        <w:rPr>
          <w:rFonts w:ascii="Times New Roman" w:hAnsi="Times New Roman" w:cs="Times New Roman"/>
          <w:sz w:val="24"/>
          <w:szCs w:val="24"/>
        </w:rPr>
      </w:pPr>
      <w:r w:rsidRPr="004C0BF0">
        <w:rPr>
          <w:rFonts w:ascii="Times New Roman" w:hAnsi="Times New Roman" w:cs="Times New Roman"/>
          <w:sz w:val="24"/>
          <w:szCs w:val="24"/>
        </w:rPr>
        <w:t>Fig. 7 Calcium–magnesium– (sodium +potassium) ternary diagram for the Drass River.</w:t>
      </w:r>
    </w:p>
    <w:p w14:paraId="5A60FAB4" w14:textId="77777777" w:rsidR="000075C3" w:rsidRDefault="000075C3" w:rsidP="003261F5">
      <w:pPr>
        <w:pStyle w:val="NoSpacing"/>
        <w:jc w:val="both"/>
        <w:rPr>
          <w:rFonts w:asciiTheme="minorBidi" w:hAnsiTheme="minorBidi"/>
          <w:sz w:val="24"/>
          <w:szCs w:val="24"/>
        </w:rPr>
      </w:pPr>
    </w:p>
    <w:p w14:paraId="3B528202" w14:textId="77777777" w:rsidR="00BA3E59" w:rsidRDefault="00BA3E59" w:rsidP="003261F5">
      <w:pPr>
        <w:pStyle w:val="NoSpacing"/>
        <w:jc w:val="both"/>
        <w:rPr>
          <w:rFonts w:asciiTheme="minorBidi" w:hAnsiTheme="minorBidi"/>
          <w:sz w:val="24"/>
          <w:szCs w:val="24"/>
        </w:rPr>
      </w:pPr>
    </w:p>
    <w:p w14:paraId="2637F5D6" w14:textId="77777777" w:rsidR="00BA3E59" w:rsidRPr="00EA19F0" w:rsidRDefault="00BA3E59" w:rsidP="003261F5">
      <w:pPr>
        <w:pStyle w:val="NoSpacing"/>
        <w:jc w:val="both"/>
        <w:rPr>
          <w:rFonts w:asciiTheme="minorBidi" w:hAnsiTheme="minorBidi"/>
          <w:sz w:val="24"/>
          <w:szCs w:val="24"/>
        </w:rPr>
      </w:pPr>
    </w:p>
    <w:p w14:paraId="211AC070" w14:textId="0ABA221A" w:rsidR="00EA31FD" w:rsidRPr="00EA19F0" w:rsidRDefault="00DC0A21" w:rsidP="003261F5">
      <w:pPr>
        <w:pStyle w:val="NoSpacing"/>
        <w:jc w:val="both"/>
        <w:rPr>
          <w:rFonts w:asciiTheme="minorBidi" w:hAnsiTheme="minorBidi"/>
          <w:i/>
          <w:iCs/>
          <w:sz w:val="24"/>
          <w:szCs w:val="24"/>
        </w:rPr>
      </w:pPr>
      <w:r w:rsidRPr="00EA19F0">
        <w:rPr>
          <w:rFonts w:asciiTheme="minorBidi" w:hAnsiTheme="minorBidi"/>
          <w:i/>
          <w:iCs/>
          <w:sz w:val="24"/>
          <w:szCs w:val="24"/>
        </w:rPr>
        <w:lastRenderedPageBreak/>
        <w:t>3</w:t>
      </w:r>
      <w:r w:rsidR="00C91231" w:rsidRPr="00EA19F0">
        <w:rPr>
          <w:rFonts w:asciiTheme="minorBidi" w:hAnsiTheme="minorBidi"/>
          <w:i/>
          <w:iCs/>
          <w:sz w:val="24"/>
          <w:szCs w:val="24"/>
        </w:rPr>
        <w:t xml:space="preserve">.4 </w:t>
      </w:r>
      <w:r w:rsidR="00EA31FD" w:rsidRPr="00EA19F0">
        <w:rPr>
          <w:rFonts w:asciiTheme="minorBidi" w:hAnsiTheme="minorBidi"/>
          <w:i/>
          <w:iCs/>
          <w:sz w:val="24"/>
          <w:szCs w:val="24"/>
        </w:rPr>
        <w:t>Hydrogeochemical evaluation</w:t>
      </w:r>
    </w:p>
    <w:p w14:paraId="67314B9C" w14:textId="77777777" w:rsidR="000075C3" w:rsidRDefault="00402139" w:rsidP="003261F5">
      <w:pPr>
        <w:pStyle w:val="NoSpacing"/>
        <w:jc w:val="both"/>
        <w:rPr>
          <w:rFonts w:asciiTheme="minorBidi" w:hAnsiTheme="minorBidi"/>
          <w:sz w:val="24"/>
          <w:szCs w:val="24"/>
        </w:rPr>
      </w:pPr>
      <w:r w:rsidRPr="00EA19F0">
        <w:rPr>
          <w:rFonts w:asciiTheme="minorBidi" w:hAnsiTheme="minorBidi"/>
          <w:sz w:val="24"/>
          <w:szCs w:val="24"/>
        </w:rPr>
        <w:t>Piper diagrams are widely used to</w:t>
      </w:r>
      <w:r w:rsidR="00244991" w:rsidRPr="00EA19F0">
        <w:rPr>
          <w:rFonts w:asciiTheme="minorBidi" w:hAnsiTheme="minorBidi"/>
          <w:sz w:val="24"/>
          <w:szCs w:val="24"/>
        </w:rPr>
        <w:t xml:space="preserve"> </w:t>
      </w:r>
      <w:r w:rsidRPr="00EA19F0">
        <w:rPr>
          <w:rFonts w:asciiTheme="minorBidi" w:hAnsiTheme="minorBidi"/>
          <w:sz w:val="24"/>
          <w:szCs w:val="24"/>
        </w:rPr>
        <w:t xml:space="preserve">evaluate the sources of dissolved constituents in water samples </w:t>
      </w:r>
      <w:r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{"citationID":"haSPQETo","properties":{"formattedCitation":"(Piper, 1944)","plainCitation":"(Piper, 1944)","noteIndex":0},"citationItems":[{"id":1120,"uris":["http://zotero.org/users/17566097/items/LFZLMGN3"],"itemData":{"id":1120,"type":"article-journal","abstract":"This paper outlines certain fundamental principles in a graphic procedure which appears to be an effective tool in segregating analytical data for critical study with respect to sources of the dissolved constituents in waters, modifications in the character of a water as it passes through an area, and related geochemical problems. The procedure is based on a multiple</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trilinear diagram (Fig. 1) whose form has been evolved gradually and independently by the writer during the past several years through trial and modification of less comprehensive antecedent forms. Neither the diagram nor the procedure here described is a panacea for the easy solution of all geochemical problems. Many problems of interpretation can be answered only by intensive study of critical analytical data by other methods.","container-title":"Eos, Transactions American Geophysical Union","DOI":"10.1029/TR025i006p00914","ISSN":"0002-8606","issue":"6","journalAbbreviation":"Eos Trans. AGU","language":"en","license":"http://onlinelibrary.wiley.com/termsAndConditions#vor","page":"914-928","source":"DOI.org (Crossref)","title":"A graphic procedure in the geochemical interpretation of water</w:instrText>
      </w:r>
      <w:r w:rsidR="00445DFA" w:rsidRPr="00EA19F0">
        <w:rPr>
          <w:rFonts w:ascii="Cambria Math" w:hAnsi="Cambria Math" w:cs="Cambria Math"/>
          <w:color w:val="0070C0"/>
          <w:sz w:val="24"/>
          <w:szCs w:val="24"/>
        </w:rPr>
        <w:instrText>‐</w:instrText>
      </w:r>
      <w:r w:rsidR="00445DFA" w:rsidRPr="00EA19F0">
        <w:rPr>
          <w:rFonts w:asciiTheme="minorBidi" w:hAnsiTheme="minorBidi"/>
          <w:color w:val="0070C0"/>
          <w:sz w:val="24"/>
          <w:szCs w:val="24"/>
        </w:rPr>
        <w:instrText xml:space="preserve">analyses","URL":"https://agupubs.onlinelibrary.wiley.com/doi/10.1029/TR025i006p00914","volume":"25","author":[{"family":"Piper","given":"Arthur M"}],"accessed":{"date-parts":[["2024",7,1]]},"issued":{"date-parts":[["1944",6]]}}}],"schema":"https://github.com/citation-style-language/schema/raw/master/csl-citation.json"} </w:instrText>
      </w:r>
      <w:r w:rsidRPr="00EA19F0">
        <w:rPr>
          <w:rFonts w:asciiTheme="minorBidi" w:hAnsiTheme="minorBidi"/>
          <w:color w:val="0070C0"/>
          <w:sz w:val="24"/>
          <w:szCs w:val="24"/>
        </w:rPr>
        <w:fldChar w:fldCharType="separate"/>
      </w:r>
      <w:r w:rsidR="00445DFA" w:rsidRPr="00EA19F0">
        <w:rPr>
          <w:rFonts w:asciiTheme="minorBidi" w:hAnsiTheme="minorBidi"/>
          <w:color w:val="0070C0"/>
          <w:sz w:val="24"/>
        </w:rPr>
        <w:t>(Piper, 1944)</w:t>
      </w:r>
      <w:r w:rsidRPr="00EA19F0">
        <w:rPr>
          <w:rFonts w:asciiTheme="minorBidi" w:hAnsiTheme="minorBidi"/>
          <w:color w:val="0070C0"/>
          <w:sz w:val="24"/>
          <w:szCs w:val="24"/>
        </w:rPr>
        <w:fldChar w:fldCharType="end"/>
      </w:r>
      <w:r w:rsidRPr="00EA19F0">
        <w:rPr>
          <w:rFonts w:asciiTheme="minorBidi" w:hAnsiTheme="minorBidi"/>
          <w:sz w:val="24"/>
          <w:szCs w:val="24"/>
        </w:rPr>
        <w:t xml:space="preserve">. </w:t>
      </w:r>
      <w:r w:rsidR="00CA5C3B" w:rsidRPr="00EA19F0">
        <w:rPr>
          <w:rFonts w:asciiTheme="minorBidi" w:hAnsiTheme="minorBidi"/>
          <w:sz w:val="24"/>
          <w:szCs w:val="24"/>
        </w:rPr>
        <w:t xml:space="preserve">This diagram consists of two triangular fields—one for cations (left) and the other for anions (right)—along with a central diamond-shaped field that represents the combined distribution of cations and anions </w:t>
      </w:r>
      <w:r w:rsidR="00CA5C3B" w:rsidRPr="00EA19F0">
        <w:rPr>
          <w:rFonts w:asciiTheme="minorBidi" w:hAnsiTheme="minorBidi"/>
          <w:color w:val="0070C0"/>
          <w:sz w:val="24"/>
          <w:szCs w:val="24"/>
        </w:rPr>
        <w:fldChar w:fldCharType="begin"/>
      </w:r>
      <w:r w:rsidR="00445DFA" w:rsidRPr="00EA19F0">
        <w:rPr>
          <w:rFonts w:asciiTheme="minorBidi" w:hAnsiTheme="minorBidi"/>
          <w:color w:val="0070C0"/>
          <w:sz w:val="24"/>
          <w:szCs w:val="24"/>
        </w:rPr>
        <w:instrText xml:space="preserve"> ADDIN ZOTERO_ITEM CSL_CITATION {"citationID":"7pBw6BwF","properties":{"formattedCitation":"(Sharma et al., 2021)","plainCitation":"(Sharma et al., 2021)","noteIndex":0},"citationItems":[{"id":992,"uris":["http://zotero.org/users/17566097/items/LXVS9XB7"],"itemData":{"id":992,"type":"article-journal","abstract":"The present study is an attempt to accomplish the understanding of the factors impacting Parbati river water quality in Kullu district of Himachal Pradesh. The main objective is to assess the overall water quality, to explore its hydrogeochemical characteristics including major ion contents and other chemical parameters using Water Quality Index (WQI), statistical techniques (principal component analysis) and conventional graphical representation such as Piper trilinear diagram, Durov. Eighteen surface water samples were collected from different altitudinal sites to analyze physico-chemical parameters for June 2019 and September 2019. Analytical outcomes of thirty-six surface water samples collected in Pre-monsoon and Post-monsoon seasons are well within the permissible limits as per BIS, 2012 and WHO 2011 for drinking and domestic purposes. Water quality characterization for the assigned use shows that maximum surface water samples fall under excellent to good water quality index and are suitable for drinking without conventional treatment. The Piper trilinear diagram classified 100% of surface water samples for both seasons’ falls in the fields of Ca2+-Mg2+-HCO3− water type indicating temporary hardness. Abundance of ions in the water samples is in the order: anions HCO3−&gt;Cl−&gt;SO42−&gt;NO3− and cations Mg2+&gt;Ca2+&gt;Na+&gt;K+. PCA identifies that the surface water chemistry is influenced by natural factors as well as minor anthropogenic activities in both the seasons. The correlation matrix has been prepared to analyse and observe the significance of the factors on the assessment of river water quality. Periodic assessment of surface water samples of the Parbati river and adjoining areas should be carried out. This approach will help in finding out any contamination of water occurring due to rapid socio-economic development as well as explosion of tourism industry in the region. Present study will work as baseline database for any future work in the region.","container-title":"Discover Water","DOI":"10.1007/s43832-021-00005-3","ISSN":"2730-647X","issue":"1","journalAbbreviation":"Discov Water","language":"en","page":"5","source":"Springer Link","title":"Application of multivariate statistical analysis and water quality index for quality characterization of Parbati River, Northwestern Himalaya, India","URL":"https://doi.org/10.1007/s43832-021-00005-3","volume":"1","author":[{"family":"Sharma","given":"Gaurav"},{"family":"Lata","given":"Renu"},{"family":"Thakur","given":"Nandini"},{"family":"Bajala","given":"Vishal"},{"family":"Kuniyal","given":"Jagdish Chandra"},{"family":"Kumar","given":"Kireet"}],"accessed":{"date-parts":[["2024",6,5]]},"issued":{"date-parts":[["2021",9,22]]}}}],"schema":"https://github.com/citation-style-language/schema/raw/master/csl-citation.json"} </w:instrText>
      </w:r>
      <w:r w:rsidR="00CA5C3B" w:rsidRPr="00EA19F0">
        <w:rPr>
          <w:rFonts w:asciiTheme="minorBidi" w:hAnsiTheme="minorBidi"/>
          <w:color w:val="0070C0"/>
          <w:sz w:val="24"/>
          <w:szCs w:val="24"/>
        </w:rPr>
        <w:fldChar w:fldCharType="separate"/>
      </w:r>
      <w:r w:rsidR="00445DFA" w:rsidRPr="00EA19F0">
        <w:rPr>
          <w:rFonts w:asciiTheme="minorBidi" w:hAnsiTheme="minorBidi"/>
          <w:color w:val="0070C0"/>
          <w:sz w:val="24"/>
        </w:rPr>
        <w:t>(Sharma et al., 2021)</w:t>
      </w:r>
      <w:r w:rsidR="00CA5C3B" w:rsidRPr="00EA19F0">
        <w:rPr>
          <w:rFonts w:asciiTheme="minorBidi" w:hAnsiTheme="minorBidi"/>
          <w:color w:val="0070C0"/>
          <w:sz w:val="24"/>
          <w:szCs w:val="24"/>
        </w:rPr>
        <w:fldChar w:fldCharType="end"/>
      </w:r>
      <w:r w:rsidR="00CA5C3B" w:rsidRPr="00EA19F0">
        <w:rPr>
          <w:rFonts w:asciiTheme="minorBidi" w:hAnsiTheme="minorBidi"/>
          <w:sz w:val="24"/>
          <w:szCs w:val="24"/>
        </w:rPr>
        <w:t xml:space="preserve">. </w:t>
      </w:r>
      <w:r w:rsidRPr="00EA19F0">
        <w:rPr>
          <w:rFonts w:asciiTheme="minorBidi" w:hAnsiTheme="minorBidi"/>
          <w:sz w:val="24"/>
          <w:szCs w:val="24"/>
        </w:rPr>
        <w:t>In this study, the ionic concentrations</w:t>
      </w:r>
      <w:r w:rsidR="00244991" w:rsidRPr="00EA19F0">
        <w:rPr>
          <w:rFonts w:asciiTheme="minorBidi" w:hAnsiTheme="minorBidi"/>
          <w:sz w:val="24"/>
          <w:szCs w:val="24"/>
        </w:rPr>
        <w:t xml:space="preserve"> of the three periods</w:t>
      </w:r>
      <w:r w:rsidRPr="00EA19F0">
        <w:rPr>
          <w:rFonts w:asciiTheme="minorBidi" w:hAnsiTheme="minorBidi"/>
          <w:sz w:val="24"/>
          <w:szCs w:val="24"/>
        </w:rPr>
        <w:t xml:space="preserve"> were plotted on a Piper diagram to characteri</w:t>
      </w:r>
      <w:r w:rsidR="00244991" w:rsidRPr="00EA19F0">
        <w:rPr>
          <w:rFonts w:asciiTheme="minorBidi" w:hAnsiTheme="minorBidi"/>
          <w:sz w:val="24"/>
          <w:szCs w:val="24"/>
        </w:rPr>
        <w:t>s</w:t>
      </w:r>
      <w:r w:rsidRPr="00EA19F0">
        <w:rPr>
          <w:rFonts w:asciiTheme="minorBidi" w:hAnsiTheme="minorBidi"/>
          <w:sz w:val="24"/>
          <w:szCs w:val="24"/>
        </w:rPr>
        <w:t xml:space="preserve">e the hydrochemistry of </w:t>
      </w:r>
      <w:r w:rsidR="00244991" w:rsidRPr="00EA19F0">
        <w:rPr>
          <w:rFonts w:asciiTheme="minorBidi" w:hAnsiTheme="minorBidi"/>
          <w:sz w:val="24"/>
          <w:szCs w:val="24"/>
        </w:rPr>
        <w:t>Drass River</w:t>
      </w:r>
      <w:r w:rsidRPr="00EA19F0">
        <w:rPr>
          <w:rFonts w:asciiTheme="minorBidi" w:hAnsiTheme="minorBidi"/>
          <w:sz w:val="24"/>
          <w:szCs w:val="24"/>
        </w:rPr>
        <w:t xml:space="preserve"> water</w:t>
      </w:r>
      <w:r w:rsidR="00244991" w:rsidRPr="00EA19F0">
        <w:rPr>
          <w:rFonts w:asciiTheme="minorBidi" w:hAnsiTheme="minorBidi"/>
          <w:b/>
          <w:bCs/>
          <w:sz w:val="24"/>
          <w:szCs w:val="24"/>
        </w:rPr>
        <w:t xml:space="preserve"> Fig. </w:t>
      </w:r>
      <w:r w:rsidR="00417F29" w:rsidRPr="00EA19F0">
        <w:rPr>
          <w:rFonts w:asciiTheme="minorBidi" w:hAnsiTheme="minorBidi"/>
          <w:b/>
          <w:bCs/>
          <w:sz w:val="24"/>
          <w:szCs w:val="24"/>
        </w:rPr>
        <w:t>8</w:t>
      </w:r>
      <w:r w:rsidRPr="00EA19F0">
        <w:rPr>
          <w:rFonts w:asciiTheme="minorBidi" w:hAnsiTheme="minorBidi"/>
          <w:sz w:val="24"/>
          <w:szCs w:val="24"/>
        </w:rPr>
        <w:t xml:space="preserve">. </w:t>
      </w:r>
    </w:p>
    <w:p w14:paraId="0F73D4DA" w14:textId="77777777" w:rsidR="000075C3" w:rsidRDefault="000075C3" w:rsidP="003261F5">
      <w:pPr>
        <w:pStyle w:val="NoSpacing"/>
        <w:jc w:val="both"/>
        <w:rPr>
          <w:rFonts w:asciiTheme="minorBidi" w:hAnsiTheme="minorBidi"/>
          <w:sz w:val="24"/>
          <w:szCs w:val="24"/>
        </w:rPr>
      </w:pPr>
    </w:p>
    <w:p w14:paraId="5095199C" w14:textId="77777777" w:rsidR="000075C3" w:rsidRPr="004C0BF0" w:rsidRDefault="000075C3" w:rsidP="000075C3">
      <w:pPr>
        <w:pStyle w:val="NoSpacing"/>
        <w:keepNext/>
        <w:rPr>
          <w:rFonts w:ascii="Times New Roman" w:hAnsi="Times New Roman" w:cs="Times New Roman"/>
          <w:sz w:val="24"/>
          <w:szCs w:val="24"/>
        </w:rPr>
      </w:pPr>
      <w:r w:rsidRPr="004C0BF0">
        <w:rPr>
          <w:rFonts w:ascii="Times New Roman" w:hAnsi="Times New Roman" w:cs="Times New Roman"/>
          <w:noProof/>
          <w:sz w:val="24"/>
          <w:szCs w:val="24"/>
        </w:rPr>
        <w:drawing>
          <wp:inline distT="0" distB="0" distL="0" distR="0" wp14:anchorId="5AD21F13" wp14:editId="55D048EB">
            <wp:extent cx="4181434" cy="3423068"/>
            <wp:effectExtent l="0" t="0" r="0" b="6350"/>
            <wp:docPr id="611736478" name="Picture 1" descr="A diagram of water and miner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36478" name="Picture 1" descr="A diagram of water and minerals&#10;&#10;AI-generated content may be incorrect."/>
                    <pic:cNvPicPr/>
                  </pic:nvPicPr>
                  <pic:blipFill>
                    <a:blip r:embed="rId24"/>
                    <a:stretch>
                      <a:fillRect/>
                    </a:stretch>
                  </pic:blipFill>
                  <pic:spPr>
                    <a:xfrm>
                      <a:off x="0" y="0"/>
                      <a:ext cx="4193064" cy="3432588"/>
                    </a:xfrm>
                    <a:prstGeom prst="rect">
                      <a:avLst/>
                    </a:prstGeom>
                  </pic:spPr>
                </pic:pic>
              </a:graphicData>
            </a:graphic>
          </wp:inline>
        </w:drawing>
      </w:r>
    </w:p>
    <w:p w14:paraId="03046638" w14:textId="77777777" w:rsidR="000075C3" w:rsidRPr="004C0BF0" w:rsidRDefault="000075C3" w:rsidP="000075C3">
      <w:pPr>
        <w:pStyle w:val="Caption"/>
        <w:rPr>
          <w:rFonts w:ascii="Times New Roman" w:hAnsi="Times New Roman" w:cs="Times New Roman"/>
          <w:i w:val="0"/>
          <w:iCs w:val="0"/>
          <w:color w:val="000000" w:themeColor="text1"/>
          <w:sz w:val="24"/>
          <w:szCs w:val="24"/>
        </w:rPr>
      </w:pPr>
      <w:r w:rsidRPr="004C0BF0">
        <w:rPr>
          <w:rFonts w:ascii="Times New Roman" w:hAnsi="Times New Roman" w:cs="Times New Roman"/>
          <w:i w:val="0"/>
          <w:iCs w:val="0"/>
          <w:color w:val="000000" w:themeColor="text1"/>
          <w:sz w:val="24"/>
          <w:szCs w:val="24"/>
        </w:rPr>
        <w:t>Fig</w:t>
      </w:r>
      <w:r>
        <w:rPr>
          <w:rFonts w:ascii="Times New Roman" w:hAnsi="Times New Roman" w:cs="Times New Roman"/>
          <w:i w:val="0"/>
          <w:iCs w:val="0"/>
          <w:color w:val="000000" w:themeColor="text1"/>
          <w:sz w:val="24"/>
          <w:szCs w:val="24"/>
        </w:rPr>
        <w:t>.</w:t>
      </w:r>
      <w:r w:rsidRPr="004C0BF0">
        <w:rPr>
          <w:rFonts w:ascii="Times New Roman" w:hAnsi="Times New Roman" w:cs="Times New Roman"/>
          <w:i w:val="0"/>
          <w:iCs w:val="0"/>
          <w:color w:val="000000" w:themeColor="text1"/>
          <w:sz w:val="24"/>
          <w:szCs w:val="24"/>
        </w:rPr>
        <w:t xml:space="preserve"> </w:t>
      </w:r>
      <w:r>
        <w:rPr>
          <w:rFonts w:ascii="Times New Roman" w:hAnsi="Times New Roman" w:cs="Times New Roman"/>
          <w:i w:val="0"/>
          <w:iCs w:val="0"/>
          <w:color w:val="000000" w:themeColor="text1"/>
          <w:sz w:val="24"/>
          <w:szCs w:val="24"/>
        </w:rPr>
        <w:t>8</w:t>
      </w:r>
      <w:r w:rsidRPr="004C0BF0">
        <w:rPr>
          <w:rFonts w:ascii="Times New Roman" w:hAnsi="Times New Roman" w:cs="Times New Roman"/>
          <w:i w:val="0"/>
          <w:iCs w:val="0"/>
          <w:color w:val="000000" w:themeColor="text1"/>
          <w:sz w:val="24"/>
          <w:szCs w:val="24"/>
        </w:rPr>
        <w:t xml:space="preserve"> Piper diagram illustrating the chemical composition of Drass River water.</w:t>
      </w:r>
    </w:p>
    <w:p w14:paraId="0D7E42D5" w14:textId="77777777" w:rsidR="000075C3" w:rsidRDefault="000075C3" w:rsidP="003261F5">
      <w:pPr>
        <w:pStyle w:val="NoSpacing"/>
        <w:jc w:val="both"/>
        <w:rPr>
          <w:rFonts w:asciiTheme="minorBidi" w:hAnsiTheme="minorBidi"/>
          <w:sz w:val="24"/>
          <w:szCs w:val="24"/>
        </w:rPr>
      </w:pPr>
    </w:p>
    <w:p w14:paraId="74C49E79" w14:textId="047B692B" w:rsidR="00437DB3" w:rsidRPr="00EA19F0" w:rsidRDefault="00402139" w:rsidP="003261F5">
      <w:pPr>
        <w:pStyle w:val="NoSpacing"/>
        <w:jc w:val="both"/>
        <w:rPr>
          <w:rFonts w:asciiTheme="minorBidi" w:hAnsiTheme="minorBidi"/>
          <w:b/>
          <w:bCs/>
          <w:sz w:val="24"/>
          <w:szCs w:val="24"/>
        </w:rPr>
      </w:pPr>
      <w:r w:rsidRPr="00EA19F0">
        <w:rPr>
          <w:rFonts w:asciiTheme="minorBidi" w:hAnsiTheme="minorBidi"/>
          <w:sz w:val="24"/>
          <w:szCs w:val="24"/>
        </w:rPr>
        <w:t>The results show that all samples fall within the Ca²</w:t>
      </w:r>
      <w:r w:rsidRPr="00EA19F0">
        <w:rPr>
          <w:rFonts w:ascii="Cambria Math" w:hAnsi="Cambria Math" w:cs="Cambria Math"/>
          <w:sz w:val="24"/>
          <w:szCs w:val="24"/>
        </w:rPr>
        <w:t>⁺</w:t>
      </w:r>
      <w:r w:rsidRPr="00EA19F0">
        <w:rPr>
          <w:rFonts w:ascii="Arial" w:hAnsi="Arial" w:cs="Arial"/>
          <w:sz w:val="24"/>
          <w:szCs w:val="24"/>
        </w:rPr>
        <w:t>–</w:t>
      </w:r>
      <w:r w:rsidRPr="00EA19F0">
        <w:rPr>
          <w:rFonts w:asciiTheme="minorBidi" w:hAnsiTheme="minorBidi"/>
          <w:sz w:val="24"/>
          <w:szCs w:val="24"/>
        </w:rPr>
        <w:t>Mg</w:t>
      </w:r>
      <w:r w:rsidRPr="00EA19F0">
        <w:rPr>
          <w:rFonts w:ascii="Arial" w:hAnsi="Arial" w:cs="Arial"/>
          <w:sz w:val="24"/>
          <w:szCs w:val="24"/>
        </w:rPr>
        <w:t>²</w:t>
      </w:r>
      <w:r w:rsidRPr="00EA19F0">
        <w:rPr>
          <w:rFonts w:ascii="Cambria Math" w:hAnsi="Cambria Math" w:cs="Cambria Math"/>
          <w:sz w:val="24"/>
          <w:szCs w:val="24"/>
        </w:rPr>
        <w:t>⁺</w:t>
      </w:r>
      <w:r w:rsidRPr="00EA19F0">
        <w:rPr>
          <w:rFonts w:ascii="Arial" w:hAnsi="Arial" w:cs="Arial"/>
          <w:sz w:val="24"/>
          <w:szCs w:val="24"/>
        </w:rPr>
        <w:t>–</w:t>
      </w:r>
      <w:r w:rsidRPr="00EA19F0">
        <w:rPr>
          <w:rFonts w:asciiTheme="minorBidi" w:hAnsiTheme="minorBidi"/>
          <w:sz w:val="24"/>
          <w:szCs w:val="24"/>
        </w:rPr>
        <w:t>HCO</w:t>
      </w:r>
      <w:r w:rsidRPr="00EA19F0">
        <w:rPr>
          <w:rFonts w:ascii="Cambria Math" w:hAnsi="Cambria Math" w:cs="Cambria Math"/>
          <w:sz w:val="24"/>
          <w:szCs w:val="24"/>
        </w:rPr>
        <w:t>₃⁻</w:t>
      </w:r>
      <w:r w:rsidRPr="00EA19F0">
        <w:rPr>
          <w:rFonts w:asciiTheme="minorBidi" w:hAnsiTheme="minorBidi"/>
          <w:sz w:val="24"/>
          <w:szCs w:val="24"/>
        </w:rPr>
        <w:t xml:space="preserve"> facies, which corresponds to temporary hardness, where alkaline earth elements (Ca</w:t>
      </w:r>
      <w:r w:rsidRPr="00EA19F0">
        <w:rPr>
          <w:rFonts w:ascii="Arial" w:hAnsi="Arial" w:cs="Arial"/>
          <w:sz w:val="24"/>
          <w:szCs w:val="24"/>
        </w:rPr>
        <w:t>²</w:t>
      </w:r>
      <w:r w:rsidRPr="00EA19F0">
        <w:rPr>
          <w:rFonts w:ascii="Cambria Math" w:hAnsi="Cambria Math" w:cs="Cambria Math"/>
          <w:sz w:val="24"/>
          <w:szCs w:val="24"/>
        </w:rPr>
        <w:t>⁺</w:t>
      </w:r>
      <w:r w:rsidRPr="00EA19F0">
        <w:rPr>
          <w:rFonts w:asciiTheme="minorBidi" w:hAnsiTheme="minorBidi"/>
          <w:sz w:val="24"/>
          <w:szCs w:val="24"/>
        </w:rPr>
        <w:t>+Mg</w:t>
      </w:r>
      <w:r w:rsidRPr="00EA19F0">
        <w:rPr>
          <w:rFonts w:ascii="Arial" w:hAnsi="Arial" w:cs="Arial"/>
          <w:sz w:val="24"/>
          <w:szCs w:val="24"/>
        </w:rPr>
        <w:t>²</w:t>
      </w:r>
      <w:r w:rsidRPr="00EA19F0">
        <w:rPr>
          <w:rFonts w:ascii="Cambria Math" w:hAnsi="Cambria Math" w:cs="Cambria Math"/>
          <w:sz w:val="24"/>
          <w:szCs w:val="24"/>
        </w:rPr>
        <w:t>⁺</w:t>
      </w:r>
      <w:r w:rsidRPr="00EA19F0">
        <w:rPr>
          <w:rFonts w:asciiTheme="minorBidi" w:hAnsiTheme="minorBidi"/>
          <w:sz w:val="24"/>
          <w:szCs w:val="24"/>
        </w:rPr>
        <w:t>) exceed the alkali elements (Na</w:t>
      </w:r>
      <w:r w:rsidRPr="00EA19F0">
        <w:rPr>
          <w:rFonts w:ascii="Cambria Math" w:hAnsi="Cambria Math" w:cs="Cambria Math"/>
          <w:sz w:val="24"/>
          <w:szCs w:val="24"/>
        </w:rPr>
        <w:t>⁺</w:t>
      </w:r>
      <w:r w:rsidRPr="00EA19F0">
        <w:rPr>
          <w:rFonts w:asciiTheme="minorBidi" w:hAnsiTheme="minorBidi"/>
          <w:sz w:val="24"/>
          <w:szCs w:val="24"/>
        </w:rPr>
        <w:t>+K</w:t>
      </w:r>
      <w:r w:rsidRPr="00EA19F0">
        <w:rPr>
          <w:rFonts w:ascii="Cambria Math" w:hAnsi="Cambria Math" w:cs="Cambria Math"/>
          <w:sz w:val="24"/>
          <w:szCs w:val="24"/>
        </w:rPr>
        <w:t>⁺</w:t>
      </w:r>
      <w:r w:rsidRPr="00EA19F0">
        <w:rPr>
          <w:rFonts w:asciiTheme="minorBidi" w:hAnsiTheme="minorBidi"/>
          <w:sz w:val="24"/>
          <w:szCs w:val="24"/>
        </w:rPr>
        <w:t>).</w:t>
      </w:r>
      <w:r w:rsidR="00244991" w:rsidRPr="00EA19F0">
        <w:rPr>
          <w:rFonts w:asciiTheme="minorBidi" w:hAnsiTheme="minorBidi"/>
          <w:sz w:val="24"/>
          <w:szCs w:val="24"/>
        </w:rPr>
        <w:t xml:space="preserve"> </w:t>
      </w:r>
      <w:r w:rsidRPr="00EA19F0">
        <w:rPr>
          <w:rFonts w:asciiTheme="minorBidi" w:hAnsiTheme="minorBidi"/>
          <w:sz w:val="24"/>
          <w:szCs w:val="24"/>
        </w:rPr>
        <w:t>Moreover, the concentration of weak acids (CO</w:t>
      </w:r>
      <w:r w:rsidRPr="00EA19F0">
        <w:rPr>
          <w:rFonts w:ascii="Cambria Math" w:hAnsi="Cambria Math" w:cs="Cambria Math"/>
          <w:sz w:val="24"/>
          <w:szCs w:val="24"/>
        </w:rPr>
        <w:t>₃</w:t>
      </w:r>
      <w:r w:rsidRPr="00EA19F0">
        <w:rPr>
          <w:rFonts w:ascii="Arial" w:hAnsi="Arial" w:cs="Arial"/>
          <w:sz w:val="24"/>
          <w:szCs w:val="24"/>
        </w:rPr>
        <w:t>²</w:t>
      </w:r>
      <w:r w:rsidRPr="00EA19F0">
        <w:rPr>
          <w:rFonts w:ascii="Cambria Math" w:hAnsi="Cambria Math" w:cs="Cambria Math"/>
          <w:sz w:val="24"/>
          <w:szCs w:val="24"/>
        </w:rPr>
        <w:t>⁻</w:t>
      </w:r>
      <w:r w:rsidRPr="00EA19F0">
        <w:rPr>
          <w:rFonts w:asciiTheme="minorBidi" w:hAnsiTheme="minorBidi"/>
          <w:sz w:val="24"/>
          <w:szCs w:val="24"/>
        </w:rPr>
        <w:t>+HCO</w:t>
      </w:r>
      <w:r w:rsidRPr="00EA19F0">
        <w:rPr>
          <w:rFonts w:ascii="Cambria Math" w:hAnsi="Cambria Math" w:cs="Cambria Math"/>
          <w:sz w:val="24"/>
          <w:szCs w:val="24"/>
        </w:rPr>
        <w:t>₃⁻</w:t>
      </w:r>
      <w:r w:rsidRPr="00EA19F0">
        <w:rPr>
          <w:rFonts w:asciiTheme="minorBidi" w:hAnsiTheme="minorBidi"/>
          <w:sz w:val="24"/>
          <w:szCs w:val="24"/>
        </w:rPr>
        <w:t>) was found to be higher than that of strong acids (SO</w:t>
      </w:r>
      <w:r w:rsidRPr="00EA19F0">
        <w:rPr>
          <w:rFonts w:ascii="Cambria Math" w:hAnsi="Cambria Math" w:cs="Cambria Math"/>
          <w:sz w:val="24"/>
          <w:szCs w:val="24"/>
        </w:rPr>
        <w:t>₄</w:t>
      </w:r>
      <w:r w:rsidRPr="00EA19F0">
        <w:rPr>
          <w:rFonts w:ascii="Arial" w:hAnsi="Arial" w:cs="Arial"/>
          <w:sz w:val="24"/>
          <w:szCs w:val="24"/>
        </w:rPr>
        <w:t>²</w:t>
      </w:r>
      <w:r w:rsidRPr="00EA19F0">
        <w:rPr>
          <w:rFonts w:ascii="Cambria Math" w:hAnsi="Cambria Math" w:cs="Cambria Math"/>
          <w:sz w:val="24"/>
          <w:szCs w:val="24"/>
        </w:rPr>
        <w:t>⁻</w:t>
      </w:r>
      <w:r w:rsidRPr="00EA19F0">
        <w:rPr>
          <w:rFonts w:asciiTheme="minorBidi" w:hAnsiTheme="minorBidi"/>
          <w:sz w:val="24"/>
          <w:szCs w:val="24"/>
        </w:rPr>
        <w:t xml:space="preserve"> and Cl</w:t>
      </w:r>
      <w:r w:rsidRPr="00EA19F0">
        <w:rPr>
          <w:rFonts w:ascii="Cambria Math" w:hAnsi="Cambria Math" w:cs="Cambria Math"/>
          <w:sz w:val="24"/>
          <w:szCs w:val="24"/>
        </w:rPr>
        <w:t>⁻</w:t>
      </w:r>
      <w:r w:rsidRPr="00EA19F0">
        <w:rPr>
          <w:rFonts w:asciiTheme="minorBidi" w:hAnsiTheme="minorBidi"/>
          <w:sz w:val="24"/>
          <w:szCs w:val="24"/>
        </w:rPr>
        <w:t>), indicating HCO</w:t>
      </w:r>
      <w:r w:rsidRPr="00EA19F0">
        <w:rPr>
          <w:rFonts w:ascii="Cambria Math" w:hAnsi="Cambria Math" w:cs="Cambria Math"/>
          <w:sz w:val="24"/>
          <w:szCs w:val="24"/>
        </w:rPr>
        <w:t>₃⁻</w:t>
      </w:r>
      <w:r w:rsidRPr="00EA19F0">
        <w:rPr>
          <w:rFonts w:asciiTheme="minorBidi" w:hAnsiTheme="minorBidi"/>
          <w:sz w:val="24"/>
          <w:szCs w:val="24"/>
        </w:rPr>
        <w:t xml:space="preserve"> as the principal anion in the </w:t>
      </w:r>
      <w:r w:rsidR="00F662D3" w:rsidRPr="00EA19F0">
        <w:rPr>
          <w:rFonts w:asciiTheme="minorBidi" w:hAnsiTheme="minorBidi"/>
          <w:sz w:val="24"/>
          <w:szCs w:val="24"/>
        </w:rPr>
        <w:t>river</w:t>
      </w:r>
      <w:r w:rsidRPr="00EA19F0">
        <w:rPr>
          <w:rFonts w:asciiTheme="minorBidi" w:hAnsiTheme="minorBidi"/>
          <w:sz w:val="24"/>
          <w:szCs w:val="24"/>
        </w:rPr>
        <w:t xml:space="preserve"> water</w:t>
      </w:r>
      <w:r w:rsidR="00F662D3" w:rsidRPr="00EA19F0">
        <w:rPr>
          <w:rFonts w:asciiTheme="minorBidi" w:hAnsiTheme="minorBidi"/>
          <w:sz w:val="24"/>
          <w:szCs w:val="24"/>
        </w:rPr>
        <w:t xml:space="preserve"> during the EMP and LMP</w:t>
      </w:r>
      <w:r w:rsidRPr="00EA19F0">
        <w:rPr>
          <w:rFonts w:asciiTheme="minorBidi" w:hAnsiTheme="minorBidi"/>
          <w:sz w:val="24"/>
          <w:szCs w:val="24"/>
        </w:rPr>
        <w:t>.</w:t>
      </w:r>
      <w:r w:rsidR="00F662D3" w:rsidRPr="00EA19F0">
        <w:rPr>
          <w:rFonts w:asciiTheme="minorBidi" w:hAnsiTheme="minorBidi"/>
          <w:sz w:val="24"/>
          <w:szCs w:val="24"/>
        </w:rPr>
        <w:t xml:space="preserve"> However, SO</w:t>
      </w:r>
      <w:r w:rsidR="00F662D3" w:rsidRPr="00EA19F0">
        <w:rPr>
          <w:rFonts w:asciiTheme="minorBidi" w:hAnsiTheme="minorBidi"/>
          <w:sz w:val="24"/>
          <w:szCs w:val="24"/>
          <w:vertAlign w:val="subscript"/>
        </w:rPr>
        <w:t>4</w:t>
      </w:r>
      <w:r w:rsidR="00F662D3" w:rsidRPr="00EA19F0">
        <w:rPr>
          <w:rFonts w:asciiTheme="minorBidi" w:hAnsiTheme="minorBidi"/>
          <w:sz w:val="24"/>
          <w:szCs w:val="24"/>
          <w:vertAlign w:val="superscript"/>
        </w:rPr>
        <w:t>2-</w:t>
      </w:r>
      <w:r w:rsidR="00F662D3" w:rsidRPr="00EA19F0">
        <w:rPr>
          <w:rFonts w:asciiTheme="minorBidi" w:hAnsiTheme="minorBidi"/>
          <w:sz w:val="24"/>
          <w:szCs w:val="24"/>
        </w:rPr>
        <w:t>becomes significant</w:t>
      </w:r>
      <w:r w:rsidR="009C0BBA" w:rsidRPr="00EA19F0">
        <w:rPr>
          <w:rFonts w:asciiTheme="minorBidi" w:hAnsiTheme="minorBidi"/>
          <w:sz w:val="24"/>
          <w:szCs w:val="24"/>
        </w:rPr>
        <w:t xml:space="preserve"> </w:t>
      </w:r>
      <w:r w:rsidR="005D383A" w:rsidRPr="00EA19F0">
        <w:rPr>
          <w:rFonts w:asciiTheme="minorBidi" w:hAnsiTheme="minorBidi"/>
          <w:sz w:val="24"/>
          <w:szCs w:val="24"/>
        </w:rPr>
        <w:t xml:space="preserve">marginally </w:t>
      </w:r>
      <w:r w:rsidR="009C0BBA" w:rsidRPr="00EA19F0">
        <w:rPr>
          <w:rFonts w:asciiTheme="minorBidi" w:hAnsiTheme="minorBidi"/>
          <w:sz w:val="24"/>
          <w:szCs w:val="24"/>
        </w:rPr>
        <w:t>at DR-1, DR-2 and DR-6</w:t>
      </w:r>
      <w:r w:rsidR="00F662D3" w:rsidRPr="00EA19F0">
        <w:rPr>
          <w:rFonts w:asciiTheme="minorBidi" w:hAnsiTheme="minorBidi"/>
          <w:sz w:val="24"/>
          <w:szCs w:val="24"/>
        </w:rPr>
        <w:t xml:space="preserve"> during the PMP. </w:t>
      </w:r>
      <w:r w:rsidRPr="00EA19F0">
        <w:rPr>
          <w:rFonts w:asciiTheme="minorBidi" w:hAnsiTheme="minorBidi"/>
          <w:sz w:val="24"/>
          <w:szCs w:val="24"/>
        </w:rPr>
        <w:t>The cation triangle</w:t>
      </w:r>
      <w:r w:rsidR="002913B1" w:rsidRPr="00EA19F0">
        <w:rPr>
          <w:rFonts w:asciiTheme="minorBidi" w:hAnsiTheme="minorBidi"/>
          <w:sz w:val="24"/>
          <w:szCs w:val="24"/>
        </w:rPr>
        <w:t xml:space="preserve"> </w:t>
      </w:r>
      <w:r w:rsidR="00F662D3" w:rsidRPr="00EA19F0">
        <w:rPr>
          <w:rFonts w:asciiTheme="minorBidi" w:hAnsiTheme="minorBidi"/>
          <w:sz w:val="24"/>
          <w:szCs w:val="24"/>
        </w:rPr>
        <w:t>shows</w:t>
      </w:r>
      <w:r w:rsidR="002913B1" w:rsidRPr="00EA19F0">
        <w:rPr>
          <w:rFonts w:asciiTheme="minorBidi" w:hAnsiTheme="minorBidi"/>
          <w:sz w:val="24"/>
          <w:szCs w:val="24"/>
        </w:rPr>
        <w:t xml:space="preserve"> that</w:t>
      </w:r>
      <w:r w:rsidR="00F662D3" w:rsidRPr="00EA19F0">
        <w:rPr>
          <w:rFonts w:asciiTheme="minorBidi" w:hAnsiTheme="minorBidi"/>
          <w:sz w:val="24"/>
          <w:szCs w:val="24"/>
        </w:rPr>
        <w:t xml:space="preserve"> Ca</w:t>
      </w:r>
      <w:r w:rsidR="00F662D3" w:rsidRPr="00EA19F0">
        <w:rPr>
          <w:rFonts w:asciiTheme="minorBidi" w:hAnsiTheme="minorBidi"/>
          <w:sz w:val="24"/>
          <w:szCs w:val="24"/>
          <w:vertAlign w:val="superscript"/>
        </w:rPr>
        <w:t>2+</w:t>
      </w:r>
      <w:r w:rsidR="002913B1" w:rsidRPr="00EA19F0">
        <w:rPr>
          <w:rFonts w:asciiTheme="minorBidi" w:hAnsiTheme="minorBidi"/>
          <w:sz w:val="24"/>
          <w:szCs w:val="24"/>
          <w:vertAlign w:val="superscript"/>
        </w:rPr>
        <w:t xml:space="preserve"> </w:t>
      </w:r>
      <w:r w:rsidR="009C0BBA" w:rsidRPr="00EA19F0">
        <w:rPr>
          <w:rFonts w:asciiTheme="minorBidi" w:hAnsiTheme="minorBidi"/>
          <w:sz w:val="24"/>
          <w:szCs w:val="24"/>
        </w:rPr>
        <w:t>is</w:t>
      </w:r>
      <w:r w:rsidR="002913B1" w:rsidRPr="00EA19F0">
        <w:rPr>
          <w:rFonts w:asciiTheme="minorBidi" w:hAnsiTheme="minorBidi"/>
          <w:sz w:val="24"/>
          <w:szCs w:val="24"/>
          <w:vertAlign w:val="superscript"/>
        </w:rPr>
        <w:t xml:space="preserve"> </w:t>
      </w:r>
      <w:r w:rsidR="009C0BBA" w:rsidRPr="00EA19F0">
        <w:rPr>
          <w:rFonts w:asciiTheme="minorBidi" w:hAnsiTheme="minorBidi"/>
          <w:sz w:val="24"/>
          <w:szCs w:val="24"/>
        </w:rPr>
        <w:t xml:space="preserve">the </w:t>
      </w:r>
      <w:r w:rsidR="002913B1" w:rsidRPr="00EA19F0">
        <w:rPr>
          <w:rFonts w:asciiTheme="minorBidi" w:hAnsiTheme="minorBidi"/>
          <w:sz w:val="24"/>
          <w:szCs w:val="24"/>
        </w:rPr>
        <w:t>dominant</w:t>
      </w:r>
      <w:r w:rsidR="00F662D3" w:rsidRPr="00EA19F0">
        <w:rPr>
          <w:rFonts w:asciiTheme="minorBidi" w:hAnsiTheme="minorBidi"/>
          <w:sz w:val="24"/>
          <w:szCs w:val="24"/>
        </w:rPr>
        <w:t xml:space="preserve"> </w:t>
      </w:r>
      <w:r w:rsidR="002913B1" w:rsidRPr="00EA19F0">
        <w:rPr>
          <w:rFonts w:asciiTheme="minorBidi" w:hAnsiTheme="minorBidi"/>
          <w:sz w:val="24"/>
          <w:szCs w:val="24"/>
        </w:rPr>
        <w:t>cation</w:t>
      </w:r>
      <w:r w:rsidR="005D383A" w:rsidRPr="00EA19F0">
        <w:rPr>
          <w:rFonts w:asciiTheme="minorBidi" w:hAnsiTheme="minorBidi"/>
          <w:sz w:val="24"/>
          <w:szCs w:val="24"/>
        </w:rPr>
        <w:t>,</w:t>
      </w:r>
      <w:r w:rsidR="002913B1" w:rsidRPr="00EA19F0">
        <w:rPr>
          <w:rFonts w:asciiTheme="minorBidi" w:hAnsiTheme="minorBidi"/>
          <w:sz w:val="24"/>
          <w:szCs w:val="24"/>
        </w:rPr>
        <w:t xml:space="preserve"> </w:t>
      </w:r>
      <w:r w:rsidR="005D383A" w:rsidRPr="00EA19F0">
        <w:rPr>
          <w:rFonts w:asciiTheme="minorBidi" w:hAnsiTheme="minorBidi"/>
          <w:sz w:val="24"/>
          <w:szCs w:val="24"/>
        </w:rPr>
        <w:t xml:space="preserve">and the </w:t>
      </w:r>
      <w:r w:rsidRPr="00EA19F0">
        <w:rPr>
          <w:rFonts w:asciiTheme="minorBidi" w:hAnsiTheme="minorBidi"/>
          <w:sz w:val="24"/>
          <w:szCs w:val="24"/>
        </w:rPr>
        <w:t>anion triangle shows that HCO</w:t>
      </w:r>
      <w:r w:rsidRPr="00EA19F0">
        <w:rPr>
          <w:rFonts w:ascii="Cambria Math" w:hAnsi="Cambria Math" w:cs="Cambria Math"/>
          <w:sz w:val="24"/>
          <w:szCs w:val="24"/>
        </w:rPr>
        <w:t>₃⁻</w:t>
      </w:r>
      <w:r w:rsidRPr="00EA19F0">
        <w:rPr>
          <w:rFonts w:asciiTheme="minorBidi" w:hAnsiTheme="minorBidi"/>
          <w:sz w:val="24"/>
          <w:szCs w:val="24"/>
        </w:rPr>
        <w:t xml:space="preserve"> dominates in </w:t>
      </w:r>
      <w:r w:rsidR="005D383A" w:rsidRPr="00EA19F0">
        <w:rPr>
          <w:rFonts w:asciiTheme="minorBidi" w:hAnsiTheme="minorBidi"/>
          <w:sz w:val="24"/>
          <w:szCs w:val="24"/>
        </w:rPr>
        <w:t>all the study</w:t>
      </w:r>
      <w:r w:rsidRPr="00EA19F0">
        <w:rPr>
          <w:rFonts w:asciiTheme="minorBidi" w:hAnsiTheme="minorBidi"/>
          <w:sz w:val="24"/>
          <w:szCs w:val="24"/>
        </w:rPr>
        <w:t xml:space="preserve"> periods </w:t>
      </w:r>
      <w:r w:rsidRPr="00EA19F0">
        <w:rPr>
          <w:rFonts w:asciiTheme="minorBidi" w:hAnsiTheme="minorBidi"/>
          <w:b/>
          <w:bCs/>
          <w:sz w:val="24"/>
          <w:szCs w:val="24"/>
        </w:rPr>
        <w:t>Table 3</w:t>
      </w:r>
      <w:r w:rsidRPr="00EA19F0">
        <w:rPr>
          <w:rFonts w:asciiTheme="minorBidi" w:hAnsiTheme="minorBidi"/>
          <w:sz w:val="24"/>
          <w:szCs w:val="24"/>
        </w:rPr>
        <w:t>.</w:t>
      </w:r>
      <w:r w:rsidR="002E1233" w:rsidRPr="00EA19F0">
        <w:rPr>
          <w:rFonts w:asciiTheme="minorBidi" w:hAnsiTheme="minorBidi"/>
          <w:sz w:val="24"/>
          <w:szCs w:val="24"/>
        </w:rPr>
        <w:t xml:space="preserve"> </w:t>
      </w:r>
      <w:r w:rsidRPr="00EA19F0">
        <w:rPr>
          <w:rFonts w:asciiTheme="minorBidi" w:hAnsiTheme="minorBidi"/>
          <w:sz w:val="24"/>
          <w:szCs w:val="24"/>
        </w:rPr>
        <w:t>The low and insignificant concentrations of Na</w:t>
      </w:r>
      <w:r w:rsidRPr="00EA19F0">
        <w:rPr>
          <w:rFonts w:ascii="Cambria Math" w:hAnsi="Cambria Math" w:cs="Cambria Math"/>
          <w:sz w:val="24"/>
          <w:szCs w:val="24"/>
        </w:rPr>
        <w:t>⁺</w:t>
      </w:r>
      <w:r w:rsidRPr="00EA19F0">
        <w:rPr>
          <w:rFonts w:asciiTheme="minorBidi" w:hAnsiTheme="minorBidi"/>
          <w:sz w:val="24"/>
          <w:szCs w:val="24"/>
        </w:rPr>
        <w:t>, K</w:t>
      </w:r>
      <w:r w:rsidRPr="00EA19F0">
        <w:rPr>
          <w:rFonts w:ascii="Cambria Math" w:hAnsi="Cambria Math" w:cs="Cambria Math"/>
          <w:sz w:val="24"/>
          <w:szCs w:val="24"/>
        </w:rPr>
        <w:t>⁺</w:t>
      </w:r>
      <w:r w:rsidRPr="00EA19F0">
        <w:rPr>
          <w:rFonts w:asciiTheme="minorBidi" w:hAnsiTheme="minorBidi"/>
          <w:sz w:val="24"/>
          <w:szCs w:val="24"/>
        </w:rPr>
        <w:t>, Cl</w:t>
      </w:r>
      <w:r w:rsidRPr="00EA19F0">
        <w:rPr>
          <w:rFonts w:ascii="Cambria Math" w:hAnsi="Cambria Math" w:cs="Cambria Math"/>
          <w:sz w:val="24"/>
          <w:szCs w:val="24"/>
        </w:rPr>
        <w:t>⁻</w:t>
      </w:r>
      <w:r w:rsidRPr="00EA19F0">
        <w:rPr>
          <w:rFonts w:asciiTheme="minorBidi" w:hAnsiTheme="minorBidi"/>
          <w:sz w:val="24"/>
          <w:szCs w:val="24"/>
        </w:rPr>
        <w:t>, and SO</w:t>
      </w:r>
      <w:r w:rsidRPr="00EA19F0">
        <w:rPr>
          <w:rFonts w:ascii="Cambria Math" w:hAnsi="Cambria Math" w:cs="Cambria Math"/>
          <w:sz w:val="24"/>
          <w:szCs w:val="24"/>
        </w:rPr>
        <w:t>₄</w:t>
      </w:r>
      <w:r w:rsidRPr="00EA19F0">
        <w:rPr>
          <w:rFonts w:ascii="Arial" w:hAnsi="Arial" w:cs="Arial"/>
          <w:sz w:val="24"/>
          <w:szCs w:val="24"/>
        </w:rPr>
        <w:t>²</w:t>
      </w:r>
      <w:r w:rsidRPr="00EA19F0">
        <w:rPr>
          <w:rFonts w:ascii="Cambria Math" w:hAnsi="Cambria Math" w:cs="Cambria Math"/>
          <w:sz w:val="24"/>
          <w:szCs w:val="24"/>
        </w:rPr>
        <w:t>⁻</w:t>
      </w:r>
      <w:r w:rsidRPr="00EA19F0">
        <w:rPr>
          <w:rFonts w:asciiTheme="minorBidi" w:hAnsiTheme="minorBidi"/>
          <w:sz w:val="24"/>
          <w:szCs w:val="24"/>
        </w:rPr>
        <w:t xml:space="preserve"> across seasons further </w:t>
      </w:r>
      <w:r w:rsidR="002E1233" w:rsidRPr="00EA19F0">
        <w:rPr>
          <w:rFonts w:asciiTheme="minorBidi" w:hAnsiTheme="minorBidi"/>
          <w:sz w:val="24"/>
          <w:szCs w:val="24"/>
        </w:rPr>
        <w:t>emphasise</w:t>
      </w:r>
      <w:r w:rsidRPr="00EA19F0">
        <w:rPr>
          <w:rFonts w:asciiTheme="minorBidi" w:hAnsiTheme="minorBidi"/>
          <w:sz w:val="24"/>
          <w:szCs w:val="24"/>
        </w:rPr>
        <w:t xml:space="preserve"> the predominance of carbonate weathering. </w:t>
      </w:r>
    </w:p>
    <w:p w14:paraId="0A574D1F" w14:textId="77777777" w:rsidR="00733DA3" w:rsidRDefault="00733DA3" w:rsidP="003261F5">
      <w:pPr>
        <w:spacing w:after="0" w:line="240" w:lineRule="auto"/>
        <w:jc w:val="both"/>
        <w:rPr>
          <w:rFonts w:asciiTheme="minorBidi" w:eastAsia="Times New Roman" w:hAnsiTheme="minorBidi"/>
          <w:kern w:val="0"/>
          <w:sz w:val="24"/>
          <w:szCs w:val="24"/>
          <w:lang w:eastAsia="en-IN"/>
          <w14:ligatures w14:val="none"/>
        </w:rPr>
      </w:pPr>
    </w:p>
    <w:p w14:paraId="0F3E9BCD" w14:textId="331CB9C2" w:rsidR="008F722D" w:rsidRPr="00EA19F0" w:rsidRDefault="0056490C" w:rsidP="003261F5">
      <w:pPr>
        <w:spacing w:after="0" w:line="240" w:lineRule="auto"/>
        <w:rPr>
          <w:rFonts w:asciiTheme="minorBidi" w:eastAsia="Times New Roman" w:hAnsiTheme="minorBidi"/>
          <w:b/>
          <w:bCs/>
          <w:kern w:val="0"/>
          <w:sz w:val="24"/>
          <w:szCs w:val="24"/>
          <w:lang w:eastAsia="en-IN"/>
          <w14:ligatures w14:val="none"/>
        </w:rPr>
      </w:pPr>
      <w:r w:rsidRPr="00EA19F0">
        <w:rPr>
          <w:rFonts w:asciiTheme="minorBidi" w:eastAsia="Times New Roman" w:hAnsiTheme="minorBidi"/>
          <w:b/>
          <w:bCs/>
          <w:kern w:val="0"/>
          <w:sz w:val="24"/>
          <w:szCs w:val="24"/>
          <w:lang w:eastAsia="en-IN"/>
          <w14:ligatures w14:val="none"/>
        </w:rPr>
        <w:t>4</w:t>
      </w:r>
      <w:r w:rsidR="00A249F1" w:rsidRPr="00EA19F0">
        <w:rPr>
          <w:rFonts w:asciiTheme="minorBidi" w:eastAsia="Times New Roman" w:hAnsiTheme="minorBidi"/>
          <w:b/>
          <w:bCs/>
          <w:kern w:val="0"/>
          <w:sz w:val="24"/>
          <w:szCs w:val="24"/>
          <w:lang w:eastAsia="en-IN"/>
          <w14:ligatures w14:val="none"/>
        </w:rPr>
        <w:t xml:space="preserve">. </w:t>
      </w:r>
      <w:r w:rsidR="008F722D" w:rsidRPr="00EA19F0">
        <w:rPr>
          <w:rFonts w:asciiTheme="minorBidi" w:eastAsia="Times New Roman" w:hAnsiTheme="minorBidi"/>
          <w:b/>
          <w:bCs/>
          <w:kern w:val="0"/>
          <w:sz w:val="24"/>
          <w:szCs w:val="24"/>
          <w:lang w:eastAsia="en-IN"/>
          <w14:ligatures w14:val="none"/>
        </w:rPr>
        <w:t>Conclusion</w:t>
      </w:r>
    </w:p>
    <w:p w14:paraId="1EF366D1" w14:textId="0A91AA09" w:rsidR="008F722D" w:rsidRDefault="008F722D" w:rsidP="003261F5">
      <w:pPr>
        <w:spacing w:after="0" w:line="240" w:lineRule="auto"/>
        <w:jc w:val="both"/>
        <w:rPr>
          <w:rFonts w:asciiTheme="minorBidi" w:eastAsia="Times New Roman" w:hAnsiTheme="minorBidi"/>
          <w:kern w:val="0"/>
          <w:sz w:val="24"/>
          <w:szCs w:val="24"/>
          <w:lang w:eastAsia="en-IN"/>
          <w14:ligatures w14:val="none"/>
        </w:rPr>
      </w:pPr>
      <w:r w:rsidRPr="00EA19F0">
        <w:rPr>
          <w:rFonts w:asciiTheme="minorBidi" w:eastAsia="Times New Roman" w:hAnsiTheme="minorBidi"/>
          <w:kern w:val="0"/>
          <w:sz w:val="24"/>
          <w:szCs w:val="24"/>
          <w:lang w:eastAsia="en-IN"/>
          <w14:ligatures w14:val="none"/>
        </w:rPr>
        <w:t>The hydrochemical investigation of the Drass River in Ladakh across early, peak, and late melting periods revealed that water chemistry is predominantly governed by carbonate weathering, with secondary input from silicate weathering, sulphide oxidation, and sulphate mineral dissolution. Ca</w:t>
      </w:r>
      <w:r w:rsidRPr="00EA19F0">
        <w:rPr>
          <w:rFonts w:asciiTheme="minorBidi" w:eastAsia="Times New Roman" w:hAnsiTheme="minorBidi"/>
          <w:kern w:val="0"/>
          <w:sz w:val="24"/>
          <w:szCs w:val="24"/>
          <w:vertAlign w:val="superscript"/>
          <w:lang w:eastAsia="en-IN"/>
          <w14:ligatures w14:val="none"/>
        </w:rPr>
        <w:t>2+</w:t>
      </w:r>
      <w:r w:rsidRPr="00EA19F0">
        <w:rPr>
          <w:rFonts w:asciiTheme="minorBidi" w:eastAsia="Times New Roman" w:hAnsiTheme="minorBidi"/>
          <w:kern w:val="0"/>
          <w:sz w:val="24"/>
          <w:szCs w:val="24"/>
          <w:lang w:eastAsia="en-IN"/>
          <w14:ligatures w14:val="none"/>
        </w:rPr>
        <w:t xml:space="preserve"> and HCO</w:t>
      </w:r>
      <w:r w:rsidRPr="00EA19F0">
        <w:rPr>
          <w:rFonts w:ascii="Cambria Math" w:eastAsia="Times New Roman" w:hAnsi="Cambria Math" w:cs="Cambria Math"/>
          <w:kern w:val="0"/>
          <w:sz w:val="24"/>
          <w:szCs w:val="24"/>
          <w:lang w:eastAsia="en-IN"/>
          <w14:ligatures w14:val="none"/>
        </w:rPr>
        <w:t>₃</w:t>
      </w:r>
      <w:r w:rsidRPr="00EA19F0">
        <w:rPr>
          <w:rFonts w:asciiTheme="minorBidi" w:eastAsia="Times New Roman" w:hAnsiTheme="minorBidi"/>
          <w:kern w:val="0"/>
          <w:sz w:val="24"/>
          <w:szCs w:val="24"/>
          <w:vertAlign w:val="superscript"/>
          <w:lang w:eastAsia="en-IN"/>
          <w14:ligatures w14:val="none"/>
        </w:rPr>
        <w:t>-</w:t>
      </w:r>
      <w:r w:rsidRPr="00EA19F0">
        <w:rPr>
          <w:rFonts w:asciiTheme="minorBidi" w:eastAsia="Times New Roman" w:hAnsiTheme="minorBidi"/>
          <w:kern w:val="0"/>
          <w:sz w:val="24"/>
          <w:szCs w:val="24"/>
          <w:lang w:eastAsia="en-IN"/>
          <w14:ligatures w14:val="none"/>
        </w:rPr>
        <w:t xml:space="preserve"> emerged as the dominant ions, classifying the river water primarily as </w:t>
      </w:r>
      <w:r w:rsidR="007C5B36" w:rsidRPr="00EA19F0">
        <w:rPr>
          <w:rFonts w:asciiTheme="minorBidi" w:hAnsiTheme="minorBidi"/>
          <w:sz w:val="24"/>
          <w:szCs w:val="24"/>
        </w:rPr>
        <w:t>Ca</w:t>
      </w:r>
      <w:r w:rsidR="007C5B36" w:rsidRPr="00EA19F0">
        <w:rPr>
          <w:rFonts w:asciiTheme="minorBidi" w:hAnsiTheme="minorBidi"/>
          <w:sz w:val="24"/>
          <w:szCs w:val="24"/>
          <w:vertAlign w:val="superscript"/>
        </w:rPr>
        <w:t>2+</w:t>
      </w:r>
      <w:r w:rsidR="007C5B36" w:rsidRPr="00EA19F0">
        <w:rPr>
          <w:rFonts w:asciiTheme="minorBidi" w:hAnsiTheme="minorBidi"/>
          <w:sz w:val="24"/>
          <w:szCs w:val="24"/>
        </w:rPr>
        <w:t>-Mg</w:t>
      </w:r>
      <w:r w:rsidR="007C5B36" w:rsidRPr="00EA19F0">
        <w:rPr>
          <w:rFonts w:asciiTheme="minorBidi" w:hAnsiTheme="minorBidi"/>
          <w:sz w:val="24"/>
          <w:szCs w:val="24"/>
          <w:vertAlign w:val="superscript"/>
        </w:rPr>
        <w:t>2+</w:t>
      </w:r>
      <w:r w:rsidR="007C5B36" w:rsidRPr="00EA19F0">
        <w:rPr>
          <w:rFonts w:asciiTheme="minorBidi" w:hAnsiTheme="minorBidi"/>
          <w:sz w:val="24"/>
          <w:szCs w:val="24"/>
        </w:rPr>
        <w:t>-HCO</w:t>
      </w:r>
      <w:r w:rsidR="007C5B36" w:rsidRPr="00EA19F0">
        <w:rPr>
          <w:rFonts w:ascii="Cambria Math" w:hAnsi="Cambria Math" w:cs="Cambria Math"/>
          <w:sz w:val="24"/>
          <w:szCs w:val="24"/>
        </w:rPr>
        <w:t>₃⁻</w:t>
      </w:r>
      <w:r w:rsidR="007C5B36" w:rsidRPr="00EA19F0">
        <w:rPr>
          <w:rFonts w:asciiTheme="minorBidi" w:hAnsiTheme="minorBidi"/>
          <w:sz w:val="24"/>
          <w:szCs w:val="24"/>
        </w:rPr>
        <w:t xml:space="preserve"> </w:t>
      </w:r>
      <w:r w:rsidRPr="00EA19F0">
        <w:rPr>
          <w:rFonts w:asciiTheme="minorBidi" w:eastAsia="Times New Roman" w:hAnsiTheme="minorBidi"/>
          <w:kern w:val="0"/>
          <w:sz w:val="24"/>
          <w:szCs w:val="24"/>
          <w:lang w:eastAsia="en-IN"/>
          <w14:ligatures w14:val="none"/>
        </w:rPr>
        <w:t>facies</w:t>
      </w:r>
      <w:r w:rsidR="007C5B36" w:rsidRPr="00EA19F0">
        <w:rPr>
          <w:rFonts w:asciiTheme="minorBidi" w:eastAsia="Times New Roman" w:hAnsiTheme="minorBidi"/>
          <w:kern w:val="0"/>
          <w:sz w:val="24"/>
          <w:szCs w:val="24"/>
          <w:lang w:eastAsia="en-IN"/>
          <w14:ligatures w14:val="none"/>
        </w:rPr>
        <w:t xml:space="preserve">. </w:t>
      </w:r>
      <w:r w:rsidRPr="00EA19F0">
        <w:rPr>
          <w:rFonts w:asciiTheme="minorBidi" w:eastAsia="Times New Roman" w:hAnsiTheme="minorBidi"/>
          <w:kern w:val="0"/>
          <w:sz w:val="24"/>
          <w:szCs w:val="24"/>
          <w:lang w:eastAsia="en-IN"/>
          <w14:ligatures w14:val="none"/>
        </w:rPr>
        <w:t>The temporal variations observed underscore the sensitivity of the system to seasonal meltwater discharge, dilution, and mixing dynamics with tributaries</w:t>
      </w:r>
      <w:r w:rsidR="007C5B36" w:rsidRPr="00EA19F0">
        <w:rPr>
          <w:rFonts w:asciiTheme="minorBidi" w:eastAsia="Times New Roman" w:hAnsiTheme="minorBidi"/>
          <w:kern w:val="0"/>
          <w:sz w:val="24"/>
          <w:szCs w:val="24"/>
          <w:lang w:eastAsia="en-IN"/>
          <w14:ligatures w14:val="none"/>
        </w:rPr>
        <w:t xml:space="preserve"> and the impact of anthropogenic activities. </w:t>
      </w:r>
      <w:r w:rsidR="00EB451F" w:rsidRPr="00EA19F0">
        <w:rPr>
          <w:rFonts w:asciiTheme="minorBidi" w:eastAsia="Times New Roman" w:hAnsiTheme="minorBidi"/>
          <w:kern w:val="0"/>
          <w:sz w:val="24"/>
          <w:szCs w:val="24"/>
          <w:lang w:eastAsia="en-IN"/>
          <w14:ligatures w14:val="none"/>
        </w:rPr>
        <w:t xml:space="preserve">Elevated concentrations of potassium, chloride, and fluoride ions during the PMP suggest significant inputs from anthropogenic sources, whereas the higher sulphate levels observed during </w:t>
      </w:r>
      <w:r w:rsidR="00EB451F" w:rsidRPr="00EA19F0">
        <w:rPr>
          <w:rFonts w:asciiTheme="minorBidi" w:eastAsia="Times New Roman" w:hAnsiTheme="minorBidi"/>
          <w:kern w:val="0"/>
          <w:sz w:val="24"/>
          <w:szCs w:val="24"/>
          <w:lang w:eastAsia="en-IN"/>
          <w14:ligatures w14:val="none"/>
        </w:rPr>
        <w:lastRenderedPageBreak/>
        <w:t xml:space="preserve">the peak and late melting periods reflect the accelerated recession of glacial cover in the basin. </w:t>
      </w:r>
      <w:r w:rsidRPr="00EA19F0">
        <w:rPr>
          <w:rFonts w:asciiTheme="minorBidi" w:eastAsia="Times New Roman" w:hAnsiTheme="minorBidi"/>
          <w:kern w:val="0"/>
          <w:sz w:val="24"/>
          <w:szCs w:val="24"/>
          <w:lang w:eastAsia="en-IN"/>
          <w14:ligatures w14:val="none"/>
        </w:rPr>
        <w:t xml:space="preserve">This study underscores the urgent need for sustained monitoring of the </w:t>
      </w:r>
      <w:r w:rsidR="007C5B36" w:rsidRPr="00EA19F0">
        <w:rPr>
          <w:rFonts w:asciiTheme="minorBidi" w:eastAsia="Times New Roman" w:hAnsiTheme="minorBidi"/>
          <w:kern w:val="0"/>
          <w:sz w:val="24"/>
          <w:szCs w:val="24"/>
          <w:lang w:eastAsia="en-IN"/>
          <w14:ligatures w14:val="none"/>
        </w:rPr>
        <w:t>Drass River</w:t>
      </w:r>
      <w:r w:rsidRPr="00EA19F0">
        <w:rPr>
          <w:rFonts w:asciiTheme="minorBidi" w:eastAsia="Times New Roman" w:hAnsiTheme="minorBidi"/>
          <w:kern w:val="0"/>
          <w:sz w:val="24"/>
          <w:szCs w:val="24"/>
          <w:lang w:eastAsia="en-IN"/>
          <w14:ligatures w14:val="none"/>
        </w:rPr>
        <w:t xml:space="preserve"> Basin to track emerging water quality challenges, particularly </w:t>
      </w:r>
      <w:r w:rsidR="0060098B" w:rsidRPr="00EA19F0">
        <w:rPr>
          <w:rFonts w:asciiTheme="minorBidi" w:eastAsia="Times New Roman" w:hAnsiTheme="minorBidi"/>
          <w:kern w:val="0"/>
          <w:sz w:val="24"/>
          <w:szCs w:val="24"/>
          <w:lang w:eastAsia="en-IN"/>
          <w14:ligatures w14:val="none"/>
        </w:rPr>
        <w:t>the impact of anthropogenic activities</w:t>
      </w:r>
      <w:r w:rsidRPr="00EA19F0">
        <w:rPr>
          <w:rFonts w:asciiTheme="minorBidi" w:eastAsia="Times New Roman" w:hAnsiTheme="minorBidi"/>
          <w:kern w:val="0"/>
          <w:sz w:val="24"/>
          <w:szCs w:val="24"/>
          <w:lang w:eastAsia="en-IN"/>
          <w14:ligatures w14:val="none"/>
        </w:rPr>
        <w:t>, while ensuring the long-term viability of its aquatic ecosystems and dependent livelihoods. Adoption of integrated management practices</w:t>
      </w:r>
      <w:r w:rsidR="0060098B" w:rsidRPr="00EA19F0">
        <w:rPr>
          <w:rFonts w:asciiTheme="minorBidi" w:eastAsia="Times New Roman" w:hAnsiTheme="minorBidi"/>
          <w:kern w:val="0"/>
          <w:sz w:val="24"/>
          <w:szCs w:val="24"/>
          <w:lang w:eastAsia="en-IN"/>
          <w14:ligatures w14:val="none"/>
        </w:rPr>
        <w:t xml:space="preserve">, </w:t>
      </w:r>
      <w:r w:rsidRPr="00EA19F0">
        <w:rPr>
          <w:rFonts w:asciiTheme="minorBidi" w:eastAsia="Times New Roman" w:hAnsiTheme="minorBidi"/>
          <w:kern w:val="0"/>
          <w:sz w:val="24"/>
          <w:szCs w:val="24"/>
          <w:lang w:eastAsia="en-IN"/>
          <w14:ligatures w14:val="none"/>
        </w:rPr>
        <w:t xml:space="preserve">including soil erosion control, improved turbidity mitigation techniques, and </w:t>
      </w:r>
      <w:r w:rsidR="0060098B" w:rsidRPr="00EA19F0">
        <w:rPr>
          <w:rFonts w:asciiTheme="minorBidi" w:eastAsia="Times New Roman" w:hAnsiTheme="minorBidi"/>
          <w:kern w:val="0"/>
          <w:sz w:val="24"/>
          <w:szCs w:val="24"/>
          <w:lang w:eastAsia="en-IN"/>
          <w14:ligatures w14:val="none"/>
        </w:rPr>
        <w:t xml:space="preserve">periodical assessment of water, particularly near the construction sites and city area, </w:t>
      </w:r>
      <w:r w:rsidRPr="00EA19F0">
        <w:rPr>
          <w:rFonts w:asciiTheme="minorBidi" w:eastAsia="Times New Roman" w:hAnsiTheme="minorBidi"/>
          <w:kern w:val="0"/>
          <w:sz w:val="24"/>
          <w:szCs w:val="24"/>
          <w:lang w:eastAsia="en-IN"/>
          <w14:ligatures w14:val="none"/>
        </w:rPr>
        <w:t>will be critical to safeguarding water security and guiding evidence-based policy in this fragile Himalayan environment.</w:t>
      </w:r>
    </w:p>
    <w:p w14:paraId="6CD13AF7" w14:textId="77777777" w:rsidR="00BA3E59" w:rsidRPr="00EA19F0" w:rsidRDefault="00BA3E59" w:rsidP="003261F5">
      <w:pPr>
        <w:spacing w:after="0" w:line="240" w:lineRule="auto"/>
        <w:jc w:val="both"/>
        <w:rPr>
          <w:rFonts w:asciiTheme="minorBidi" w:eastAsia="Times New Roman" w:hAnsiTheme="minorBidi"/>
          <w:kern w:val="0"/>
          <w:sz w:val="24"/>
          <w:szCs w:val="24"/>
          <w:lang w:eastAsia="en-IN"/>
          <w14:ligatures w14:val="none"/>
        </w:rPr>
      </w:pPr>
    </w:p>
    <w:p w14:paraId="6AB4C018" w14:textId="77777777" w:rsidR="00A249F1" w:rsidRPr="00EA19F0" w:rsidRDefault="00A249F1" w:rsidP="003261F5">
      <w:pPr>
        <w:spacing w:after="0" w:line="240" w:lineRule="auto"/>
        <w:rPr>
          <w:rFonts w:asciiTheme="minorBidi" w:eastAsia="Times New Roman" w:hAnsiTheme="minorBidi"/>
          <w:b/>
          <w:bCs/>
          <w:kern w:val="0"/>
          <w:sz w:val="24"/>
          <w:szCs w:val="24"/>
          <w:lang w:eastAsia="en-IN"/>
          <w14:ligatures w14:val="none"/>
        </w:rPr>
      </w:pPr>
      <w:r w:rsidRPr="00EA19F0">
        <w:rPr>
          <w:rFonts w:asciiTheme="minorBidi" w:eastAsia="Times New Roman" w:hAnsiTheme="minorBidi"/>
          <w:b/>
          <w:bCs/>
          <w:kern w:val="0"/>
          <w:sz w:val="24"/>
          <w:szCs w:val="24"/>
          <w:lang w:eastAsia="en-IN"/>
          <w14:ligatures w14:val="none"/>
        </w:rPr>
        <w:t>Declaration of Competing Interest</w:t>
      </w:r>
    </w:p>
    <w:p w14:paraId="333A3E9F" w14:textId="77777777" w:rsidR="00A249F1" w:rsidRPr="00EA19F0" w:rsidRDefault="00A249F1" w:rsidP="003261F5">
      <w:pPr>
        <w:spacing w:after="0" w:line="240" w:lineRule="auto"/>
        <w:jc w:val="both"/>
        <w:rPr>
          <w:rFonts w:asciiTheme="minorBidi" w:eastAsia="Times New Roman" w:hAnsiTheme="minorBidi"/>
          <w:kern w:val="0"/>
          <w:sz w:val="24"/>
          <w:szCs w:val="24"/>
          <w:lang w:eastAsia="en-IN"/>
          <w14:ligatures w14:val="none"/>
        </w:rPr>
      </w:pPr>
      <w:r w:rsidRPr="00EA19F0">
        <w:rPr>
          <w:rFonts w:asciiTheme="minorBidi" w:eastAsia="Times New Roman" w:hAnsiTheme="minorBidi"/>
          <w:kern w:val="0"/>
          <w:sz w:val="24"/>
          <w:szCs w:val="24"/>
          <w:lang w:eastAsia="en-IN"/>
          <w14:ligatures w14:val="none"/>
        </w:rPr>
        <w:t>The authors declare that they have no known competing financial interests or personal relationships that could have appeared to influence the work reported in this paper.</w:t>
      </w:r>
    </w:p>
    <w:p w14:paraId="5C8134CC" w14:textId="77777777" w:rsidR="00A249F1" w:rsidRPr="00EA19F0" w:rsidRDefault="00A249F1" w:rsidP="003261F5">
      <w:pPr>
        <w:spacing w:after="0" w:line="240" w:lineRule="auto"/>
        <w:rPr>
          <w:rFonts w:asciiTheme="minorBidi" w:eastAsia="Times New Roman" w:hAnsiTheme="minorBidi"/>
          <w:b/>
          <w:bCs/>
          <w:kern w:val="0"/>
          <w:sz w:val="24"/>
          <w:szCs w:val="24"/>
          <w:lang w:eastAsia="en-IN"/>
          <w14:ligatures w14:val="none"/>
        </w:rPr>
      </w:pPr>
      <w:r w:rsidRPr="00EA19F0">
        <w:rPr>
          <w:rFonts w:asciiTheme="minorBidi" w:eastAsia="Times New Roman" w:hAnsiTheme="minorBidi"/>
          <w:b/>
          <w:bCs/>
          <w:kern w:val="0"/>
          <w:sz w:val="24"/>
          <w:szCs w:val="24"/>
          <w:lang w:eastAsia="en-IN"/>
          <w14:ligatures w14:val="none"/>
        </w:rPr>
        <w:t>Data availability</w:t>
      </w:r>
    </w:p>
    <w:p w14:paraId="63D36A8C" w14:textId="77777777" w:rsidR="00A249F1" w:rsidRPr="00EA19F0" w:rsidRDefault="00A249F1" w:rsidP="003261F5">
      <w:pPr>
        <w:spacing w:after="0" w:line="240" w:lineRule="auto"/>
        <w:jc w:val="both"/>
        <w:rPr>
          <w:rFonts w:asciiTheme="minorBidi" w:eastAsia="Times New Roman" w:hAnsiTheme="minorBidi"/>
          <w:kern w:val="0"/>
          <w:sz w:val="24"/>
          <w:szCs w:val="24"/>
          <w:lang w:eastAsia="en-IN"/>
          <w14:ligatures w14:val="none"/>
        </w:rPr>
      </w:pPr>
      <w:r w:rsidRPr="00EA19F0">
        <w:rPr>
          <w:rFonts w:asciiTheme="minorBidi" w:eastAsia="Times New Roman" w:hAnsiTheme="minorBidi"/>
          <w:kern w:val="0"/>
          <w:sz w:val="24"/>
          <w:szCs w:val="24"/>
          <w:lang w:eastAsia="en-IN"/>
          <w14:ligatures w14:val="none"/>
        </w:rPr>
        <w:t>Data and materials used and generated in this work shall be made available upon request.</w:t>
      </w:r>
    </w:p>
    <w:p w14:paraId="76CF9C6C" w14:textId="77777777" w:rsidR="00F23E11" w:rsidRDefault="00F23E11" w:rsidP="008419BE">
      <w:pPr>
        <w:tabs>
          <w:tab w:val="left" w:pos="2760"/>
        </w:tabs>
        <w:spacing w:after="0" w:line="240" w:lineRule="auto"/>
        <w:rPr>
          <w:rFonts w:asciiTheme="minorBidi" w:hAnsiTheme="minorBidi"/>
          <w:sz w:val="24"/>
          <w:szCs w:val="24"/>
        </w:rPr>
      </w:pPr>
    </w:p>
    <w:p w14:paraId="61B15D0F" w14:textId="058CF53F" w:rsidR="008419BE" w:rsidRPr="008419BE" w:rsidRDefault="008419BE" w:rsidP="008419BE">
      <w:pPr>
        <w:tabs>
          <w:tab w:val="left" w:pos="2760"/>
        </w:tabs>
        <w:spacing w:after="0" w:line="240" w:lineRule="auto"/>
        <w:rPr>
          <w:rFonts w:asciiTheme="minorBidi" w:hAnsiTheme="minorBidi"/>
          <w:sz w:val="24"/>
          <w:szCs w:val="24"/>
        </w:rPr>
      </w:pPr>
      <w:r w:rsidRPr="008419BE">
        <w:rPr>
          <w:rFonts w:asciiTheme="minorBidi" w:hAnsiTheme="minorBidi"/>
          <w:b/>
          <w:bCs/>
          <w:sz w:val="24"/>
          <w:szCs w:val="24"/>
        </w:rPr>
        <w:t>DISCLAIMER (ARTIFICIAL INTELLIGENCE)</w:t>
      </w:r>
    </w:p>
    <w:p w14:paraId="09B690DB" w14:textId="6C4BF53E" w:rsidR="00A249F1" w:rsidRDefault="008419BE" w:rsidP="008419BE">
      <w:pPr>
        <w:tabs>
          <w:tab w:val="left" w:pos="2760"/>
        </w:tabs>
        <w:spacing w:after="0" w:line="240" w:lineRule="auto"/>
        <w:jc w:val="both"/>
        <w:rPr>
          <w:rFonts w:asciiTheme="minorBidi" w:hAnsiTheme="minorBidi"/>
          <w:sz w:val="24"/>
          <w:szCs w:val="24"/>
        </w:rPr>
      </w:pPr>
      <w:r w:rsidRPr="008419BE">
        <w:rPr>
          <w:rFonts w:asciiTheme="minorBidi" w:hAnsiTheme="minorBidi"/>
          <w:sz w:val="24"/>
          <w:szCs w:val="24"/>
        </w:rPr>
        <w:t>The author(s) hereby declare that no generative AI technologies (such as Large Language Models, e.g., ChatGPT, Copilot, etc., or text-to-image generation tools) were used in the preparation, writing, or editing of this manuscript.</w:t>
      </w:r>
    </w:p>
    <w:p w14:paraId="64AD61AB" w14:textId="77777777" w:rsidR="008419BE" w:rsidRPr="00EA19F0" w:rsidRDefault="008419BE" w:rsidP="003261F5">
      <w:pPr>
        <w:tabs>
          <w:tab w:val="left" w:pos="2760"/>
        </w:tabs>
        <w:spacing w:after="0" w:line="240" w:lineRule="auto"/>
        <w:jc w:val="both"/>
        <w:rPr>
          <w:rFonts w:asciiTheme="minorBidi" w:hAnsiTheme="minorBidi"/>
          <w:sz w:val="24"/>
          <w:szCs w:val="24"/>
        </w:rPr>
      </w:pPr>
    </w:p>
    <w:p w14:paraId="3BDFDB54" w14:textId="77777777" w:rsidR="00A249F1" w:rsidRPr="00EA19F0" w:rsidRDefault="00A249F1" w:rsidP="003261F5">
      <w:pPr>
        <w:tabs>
          <w:tab w:val="left" w:pos="2760"/>
        </w:tabs>
        <w:spacing w:after="0" w:line="240" w:lineRule="auto"/>
        <w:jc w:val="both"/>
        <w:rPr>
          <w:rFonts w:asciiTheme="minorBidi" w:hAnsiTheme="minorBidi"/>
          <w:sz w:val="24"/>
          <w:szCs w:val="24"/>
        </w:rPr>
      </w:pPr>
    </w:p>
    <w:p w14:paraId="15EE0115" w14:textId="73938CD0" w:rsidR="00A249F1" w:rsidRPr="00134746" w:rsidRDefault="00AD42B5" w:rsidP="00134746">
      <w:pPr>
        <w:spacing w:after="0" w:line="240" w:lineRule="auto"/>
        <w:jc w:val="both"/>
        <w:rPr>
          <w:rFonts w:asciiTheme="minorBidi" w:hAnsiTheme="minorBidi"/>
          <w:b/>
          <w:bCs/>
          <w:sz w:val="24"/>
          <w:szCs w:val="24"/>
        </w:rPr>
      </w:pPr>
      <w:r w:rsidRPr="00134746">
        <w:rPr>
          <w:rFonts w:asciiTheme="minorBidi" w:hAnsiTheme="minorBidi"/>
          <w:b/>
          <w:bCs/>
          <w:sz w:val="24"/>
          <w:szCs w:val="24"/>
        </w:rPr>
        <w:t>5</w:t>
      </w:r>
      <w:r w:rsidR="00A249F1" w:rsidRPr="00134746">
        <w:rPr>
          <w:rFonts w:asciiTheme="minorBidi" w:hAnsiTheme="minorBidi"/>
          <w:b/>
          <w:bCs/>
          <w:sz w:val="24"/>
          <w:szCs w:val="24"/>
        </w:rPr>
        <w:t>. References</w:t>
      </w:r>
    </w:p>
    <w:p w14:paraId="0C861DA1" w14:textId="2352491D" w:rsidR="008A33A4" w:rsidRPr="00134746" w:rsidRDefault="006145EE" w:rsidP="00134746">
      <w:pPr>
        <w:pStyle w:val="Bibliography"/>
        <w:jc w:val="both"/>
        <w:rPr>
          <w:rFonts w:asciiTheme="minorBidi" w:hAnsiTheme="minorBidi"/>
          <w:sz w:val="24"/>
          <w:szCs w:val="24"/>
        </w:rPr>
      </w:pPr>
      <w:r w:rsidRPr="00134746">
        <w:rPr>
          <w:rFonts w:asciiTheme="minorBidi" w:eastAsia="Times New Roman" w:hAnsiTheme="minorBidi"/>
          <w:sz w:val="24"/>
          <w:szCs w:val="24"/>
          <w:lang w:eastAsia="en-IN"/>
          <w14:ligatures w14:val="none"/>
        </w:rPr>
        <w:fldChar w:fldCharType="begin"/>
      </w:r>
      <w:r w:rsidR="008A33A4" w:rsidRPr="00134746">
        <w:rPr>
          <w:rFonts w:asciiTheme="minorBidi" w:eastAsia="Times New Roman" w:hAnsiTheme="minorBidi"/>
          <w:sz w:val="24"/>
          <w:szCs w:val="24"/>
          <w:lang w:eastAsia="en-IN"/>
          <w14:ligatures w14:val="none"/>
        </w:rPr>
        <w:instrText xml:space="preserve"> ADDIN ZOTERO_BIBL {"uncited":[],"omitted":[],"custom":[]} CSL_BIBLIOGRAPHY </w:instrText>
      </w:r>
      <w:r w:rsidRPr="00134746">
        <w:rPr>
          <w:rFonts w:asciiTheme="minorBidi" w:eastAsia="Times New Roman" w:hAnsiTheme="minorBidi"/>
          <w:sz w:val="24"/>
          <w:szCs w:val="24"/>
          <w:lang w:eastAsia="en-IN"/>
          <w14:ligatures w14:val="none"/>
        </w:rPr>
        <w:fldChar w:fldCharType="separate"/>
      </w:r>
      <w:r w:rsidR="008A33A4" w:rsidRPr="00134746">
        <w:rPr>
          <w:rFonts w:asciiTheme="minorBidi" w:hAnsiTheme="minorBidi"/>
          <w:sz w:val="24"/>
          <w:szCs w:val="24"/>
        </w:rPr>
        <w:t xml:space="preserve">Ahmad, T., Khanna, P.P., Chakrapani, G.J., Balakrishnan, S., 1998. Geochemical characteristics of water and sediment of the Indus </w:t>
      </w:r>
      <w:r w:rsidR="00134746" w:rsidRPr="00134746">
        <w:rPr>
          <w:rFonts w:asciiTheme="minorBidi" w:hAnsiTheme="minorBidi"/>
          <w:sz w:val="24"/>
          <w:szCs w:val="24"/>
        </w:rPr>
        <w:t>River</w:t>
      </w:r>
      <w:r w:rsidR="008A33A4" w:rsidRPr="00134746">
        <w:rPr>
          <w:rFonts w:asciiTheme="minorBidi" w:hAnsiTheme="minorBidi"/>
          <w:sz w:val="24"/>
          <w:szCs w:val="24"/>
        </w:rPr>
        <w:t>, Trans-Himalaya, India: constraints on weathering and erosion. J. Asian Earth Sci. 16, 333–346. https://doi.org/10.1016/S0743-9547(98)00016-6</w:t>
      </w:r>
    </w:p>
    <w:p w14:paraId="102B503B"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Ali, Gh., Chaudhari, M.P., Syed, S., Rajpurohit, D., Sanyal, M., Shrivastav, P.S., 2024a. Hydrogeochemical investigation and water quality assessment of the Indus River in the semiarid region of Ladakh, India. Mar. Pollut. Bull. 211, 117413. https://doi.org/10.1016/j.marpolbul.2024.117413</w:t>
      </w:r>
    </w:p>
    <w:p w14:paraId="68B19763"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Ali, Gh., Chaudharı, M., Shah, P., Shrivastav, P., 2024b. Temporal changes in water quality in Leh Ladakh region: Impact of urbanization. Environ. Res. Technol. 7, 637–664. https://doi.org/10.35208/ert.1431710</w:t>
      </w:r>
    </w:p>
    <w:p w14:paraId="00099466"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Azeez, P.A., Nadarajan, N., Mittel, D., 2000. The impact of a monsoonal wetland on ground water chemistry. Pollut. Res. 19, 249–255.</w:t>
      </w:r>
    </w:p>
    <w:p w14:paraId="0A8EC1F5"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Bănăduc, D., Simić, V., Cianfaglione, K., Barinova, S., Afanasyev, S., Öktener, A., McCall, G., Simić, S., Curtean-Bănăduc, A., 2022. Freshwater as a Sustainable Resource and Generator of Secondary Resources in the 21st Century: Stressors, Threats, Risks, Management and Protection Strategies, and Conservation Approaches. Int. J. Environ. Res. Public. Health 19, 16570. https://doi.org/10.3390/ijerph192416570</w:t>
      </w:r>
    </w:p>
    <w:p w14:paraId="21B390A0"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Benmerabet, N., Sedrati, N., Djabri, L., 2025. Hydrogeochemical processes, water–rock interactions, and the suitability of groundwater in a semi-arid region, Northeastern Algeria. Water Supply 25, 404–423. https://doi.org/10.2166/ws.2025.023</w:t>
      </w:r>
    </w:p>
    <w:p w14:paraId="00C0093D"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BIS, I.S.D.W.S., 2012. Bureau of Indian Standards. New Delhi 2–3.</w:t>
      </w:r>
    </w:p>
    <w:p w14:paraId="622F1285"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Bisht, H., Kotlia, B.S., Kumar, K., Taloor, A.K., Arya, P.C., Sah, S.K., Agnihotri, V., Tewari, M., Upadhyay, R., 2022. Hydrogeochemical analysis and identification of solute sources in the meltwater of Chaturangi glacier, Garhwal Himalaya, India. Appl. Water Sci. 12, 29. https://doi.org/10.1007/s13201-021-01510-5</w:t>
      </w:r>
    </w:p>
    <w:p w14:paraId="182FB1CA" w14:textId="77777777" w:rsid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 xml:space="preserve">Blum, J.D., Gazis, C.A., Jacobson, A.D., Page Chamberlain, C., 1998. Carbonate versus silicate weathering in the Raikhot watershed within the High Himalayan Crystalline Series. Geology 26, 411–414. </w:t>
      </w:r>
    </w:p>
    <w:p w14:paraId="42E65C59" w14:textId="4393CD17" w:rsidR="008A33A4" w:rsidRPr="00134746" w:rsidRDefault="008A33A4" w:rsidP="00134746">
      <w:pPr>
        <w:pStyle w:val="Bibliography"/>
        <w:ind w:firstLine="0"/>
        <w:jc w:val="both"/>
        <w:rPr>
          <w:rFonts w:asciiTheme="minorBidi" w:hAnsiTheme="minorBidi"/>
          <w:sz w:val="24"/>
          <w:szCs w:val="24"/>
        </w:rPr>
      </w:pPr>
      <w:r w:rsidRPr="00134746">
        <w:rPr>
          <w:rFonts w:asciiTheme="minorBidi" w:hAnsiTheme="minorBidi"/>
          <w:sz w:val="24"/>
          <w:szCs w:val="24"/>
        </w:rPr>
        <w:lastRenderedPageBreak/>
        <w:t>https://doi.org/10.1130/0091-7613(1998)026%3C0411:CVSWIT%3E2.3.CO;2</w:t>
      </w:r>
    </w:p>
    <w:p w14:paraId="1A719415"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Boyd, C.E., 2015. Total Hardness, in: Boyd, C.E. (Ed.), Water Quality: An Introduction. Springer International Publishing, Cham, pp. 179–187. https://doi.org/10.1007/978-3-319-17446-4_9</w:t>
      </w:r>
    </w:p>
    <w:p w14:paraId="124AA3A0"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Boyd, C.E., Tucker, C.S., Somridhivej, B., 2016. Alkalinity and Hardness: Critical but Elusive Concepts in Aquaculture. J. World Aquac. Soc. 47, 6–41. https://doi.org/10.1111/jwas.12241</w:t>
      </w:r>
    </w:p>
    <w:p w14:paraId="5473FB3A"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Brown, G.H., Sharp, M., Tranter, M., 1996. Subglacial chemical erosion: seasonal variations in solute provenance, Haut Glacier d’Arolla, Valais, Switzerland. Ann. Glaciol. 22, 25–31. https://doi.org/10.3189/1996AoG22-1-25-31</w:t>
      </w:r>
    </w:p>
    <w:p w14:paraId="0079D291" w14:textId="2331BED1"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CPCB, 2018. River stretches for restoration of water quality [</w:t>
      </w:r>
      <w:r w:rsidR="00134746">
        <w:rPr>
          <w:rFonts w:asciiTheme="minorBidi" w:hAnsiTheme="minorBidi"/>
          <w:sz w:val="24"/>
          <w:szCs w:val="24"/>
        </w:rPr>
        <w:t>Online</w:t>
      </w:r>
      <w:r w:rsidRPr="00134746">
        <w:rPr>
          <w:rFonts w:asciiTheme="minorBidi" w:hAnsiTheme="minorBidi"/>
          <w:sz w:val="24"/>
          <w:szCs w:val="24"/>
        </w:rPr>
        <w:t xml:space="preserve"> Document]. URL https://cpcb.nic.in/wqm/PollutedStretches-2018.pdf</w:t>
      </w:r>
    </w:p>
    <w:p w14:paraId="5C8FA6C4"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Dame, J., Schmidt, S., Müller, J., Nüsser, M., 2019. Urbanisation and socio-ecological challenges in high mountain towns: Insights from Leh (Ladakh), India. Landsc. Urban Plan. 189, 189–199. https://doi.org/10.1016/j.landurbplan.2019.04.017</w:t>
      </w:r>
    </w:p>
    <w:p w14:paraId="0DFD9FD9" w14:textId="2237688E"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DDNEWS, 2024. Centre announces five new districts in Ladakh [</w:t>
      </w:r>
      <w:r w:rsidR="00134746">
        <w:rPr>
          <w:rFonts w:asciiTheme="minorBidi" w:hAnsiTheme="minorBidi"/>
          <w:sz w:val="24"/>
          <w:szCs w:val="24"/>
        </w:rPr>
        <w:t>Online</w:t>
      </w:r>
      <w:r w:rsidRPr="00134746">
        <w:rPr>
          <w:rFonts w:asciiTheme="minorBidi" w:hAnsiTheme="minorBidi"/>
          <w:sz w:val="24"/>
          <w:szCs w:val="24"/>
        </w:rPr>
        <w:t xml:space="preserve"> Document]. ddnews. URL https://ddnews.gov.in/en/centre-announces-five-new-districts-in-ladakh/ (accessed 8.2.25).</w:t>
      </w:r>
    </w:p>
    <w:p w14:paraId="55EA0353"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Dehnavi, A., Sarikhani, R., Nagaraju, D., 2011. Hydro geochemical and rock water interaction studies in East of Kurdistan, N-W of Iran. Int J Env. Sci Res 1.</w:t>
      </w:r>
    </w:p>
    <w:p w14:paraId="0D8E6989"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Dey, S., Majumdar, A., 2024. Current Status of Pollution in Major Rivers and Tributaries of India and Protection-Restoration Strategies, in: Kanhaiya, S., Singh, S., Dixit, A., Singh, A.K. (Eds.), Rivers of India: Past, Present and Future. Springer International Publishing, Cham, pp. 69–93. https://doi.org/10.1007/978-3-031-49163-4_4</w:t>
      </w:r>
    </w:p>
    <w:p w14:paraId="2B737334"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du Plessis, A., 2022. Persistent degradation: Global water quality challenges and required actions. One Earth 5, 129–131. https://doi.org/10.1016/j.oneear.2022.01.005</w:t>
      </w:r>
    </w:p>
    <w:p w14:paraId="071761D8"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Gaillardet, J., Dupré, B., Louvat, P., Allègre, C.J., 1999. Global silicate weathering and CO2 consumption rates deduced from the chemistry of large rivers. Chem. Geol. 159, 3–30. https://doi.org/10.1016/S0009-2541(99)00031-5</w:t>
      </w:r>
    </w:p>
    <w:p w14:paraId="271147AE"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Gibbs, R.J., 1970. Mechanisms Controlling World Water Chemistry. Sci. New Ser. 170, 1088–1090.</w:t>
      </w:r>
    </w:p>
    <w:p w14:paraId="5CF79821"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Graham, D.J., Bierkens, M.F.P., van Vliet, M.T.H., 2024. Impacts of droughts and heatwaves on river water quality worldwide. J. Hydrol. 629, 130590. https://doi.org/10.1016/j.jhydrol.2023.130590</w:t>
      </w:r>
    </w:p>
    <w:p w14:paraId="2194137D"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Hāṇḍā, O., 2001. Buddhist Western Himalaya: A politico-religious history. Indus Publishing.</w:t>
      </w:r>
    </w:p>
    <w:p w14:paraId="48BC72A8" w14:textId="683C4F36"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Home |Department of Registration| Government of J&amp;K [</w:t>
      </w:r>
      <w:r w:rsidR="00134746">
        <w:rPr>
          <w:rFonts w:asciiTheme="minorBidi" w:hAnsiTheme="minorBidi"/>
          <w:sz w:val="24"/>
          <w:szCs w:val="24"/>
        </w:rPr>
        <w:t>Online</w:t>
      </w:r>
      <w:r w:rsidRPr="00134746">
        <w:rPr>
          <w:rFonts w:asciiTheme="minorBidi" w:hAnsiTheme="minorBidi"/>
          <w:sz w:val="24"/>
          <w:szCs w:val="24"/>
        </w:rPr>
        <w:t xml:space="preserve"> Document], 2025. Govt J K. URL https://igr.jk.gov.in/ (accessed 8.2.25).</w:t>
      </w:r>
    </w:p>
    <w:p w14:paraId="0087857B" w14:textId="1D24DD8B"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Hren, M.T., Chamberlain, C.P., Hilley, G.E., Blisniuk, P.M., Bookhagen, B., 2007. Major ion chemistry of the Yarlung Tsangpo–</w:t>
      </w:r>
      <w:r w:rsidR="00134746" w:rsidRPr="00134746">
        <w:rPr>
          <w:rFonts w:asciiTheme="minorBidi" w:hAnsiTheme="minorBidi"/>
          <w:sz w:val="24"/>
          <w:szCs w:val="24"/>
        </w:rPr>
        <w:t>Brahmaputra River</w:t>
      </w:r>
      <w:r w:rsidRPr="00134746">
        <w:rPr>
          <w:rFonts w:asciiTheme="minorBidi" w:hAnsiTheme="minorBidi"/>
          <w:sz w:val="24"/>
          <w:szCs w:val="24"/>
        </w:rPr>
        <w:t>: Chemical weathering, erosion, and CO2 consumption in the southern Tibetan plateau and eastern syntaxis of the Himalaya. Geochim. Cosmochim. Acta 71, 2907–2935. https://doi.org/10.1016/j.gca.2007.03.021</w:t>
      </w:r>
    </w:p>
    <w:p w14:paraId="6A18691E"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Kitchener, B.G., Wainwright, J., Parsons, A.J., 2017. A review of the principles of turbidity measurement. Prog. Phys. Geogr. https://doi.org/10.1177/0309133317726540</w:t>
      </w:r>
    </w:p>
    <w:p w14:paraId="45858EE6"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Koul, M.N., Bahuguna, I.M., Ajai, Rajawat, A.S., Ali, S., Koul, S., 2016. Glacier Area Change over Past 50 Years to Stable Phase in Drass Valley, Ladakh Himalaya (India). Am. J. Clim. Change 05, 88. https://doi.org/10.4236/ajcc.2016.51010</w:t>
      </w:r>
    </w:p>
    <w:p w14:paraId="2FC7DB2F" w14:textId="3505B855"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Krishnan, A.S., Smith, S.D., Spontak, R.J., 2012. Ternary Phase Behavior of a Triblock Copolymer in the Presence of an Endblock-Selective Homopolymer and a Midblock-Selective Oil [</w:t>
      </w:r>
      <w:r w:rsidR="00134746">
        <w:rPr>
          <w:rFonts w:asciiTheme="minorBidi" w:hAnsiTheme="minorBidi"/>
          <w:sz w:val="24"/>
          <w:szCs w:val="24"/>
        </w:rPr>
        <w:t>Online</w:t>
      </w:r>
      <w:r w:rsidRPr="00134746">
        <w:rPr>
          <w:rFonts w:asciiTheme="minorBidi" w:hAnsiTheme="minorBidi"/>
          <w:sz w:val="24"/>
          <w:szCs w:val="24"/>
        </w:rPr>
        <w:t xml:space="preserve"> Document]. ACS Publ. https://doi.org/10.1021/ma300417u</w:t>
      </w:r>
    </w:p>
    <w:p w14:paraId="21305472"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lastRenderedPageBreak/>
        <w:t>Kumar, Ramesh, Kumar, Rajesh, Singh, A., Singh, S., Bhardwaj, A., Kumari, A., Sinha, R.K., Gupta, A., 2019. Hydro-geochemical analysis of meltwater draining from Bilare Banga glacier, Western Himalaya. Acta Geophys. 67, 651–660. https://doi.org/10.1007/s11600-019-00262-w</w:t>
      </w:r>
    </w:p>
    <w:p w14:paraId="56245FFF"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LAHDC Kargil, 2025. Drass | District Kargil, Union Territory of Ladakh | India. Kargil Ladakh. URL https://kargil.nic.in/tourist-place/drass/ (accessed 8.23.25).</w:t>
      </w:r>
    </w:p>
    <w:p w14:paraId="4C839785"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Łepkowska, E., Stachnik, Ł., 2018. Which Drivers Control the Suspended Sediment Flux in a High Arctic Glacierized Basin (Werenskioldbreen, Spitsbergen)? Water 10, 1408. https://doi.org/10.3390/w10101408</w:t>
      </w:r>
    </w:p>
    <w:p w14:paraId="6F58BA02"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Magaritz, M., Aravena, R., Peña, H., Suzuki, O., Grilli, A., 1989. Water chemistry and isotope study of streams and springs in northern Chile. J. Hydrol. 108, 323–341. https://doi.org/10.1016/0022-1694(89)90292-8</w:t>
      </w:r>
    </w:p>
    <w:p w14:paraId="39E4BFC2"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Magesh, N.S., Chandrasekar, N., 2013. Evaluation of spatial variations in groundwater quality by WQI and GIS technique: a case study of Virudunagar District, Tamil Nadu, India. Arab. J. Geosci. 6, 1883–1898. https://doi.org/10.1007/s12517-011-0496-z</w:t>
      </w:r>
    </w:p>
    <w:p w14:paraId="179D5803"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Meybeck, M., 1987. Global chemical weathering of surficial rocks estimated from river dissolved loads. Am. J. Sci. 287, 401–428. https://doi.org/10.2475/ajs.287.5.401</w:t>
      </w:r>
    </w:p>
    <w:p w14:paraId="0A461919"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Meybeck, M., 1983. Atmospheric inputs and river transport of dissolved substances. Dissolved Loads Rivers Surf. Water Quant. Relatsh. 141, 173–192.</w:t>
      </w:r>
    </w:p>
    <w:p w14:paraId="3E3D9BCA" w14:textId="2D22D50E"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 xml:space="preserve">Möller, D., 2002. The Na/CL ratio in rainwater and the </w:t>
      </w:r>
      <w:r w:rsidR="00134746">
        <w:rPr>
          <w:rFonts w:asciiTheme="minorBidi" w:hAnsiTheme="minorBidi"/>
          <w:sz w:val="24"/>
          <w:szCs w:val="24"/>
        </w:rPr>
        <w:t>sea salt</w:t>
      </w:r>
      <w:r w:rsidRPr="00134746">
        <w:rPr>
          <w:rFonts w:asciiTheme="minorBidi" w:hAnsiTheme="minorBidi"/>
          <w:sz w:val="24"/>
          <w:szCs w:val="24"/>
        </w:rPr>
        <w:t xml:space="preserve"> chloride cycle. Tellus B 42, 254–262. https://doi.org/10.1034/j.1600-0889.1990.t01-1-00004.x</w:t>
      </w:r>
    </w:p>
    <w:p w14:paraId="5C8E67B4" w14:textId="2383F7E0"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 xml:space="preserve">Natarajan, M., Subramanian, V., 2001. Fluoride concentration in river waters of </w:t>
      </w:r>
      <w:r w:rsidR="00134746">
        <w:rPr>
          <w:rFonts w:asciiTheme="minorBidi" w:hAnsiTheme="minorBidi"/>
          <w:sz w:val="24"/>
          <w:szCs w:val="24"/>
        </w:rPr>
        <w:t>South</w:t>
      </w:r>
      <w:r w:rsidRPr="00134746">
        <w:rPr>
          <w:rFonts w:asciiTheme="minorBidi" w:hAnsiTheme="minorBidi"/>
          <w:sz w:val="24"/>
          <w:szCs w:val="24"/>
        </w:rPr>
        <w:t xml:space="preserve"> Asia. Curr. Sci. 80, 1312–1319.</w:t>
      </w:r>
    </w:p>
    <w:p w14:paraId="5E2D3DA1"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Négrel, P., Allègre, C.J., Dupré, B., Lewin, E., 1993. Erosion sources determined by inversion of major and trace element ratios and strontium isotopic ratios in river water: the Congo Basin case. Earth Planet. Sci. Lett. 120, 59–76.</w:t>
      </w:r>
    </w:p>
    <w:p w14:paraId="08A23025" w14:textId="0F2FCDA1"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 xml:space="preserve">Pande, K., Sarin, M.M., Trivedi, J.R., Krishnaswami, S., Sharma, K.K., 1994. </w:t>
      </w:r>
      <w:r w:rsidR="00134746" w:rsidRPr="00134746">
        <w:rPr>
          <w:rFonts w:asciiTheme="minorBidi" w:hAnsiTheme="minorBidi"/>
          <w:sz w:val="24"/>
          <w:szCs w:val="24"/>
        </w:rPr>
        <w:t>The Indus River</w:t>
      </w:r>
      <w:r w:rsidRPr="00134746">
        <w:rPr>
          <w:rFonts w:asciiTheme="minorBidi" w:hAnsiTheme="minorBidi"/>
          <w:sz w:val="24"/>
          <w:szCs w:val="24"/>
        </w:rPr>
        <w:t xml:space="preserve"> system (India-Pakistan): Major-ion chemistry, uranium and strontium isotopes. Chem. Geol. 116, 245–259. https://doi.org/10.1016/0009-2541(94)90017-5</w:t>
      </w:r>
    </w:p>
    <w:p w14:paraId="511DA912"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Pásková, M., Štekerová, K., Zanker, M., Lasisi, T.T., Zelenka, J., 2024. Water pollution generated by tourism: Review of system dynamics models. Heliyon 10, e23824. https://doi.org/10.1016/j.heliyon.2023.e23824</w:t>
      </w:r>
    </w:p>
    <w:p w14:paraId="79EC0921"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Pattanaik, J.K., Balakrishnan, S., Bhutani, R., Singh, P., 2013. Estimation of weathering rates and CO2 drawdown based on solute load: Significance of granulites and gneisses dominated weathering in the Kaveri River basin, Southern India. Geochim. Cosmochim. Acta 121, 611–636. https://doi.org/10.1016/j.gca.2013.08.002</w:t>
      </w:r>
    </w:p>
    <w:p w14:paraId="6F271EE9"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Piper, A.M., 1944. A graphic procedure in the geochemical interpretation of water</w:t>
      </w:r>
      <w:r w:rsidRPr="00134746">
        <w:rPr>
          <w:rFonts w:ascii="Cambria Math" w:hAnsi="Cambria Math" w:cs="Cambria Math"/>
          <w:sz w:val="24"/>
          <w:szCs w:val="24"/>
        </w:rPr>
        <w:t>‐</w:t>
      </w:r>
      <w:r w:rsidRPr="00134746">
        <w:rPr>
          <w:rFonts w:asciiTheme="minorBidi" w:hAnsiTheme="minorBidi"/>
          <w:sz w:val="24"/>
          <w:szCs w:val="24"/>
        </w:rPr>
        <w:t>analyses. Eos Trans. Am. Geophys. Union 25, 914</w:t>
      </w:r>
      <w:r w:rsidRPr="00134746">
        <w:rPr>
          <w:rFonts w:ascii="Arial" w:hAnsi="Arial" w:cs="Arial"/>
          <w:sz w:val="24"/>
          <w:szCs w:val="24"/>
        </w:rPr>
        <w:t>–</w:t>
      </w:r>
      <w:r w:rsidRPr="00134746">
        <w:rPr>
          <w:rFonts w:asciiTheme="minorBidi" w:hAnsiTheme="minorBidi"/>
          <w:sz w:val="24"/>
          <w:szCs w:val="24"/>
        </w:rPr>
        <w:t>928. https://doi.org/10.1029/TR025i006p00914</w:t>
      </w:r>
    </w:p>
    <w:p w14:paraId="4AD9CE73"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Rana, B., Jha, S., Molla, S., Kulkarni, M., 2022. Hydrogeochemical characterization and evaluation of subsurface water quality in the Proterozoic Cuddapah Basin, Andhra Pradesh, India. Environ. Monit. Assess. 194. https://doi.org/10.1007/s10661-022-10501-1</w:t>
      </w:r>
    </w:p>
    <w:p w14:paraId="20D1EAB8"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Rice, E.W., Bridgewater, L., APHA, 2012. Standard methods for the examination of water and wastewater, 23rd ed. American Public Health Association, American Water Works Association, Water Environment Federation.</w:t>
      </w:r>
    </w:p>
    <w:p w14:paraId="30265FA0"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Salerno, F., Rogora, M., Balestrini, R., Lami, A., Tartari, G.A., Thakuri, S., Godone, D., Freppaz, M., Tartari, G., 2016. Glacier Melting Increases the Solute Concentrations of Himalayan Glacial Lakes. Environ. Sci. Technol. 50, 9150–9160. https://doi.org/10.1021/acs.est.6b02735</w:t>
      </w:r>
    </w:p>
    <w:p w14:paraId="4B2F3B3D"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lastRenderedPageBreak/>
        <w:t>Sarin, M.M., Krishnaswami, S., Dilli, K., Somayajulu, B.L.K., Moore, W.S., 1989. Major ion chemistry of the Ganga-Brahmaputra river system: weathering processes and fluxes to the Bay of Bengal. Geochim. Cosmochim. Acta 53, 997–1009.</w:t>
      </w:r>
    </w:p>
    <w:p w14:paraId="6E008340"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Sawyer, C.N., 1967. Chemistry for Sanitary Engineers. McGraw-Hill.</w:t>
      </w:r>
    </w:p>
    <w:p w14:paraId="24B82444"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Selvam, S., Jesuraja, K., Roy, P.D., Venkatramanan, S., Chung, S.Y., Elzain, H.E., Muthukumar, P., Nath, A.V., Karthik, R., 2021. Assessment of groundwater from an industrial coastal area of south India for human health risk from consumption and irrigation suitability. Environ. Res. 200, 111461.</w:t>
      </w:r>
    </w:p>
    <w:p w14:paraId="4753FB7A"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Sharma, G., Lata, R., Thakur, N., Bajala, V., Kuniyal, J.C., Kumar, K., 2021. Application of multivariate statistical analysis and water quality index for quality characterization of Parbati River, Northwestern Himalaya, India. Discov. Water 1, 5. https://doi.org/10.1007/s43832-021-00005-3</w:t>
      </w:r>
    </w:p>
    <w:p w14:paraId="7BE348B0"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Sharma, P., Ramanathan, A.L., Pottakkal, J., 2013. Study of solute sources and evolution of hydrogeochemical processes of the Chhota Shigri Glacier meltwaters, Himachal Himalaya, India. Hydrol. Sci. J. 58, 1128–1143. https://doi.org/10.1080/02626667.2013.802092</w:t>
      </w:r>
    </w:p>
    <w:p w14:paraId="5968922E" w14:textId="2DDF467D"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Sharma, S.N., 2018. Drass: Summer in Drass, India’s coldest inhabited place - The Economic Times [</w:t>
      </w:r>
      <w:r w:rsidR="00134746">
        <w:rPr>
          <w:rFonts w:asciiTheme="minorBidi" w:hAnsiTheme="minorBidi"/>
          <w:sz w:val="24"/>
          <w:szCs w:val="24"/>
        </w:rPr>
        <w:t>Online</w:t>
      </w:r>
      <w:r w:rsidRPr="00134746">
        <w:rPr>
          <w:rFonts w:asciiTheme="minorBidi" w:hAnsiTheme="minorBidi"/>
          <w:sz w:val="24"/>
          <w:szCs w:val="24"/>
        </w:rPr>
        <w:t xml:space="preserve"> Document]. Summer Drass India’s Coldest Inhabited Place. URL https://economictimes.indiatimes.com/magazines/panache/summer-in-drass-indias-coldest-inhabited-place/articleshow/64141398.cms?from=mdr (accessed 8.23.25).</w:t>
      </w:r>
    </w:p>
    <w:p w14:paraId="1BBCCD7F"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Singh, A.T., Sharma, P., Sharma, C., Laluraj, C.M., Patel, L., Pratap, B., Oulkar, S., Thamban, M., 2020. Water discharge and suspended sediment dynamics in the Chandra River, Western Himalaya. J. Earth Syst. Sci. 129, 206. https://doi.org/10.1007/s12040-020-01455-4</w:t>
      </w:r>
    </w:p>
    <w:p w14:paraId="3524525C"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Singh, V.B., Ramanathan, AL., Pottakkal, J.G., Kumar, M., 2014. Seasonal variation of the solute and suspended sediment load in Gangotri glacier meltwater, central Himalaya, India. J. Asian Earth Sci. 79, 224–234. https://doi.org/10.1016/j.jseaes.2013.09.010</w:t>
      </w:r>
    </w:p>
    <w:p w14:paraId="4D78695D"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Sun, B., Liu, J., Ren, F., Li, H., Zhang, G., Ma, J., Ma, B., Li, Z., 2022. Effects of seasonal freeze–thaw and wind erosion on runoff and sediment yields of three loamy slopes of Loess Plateau, China. CATENA 215, 106309. https://doi.org/10.1016/j.catena.2022.106309</w:t>
      </w:r>
    </w:p>
    <w:p w14:paraId="1F6EFBBD"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Tay, C.K., 2021. Hydrogeochemical framework of groundwater within the Asutifi-North District of the Brong-Ahafo Region, Ghana. Appl. Water Sci. 11, 72. https://doi.org/10.1007/s13201-021-01398-1</w:t>
      </w:r>
    </w:p>
    <w:p w14:paraId="7FBC4B29"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Thomas, J., Joseph, S., Thrivikramji, K.P., Manjusree, T.M., Arunkumar, K.S., 2014. Seasonal variation in major ion chemistry of a tropical mountain river, the southern Western Ghats, Kerala, India. Environ. Earth Sci. 71, 2333–2351. https://doi.org/10.1007/s12665-013-2634-2</w:t>
      </w:r>
    </w:p>
    <w:p w14:paraId="759C6B5D"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Tiwari, A.K., Singh, A.K., 2014. Hydrogeochemical investigation and groundwater quality assessment of Pratapgarh district, Uttar Pradesh. J. Geol. Soc. India 83, 329–343. https://doi.org/10.1007/s12594-014-0045-y</w:t>
      </w:r>
    </w:p>
    <w:p w14:paraId="0CCFB836" w14:textId="5F2C5150"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Tranter, M., Sharp, M.J., Brown, G.H., Willis, I.C., Hubbard, B.P., Nielsen, M.K., Smart, C.C., Gordon, S., Tulley, M., Lamb, H.R., 1997. Variability in the Chemical Composition of in Situ Subglacial Meltwaters. Hydrol. Process. 11, 59–77. https://doi.org/10.1002/(SICI)1099-1085(199701)11:1&lt;59:</w:t>
      </w:r>
      <w:r w:rsidR="00134746">
        <w:rPr>
          <w:rFonts w:asciiTheme="minorBidi" w:hAnsiTheme="minorBidi"/>
          <w:sz w:val="24"/>
          <w:szCs w:val="24"/>
        </w:rPr>
        <w:t xml:space="preserve"> </w:t>
      </w:r>
      <w:r w:rsidRPr="00134746">
        <w:rPr>
          <w:rFonts w:asciiTheme="minorBidi" w:hAnsiTheme="minorBidi"/>
          <w:sz w:val="24"/>
          <w:szCs w:val="24"/>
        </w:rPr>
        <w:t>AID-HYP403&gt;3.0.CO;2-S</w:t>
      </w:r>
    </w:p>
    <w:p w14:paraId="17DAB8FA" w14:textId="4B3240ED"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UN World Water Development Report 2024 [</w:t>
      </w:r>
      <w:r w:rsidR="00134746">
        <w:rPr>
          <w:rFonts w:asciiTheme="minorBidi" w:hAnsiTheme="minorBidi"/>
          <w:sz w:val="24"/>
          <w:szCs w:val="24"/>
        </w:rPr>
        <w:t>Online</w:t>
      </w:r>
      <w:r w:rsidRPr="00134746">
        <w:rPr>
          <w:rFonts w:asciiTheme="minorBidi" w:hAnsiTheme="minorBidi"/>
          <w:sz w:val="24"/>
          <w:szCs w:val="24"/>
        </w:rPr>
        <w:t xml:space="preserve"> Document], 2024. UN World Water Dev. Rep. URL https://</w:t>
      </w:r>
      <w:r w:rsidR="00134746">
        <w:rPr>
          <w:rFonts w:asciiTheme="minorBidi" w:hAnsiTheme="minorBidi"/>
          <w:sz w:val="24"/>
          <w:szCs w:val="24"/>
        </w:rPr>
        <w:t>Online</w:t>
      </w:r>
      <w:r w:rsidRPr="00134746">
        <w:rPr>
          <w:rFonts w:asciiTheme="minorBidi" w:hAnsiTheme="minorBidi"/>
          <w:sz w:val="24"/>
          <w:szCs w:val="24"/>
        </w:rPr>
        <w:t>.unwater.org/publications/un-world-water-development-report-2024 (accessed 6.15.24).</w:t>
      </w:r>
    </w:p>
    <w:p w14:paraId="3CF6FBA1" w14:textId="0CBB84B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lastRenderedPageBreak/>
        <w:t>UNESCO, 2021. The Global Water Quality Challenge &amp; SDGs [</w:t>
      </w:r>
      <w:r w:rsidR="00134746">
        <w:rPr>
          <w:rFonts w:asciiTheme="minorBidi" w:hAnsiTheme="minorBidi"/>
          <w:sz w:val="24"/>
          <w:szCs w:val="24"/>
        </w:rPr>
        <w:t>Online</w:t>
      </w:r>
      <w:r w:rsidRPr="00134746">
        <w:rPr>
          <w:rFonts w:asciiTheme="minorBidi" w:hAnsiTheme="minorBidi"/>
          <w:sz w:val="24"/>
          <w:szCs w:val="24"/>
        </w:rPr>
        <w:t xml:space="preserve"> Document]. Intergov. Hydrol. Programme. URL https://en.unesco.org/ waterquality-iiwq/wq-challenge. (accessed 8.3.25).</w:t>
      </w:r>
    </w:p>
    <w:p w14:paraId="6A201ACA" w14:textId="7A47FA2A"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UN-Water, 2023. UN World Water Development Report 2023 [</w:t>
      </w:r>
      <w:r w:rsidR="00134746">
        <w:rPr>
          <w:rFonts w:asciiTheme="minorBidi" w:hAnsiTheme="minorBidi"/>
          <w:sz w:val="24"/>
          <w:szCs w:val="24"/>
        </w:rPr>
        <w:t>Online</w:t>
      </w:r>
      <w:r w:rsidRPr="00134746">
        <w:rPr>
          <w:rFonts w:asciiTheme="minorBidi" w:hAnsiTheme="minorBidi"/>
          <w:sz w:val="24"/>
          <w:szCs w:val="24"/>
        </w:rPr>
        <w:t xml:space="preserve"> Document]. UN World Water Dev. Rep. 2023. URL https://</w:t>
      </w:r>
      <w:r w:rsidR="00134746">
        <w:rPr>
          <w:rFonts w:asciiTheme="minorBidi" w:hAnsiTheme="minorBidi"/>
          <w:sz w:val="24"/>
          <w:szCs w:val="24"/>
        </w:rPr>
        <w:t>Online</w:t>
      </w:r>
      <w:r w:rsidRPr="00134746">
        <w:rPr>
          <w:rFonts w:asciiTheme="minorBidi" w:hAnsiTheme="minorBidi"/>
          <w:sz w:val="24"/>
          <w:szCs w:val="24"/>
        </w:rPr>
        <w:t>.unwater.org/publications/un-world-water-development-report-2023 (accessed 8.4.25).</w:t>
      </w:r>
    </w:p>
    <w:p w14:paraId="6CB0A646" w14:textId="6FFC82C5"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 xml:space="preserve">Vinnarasi, F., Srinivasamoorthy, K., Saravanan, K., Gopinath, S., Prakash, R., Ponnumani, G., Babu, C., 2021. Chemical weathering and atmospheric carbon dioxide (CO2) consumption in Shanmuganadhi, South India: </w:t>
      </w:r>
      <w:r w:rsidR="00134746" w:rsidRPr="00134746">
        <w:rPr>
          <w:rFonts w:asciiTheme="minorBidi" w:hAnsiTheme="minorBidi"/>
          <w:sz w:val="24"/>
          <w:szCs w:val="24"/>
        </w:rPr>
        <w:t>evidence</w:t>
      </w:r>
      <w:r w:rsidR="00134746">
        <w:rPr>
          <w:rFonts w:asciiTheme="minorBidi" w:hAnsiTheme="minorBidi"/>
          <w:sz w:val="24"/>
          <w:szCs w:val="24"/>
        </w:rPr>
        <w:t>s</w:t>
      </w:r>
      <w:r w:rsidRPr="00134746">
        <w:rPr>
          <w:rFonts w:asciiTheme="minorBidi" w:hAnsiTheme="minorBidi"/>
          <w:sz w:val="24"/>
          <w:szCs w:val="24"/>
        </w:rPr>
        <w:t xml:space="preserve"> from groundwater geochemistry. Environ. Geochem. Health 43, 771–790. https://doi.org/10.1007/s10653-020-00540-3</w:t>
      </w:r>
    </w:p>
    <w:p w14:paraId="4FE7C50A"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Wang, Jiawei, Wu, Z., Li, C., Pan, Y., Wang, Jin, Qiu, J., Ren, S., Xu, H., 2025. Synergistic effect of sodium metasilicate and sodium fluorosilicate in an accelerator on cement hydration. Adv. Cem. Res. 1–12. https://doi.org/10.1680/jadcr.24.00144</w:t>
      </w:r>
    </w:p>
    <w:p w14:paraId="097EE2FC"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Wang, W., Zeng, L., Du, S., Qiao, M., Chen, J., Zhu, B., 2022. The Influence of Alkali-Free Shotcrete Accelerators on Early Age Hydration and Property Development within Cement Systems. Materials 15, 6907. https://doi.org/10.3390/ma15196907</w:t>
      </w:r>
    </w:p>
    <w:p w14:paraId="63D6828F"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Welti, A., Lohmann, U., Kanji, Z., 2019. Ice nucleation properties of K-feldspar polymorphs and plagioclase feldspars. Atmospheric Chem. Phys. Discuss. 1–25. https://doi.org/10.5194/acp-2018-1271</w:t>
      </w:r>
    </w:p>
    <w:p w14:paraId="375B9DD0" w14:textId="57396366"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WHO, 2017. Guidelines for drinking-water quality, 4th edition, incorporating the 1st addendum [</w:t>
      </w:r>
      <w:r w:rsidR="00134746">
        <w:rPr>
          <w:rFonts w:asciiTheme="minorBidi" w:hAnsiTheme="minorBidi"/>
          <w:sz w:val="24"/>
          <w:szCs w:val="24"/>
        </w:rPr>
        <w:t>Online</w:t>
      </w:r>
      <w:r w:rsidRPr="00134746">
        <w:rPr>
          <w:rFonts w:asciiTheme="minorBidi" w:hAnsiTheme="minorBidi"/>
          <w:sz w:val="24"/>
          <w:szCs w:val="24"/>
        </w:rPr>
        <w:t xml:space="preserve"> Document]. Guidel. Drink. Water Qual. Fourth Ed. Inc. First Add. World Health Organ. Geneva. URL https://</w:t>
      </w:r>
      <w:r w:rsidR="00134746">
        <w:rPr>
          <w:rFonts w:asciiTheme="minorBidi" w:hAnsiTheme="minorBidi"/>
          <w:sz w:val="24"/>
          <w:szCs w:val="24"/>
        </w:rPr>
        <w:t>Online</w:t>
      </w:r>
      <w:r w:rsidRPr="00134746">
        <w:rPr>
          <w:rFonts w:asciiTheme="minorBidi" w:hAnsiTheme="minorBidi"/>
          <w:sz w:val="24"/>
          <w:szCs w:val="24"/>
        </w:rPr>
        <w:t>.who.int/publications/i/item/9789241549950 (accessed 7.12.25).</w:t>
      </w:r>
    </w:p>
    <w:p w14:paraId="50C203B0"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Wieczorek, K., Turek, A., Wolf, W.M., 2023. Combined Effect of Climate and Anthropopressure on River Water Quality. Int. J. Environ. Res. Public. Health 20, 3032. https://doi.org/10.3390/ijerph20043032</w:t>
      </w:r>
    </w:p>
    <w:p w14:paraId="3E144995" w14:textId="77777777" w:rsidR="008A33A4" w:rsidRPr="00134746" w:rsidRDefault="008A33A4" w:rsidP="00134746">
      <w:pPr>
        <w:pStyle w:val="Bibliography"/>
        <w:jc w:val="both"/>
        <w:rPr>
          <w:rFonts w:asciiTheme="minorBidi" w:hAnsiTheme="minorBidi"/>
          <w:sz w:val="24"/>
          <w:szCs w:val="24"/>
        </w:rPr>
      </w:pPr>
      <w:r w:rsidRPr="00134746">
        <w:rPr>
          <w:rFonts w:asciiTheme="minorBidi" w:hAnsiTheme="minorBidi"/>
          <w:sz w:val="24"/>
          <w:szCs w:val="24"/>
        </w:rPr>
        <w:t>Zhang, F., Qaiser, F.-R., Zeng, C., Pant, R.R., Wang, G., Zhang, H., Chen, D., 2019. Meltwater hydrochemistry at four glacial catchments in the headwater of Indus River. Environ. Sci. Pollut. Res. 26, 23645–23660. https://doi.org/10.1007/s11356-019-05422-5</w:t>
      </w:r>
    </w:p>
    <w:p w14:paraId="7ED63DBA" w14:textId="607C2E9D" w:rsidR="00A249F1" w:rsidRPr="00134746" w:rsidRDefault="006145EE" w:rsidP="00134746">
      <w:pPr>
        <w:spacing w:after="0" w:line="240" w:lineRule="auto"/>
        <w:jc w:val="both"/>
        <w:rPr>
          <w:rFonts w:asciiTheme="minorBidi" w:eastAsia="Times New Roman" w:hAnsiTheme="minorBidi"/>
          <w:kern w:val="0"/>
          <w:sz w:val="24"/>
          <w:szCs w:val="24"/>
          <w:lang w:eastAsia="en-IN"/>
          <w14:ligatures w14:val="none"/>
        </w:rPr>
      </w:pPr>
      <w:r w:rsidRPr="00134746">
        <w:rPr>
          <w:rFonts w:asciiTheme="minorBidi" w:eastAsia="Times New Roman" w:hAnsiTheme="minorBidi"/>
          <w:kern w:val="0"/>
          <w:sz w:val="24"/>
          <w:szCs w:val="24"/>
          <w:lang w:eastAsia="en-IN"/>
          <w14:ligatures w14:val="none"/>
        </w:rPr>
        <w:fldChar w:fldCharType="end"/>
      </w:r>
    </w:p>
    <w:sectPr w:rsidR="00A249F1" w:rsidRPr="00134746" w:rsidSect="00F23E11">
      <w:headerReference w:type="even" r:id="rId25"/>
      <w:headerReference w:type="default" r:id="rId26"/>
      <w:footerReference w:type="default" r:id="rId27"/>
      <w:headerReference w:type="first" r:id="rId28"/>
      <w:type w:val="continuous"/>
      <w:pgSz w:w="11906" w:h="16838"/>
      <w:pgMar w:top="1440" w:right="1440" w:bottom="1276"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99062" w:date="2025-09-10T21:12:00Z" w:initials="t">
    <w:p w14:paraId="456979C5" w14:textId="77777777" w:rsidR="008B4133" w:rsidRDefault="008B4133" w:rsidP="008B4133">
      <w:pPr>
        <w:pStyle w:val="CommentText"/>
      </w:pPr>
      <w:r>
        <w:rPr>
          <w:rStyle w:val="CommentReference"/>
        </w:rPr>
        <w:annotationRef/>
      </w:r>
      <w:r>
        <w:t xml:space="preserve">Fine, but sentence structure can be improved for clarity. </w:t>
      </w:r>
    </w:p>
  </w:comment>
  <w:comment w:id="3" w:author="t99062" w:date="2025-09-10T21:13:00Z" w:initials="t">
    <w:p w14:paraId="7D4476BA" w14:textId="77777777" w:rsidR="008B4133" w:rsidRDefault="008B4133" w:rsidP="008B4133">
      <w:pPr>
        <w:pStyle w:val="CommentText"/>
      </w:pPr>
      <w:r>
        <w:rPr>
          <w:rStyle w:val="CommentReference"/>
        </w:rPr>
        <w:annotationRef/>
      </w:r>
      <w:r>
        <w:t xml:space="preserve"> not requried</w:t>
      </w:r>
    </w:p>
  </w:comment>
  <w:comment w:id="4" w:author="t99062" w:date="2025-09-10T21:14:00Z" w:initials="t">
    <w:p w14:paraId="34E290D1" w14:textId="77777777" w:rsidR="008B4133" w:rsidRDefault="008B4133" w:rsidP="008B4133">
      <w:pPr>
        <w:pStyle w:val="CommentText"/>
      </w:pPr>
      <w:r>
        <w:rPr>
          <w:rStyle w:val="CommentReference"/>
        </w:rPr>
        <w:annotationRef/>
      </w:r>
      <w:r>
        <w:t>grammatical correct</w:t>
      </w:r>
    </w:p>
  </w:comment>
  <w:comment w:id="5" w:author="t99062" w:date="2025-09-10T21:18:00Z" w:initials="t">
    <w:p w14:paraId="183146FE" w14:textId="77777777" w:rsidR="003E0F43" w:rsidRDefault="003E0F43" w:rsidP="003E0F43">
      <w:pPr>
        <w:pStyle w:val="CommentText"/>
      </w:pPr>
      <w:r>
        <w:rPr>
          <w:rStyle w:val="CommentReference"/>
        </w:rPr>
        <w:annotationRef/>
      </w:r>
      <w:r>
        <w:t xml:space="preserve">The phrasing is misleading. Developed countries typically treat more wastewater, not less. This may be a factual or citation issue </w:t>
      </w:r>
    </w:p>
  </w:comment>
  <w:comment w:id="6" w:author="t99062" w:date="2025-09-10T21:19:00Z" w:initials="t">
    <w:p w14:paraId="3A0BEA60" w14:textId="77777777" w:rsidR="003E0F43" w:rsidRDefault="003E0F43" w:rsidP="003E0F43">
      <w:pPr>
        <w:pStyle w:val="CommentText"/>
      </w:pPr>
      <w:r>
        <w:rPr>
          <w:rStyle w:val="CommentReference"/>
        </w:rPr>
        <w:annotationRef/>
      </w:r>
      <w:r>
        <w:t xml:space="preserve">Proper citation style. </w:t>
      </w:r>
    </w:p>
  </w:comment>
  <w:comment w:id="7" w:author="t99062" w:date="2025-09-10T21:20:00Z" w:initials="t">
    <w:p w14:paraId="0F5CA3AE" w14:textId="77777777" w:rsidR="003E0F43" w:rsidRDefault="003E0F43" w:rsidP="003E0F43">
      <w:pPr>
        <w:pStyle w:val="CommentText"/>
      </w:pPr>
      <w:r>
        <w:rPr>
          <w:rStyle w:val="CommentReference"/>
        </w:rPr>
        <w:annotationRef/>
      </w:r>
      <w:r>
        <w:t xml:space="preserve">classified as polluted </w:t>
      </w:r>
    </w:p>
  </w:comment>
  <w:comment w:id="8" w:author="t99062" w:date="2025-09-10T21:27:00Z" w:initials="t">
    <w:p w14:paraId="1B2C59F3" w14:textId="77777777" w:rsidR="00ED72C4" w:rsidRDefault="00ED72C4" w:rsidP="00ED72C4">
      <w:pPr>
        <w:pStyle w:val="CommentText"/>
      </w:pPr>
      <w:r>
        <w:rPr>
          <w:rStyle w:val="CommentReference"/>
        </w:rPr>
        <w:annotationRef/>
      </w:r>
      <w:r>
        <w:t xml:space="preserve">Not known as the write better "referred to as..." </w:t>
      </w:r>
    </w:p>
  </w:comment>
  <w:comment w:id="9" w:author="t99062" w:date="2025-09-10T21:32:00Z" w:initials="t">
    <w:p w14:paraId="26C43C44" w14:textId="77777777" w:rsidR="00ED72C4" w:rsidRDefault="00ED72C4" w:rsidP="00ED72C4">
      <w:pPr>
        <w:pStyle w:val="CommentText"/>
      </w:pPr>
      <w:r>
        <w:rPr>
          <w:rStyle w:val="CommentReference"/>
        </w:rPr>
        <w:annotationRef/>
      </w:r>
      <w:r>
        <w:t xml:space="preserve">Well-written; just streamline for slightly better flow </w:t>
      </w:r>
    </w:p>
  </w:comment>
  <w:comment w:id="10" w:author="t99062" w:date="2025-09-10T21:39:00Z" w:initials="t">
    <w:p w14:paraId="59579724" w14:textId="77777777" w:rsidR="00CD66A3" w:rsidRDefault="00CD66A3" w:rsidP="00CD66A3">
      <w:pPr>
        <w:pStyle w:val="CommentText"/>
      </w:pPr>
      <w:r>
        <w:rPr>
          <w:rStyle w:val="CommentReference"/>
        </w:rPr>
        <w:annotationRef/>
      </w:r>
      <w:r>
        <w:t>Excellent ending, but slight tightening will boost clarity.</w:t>
      </w:r>
    </w:p>
  </w:comment>
  <w:comment w:id="11" w:author="t99062" w:date="2025-09-10T21:46:00Z" w:initials="t">
    <w:p w14:paraId="2B1F9DEF" w14:textId="77777777" w:rsidR="00CD66A3" w:rsidRDefault="00CD66A3" w:rsidP="00CD66A3">
      <w:pPr>
        <w:pStyle w:val="CommentText"/>
      </w:pPr>
      <w:r>
        <w:rPr>
          <w:rStyle w:val="CommentReference"/>
        </w:rPr>
        <w:annotationRef/>
      </w:r>
      <w:r>
        <w:t xml:space="preserve">Incomplete sentence; needs a verb. Correct: </w:t>
      </w:r>
      <w:r>
        <w:rPr>
          <w:i/>
          <w:iCs/>
        </w:rPr>
        <w:t>"A total of 54 water samples were collected...</w:t>
      </w:r>
      <w:r>
        <w:t xml:space="preserve"> </w:t>
      </w:r>
    </w:p>
  </w:comment>
  <w:comment w:id="12" w:author="t99062" w:date="2025-09-10T21:50:00Z" w:initials="t">
    <w:p w14:paraId="5AF02D84" w14:textId="77777777" w:rsidR="007E5514" w:rsidRDefault="007E5514" w:rsidP="007E5514">
      <w:pPr>
        <w:pStyle w:val="CommentText"/>
      </w:pPr>
      <w:r>
        <w:rPr>
          <w:rStyle w:val="CommentReference"/>
        </w:rPr>
        <w:annotationRef/>
      </w:r>
      <w:r>
        <w:rPr>
          <w:i/>
          <w:iCs/>
        </w:rPr>
        <w:t>Properly"</w:t>
      </w:r>
      <w:r>
        <w:t xml:space="preserve"> is vague  use another proper sentance</w:t>
      </w:r>
    </w:p>
  </w:comment>
  <w:comment w:id="13" w:author="t99062" w:date="2025-09-10T22:03:00Z" w:initials="t">
    <w:p w14:paraId="4EAB3BC2" w14:textId="77777777" w:rsidR="00C91796" w:rsidRDefault="00C91796" w:rsidP="00C91796">
      <w:pPr>
        <w:pStyle w:val="CommentText"/>
      </w:pPr>
      <w:r>
        <w:rPr>
          <w:rStyle w:val="CommentReference"/>
        </w:rPr>
        <w:annotationRef/>
      </w:r>
      <w:r>
        <w:t xml:space="preserve">You wrote “Late Melting Period (LMP)” as both </w:t>
      </w:r>
      <w:r>
        <w:rPr>
          <w:b/>
          <w:bCs/>
        </w:rPr>
        <w:t>winter</w:t>
      </w:r>
      <w:r>
        <w:t xml:space="preserve"> and </w:t>
      </w:r>
      <w:r>
        <w:rPr>
          <w:b/>
          <w:bCs/>
        </w:rPr>
        <w:t>late season</w:t>
      </w:r>
      <w:r>
        <w:t xml:space="preserve"> → be consistent. If LMP = winter, make it clear throughout </w:t>
      </w:r>
    </w:p>
  </w:comment>
  <w:comment w:id="14" w:author="t99062" w:date="2025-09-10T22:04:00Z" w:initials="t">
    <w:p w14:paraId="7D83C2A6" w14:textId="77777777" w:rsidR="00C91796" w:rsidRDefault="00C91796" w:rsidP="00C91796">
      <w:pPr>
        <w:pStyle w:val="CommentText"/>
      </w:pPr>
      <w:r>
        <w:rPr>
          <w:rStyle w:val="CommentReference"/>
        </w:rPr>
        <w:annotationRef/>
      </w:r>
      <w:r>
        <w:t xml:space="preserve">Better to use *(Table 3). </w:t>
      </w:r>
    </w:p>
  </w:comment>
  <w:comment w:id="15" w:author="t99062" w:date="2025-09-10T22:11:00Z" w:initials="t">
    <w:p w14:paraId="4A6B7C02" w14:textId="77777777" w:rsidR="0010719A" w:rsidRDefault="0010719A" w:rsidP="0010719A">
      <w:pPr>
        <w:pStyle w:val="CommentText"/>
      </w:pPr>
      <w:r>
        <w:rPr>
          <w:rStyle w:val="CommentReference"/>
        </w:rPr>
        <w:annotationRef/>
      </w:r>
      <w:r>
        <w:t>spacing &amp; redundancy fixed</w:t>
      </w:r>
    </w:p>
  </w:comment>
  <w:comment w:id="19" w:author="t99062" w:date="2025-09-10T22:23:00Z" w:initials="t">
    <w:p w14:paraId="629200C4" w14:textId="77777777" w:rsidR="00C06ABB" w:rsidRDefault="00C06ABB" w:rsidP="00C06ABB">
      <w:pPr>
        <w:pStyle w:val="CommentText"/>
      </w:pPr>
      <w:r>
        <w:rPr>
          <w:rStyle w:val="CommentReference"/>
        </w:rPr>
        <w:annotationRef/>
      </w:r>
      <w:r>
        <w:t xml:space="preserve">(e.g., “(Fig. 3)” not “equiline Fig. 3”). </w:t>
      </w:r>
    </w:p>
  </w:comment>
  <w:comment w:id="20" w:author="t99062" w:date="2025-09-10T22:25:00Z" w:initials="t">
    <w:p w14:paraId="29E29788" w14:textId="77777777" w:rsidR="00C06ABB" w:rsidRDefault="00C06ABB" w:rsidP="00C06ABB">
      <w:pPr>
        <w:pStyle w:val="CommentText"/>
      </w:pPr>
      <w:r>
        <w:rPr>
          <w:rStyle w:val="CommentReference"/>
        </w:rPr>
        <w:annotationRef/>
      </w:r>
      <w:r>
        <w:t xml:space="preserve">missing spaces </w:t>
      </w:r>
    </w:p>
  </w:comment>
  <w:comment w:id="21" w:author="t99062" w:date="2025-09-10T22:26:00Z" w:initials="t">
    <w:p w14:paraId="3205A252" w14:textId="77777777" w:rsidR="00C06ABB" w:rsidRDefault="00C06ABB" w:rsidP="00C06ABB">
      <w:pPr>
        <w:pStyle w:val="CommentText"/>
      </w:pPr>
      <w:r>
        <w:rPr>
          <w:rStyle w:val="CommentReference"/>
        </w:rPr>
        <w:annotationRef/>
      </w:r>
      <w:r>
        <w:t xml:space="preserve">missing parentheses, should be </w:t>
      </w:r>
      <w:r>
        <w:rPr>
          <w:i/>
          <w:iCs/>
        </w:rPr>
        <w:t>(Table 3)</w:t>
      </w:r>
      <w:r>
        <w:t xml:space="preserve"> </w:t>
      </w:r>
    </w:p>
  </w:comment>
  <w:comment w:id="22" w:author="t99062" w:date="2025-09-10T22:26:00Z" w:initials="t">
    <w:p w14:paraId="3A4881E8" w14:textId="77777777" w:rsidR="00C06ABB" w:rsidRDefault="00C06ABB" w:rsidP="00C06ABB">
      <w:pPr>
        <w:pStyle w:val="CommentText"/>
      </w:pPr>
      <w:r>
        <w:rPr>
          <w:rStyle w:val="CommentReference"/>
        </w:rPr>
        <w:annotationRef/>
      </w:r>
      <w:r>
        <w:t xml:space="preserve">missing parentheses, should be </w:t>
      </w:r>
      <w:r>
        <w:rPr>
          <w:i/>
          <w:iCs/>
        </w:rPr>
        <w:t>(Table 3)</w:t>
      </w:r>
      <w:r>
        <w:t xml:space="preserve"> </w:t>
      </w:r>
    </w:p>
  </w:comment>
  <w:comment w:id="24" w:author="t99062" w:date="2025-09-10T22:29:00Z" w:initials="t">
    <w:p w14:paraId="43BD5CA1" w14:textId="77777777" w:rsidR="00A9121B" w:rsidRDefault="00A9121B" w:rsidP="00A9121B">
      <w:pPr>
        <w:pStyle w:val="CommentText"/>
      </w:pPr>
      <w:r>
        <w:rPr>
          <w:rStyle w:val="CommentReference"/>
        </w:rPr>
        <w:annotationRef/>
      </w:r>
      <w:r>
        <w:t xml:space="preserve">is very long and heavy.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6979C5" w15:done="0"/>
  <w15:commentEx w15:paraId="7D4476BA" w15:done="0"/>
  <w15:commentEx w15:paraId="34E290D1" w15:done="0"/>
  <w15:commentEx w15:paraId="183146FE" w15:done="0"/>
  <w15:commentEx w15:paraId="3A0BEA60" w15:done="0"/>
  <w15:commentEx w15:paraId="0F5CA3AE" w15:done="0"/>
  <w15:commentEx w15:paraId="1B2C59F3" w15:done="0"/>
  <w15:commentEx w15:paraId="26C43C44" w15:done="0"/>
  <w15:commentEx w15:paraId="59579724" w15:done="0"/>
  <w15:commentEx w15:paraId="2B1F9DEF" w15:done="0"/>
  <w15:commentEx w15:paraId="5AF02D84" w15:done="0"/>
  <w15:commentEx w15:paraId="4EAB3BC2" w15:done="0"/>
  <w15:commentEx w15:paraId="7D83C2A6" w15:done="0"/>
  <w15:commentEx w15:paraId="4A6B7C02" w15:done="0"/>
  <w15:commentEx w15:paraId="629200C4" w15:done="0"/>
  <w15:commentEx w15:paraId="29E29788" w15:done="0"/>
  <w15:commentEx w15:paraId="3205A252" w15:done="0"/>
  <w15:commentEx w15:paraId="3A4881E8" w15:done="0"/>
  <w15:commentEx w15:paraId="43BD5C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426269" w16cex:dateUtc="2025-09-10T15:42:00Z"/>
  <w16cex:commentExtensible w16cex:durableId="41D0679E" w16cex:dateUtc="2025-09-10T15:43:00Z"/>
  <w16cex:commentExtensible w16cex:durableId="5B4BAC9B" w16cex:dateUtc="2025-09-10T15:44:00Z"/>
  <w16cex:commentExtensible w16cex:durableId="2A0B98E3" w16cex:dateUtc="2025-09-10T15:48:00Z"/>
  <w16cex:commentExtensible w16cex:durableId="4868358D" w16cex:dateUtc="2025-09-10T15:49:00Z"/>
  <w16cex:commentExtensible w16cex:durableId="7DC64E13" w16cex:dateUtc="2025-09-10T15:50:00Z"/>
  <w16cex:commentExtensible w16cex:durableId="7B4449C9" w16cex:dateUtc="2025-09-10T15:57:00Z"/>
  <w16cex:commentExtensible w16cex:durableId="77D154B7" w16cex:dateUtc="2025-09-10T16:02:00Z"/>
  <w16cex:commentExtensible w16cex:durableId="34D9A498" w16cex:dateUtc="2025-09-10T16:09:00Z"/>
  <w16cex:commentExtensible w16cex:durableId="34649037" w16cex:dateUtc="2025-09-10T16:16:00Z"/>
  <w16cex:commentExtensible w16cex:durableId="696C9A9B" w16cex:dateUtc="2025-09-10T16:20:00Z"/>
  <w16cex:commentExtensible w16cex:durableId="5FB2DD8B" w16cex:dateUtc="2025-09-10T16:33:00Z"/>
  <w16cex:commentExtensible w16cex:durableId="28A4BD82" w16cex:dateUtc="2025-09-10T16:34:00Z"/>
  <w16cex:commentExtensible w16cex:durableId="230EBEC1" w16cex:dateUtc="2025-09-10T16:41:00Z"/>
  <w16cex:commentExtensible w16cex:durableId="1176411A" w16cex:dateUtc="2025-09-10T16:53:00Z"/>
  <w16cex:commentExtensible w16cex:durableId="653092C8" w16cex:dateUtc="2025-09-10T16:55:00Z"/>
  <w16cex:commentExtensible w16cex:durableId="5DA6E0D3" w16cex:dateUtc="2025-09-10T16:56:00Z"/>
  <w16cex:commentExtensible w16cex:durableId="7C1C66C9" w16cex:dateUtc="2025-09-10T16:56:00Z"/>
  <w16cex:commentExtensible w16cex:durableId="6AAE79AC" w16cex:dateUtc="2025-09-10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979C5" w16cid:durableId="66426269"/>
  <w16cid:commentId w16cid:paraId="7D4476BA" w16cid:durableId="41D0679E"/>
  <w16cid:commentId w16cid:paraId="34E290D1" w16cid:durableId="5B4BAC9B"/>
  <w16cid:commentId w16cid:paraId="183146FE" w16cid:durableId="2A0B98E3"/>
  <w16cid:commentId w16cid:paraId="3A0BEA60" w16cid:durableId="4868358D"/>
  <w16cid:commentId w16cid:paraId="0F5CA3AE" w16cid:durableId="7DC64E13"/>
  <w16cid:commentId w16cid:paraId="1B2C59F3" w16cid:durableId="7B4449C9"/>
  <w16cid:commentId w16cid:paraId="26C43C44" w16cid:durableId="77D154B7"/>
  <w16cid:commentId w16cid:paraId="59579724" w16cid:durableId="34D9A498"/>
  <w16cid:commentId w16cid:paraId="2B1F9DEF" w16cid:durableId="34649037"/>
  <w16cid:commentId w16cid:paraId="5AF02D84" w16cid:durableId="696C9A9B"/>
  <w16cid:commentId w16cid:paraId="4EAB3BC2" w16cid:durableId="5FB2DD8B"/>
  <w16cid:commentId w16cid:paraId="7D83C2A6" w16cid:durableId="28A4BD82"/>
  <w16cid:commentId w16cid:paraId="4A6B7C02" w16cid:durableId="230EBEC1"/>
  <w16cid:commentId w16cid:paraId="629200C4" w16cid:durableId="1176411A"/>
  <w16cid:commentId w16cid:paraId="29E29788" w16cid:durableId="653092C8"/>
  <w16cid:commentId w16cid:paraId="3205A252" w16cid:durableId="5DA6E0D3"/>
  <w16cid:commentId w16cid:paraId="3A4881E8" w16cid:durableId="7C1C66C9"/>
  <w16cid:commentId w16cid:paraId="43BD5CA1" w16cid:durableId="6AAE79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3DB1F" w14:textId="77777777" w:rsidR="00604A05" w:rsidRDefault="00604A05" w:rsidP="007E248A">
      <w:pPr>
        <w:spacing w:after="0" w:line="240" w:lineRule="auto"/>
      </w:pPr>
      <w:r>
        <w:separator/>
      </w:r>
    </w:p>
  </w:endnote>
  <w:endnote w:type="continuationSeparator" w:id="0">
    <w:p w14:paraId="3153C6BE" w14:textId="77777777" w:rsidR="00604A05" w:rsidRDefault="00604A05" w:rsidP="007E2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C247" w14:textId="77777777" w:rsidR="00F23E11" w:rsidRDefault="00F23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441891"/>
      <w:docPartObj>
        <w:docPartGallery w:val="Page Numbers (Bottom of Page)"/>
        <w:docPartUnique/>
      </w:docPartObj>
    </w:sdtPr>
    <w:sdtEndPr>
      <w:rPr>
        <w:color w:val="7F7F7F" w:themeColor="background1" w:themeShade="7F"/>
        <w:spacing w:val="60"/>
      </w:rPr>
    </w:sdtEndPr>
    <w:sdtContent>
      <w:p w14:paraId="0594574B" w14:textId="4D791D89" w:rsidR="007E248A" w:rsidRDefault="007E248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5943200" w14:textId="77777777" w:rsidR="007E248A" w:rsidRDefault="007E2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ADD6" w14:textId="77777777" w:rsidR="00F23E11" w:rsidRDefault="00F23E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035"/>
      <w:docPartObj>
        <w:docPartGallery w:val="Page Numbers (Bottom of Page)"/>
        <w:docPartUnique/>
      </w:docPartObj>
    </w:sdtPr>
    <w:sdtEndPr/>
    <w:sdtContent>
      <w:p w14:paraId="33F1105E" w14:textId="77777777" w:rsidR="003D0B77" w:rsidRDefault="003D0B7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20DA9F5" w14:textId="77777777" w:rsidR="003D0B77" w:rsidRDefault="003D0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AC21D" w14:textId="77777777" w:rsidR="00604A05" w:rsidRDefault="00604A05" w:rsidP="007E248A">
      <w:pPr>
        <w:spacing w:after="0" w:line="240" w:lineRule="auto"/>
      </w:pPr>
      <w:r>
        <w:separator/>
      </w:r>
    </w:p>
  </w:footnote>
  <w:footnote w:type="continuationSeparator" w:id="0">
    <w:p w14:paraId="1BCCC54C" w14:textId="77777777" w:rsidR="00604A05" w:rsidRDefault="00604A05" w:rsidP="007E2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918AC" w14:textId="70633462" w:rsidR="00F23E11" w:rsidRDefault="00604A05">
    <w:pPr>
      <w:pStyle w:val="Header"/>
    </w:pPr>
    <w:r>
      <w:rPr>
        <w:noProof/>
      </w:rPr>
      <w:pict w14:anchorId="05783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421829" o:spid="_x0000_s2050" type="#_x0000_t136" style="position:absolute;margin-left:0;margin-top:0;width:601pt;height:66.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BA8C" w14:textId="24FFB77A" w:rsidR="00F23E11" w:rsidRDefault="00604A05">
    <w:pPr>
      <w:pStyle w:val="Header"/>
    </w:pPr>
    <w:r>
      <w:rPr>
        <w:noProof/>
      </w:rPr>
      <w:pict w14:anchorId="73086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421830" o:spid="_x0000_s2051" type="#_x0000_t136" style="position:absolute;margin-left:0;margin-top:0;width:601pt;height:66.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DED9" w14:textId="1CAE5A7C" w:rsidR="00F23E11" w:rsidRDefault="00604A05">
    <w:pPr>
      <w:pStyle w:val="Header"/>
    </w:pPr>
    <w:r>
      <w:rPr>
        <w:noProof/>
      </w:rPr>
      <w:pict w14:anchorId="4A042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421828" o:spid="_x0000_s2049" type="#_x0000_t136" style="position:absolute;margin-left:0;margin-top:0;width:601pt;height:66.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583E" w14:textId="16ABFA31" w:rsidR="00F23E11" w:rsidRDefault="00604A05">
    <w:pPr>
      <w:pStyle w:val="Header"/>
    </w:pPr>
    <w:r>
      <w:rPr>
        <w:noProof/>
      </w:rPr>
      <w:pict w14:anchorId="11BCE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421832" o:spid="_x0000_s2053" type="#_x0000_t136" style="position:absolute;margin-left:0;margin-top:0;width:601pt;height:66.7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155DB" w14:textId="72A09F62" w:rsidR="00F23E11" w:rsidRDefault="00604A05">
    <w:pPr>
      <w:pStyle w:val="Header"/>
    </w:pPr>
    <w:r>
      <w:rPr>
        <w:noProof/>
      </w:rPr>
      <w:pict w14:anchorId="32369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421833" o:spid="_x0000_s2054" type="#_x0000_t136" style="position:absolute;margin-left:0;margin-top:0;width:601pt;height:66.7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8A90" w14:textId="1B650F1D" w:rsidR="00F23E11" w:rsidRDefault="00604A05">
    <w:pPr>
      <w:pStyle w:val="Header"/>
    </w:pPr>
    <w:r>
      <w:rPr>
        <w:noProof/>
      </w:rPr>
      <w:pict w14:anchorId="7C672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421831" o:spid="_x0000_s2052" type="#_x0000_t136" style="position:absolute;margin-left:0;margin-top:0;width:601pt;height:66.7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3035"/>
    <w:multiLevelType w:val="hybridMultilevel"/>
    <w:tmpl w:val="27BA732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014493"/>
    <w:multiLevelType w:val="hybridMultilevel"/>
    <w:tmpl w:val="0A747DA4"/>
    <w:lvl w:ilvl="0" w:tplc="DA6C037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99062">
    <w15:presenceInfo w15:providerId="AD" w15:userId="S::t99062@365i.top::af525605-704f-4977-a30c-68589a127c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CF"/>
    <w:rsid w:val="00006224"/>
    <w:rsid w:val="00007595"/>
    <w:rsid w:val="000075C3"/>
    <w:rsid w:val="00010A4E"/>
    <w:rsid w:val="0001124A"/>
    <w:rsid w:val="0001138B"/>
    <w:rsid w:val="00011944"/>
    <w:rsid w:val="00011D09"/>
    <w:rsid w:val="000143D5"/>
    <w:rsid w:val="00014D1C"/>
    <w:rsid w:val="00016826"/>
    <w:rsid w:val="00023716"/>
    <w:rsid w:val="00024786"/>
    <w:rsid w:val="000264BB"/>
    <w:rsid w:val="00027494"/>
    <w:rsid w:val="00030926"/>
    <w:rsid w:val="00030FE6"/>
    <w:rsid w:val="00035BC2"/>
    <w:rsid w:val="00035C20"/>
    <w:rsid w:val="00037381"/>
    <w:rsid w:val="0004194B"/>
    <w:rsid w:val="0004770C"/>
    <w:rsid w:val="000504B3"/>
    <w:rsid w:val="000546F0"/>
    <w:rsid w:val="000556ED"/>
    <w:rsid w:val="000573DC"/>
    <w:rsid w:val="00060F24"/>
    <w:rsid w:val="00067285"/>
    <w:rsid w:val="000703E6"/>
    <w:rsid w:val="00070BB1"/>
    <w:rsid w:val="00073AE4"/>
    <w:rsid w:val="0007691F"/>
    <w:rsid w:val="00076D48"/>
    <w:rsid w:val="0008153F"/>
    <w:rsid w:val="00081B41"/>
    <w:rsid w:val="00081C11"/>
    <w:rsid w:val="00092E36"/>
    <w:rsid w:val="000935F5"/>
    <w:rsid w:val="00093D6C"/>
    <w:rsid w:val="00093E43"/>
    <w:rsid w:val="0009475A"/>
    <w:rsid w:val="000A1A9D"/>
    <w:rsid w:val="000A33CC"/>
    <w:rsid w:val="000A3F4B"/>
    <w:rsid w:val="000A591A"/>
    <w:rsid w:val="000B0094"/>
    <w:rsid w:val="000B46FE"/>
    <w:rsid w:val="000B5592"/>
    <w:rsid w:val="000B68A6"/>
    <w:rsid w:val="000C1076"/>
    <w:rsid w:val="000C2655"/>
    <w:rsid w:val="000C2843"/>
    <w:rsid w:val="000C331D"/>
    <w:rsid w:val="000C7A8D"/>
    <w:rsid w:val="000D74B1"/>
    <w:rsid w:val="000E55C6"/>
    <w:rsid w:val="000F13E7"/>
    <w:rsid w:val="000F151F"/>
    <w:rsid w:val="000F464D"/>
    <w:rsid w:val="000F5AC8"/>
    <w:rsid w:val="000F65CE"/>
    <w:rsid w:val="000F6EAC"/>
    <w:rsid w:val="00100B33"/>
    <w:rsid w:val="001045CD"/>
    <w:rsid w:val="00106052"/>
    <w:rsid w:val="0010648A"/>
    <w:rsid w:val="0010719A"/>
    <w:rsid w:val="00110E60"/>
    <w:rsid w:val="00110ECB"/>
    <w:rsid w:val="0011119E"/>
    <w:rsid w:val="00113956"/>
    <w:rsid w:val="00113DE7"/>
    <w:rsid w:val="00116A13"/>
    <w:rsid w:val="00120094"/>
    <w:rsid w:val="00122CFB"/>
    <w:rsid w:val="00123D1E"/>
    <w:rsid w:val="001263DB"/>
    <w:rsid w:val="00127326"/>
    <w:rsid w:val="001277DF"/>
    <w:rsid w:val="00127D3D"/>
    <w:rsid w:val="00134746"/>
    <w:rsid w:val="0014732A"/>
    <w:rsid w:val="00152554"/>
    <w:rsid w:val="00152940"/>
    <w:rsid w:val="00152E88"/>
    <w:rsid w:val="00153CDC"/>
    <w:rsid w:val="001544BA"/>
    <w:rsid w:val="001606D0"/>
    <w:rsid w:val="00165D01"/>
    <w:rsid w:val="00177E0A"/>
    <w:rsid w:val="00181BA5"/>
    <w:rsid w:val="00181D8D"/>
    <w:rsid w:val="0018535F"/>
    <w:rsid w:val="001870EE"/>
    <w:rsid w:val="00191D7F"/>
    <w:rsid w:val="001A0521"/>
    <w:rsid w:val="001A6281"/>
    <w:rsid w:val="001B178C"/>
    <w:rsid w:val="001B19D0"/>
    <w:rsid w:val="001B2BFC"/>
    <w:rsid w:val="001B347A"/>
    <w:rsid w:val="001B412D"/>
    <w:rsid w:val="001B5E3E"/>
    <w:rsid w:val="001B65C3"/>
    <w:rsid w:val="001C05A1"/>
    <w:rsid w:val="001C05B1"/>
    <w:rsid w:val="001C5793"/>
    <w:rsid w:val="001C57D4"/>
    <w:rsid w:val="001C6C3E"/>
    <w:rsid w:val="001C7C0B"/>
    <w:rsid w:val="001C7ED0"/>
    <w:rsid w:val="001D2EB2"/>
    <w:rsid w:val="001D6F7A"/>
    <w:rsid w:val="001E5260"/>
    <w:rsid w:val="001E5639"/>
    <w:rsid w:val="001E7164"/>
    <w:rsid w:val="001F5383"/>
    <w:rsid w:val="001F5677"/>
    <w:rsid w:val="00200C7E"/>
    <w:rsid w:val="00202827"/>
    <w:rsid w:val="00203FE5"/>
    <w:rsid w:val="00210E48"/>
    <w:rsid w:val="0021196A"/>
    <w:rsid w:val="0021387B"/>
    <w:rsid w:val="002238FA"/>
    <w:rsid w:val="00223DF0"/>
    <w:rsid w:val="00227FC3"/>
    <w:rsid w:val="00232CFA"/>
    <w:rsid w:val="002332B3"/>
    <w:rsid w:val="00236D7E"/>
    <w:rsid w:val="00241A6A"/>
    <w:rsid w:val="00243A91"/>
    <w:rsid w:val="00244991"/>
    <w:rsid w:val="00244CA5"/>
    <w:rsid w:val="00245E67"/>
    <w:rsid w:val="002479DA"/>
    <w:rsid w:val="00251B31"/>
    <w:rsid w:val="002549B3"/>
    <w:rsid w:val="00261589"/>
    <w:rsid w:val="0026785F"/>
    <w:rsid w:val="00272980"/>
    <w:rsid w:val="00275FA7"/>
    <w:rsid w:val="0028027A"/>
    <w:rsid w:val="002805DA"/>
    <w:rsid w:val="00280D76"/>
    <w:rsid w:val="0028237F"/>
    <w:rsid w:val="002823A7"/>
    <w:rsid w:val="002832FA"/>
    <w:rsid w:val="00283709"/>
    <w:rsid w:val="002913B1"/>
    <w:rsid w:val="002915DD"/>
    <w:rsid w:val="00291B9E"/>
    <w:rsid w:val="00292220"/>
    <w:rsid w:val="00292669"/>
    <w:rsid w:val="002938A1"/>
    <w:rsid w:val="00293D1E"/>
    <w:rsid w:val="002A3C95"/>
    <w:rsid w:val="002A4E15"/>
    <w:rsid w:val="002A5B6E"/>
    <w:rsid w:val="002B470B"/>
    <w:rsid w:val="002B5ADF"/>
    <w:rsid w:val="002B63FE"/>
    <w:rsid w:val="002B6D71"/>
    <w:rsid w:val="002B7416"/>
    <w:rsid w:val="002C0D98"/>
    <w:rsid w:val="002C1133"/>
    <w:rsid w:val="002C67C5"/>
    <w:rsid w:val="002C6DA7"/>
    <w:rsid w:val="002C734B"/>
    <w:rsid w:val="002D1E0E"/>
    <w:rsid w:val="002D4B31"/>
    <w:rsid w:val="002D5F03"/>
    <w:rsid w:val="002D7A3A"/>
    <w:rsid w:val="002E0EB4"/>
    <w:rsid w:val="002E1233"/>
    <w:rsid w:val="002E1600"/>
    <w:rsid w:val="002E751E"/>
    <w:rsid w:val="002F265E"/>
    <w:rsid w:val="002F345F"/>
    <w:rsid w:val="002F6269"/>
    <w:rsid w:val="002F7119"/>
    <w:rsid w:val="0030074B"/>
    <w:rsid w:val="003030EC"/>
    <w:rsid w:val="003043CF"/>
    <w:rsid w:val="003066D4"/>
    <w:rsid w:val="00306734"/>
    <w:rsid w:val="00306C8B"/>
    <w:rsid w:val="003130B9"/>
    <w:rsid w:val="00315FBC"/>
    <w:rsid w:val="003162BC"/>
    <w:rsid w:val="003255DA"/>
    <w:rsid w:val="003261F5"/>
    <w:rsid w:val="00326A0D"/>
    <w:rsid w:val="003329A8"/>
    <w:rsid w:val="00333BFB"/>
    <w:rsid w:val="003421CF"/>
    <w:rsid w:val="003423B8"/>
    <w:rsid w:val="00350B80"/>
    <w:rsid w:val="00350F90"/>
    <w:rsid w:val="00351DC1"/>
    <w:rsid w:val="00353894"/>
    <w:rsid w:val="00357F34"/>
    <w:rsid w:val="003606A4"/>
    <w:rsid w:val="003622AB"/>
    <w:rsid w:val="00365AD9"/>
    <w:rsid w:val="00367331"/>
    <w:rsid w:val="00370383"/>
    <w:rsid w:val="00371695"/>
    <w:rsid w:val="0038079F"/>
    <w:rsid w:val="0038606E"/>
    <w:rsid w:val="0038744C"/>
    <w:rsid w:val="003A1912"/>
    <w:rsid w:val="003A1F61"/>
    <w:rsid w:val="003A2BE0"/>
    <w:rsid w:val="003A6480"/>
    <w:rsid w:val="003B1AC1"/>
    <w:rsid w:val="003B38FE"/>
    <w:rsid w:val="003B7E0C"/>
    <w:rsid w:val="003C4AD7"/>
    <w:rsid w:val="003C7906"/>
    <w:rsid w:val="003D0B77"/>
    <w:rsid w:val="003D159F"/>
    <w:rsid w:val="003D33CB"/>
    <w:rsid w:val="003D6F91"/>
    <w:rsid w:val="003D7B0F"/>
    <w:rsid w:val="003E0F43"/>
    <w:rsid w:val="003E2571"/>
    <w:rsid w:val="003E62D5"/>
    <w:rsid w:val="003E7AAB"/>
    <w:rsid w:val="003F0AFD"/>
    <w:rsid w:val="003F10AE"/>
    <w:rsid w:val="003F313C"/>
    <w:rsid w:val="003F7B8E"/>
    <w:rsid w:val="00401C49"/>
    <w:rsid w:val="0040208C"/>
    <w:rsid w:val="00402139"/>
    <w:rsid w:val="004042FD"/>
    <w:rsid w:val="004075E4"/>
    <w:rsid w:val="004161CA"/>
    <w:rsid w:val="00417F29"/>
    <w:rsid w:val="00425EEE"/>
    <w:rsid w:val="00426151"/>
    <w:rsid w:val="0042705E"/>
    <w:rsid w:val="004303D1"/>
    <w:rsid w:val="00430D0E"/>
    <w:rsid w:val="00436D3A"/>
    <w:rsid w:val="00436EE7"/>
    <w:rsid w:val="004374F3"/>
    <w:rsid w:val="004376EA"/>
    <w:rsid w:val="00437AD7"/>
    <w:rsid w:val="00437DB3"/>
    <w:rsid w:val="0044079D"/>
    <w:rsid w:val="00444E0A"/>
    <w:rsid w:val="00445A96"/>
    <w:rsid w:val="00445DFA"/>
    <w:rsid w:val="004511D9"/>
    <w:rsid w:val="0045299B"/>
    <w:rsid w:val="00453690"/>
    <w:rsid w:val="004549F4"/>
    <w:rsid w:val="00456811"/>
    <w:rsid w:val="00456D36"/>
    <w:rsid w:val="00463CB7"/>
    <w:rsid w:val="00463DEE"/>
    <w:rsid w:val="004665B9"/>
    <w:rsid w:val="00466D0F"/>
    <w:rsid w:val="0047009F"/>
    <w:rsid w:val="004706F4"/>
    <w:rsid w:val="00470AD9"/>
    <w:rsid w:val="0047794F"/>
    <w:rsid w:val="004812F2"/>
    <w:rsid w:val="00481AE5"/>
    <w:rsid w:val="00481D6C"/>
    <w:rsid w:val="00484636"/>
    <w:rsid w:val="00484BE0"/>
    <w:rsid w:val="00491AD6"/>
    <w:rsid w:val="00491EEF"/>
    <w:rsid w:val="004934C1"/>
    <w:rsid w:val="00493729"/>
    <w:rsid w:val="00494805"/>
    <w:rsid w:val="00497856"/>
    <w:rsid w:val="004A0301"/>
    <w:rsid w:val="004B0F4B"/>
    <w:rsid w:val="004B102C"/>
    <w:rsid w:val="004B19DB"/>
    <w:rsid w:val="004B1AC6"/>
    <w:rsid w:val="004C01EF"/>
    <w:rsid w:val="004C2BF5"/>
    <w:rsid w:val="004C51B8"/>
    <w:rsid w:val="004C638A"/>
    <w:rsid w:val="004D610F"/>
    <w:rsid w:val="004F276A"/>
    <w:rsid w:val="00500E7A"/>
    <w:rsid w:val="005031DD"/>
    <w:rsid w:val="0050324E"/>
    <w:rsid w:val="00511FEB"/>
    <w:rsid w:val="0051313B"/>
    <w:rsid w:val="005146AE"/>
    <w:rsid w:val="00515F1F"/>
    <w:rsid w:val="005166D0"/>
    <w:rsid w:val="00522046"/>
    <w:rsid w:val="005243D5"/>
    <w:rsid w:val="00525B21"/>
    <w:rsid w:val="0052639D"/>
    <w:rsid w:val="005270D6"/>
    <w:rsid w:val="005312D5"/>
    <w:rsid w:val="00535B7D"/>
    <w:rsid w:val="005432F0"/>
    <w:rsid w:val="00552471"/>
    <w:rsid w:val="00552E2E"/>
    <w:rsid w:val="00553F79"/>
    <w:rsid w:val="00555B80"/>
    <w:rsid w:val="005575C9"/>
    <w:rsid w:val="00561D8D"/>
    <w:rsid w:val="00563DFB"/>
    <w:rsid w:val="0056490C"/>
    <w:rsid w:val="00570720"/>
    <w:rsid w:val="00571773"/>
    <w:rsid w:val="0057394A"/>
    <w:rsid w:val="00573E40"/>
    <w:rsid w:val="00575380"/>
    <w:rsid w:val="00580556"/>
    <w:rsid w:val="00584498"/>
    <w:rsid w:val="0058645F"/>
    <w:rsid w:val="00586EE4"/>
    <w:rsid w:val="00591710"/>
    <w:rsid w:val="00592494"/>
    <w:rsid w:val="00592612"/>
    <w:rsid w:val="00594329"/>
    <w:rsid w:val="00595D65"/>
    <w:rsid w:val="005A165B"/>
    <w:rsid w:val="005A3CC2"/>
    <w:rsid w:val="005A473A"/>
    <w:rsid w:val="005A5602"/>
    <w:rsid w:val="005A5FE7"/>
    <w:rsid w:val="005B035C"/>
    <w:rsid w:val="005B08E3"/>
    <w:rsid w:val="005B3AE7"/>
    <w:rsid w:val="005B6DB2"/>
    <w:rsid w:val="005C40C5"/>
    <w:rsid w:val="005C4DAC"/>
    <w:rsid w:val="005D1673"/>
    <w:rsid w:val="005D383A"/>
    <w:rsid w:val="005E3677"/>
    <w:rsid w:val="005E3A26"/>
    <w:rsid w:val="005E4FAF"/>
    <w:rsid w:val="005E53F0"/>
    <w:rsid w:val="005E6CCC"/>
    <w:rsid w:val="005E7635"/>
    <w:rsid w:val="005F20E9"/>
    <w:rsid w:val="005F412B"/>
    <w:rsid w:val="005F4660"/>
    <w:rsid w:val="005F599E"/>
    <w:rsid w:val="005F6ED4"/>
    <w:rsid w:val="0060098B"/>
    <w:rsid w:val="00601798"/>
    <w:rsid w:val="00602049"/>
    <w:rsid w:val="00602D42"/>
    <w:rsid w:val="00604A05"/>
    <w:rsid w:val="0061354A"/>
    <w:rsid w:val="00613A2B"/>
    <w:rsid w:val="006145EE"/>
    <w:rsid w:val="006226BD"/>
    <w:rsid w:val="00622F37"/>
    <w:rsid w:val="00625216"/>
    <w:rsid w:val="00630E74"/>
    <w:rsid w:val="00633820"/>
    <w:rsid w:val="00635CC9"/>
    <w:rsid w:val="00640A57"/>
    <w:rsid w:val="0065233A"/>
    <w:rsid w:val="00657792"/>
    <w:rsid w:val="00660616"/>
    <w:rsid w:val="00660F3E"/>
    <w:rsid w:val="00661165"/>
    <w:rsid w:val="0066221B"/>
    <w:rsid w:val="0066290E"/>
    <w:rsid w:val="00664B0E"/>
    <w:rsid w:val="00671645"/>
    <w:rsid w:val="00673174"/>
    <w:rsid w:val="006741D8"/>
    <w:rsid w:val="00674EF2"/>
    <w:rsid w:val="0067575A"/>
    <w:rsid w:val="00676F4C"/>
    <w:rsid w:val="0068278F"/>
    <w:rsid w:val="00683BC9"/>
    <w:rsid w:val="00690EE8"/>
    <w:rsid w:val="00690FEA"/>
    <w:rsid w:val="006A6804"/>
    <w:rsid w:val="006B10FA"/>
    <w:rsid w:val="006C0773"/>
    <w:rsid w:val="006C17DA"/>
    <w:rsid w:val="006C2B22"/>
    <w:rsid w:val="006C31FF"/>
    <w:rsid w:val="006D17F4"/>
    <w:rsid w:val="006D5CD9"/>
    <w:rsid w:val="006E1059"/>
    <w:rsid w:val="006E5448"/>
    <w:rsid w:val="006E62B1"/>
    <w:rsid w:val="006F4416"/>
    <w:rsid w:val="006F4C89"/>
    <w:rsid w:val="006F6178"/>
    <w:rsid w:val="006F7B5C"/>
    <w:rsid w:val="007038B1"/>
    <w:rsid w:val="007047B8"/>
    <w:rsid w:val="00705026"/>
    <w:rsid w:val="00706DCB"/>
    <w:rsid w:val="00710E29"/>
    <w:rsid w:val="00711BFA"/>
    <w:rsid w:val="007139B3"/>
    <w:rsid w:val="0071543E"/>
    <w:rsid w:val="00720097"/>
    <w:rsid w:val="00720112"/>
    <w:rsid w:val="007214B9"/>
    <w:rsid w:val="00723D51"/>
    <w:rsid w:val="00726435"/>
    <w:rsid w:val="007301E9"/>
    <w:rsid w:val="00732659"/>
    <w:rsid w:val="00733DA3"/>
    <w:rsid w:val="00736AD1"/>
    <w:rsid w:val="00740238"/>
    <w:rsid w:val="0074068D"/>
    <w:rsid w:val="00742703"/>
    <w:rsid w:val="00744A8A"/>
    <w:rsid w:val="00746174"/>
    <w:rsid w:val="007470F0"/>
    <w:rsid w:val="007507C7"/>
    <w:rsid w:val="007524E3"/>
    <w:rsid w:val="0075627E"/>
    <w:rsid w:val="00761554"/>
    <w:rsid w:val="00763C48"/>
    <w:rsid w:val="0076442E"/>
    <w:rsid w:val="007702E0"/>
    <w:rsid w:val="00770CF2"/>
    <w:rsid w:val="00781A04"/>
    <w:rsid w:val="00791AD9"/>
    <w:rsid w:val="00791D27"/>
    <w:rsid w:val="007A6DAC"/>
    <w:rsid w:val="007B2914"/>
    <w:rsid w:val="007B2E52"/>
    <w:rsid w:val="007B5D95"/>
    <w:rsid w:val="007C2D9B"/>
    <w:rsid w:val="007C45A1"/>
    <w:rsid w:val="007C4A98"/>
    <w:rsid w:val="007C5B36"/>
    <w:rsid w:val="007C6F52"/>
    <w:rsid w:val="007D0AE4"/>
    <w:rsid w:val="007D1F6A"/>
    <w:rsid w:val="007D4246"/>
    <w:rsid w:val="007D5171"/>
    <w:rsid w:val="007E12D9"/>
    <w:rsid w:val="007E248A"/>
    <w:rsid w:val="007E3C0D"/>
    <w:rsid w:val="007E4242"/>
    <w:rsid w:val="007E5514"/>
    <w:rsid w:val="007E63C9"/>
    <w:rsid w:val="007E7C69"/>
    <w:rsid w:val="008051DC"/>
    <w:rsid w:val="00806C4B"/>
    <w:rsid w:val="00810550"/>
    <w:rsid w:val="00811EA1"/>
    <w:rsid w:val="00812033"/>
    <w:rsid w:val="00815F37"/>
    <w:rsid w:val="00817937"/>
    <w:rsid w:val="0082223A"/>
    <w:rsid w:val="00833993"/>
    <w:rsid w:val="00835BE0"/>
    <w:rsid w:val="008419BE"/>
    <w:rsid w:val="00855DB5"/>
    <w:rsid w:val="00860CC2"/>
    <w:rsid w:val="00863739"/>
    <w:rsid w:val="00864D81"/>
    <w:rsid w:val="0087383A"/>
    <w:rsid w:val="00874732"/>
    <w:rsid w:val="008762C8"/>
    <w:rsid w:val="00880C1B"/>
    <w:rsid w:val="008859A2"/>
    <w:rsid w:val="008910C5"/>
    <w:rsid w:val="00891675"/>
    <w:rsid w:val="00895855"/>
    <w:rsid w:val="008A21CF"/>
    <w:rsid w:val="008A33A4"/>
    <w:rsid w:val="008B3D0C"/>
    <w:rsid w:val="008B4133"/>
    <w:rsid w:val="008B6856"/>
    <w:rsid w:val="008B78DC"/>
    <w:rsid w:val="008B7B47"/>
    <w:rsid w:val="008C1908"/>
    <w:rsid w:val="008C4D46"/>
    <w:rsid w:val="008C5F64"/>
    <w:rsid w:val="008C7308"/>
    <w:rsid w:val="008D560C"/>
    <w:rsid w:val="008E4C4D"/>
    <w:rsid w:val="008E5D57"/>
    <w:rsid w:val="008E60AD"/>
    <w:rsid w:val="008F01D1"/>
    <w:rsid w:val="008F30D3"/>
    <w:rsid w:val="008F722D"/>
    <w:rsid w:val="00900078"/>
    <w:rsid w:val="00901ACB"/>
    <w:rsid w:val="00905F54"/>
    <w:rsid w:val="00906247"/>
    <w:rsid w:val="0091040F"/>
    <w:rsid w:val="00913891"/>
    <w:rsid w:val="00915B5B"/>
    <w:rsid w:val="0091639A"/>
    <w:rsid w:val="00917A6E"/>
    <w:rsid w:val="00920F75"/>
    <w:rsid w:val="0092697F"/>
    <w:rsid w:val="00931106"/>
    <w:rsid w:val="009346E3"/>
    <w:rsid w:val="00934F70"/>
    <w:rsid w:val="0093654A"/>
    <w:rsid w:val="009365C7"/>
    <w:rsid w:val="00941E03"/>
    <w:rsid w:val="00943A9F"/>
    <w:rsid w:val="00943EB1"/>
    <w:rsid w:val="00944482"/>
    <w:rsid w:val="0094485F"/>
    <w:rsid w:val="009461F9"/>
    <w:rsid w:val="0095229B"/>
    <w:rsid w:val="00953642"/>
    <w:rsid w:val="009551E0"/>
    <w:rsid w:val="00956F8A"/>
    <w:rsid w:val="00957F75"/>
    <w:rsid w:val="00961B43"/>
    <w:rsid w:val="0096223A"/>
    <w:rsid w:val="0096531A"/>
    <w:rsid w:val="00970555"/>
    <w:rsid w:val="00971867"/>
    <w:rsid w:val="009718A3"/>
    <w:rsid w:val="00972C34"/>
    <w:rsid w:val="00977BAD"/>
    <w:rsid w:val="0098056A"/>
    <w:rsid w:val="00981B7C"/>
    <w:rsid w:val="00982BF7"/>
    <w:rsid w:val="0098399D"/>
    <w:rsid w:val="00992E1D"/>
    <w:rsid w:val="00993426"/>
    <w:rsid w:val="009967BD"/>
    <w:rsid w:val="009A0EF3"/>
    <w:rsid w:val="009A11CB"/>
    <w:rsid w:val="009A245F"/>
    <w:rsid w:val="009A549C"/>
    <w:rsid w:val="009A7A10"/>
    <w:rsid w:val="009B1652"/>
    <w:rsid w:val="009B5A36"/>
    <w:rsid w:val="009B67FF"/>
    <w:rsid w:val="009C0BBA"/>
    <w:rsid w:val="009C1116"/>
    <w:rsid w:val="009C15B8"/>
    <w:rsid w:val="009C2915"/>
    <w:rsid w:val="009C4736"/>
    <w:rsid w:val="009C7BA0"/>
    <w:rsid w:val="009C7F1A"/>
    <w:rsid w:val="009D2827"/>
    <w:rsid w:val="009E1762"/>
    <w:rsid w:val="009E2DD7"/>
    <w:rsid w:val="009E34FE"/>
    <w:rsid w:val="009E3AEC"/>
    <w:rsid w:val="009E4DB4"/>
    <w:rsid w:val="009E7414"/>
    <w:rsid w:val="009F1F52"/>
    <w:rsid w:val="009F23AA"/>
    <w:rsid w:val="009F4F57"/>
    <w:rsid w:val="009F500B"/>
    <w:rsid w:val="009F603B"/>
    <w:rsid w:val="009F781F"/>
    <w:rsid w:val="00A00195"/>
    <w:rsid w:val="00A00D46"/>
    <w:rsid w:val="00A02711"/>
    <w:rsid w:val="00A04D30"/>
    <w:rsid w:val="00A076CC"/>
    <w:rsid w:val="00A100BC"/>
    <w:rsid w:val="00A17CCB"/>
    <w:rsid w:val="00A202A7"/>
    <w:rsid w:val="00A22B88"/>
    <w:rsid w:val="00A2498A"/>
    <w:rsid w:val="00A249F1"/>
    <w:rsid w:val="00A257E3"/>
    <w:rsid w:val="00A330C3"/>
    <w:rsid w:val="00A365CE"/>
    <w:rsid w:val="00A36692"/>
    <w:rsid w:val="00A408F4"/>
    <w:rsid w:val="00A4195D"/>
    <w:rsid w:val="00A51631"/>
    <w:rsid w:val="00A54C05"/>
    <w:rsid w:val="00A54C89"/>
    <w:rsid w:val="00A55305"/>
    <w:rsid w:val="00A56C0A"/>
    <w:rsid w:val="00A56F9A"/>
    <w:rsid w:val="00A61A3C"/>
    <w:rsid w:val="00A70A23"/>
    <w:rsid w:val="00A7470A"/>
    <w:rsid w:val="00A74CFD"/>
    <w:rsid w:val="00A9121B"/>
    <w:rsid w:val="00A95E43"/>
    <w:rsid w:val="00A96EA4"/>
    <w:rsid w:val="00AA0B31"/>
    <w:rsid w:val="00AA697D"/>
    <w:rsid w:val="00AB15D5"/>
    <w:rsid w:val="00AB2165"/>
    <w:rsid w:val="00AB4141"/>
    <w:rsid w:val="00AC2F1E"/>
    <w:rsid w:val="00AC320C"/>
    <w:rsid w:val="00AC32B4"/>
    <w:rsid w:val="00AC337F"/>
    <w:rsid w:val="00AC6D55"/>
    <w:rsid w:val="00AD023A"/>
    <w:rsid w:val="00AD380E"/>
    <w:rsid w:val="00AD42B5"/>
    <w:rsid w:val="00AD4929"/>
    <w:rsid w:val="00AE04CC"/>
    <w:rsid w:val="00AE3A5C"/>
    <w:rsid w:val="00AE4B14"/>
    <w:rsid w:val="00AE5E99"/>
    <w:rsid w:val="00AF3511"/>
    <w:rsid w:val="00AF417B"/>
    <w:rsid w:val="00AF4E8F"/>
    <w:rsid w:val="00AF7659"/>
    <w:rsid w:val="00B0475B"/>
    <w:rsid w:val="00B069D5"/>
    <w:rsid w:val="00B152E4"/>
    <w:rsid w:val="00B2288C"/>
    <w:rsid w:val="00B27567"/>
    <w:rsid w:val="00B30170"/>
    <w:rsid w:val="00B32453"/>
    <w:rsid w:val="00B35038"/>
    <w:rsid w:val="00B35375"/>
    <w:rsid w:val="00B43591"/>
    <w:rsid w:val="00B4596D"/>
    <w:rsid w:val="00B51E0A"/>
    <w:rsid w:val="00B55B80"/>
    <w:rsid w:val="00B57861"/>
    <w:rsid w:val="00B62358"/>
    <w:rsid w:val="00B63C2B"/>
    <w:rsid w:val="00B64658"/>
    <w:rsid w:val="00B659E5"/>
    <w:rsid w:val="00B70CE3"/>
    <w:rsid w:val="00B73524"/>
    <w:rsid w:val="00B84A49"/>
    <w:rsid w:val="00B84A87"/>
    <w:rsid w:val="00B86418"/>
    <w:rsid w:val="00B92AEC"/>
    <w:rsid w:val="00BA1490"/>
    <w:rsid w:val="00BA3268"/>
    <w:rsid w:val="00BA3E59"/>
    <w:rsid w:val="00BA74E3"/>
    <w:rsid w:val="00BB2FD0"/>
    <w:rsid w:val="00BB4D07"/>
    <w:rsid w:val="00BB6AE1"/>
    <w:rsid w:val="00BC6321"/>
    <w:rsid w:val="00BC7B29"/>
    <w:rsid w:val="00BD1BF6"/>
    <w:rsid w:val="00BD4334"/>
    <w:rsid w:val="00BD4CC4"/>
    <w:rsid w:val="00BD619F"/>
    <w:rsid w:val="00BE17E5"/>
    <w:rsid w:val="00BF352F"/>
    <w:rsid w:val="00BF6947"/>
    <w:rsid w:val="00BF6DE0"/>
    <w:rsid w:val="00C0218A"/>
    <w:rsid w:val="00C06ABB"/>
    <w:rsid w:val="00C07B5F"/>
    <w:rsid w:val="00C10C14"/>
    <w:rsid w:val="00C14C6D"/>
    <w:rsid w:val="00C23CB7"/>
    <w:rsid w:val="00C242C8"/>
    <w:rsid w:val="00C2597F"/>
    <w:rsid w:val="00C25FC1"/>
    <w:rsid w:val="00C26642"/>
    <w:rsid w:val="00C27A99"/>
    <w:rsid w:val="00C345FA"/>
    <w:rsid w:val="00C34760"/>
    <w:rsid w:val="00C350AB"/>
    <w:rsid w:val="00C3627C"/>
    <w:rsid w:val="00C376CA"/>
    <w:rsid w:val="00C400FF"/>
    <w:rsid w:val="00C44EB9"/>
    <w:rsid w:val="00C45A89"/>
    <w:rsid w:val="00C514DB"/>
    <w:rsid w:val="00C514E1"/>
    <w:rsid w:val="00C51F09"/>
    <w:rsid w:val="00C54C5D"/>
    <w:rsid w:val="00C54E5D"/>
    <w:rsid w:val="00C5684A"/>
    <w:rsid w:val="00C6494F"/>
    <w:rsid w:val="00C67325"/>
    <w:rsid w:val="00C70E76"/>
    <w:rsid w:val="00C71581"/>
    <w:rsid w:val="00C75F6B"/>
    <w:rsid w:val="00C8129B"/>
    <w:rsid w:val="00C83694"/>
    <w:rsid w:val="00C848DD"/>
    <w:rsid w:val="00C91231"/>
    <w:rsid w:val="00C91796"/>
    <w:rsid w:val="00C934AA"/>
    <w:rsid w:val="00C94B1A"/>
    <w:rsid w:val="00C964A1"/>
    <w:rsid w:val="00C96908"/>
    <w:rsid w:val="00C97E74"/>
    <w:rsid w:val="00CA5C3B"/>
    <w:rsid w:val="00CA5DC5"/>
    <w:rsid w:val="00CA5F75"/>
    <w:rsid w:val="00CA72E4"/>
    <w:rsid w:val="00CB49AD"/>
    <w:rsid w:val="00CB4C5E"/>
    <w:rsid w:val="00CC0CBD"/>
    <w:rsid w:val="00CC294E"/>
    <w:rsid w:val="00CC34E4"/>
    <w:rsid w:val="00CC542C"/>
    <w:rsid w:val="00CD49A8"/>
    <w:rsid w:val="00CD5BF8"/>
    <w:rsid w:val="00CD621A"/>
    <w:rsid w:val="00CD66A3"/>
    <w:rsid w:val="00CD6ABA"/>
    <w:rsid w:val="00CD6F38"/>
    <w:rsid w:val="00CD7AF9"/>
    <w:rsid w:val="00CD7FE1"/>
    <w:rsid w:val="00CE0F40"/>
    <w:rsid w:val="00CE5F7E"/>
    <w:rsid w:val="00CE7E84"/>
    <w:rsid w:val="00CF0EB5"/>
    <w:rsid w:val="00CF1BBB"/>
    <w:rsid w:val="00CF1E61"/>
    <w:rsid w:val="00CF3878"/>
    <w:rsid w:val="00CF7019"/>
    <w:rsid w:val="00D02C80"/>
    <w:rsid w:val="00D05A73"/>
    <w:rsid w:val="00D108A0"/>
    <w:rsid w:val="00D136AE"/>
    <w:rsid w:val="00D17816"/>
    <w:rsid w:val="00D20C3D"/>
    <w:rsid w:val="00D22A28"/>
    <w:rsid w:val="00D23A87"/>
    <w:rsid w:val="00D240AC"/>
    <w:rsid w:val="00D261FD"/>
    <w:rsid w:val="00D26E99"/>
    <w:rsid w:val="00D27B17"/>
    <w:rsid w:val="00D312C7"/>
    <w:rsid w:val="00D37310"/>
    <w:rsid w:val="00D3762C"/>
    <w:rsid w:val="00D408E1"/>
    <w:rsid w:val="00D40BA3"/>
    <w:rsid w:val="00D41D55"/>
    <w:rsid w:val="00D4367B"/>
    <w:rsid w:val="00D43D24"/>
    <w:rsid w:val="00D44389"/>
    <w:rsid w:val="00D5188D"/>
    <w:rsid w:val="00D5258E"/>
    <w:rsid w:val="00D6262D"/>
    <w:rsid w:val="00D6632D"/>
    <w:rsid w:val="00D6664B"/>
    <w:rsid w:val="00D70F00"/>
    <w:rsid w:val="00D72453"/>
    <w:rsid w:val="00D728FA"/>
    <w:rsid w:val="00D80802"/>
    <w:rsid w:val="00D80E19"/>
    <w:rsid w:val="00D81A0C"/>
    <w:rsid w:val="00D83DE9"/>
    <w:rsid w:val="00D8621F"/>
    <w:rsid w:val="00D90B37"/>
    <w:rsid w:val="00D91497"/>
    <w:rsid w:val="00D94631"/>
    <w:rsid w:val="00DA10D0"/>
    <w:rsid w:val="00DB3224"/>
    <w:rsid w:val="00DB3371"/>
    <w:rsid w:val="00DB38A3"/>
    <w:rsid w:val="00DB6917"/>
    <w:rsid w:val="00DC0A21"/>
    <w:rsid w:val="00DC2D56"/>
    <w:rsid w:val="00DC5EE1"/>
    <w:rsid w:val="00DD0B5D"/>
    <w:rsid w:val="00DD1DBB"/>
    <w:rsid w:val="00DD2BF1"/>
    <w:rsid w:val="00DD3DBF"/>
    <w:rsid w:val="00DD5438"/>
    <w:rsid w:val="00DD7D52"/>
    <w:rsid w:val="00DE0EA4"/>
    <w:rsid w:val="00DE2FA6"/>
    <w:rsid w:val="00DE5924"/>
    <w:rsid w:val="00DF19B5"/>
    <w:rsid w:val="00DF2EDC"/>
    <w:rsid w:val="00DF4E7E"/>
    <w:rsid w:val="00DF66AA"/>
    <w:rsid w:val="00DF6C03"/>
    <w:rsid w:val="00DF7322"/>
    <w:rsid w:val="00DF7FAB"/>
    <w:rsid w:val="00E04972"/>
    <w:rsid w:val="00E0511B"/>
    <w:rsid w:val="00E05DC0"/>
    <w:rsid w:val="00E12933"/>
    <w:rsid w:val="00E144D7"/>
    <w:rsid w:val="00E25E86"/>
    <w:rsid w:val="00E327D0"/>
    <w:rsid w:val="00E33A8B"/>
    <w:rsid w:val="00E35CCD"/>
    <w:rsid w:val="00E362A6"/>
    <w:rsid w:val="00E363CE"/>
    <w:rsid w:val="00E37667"/>
    <w:rsid w:val="00E50CC1"/>
    <w:rsid w:val="00E51DDC"/>
    <w:rsid w:val="00E540F7"/>
    <w:rsid w:val="00E60859"/>
    <w:rsid w:val="00E60B8C"/>
    <w:rsid w:val="00E6186A"/>
    <w:rsid w:val="00E61BBF"/>
    <w:rsid w:val="00E61C87"/>
    <w:rsid w:val="00E62C35"/>
    <w:rsid w:val="00E64620"/>
    <w:rsid w:val="00E709EC"/>
    <w:rsid w:val="00E73C98"/>
    <w:rsid w:val="00E73FB4"/>
    <w:rsid w:val="00E748EF"/>
    <w:rsid w:val="00E77798"/>
    <w:rsid w:val="00E779B2"/>
    <w:rsid w:val="00E84C01"/>
    <w:rsid w:val="00E86AEC"/>
    <w:rsid w:val="00E91738"/>
    <w:rsid w:val="00E9215B"/>
    <w:rsid w:val="00E92789"/>
    <w:rsid w:val="00E94DBC"/>
    <w:rsid w:val="00E97910"/>
    <w:rsid w:val="00EA1469"/>
    <w:rsid w:val="00EA19F0"/>
    <w:rsid w:val="00EA2288"/>
    <w:rsid w:val="00EA31FD"/>
    <w:rsid w:val="00EA441C"/>
    <w:rsid w:val="00EA6B57"/>
    <w:rsid w:val="00EA6FDB"/>
    <w:rsid w:val="00EB1E3E"/>
    <w:rsid w:val="00EB2B7C"/>
    <w:rsid w:val="00EB396B"/>
    <w:rsid w:val="00EB451F"/>
    <w:rsid w:val="00EB459C"/>
    <w:rsid w:val="00EB49F1"/>
    <w:rsid w:val="00EC504A"/>
    <w:rsid w:val="00EC5EDE"/>
    <w:rsid w:val="00ED2D30"/>
    <w:rsid w:val="00ED4804"/>
    <w:rsid w:val="00ED5CC9"/>
    <w:rsid w:val="00ED645B"/>
    <w:rsid w:val="00ED723B"/>
    <w:rsid w:val="00ED72C4"/>
    <w:rsid w:val="00ED7405"/>
    <w:rsid w:val="00ED751F"/>
    <w:rsid w:val="00EE44CC"/>
    <w:rsid w:val="00EE5912"/>
    <w:rsid w:val="00EF2C4E"/>
    <w:rsid w:val="00EF2DB3"/>
    <w:rsid w:val="00EF5A34"/>
    <w:rsid w:val="00EF7907"/>
    <w:rsid w:val="00F035D2"/>
    <w:rsid w:val="00F04484"/>
    <w:rsid w:val="00F04C40"/>
    <w:rsid w:val="00F05319"/>
    <w:rsid w:val="00F11215"/>
    <w:rsid w:val="00F11416"/>
    <w:rsid w:val="00F1452B"/>
    <w:rsid w:val="00F16F43"/>
    <w:rsid w:val="00F16F6E"/>
    <w:rsid w:val="00F23E11"/>
    <w:rsid w:val="00F256CF"/>
    <w:rsid w:val="00F33F29"/>
    <w:rsid w:val="00F40741"/>
    <w:rsid w:val="00F46CA8"/>
    <w:rsid w:val="00F473A4"/>
    <w:rsid w:val="00F47571"/>
    <w:rsid w:val="00F54886"/>
    <w:rsid w:val="00F5518B"/>
    <w:rsid w:val="00F662D3"/>
    <w:rsid w:val="00F67583"/>
    <w:rsid w:val="00F70A9A"/>
    <w:rsid w:val="00F72D8A"/>
    <w:rsid w:val="00F74AD5"/>
    <w:rsid w:val="00F777E1"/>
    <w:rsid w:val="00F81009"/>
    <w:rsid w:val="00F81BE8"/>
    <w:rsid w:val="00F85F8C"/>
    <w:rsid w:val="00F9159E"/>
    <w:rsid w:val="00F932E0"/>
    <w:rsid w:val="00F94E21"/>
    <w:rsid w:val="00F96418"/>
    <w:rsid w:val="00FA33BE"/>
    <w:rsid w:val="00FA4689"/>
    <w:rsid w:val="00FA4B97"/>
    <w:rsid w:val="00FA51B6"/>
    <w:rsid w:val="00FA6173"/>
    <w:rsid w:val="00FA71B9"/>
    <w:rsid w:val="00FA7B69"/>
    <w:rsid w:val="00FB03E8"/>
    <w:rsid w:val="00FB0C34"/>
    <w:rsid w:val="00FB0DAF"/>
    <w:rsid w:val="00FB21B6"/>
    <w:rsid w:val="00FB5867"/>
    <w:rsid w:val="00FC13EB"/>
    <w:rsid w:val="00FC342E"/>
    <w:rsid w:val="00FD04B8"/>
    <w:rsid w:val="00FD0A18"/>
    <w:rsid w:val="00FD30DE"/>
    <w:rsid w:val="00FD3D4E"/>
    <w:rsid w:val="00FD4EB5"/>
    <w:rsid w:val="00FE0F14"/>
    <w:rsid w:val="00FE27FE"/>
    <w:rsid w:val="00FE76D2"/>
    <w:rsid w:val="00FF04D3"/>
    <w:rsid w:val="00FF588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781F9D4"/>
  <w15:chartTrackingRefBased/>
  <w15:docId w15:val="{5F004080-3D50-4BBF-A0D2-161F7931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3CF"/>
    <w:rPr>
      <w:rFonts w:eastAsiaTheme="majorEastAsia" w:cstheme="majorBidi"/>
      <w:color w:val="272727" w:themeColor="text1" w:themeTint="D8"/>
    </w:rPr>
  </w:style>
  <w:style w:type="paragraph" w:styleId="Title">
    <w:name w:val="Title"/>
    <w:basedOn w:val="Normal"/>
    <w:next w:val="Normal"/>
    <w:link w:val="TitleChar"/>
    <w:uiPriority w:val="10"/>
    <w:qFormat/>
    <w:rsid w:val="00304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3CF"/>
    <w:pPr>
      <w:spacing w:before="160"/>
      <w:jc w:val="center"/>
    </w:pPr>
    <w:rPr>
      <w:i/>
      <w:iCs/>
      <w:color w:val="404040" w:themeColor="text1" w:themeTint="BF"/>
    </w:rPr>
  </w:style>
  <w:style w:type="character" w:customStyle="1" w:styleId="QuoteChar">
    <w:name w:val="Quote Char"/>
    <w:basedOn w:val="DefaultParagraphFont"/>
    <w:link w:val="Quote"/>
    <w:uiPriority w:val="29"/>
    <w:rsid w:val="003043CF"/>
    <w:rPr>
      <w:i/>
      <w:iCs/>
      <w:color w:val="404040" w:themeColor="text1" w:themeTint="BF"/>
    </w:rPr>
  </w:style>
  <w:style w:type="paragraph" w:styleId="ListParagraph">
    <w:name w:val="List Paragraph"/>
    <w:basedOn w:val="Normal"/>
    <w:uiPriority w:val="34"/>
    <w:qFormat/>
    <w:rsid w:val="003043CF"/>
    <w:pPr>
      <w:ind w:left="720"/>
      <w:contextualSpacing/>
    </w:pPr>
  </w:style>
  <w:style w:type="character" w:styleId="IntenseEmphasis">
    <w:name w:val="Intense Emphasis"/>
    <w:basedOn w:val="DefaultParagraphFont"/>
    <w:uiPriority w:val="21"/>
    <w:qFormat/>
    <w:rsid w:val="003043CF"/>
    <w:rPr>
      <w:i/>
      <w:iCs/>
      <w:color w:val="0F4761" w:themeColor="accent1" w:themeShade="BF"/>
    </w:rPr>
  </w:style>
  <w:style w:type="paragraph" w:styleId="IntenseQuote">
    <w:name w:val="Intense Quote"/>
    <w:basedOn w:val="Normal"/>
    <w:next w:val="Normal"/>
    <w:link w:val="IntenseQuoteChar"/>
    <w:uiPriority w:val="30"/>
    <w:qFormat/>
    <w:rsid w:val="00304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3CF"/>
    <w:rPr>
      <w:i/>
      <w:iCs/>
      <w:color w:val="0F4761" w:themeColor="accent1" w:themeShade="BF"/>
    </w:rPr>
  </w:style>
  <w:style w:type="character" w:styleId="IntenseReference">
    <w:name w:val="Intense Reference"/>
    <w:basedOn w:val="DefaultParagraphFont"/>
    <w:uiPriority w:val="32"/>
    <w:qFormat/>
    <w:rsid w:val="003043CF"/>
    <w:rPr>
      <w:b/>
      <w:bCs/>
      <w:smallCaps/>
      <w:color w:val="0F4761" w:themeColor="accent1" w:themeShade="BF"/>
      <w:spacing w:val="5"/>
    </w:rPr>
  </w:style>
  <w:style w:type="paragraph" w:styleId="NoSpacing">
    <w:name w:val="No Spacing"/>
    <w:uiPriority w:val="1"/>
    <w:qFormat/>
    <w:rsid w:val="00F05319"/>
    <w:pPr>
      <w:spacing w:after="0" w:line="240" w:lineRule="auto"/>
    </w:pPr>
  </w:style>
  <w:style w:type="character" w:styleId="Strong">
    <w:name w:val="Strong"/>
    <w:basedOn w:val="DefaultParagraphFont"/>
    <w:uiPriority w:val="22"/>
    <w:qFormat/>
    <w:rsid w:val="00C3627C"/>
    <w:rPr>
      <w:b/>
      <w:bCs/>
    </w:rPr>
  </w:style>
  <w:style w:type="paragraph" w:styleId="NormalWeb">
    <w:name w:val="Normal (Web)"/>
    <w:basedOn w:val="Normal"/>
    <w:uiPriority w:val="99"/>
    <w:unhideWhenUsed/>
    <w:rsid w:val="00D3762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mord">
    <w:name w:val="mord"/>
    <w:basedOn w:val="DefaultParagraphFont"/>
    <w:rsid w:val="00690FEA"/>
  </w:style>
  <w:style w:type="character" w:customStyle="1" w:styleId="mclose">
    <w:name w:val="mclose"/>
    <w:basedOn w:val="DefaultParagraphFont"/>
    <w:rsid w:val="00690FEA"/>
  </w:style>
  <w:style w:type="character" w:customStyle="1" w:styleId="mbin">
    <w:name w:val="mbin"/>
    <w:basedOn w:val="DefaultParagraphFont"/>
    <w:rsid w:val="00690FEA"/>
  </w:style>
  <w:style w:type="character" w:styleId="Hyperlink">
    <w:name w:val="Hyperlink"/>
    <w:basedOn w:val="DefaultParagraphFont"/>
    <w:uiPriority w:val="99"/>
    <w:unhideWhenUsed/>
    <w:rsid w:val="003E7AAB"/>
    <w:rPr>
      <w:color w:val="0000FF"/>
      <w:u w:val="single"/>
    </w:rPr>
  </w:style>
  <w:style w:type="paragraph" w:styleId="Header">
    <w:name w:val="header"/>
    <w:basedOn w:val="Normal"/>
    <w:link w:val="HeaderChar"/>
    <w:uiPriority w:val="99"/>
    <w:unhideWhenUsed/>
    <w:rsid w:val="007E2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48A"/>
  </w:style>
  <w:style w:type="paragraph" w:styleId="Footer">
    <w:name w:val="footer"/>
    <w:basedOn w:val="Normal"/>
    <w:link w:val="FooterChar"/>
    <w:uiPriority w:val="99"/>
    <w:unhideWhenUsed/>
    <w:rsid w:val="007E2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48A"/>
  </w:style>
  <w:style w:type="character" w:styleId="UnresolvedMention">
    <w:name w:val="Unresolved Mention"/>
    <w:basedOn w:val="DefaultParagraphFont"/>
    <w:uiPriority w:val="99"/>
    <w:semiHidden/>
    <w:unhideWhenUsed/>
    <w:rsid w:val="00B659E5"/>
    <w:rPr>
      <w:color w:val="605E5C"/>
      <w:shd w:val="clear" w:color="auto" w:fill="E1DFDD"/>
    </w:rPr>
  </w:style>
  <w:style w:type="character" w:styleId="LineNumber">
    <w:name w:val="line number"/>
    <w:basedOn w:val="DefaultParagraphFont"/>
    <w:uiPriority w:val="99"/>
    <w:semiHidden/>
    <w:unhideWhenUsed/>
    <w:rsid w:val="009A245F"/>
  </w:style>
  <w:style w:type="paragraph" w:styleId="Bibliography">
    <w:name w:val="Bibliography"/>
    <w:basedOn w:val="Normal"/>
    <w:next w:val="Normal"/>
    <w:uiPriority w:val="37"/>
    <w:unhideWhenUsed/>
    <w:rsid w:val="006145EE"/>
    <w:pPr>
      <w:spacing w:after="0" w:line="240" w:lineRule="auto"/>
      <w:ind w:left="720" w:hanging="720"/>
    </w:pPr>
  </w:style>
  <w:style w:type="paragraph" w:styleId="Caption">
    <w:name w:val="caption"/>
    <w:basedOn w:val="Normal"/>
    <w:next w:val="Normal"/>
    <w:uiPriority w:val="35"/>
    <w:unhideWhenUsed/>
    <w:qFormat/>
    <w:rsid w:val="004B19DB"/>
    <w:pPr>
      <w:spacing w:after="200" w:line="240" w:lineRule="auto"/>
    </w:pPr>
    <w:rPr>
      <w:i/>
      <w:iCs/>
      <w:color w:val="0E2841" w:themeColor="text2"/>
      <w:sz w:val="18"/>
      <w:szCs w:val="18"/>
    </w:rPr>
  </w:style>
  <w:style w:type="table" w:styleId="TableGrid">
    <w:name w:val="Table Grid"/>
    <w:basedOn w:val="TableNormal"/>
    <w:uiPriority w:val="39"/>
    <w:rsid w:val="003D0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4133"/>
    <w:rPr>
      <w:sz w:val="16"/>
      <w:szCs w:val="16"/>
    </w:rPr>
  </w:style>
  <w:style w:type="paragraph" w:styleId="CommentText">
    <w:name w:val="annotation text"/>
    <w:basedOn w:val="Normal"/>
    <w:link w:val="CommentTextChar"/>
    <w:uiPriority w:val="99"/>
    <w:unhideWhenUsed/>
    <w:rsid w:val="008B4133"/>
    <w:pPr>
      <w:spacing w:line="240" w:lineRule="auto"/>
    </w:pPr>
    <w:rPr>
      <w:sz w:val="20"/>
      <w:szCs w:val="20"/>
    </w:rPr>
  </w:style>
  <w:style w:type="character" w:customStyle="1" w:styleId="CommentTextChar">
    <w:name w:val="Comment Text Char"/>
    <w:basedOn w:val="DefaultParagraphFont"/>
    <w:link w:val="CommentText"/>
    <w:uiPriority w:val="99"/>
    <w:rsid w:val="008B4133"/>
    <w:rPr>
      <w:sz w:val="20"/>
      <w:szCs w:val="20"/>
    </w:rPr>
  </w:style>
  <w:style w:type="paragraph" w:styleId="CommentSubject">
    <w:name w:val="annotation subject"/>
    <w:basedOn w:val="CommentText"/>
    <w:next w:val="CommentText"/>
    <w:link w:val="CommentSubjectChar"/>
    <w:uiPriority w:val="99"/>
    <w:semiHidden/>
    <w:unhideWhenUsed/>
    <w:rsid w:val="008B4133"/>
    <w:rPr>
      <w:b/>
      <w:bCs/>
    </w:rPr>
  </w:style>
  <w:style w:type="character" w:customStyle="1" w:styleId="CommentSubjectChar">
    <w:name w:val="Comment Subject Char"/>
    <w:basedOn w:val="CommentTextChar"/>
    <w:link w:val="CommentSubject"/>
    <w:uiPriority w:val="99"/>
    <w:semiHidden/>
    <w:rsid w:val="008B4133"/>
    <w:rPr>
      <w:b/>
      <w:bCs/>
      <w:sz w:val="20"/>
      <w:szCs w:val="20"/>
    </w:rPr>
  </w:style>
  <w:style w:type="paragraph" w:styleId="BalloonText">
    <w:name w:val="Balloon Text"/>
    <w:basedOn w:val="Normal"/>
    <w:link w:val="BalloonTextChar"/>
    <w:uiPriority w:val="99"/>
    <w:semiHidden/>
    <w:unhideWhenUsed/>
    <w:rsid w:val="00D51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7.png"/><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eader" Target="header6.xml"/><Relationship Id="rId10" Type="http://schemas.microsoft.com/office/2016/09/relationships/commentsIds" Target="commentsId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footer" Target="footer4.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E:\My%20Research\Paper%20Writting%20Drass_Zanskar_GW\Drass%20River_Aug_25\Final%20Data%20New.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72714667976445"/>
          <c:y val="5.1400554097404488E-2"/>
          <c:w val="0.84168285981796132"/>
          <c:h val="0.76550707203266255"/>
        </c:manualLayout>
      </c:layout>
      <c:bar3DChart>
        <c:barDir val="col"/>
        <c:grouping val="clustered"/>
        <c:varyColors val="0"/>
        <c:ser>
          <c:idx val="0"/>
          <c:order val="0"/>
          <c:tx>
            <c:strRef>
              <c:f>Graph!$H$24</c:f>
              <c:strCache>
                <c:ptCount val="1"/>
                <c:pt idx="0">
                  <c:v>EMP</c:v>
                </c:pt>
              </c:strCache>
            </c:strRef>
          </c:tx>
          <c:spPr>
            <a:solidFill>
              <a:schemeClr val="accent1"/>
            </a:solidFill>
            <a:ln>
              <a:noFill/>
            </a:ln>
            <a:effectLst/>
            <a:sp3d/>
          </c:spPr>
          <c:invertIfNegative val="0"/>
          <c:cat>
            <c:strRef>
              <c:f>Graph!$I$23:$Q$23</c:f>
              <c:strCache>
                <c:ptCount val="9"/>
                <c:pt idx="0">
                  <c:v>Mg</c:v>
                </c:pt>
                <c:pt idx="1">
                  <c:v>Ca</c:v>
                </c:pt>
                <c:pt idx="2">
                  <c:v>Na</c:v>
                </c:pt>
                <c:pt idx="3">
                  <c:v>K</c:v>
                </c:pt>
                <c:pt idx="4">
                  <c:v>HCO3</c:v>
                </c:pt>
                <c:pt idx="5">
                  <c:v>CO3</c:v>
                </c:pt>
                <c:pt idx="6">
                  <c:v>Cl</c:v>
                </c:pt>
                <c:pt idx="7">
                  <c:v>SO4</c:v>
                </c:pt>
                <c:pt idx="8">
                  <c:v>F</c:v>
                </c:pt>
              </c:strCache>
            </c:strRef>
          </c:cat>
          <c:val>
            <c:numRef>
              <c:f>Graph!$I$24:$Q$24</c:f>
              <c:numCache>
                <c:formatCode>General</c:formatCode>
                <c:ptCount val="9"/>
                <c:pt idx="0">
                  <c:v>0.36881662414226596</c:v>
                </c:pt>
                <c:pt idx="1">
                  <c:v>1.3763555555555556</c:v>
                </c:pt>
                <c:pt idx="2">
                  <c:v>4.6808260538356551E-2</c:v>
                </c:pt>
                <c:pt idx="3">
                  <c:v>2.8645746746022206E-2</c:v>
                </c:pt>
                <c:pt idx="4">
                  <c:v>1.2452089697700741</c:v>
                </c:pt>
                <c:pt idx="5">
                  <c:v>0.10552592592592609</c:v>
                </c:pt>
                <c:pt idx="6">
                  <c:v>0.13687730547798804</c:v>
                </c:pt>
                <c:pt idx="7">
                  <c:v>0.43836253007098896</c:v>
                </c:pt>
                <c:pt idx="8">
                  <c:v>0</c:v>
                </c:pt>
              </c:numCache>
            </c:numRef>
          </c:val>
          <c:extLst>
            <c:ext xmlns:c16="http://schemas.microsoft.com/office/drawing/2014/chart" uri="{C3380CC4-5D6E-409C-BE32-E72D297353CC}">
              <c16:uniqueId val="{00000000-C743-472B-A271-B3726ED4221E}"/>
            </c:ext>
          </c:extLst>
        </c:ser>
        <c:ser>
          <c:idx val="1"/>
          <c:order val="1"/>
          <c:tx>
            <c:strRef>
              <c:f>Graph!$H$25</c:f>
              <c:strCache>
                <c:ptCount val="1"/>
                <c:pt idx="0">
                  <c:v>PMP</c:v>
                </c:pt>
              </c:strCache>
            </c:strRef>
          </c:tx>
          <c:spPr>
            <a:solidFill>
              <a:schemeClr val="accent2"/>
            </a:solidFill>
            <a:ln>
              <a:noFill/>
            </a:ln>
            <a:effectLst/>
            <a:sp3d/>
          </c:spPr>
          <c:invertIfNegative val="0"/>
          <c:cat>
            <c:strRef>
              <c:f>Graph!$I$23:$Q$23</c:f>
              <c:strCache>
                <c:ptCount val="9"/>
                <c:pt idx="0">
                  <c:v>Mg</c:v>
                </c:pt>
                <c:pt idx="1">
                  <c:v>Ca</c:v>
                </c:pt>
                <c:pt idx="2">
                  <c:v>Na</c:v>
                </c:pt>
                <c:pt idx="3">
                  <c:v>K</c:v>
                </c:pt>
                <c:pt idx="4">
                  <c:v>HCO3</c:v>
                </c:pt>
                <c:pt idx="5">
                  <c:v>CO3</c:v>
                </c:pt>
                <c:pt idx="6">
                  <c:v>Cl</c:v>
                </c:pt>
                <c:pt idx="7">
                  <c:v>SO4</c:v>
                </c:pt>
                <c:pt idx="8">
                  <c:v>F</c:v>
                </c:pt>
              </c:strCache>
            </c:strRef>
          </c:cat>
          <c:val>
            <c:numRef>
              <c:f>Graph!$I$25:$Q$25</c:f>
              <c:numCache>
                <c:formatCode>General</c:formatCode>
                <c:ptCount val="9"/>
                <c:pt idx="0">
                  <c:v>0.46674050736956746</c:v>
                </c:pt>
                <c:pt idx="1">
                  <c:v>1.1666666666666667</c:v>
                </c:pt>
                <c:pt idx="2">
                  <c:v>0.12665053871013252</c:v>
                </c:pt>
                <c:pt idx="3">
                  <c:v>6.5547038561210524E-2</c:v>
                </c:pt>
                <c:pt idx="4">
                  <c:v>1.1134765798563306</c:v>
                </c:pt>
                <c:pt idx="5">
                  <c:v>0</c:v>
                </c:pt>
                <c:pt idx="6">
                  <c:v>0.17498519166220064</c:v>
                </c:pt>
                <c:pt idx="7">
                  <c:v>0.54417159640230739</c:v>
                </c:pt>
                <c:pt idx="8">
                  <c:v>3.8961256486401814E-2</c:v>
                </c:pt>
              </c:numCache>
            </c:numRef>
          </c:val>
          <c:extLst>
            <c:ext xmlns:c16="http://schemas.microsoft.com/office/drawing/2014/chart" uri="{C3380CC4-5D6E-409C-BE32-E72D297353CC}">
              <c16:uniqueId val="{00000001-C743-472B-A271-B3726ED4221E}"/>
            </c:ext>
          </c:extLst>
        </c:ser>
        <c:ser>
          <c:idx val="2"/>
          <c:order val="2"/>
          <c:tx>
            <c:strRef>
              <c:f>Graph!$H$26</c:f>
              <c:strCache>
                <c:ptCount val="1"/>
                <c:pt idx="0">
                  <c:v>LMP</c:v>
                </c:pt>
              </c:strCache>
            </c:strRef>
          </c:tx>
          <c:spPr>
            <a:solidFill>
              <a:schemeClr val="accent3"/>
            </a:solidFill>
            <a:ln>
              <a:noFill/>
            </a:ln>
            <a:effectLst/>
            <a:sp3d/>
          </c:spPr>
          <c:invertIfNegative val="0"/>
          <c:cat>
            <c:strRef>
              <c:f>Graph!$I$23:$Q$23</c:f>
              <c:strCache>
                <c:ptCount val="9"/>
                <c:pt idx="0">
                  <c:v>Mg</c:v>
                </c:pt>
                <c:pt idx="1">
                  <c:v>Ca</c:v>
                </c:pt>
                <c:pt idx="2">
                  <c:v>Na</c:v>
                </c:pt>
                <c:pt idx="3">
                  <c:v>K</c:v>
                </c:pt>
                <c:pt idx="4">
                  <c:v>HCO3</c:v>
                </c:pt>
                <c:pt idx="5">
                  <c:v>CO3</c:v>
                </c:pt>
                <c:pt idx="6">
                  <c:v>Cl</c:v>
                </c:pt>
                <c:pt idx="7">
                  <c:v>SO4</c:v>
                </c:pt>
                <c:pt idx="8">
                  <c:v>F</c:v>
                </c:pt>
              </c:strCache>
            </c:strRef>
          </c:cat>
          <c:val>
            <c:numRef>
              <c:f>Graph!$I$26:$Q$26</c:f>
              <c:numCache>
                <c:formatCode>General</c:formatCode>
                <c:ptCount val="9"/>
                <c:pt idx="0">
                  <c:v>0.74120307058399526</c:v>
                </c:pt>
                <c:pt idx="1">
                  <c:v>1.3904000000000003</c:v>
                </c:pt>
                <c:pt idx="2">
                  <c:v>4.4270900003236559E-2</c:v>
                </c:pt>
                <c:pt idx="3">
                  <c:v>1.5530655353870174E-2</c:v>
                </c:pt>
                <c:pt idx="4">
                  <c:v>1.2867858615259331</c:v>
                </c:pt>
                <c:pt idx="5">
                  <c:v>0</c:v>
                </c:pt>
                <c:pt idx="6">
                  <c:v>4.4262920862362415E-2</c:v>
                </c:pt>
                <c:pt idx="7">
                  <c:v>0.66230560844107778</c:v>
                </c:pt>
                <c:pt idx="8">
                  <c:v>0</c:v>
                </c:pt>
              </c:numCache>
            </c:numRef>
          </c:val>
          <c:extLst>
            <c:ext xmlns:c16="http://schemas.microsoft.com/office/drawing/2014/chart" uri="{C3380CC4-5D6E-409C-BE32-E72D297353CC}">
              <c16:uniqueId val="{00000002-C743-472B-A271-B3726ED4221E}"/>
            </c:ext>
          </c:extLst>
        </c:ser>
        <c:dLbls>
          <c:showLegendKey val="0"/>
          <c:showVal val="0"/>
          <c:showCatName val="0"/>
          <c:showSerName val="0"/>
          <c:showPercent val="0"/>
          <c:showBubbleSize val="0"/>
        </c:dLbls>
        <c:gapWidth val="150"/>
        <c:shape val="box"/>
        <c:axId val="551679487"/>
        <c:axId val="551679967"/>
        <c:axId val="0"/>
      </c:bar3DChart>
      <c:catAx>
        <c:axId val="55167948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latin typeface="Times New Roman" panose="02020603050405020304" pitchFamily="18" charset="0"/>
                    <a:cs typeface="Times New Roman" panose="02020603050405020304" pitchFamily="18" charset="0"/>
                  </a:rPr>
                  <a:t>Major Ions</a:t>
                </a:r>
              </a:p>
            </c:rich>
          </c:tx>
          <c:layout>
            <c:manualLayout>
              <c:xMode val="edge"/>
              <c:yMode val="edge"/>
              <c:x val="0.48046026410441384"/>
              <c:y val="0.9098880869058034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19050">
            <a:solidFill>
              <a:schemeClr val="tx1"/>
            </a:solid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551679967"/>
        <c:crosses val="autoZero"/>
        <c:auto val="1"/>
        <c:lblAlgn val="ctr"/>
        <c:lblOffset val="100"/>
        <c:noMultiLvlLbl val="0"/>
      </c:catAx>
      <c:valAx>
        <c:axId val="5516799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Concentration (meq/L)</a:t>
                </a:r>
              </a:p>
            </c:rich>
          </c:tx>
          <c:layout>
            <c:manualLayout>
              <c:xMode val="edge"/>
              <c:yMode val="edge"/>
              <c:x val="2.7599678695133863E-2"/>
              <c:y val="0.191946996208807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19050">
            <a:solidFill>
              <a:schemeClr val="tx1"/>
            </a:solid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551679487"/>
        <c:crosses val="autoZero"/>
        <c:crossBetween val="between"/>
      </c:valAx>
      <c:spPr>
        <a:noFill/>
        <a:ln>
          <a:noFill/>
        </a:ln>
        <a:effectLst/>
      </c:spPr>
    </c:plotArea>
    <c:legend>
      <c:legendPos val="b"/>
      <c:layout>
        <c:manualLayout>
          <c:xMode val="edge"/>
          <c:yMode val="edge"/>
          <c:x val="0.67178605598276819"/>
          <c:y val="2.7393919510061242E-2"/>
          <c:w val="0.26981299852138368"/>
          <c:h val="8.3717191601049873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4776F-38FF-48F8-B478-BA0BEE67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32973</Words>
  <Characters>187949</Characters>
  <Application>Microsoft Office Word</Application>
  <DocSecurity>0</DocSecurity>
  <Lines>1566</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Ali</dc:creator>
  <cp:keywords/>
  <dc:description/>
  <cp:lastModifiedBy>SDI 1067</cp:lastModifiedBy>
  <cp:revision>1</cp:revision>
  <dcterms:created xsi:type="dcterms:W3CDTF">2025-09-08T15:38:00Z</dcterms:created>
  <dcterms:modified xsi:type="dcterms:W3CDTF">2025-09-11T08:14:00Z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ff517785-6cb3-411f-aa82-e3f864942138</vt:lpwstr>
  </property>
  <property fmtid="{D5CDD505-2E9C-101B-9397-08002B2CF9AE}" pid="3" name="ZOTERO_PREF_1">
    <vt:lpwstr>&lt;data data-version="3" zotero-version="6.0.30"&gt;&lt;session id="zdv2gFju"/&gt;&lt;style id="http://www.zotero.org/styles/elsevier-harvard" hasBibliography="1" bibliographyStyleHasBeenSet="1"/&gt;&lt;prefs&gt;&lt;pref name="fieldType" value="Field"/&gt;&lt;pref name="automaticJournal</vt:lpwstr>
  </property>
  <property fmtid="{D5CDD505-2E9C-101B-9397-08002B2CF9AE}" pid="4" name="ZOTERO_PREF_2">
    <vt:lpwstr>Abbreviations" value="true"/&gt;&lt;pref name="delayCitationUpdates" value="true"/&gt;&lt;pref name="dontAskDelayCitationUpdates" value="true"/&gt;&lt;/prefs&gt;&lt;/data&gt;</vt:lpwstr>
  </property>
</Properties>
</file>