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5125" w14:textId="77777777" w:rsidR="005A27F9" w:rsidRPr="005A27F9" w:rsidRDefault="005A27F9" w:rsidP="005A27F9">
      <w:pPr>
        <w:jc w:val="right"/>
        <w:rPr>
          <w:rFonts w:ascii="Arial" w:hAnsi="Arial" w:cs="Arial"/>
          <w:b/>
          <w:bCs/>
          <w:i/>
          <w:iCs/>
          <w:sz w:val="36"/>
          <w:szCs w:val="36"/>
          <w:u w:val="single"/>
        </w:rPr>
      </w:pPr>
      <w:r w:rsidRPr="005A27F9">
        <w:rPr>
          <w:rFonts w:ascii="Arial" w:hAnsi="Arial" w:cs="Arial"/>
          <w:b/>
          <w:bCs/>
          <w:i/>
          <w:iCs/>
          <w:sz w:val="36"/>
          <w:szCs w:val="36"/>
          <w:u w:val="single"/>
        </w:rPr>
        <w:t>Original Research Article</w:t>
      </w:r>
    </w:p>
    <w:p w14:paraId="5A5C89B0" w14:textId="51EE63AD" w:rsidR="005B6A9C" w:rsidRPr="00F06139" w:rsidRDefault="00FC7D7D" w:rsidP="00111E88">
      <w:pPr>
        <w:jc w:val="right"/>
        <w:rPr>
          <w:rFonts w:ascii="Arial" w:hAnsi="Arial" w:cs="Arial"/>
          <w:b/>
          <w:sz w:val="24"/>
          <w:szCs w:val="24"/>
          <w:lang w:val="en-IN"/>
        </w:rPr>
      </w:pPr>
      <w:r w:rsidRPr="00111E88">
        <w:rPr>
          <w:rFonts w:ascii="Arial" w:hAnsi="Arial" w:cs="Arial"/>
          <w:b/>
          <w:sz w:val="36"/>
          <w:szCs w:val="36"/>
          <w:lang w:val="en-IN"/>
        </w:rPr>
        <w:t xml:space="preserve">Comparative Evaluation of Bioactive Potentials in Functional Tea Infusion of Fermented and Non-Fermented </w:t>
      </w:r>
      <w:r w:rsidR="006311B2" w:rsidRPr="006311B2">
        <w:rPr>
          <w:rFonts w:ascii="Arial" w:hAnsi="Arial" w:cs="Arial"/>
          <w:b/>
          <w:sz w:val="36"/>
          <w:szCs w:val="36"/>
          <w:lang w:val="en-IN"/>
        </w:rPr>
        <w:t>Indian Pennywort</w:t>
      </w:r>
      <w:r w:rsidRPr="00111E88">
        <w:rPr>
          <w:rFonts w:ascii="Arial" w:hAnsi="Arial" w:cs="Arial"/>
          <w:b/>
          <w:sz w:val="36"/>
          <w:szCs w:val="36"/>
          <w:lang w:val="en-IN"/>
        </w:rPr>
        <w:t xml:space="preserve"> Blended with Ginger and Green Tea </w:t>
      </w:r>
    </w:p>
    <w:p w14:paraId="30ADC7C1" w14:textId="77777777" w:rsidR="001D5747" w:rsidRPr="00C77B1E" w:rsidRDefault="001D5747" w:rsidP="00FC7D7D">
      <w:pPr>
        <w:jc w:val="center"/>
        <w:rPr>
          <w:rFonts w:ascii="Arial" w:hAnsi="Arial" w:cs="Arial"/>
          <w:bCs/>
          <w:i/>
          <w:iCs/>
          <w:sz w:val="20"/>
          <w:szCs w:val="20"/>
          <w:lang w:val="en-IN"/>
        </w:rPr>
      </w:pPr>
    </w:p>
    <w:p w14:paraId="2B1B1435" w14:textId="7B52FB09" w:rsidR="00C7292F" w:rsidRPr="002D7E1D" w:rsidRDefault="00C7292F" w:rsidP="002D7E1D">
      <w:pPr>
        <w:rPr>
          <w:rFonts w:ascii="Arial" w:hAnsi="Arial" w:cs="Arial"/>
          <w:b/>
          <w:lang w:val="en-IN"/>
        </w:rPr>
      </w:pPr>
      <w:r w:rsidRPr="002D7E1D">
        <w:rPr>
          <w:rFonts w:ascii="Arial" w:hAnsi="Arial" w:cs="Arial"/>
          <w:b/>
          <w:lang w:val="en-IN"/>
        </w:rPr>
        <w:t>A</w:t>
      </w:r>
      <w:r w:rsidR="002D7E1D" w:rsidRPr="002D7E1D">
        <w:rPr>
          <w:rFonts w:ascii="Arial" w:hAnsi="Arial" w:cs="Arial"/>
          <w:b/>
          <w:lang w:val="en-IN"/>
        </w:rPr>
        <w:t>BSTRACT</w:t>
      </w:r>
    </w:p>
    <w:p w14:paraId="0BDF6555" w14:textId="77777777" w:rsidR="00274309" w:rsidRPr="00274309" w:rsidRDefault="00274309" w:rsidP="00274309">
      <w:pPr>
        <w:pStyle w:val="NormalWeb"/>
        <w:spacing w:after="0"/>
        <w:jc w:val="both"/>
        <w:rPr>
          <w:rFonts w:ascii="Arial" w:hAnsi="Arial" w:cs="Arial"/>
          <w:iCs/>
          <w:sz w:val="20"/>
          <w:szCs w:val="20"/>
        </w:rPr>
      </w:pPr>
      <w:r w:rsidRPr="00274309">
        <w:rPr>
          <w:rFonts w:ascii="Arial" w:hAnsi="Arial" w:cs="Arial"/>
          <w:b/>
          <w:bCs/>
          <w:iCs/>
          <w:sz w:val="20"/>
          <w:szCs w:val="20"/>
        </w:rPr>
        <w:t>Aim</w:t>
      </w:r>
      <w:r w:rsidRPr="00274309">
        <w:rPr>
          <w:rFonts w:ascii="Arial" w:hAnsi="Arial" w:cs="Arial"/>
          <w:iCs/>
          <w:sz w:val="20"/>
          <w:szCs w:val="20"/>
        </w:rPr>
        <w:br/>
        <w:t>To develop and evaluate functional tea infusions from fermented and non-fermented Indian Pennywort (</w:t>
      </w:r>
      <w:proofErr w:type="spellStart"/>
      <w:r w:rsidRPr="00274309">
        <w:rPr>
          <w:rFonts w:ascii="Arial" w:hAnsi="Arial" w:cs="Arial"/>
          <w:i/>
          <w:iCs/>
          <w:sz w:val="20"/>
          <w:szCs w:val="20"/>
        </w:rPr>
        <w:t>Centella</w:t>
      </w:r>
      <w:proofErr w:type="spellEnd"/>
      <w:r w:rsidRPr="00274309">
        <w:rPr>
          <w:rFonts w:ascii="Arial" w:hAnsi="Arial" w:cs="Arial"/>
          <w:i/>
          <w:iCs/>
          <w:sz w:val="20"/>
          <w:szCs w:val="20"/>
        </w:rPr>
        <w:t xml:space="preserve"> </w:t>
      </w:r>
      <w:proofErr w:type="spellStart"/>
      <w:r w:rsidRPr="00274309">
        <w:rPr>
          <w:rFonts w:ascii="Arial" w:hAnsi="Arial" w:cs="Arial"/>
          <w:i/>
          <w:iCs/>
          <w:sz w:val="20"/>
          <w:szCs w:val="20"/>
        </w:rPr>
        <w:t>asiatica</w:t>
      </w:r>
      <w:proofErr w:type="spellEnd"/>
      <w:r w:rsidRPr="00274309">
        <w:rPr>
          <w:rFonts w:ascii="Arial" w:hAnsi="Arial" w:cs="Arial"/>
          <w:i/>
          <w:iCs/>
          <w:sz w:val="20"/>
          <w:szCs w:val="20"/>
        </w:rPr>
        <w:t>)</w:t>
      </w:r>
      <w:r w:rsidRPr="00274309">
        <w:rPr>
          <w:rFonts w:ascii="Arial" w:hAnsi="Arial" w:cs="Arial"/>
          <w:iCs/>
          <w:sz w:val="20"/>
          <w:szCs w:val="20"/>
        </w:rPr>
        <w:t xml:space="preserve"> leaves blended with ginger and green tea, and to assess their antioxidant, phenolic, flavonoid contents, and sensory qualities.</w:t>
      </w:r>
    </w:p>
    <w:p w14:paraId="143F2B66" w14:textId="77777777" w:rsidR="00274309" w:rsidRPr="00274309" w:rsidRDefault="00274309" w:rsidP="00274309">
      <w:pPr>
        <w:pStyle w:val="NormalWeb"/>
        <w:spacing w:after="0"/>
        <w:rPr>
          <w:rFonts w:ascii="Arial" w:hAnsi="Arial" w:cs="Arial"/>
          <w:iCs/>
          <w:sz w:val="20"/>
          <w:szCs w:val="20"/>
        </w:rPr>
      </w:pPr>
      <w:r w:rsidRPr="00274309">
        <w:rPr>
          <w:rFonts w:ascii="Arial" w:hAnsi="Arial" w:cs="Arial"/>
          <w:b/>
          <w:bCs/>
          <w:iCs/>
          <w:sz w:val="20"/>
          <w:szCs w:val="20"/>
        </w:rPr>
        <w:t>Study Design</w:t>
      </w:r>
      <w:r w:rsidRPr="00274309">
        <w:rPr>
          <w:rFonts w:ascii="Arial" w:hAnsi="Arial" w:cs="Arial"/>
          <w:iCs/>
          <w:sz w:val="20"/>
          <w:szCs w:val="20"/>
        </w:rPr>
        <w:br/>
        <w:t>Comparative experimental study of fermented vs. non-fermented formulations of herbal tea blends.</w:t>
      </w:r>
    </w:p>
    <w:p w14:paraId="5670A066" w14:textId="46006429" w:rsidR="00274309" w:rsidRPr="00274309" w:rsidRDefault="00274309" w:rsidP="00274309">
      <w:pPr>
        <w:pStyle w:val="NormalWeb"/>
        <w:spacing w:after="0"/>
        <w:rPr>
          <w:rFonts w:ascii="Arial" w:hAnsi="Arial" w:cs="Arial"/>
          <w:b/>
          <w:bCs/>
          <w:iCs/>
          <w:sz w:val="20"/>
          <w:szCs w:val="20"/>
        </w:rPr>
      </w:pPr>
      <w:r w:rsidRPr="00274309">
        <w:rPr>
          <w:rFonts w:ascii="Arial" w:hAnsi="Arial" w:cs="Arial"/>
          <w:b/>
          <w:bCs/>
          <w:iCs/>
          <w:sz w:val="20"/>
          <w:szCs w:val="20"/>
        </w:rPr>
        <w:t>Place and Duration of Study</w:t>
      </w:r>
      <w:r w:rsidRPr="00274309">
        <w:rPr>
          <w:rFonts w:ascii="Arial" w:hAnsi="Arial" w:cs="Arial"/>
          <w:iCs/>
          <w:sz w:val="20"/>
          <w:szCs w:val="20"/>
        </w:rPr>
        <w:br/>
        <w:t xml:space="preserve">College of Agricultural Engineering and Post-Harvest Technology, </w:t>
      </w:r>
      <w:proofErr w:type="spellStart"/>
      <w:r w:rsidRPr="00274309">
        <w:rPr>
          <w:rFonts w:ascii="Arial" w:hAnsi="Arial" w:cs="Arial"/>
          <w:iCs/>
          <w:sz w:val="20"/>
          <w:szCs w:val="20"/>
        </w:rPr>
        <w:t>Ranipool</w:t>
      </w:r>
      <w:proofErr w:type="spellEnd"/>
      <w:r w:rsidRPr="00274309">
        <w:rPr>
          <w:rFonts w:ascii="Arial" w:hAnsi="Arial" w:cs="Arial"/>
          <w:iCs/>
          <w:sz w:val="20"/>
          <w:szCs w:val="20"/>
        </w:rPr>
        <w:t xml:space="preserve"> (Sikkim), and College of Food Technology, Imphal (Manipur). Duration: 6 months.</w:t>
      </w:r>
    </w:p>
    <w:p w14:paraId="39C659AC" w14:textId="77777777" w:rsidR="00274309" w:rsidRPr="00274309" w:rsidRDefault="00274309" w:rsidP="00274309">
      <w:pPr>
        <w:pStyle w:val="NormalWeb"/>
        <w:spacing w:after="0"/>
        <w:jc w:val="both"/>
        <w:rPr>
          <w:rFonts w:ascii="Arial" w:hAnsi="Arial" w:cs="Arial"/>
          <w:iCs/>
          <w:sz w:val="20"/>
          <w:szCs w:val="20"/>
        </w:rPr>
      </w:pPr>
      <w:r w:rsidRPr="00274309">
        <w:rPr>
          <w:rFonts w:ascii="Arial" w:hAnsi="Arial" w:cs="Arial"/>
          <w:b/>
          <w:bCs/>
          <w:iCs/>
          <w:sz w:val="20"/>
          <w:szCs w:val="20"/>
        </w:rPr>
        <w:t>Methodology</w:t>
      </w:r>
    </w:p>
    <w:p w14:paraId="096AF58D" w14:textId="7F22C060" w:rsidR="00274309" w:rsidRPr="00274309" w:rsidRDefault="00274309" w:rsidP="00274309">
      <w:pPr>
        <w:pStyle w:val="NormalWeb"/>
        <w:spacing w:after="0"/>
        <w:jc w:val="both"/>
        <w:rPr>
          <w:rFonts w:ascii="Arial" w:hAnsi="Arial" w:cs="Arial"/>
          <w:iCs/>
          <w:sz w:val="20"/>
          <w:szCs w:val="20"/>
        </w:rPr>
      </w:pPr>
      <w:r w:rsidRPr="00274309">
        <w:rPr>
          <w:rFonts w:ascii="Arial" w:hAnsi="Arial" w:cs="Arial"/>
          <w:iCs/>
          <w:sz w:val="20"/>
          <w:szCs w:val="20"/>
        </w:rPr>
        <w:t xml:space="preserve">Fresh </w:t>
      </w:r>
      <w:r w:rsidRPr="00274309">
        <w:rPr>
          <w:rFonts w:ascii="Arial" w:hAnsi="Arial" w:cs="Arial"/>
          <w:i/>
          <w:iCs/>
          <w:sz w:val="20"/>
          <w:szCs w:val="20"/>
        </w:rPr>
        <w:t>C. asiatica</w:t>
      </w:r>
      <w:r w:rsidRPr="00274309">
        <w:rPr>
          <w:rFonts w:ascii="Arial" w:hAnsi="Arial" w:cs="Arial"/>
          <w:iCs/>
          <w:sz w:val="20"/>
          <w:szCs w:val="20"/>
        </w:rPr>
        <w:t xml:space="preserve"> leaves and ginger rhizomes were collected, shade-dried, fermented (</w:t>
      </w:r>
      <w:r w:rsidRPr="002F73DB">
        <w:rPr>
          <w:rFonts w:ascii="Arial" w:hAnsi="Arial" w:cs="Arial"/>
          <w:iCs/>
          <w:sz w:val="20"/>
          <w:szCs w:val="20"/>
          <w:highlight w:val="yellow"/>
        </w:rPr>
        <w:t>24 h</w:t>
      </w:r>
      <w:r w:rsidRPr="00274309">
        <w:rPr>
          <w:rFonts w:ascii="Arial" w:hAnsi="Arial" w:cs="Arial"/>
          <w:iCs/>
          <w:sz w:val="20"/>
          <w:szCs w:val="20"/>
        </w:rPr>
        <w:t xml:space="preserve"> at room temperature) for fermented samples, tray-dried at 60°C, ground, and blended with green tea in varying ratios (70–90% pennywort, 5–15% ginger, 5–15% green tea). Bioactive analysis was done for Antioxidant activity by DPPH assay (mg AAE/tea sachet), Total </w:t>
      </w:r>
      <w:proofErr w:type="spellStart"/>
      <w:r w:rsidRPr="00274309">
        <w:rPr>
          <w:rFonts w:ascii="Arial" w:hAnsi="Arial" w:cs="Arial"/>
          <w:iCs/>
          <w:sz w:val="20"/>
          <w:szCs w:val="20"/>
        </w:rPr>
        <w:t>phenolics</w:t>
      </w:r>
      <w:proofErr w:type="spellEnd"/>
      <w:r w:rsidRPr="00274309">
        <w:rPr>
          <w:rFonts w:ascii="Arial" w:hAnsi="Arial" w:cs="Arial"/>
          <w:iCs/>
          <w:sz w:val="20"/>
          <w:szCs w:val="20"/>
        </w:rPr>
        <w:t xml:space="preserve"> by </w:t>
      </w:r>
      <w:proofErr w:type="spellStart"/>
      <w:r w:rsidRPr="00274309">
        <w:rPr>
          <w:rFonts w:ascii="Arial" w:hAnsi="Arial" w:cs="Arial"/>
          <w:iCs/>
          <w:sz w:val="20"/>
          <w:szCs w:val="20"/>
        </w:rPr>
        <w:t>Folin</w:t>
      </w:r>
      <w:proofErr w:type="spellEnd"/>
      <w:r w:rsidRPr="00274309">
        <w:rPr>
          <w:rFonts w:ascii="Arial" w:hAnsi="Arial" w:cs="Arial"/>
          <w:iCs/>
          <w:sz w:val="20"/>
          <w:szCs w:val="20"/>
        </w:rPr>
        <w:t>–</w:t>
      </w:r>
      <w:proofErr w:type="spellStart"/>
      <w:r w:rsidRPr="00274309">
        <w:rPr>
          <w:rFonts w:ascii="Arial" w:hAnsi="Arial" w:cs="Arial"/>
          <w:iCs/>
          <w:sz w:val="20"/>
          <w:szCs w:val="20"/>
        </w:rPr>
        <w:t>Ciocalteu</w:t>
      </w:r>
      <w:proofErr w:type="spellEnd"/>
      <w:r w:rsidRPr="00274309">
        <w:rPr>
          <w:rFonts w:ascii="Arial" w:hAnsi="Arial" w:cs="Arial"/>
          <w:iCs/>
          <w:sz w:val="20"/>
          <w:szCs w:val="20"/>
        </w:rPr>
        <w:t xml:space="preserve"> method (mg GAE/tea sachet), Total flavonoids by aluminium chloride colorimetry (mg QE/tea sachet)</w:t>
      </w:r>
      <w:r w:rsidRPr="004470F6">
        <w:rPr>
          <w:rFonts w:ascii="Arial" w:hAnsi="Arial" w:cs="Arial"/>
          <w:iCs/>
          <w:sz w:val="20"/>
          <w:szCs w:val="20"/>
          <w:highlight w:val="red"/>
        </w:rPr>
        <w:t>.</w:t>
      </w:r>
      <w:r w:rsidRPr="00274309">
        <w:rPr>
          <w:rFonts w:ascii="Arial" w:hAnsi="Arial" w:cs="Arial"/>
          <w:iCs/>
          <w:sz w:val="20"/>
          <w:szCs w:val="20"/>
        </w:rPr>
        <w:t xml:space="preserve"> </w:t>
      </w:r>
      <w:proofErr w:type="gramStart"/>
      <w:r w:rsidR="004470F6" w:rsidRPr="004470F6">
        <w:rPr>
          <w:rFonts w:ascii="Arial" w:hAnsi="Arial" w:cs="Arial"/>
          <w:iCs/>
          <w:color w:val="00B0F0"/>
          <w:sz w:val="20"/>
          <w:szCs w:val="20"/>
        </w:rPr>
        <w:t>and</w:t>
      </w:r>
      <w:proofErr w:type="gramEnd"/>
      <w:r w:rsidR="004470F6">
        <w:rPr>
          <w:rFonts w:ascii="Arial" w:hAnsi="Arial" w:cs="Arial"/>
          <w:iCs/>
          <w:sz w:val="20"/>
          <w:szCs w:val="20"/>
        </w:rPr>
        <w:t xml:space="preserve"> </w:t>
      </w:r>
      <w:r w:rsidR="004470F6" w:rsidRPr="004470F6">
        <w:rPr>
          <w:rFonts w:ascii="Arial" w:hAnsi="Arial" w:cs="Arial"/>
          <w:iCs/>
          <w:color w:val="00B0F0"/>
          <w:sz w:val="20"/>
          <w:szCs w:val="20"/>
        </w:rPr>
        <w:t>s</w:t>
      </w:r>
      <w:r w:rsidRPr="00274309">
        <w:rPr>
          <w:rFonts w:ascii="Arial" w:hAnsi="Arial" w:cs="Arial"/>
          <w:iCs/>
          <w:sz w:val="20"/>
          <w:szCs w:val="20"/>
        </w:rPr>
        <w:t>ensory evaluation</w:t>
      </w:r>
      <w:r w:rsidR="004470F6">
        <w:rPr>
          <w:rFonts w:ascii="Arial" w:hAnsi="Arial" w:cs="Arial"/>
          <w:iCs/>
          <w:sz w:val="20"/>
          <w:szCs w:val="20"/>
        </w:rPr>
        <w:t xml:space="preserve"> </w:t>
      </w:r>
      <w:r w:rsidR="004470F6" w:rsidRPr="004470F6">
        <w:rPr>
          <w:rFonts w:ascii="Arial" w:hAnsi="Arial" w:cs="Arial"/>
          <w:iCs/>
          <w:color w:val="00B0F0"/>
          <w:sz w:val="20"/>
          <w:szCs w:val="20"/>
        </w:rPr>
        <w:t>by</w:t>
      </w:r>
      <w:r w:rsidRPr="004470F6">
        <w:rPr>
          <w:rFonts w:ascii="Arial" w:hAnsi="Arial" w:cs="Arial"/>
          <w:iCs/>
          <w:sz w:val="20"/>
          <w:szCs w:val="20"/>
          <w:highlight w:val="red"/>
        </w:rPr>
        <w:t>:</w:t>
      </w:r>
      <w:r w:rsidRPr="00274309">
        <w:rPr>
          <w:rFonts w:ascii="Arial" w:hAnsi="Arial" w:cs="Arial"/>
          <w:iCs/>
          <w:sz w:val="20"/>
          <w:szCs w:val="20"/>
        </w:rPr>
        <w:t xml:space="preserve"> 9-point hedonic scale with 10 </w:t>
      </w:r>
      <w:proofErr w:type="spellStart"/>
      <w:r w:rsidRPr="00274309">
        <w:rPr>
          <w:rFonts w:ascii="Arial" w:hAnsi="Arial" w:cs="Arial"/>
          <w:iCs/>
          <w:sz w:val="20"/>
          <w:szCs w:val="20"/>
        </w:rPr>
        <w:t>panelists</w:t>
      </w:r>
      <w:proofErr w:type="spellEnd"/>
      <w:r w:rsidRPr="00274309">
        <w:rPr>
          <w:rFonts w:ascii="Arial" w:hAnsi="Arial" w:cs="Arial"/>
          <w:iCs/>
          <w:sz w:val="20"/>
          <w:szCs w:val="20"/>
        </w:rPr>
        <w:t xml:space="preserve"> for </w:t>
      </w:r>
      <w:proofErr w:type="spellStart"/>
      <w:r w:rsidRPr="00274309">
        <w:rPr>
          <w:rFonts w:ascii="Arial" w:hAnsi="Arial" w:cs="Arial"/>
          <w:iCs/>
          <w:sz w:val="20"/>
          <w:szCs w:val="20"/>
        </w:rPr>
        <w:t>color</w:t>
      </w:r>
      <w:proofErr w:type="spellEnd"/>
      <w:r w:rsidRPr="00274309">
        <w:rPr>
          <w:rFonts w:ascii="Arial" w:hAnsi="Arial" w:cs="Arial"/>
          <w:iCs/>
          <w:sz w:val="20"/>
          <w:szCs w:val="20"/>
        </w:rPr>
        <w:t>, aroma, taste, mouthfeel, and acceptability.</w:t>
      </w:r>
    </w:p>
    <w:p w14:paraId="675AE26F" w14:textId="77777777" w:rsidR="00274309" w:rsidRPr="00274309" w:rsidRDefault="00274309" w:rsidP="00274309">
      <w:pPr>
        <w:pStyle w:val="NormalWeb"/>
        <w:spacing w:after="0"/>
        <w:jc w:val="both"/>
        <w:rPr>
          <w:rFonts w:ascii="Arial" w:hAnsi="Arial" w:cs="Arial"/>
          <w:iCs/>
          <w:sz w:val="20"/>
          <w:szCs w:val="20"/>
        </w:rPr>
      </w:pPr>
      <w:r w:rsidRPr="00274309">
        <w:rPr>
          <w:rFonts w:ascii="Arial" w:hAnsi="Arial" w:cs="Arial"/>
          <w:b/>
          <w:bCs/>
          <w:iCs/>
          <w:sz w:val="20"/>
          <w:szCs w:val="20"/>
        </w:rPr>
        <w:t>Results</w:t>
      </w:r>
    </w:p>
    <w:p w14:paraId="24ADAFB7" w14:textId="7FB4C4C0" w:rsidR="00274309" w:rsidRPr="00274309" w:rsidRDefault="00274309" w:rsidP="00274309">
      <w:pPr>
        <w:pStyle w:val="NormalWeb"/>
        <w:spacing w:after="0"/>
        <w:jc w:val="both"/>
        <w:rPr>
          <w:rFonts w:ascii="Arial" w:hAnsi="Arial" w:cs="Arial"/>
          <w:iCs/>
          <w:sz w:val="20"/>
          <w:szCs w:val="20"/>
        </w:rPr>
      </w:pPr>
      <w:r w:rsidRPr="00274309">
        <w:rPr>
          <w:rFonts w:ascii="Arial" w:hAnsi="Arial" w:cs="Arial"/>
          <w:iCs/>
          <w:sz w:val="20"/>
          <w:szCs w:val="20"/>
        </w:rPr>
        <w:t xml:space="preserve">Non-fermented formulations showed higher antioxidant activity, phenolic, and flavonoid contents than fermented ones. </w:t>
      </w:r>
      <w:r w:rsidRPr="004470F6">
        <w:rPr>
          <w:rFonts w:ascii="Arial" w:hAnsi="Arial" w:cs="Arial"/>
          <w:iCs/>
          <w:sz w:val="20"/>
          <w:szCs w:val="20"/>
          <w:highlight w:val="red"/>
        </w:rPr>
        <w:t>Best performing sample: Non-fermented 2a</w:t>
      </w:r>
      <w:r w:rsidRPr="00274309">
        <w:rPr>
          <w:rFonts w:ascii="Arial" w:hAnsi="Arial" w:cs="Arial"/>
          <w:iCs/>
          <w:sz w:val="20"/>
          <w:szCs w:val="20"/>
        </w:rPr>
        <w:t xml:space="preserve"> </w:t>
      </w:r>
      <w:r w:rsidR="00641FF1" w:rsidRPr="00641FF1">
        <w:rPr>
          <w:rFonts w:ascii="Arial" w:hAnsi="Arial" w:cs="Arial"/>
          <w:iCs/>
          <w:color w:val="00B0F0"/>
          <w:sz w:val="20"/>
          <w:szCs w:val="20"/>
        </w:rPr>
        <w:t>The best p</w:t>
      </w:r>
      <w:r w:rsidR="00641FF1">
        <w:rPr>
          <w:rFonts w:ascii="Arial" w:hAnsi="Arial" w:cs="Arial"/>
          <w:iCs/>
          <w:color w:val="00B0F0"/>
          <w:sz w:val="20"/>
          <w:szCs w:val="20"/>
        </w:rPr>
        <w:t>erforming formulation was the non-</w:t>
      </w:r>
      <w:r w:rsidR="00641FF1" w:rsidRPr="00641FF1">
        <w:rPr>
          <w:rFonts w:ascii="Arial" w:hAnsi="Arial" w:cs="Arial"/>
          <w:iCs/>
          <w:color w:val="00B0F0"/>
          <w:sz w:val="20"/>
          <w:szCs w:val="20"/>
        </w:rPr>
        <w:t>fermented sample 2a</w:t>
      </w:r>
      <w:r w:rsidR="00641FF1" w:rsidRPr="00641FF1">
        <w:rPr>
          <w:rFonts w:ascii="Arial" w:hAnsi="Arial" w:cs="Arial"/>
          <w:iCs/>
          <w:sz w:val="20"/>
          <w:szCs w:val="20"/>
        </w:rPr>
        <w:t xml:space="preserve"> </w:t>
      </w:r>
      <w:r w:rsidRPr="00274309">
        <w:rPr>
          <w:rFonts w:ascii="Arial" w:hAnsi="Arial" w:cs="Arial"/>
          <w:iCs/>
          <w:sz w:val="20"/>
          <w:szCs w:val="20"/>
        </w:rPr>
        <w:t xml:space="preserve">(22.09 mg AAE, 13.59 </w:t>
      </w:r>
      <w:r w:rsidR="00641FF1">
        <w:rPr>
          <w:rFonts w:ascii="Arial" w:hAnsi="Arial" w:cs="Arial"/>
          <w:iCs/>
          <w:sz w:val="20"/>
          <w:szCs w:val="20"/>
        </w:rPr>
        <w:t xml:space="preserve">mg GAE, 10.31 mg QE/tea sachet) </w:t>
      </w:r>
      <w:r w:rsidR="00641FF1" w:rsidRPr="00641FF1">
        <w:rPr>
          <w:rFonts w:ascii="Arial" w:hAnsi="Arial" w:cs="Arial"/>
          <w:iCs/>
          <w:color w:val="00B0F0"/>
          <w:sz w:val="20"/>
          <w:szCs w:val="20"/>
        </w:rPr>
        <w:t>but the</w:t>
      </w:r>
      <w:r w:rsidRPr="00274309">
        <w:rPr>
          <w:rFonts w:ascii="Arial" w:hAnsi="Arial" w:cs="Arial"/>
          <w:iCs/>
          <w:sz w:val="20"/>
          <w:szCs w:val="20"/>
        </w:rPr>
        <w:t xml:space="preserve"> </w:t>
      </w:r>
      <w:r w:rsidR="00641FF1">
        <w:rPr>
          <w:rFonts w:ascii="Arial" w:hAnsi="Arial" w:cs="Arial"/>
          <w:iCs/>
          <w:sz w:val="20"/>
          <w:szCs w:val="20"/>
        </w:rPr>
        <w:t>f</w:t>
      </w:r>
      <w:r w:rsidRPr="00274309">
        <w:rPr>
          <w:rFonts w:ascii="Arial" w:hAnsi="Arial" w:cs="Arial"/>
          <w:iCs/>
          <w:sz w:val="20"/>
          <w:szCs w:val="20"/>
        </w:rPr>
        <w:t xml:space="preserve">ermented sample 1a had good antioxidant activity (18.16 mg AAE) and was most preferred in sensory evaluation for </w:t>
      </w:r>
      <w:proofErr w:type="spellStart"/>
      <w:r w:rsidRPr="00274309">
        <w:rPr>
          <w:rFonts w:ascii="Arial" w:hAnsi="Arial" w:cs="Arial"/>
          <w:iCs/>
          <w:sz w:val="20"/>
          <w:szCs w:val="20"/>
        </w:rPr>
        <w:t>color</w:t>
      </w:r>
      <w:proofErr w:type="spellEnd"/>
      <w:r w:rsidRPr="00274309">
        <w:rPr>
          <w:rFonts w:ascii="Arial" w:hAnsi="Arial" w:cs="Arial"/>
          <w:iCs/>
          <w:sz w:val="20"/>
          <w:szCs w:val="20"/>
        </w:rPr>
        <w:t xml:space="preserve">, aroma, and overall acceptability. </w:t>
      </w:r>
      <w:r w:rsidR="00641FF1" w:rsidRPr="00641FF1">
        <w:rPr>
          <w:rFonts w:ascii="Arial" w:hAnsi="Arial" w:cs="Arial"/>
          <w:iCs/>
          <w:color w:val="00B0F0"/>
          <w:sz w:val="20"/>
          <w:szCs w:val="20"/>
        </w:rPr>
        <w:t>The</w:t>
      </w:r>
      <w:r w:rsidR="00641FF1">
        <w:rPr>
          <w:rFonts w:ascii="Arial" w:hAnsi="Arial" w:cs="Arial"/>
          <w:iCs/>
          <w:sz w:val="20"/>
          <w:szCs w:val="20"/>
        </w:rPr>
        <w:t xml:space="preserve"> f</w:t>
      </w:r>
      <w:r w:rsidRPr="00274309">
        <w:rPr>
          <w:rFonts w:ascii="Arial" w:hAnsi="Arial" w:cs="Arial"/>
          <w:iCs/>
          <w:sz w:val="20"/>
          <w:szCs w:val="20"/>
        </w:rPr>
        <w:t>ermentation slightly reduced bioactive content but improved sensory qualities.</w:t>
      </w:r>
    </w:p>
    <w:p w14:paraId="363ACED5" w14:textId="77777777" w:rsidR="00274309" w:rsidRPr="00641FF1" w:rsidRDefault="00274309" w:rsidP="00274309">
      <w:pPr>
        <w:pStyle w:val="NormalWeb"/>
        <w:spacing w:after="0"/>
        <w:jc w:val="both"/>
        <w:rPr>
          <w:rFonts w:ascii="Arial" w:hAnsi="Arial" w:cs="Arial"/>
          <w:iCs/>
          <w:sz w:val="20"/>
          <w:szCs w:val="20"/>
        </w:rPr>
      </w:pPr>
      <w:r w:rsidRPr="00641FF1">
        <w:rPr>
          <w:rFonts w:ascii="Arial" w:hAnsi="Arial" w:cs="Arial"/>
          <w:b/>
          <w:bCs/>
          <w:iCs/>
          <w:sz w:val="20"/>
          <w:szCs w:val="20"/>
        </w:rPr>
        <w:t>Conclusion</w:t>
      </w:r>
      <w:r w:rsidRPr="00641FF1">
        <w:rPr>
          <w:rFonts w:ascii="Arial" w:hAnsi="Arial" w:cs="Arial"/>
          <w:iCs/>
          <w:sz w:val="20"/>
          <w:szCs w:val="20"/>
        </w:rPr>
        <w:br/>
        <w:t xml:space="preserve">Non-fermented </w:t>
      </w:r>
      <w:r w:rsidRPr="00641FF1">
        <w:rPr>
          <w:rFonts w:ascii="Arial" w:hAnsi="Arial" w:cs="Arial"/>
          <w:i/>
          <w:iCs/>
          <w:sz w:val="20"/>
          <w:szCs w:val="20"/>
        </w:rPr>
        <w:t>C. asiatica</w:t>
      </w:r>
      <w:r w:rsidRPr="00641FF1">
        <w:rPr>
          <w:rFonts w:ascii="Arial" w:hAnsi="Arial" w:cs="Arial"/>
          <w:iCs/>
          <w:sz w:val="20"/>
          <w:szCs w:val="20"/>
        </w:rPr>
        <w:t xml:space="preserve"> tea blends retain more bioactive compounds and antioxidant activity, making them potent functional beverages. Fermented teas, though lower in bioactive content, scored higher in sensory appeal. Blending </w:t>
      </w:r>
      <w:r w:rsidRPr="00641FF1">
        <w:rPr>
          <w:rFonts w:ascii="Arial" w:hAnsi="Arial" w:cs="Arial"/>
          <w:i/>
          <w:iCs/>
          <w:sz w:val="20"/>
          <w:szCs w:val="20"/>
        </w:rPr>
        <w:t>C. asiatica</w:t>
      </w:r>
      <w:r w:rsidRPr="00641FF1">
        <w:rPr>
          <w:rFonts w:ascii="Arial" w:hAnsi="Arial" w:cs="Arial"/>
          <w:iCs/>
          <w:sz w:val="20"/>
          <w:szCs w:val="20"/>
        </w:rPr>
        <w:t xml:space="preserve"> with ginger and green tea provides a balanced functional tea with both health benefits and consumer acceptability.</w:t>
      </w:r>
    </w:p>
    <w:p w14:paraId="430945DB" w14:textId="554C9477" w:rsidR="00D02647" w:rsidRPr="00641FF1" w:rsidRDefault="00CE2AFE" w:rsidP="006A65DF">
      <w:pPr>
        <w:pStyle w:val="NormalWeb"/>
        <w:spacing w:line="360" w:lineRule="auto"/>
        <w:jc w:val="both"/>
        <w:rPr>
          <w:rFonts w:ascii="Arial" w:hAnsi="Arial" w:cs="Arial"/>
          <w:sz w:val="20"/>
          <w:szCs w:val="20"/>
        </w:rPr>
      </w:pPr>
      <w:r w:rsidRPr="00641FF1">
        <w:rPr>
          <w:rStyle w:val="Strong"/>
          <w:rFonts w:ascii="Arial" w:hAnsi="Arial" w:cs="Arial"/>
          <w:sz w:val="20"/>
          <w:szCs w:val="20"/>
        </w:rPr>
        <w:t>Keywords</w:t>
      </w:r>
      <w:r w:rsidRPr="00641FF1">
        <w:rPr>
          <w:rFonts w:ascii="Arial" w:hAnsi="Arial" w:cs="Arial"/>
          <w:sz w:val="20"/>
          <w:szCs w:val="20"/>
        </w:rPr>
        <w:t xml:space="preserve">: </w:t>
      </w:r>
      <w:proofErr w:type="spellStart"/>
      <w:r w:rsidRPr="00641FF1">
        <w:rPr>
          <w:rFonts w:ascii="Arial" w:hAnsi="Arial" w:cs="Arial"/>
          <w:i/>
          <w:sz w:val="20"/>
          <w:szCs w:val="20"/>
        </w:rPr>
        <w:t>Centella</w:t>
      </w:r>
      <w:proofErr w:type="spellEnd"/>
      <w:r w:rsidRPr="00641FF1">
        <w:rPr>
          <w:rFonts w:ascii="Arial" w:hAnsi="Arial" w:cs="Arial"/>
          <w:i/>
          <w:sz w:val="20"/>
          <w:szCs w:val="20"/>
        </w:rPr>
        <w:t xml:space="preserve"> </w:t>
      </w:r>
      <w:proofErr w:type="spellStart"/>
      <w:r w:rsidRPr="00641FF1">
        <w:rPr>
          <w:rFonts w:ascii="Arial" w:hAnsi="Arial" w:cs="Arial"/>
          <w:i/>
          <w:sz w:val="20"/>
          <w:szCs w:val="20"/>
        </w:rPr>
        <w:t>asiatica</w:t>
      </w:r>
      <w:proofErr w:type="spellEnd"/>
      <w:r w:rsidRPr="00641FF1">
        <w:rPr>
          <w:rFonts w:ascii="Arial" w:hAnsi="Arial" w:cs="Arial"/>
          <w:sz w:val="20"/>
          <w:szCs w:val="20"/>
        </w:rPr>
        <w:t>, herbal tea, fermentation, antioxidant activity, phenolic compounds, flavonoids.</w:t>
      </w:r>
    </w:p>
    <w:p w14:paraId="1A28DB73" w14:textId="77777777" w:rsidR="00641FF1" w:rsidRDefault="00641FF1">
      <w:pPr>
        <w:rPr>
          <w:rFonts w:ascii="Arial" w:eastAsia="Times New Roman" w:hAnsi="Arial" w:cs="Arial"/>
          <w:b/>
          <w:lang w:val="en-IN" w:eastAsia="en-IN"/>
        </w:rPr>
      </w:pPr>
      <w:r>
        <w:rPr>
          <w:rFonts w:ascii="Arial" w:hAnsi="Arial" w:cs="Arial"/>
          <w:b/>
        </w:rPr>
        <w:br w:type="page"/>
      </w:r>
    </w:p>
    <w:p w14:paraId="55C9ACBD" w14:textId="3547AF9D" w:rsidR="00EA2B01" w:rsidRPr="0069446D" w:rsidRDefault="00EA2B01" w:rsidP="009D1631">
      <w:pPr>
        <w:pStyle w:val="NormalWeb"/>
        <w:numPr>
          <w:ilvl w:val="0"/>
          <w:numId w:val="5"/>
        </w:numPr>
        <w:spacing w:line="360" w:lineRule="auto"/>
        <w:jc w:val="both"/>
        <w:rPr>
          <w:rFonts w:ascii="Arial" w:hAnsi="Arial" w:cs="Arial"/>
          <w:b/>
          <w:sz w:val="22"/>
          <w:szCs w:val="22"/>
        </w:rPr>
      </w:pPr>
      <w:r w:rsidRPr="0069446D">
        <w:rPr>
          <w:rFonts w:ascii="Arial" w:hAnsi="Arial" w:cs="Arial"/>
          <w:b/>
          <w:sz w:val="22"/>
          <w:szCs w:val="22"/>
        </w:rPr>
        <w:lastRenderedPageBreak/>
        <w:t>I</w:t>
      </w:r>
      <w:r w:rsidR="0069446D" w:rsidRPr="0069446D">
        <w:rPr>
          <w:rFonts w:ascii="Arial" w:hAnsi="Arial" w:cs="Arial"/>
          <w:b/>
          <w:sz w:val="22"/>
          <w:szCs w:val="22"/>
        </w:rPr>
        <w:t>NTRODUCTION</w:t>
      </w:r>
    </w:p>
    <w:p w14:paraId="34F4A1C2" w14:textId="77777777" w:rsidR="00B16506" w:rsidRPr="00BC1B92" w:rsidRDefault="00B16506" w:rsidP="009107D8">
      <w:pPr>
        <w:pStyle w:val="NormalWeb"/>
        <w:spacing w:line="360" w:lineRule="auto"/>
        <w:ind w:firstLine="360"/>
        <w:jc w:val="both"/>
        <w:rPr>
          <w:rFonts w:ascii="Arial" w:hAnsi="Arial" w:cs="Arial"/>
          <w:sz w:val="20"/>
          <w:szCs w:val="20"/>
        </w:rPr>
      </w:pPr>
      <w:r w:rsidRPr="00BC1B92">
        <w:rPr>
          <w:rFonts w:ascii="Arial" w:hAnsi="Arial" w:cs="Arial"/>
          <w:sz w:val="20"/>
          <w:szCs w:val="20"/>
        </w:rPr>
        <w:t>Loc</w:t>
      </w:r>
      <w:r w:rsidR="000E53DA" w:rsidRPr="00BC1B92">
        <w:rPr>
          <w:rFonts w:ascii="Arial" w:hAnsi="Arial" w:cs="Arial"/>
          <w:sz w:val="20"/>
          <w:szCs w:val="20"/>
        </w:rPr>
        <w:t xml:space="preserve">ally known as </w:t>
      </w:r>
      <w:r w:rsidRPr="00BC1B92">
        <w:rPr>
          <w:rFonts w:ascii="Arial" w:hAnsi="Arial" w:cs="Arial"/>
          <w:sz w:val="20"/>
          <w:szCs w:val="20"/>
        </w:rPr>
        <w:t>"</w:t>
      </w:r>
      <w:proofErr w:type="spellStart"/>
      <w:r w:rsidRPr="00BC1B92">
        <w:rPr>
          <w:rFonts w:ascii="Arial" w:hAnsi="Arial" w:cs="Arial"/>
          <w:sz w:val="20"/>
          <w:szCs w:val="20"/>
        </w:rPr>
        <w:t>Peeruk</w:t>
      </w:r>
      <w:proofErr w:type="spellEnd"/>
      <w:r w:rsidRPr="00BC1B92">
        <w:rPr>
          <w:rFonts w:ascii="Arial" w:hAnsi="Arial" w:cs="Arial"/>
          <w:sz w:val="20"/>
          <w:szCs w:val="20"/>
        </w:rPr>
        <w:t xml:space="preserve">" in Manipur, </w:t>
      </w:r>
      <w:proofErr w:type="spellStart"/>
      <w:r w:rsidRPr="00BC1B92">
        <w:rPr>
          <w:rFonts w:ascii="Arial" w:hAnsi="Arial" w:cs="Arial"/>
          <w:i/>
          <w:sz w:val="20"/>
          <w:szCs w:val="20"/>
        </w:rPr>
        <w:t>Centella</w:t>
      </w:r>
      <w:proofErr w:type="spellEnd"/>
      <w:r w:rsidRPr="00BC1B92">
        <w:rPr>
          <w:rFonts w:ascii="Arial" w:hAnsi="Arial" w:cs="Arial"/>
          <w:i/>
          <w:sz w:val="20"/>
          <w:szCs w:val="20"/>
        </w:rPr>
        <w:t xml:space="preserve"> asiatica (L.)</w:t>
      </w:r>
      <w:r w:rsidRPr="00BC1B92">
        <w:rPr>
          <w:rFonts w:ascii="Arial" w:hAnsi="Arial" w:cs="Arial"/>
          <w:sz w:val="20"/>
          <w:szCs w:val="20"/>
        </w:rPr>
        <w:t xml:space="preserve"> is a tiny, stoloniferous, perennial herb that is a member of the </w:t>
      </w:r>
      <w:proofErr w:type="spellStart"/>
      <w:r w:rsidRPr="00BC1B92">
        <w:rPr>
          <w:rFonts w:ascii="Arial" w:hAnsi="Arial" w:cs="Arial"/>
          <w:sz w:val="20"/>
          <w:szCs w:val="20"/>
        </w:rPr>
        <w:t>Apiaceae</w:t>
      </w:r>
      <w:proofErr w:type="spellEnd"/>
      <w:r w:rsidRPr="00BC1B92">
        <w:rPr>
          <w:rFonts w:ascii="Arial" w:hAnsi="Arial" w:cs="Arial"/>
          <w:sz w:val="20"/>
          <w:szCs w:val="20"/>
        </w:rPr>
        <w:t xml:space="preserve"> </w:t>
      </w:r>
      <w:r w:rsidRPr="00641FF1">
        <w:rPr>
          <w:rFonts w:ascii="Arial" w:hAnsi="Arial" w:cs="Arial"/>
          <w:sz w:val="20"/>
          <w:szCs w:val="20"/>
          <w:highlight w:val="red"/>
        </w:rPr>
        <w:t>(</w:t>
      </w:r>
      <w:proofErr w:type="spellStart"/>
      <w:r w:rsidRPr="00641FF1">
        <w:rPr>
          <w:rFonts w:ascii="Arial" w:hAnsi="Arial" w:cs="Arial"/>
          <w:sz w:val="20"/>
          <w:szCs w:val="20"/>
          <w:highlight w:val="red"/>
        </w:rPr>
        <w:t>Umbelliferae</w:t>
      </w:r>
      <w:proofErr w:type="spellEnd"/>
      <w:r w:rsidRPr="00641FF1">
        <w:rPr>
          <w:rFonts w:ascii="Arial" w:hAnsi="Arial" w:cs="Arial"/>
          <w:sz w:val="20"/>
          <w:szCs w:val="20"/>
          <w:highlight w:val="red"/>
        </w:rPr>
        <w:t>)</w:t>
      </w:r>
      <w:r w:rsidRPr="00BC1B92">
        <w:rPr>
          <w:rFonts w:ascii="Arial" w:hAnsi="Arial" w:cs="Arial"/>
          <w:sz w:val="20"/>
          <w:szCs w:val="20"/>
        </w:rPr>
        <w:t xml:space="preserve"> family. It is found in many tropical and subtropical areas, such as Madagascar, China, South Africa, India, Sri Lanka, and Southeast Asia (Subban et al., 2008). The herb is recognized for its reniform leaves, creeping stalks, and unique aroma. Because of its wide pharmacological and nutritional profile, C. asiatica, sometimes referred to as Indian or Asiatic pennywort, has been utilized for ages in traditional medical systems including Ayurveda, Traditional Chinese Medicine (TCM), and folk healing practices. </w:t>
      </w:r>
      <w:proofErr w:type="spellStart"/>
      <w:r w:rsidRPr="00BC1B92">
        <w:rPr>
          <w:rFonts w:ascii="Arial" w:hAnsi="Arial" w:cs="Arial"/>
          <w:i/>
          <w:iCs/>
          <w:sz w:val="20"/>
          <w:szCs w:val="20"/>
        </w:rPr>
        <w:t>Centella</w:t>
      </w:r>
      <w:proofErr w:type="spellEnd"/>
      <w:r w:rsidRPr="00BC1B92">
        <w:rPr>
          <w:rFonts w:ascii="Arial" w:hAnsi="Arial" w:cs="Arial"/>
          <w:i/>
          <w:iCs/>
          <w:sz w:val="20"/>
          <w:szCs w:val="20"/>
        </w:rPr>
        <w:t xml:space="preserve"> </w:t>
      </w:r>
      <w:proofErr w:type="spellStart"/>
      <w:r w:rsidRPr="00BC1B92">
        <w:rPr>
          <w:rFonts w:ascii="Arial" w:hAnsi="Arial" w:cs="Arial"/>
          <w:i/>
          <w:iCs/>
          <w:sz w:val="20"/>
          <w:szCs w:val="20"/>
        </w:rPr>
        <w:t>asiatica</w:t>
      </w:r>
      <w:proofErr w:type="spellEnd"/>
      <w:r w:rsidRPr="00BC1B92">
        <w:rPr>
          <w:rFonts w:ascii="Arial" w:hAnsi="Arial" w:cs="Arial"/>
          <w:sz w:val="20"/>
          <w:szCs w:val="20"/>
        </w:rPr>
        <w:t xml:space="preserve"> is regarded as "brain food" in Indian ethnomedicine due to its purported nootropic qualities, which include improving focus, memory retention, and cognitive function (Singh et al., 2010). Phytochemicals such as </w:t>
      </w:r>
      <w:proofErr w:type="spellStart"/>
      <w:r w:rsidRPr="00BC1B92">
        <w:rPr>
          <w:rFonts w:ascii="Arial" w:hAnsi="Arial" w:cs="Arial"/>
          <w:sz w:val="20"/>
          <w:szCs w:val="20"/>
        </w:rPr>
        <w:t>asiaticoside</w:t>
      </w:r>
      <w:proofErr w:type="spellEnd"/>
      <w:r w:rsidRPr="00BC1B92">
        <w:rPr>
          <w:rFonts w:ascii="Arial" w:hAnsi="Arial" w:cs="Arial"/>
          <w:sz w:val="20"/>
          <w:szCs w:val="20"/>
        </w:rPr>
        <w:t xml:space="preserve">, </w:t>
      </w:r>
      <w:proofErr w:type="spellStart"/>
      <w:r w:rsidRPr="00BC1B92">
        <w:rPr>
          <w:rFonts w:ascii="Arial" w:hAnsi="Arial" w:cs="Arial"/>
          <w:sz w:val="20"/>
          <w:szCs w:val="20"/>
        </w:rPr>
        <w:t>madecassic</w:t>
      </w:r>
      <w:proofErr w:type="spellEnd"/>
      <w:r w:rsidRPr="00BC1B92">
        <w:rPr>
          <w:rFonts w:ascii="Arial" w:hAnsi="Arial" w:cs="Arial"/>
          <w:sz w:val="20"/>
          <w:szCs w:val="20"/>
        </w:rPr>
        <w:t xml:space="preserve"> acid, </w:t>
      </w:r>
      <w:proofErr w:type="spellStart"/>
      <w:r w:rsidRPr="00BC1B92">
        <w:rPr>
          <w:rFonts w:ascii="Arial" w:hAnsi="Arial" w:cs="Arial"/>
          <w:sz w:val="20"/>
          <w:szCs w:val="20"/>
        </w:rPr>
        <w:t>brahmic</w:t>
      </w:r>
      <w:proofErr w:type="spellEnd"/>
      <w:r w:rsidRPr="00BC1B92">
        <w:rPr>
          <w:rFonts w:ascii="Arial" w:hAnsi="Arial" w:cs="Arial"/>
          <w:sz w:val="20"/>
          <w:szCs w:val="20"/>
        </w:rPr>
        <w:t xml:space="preserve"> acid, flavonoids, saponins, and essential oils are thought to be responsible for this medicinal effect. The plant's high phenolic and flavonoid content, which includes epicatechin, rutin, quercetin, kaempferol, and catechin, is primarily responsible for its antioxidant properties (Hussin et al., 2009; Mustafa et al., 2010). These substances inhibit oxidative stress-induced cellular damage by scavenging free radicals (Cao et al., 1997). </w:t>
      </w:r>
    </w:p>
    <w:p w14:paraId="27EE53D0" w14:textId="6F34E748" w:rsidR="00B16506" w:rsidRPr="00BC1B92" w:rsidRDefault="00B16506" w:rsidP="009107D8">
      <w:pPr>
        <w:pStyle w:val="NormalWeb"/>
        <w:spacing w:line="360" w:lineRule="auto"/>
        <w:ind w:firstLine="360"/>
        <w:jc w:val="both"/>
        <w:rPr>
          <w:rFonts w:ascii="Arial" w:hAnsi="Arial" w:cs="Arial"/>
          <w:sz w:val="20"/>
          <w:szCs w:val="20"/>
        </w:rPr>
      </w:pPr>
      <w:r w:rsidRPr="00BC1B92">
        <w:rPr>
          <w:rFonts w:ascii="Arial" w:hAnsi="Arial" w:cs="Arial"/>
          <w:sz w:val="20"/>
          <w:szCs w:val="20"/>
        </w:rPr>
        <w:t>C. asiatica is used as a medicinal agent as well as a functional food. In many Asian cultures, it has long been used in salads, soups, juices, and beverages. For example, it is utilized in regional dishes like "</w:t>
      </w:r>
      <w:proofErr w:type="spellStart"/>
      <w:r w:rsidRPr="00BC1B92">
        <w:rPr>
          <w:rFonts w:ascii="Arial" w:hAnsi="Arial" w:cs="Arial"/>
          <w:sz w:val="20"/>
          <w:szCs w:val="20"/>
        </w:rPr>
        <w:t>singju</w:t>
      </w:r>
      <w:proofErr w:type="spellEnd"/>
      <w:r w:rsidRPr="00BC1B92">
        <w:rPr>
          <w:rFonts w:ascii="Arial" w:hAnsi="Arial" w:cs="Arial"/>
          <w:sz w:val="20"/>
          <w:szCs w:val="20"/>
        </w:rPr>
        <w:t>" and "</w:t>
      </w:r>
      <w:proofErr w:type="spellStart"/>
      <w:r w:rsidRPr="00BC1B92">
        <w:rPr>
          <w:rFonts w:ascii="Arial" w:hAnsi="Arial" w:cs="Arial"/>
          <w:sz w:val="20"/>
          <w:szCs w:val="20"/>
        </w:rPr>
        <w:t>kangsu</w:t>
      </w:r>
      <w:proofErr w:type="spellEnd"/>
      <w:r w:rsidRPr="00BC1B92">
        <w:rPr>
          <w:rFonts w:ascii="Arial" w:hAnsi="Arial" w:cs="Arial"/>
          <w:sz w:val="20"/>
          <w:szCs w:val="20"/>
        </w:rPr>
        <w:t xml:space="preserve">" in Manipur. It is a refreshing beverage that is popular in China and Thailand for its ability to cleanse the body and quench thirst. According to </w:t>
      </w:r>
      <w:proofErr w:type="spellStart"/>
      <w:r w:rsidRPr="00BC1B92">
        <w:rPr>
          <w:rFonts w:ascii="Arial" w:hAnsi="Arial" w:cs="Arial"/>
          <w:sz w:val="20"/>
          <w:szCs w:val="20"/>
        </w:rPr>
        <w:t>Seevaratnam</w:t>
      </w:r>
      <w:proofErr w:type="spellEnd"/>
      <w:r w:rsidRPr="00BC1B92">
        <w:rPr>
          <w:rFonts w:ascii="Arial" w:hAnsi="Arial" w:cs="Arial"/>
          <w:sz w:val="20"/>
          <w:szCs w:val="20"/>
        </w:rPr>
        <w:t xml:space="preserve"> et al. (2012), it is a component in the traditional Indian beverage "</w:t>
      </w:r>
      <w:proofErr w:type="spellStart"/>
      <w:r w:rsidRPr="00BC1B92">
        <w:rPr>
          <w:rFonts w:ascii="Arial" w:hAnsi="Arial" w:cs="Arial"/>
          <w:sz w:val="20"/>
          <w:szCs w:val="20"/>
        </w:rPr>
        <w:t>Thandaayyee</w:t>
      </w:r>
      <w:proofErr w:type="spellEnd"/>
      <w:r w:rsidRPr="00BC1B92">
        <w:rPr>
          <w:rFonts w:ascii="Arial" w:hAnsi="Arial" w:cs="Arial"/>
          <w:sz w:val="20"/>
          <w:szCs w:val="20"/>
        </w:rPr>
        <w:t xml:space="preserve">." According to Prakash et al. (2017), the herb is used medicinally to treat cholera, hepatitis, syphilis, neuralgia, ulcers, rheumatism, varicose veins, and skin conditions like eczema and leprosy. Its anti-inflammatory, anti-ulcer, antiviral, neuroprotective, adaptogenic, and wound-healing </w:t>
      </w:r>
      <w:r w:rsidRPr="000E0F65">
        <w:rPr>
          <w:rFonts w:ascii="Arial" w:hAnsi="Arial" w:cs="Arial"/>
          <w:sz w:val="20"/>
          <w:szCs w:val="20"/>
          <w:highlight w:val="red"/>
        </w:rPr>
        <w:t>qualities</w:t>
      </w:r>
      <w:r w:rsidRPr="00BC1B92">
        <w:rPr>
          <w:rFonts w:ascii="Arial" w:hAnsi="Arial" w:cs="Arial"/>
          <w:sz w:val="20"/>
          <w:szCs w:val="20"/>
        </w:rPr>
        <w:t xml:space="preserve"> </w:t>
      </w:r>
      <w:r w:rsidR="000E0F65" w:rsidRPr="000E0F65">
        <w:rPr>
          <w:rFonts w:ascii="Arial" w:hAnsi="Arial" w:cs="Arial"/>
          <w:color w:val="00B0F0"/>
          <w:sz w:val="20"/>
          <w:szCs w:val="20"/>
        </w:rPr>
        <w:t>activities</w:t>
      </w:r>
      <w:r w:rsidR="000E0F65">
        <w:rPr>
          <w:rFonts w:ascii="Arial" w:hAnsi="Arial" w:cs="Arial"/>
          <w:sz w:val="20"/>
          <w:szCs w:val="20"/>
        </w:rPr>
        <w:t xml:space="preserve"> </w:t>
      </w:r>
      <w:r w:rsidRPr="00BC1B92">
        <w:rPr>
          <w:rFonts w:ascii="Arial" w:hAnsi="Arial" w:cs="Arial"/>
          <w:sz w:val="20"/>
          <w:szCs w:val="20"/>
        </w:rPr>
        <w:t xml:space="preserve">have all been validated by pharmacological research (Brinkhaus et al., 2000; Zahara et al., 2014). Clinical studies have also demonstrated the herb's antidepressant and anti-anxiety properties; consistent use has been associated with lowered stress levels and enhanced attention span (Jana et al., 2010). However, the International Union for Conservation of Nature (IUCN) has identified </w:t>
      </w:r>
      <w:r w:rsidRPr="001478A4">
        <w:rPr>
          <w:rFonts w:ascii="Arial" w:hAnsi="Arial" w:cs="Arial"/>
          <w:sz w:val="20"/>
          <w:szCs w:val="20"/>
          <w:highlight w:val="yellow"/>
        </w:rPr>
        <w:t>C. asiatica</w:t>
      </w:r>
      <w:r w:rsidRPr="00BC1B92">
        <w:rPr>
          <w:rFonts w:ascii="Arial" w:hAnsi="Arial" w:cs="Arial"/>
          <w:sz w:val="20"/>
          <w:szCs w:val="20"/>
        </w:rPr>
        <w:t xml:space="preserve"> as a vulnerable species because of overexploitation and rising demand in the pharmaceutical and nutraceutical industries (Zahara et al., 2014).</w:t>
      </w:r>
    </w:p>
    <w:p w14:paraId="7D121F36" w14:textId="77777777" w:rsidR="001C2BBD" w:rsidRPr="00BC1B92" w:rsidRDefault="00B16506" w:rsidP="009107D8">
      <w:pPr>
        <w:pStyle w:val="NormalWeb"/>
        <w:spacing w:line="360" w:lineRule="auto"/>
        <w:ind w:firstLine="360"/>
        <w:jc w:val="both"/>
        <w:rPr>
          <w:rFonts w:ascii="Arial" w:hAnsi="Arial" w:cs="Arial"/>
          <w:sz w:val="20"/>
          <w:szCs w:val="20"/>
        </w:rPr>
      </w:pPr>
      <w:r w:rsidRPr="00BC1B92">
        <w:rPr>
          <w:rFonts w:ascii="Arial" w:hAnsi="Arial" w:cs="Arial"/>
          <w:sz w:val="20"/>
          <w:szCs w:val="20"/>
        </w:rPr>
        <w:t>Consuming natural, plant-based functional meals with antioxidant and health-promoting properties has become more popular worldwide in recent years. Tisanes, another name for herbal teas, are non-caffeinated concoctions prepared from different sections of herbs and have grown in popularity because of their restorative and medicinal qualities (</w:t>
      </w:r>
      <w:proofErr w:type="spellStart"/>
      <w:r w:rsidRPr="00BC1B92">
        <w:rPr>
          <w:rFonts w:ascii="Arial" w:hAnsi="Arial" w:cs="Arial"/>
          <w:sz w:val="20"/>
          <w:szCs w:val="20"/>
        </w:rPr>
        <w:t>Aoshima</w:t>
      </w:r>
      <w:proofErr w:type="spellEnd"/>
      <w:r w:rsidRPr="00BC1B92">
        <w:rPr>
          <w:rFonts w:ascii="Arial" w:hAnsi="Arial" w:cs="Arial"/>
          <w:sz w:val="20"/>
          <w:szCs w:val="20"/>
        </w:rPr>
        <w:t xml:space="preserve"> et al., 2007). Rich in bioactive chemicals, these herbal teas are thought to provide a variety of health benefits, from increased immunity and cardiovascular protection to better digestion and relaxation. The importance of herbs like </w:t>
      </w:r>
      <w:r w:rsidRPr="001478A4">
        <w:rPr>
          <w:rFonts w:ascii="Arial" w:hAnsi="Arial" w:cs="Arial"/>
          <w:sz w:val="20"/>
          <w:szCs w:val="20"/>
          <w:highlight w:val="yellow"/>
        </w:rPr>
        <w:t>C. asiatica</w:t>
      </w:r>
      <w:r w:rsidRPr="00BC1B92">
        <w:rPr>
          <w:rFonts w:ascii="Arial" w:hAnsi="Arial" w:cs="Arial"/>
          <w:sz w:val="20"/>
          <w:szCs w:val="20"/>
        </w:rPr>
        <w:t xml:space="preserve"> is highlighted by the fact that almost 80% of the world's population receives their main medical treatment from plant-based traditional medicine, according to the World Health Organization (WHO) (Zhang, 2002). Blending herbal tea formulations with other botanicals, such green tea's </w:t>
      </w:r>
      <w:r w:rsidRPr="001478A4">
        <w:rPr>
          <w:rFonts w:ascii="Arial" w:hAnsi="Arial" w:cs="Arial"/>
          <w:sz w:val="20"/>
          <w:szCs w:val="20"/>
          <w:highlight w:val="yellow"/>
        </w:rPr>
        <w:lastRenderedPageBreak/>
        <w:t>Camellia sinensis</w:t>
      </w:r>
      <w:r w:rsidRPr="00BC1B92">
        <w:rPr>
          <w:rFonts w:ascii="Arial" w:hAnsi="Arial" w:cs="Arial"/>
          <w:sz w:val="20"/>
          <w:szCs w:val="20"/>
        </w:rPr>
        <w:t xml:space="preserve"> and ginger's </w:t>
      </w:r>
      <w:r w:rsidRPr="001478A4">
        <w:rPr>
          <w:rFonts w:ascii="Arial" w:hAnsi="Arial" w:cs="Arial"/>
          <w:sz w:val="20"/>
          <w:szCs w:val="20"/>
          <w:highlight w:val="yellow"/>
        </w:rPr>
        <w:t>Zingiber officinale</w:t>
      </w:r>
      <w:r w:rsidRPr="00BC1B92">
        <w:rPr>
          <w:rFonts w:ascii="Arial" w:hAnsi="Arial" w:cs="Arial"/>
          <w:sz w:val="20"/>
          <w:szCs w:val="20"/>
        </w:rPr>
        <w:t>, can have a synergistic impact. Gingerol and shogaol are two of the chemicals that give ginger its well-known anti-inflammatory, carminative, and thermogenic properties (Prasad &amp; Tyagi, 2015). However, catechins, epigallocatechin gallate (EGCG), and other polyphenols found in green tea are recognized to have strong antioxidant and cardioprotective properties (Senanayake, 2013).</w:t>
      </w:r>
    </w:p>
    <w:p w14:paraId="3B4453DA" w14:textId="77777777" w:rsidR="00B16506" w:rsidRPr="00BC1B92" w:rsidRDefault="00B16506" w:rsidP="00D0709F">
      <w:pPr>
        <w:pStyle w:val="NormalWeb"/>
        <w:spacing w:line="360" w:lineRule="auto"/>
        <w:ind w:firstLine="360"/>
        <w:jc w:val="both"/>
        <w:rPr>
          <w:rFonts w:ascii="Arial" w:hAnsi="Arial" w:cs="Arial"/>
          <w:sz w:val="20"/>
          <w:szCs w:val="20"/>
        </w:rPr>
      </w:pPr>
      <w:r w:rsidRPr="00BC1B92">
        <w:rPr>
          <w:rFonts w:ascii="Arial" w:hAnsi="Arial" w:cs="Arial"/>
          <w:sz w:val="20"/>
          <w:szCs w:val="20"/>
        </w:rPr>
        <w:t xml:space="preserve">Few studies have examined the use of </w:t>
      </w:r>
      <w:r w:rsidRPr="001478A4">
        <w:rPr>
          <w:rFonts w:ascii="Arial" w:hAnsi="Arial" w:cs="Arial"/>
          <w:sz w:val="20"/>
          <w:szCs w:val="20"/>
          <w:highlight w:val="yellow"/>
        </w:rPr>
        <w:t>C. asiatica</w:t>
      </w:r>
      <w:r w:rsidRPr="00BC1B92">
        <w:rPr>
          <w:rFonts w:ascii="Arial" w:hAnsi="Arial" w:cs="Arial"/>
          <w:sz w:val="20"/>
          <w:szCs w:val="20"/>
        </w:rPr>
        <w:t xml:space="preserve"> in fermented and non-fermented tea formulations, particularly when combined with ginger and green tea, despite the substantial pharmacological evidence demonstrating its therapeutic potential. A critical stage in the processing of tea, fermentation can change the phenolic profile, impact taste qualities, and impact antioxidant capacity. According to earlier research, fermentation may improve </w:t>
      </w:r>
      <w:proofErr w:type="spellStart"/>
      <w:r w:rsidRPr="00BC1B92">
        <w:rPr>
          <w:rFonts w:ascii="Arial" w:hAnsi="Arial" w:cs="Arial"/>
          <w:sz w:val="20"/>
          <w:szCs w:val="20"/>
        </w:rPr>
        <w:t>color</w:t>
      </w:r>
      <w:proofErr w:type="spellEnd"/>
      <w:r w:rsidRPr="00BC1B92">
        <w:rPr>
          <w:rFonts w:ascii="Arial" w:hAnsi="Arial" w:cs="Arial"/>
          <w:sz w:val="20"/>
          <w:szCs w:val="20"/>
        </w:rPr>
        <w:t xml:space="preserve"> and </w:t>
      </w:r>
      <w:proofErr w:type="spellStart"/>
      <w:r w:rsidRPr="00BC1B92">
        <w:rPr>
          <w:rFonts w:ascii="Arial" w:hAnsi="Arial" w:cs="Arial"/>
          <w:sz w:val="20"/>
          <w:szCs w:val="20"/>
        </w:rPr>
        <w:t>flavor</w:t>
      </w:r>
      <w:proofErr w:type="spellEnd"/>
      <w:r w:rsidRPr="00BC1B92">
        <w:rPr>
          <w:rFonts w:ascii="Arial" w:hAnsi="Arial" w:cs="Arial"/>
          <w:sz w:val="20"/>
          <w:szCs w:val="20"/>
        </w:rPr>
        <w:t>, but it may also break down some polyphenols, which could reduce the product's total bioactivity (</w:t>
      </w:r>
      <w:proofErr w:type="spellStart"/>
      <w:r w:rsidRPr="00BC1B92">
        <w:rPr>
          <w:rFonts w:ascii="Arial" w:hAnsi="Arial" w:cs="Arial"/>
          <w:sz w:val="20"/>
          <w:szCs w:val="20"/>
        </w:rPr>
        <w:t>Heong</w:t>
      </w:r>
      <w:proofErr w:type="spellEnd"/>
      <w:r w:rsidRPr="00BC1B92">
        <w:rPr>
          <w:rFonts w:ascii="Arial" w:hAnsi="Arial" w:cs="Arial"/>
          <w:sz w:val="20"/>
          <w:szCs w:val="20"/>
        </w:rPr>
        <w:t xml:space="preserve"> et al., 2011). Therefore, the purpose of this study is to combine fermented and non-fermented C. asiatica leaves with </w:t>
      </w:r>
      <w:r w:rsidRPr="001D4797">
        <w:rPr>
          <w:rFonts w:ascii="Arial" w:hAnsi="Arial" w:cs="Arial"/>
          <w:sz w:val="20"/>
          <w:szCs w:val="20"/>
          <w:highlight w:val="yellow"/>
        </w:rPr>
        <w:t>Zingiber officinale</w:t>
      </w:r>
      <w:r w:rsidRPr="00BC1B92">
        <w:rPr>
          <w:rFonts w:ascii="Arial" w:hAnsi="Arial" w:cs="Arial"/>
          <w:sz w:val="20"/>
          <w:szCs w:val="20"/>
        </w:rPr>
        <w:t xml:space="preserve"> and </w:t>
      </w:r>
      <w:r w:rsidRPr="001D4797">
        <w:rPr>
          <w:rFonts w:ascii="Arial" w:hAnsi="Arial" w:cs="Arial"/>
          <w:sz w:val="20"/>
          <w:szCs w:val="20"/>
          <w:highlight w:val="yellow"/>
        </w:rPr>
        <w:t>Camellia sinensis</w:t>
      </w:r>
      <w:r w:rsidRPr="00BC1B92">
        <w:rPr>
          <w:rFonts w:ascii="Arial" w:hAnsi="Arial" w:cs="Arial"/>
          <w:sz w:val="20"/>
          <w:szCs w:val="20"/>
        </w:rPr>
        <w:t xml:space="preserve"> in order to create and assess an antioxidant-rich herbal tea. The particular goals are:</w:t>
      </w:r>
    </w:p>
    <w:p w14:paraId="4751A823" w14:textId="77777777" w:rsidR="00D22C59" w:rsidRPr="00BC1B92" w:rsidRDefault="00D22C59" w:rsidP="00D22C59">
      <w:pPr>
        <w:pStyle w:val="NormalWeb"/>
        <w:numPr>
          <w:ilvl w:val="0"/>
          <w:numId w:val="1"/>
        </w:numPr>
        <w:spacing w:line="360" w:lineRule="auto"/>
        <w:jc w:val="both"/>
        <w:rPr>
          <w:rFonts w:ascii="Arial" w:hAnsi="Arial" w:cs="Arial"/>
          <w:sz w:val="20"/>
          <w:szCs w:val="20"/>
        </w:rPr>
      </w:pPr>
      <w:r w:rsidRPr="00BC1B92">
        <w:rPr>
          <w:rFonts w:ascii="Arial" w:hAnsi="Arial" w:cs="Arial"/>
          <w:sz w:val="20"/>
          <w:szCs w:val="20"/>
        </w:rPr>
        <w:t xml:space="preserve">To develop and standardize a functional tea blend using fermented and non-fermented </w:t>
      </w:r>
      <w:r w:rsidRPr="00BC1B92">
        <w:rPr>
          <w:rStyle w:val="Emphasis"/>
          <w:rFonts w:ascii="Arial" w:hAnsi="Arial" w:cs="Arial"/>
          <w:sz w:val="20"/>
          <w:szCs w:val="20"/>
        </w:rPr>
        <w:t>C. asiatica</w:t>
      </w:r>
      <w:r w:rsidRPr="00BC1B92">
        <w:rPr>
          <w:rFonts w:ascii="Arial" w:hAnsi="Arial" w:cs="Arial"/>
          <w:sz w:val="20"/>
          <w:szCs w:val="20"/>
        </w:rPr>
        <w:t>.</w:t>
      </w:r>
    </w:p>
    <w:p w14:paraId="22AC2DAB" w14:textId="77777777" w:rsidR="00D22C59" w:rsidRPr="00BC1B92" w:rsidRDefault="00D22C59" w:rsidP="00D22C59">
      <w:pPr>
        <w:pStyle w:val="NormalWeb"/>
        <w:numPr>
          <w:ilvl w:val="0"/>
          <w:numId w:val="1"/>
        </w:numPr>
        <w:spacing w:line="360" w:lineRule="auto"/>
        <w:jc w:val="both"/>
        <w:rPr>
          <w:rFonts w:ascii="Arial" w:hAnsi="Arial" w:cs="Arial"/>
          <w:sz w:val="20"/>
          <w:szCs w:val="20"/>
        </w:rPr>
      </w:pPr>
      <w:r w:rsidRPr="00BC1B92">
        <w:rPr>
          <w:rFonts w:ascii="Arial" w:hAnsi="Arial" w:cs="Arial"/>
          <w:sz w:val="20"/>
          <w:szCs w:val="20"/>
        </w:rPr>
        <w:t>To assess the antioxidant, phenolic, and flavonoid content of the formulated samples.</w:t>
      </w:r>
    </w:p>
    <w:p w14:paraId="4260C2A0" w14:textId="77777777" w:rsidR="00B16506" w:rsidRPr="00BC1B92" w:rsidRDefault="00D22C59" w:rsidP="000542E3">
      <w:pPr>
        <w:pStyle w:val="NormalWeb"/>
        <w:numPr>
          <w:ilvl w:val="0"/>
          <w:numId w:val="1"/>
        </w:numPr>
        <w:spacing w:line="360" w:lineRule="auto"/>
        <w:jc w:val="both"/>
        <w:rPr>
          <w:rFonts w:ascii="Arial" w:hAnsi="Arial" w:cs="Arial"/>
          <w:sz w:val="20"/>
          <w:szCs w:val="20"/>
        </w:rPr>
      </w:pPr>
      <w:r w:rsidRPr="00BC1B92">
        <w:rPr>
          <w:rFonts w:ascii="Arial" w:hAnsi="Arial" w:cs="Arial"/>
          <w:sz w:val="20"/>
          <w:szCs w:val="20"/>
        </w:rPr>
        <w:t>To compare the effect of fermentation on the phytochemical profile and sensory characteristics.</w:t>
      </w:r>
    </w:p>
    <w:p w14:paraId="1517553C" w14:textId="298906F1" w:rsidR="001149A9" w:rsidRPr="0090180E" w:rsidRDefault="005E5886" w:rsidP="000542E3">
      <w:pPr>
        <w:pStyle w:val="NormalWeb"/>
        <w:spacing w:line="360" w:lineRule="auto"/>
        <w:jc w:val="both"/>
        <w:rPr>
          <w:rFonts w:ascii="Arial" w:hAnsi="Arial" w:cs="Arial"/>
          <w:sz w:val="22"/>
          <w:szCs w:val="22"/>
        </w:rPr>
      </w:pPr>
      <w:r>
        <w:rPr>
          <w:rFonts w:ascii="Arial" w:hAnsi="Arial" w:cs="Arial"/>
          <w:b/>
          <w:sz w:val="22"/>
          <w:szCs w:val="22"/>
        </w:rPr>
        <w:t xml:space="preserve">2. </w:t>
      </w:r>
      <w:r w:rsidR="00475FFF" w:rsidRPr="0090180E">
        <w:rPr>
          <w:rFonts w:ascii="Arial" w:hAnsi="Arial" w:cs="Arial"/>
          <w:b/>
          <w:sz w:val="22"/>
          <w:szCs w:val="22"/>
        </w:rPr>
        <w:t>M</w:t>
      </w:r>
      <w:r w:rsidR="0090180E" w:rsidRPr="0090180E">
        <w:rPr>
          <w:rFonts w:ascii="Arial" w:hAnsi="Arial" w:cs="Arial"/>
          <w:b/>
          <w:sz w:val="22"/>
          <w:szCs w:val="22"/>
        </w:rPr>
        <w:t>ATERIALS AND METHOD</w:t>
      </w:r>
      <w:r w:rsidR="001D4797" w:rsidRPr="001D4797">
        <w:rPr>
          <w:rFonts w:ascii="Arial" w:hAnsi="Arial" w:cs="Arial"/>
          <w:b/>
          <w:color w:val="00B0F0"/>
          <w:sz w:val="22"/>
          <w:szCs w:val="22"/>
        </w:rPr>
        <w:t>S</w:t>
      </w:r>
    </w:p>
    <w:p w14:paraId="3B2DA1DC" w14:textId="7D45A2E7" w:rsidR="00041712" w:rsidRPr="00DC3075" w:rsidRDefault="00E86893" w:rsidP="000542E3">
      <w:pPr>
        <w:pStyle w:val="NormalWeb"/>
        <w:spacing w:line="360" w:lineRule="auto"/>
        <w:jc w:val="both"/>
        <w:rPr>
          <w:rFonts w:ascii="Arial" w:hAnsi="Arial" w:cs="Arial"/>
          <w:b/>
          <w:iCs/>
          <w:sz w:val="22"/>
          <w:szCs w:val="22"/>
        </w:rPr>
      </w:pPr>
      <w:r>
        <w:rPr>
          <w:rFonts w:ascii="Arial" w:hAnsi="Arial" w:cs="Arial"/>
          <w:b/>
          <w:iCs/>
          <w:sz w:val="22"/>
          <w:szCs w:val="22"/>
        </w:rPr>
        <w:t>2</w:t>
      </w:r>
      <w:r w:rsidR="00902AF7" w:rsidRPr="00DC3075">
        <w:rPr>
          <w:rFonts w:ascii="Arial" w:hAnsi="Arial" w:cs="Arial"/>
          <w:b/>
          <w:iCs/>
          <w:sz w:val="22"/>
          <w:szCs w:val="22"/>
        </w:rPr>
        <w:t xml:space="preserve">.1 Raw Materials and Ingredients </w:t>
      </w:r>
    </w:p>
    <w:p w14:paraId="60A73E33" w14:textId="04309559" w:rsidR="00902AF7" w:rsidRPr="00091E6E" w:rsidRDefault="004049AD" w:rsidP="000542E3">
      <w:pPr>
        <w:pStyle w:val="NormalWeb"/>
        <w:spacing w:line="360" w:lineRule="auto"/>
        <w:jc w:val="both"/>
        <w:rPr>
          <w:rFonts w:ascii="Arial" w:hAnsi="Arial" w:cs="Arial"/>
          <w:sz w:val="20"/>
          <w:szCs w:val="20"/>
        </w:rPr>
      </w:pPr>
      <w:r w:rsidRPr="00091E6E">
        <w:rPr>
          <w:rFonts w:ascii="Arial" w:hAnsi="Arial" w:cs="Arial"/>
          <w:sz w:val="20"/>
          <w:szCs w:val="20"/>
        </w:rPr>
        <w:t xml:space="preserve">Fresh leaves of </w:t>
      </w:r>
      <w:proofErr w:type="spellStart"/>
      <w:r w:rsidRPr="00091E6E">
        <w:rPr>
          <w:rStyle w:val="Emphasis"/>
          <w:rFonts w:ascii="Arial" w:hAnsi="Arial" w:cs="Arial"/>
          <w:sz w:val="20"/>
          <w:szCs w:val="20"/>
        </w:rPr>
        <w:t>Centella</w:t>
      </w:r>
      <w:proofErr w:type="spellEnd"/>
      <w:r w:rsidRPr="00091E6E">
        <w:rPr>
          <w:rStyle w:val="Emphasis"/>
          <w:rFonts w:ascii="Arial" w:hAnsi="Arial" w:cs="Arial"/>
          <w:sz w:val="20"/>
          <w:szCs w:val="20"/>
        </w:rPr>
        <w:t xml:space="preserve"> </w:t>
      </w:r>
      <w:proofErr w:type="spellStart"/>
      <w:r w:rsidRPr="00091E6E">
        <w:rPr>
          <w:rStyle w:val="Emphasis"/>
          <w:rFonts w:ascii="Arial" w:hAnsi="Arial" w:cs="Arial"/>
          <w:sz w:val="20"/>
          <w:szCs w:val="20"/>
        </w:rPr>
        <w:t>asiatica</w:t>
      </w:r>
      <w:proofErr w:type="spellEnd"/>
      <w:r w:rsidRPr="00091E6E">
        <w:rPr>
          <w:rFonts w:ascii="Arial" w:hAnsi="Arial" w:cs="Arial"/>
          <w:sz w:val="20"/>
          <w:szCs w:val="20"/>
        </w:rPr>
        <w:t xml:space="preserve"> (</w:t>
      </w:r>
      <w:proofErr w:type="spellStart"/>
      <w:r w:rsidRPr="00091E6E">
        <w:rPr>
          <w:rFonts w:ascii="Arial" w:hAnsi="Arial" w:cs="Arial"/>
          <w:sz w:val="20"/>
          <w:szCs w:val="20"/>
        </w:rPr>
        <w:t>Peeruk</w:t>
      </w:r>
      <w:proofErr w:type="spellEnd"/>
      <w:r w:rsidRPr="00091E6E">
        <w:rPr>
          <w:rFonts w:ascii="Arial" w:hAnsi="Arial" w:cs="Arial"/>
          <w:sz w:val="20"/>
          <w:szCs w:val="20"/>
        </w:rPr>
        <w:t xml:space="preserve">) and rhizomes of </w:t>
      </w:r>
      <w:r w:rsidRPr="00091E6E">
        <w:rPr>
          <w:rStyle w:val="Emphasis"/>
          <w:rFonts w:ascii="Arial" w:hAnsi="Arial" w:cs="Arial"/>
          <w:sz w:val="20"/>
          <w:szCs w:val="20"/>
        </w:rPr>
        <w:t>Zingiber officinale</w:t>
      </w:r>
      <w:r w:rsidRPr="00091E6E">
        <w:rPr>
          <w:rFonts w:ascii="Arial" w:hAnsi="Arial" w:cs="Arial"/>
          <w:sz w:val="20"/>
          <w:szCs w:val="20"/>
        </w:rPr>
        <w:t xml:space="preserve"> (Sing) were collected from </w:t>
      </w:r>
      <w:r w:rsidR="003C6A77" w:rsidRPr="00091E6E">
        <w:rPr>
          <w:rFonts w:ascii="Arial" w:hAnsi="Arial" w:cs="Arial"/>
          <w:sz w:val="20"/>
          <w:szCs w:val="20"/>
        </w:rPr>
        <w:t xml:space="preserve">local farms in </w:t>
      </w:r>
      <w:proofErr w:type="spellStart"/>
      <w:r w:rsidR="003C6A77" w:rsidRPr="00091E6E">
        <w:rPr>
          <w:rFonts w:ascii="Arial" w:hAnsi="Arial" w:cs="Arial"/>
          <w:sz w:val="20"/>
          <w:szCs w:val="20"/>
        </w:rPr>
        <w:t>Imphal</w:t>
      </w:r>
      <w:proofErr w:type="spellEnd"/>
      <w:r w:rsidR="003C6A77" w:rsidRPr="00091E6E">
        <w:rPr>
          <w:rFonts w:ascii="Arial" w:hAnsi="Arial" w:cs="Arial"/>
          <w:sz w:val="20"/>
          <w:szCs w:val="20"/>
        </w:rPr>
        <w:t>, Manipur</w:t>
      </w:r>
      <w:r w:rsidR="001D4797">
        <w:rPr>
          <w:rFonts w:ascii="Arial" w:hAnsi="Arial" w:cs="Arial"/>
          <w:sz w:val="20"/>
          <w:szCs w:val="20"/>
        </w:rPr>
        <w:t xml:space="preserve"> (</w:t>
      </w:r>
      <w:r w:rsidR="001D4797" w:rsidRPr="001D4797">
        <w:rPr>
          <w:rFonts w:ascii="Arial" w:hAnsi="Arial" w:cs="Arial"/>
          <w:sz w:val="20"/>
          <w:szCs w:val="20"/>
          <w:highlight w:val="green"/>
        </w:rPr>
        <w:t>Country????</w:t>
      </w:r>
      <w:r w:rsidR="001D4797">
        <w:rPr>
          <w:rFonts w:ascii="Arial" w:hAnsi="Arial" w:cs="Arial"/>
          <w:sz w:val="20"/>
          <w:szCs w:val="20"/>
        </w:rPr>
        <w:t>)</w:t>
      </w:r>
      <w:r w:rsidRPr="00091E6E">
        <w:rPr>
          <w:rFonts w:ascii="Arial" w:hAnsi="Arial" w:cs="Arial"/>
          <w:sz w:val="20"/>
          <w:szCs w:val="20"/>
        </w:rPr>
        <w:t>. The raw materials were sorted, washed thoroughly, and shade-dried for 3–4 days. After complete drying, the materials were ground and sieved to a uniform particle size suitable for tea infusion.</w:t>
      </w:r>
    </w:p>
    <w:p w14:paraId="0B0A1D19" w14:textId="2BD95476" w:rsidR="004049AD" w:rsidRPr="00DC3075" w:rsidRDefault="00E86893" w:rsidP="000542E3">
      <w:pPr>
        <w:pStyle w:val="NormalWeb"/>
        <w:spacing w:line="360" w:lineRule="auto"/>
        <w:jc w:val="both"/>
        <w:rPr>
          <w:rFonts w:ascii="Arial" w:hAnsi="Arial" w:cs="Arial"/>
          <w:b/>
          <w:iCs/>
          <w:sz w:val="22"/>
          <w:szCs w:val="22"/>
        </w:rPr>
      </w:pPr>
      <w:r>
        <w:rPr>
          <w:rFonts w:ascii="Arial" w:hAnsi="Arial" w:cs="Arial"/>
          <w:b/>
          <w:iCs/>
          <w:sz w:val="22"/>
          <w:szCs w:val="22"/>
        </w:rPr>
        <w:t>2</w:t>
      </w:r>
      <w:r w:rsidR="00BF5BB6" w:rsidRPr="00DC3075">
        <w:rPr>
          <w:rFonts w:ascii="Arial" w:hAnsi="Arial" w:cs="Arial"/>
          <w:b/>
          <w:iCs/>
          <w:sz w:val="22"/>
          <w:szCs w:val="22"/>
        </w:rPr>
        <w:t xml:space="preserve">.2 </w:t>
      </w:r>
      <w:r w:rsidR="00E74CBD" w:rsidRPr="00DC3075">
        <w:rPr>
          <w:rFonts w:ascii="Arial" w:hAnsi="Arial" w:cs="Arial"/>
          <w:b/>
          <w:iCs/>
          <w:sz w:val="22"/>
          <w:szCs w:val="22"/>
        </w:rPr>
        <w:t>Formulation of Green Herbal Tea</w:t>
      </w:r>
    </w:p>
    <w:p w14:paraId="1E0AF125" w14:textId="2EAC89CE" w:rsidR="002014CD" w:rsidRPr="00C734F7" w:rsidRDefault="00E05705" w:rsidP="000542E3">
      <w:pPr>
        <w:pStyle w:val="NormalWeb"/>
        <w:spacing w:line="360" w:lineRule="auto"/>
        <w:jc w:val="both"/>
        <w:rPr>
          <w:rFonts w:ascii="Arial" w:hAnsi="Arial" w:cs="Arial"/>
          <w:sz w:val="20"/>
          <w:szCs w:val="20"/>
        </w:rPr>
      </w:pPr>
      <w:r w:rsidRPr="00C734F7">
        <w:rPr>
          <w:rFonts w:ascii="Arial" w:hAnsi="Arial" w:cs="Arial"/>
          <w:sz w:val="20"/>
          <w:szCs w:val="20"/>
        </w:rPr>
        <w:t xml:space="preserve">Tea sachets were prepared by blending different ratios of fermented and non-fermented </w:t>
      </w:r>
      <w:proofErr w:type="spellStart"/>
      <w:r w:rsidRPr="00C734F7">
        <w:rPr>
          <w:rStyle w:val="Emphasis"/>
          <w:rFonts w:ascii="Arial" w:hAnsi="Arial" w:cs="Arial"/>
          <w:sz w:val="20"/>
          <w:szCs w:val="20"/>
        </w:rPr>
        <w:t>Centella</w:t>
      </w:r>
      <w:proofErr w:type="spellEnd"/>
      <w:r w:rsidRPr="00C734F7">
        <w:rPr>
          <w:rStyle w:val="Emphasis"/>
          <w:rFonts w:ascii="Arial" w:hAnsi="Arial" w:cs="Arial"/>
          <w:sz w:val="20"/>
          <w:szCs w:val="20"/>
        </w:rPr>
        <w:t xml:space="preserve"> </w:t>
      </w:r>
      <w:proofErr w:type="spellStart"/>
      <w:r w:rsidRPr="00C734F7">
        <w:rPr>
          <w:rStyle w:val="Emphasis"/>
          <w:rFonts w:ascii="Arial" w:hAnsi="Arial" w:cs="Arial"/>
          <w:sz w:val="20"/>
          <w:szCs w:val="20"/>
        </w:rPr>
        <w:t>asiatica</w:t>
      </w:r>
      <w:proofErr w:type="spellEnd"/>
      <w:r w:rsidRPr="00C734F7">
        <w:rPr>
          <w:rFonts w:ascii="Arial" w:hAnsi="Arial" w:cs="Arial"/>
          <w:sz w:val="20"/>
          <w:szCs w:val="20"/>
        </w:rPr>
        <w:t xml:space="preserve"> leaves with powdered </w:t>
      </w:r>
      <w:r w:rsidRPr="00C734F7">
        <w:rPr>
          <w:rStyle w:val="Emphasis"/>
          <w:rFonts w:ascii="Arial" w:hAnsi="Arial" w:cs="Arial"/>
          <w:sz w:val="20"/>
          <w:szCs w:val="20"/>
        </w:rPr>
        <w:t>Zingiber officinale</w:t>
      </w:r>
      <w:r w:rsidRPr="00C734F7">
        <w:rPr>
          <w:rFonts w:ascii="Arial" w:hAnsi="Arial" w:cs="Arial"/>
          <w:sz w:val="20"/>
          <w:szCs w:val="20"/>
        </w:rPr>
        <w:t xml:space="preserve"> based on preliminary organoleptic and antioxidant performance trials. The formulations were standardized and packed in 2 g sachets using food-grade filter paper</w:t>
      </w:r>
      <w:r w:rsidR="00772510" w:rsidRPr="00C734F7">
        <w:rPr>
          <w:rFonts w:ascii="Arial" w:hAnsi="Arial" w:cs="Arial"/>
          <w:sz w:val="20"/>
          <w:szCs w:val="20"/>
        </w:rPr>
        <w:t xml:space="preserve"> (Table </w:t>
      </w:r>
      <w:r w:rsidR="00540A33" w:rsidRPr="00C734F7">
        <w:rPr>
          <w:rFonts w:ascii="Arial" w:hAnsi="Arial" w:cs="Arial"/>
          <w:sz w:val="20"/>
          <w:szCs w:val="20"/>
        </w:rPr>
        <w:t>1 and Table 2)</w:t>
      </w:r>
      <w:r w:rsidRPr="00C734F7">
        <w:rPr>
          <w:rFonts w:ascii="Arial" w:hAnsi="Arial" w:cs="Arial"/>
          <w:sz w:val="20"/>
          <w:szCs w:val="20"/>
        </w:rPr>
        <w:t>.</w:t>
      </w:r>
    </w:p>
    <w:p w14:paraId="24D1E099" w14:textId="2C2F66C0" w:rsidR="00E05705" w:rsidRPr="00C92BB2" w:rsidRDefault="00E5651B" w:rsidP="001A0BD8">
      <w:pPr>
        <w:pStyle w:val="NormalWeb"/>
        <w:spacing w:before="0" w:beforeAutospacing="0" w:after="0" w:afterAutospacing="0"/>
        <w:jc w:val="both"/>
        <w:rPr>
          <w:rFonts w:ascii="Arial" w:hAnsi="Arial" w:cs="Arial"/>
          <w:b/>
          <w:sz w:val="20"/>
          <w:szCs w:val="20"/>
        </w:rPr>
      </w:pPr>
      <w:r w:rsidRPr="00C92BB2">
        <w:rPr>
          <w:rFonts w:ascii="Arial" w:hAnsi="Arial" w:cs="Arial"/>
          <w:b/>
          <w:sz w:val="20"/>
          <w:szCs w:val="20"/>
        </w:rPr>
        <w:t>Table:</w:t>
      </w:r>
      <w:r w:rsidR="00772510" w:rsidRPr="00C92BB2">
        <w:rPr>
          <w:rFonts w:ascii="Arial" w:hAnsi="Arial" w:cs="Arial"/>
          <w:b/>
          <w:sz w:val="20"/>
          <w:szCs w:val="20"/>
        </w:rPr>
        <w:t>.</w:t>
      </w:r>
      <w:r w:rsidR="00EB43A6" w:rsidRPr="00C92BB2">
        <w:rPr>
          <w:rFonts w:ascii="Arial" w:hAnsi="Arial" w:cs="Arial"/>
          <w:b/>
          <w:sz w:val="20"/>
          <w:szCs w:val="20"/>
        </w:rPr>
        <w:t xml:space="preserve">1 </w:t>
      </w:r>
      <w:r w:rsidR="00B741EE" w:rsidRPr="00C92BB2">
        <w:rPr>
          <w:rFonts w:ascii="Arial" w:hAnsi="Arial" w:cs="Arial"/>
          <w:b/>
          <w:sz w:val="20"/>
          <w:szCs w:val="20"/>
        </w:rPr>
        <w:t xml:space="preserve">Formulation of </w:t>
      </w:r>
      <w:r w:rsidR="00FD7EA7" w:rsidRPr="00C92BB2">
        <w:rPr>
          <w:rFonts w:ascii="Arial" w:hAnsi="Arial" w:cs="Arial"/>
          <w:b/>
          <w:sz w:val="20"/>
          <w:szCs w:val="20"/>
        </w:rPr>
        <w:t xml:space="preserve">Fermented and Non – Fermented </w:t>
      </w:r>
      <w:r w:rsidR="00FD7EA7" w:rsidRPr="00C92BB2">
        <w:rPr>
          <w:rFonts w:ascii="Arial" w:hAnsi="Arial" w:cs="Arial"/>
          <w:b/>
          <w:i/>
          <w:sz w:val="20"/>
          <w:szCs w:val="20"/>
        </w:rPr>
        <w:t xml:space="preserve">C. </w:t>
      </w:r>
      <w:proofErr w:type="spellStart"/>
      <w:r w:rsidR="00FD7EA7" w:rsidRPr="00C92BB2">
        <w:rPr>
          <w:rFonts w:ascii="Arial" w:hAnsi="Arial" w:cs="Arial"/>
          <w:b/>
          <w:i/>
          <w:sz w:val="20"/>
          <w:szCs w:val="20"/>
        </w:rPr>
        <w:t>asiatica</w:t>
      </w:r>
      <w:proofErr w:type="spellEnd"/>
      <w:r w:rsidR="00FD7EA7" w:rsidRPr="00C92BB2">
        <w:rPr>
          <w:rFonts w:ascii="Arial" w:hAnsi="Arial" w:cs="Arial"/>
          <w:b/>
          <w:sz w:val="20"/>
          <w:szCs w:val="20"/>
        </w:rPr>
        <w:t xml:space="preserve"> (</w:t>
      </w:r>
      <w:proofErr w:type="spellStart"/>
      <w:r w:rsidR="00FD7EA7" w:rsidRPr="00C92BB2">
        <w:rPr>
          <w:rFonts w:ascii="Arial" w:hAnsi="Arial" w:cs="Arial"/>
          <w:b/>
          <w:sz w:val="20"/>
          <w:szCs w:val="20"/>
        </w:rPr>
        <w:t>Peeruk</w:t>
      </w:r>
      <w:proofErr w:type="spellEnd"/>
      <w:r w:rsidR="00FD7EA7" w:rsidRPr="00C92BB2">
        <w:rPr>
          <w:rFonts w:ascii="Arial" w:hAnsi="Arial" w:cs="Arial"/>
          <w:b/>
          <w:sz w:val="20"/>
          <w:szCs w:val="20"/>
        </w:rPr>
        <w:t>) Tea (% Composition)</w:t>
      </w:r>
    </w:p>
    <w:tbl>
      <w:tblPr>
        <w:tblStyle w:val="TableGrid"/>
        <w:tblW w:w="9464" w:type="dxa"/>
        <w:tblLook w:val="04A0" w:firstRow="1" w:lastRow="0" w:firstColumn="1" w:lastColumn="0" w:noHBand="0" w:noVBand="1"/>
      </w:tblPr>
      <w:tblGrid>
        <w:gridCol w:w="959"/>
        <w:gridCol w:w="1559"/>
        <w:gridCol w:w="1985"/>
        <w:gridCol w:w="1842"/>
        <w:gridCol w:w="1418"/>
        <w:gridCol w:w="1701"/>
      </w:tblGrid>
      <w:tr w:rsidR="008048A9" w14:paraId="2279DB76" w14:textId="77777777" w:rsidTr="008048A9">
        <w:tc>
          <w:tcPr>
            <w:tcW w:w="959" w:type="dxa"/>
          </w:tcPr>
          <w:p w14:paraId="22A2245A" w14:textId="77777777" w:rsidR="00235FB3" w:rsidRPr="00C734F7" w:rsidRDefault="00235FB3" w:rsidP="001A0BD8">
            <w:pPr>
              <w:pStyle w:val="NormalWeb"/>
              <w:spacing w:before="0" w:beforeAutospacing="0" w:after="0" w:afterAutospacing="0" w:line="360" w:lineRule="auto"/>
              <w:jc w:val="both"/>
              <w:rPr>
                <w:rFonts w:ascii="Arial" w:hAnsi="Arial" w:cs="Arial"/>
                <w:sz w:val="20"/>
                <w:szCs w:val="20"/>
              </w:rPr>
            </w:pPr>
            <w:r w:rsidRPr="00C734F7">
              <w:rPr>
                <w:rFonts w:ascii="Arial" w:hAnsi="Arial" w:cs="Arial"/>
                <w:sz w:val="20"/>
                <w:szCs w:val="20"/>
              </w:rPr>
              <w:t>Serial No.</w:t>
            </w:r>
          </w:p>
        </w:tc>
        <w:tc>
          <w:tcPr>
            <w:tcW w:w="1559" w:type="dxa"/>
          </w:tcPr>
          <w:p w14:paraId="41595135" w14:textId="77777777" w:rsidR="00235FB3" w:rsidRPr="00C734F7" w:rsidRDefault="00235FB3" w:rsidP="000542E3">
            <w:pPr>
              <w:pStyle w:val="NormalWeb"/>
              <w:spacing w:line="360" w:lineRule="auto"/>
              <w:jc w:val="both"/>
              <w:rPr>
                <w:rFonts w:ascii="Arial" w:hAnsi="Arial" w:cs="Arial"/>
                <w:sz w:val="20"/>
                <w:szCs w:val="20"/>
              </w:rPr>
            </w:pPr>
            <w:r w:rsidRPr="00C734F7">
              <w:rPr>
                <w:rFonts w:ascii="Arial" w:hAnsi="Arial" w:cs="Arial"/>
                <w:sz w:val="20"/>
                <w:szCs w:val="20"/>
              </w:rPr>
              <w:t>Formulation Code</w:t>
            </w:r>
          </w:p>
        </w:tc>
        <w:tc>
          <w:tcPr>
            <w:tcW w:w="1985" w:type="dxa"/>
          </w:tcPr>
          <w:p w14:paraId="1A8D4728" w14:textId="77777777" w:rsidR="00235FB3" w:rsidRPr="00C734F7" w:rsidRDefault="00AD7AB6" w:rsidP="000542E3">
            <w:pPr>
              <w:pStyle w:val="NormalWeb"/>
              <w:spacing w:line="360" w:lineRule="auto"/>
              <w:jc w:val="both"/>
              <w:rPr>
                <w:rFonts w:ascii="Arial" w:hAnsi="Arial" w:cs="Arial"/>
                <w:sz w:val="20"/>
                <w:szCs w:val="20"/>
              </w:rPr>
            </w:pPr>
            <w:r w:rsidRPr="00C734F7">
              <w:rPr>
                <w:rFonts w:ascii="Arial" w:hAnsi="Arial" w:cs="Arial"/>
                <w:sz w:val="20"/>
                <w:szCs w:val="20"/>
              </w:rPr>
              <w:t>Sample Type</w:t>
            </w:r>
          </w:p>
        </w:tc>
        <w:tc>
          <w:tcPr>
            <w:tcW w:w="1842" w:type="dxa"/>
          </w:tcPr>
          <w:p w14:paraId="38EF8866" w14:textId="77777777" w:rsidR="00235FB3" w:rsidRPr="00C734F7" w:rsidRDefault="00FE431A" w:rsidP="000542E3">
            <w:pPr>
              <w:pStyle w:val="NormalWeb"/>
              <w:spacing w:line="360" w:lineRule="auto"/>
              <w:jc w:val="both"/>
              <w:rPr>
                <w:rFonts w:ascii="Arial" w:hAnsi="Arial" w:cs="Arial"/>
                <w:sz w:val="20"/>
                <w:szCs w:val="20"/>
              </w:rPr>
            </w:pPr>
            <w:r w:rsidRPr="00C734F7">
              <w:rPr>
                <w:rFonts w:ascii="Arial" w:hAnsi="Arial" w:cs="Arial"/>
                <w:sz w:val="20"/>
                <w:szCs w:val="20"/>
              </w:rPr>
              <w:t>C. asiatica (%)</w:t>
            </w:r>
          </w:p>
        </w:tc>
        <w:tc>
          <w:tcPr>
            <w:tcW w:w="1418" w:type="dxa"/>
          </w:tcPr>
          <w:p w14:paraId="585073BD" w14:textId="77777777" w:rsidR="00235FB3" w:rsidRPr="00C734F7" w:rsidRDefault="00AA5155" w:rsidP="000542E3">
            <w:pPr>
              <w:pStyle w:val="NormalWeb"/>
              <w:spacing w:line="360" w:lineRule="auto"/>
              <w:jc w:val="both"/>
              <w:rPr>
                <w:rFonts w:ascii="Arial" w:hAnsi="Arial" w:cs="Arial"/>
                <w:sz w:val="20"/>
                <w:szCs w:val="20"/>
              </w:rPr>
            </w:pPr>
            <w:r w:rsidRPr="00C734F7">
              <w:rPr>
                <w:rFonts w:ascii="Arial" w:hAnsi="Arial" w:cs="Arial"/>
                <w:sz w:val="20"/>
                <w:szCs w:val="20"/>
              </w:rPr>
              <w:t>Ginger (%)</w:t>
            </w:r>
          </w:p>
        </w:tc>
        <w:tc>
          <w:tcPr>
            <w:tcW w:w="1701" w:type="dxa"/>
          </w:tcPr>
          <w:p w14:paraId="21750CD4" w14:textId="77777777" w:rsidR="00235FB3" w:rsidRPr="00C734F7" w:rsidRDefault="00B10317" w:rsidP="000542E3">
            <w:pPr>
              <w:pStyle w:val="NormalWeb"/>
              <w:spacing w:line="360" w:lineRule="auto"/>
              <w:jc w:val="both"/>
              <w:rPr>
                <w:rFonts w:ascii="Arial" w:hAnsi="Arial" w:cs="Arial"/>
                <w:sz w:val="20"/>
                <w:szCs w:val="20"/>
              </w:rPr>
            </w:pPr>
            <w:r w:rsidRPr="00C734F7">
              <w:rPr>
                <w:rFonts w:ascii="Arial" w:hAnsi="Arial" w:cs="Arial"/>
                <w:sz w:val="20"/>
                <w:szCs w:val="20"/>
              </w:rPr>
              <w:t>Green Tea (%)</w:t>
            </w:r>
          </w:p>
        </w:tc>
      </w:tr>
      <w:tr w:rsidR="008048A9" w14:paraId="78334FBD" w14:textId="77777777" w:rsidTr="008048A9">
        <w:tc>
          <w:tcPr>
            <w:tcW w:w="959" w:type="dxa"/>
          </w:tcPr>
          <w:p w14:paraId="37E50B6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lastRenderedPageBreak/>
              <w:t>1</w:t>
            </w:r>
          </w:p>
        </w:tc>
        <w:tc>
          <w:tcPr>
            <w:tcW w:w="1559" w:type="dxa"/>
          </w:tcPr>
          <w:p w14:paraId="68F3E1A2"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1A</w:t>
            </w:r>
          </w:p>
        </w:tc>
        <w:tc>
          <w:tcPr>
            <w:tcW w:w="1985" w:type="dxa"/>
          </w:tcPr>
          <w:p w14:paraId="6F23F4EA"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 xml:space="preserve">Fermented </w:t>
            </w:r>
          </w:p>
        </w:tc>
        <w:tc>
          <w:tcPr>
            <w:tcW w:w="1842" w:type="dxa"/>
          </w:tcPr>
          <w:p w14:paraId="5177B8E2"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70</w:t>
            </w:r>
          </w:p>
        </w:tc>
        <w:tc>
          <w:tcPr>
            <w:tcW w:w="1418" w:type="dxa"/>
          </w:tcPr>
          <w:p w14:paraId="78FC83F3"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15</w:t>
            </w:r>
          </w:p>
        </w:tc>
        <w:tc>
          <w:tcPr>
            <w:tcW w:w="1701" w:type="dxa"/>
          </w:tcPr>
          <w:p w14:paraId="0A5EF6EB"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15</w:t>
            </w:r>
          </w:p>
        </w:tc>
      </w:tr>
      <w:tr w:rsidR="008048A9" w14:paraId="418EDFF3" w14:textId="77777777" w:rsidTr="008048A9">
        <w:tc>
          <w:tcPr>
            <w:tcW w:w="959" w:type="dxa"/>
          </w:tcPr>
          <w:p w14:paraId="6386F29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2</w:t>
            </w:r>
          </w:p>
        </w:tc>
        <w:tc>
          <w:tcPr>
            <w:tcW w:w="1559" w:type="dxa"/>
          </w:tcPr>
          <w:p w14:paraId="4B160258"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1B</w:t>
            </w:r>
          </w:p>
        </w:tc>
        <w:tc>
          <w:tcPr>
            <w:tcW w:w="1985" w:type="dxa"/>
          </w:tcPr>
          <w:p w14:paraId="2664C23C"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Fermented</w:t>
            </w:r>
          </w:p>
        </w:tc>
        <w:tc>
          <w:tcPr>
            <w:tcW w:w="1842" w:type="dxa"/>
          </w:tcPr>
          <w:p w14:paraId="027C5097"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80</w:t>
            </w:r>
          </w:p>
        </w:tc>
        <w:tc>
          <w:tcPr>
            <w:tcW w:w="1418" w:type="dxa"/>
          </w:tcPr>
          <w:p w14:paraId="762C6DB2"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10</w:t>
            </w:r>
          </w:p>
        </w:tc>
        <w:tc>
          <w:tcPr>
            <w:tcW w:w="1701" w:type="dxa"/>
          </w:tcPr>
          <w:p w14:paraId="21793264"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10</w:t>
            </w:r>
          </w:p>
        </w:tc>
      </w:tr>
      <w:tr w:rsidR="008048A9" w14:paraId="2E2A6AE4" w14:textId="77777777" w:rsidTr="008048A9">
        <w:tc>
          <w:tcPr>
            <w:tcW w:w="959" w:type="dxa"/>
          </w:tcPr>
          <w:p w14:paraId="21323AE8"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3</w:t>
            </w:r>
          </w:p>
        </w:tc>
        <w:tc>
          <w:tcPr>
            <w:tcW w:w="1559" w:type="dxa"/>
          </w:tcPr>
          <w:p w14:paraId="1F0A90A7"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1C</w:t>
            </w:r>
          </w:p>
        </w:tc>
        <w:tc>
          <w:tcPr>
            <w:tcW w:w="1985" w:type="dxa"/>
          </w:tcPr>
          <w:p w14:paraId="735C1D3F"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Fermented</w:t>
            </w:r>
          </w:p>
        </w:tc>
        <w:tc>
          <w:tcPr>
            <w:tcW w:w="1842" w:type="dxa"/>
          </w:tcPr>
          <w:p w14:paraId="2FDAFE23"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90</w:t>
            </w:r>
          </w:p>
        </w:tc>
        <w:tc>
          <w:tcPr>
            <w:tcW w:w="1418" w:type="dxa"/>
          </w:tcPr>
          <w:p w14:paraId="7F544F1D"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5</w:t>
            </w:r>
          </w:p>
        </w:tc>
        <w:tc>
          <w:tcPr>
            <w:tcW w:w="1701" w:type="dxa"/>
          </w:tcPr>
          <w:p w14:paraId="606C19E6"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5</w:t>
            </w:r>
          </w:p>
        </w:tc>
      </w:tr>
      <w:tr w:rsidR="008048A9" w14:paraId="30304627" w14:textId="77777777" w:rsidTr="008048A9">
        <w:tc>
          <w:tcPr>
            <w:tcW w:w="959" w:type="dxa"/>
          </w:tcPr>
          <w:p w14:paraId="2C537A9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4</w:t>
            </w:r>
          </w:p>
        </w:tc>
        <w:tc>
          <w:tcPr>
            <w:tcW w:w="1559" w:type="dxa"/>
          </w:tcPr>
          <w:p w14:paraId="1993549E"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P1 (Control)</w:t>
            </w:r>
          </w:p>
        </w:tc>
        <w:tc>
          <w:tcPr>
            <w:tcW w:w="1985" w:type="dxa"/>
          </w:tcPr>
          <w:p w14:paraId="4421EFBD"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Fermented</w:t>
            </w:r>
          </w:p>
        </w:tc>
        <w:tc>
          <w:tcPr>
            <w:tcW w:w="1842" w:type="dxa"/>
          </w:tcPr>
          <w:p w14:paraId="64F7044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100</w:t>
            </w:r>
          </w:p>
        </w:tc>
        <w:tc>
          <w:tcPr>
            <w:tcW w:w="1418" w:type="dxa"/>
          </w:tcPr>
          <w:p w14:paraId="736C9AE4"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0</w:t>
            </w:r>
          </w:p>
        </w:tc>
        <w:tc>
          <w:tcPr>
            <w:tcW w:w="1701" w:type="dxa"/>
          </w:tcPr>
          <w:p w14:paraId="287F2161"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0</w:t>
            </w:r>
          </w:p>
        </w:tc>
      </w:tr>
      <w:tr w:rsidR="007A1C7C" w14:paraId="065E83A8" w14:textId="77777777" w:rsidTr="008048A9">
        <w:tc>
          <w:tcPr>
            <w:tcW w:w="959" w:type="dxa"/>
          </w:tcPr>
          <w:p w14:paraId="47001DAF"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5</w:t>
            </w:r>
          </w:p>
        </w:tc>
        <w:tc>
          <w:tcPr>
            <w:tcW w:w="1559" w:type="dxa"/>
          </w:tcPr>
          <w:p w14:paraId="6A7FA268"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2A</w:t>
            </w:r>
          </w:p>
        </w:tc>
        <w:tc>
          <w:tcPr>
            <w:tcW w:w="1985" w:type="dxa"/>
          </w:tcPr>
          <w:p w14:paraId="3D8655D6"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Non - Fermented</w:t>
            </w:r>
          </w:p>
        </w:tc>
        <w:tc>
          <w:tcPr>
            <w:tcW w:w="1842" w:type="dxa"/>
          </w:tcPr>
          <w:p w14:paraId="6597B55A"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70</w:t>
            </w:r>
          </w:p>
        </w:tc>
        <w:tc>
          <w:tcPr>
            <w:tcW w:w="1418" w:type="dxa"/>
          </w:tcPr>
          <w:p w14:paraId="081529E5"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15</w:t>
            </w:r>
          </w:p>
        </w:tc>
        <w:tc>
          <w:tcPr>
            <w:tcW w:w="1701" w:type="dxa"/>
          </w:tcPr>
          <w:p w14:paraId="2EF4F4C2"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15</w:t>
            </w:r>
          </w:p>
        </w:tc>
      </w:tr>
      <w:tr w:rsidR="007A1C7C" w14:paraId="2261DB0C" w14:textId="77777777" w:rsidTr="008048A9">
        <w:tc>
          <w:tcPr>
            <w:tcW w:w="959" w:type="dxa"/>
          </w:tcPr>
          <w:p w14:paraId="72ED7AF3"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6</w:t>
            </w:r>
          </w:p>
        </w:tc>
        <w:tc>
          <w:tcPr>
            <w:tcW w:w="1559" w:type="dxa"/>
          </w:tcPr>
          <w:p w14:paraId="1B92C1F4"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2B</w:t>
            </w:r>
          </w:p>
        </w:tc>
        <w:tc>
          <w:tcPr>
            <w:tcW w:w="1985" w:type="dxa"/>
          </w:tcPr>
          <w:p w14:paraId="682762EA"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Non - Fermented</w:t>
            </w:r>
          </w:p>
        </w:tc>
        <w:tc>
          <w:tcPr>
            <w:tcW w:w="1842" w:type="dxa"/>
          </w:tcPr>
          <w:p w14:paraId="4A0A8A77"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80</w:t>
            </w:r>
          </w:p>
        </w:tc>
        <w:tc>
          <w:tcPr>
            <w:tcW w:w="1418" w:type="dxa"/>
          </w:tcPr>
          <w:p w14:paraId="116EE0CF"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10</w:t>
            </w:r>
          </w:p>
        </w:tc>
        <w:tc>
          <w:tcPr>
            <w:tcW w:w="1701" w:type="dxa"/>
          </w:tcPr>
          <w:p w14:paraId="65B3160D"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10</w:t>
            </w:r>
          </w:p>
        </w:tc>
      </w:tr>
      <w:tr w:rsidR="007A1C7C" w14:paraId="21374058" w14:textId="77777777" w:rsidTr="008048A9">
        <w:tc>
          <w:tcPr>
            <w:tcW w:w="959" w:type="dxa"/>
          </w:tcPr>
          <w:p w14:paraId="1F1D2B89"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7</w:t>
            </w:r>
          </w:p>
        </w:tc>
        <w:tc>
          <w:tcPr>
            <w:tcW w:w="1559" w:type="dxa"/>
          </w:tcPr>
          <w:p w14:paraId="3D1BE7E2"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2C</w:t>
            </w:r>
          </w:p>
        </w:tc>
        <w:tc>
          <w:tcPr>
            <w:tcW w:w="1985" w:type="dxa"/>
          </w:tcPr>
          <w:p w14:paraId="729B9D05"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Non - Fermented</w:t>
            </w:r>
          </w:p>
        </w:tc>
        <w:tc>
          <w:tcPr>
            <w:tcW w:w="1842" w:type="dxa"/>
          </w:tcPr>
          <w:p w14:paraId="56E3B370"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90</w:t>
            </w:r>
          </w:p>
        </w:tc>
        <w:tc>
          <w:tcPr>
            <w:tcW w:w="1418" w:type="dxa"/>
          </w:tcPr>
          <w:p w14:paraId="7867BBCE"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5</w:t>
            </w:r>
          </w:p>
        </w:tc>
        <w:tc>
          <w:tcPr>
            <w:tcW w:w="1701" w:type="dxa"/>
          </w:tcPr>
          <w:p w14:paraId="3E9CD229"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5</w:t>
            </w:r>
          </w:p>
        </w:tc>
      </w:tr>
      <w:tr w:rsidR="007A1C7C" w14:paraId="3455EB55" w14:textId="77777777" w:rsidTr="008048A9">
        <w:tc>
          <w:tcPr>
            <w:tcW w:w="959" w:type="dxa"/>
          </w:tcPr>
          <w:p w14:paraId="5FAC3474"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8</w:t>
            </w:r>
          </w:p>
        </w:tc>
        <w:tc>
          <w:tcPr>
            <w:tcW w:w="1559" w:type="dxa"/>
          </w:tcPr>
          <w:p w14:paraId="6C6520BA"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P2 (Control)</w:t>
            </w:r>
          </w:p>
        </w:tc>
        <w:tc>
          <w:tcPr>
            <w:tcW w:w="1985" w:type="dxa"/>
          </w:tcPr>
          <w:p w14:paraId="7EA5708F"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Non - Fermented</w:t>
            </w:r>
          </w:p>
        </w:tc>
        <w:tc>
          <w:tcPr>
            <w:tcW w:w="1842" w:type="dxa"/>
          </w:tcPr>
          <w:p w14:paraId="2BDC1AD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100</w:t>
            </w:r>
          </w:p>
        </w:tc>
        <w:tc>
          <w:tcPr>
            <w:tcW w:w="1418" w:type="dxa"/>
          </w:tcPr>
          <w:p w14:paraId="35FF159B" w14:textId="77777777" w:rsidR="007A1C7C" w:rsidRPr="00C734F7" w:rsidRDefault="007A1C7C" w:rsidP="000542E3">
            <w:pPr>
              <w:pStyle w:val="NormalWeb"/>
              <w:spacing w:line="360" w:lineRule="auto"/>
              <w:jc w:val="both"/>
              <w:rPr>
                <w:rFonts w:ascii="Arial" w:hAnsi="Arial" w:cs="Arial"/>
                <w:sz w:val="20"/>
                <w:szCs w:val="20"/>
              </w:rPr>
            </w:pPr>
            <w:r w:rsidRPr="00C734F7">
              <w:rPr>
                <w:rFonts w:ascii="Arial" w:hAnsi="Arial" w:cs="Arial"/>
                <w:sz w:val="20"/>
                <w:szCs w:val="20"/>
              </w:rPr>
              <w:t>0</w:t>
            </w:r>
          </w:p>
        </w:tc>
        <w:tc>
          <w:tcPr>
            <w:tcW w:w="1701" w:type="dxa"/>
          </w:tcPr>
          <w:p w14:paraId="15ECB12E" w14:textId="77777777" w:rsidR="007A1C7C" w:rsidRPr="00C734F7" w:rsidRDefault="007A1C7C" w:rsidP="00362425">
            <w:pPr>
              <w:pStyle w:val="NormalWeb"/>
              <w:spacing w:line="360" w:lineRule="auto"/>
              <w:jc w:val="both"/>
              <w:rPr>
                <w:rFonts w:ascii="Arial" w:hAnsi="Arial" w:cs="Arial"/>
                <w:sz w:val="20"/>
                <w:szCs w:val="20"/>
              </w:rPr>
            </w:pPr>
            <w:r w:rsidRPr="00C734F7">
              <w:rPr>
                <w:rFonts w:ascii="Arial" w:hAnsi="Arial" w:cs="Arial"/>
                <w:sz w:val="20"/>
                <w:szCs w:val="20"/>
              </w:rPr>
              <w:t>0</w:t>
            </w:r>
          </w:p>
        </w:tc>
      </w:tr>
    </w:tbl>
    <w:p w14:paraId="5F31E981" w14:textId="4407B430" w:rsidR="000D5B81" w:rsidRPr="00612D4D" w:rsidRDefault="000D5B81" w:rsidP="000542E3">
      <w:pPr>
        <w:pStyle w:val="NormalWeb"/>
        <w:spacing w:line="360" w:lineRule="auto"/>
        <w:jc w:val="both"/>
        <w:rPr>
          <w:lang w:val="fr-FR"/>
        </w:rPr>
      </w:pPr>
    </w:p>
    <w:p w14:paraId="18D7DA99" w14:textId="31858F18" w:rsidR="00392B43" w:rsidRPr="00C92BB2" w:rsidRDefault="00E5651B" w:rsidP="00566A39">
      <w:pPr>
        <w:pStyle w:val="NormalWeb"/>
        <w:spacing w:before="0" w:beforeAutospacing="0" w:after="0" w:afterAutospacing="0"/>
        <w:jc w:val="both"/>
        <w:rPr>
          <w:rFonts w:ascii="Arial" w:hAnsi="Arial" w:cs="Arial"/>
          <w:b/>
          <w:sz w:val="20"/>
          <w:szCs w:val="20"/>
        </w:rPr>
      </w:pPr>
      <w:r w:rsidRPr="00C92BB2">
        <w:rPr>
          <w:rFonts w:ascii="Arial" w:hAnsi="Arial" w:cs="Arial"/>
          <w:b/>
          <w:sz w:val="20"/>
          <w:szCs w:val="20"/>
        </w:rPr>
        <w:t xml:space="preserve">Table: </w:t>
      </w:r>
      <w:r w:rsidR="009E6104" w:rsidRPr="00C92BB2">
        <w:rPr>
          <w:rFonts w:ascii="Arial" w:hAnsi="Arial" w:cs="Arial"/>
          <w:b/>
          <w:sz w:val="20"/>
          <w:szCs w:val="20"/>
        </w:rPr>
        <w:t>.</w:t>
      </w:r>
      <w:r w:rsidR="00964090" w:rsidRPr="00C92BB2">
        <w:rPr>
          <w:rFonts w:ascii="Arial" w:hAnsi="Arial" w:cs="Arial"/>
          <w:b/>
          <w:sz w:val="20"/>
          <w:szCs w:val="20"/>
        </w:rPr>
        <w:t xml:space="preserve">2 </w:t>
      </w:r>
      <w:r w:rsidR="00BC49E8" w:rsidRPr="00C92BB2">
        <w:rPr>
          <w:rFonts w:ascii="Arial" w:hAnsi="Arial" w:cs="Arial"/>
          <w:b/>
          <w:sz w:val="20"/>
          <w:szCs w:val="20"/>
        </w:rPr>
        <w:t xml:space="preserve">Formulation of Fermented and Non – Fermented </w:t>
      </w:r>
      <w:r w:rsidR="00BC49E8" w:rsidRPr="00C92BB2">
        <w:rPr>
          <w:rFonts w:ascii="Arial" w:hAnsi="Arial" w:cs="Arial"/>
          <w:b/>
          <w:i/>
          <w:sz w:val="20"/>
          <w:szCs w:val="20"/>
        </w:rPr>
        <w:t xml:space="preserve">C. </w:t>
      </w:r>
      <w:proofErr w:type="spellStart"/>
      <w:r w:rsidR="00BC49E8" w:rsidRPr="00C92BB2">
        <w:rPr>
          <w:rFonts w:ascii="Arial" w:hAnsi="Arial" w:cs="Arial"/>
          <w:b/>
          <w:i/>
          <w:sz w:val="20"/>
          <w:szCs w:val="20"/>
        </w:rPr>
        <w:t>asiatica</w:t>
      </w:r>
      <w:proofErr w:type="spellEnd"/>
      <w:r w:rsidR="00BC49E8" w:rsidRPr="00C92BB2">
        <w:rPr>
          <w:rFonts w:ascii="Arial" w:hAnsi="Arial" w:cs="Arial"/>
          <w:b/>
          <w:sz w:val="20"/>
          <w:szCs w:val="20"/>
        </w:rPr>
        <w:t xml:space="preserve"> (</w:t>
      </w:r>
      <w:proofErr w:type="spellStart"/>
      <w:r w:rsidR="00BC49E8" w:rsidRPr="002F73DB">
        <w:rPr>
          <w:rFonts w:ascii="Arial" w:hAnsi="Arial" w:cs="Arial"/>
          <w:b/>
          <w:sz w:val="20"/>
          <w:szCs w:val="20"/>
          <w:highlight w:val="red"/>
        </w:rPr>
        <w:t>Peeruk</w:t>
      </w:r>
      <w:proofErr w:type="spellEnd"/>
      <w:r w:rsidR="00BC49E8" w:rsidRPr="002F73DB">
        <w:rPr>
          <w:rFonts w:ascii="Arial" w:hAnsi="Arial" w:cs="Arial"/>
          <w:b/>
          <w:sz w:val="20"/>
          <w:szCs w:val="20"/>
          <w:highlight w:val="red"/>
        </w:rPr>
        <w:t>)</w:t>
      </w:r>
      <w:r w:rsidR="00BC49E8" w:rsidRPr="00C92BB2">
        <w:rPr>
          <w:rFonts w:ascii="Arial" w:hAnsi="Arial" w:cs="Arial"/>
          <w:b/>
          <w:sz w:val="20"/>
          <w:szCs w:val="20"/>
        </w:rPr>
        <w:t xml:space="preserve"> Tea </w:t>
      </w:r>
      <w:r w:rsidR="008A1BCD" w:rsidRPr="00C92BB2">
        <w:rPr>
          <w:rFonts w:ascii="Arial" w:hAnsi="Arial" w:cs="Arial"/>
          <w:b/>
          <w:sz w:val="20"/>
          <w:szCs w:val="20"/>
        </w:rPr>
        <w:t>(Ingredient quantity per 2g sachet)</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FC6117" w14:paraId="4F603DE6" w14:textId="77777777" w:rsidTr="00FC6117">
        <w:tc>
          <w:tcPr>
            <w:tcW w:w="1320" w:type="dxa"/>
          </w:tcPr>
          <w:p w14:paraId="2BE9E62B" w14:textId="77777777" w:rsidR="00FC6117" w:rsidRPr="00C734F7" w:rsidRDefault="006A1258" w:rsidP="00566A39">
            <w:pPr>
              <w:pStyle w:val="NormalWeb"/>
              <w:spacing w:before="0" w:beforeAutospacing="0" w:after="0" w:afterAutospacing="0" w:line="360" w:lineRule="auto"/>
              <w:jc w:val="both"/>
              <w:rPr>
                <w:rFonts w:ascii="Arial" w:hAnsi="Arial" w:cs="Arial"/>
                <w:sz w:val="20"/>
                <w:szCs w:val="20"/>
              </w:rPr>
            </w:pPr>
            <w:r w:rsidRPr="00C734F7">
              <w:rPr>
                <w:rFonts w:ascii="Arial" w:hAnsi="Arial" w:cs="Arial"/>
                <w:sz w:val="20"/>
                <w:szCs w:val="20"/>
              </w:rPr>
              <w:t>Ingredients</w:t>
            </w:r>
          </w:p>
        </w:tc>
        <w:tc>
          <w:tcPr>
            <w:tcW w:w="1320" w:type="dxa"/>
          </w:tcPr>
          <w:p w14:paraId="472FB725"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1A(g)</w:t>
            </w:r>
          </w:p>
        </w:tc>
        <w:tc>
          <w:tcPr>
            <w:tcW w:w="1320" w:type="dxa"/>
          </w:tcPr>
          <w:p w14:paraId="0C91D0C6"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1B(g)</w:t>
            </w:r>
          </w:p>
        </w:tc>
        <w:tc>
          <w:tcPr>
            <w:tcW w:w="1320" w:type="dxa"/>
          </w:tcPr>
          <w:p w14:paraId="5102F699"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1C(g)</w:t>
            </w:r>
          </w:p>
        </w:tc>
        <w:tc>
          <w:tcPr>
            <w:tcW w:w="1320" w:type="dxa"/>
          </w:tcPr>
          <w:p w14:paraId="79BB2E09"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2A(g)</w:t>
            </w:r>
          </w:p>
        </w:tc>
        <w:tc>
          <w:tcPr>
            <w:tcW w:w="1321" w:type="dxa"/>
          </w:tcPr>
          <w:p w14:paraId="1CE20309"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2B(g)</w:t>
            </w:r>
          </w:p>
        </w:tc>
        <w:tc>
          <w:tcPr>
            <w:tcW w:w="1321" w:type="dxa"/>
          </w:tcPr>
          <w:p w14:paraId="259B3C2D" w14:textId="77777777" w:rsidR="00FC6117" w:rsidRPr="00C734F7" w:rsidRDefault="00EA7EB8" w:rsidP="000542E3">
            <w:pPr>
              <w:pStyle w:val="NormalWeb"/>
              <w:spacing w:line="360" w:lineRule="auto"/>
              <w:jc w:val="both"/>
              <w:rPr>
                <w:rFonts w:ascii="Arial" w:hAnsi="Arial" w:cs="Arial"/>
                <w:sz w:val="20"/>
                <w:szCs w:val="20"/>
              </w:rPr>
            </w:pPr>
            <w:r w:rsidRPr="00C734F7">
              <w:rPr>
                <w:rFonts w:ascii="Arial" w:hAnsi="Arial" w:cs="Arial"/>
                <w:sz w:val="20"/>
                <w:szCs w:val="20"/>
              </w:rPr>
              <w:t>2C(g)</w:t>
            </w:r>
          </w:p>
        </w:tc>
      </w:tr>
      <w:tr w:rsidR="00FC6117" w14:paraId="317393EC" w14:textId="77777777" w:rsidTr="00FC6117">
        <w:tc>
          <w:tcPr>
            <w:tcW w:w="1320" w:type="dxa"/>
          </w:tcPr>
          <w:p w14:paraId="3A337932" w14:textId="77777777" w:rsidR="00FC6117" w:rsidRPr="00C734F7" w:rsidRDefault="00AD6B4A" w:rsidP="000542E3">
            <w:pPr>
              <w:pStyle w:val="NormalWeb"/>
              <w:spacing w:line="360" w:lineRule="auto"/>
              <w:jc w:val="both"/>
              <w:rPr>
                <w:rFonts w:ascii="Arial" w:hAnsi="Arial" w:cs="Arial"/>
                <w:sz w:val="20"/>
                <w:szCs w:val="20"/>
              </w:rPr>
            </w:pPr>
            <w:proofErr w:type="spellStart"/>
            <w:r w:rsidRPr="00C734F7">
              <w:rPr>
                <w:rFonts w:ascii="Arial" w:hAnsi="Arial" w:cs="Arial"/>
                <w:sz w:val="20"/>
                <w:szCs w:val="20"/>
              </w:rPr>
              <w:t>C.asiatica</w:t>
            </w:r>
            <w:proofErr w:type="spellEnd"/>
            <w:r w:rsidRPr="00C734F7">
              <w:rPr>
                <w:rFonts w:ascii="Arial" w:hAnsi="Arial" w:cs="Arial"/>
                <w:sz w:val="20"/>
                <w:szCs w:val="20"/>
              </w:rPr>
              <w:t xml:space="preserve"> </w:t>
            </w:r>
          </w:p>
        </w:tc>
        <w:tc>
          <w:tcPr>
            <w:tcW w:w="1320" w:type="dxa"/>
          </w:tcPr>
          <w:p w14:paraId="63BD486E"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1.4</w:t>
            </w:r>
          </w:p>
        </w:tc>
        <w:tc>
          <w:tcPr>
            <w:tcW w:w="1320" w:type="dxa"/>
          </w:tcPr>
          <w:p w14:paraId="6F9098EC"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1.6</w:t>
            </w:r>
          </w:p>
        </w:tc>
        <w:tc>
          <w:tcPr>
            <w:tcW w:w="1320" w:type="dxa"/>
          </w:tcPr>
          <w:p w14:paraId="19478455"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1.8</w:t>
            </w:r>
          </w:p>
        </w:tc>
        <w:tc>
          <w:tcPr>
            <w:tcW w:w="1320" w:type="dxa"/>
          </w:tcPr>
          <w:p w14:paraId="67AC6840"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1.4</w:t>
            </w:r>
          </w:p>
        </w:tc>
        <w:tc>
          <w:tcPr>
            <w:tcW w:w="1321" w:type="dxa"/>
          </w:tcPr>
          <w:p w14:paraId="5C284201"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1.6</w:t>
            </w:r>
          </w:p>
        </w:tc>
        <w:tc>
          <w:tcPr>
            <w:tcW w:w="1321" w:type="dxa"/>
          </w:tcPr>
          <w:p w14:paraId="0F7909A4" w14:textId="77777777" w:rsidR="00FC6117" w:rsidRPr="00C734F7" w:rsidRDefault="00CD7C5E" w:rsidP="000542E3">
            <w:pPr>
              <w:pStyle w:val="NormalWeb"/>
              <w:spacing w:line="360" w:lineRule="auto"/>
              <w:jc w:val="both"/>
              <w:rPr>
                <w:rFonts w:ascii="Arial" w:hAnsi="Arial" w:cs="Arial"/>
                <w:sz w:val="20"/>
                <w:szCs w:val="20"/>
              </w:rPr>
            </w:pPr>
            <w:r w:rsidRPr="00C734F7">
              <w:rPr>
                <w:rFonts w:ascii="Arial" w:hAnsi="Arial" w:cs="Arial"/>
                <w:sz w:val="20"/>
                <w:szCs w:val="20"/>
              </w:rPr>
              <w:t>1.8</w:t>
            </w:r>
          </w:p>
        </w:tc>
      </w:tr>
      <w:tr w:rsidR="00FC6117" w14:paraId="6D7DA13D" w14:textId="77777777" w:rsidTr="00FC6117">
        <w:tc>
          <w:tcPr>
            <w:tcW w:w="1320" w:type="dxa"/>
          </w:tcPr>
          <w:p w14:paraId="39FE992E" w14:textId="77777777" w:rsidR="00FC6117" w:rsidRPr="00C734F7" w:rsidRDefault="00AD6B4A" w:rsidP="000542E3">
            <w:pPr>
              <w:pStyle w:val="NormalWeb"/>
              <w:spacing w:line="360" w:lineRule="auto"/>
              <w:jc w:val="both"/>
              <w:rPr>
                <w:rFonts w:ascii="Arial" w:hAnsi="Arial" w:cs="Arial"/>
                <w:sz w:val="20"/>
                <w:szCs w:val="20"/>
              </w:rPr>
            </w:pPr>
            <w:r w:rsidRPr="00C734F7">
              <w:rPr>
                <w:rFonts w:ascii="Arial" w:hAnsi="Arial" w:cs="Arial"/>
                <w:sz w:val="20"/>
                <w:szCs w:val="20"/>
              </w:rPr>
              <w:t>Ginger</w:t>
            </w:r>
          </w:p>
        </w:tc>
        <w:tc>
          <w:tcPr>
            <w:tcW w:w="1320" w:type="dxa"/>
          </w:tcPr>
          <w:p w14:paraId="77474862"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0.3</w:t>
            </w:r>
          </w:p>
        </w:tc>
        <w:tc>
          <w:tcPr>
            <w:tcW w:w="1320" w:type="dxa"/>
          </w:tcPr>
          <w:p w14:paraId="04B0CD2B"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0.2</w:t>
            </w:r>
          </w:p>
        </w:tc>
        <w:tc>
          <w:tcPr>
            <w:tcW w:w="1320" w:type="dxa"/>
          </w:tcPr>
          <w:p w14:paraId="0DBB9DF3"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0.1</w:t>
            </w:r>
          </w:p>
        </w:tc>
        <w:tc>
          <w:tcPr>
            <w:tcW w:w="1320" w:type="dxa"/>
          </w:tcPr>
          <w:p w14:paraId="71A73703"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0.3</w:t>
            </w:r>
          </w:p>
        </w:tc>
        <w:tc>
          <w:tcPr>
            <w:tcW w:w="1321" w:type="dxa"/>
          </w:tcPr>
          <w:p w14:paraId="36F64FB9"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0.2</w:t>
            </w:r>
          </w:p>
        </w:tc>
        <w:tc>
          <w:tcPr>
            <w:tcW w:w="1321" w:type="dxa"/>
          </w:tcPr>
          <w:p w14:paraId="225D39C3" w14:textId="77777777" w:rsidR="00FC6117" w:rsidRPr="00C734F7" w:rsidRDefault="001B1C93" w:rsidP="000542E3">
            <w:pPr>
              <w:pStyle w:val="NormalWeb"/>
              <w:spacing w:line="360" w:lineRule="auto"/>
              <w:jc w:val="both"/>
              <w:rPr>
                <w:rFonts w:ascii="Arial" w:hAnsi="Arial" w:cs="Arial"/>
                <w:sz w:val="20"/>
                <w:szCs w:val="20"/>
              </w:rPr>
            </w:pPr>
            <w:r w:rsidRPr="00C734F7">
              <w:rPr>
                <w:rFonts w:ascii="Arial" w:hAnsi="Arial" w:cs="Arial"/>
                <w:sz w:val="20"/>
                <w:szCs w:val="20"/>
              </w:rPr>
              <w:t>0.1</w:t>
            </w:r>
          </w:p>
        </w:tc>
      </w:tr>
      <w:tr w:rsidR="00D722E1" w14:paraId="110D4A99" w14:textId="77777777" w:rsidTr="00FC6117">
        <w:tc>
          <w:tcPr>
            <w:tcW w:w="1320" w:type="dxa"/>
          </w:tcPr>
          <w:p w14:paraId="079F923B" w14:textId="77777777" w:rsidR="00D722E1"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Green Tea</w:t>
            </w:r>
          </w:p>
        </w:tc>
        <w:tc>
          <w:tcPr>
            <w:tcW w:w="1320" w:type="dxa"/>
          </w:tcPr>
          <w:p w14:paraId="0FB998A9"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0.3</w:t>
            </w:r>
          </w:p>
        </w:tc>
        <w:tc>
          <w:tcPr>
            <w:tcW w:w="1320" w:type="dxa"/>
          </w:tcPr>
          <w:p w14:paraId="5E2239D9"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0.2</w:t>
            </w:r>
          </w:p>
        </w:tc>
        <w:tc>
          <w:tcPr>
            <w:tcW w:w="1320" w:type="dxa"/>
          </w:tcPr>
          <w:p w14:paraId="62122B59"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0.1</w:t>
            </w:r>
          </w:p>
        </w:tc>
        <w:tc>
          <w:tcPr>
            <w:tcW w:w="1320" w:type="dxa"/>
          </w:tcPr>
          <w:p w14:paraId="6E15D649"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0.3</w:t>
            </w:r>
          </w:p>
        </w:tc>
        <w:tc>
          <w:tcPr>
            <w:tcW w:w="1321" w:type="dxa"/>
          </w:tcPr>
          <w:p w14:paraId="56CAB05F"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0.2</w:t>
            </w:r>
          </w:p>
        </w:tc>
        <w:tc>
          <w:tcPr>
            <w:tcW w:w="1321" w:type="dxa"/>
          </w:tcPr>
          <w:p w14:paraId="38DCFE1C" w14:textId="77777777" w:rsidR="00D722E1" w:rsidRPr="00C734F7" w:rsidRDefault="00D722E1" w:rsidP="00362425">
            <w:pPr>
              <w:pStyle w:val="NormalWeb"/>
              <w:spacing w:line="360" w:lineRule="auto"/>
              <w:jc w:val="both"/>
              <w:rPr>
                <w:rFonts w:ascii="Arial" w:hAnsi="Arial" w:cs="Arial"/>
                <w:sz w:val="20"/>
                <w:szCs w:val="20"/>
              </w:rPr>
            </w:pPr>
            <w:r w:rsidRPr="00C734F7">
              <w:rPr>
                <w:rFonts w:ascii="Arial" w:hAnsi="Arial" w:cs="Arial"/>
                <w:sz w:val="20"/>
                <w:szCs w:val="20"/>
              </w:rPr>
              <w:t>0.1</w:t>
            </w:r>
          </w:p>
        </w:tc>
      </w:tr>
      <w:tr w:rsidR="00FC6117" w14:paraId="58C1C211" w14:textId="77777777" w:rsidTr="00FC6117">
        <w:tc>
          <w:tcPr>
            <w:tcW w:w="1320" w:type="dxa"/>
          </w:tcPr>
          <w:p w14:paraId="45F37B91" w14:textId="77777777" w:rsidR="00FC6117" w:rsidRPr="00C734F7" w:rsidRDefault="00112FCA" w:rsidP="000542E3">
            <w:pPr>
              <w:pStyle w:val="NormalWeb"/>
              <w:spacing w:line="360" w:lineRule="auto"/>
              <w:jc w:val="both"/>
              <w:rPr>
                <w:rFonts w:ascii="Arial" w:hAnsi="Arial" w:cs="Arial"/>
                <w:sz w:val="20"/>
                <w:szCs w:val="20"/>
              </w:rPr>
            </w:pPr>
            <w:r w:rsidRPr="00C734F7">
              <w:rPr>
                <w:rFonts w:ascii="Arial" w:hAnsi="Arial" w:cs="Arial"/>
                <w:sz w:val="20"/>
                <w:szCs w:val="20"/>
              </w:rPr>
              <w:t>Total</w:t>
            </w:r>
          </w:p>
        </w:tc>
        <w:tc>
          <w:tcPr>
            <w:tcW w:w="1320" w:type="dxa"/>
          </w:tcPr>
          <w:p w14:paraId="28D8350E"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c>
          <w:tcPr>
            <w:tcW w:w="1320" w:type="dxa"/>
          </w:tcPr>
          <w:p w14:paraId="09782997"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c>
          <w:tcPr>
            <w:tcW w:w="1320" w:type="dxa"/>
          </w:tcPr>
          <w:p w14:paraId="61E02E9D"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c>
          <w:tcPr>
            <w:tcW w:w="1320" w:type="dxa"/>
          </w:tcPr>
          <w:p w14:paraId="7069360B"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c>
          <w:tcPr>
            <w:tcW w:w="1321" w:type="dxa"/>
          </w:tcPr>
          <w:p w14:paraId="0F4B2B40"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c>
          <w:tcPr>
            <w:tcW w:w="1321" w:type="dxa"/>
          </w:tcPr>
          <w:p w14:paraId="51C6F56A" w14:textId="77777777" w:rsidR="00FC6117" w:rsidRPr="00C734F7" w:rsidRDefault="00D722E1" w:rsidP="000542E3">
            <w:pPr>
              <w:pStyle w:val="NormalWeb"/>
              <w:spacing w:line="360" w:lineRule="auto"/>
              <w:jc w:val="both"/>
              <w:rPr>
                <w:rFonts w:ascii="Arial" w:hAnsi="Arial" w:cs="Arial"/>
                <w:sz w:val="20"/>
                <w:szCs w:val="20"/>
              </w:rPr>
            </w:pPr>
            <w:r w:rsidRPr="00C734F7">
              <w:rPr>
                <w:rFonts w:ascii="Arial" w:hAnsi="Arial" w:cs="Arial"/>
                <w:sz w:val="20"/>
                <w:szCs w:val="20"/>
              </w:rPr>
              <w:t>2.0</w:t>
            </w:r>
          </w:p>
        </w:tc>
      </w:tr>
    </w:tbl>
    <w:p w14:paraId="1C3EE8DC" w14:textId="645F8F5E" w:rsidR="00FB62A5" w:rsidRPr="00542499" w:rsidRDefault="00E14B19" w:rsidP="007D64EF">
      <w:pPr>
        <w:pStyle w:val="NormalWeb"/>
        <w:spacing w:line="360" w:lineRule="auto"/>
        <w:rPr>
          <w:rFonts w:ascii="Arial" w:hAnsi="Arial" w:cs="Arial"/>
          <w:b/>
          <w:sz w:val="22"/>
          <w:szCs w:val="22"/>
        </w:rPr>
      </w:pPr>
      <w:r>
        <w:rPr>
          <w:rFonts w:ascii="Arial" w:hAnsi="Arial" w:cs="Arial"/>
          <w:b/>
          <w:sz w:val="22"/>
          <w:szCs w:val="22"/>
        </w:rPr>
        <w:t>2</w:t>
      </w:r>
      <w:r w:rsidR="00E33212" w:rsidRPr="00542499">
        <w:rPr>
          <w:rFonts w:ascii="Arial" w:hAnsi="Arial" w:cs="Arial"/>
          <w:b/>
          <w:sz w:val="22"/>
          <w:szCs w:val="22"/>
        </w:rPr>
        <w:t xml:space="preserve">.3 Preparation of Instant </w:t>
      </w:r>
      <w:proofErr w:type="spellStart"/>
      <w:r w:rsidR="00E33212" w:rsidRPr="00542499">
        <w:rPr>
          <w:rFonts w:ascii="Arial" w:hAnsi="Arial" w:cs="Arial"/>
          <w:b/>
          <w:i/>
          <w:iCs/>
          <w:sz w:val="22"/>
          <w:szCs w:val="22"/>
        </w:rPr>
        <w:t>C.asiatica</w:t>
      </w:r>
      <w:proofErr w:type="spellEnd"/>
      <w:r w:rsidR="00E33212" w:rsidRPr="00542499">
        <w:rPr>
          <w:rFonts w:ascii="Arial" w:hAnsi="Arial" w:cs="Arial"/>
          <w:b/>
          <w:sz w:val="22"/>
          <w:szCs w:val="22"/>
        </w:rPr>
        <w:t xml:space="preserve"> </w:t>
      </w:r>
      <w:r w:rsidR="00E33212" w:rsidRPr="002F73DB">
        <w:rPr>
          <w:rFonts w:ascii="Arial" w:hAnsi="Arial" w:cs="Arial"/>
          <w:b/>
          <w:sz w:val="22"/>
          <w:szCs w:val="22"/>
          <w:highlight w:val="red"/>
        </w:rPr>
        <w:t>(</w:t>
      </w:r>
      <w:proofErr w:type="spellStart"/>
      <w:r w:rsidR="00E33212" w:rsidRPr="002F73DB">
        <w:rPr>
          <w:rFonts w:ascii="Arial" w:hAnsi="Arial" w:cs="Arial"/>
          <w:b/>
          <w:sz w:val="22"/>
          <w:szCs w:val="22"/>
          <w:highlight w:val="red"/>
        </w:rPr>
        <w:t>Peeruk</w:t>
      </w:r>
      <w:proofErr w:type="spellEnd"/>
      <w:r w:rsidR="00E33212" w:rsidRPr="002F73DB">
        <w:rPr>
          <w:rFonts w:ascii="Arial" w:hAnsi="Arial" w:cs="Arial"/>
          <w:b/>
          <w:sz w:val="22"/>
          <w:szCs w:val="22"/>
          <w:highlight w:val="red"/>
        </w:rPr>
        <w:t>)</w:t>
      </w:r>
      <w:r w:rsidR="00E33212" w:rsidRPr="00542499">
        <w:rPr>
          <w:rFonts w:ascii="Arial" w:hAnsi="Arial" w:cs="Arial"/>
          <w:b/>
          <w:sz w:val="22"/>
          <w:szCs w:val="22"/>
        </w:rPr>
        <w:t xml:space="preserve"> Tea bags</w:t>
      </w:r>
    </w:p>
    <w:p w14:paraId="3477FBDE" w14:textId="4730FDC9" w:rsidR="00E33212" w:rsidRPr="00363E23" w:rsidRDefault="009B5ACF" w:rsidP="000542E3">
      <w:pPr>
        <w:pStyle w:val="NormalWeb"/>
        <w:spacing w:line="360" w:lineRule="auto"/>
        <w:jc w:val="both"/>
        <w:rPr>
          <w:rFonts w:ascii="Arial" w:hAnsi="Arial" w:cs="Arial"/>
          <w:sz w:val="20"/>
          <w:szCs w:val="20"/>
        </w:rPr>
      </w:pPr>
      <w:r w:rsidRPr="00363E23">
        <w:rPr>
          <w:rFonts w:ascii="Arial" w:hAnsi="Arial" w:cs="Arial"/>
          <w:sz w:val="20"/>
          <w:szCs w:val="20"/>
        </w:rPr>
        <w:t xml:space="preserve">Instant </w:t>
      </w:r>
      <w:proofErr w:type="spellStart"/>
      <w:r w:rsidRPr="00363E23">
        <w:rPr>
          <w:rFonts w:ascii="Arial" w:hAnsi="Arial" w:cs="Arial"/>
          <w:i/>
          <w:sz w:val="20"/>
          <w:szCs w:val="20"/>
        </w:rPr>
        <w:t>C.asiatica</w:t>
      </w:r>
      <w:proofErr w:type="spellEnd"/>
      <w:r w:rsidRPr="00363E23">
        <w:rPr>
          <w:rFonts w:ascii="Arial" w:hAnsi="Arial" w:cs="Arial"/>
          <w:sz w:val="20"/>
          <w:szCs w:val="20"/>
        </w:rPr>
        <w:t xml:space="preserve"> Tea bags </w:t>
      </w:r>
      <w:r w:rsidR="002B6138" w:rsidRPr="00363E23">
        <w:rPr>
          <w:rFonts w:ascii="Arial" w:hAnsi="Arial" w:cs="Arial"/>
          <w:sz w:val="20"/>
          <w:szCs w:val="20"/>
        </w:rPr>
        <w:t xml:space="preserve">is prepared by mixing of </w:t>
      </w:r>
      <w:r w:rsidR="002B6138" w:rsidRPr="00363E23">
        <w:rPr>
          <w:rFonts w:ascii="Arial" w:hAnsi="Arial" w:cs="Arial"/>
          <w:i/>
          <w:sz w:val="20"/>
          <w:szCs w:val="20"/>
        </w:rPr>
        <w:t xml:space="preserve">C. </w:t>
      </w:r>
      <w:proofErr w:type="spellStart"/>
      <w:r w:rsidR="002B6138" w:rsidRPr="00363E23">
        <w:rPr>
          <w:rFonts w:ascii="Arial" w:hAnsi="Arial" w:cs="Arial"/>
          <w:i/>
          <w:sz w:val="20"/>
          <w:szCs w:val="20"/>
        </w:rPr>
        <w:t>asiatica</w:t>
      </w:r>
      <w:proofErr w:type="spellEnd"/>
      <w:r w:rsidR="005D6572" w:rsidRPr="00363E23">
        <w:rPr>
          <w:rFonts w:ascii="Arial" w:hAnsi="Arial" w:cs="Arial"/>
          <w:sz w:val="20"/>
          <w:szCs w:val="20"/>
        </w:rPr>
        <w:t xml:space="preserve"> </w:t>
      </w:r>
      <w:r w:rsidR="005D6572" w:rsidRPr="002F73DB">
        <w:rPr>
          <w:rFonts w:ascii="Arial" w:hAnsi="Arial" w:cs="Arial"/>
          <w:sz w:val="20"/>
          <w:szCs w:val="20"/>
          <w:highlight w:val="red"/>
        </w:rPr>
        <w:t>(</w:t>
      </w:r>
      <w:proofErr w:type="spellStart"/>
      <w:r w:rsidR="005D6572" w:rsidRPr="002F73DB">
        <w:rPr>
          <w:rFonts w:ascii="Arial" w:hAnsi="Arial" w:cs="Arial"/>
          <w:sz w:val="20"/>
          <w:szCs w:val="20"/>
          <w:highlight w:val="red"/>
        </w:rPr>
        <w:t>Peeruk</w:t>
      </w:r>
      <w:proofErr w:type="spellEnd"/>
      <w:r w:rsidR="005D6572" w:rsidRPr="002F73DB">
        <w:rPr>
          <w:rFonts w:ascii="Arial" w:hAnsi="Arial" w:cs="Arial"/>
          <w:sz w:val="20"/>
          <w:szCs w:val="20"/>
          <w:highlight w:val="red"/>
        </w:rPr>
        <w:t>)</w:t>
      </w:r>
      <w:r w:rsidR="005D6572" w:rsidRPr="00363E23">
        <w:rPr>
          <w:rFonts w:ascii="Arial" w:hAnsi="Arial" w:cs="Arial"/>
          <w:sz w:val="20"/>
          <w:szCs w:val="20"/>
        </w:rPr>
        <w:t xml:space="preserve"> powder with ginger and green tea powder.</w:t>
      </w:r>
      <w:r w:rsidR="002B6138" w:rsidRPr="00363E23">
        <w:rPr>
          <w:rFonts w:ascii="Arial" w:hAnsi="Arial" w:cs="Arial"/>
          <w:sz w:val="20"/>
          <w:szCs w:val="20"/>
        </w:rPr>
        <w:t xml:space="preserve"> </w:t>
      </w:r>
      <w:r w:rsidR="00744CA2" w:rsidRPr="00363E23">
        <w:rPr>
          <w:rFonts w:ascii="Arial" w:hAnsi="Arial" w:cs="Arial"/>
          <w:sz w:val="20"/>
          <w:szCs w:val="20"/>
        </w:rPr>
        <w:t xml:space="preserve">The prepared tea mixed </w:t>
      </w:r>
      <w:r w:rsidR="00D02766" w:rsidRPr="00363E23">
        <w:rPr>
          <w:rFonts w:ascii="Arial" w:hAnsi="Arial" w:cs="Arial"/>
          <w:sz w:val="20"/>
          <w:szCs w:val="20"/>
        </w:rPr>
        <w:t xml:space="preserve">is then sealed in tea bags (sachets) </w:t>
      </w:r>
      <w:r w:rsidR="00C13661" w:rsidRPr="00363E23">
        <w:rPr>
          <w:rFonts w:ascii="Arial" w:hAnsi="Arial" w:cs="Arial"/>
          <w:sz w:val="20"/>
          <w:szCs w:val="20"/>
        </w:rPr>
        <w:t>and used for sensory evaluation</w:t>
      </w:r>
      <w:r w:rsidR="003C360B" w:rsidRPr="00363E23">
        <w:rPr>
          <w:rFonts w:ascii="Arial" w:hAnsi="Arial" w:cs="Arial"/>
          <w:sz w:val="20"/>
          <w:szCs w:val="20"/>
        </w:rPr>
        <w:t xml:space="preserve"> and </w:t>
      </w:r>
      <w:r w:rsidR="007D59B2" w:rsidRPr="00363E23">
        <w:rPr>
          <w:rFonts w:ascii="Arial" w:hAnsi="Arial" w:cs="Arial"/>
          <w:sz w:val="20"/>
          <w:szCs w:val="20"/>
        </w:rPr>
        <w:t>shelf-life</w:t>
      </w:r>
      <w:r w:rsidR="003C360B" w:rsidRPr="00363E23">
        <w:rPr>
          <w:rFonts w:ascii="Arial" w:hAnsi="Arial" w:cs="Arial"/>
          <w:sz w:val="20"/>
          <w:szCs w:val="20"/>
        </w:rPr>
        <w:t xml:space="preserve"> study</w:t>
      </w:r>
      <w:r w:rsidR="002F73DB">
        <w:rPr>
          <w:rFonts w:ascii="Arial" w:hAnsi="Arial" w:cs="Arial"/>
          <w:sz w:val="20"/>
          <w:szCs w:val="20"/>
        </w:rPr>
        <w:t xml:space="preserve"> (</w:t>
      </w:r>
      <w:r w:rsidR="002F73DB">
        <w:rPr>
          <w:rFonts w:ascii="Arial" w:hAnsi="Arial" w:cs="Arial"/>
          <w:color w:val="00B0F0"/>
          <w:sz w:val="20"/>
          <w:szCs w:val="20"/>
        </w:rPr>
        <w:t>Fig.</w:t>
      </w:r>
      <w:r w:rsidR="002F73DB" w:rsidRPr="002F73DB">
        <w:rPr>
          <w:rFonts w:ascii="Arial" w:hAnsi="Arial" w:cs="Arial"/>
          <w:color w:val="00B0F0"/>
          <w:sz w:val="20"/>
          <w:szCs w:val="20"/>
        </w:rPr>
        <w:t xml:space="preserve"> 1</w:t>
      </w:r>
      <w:r w:rsidR="002F73DB">
        <w:rPr>
          <w:rFonts w:ascii="Arial" w:hAnsi="Arial" w:cs="Arial"/>
          <w:sz w:val="20"/>
          <w:szCs w:val="20"/>
        </w:rPr>
        <w:t>)</w:t>
      </w:r>
      <w:r w:rsidR="003C360B" w:rsidRPr="00363E23">
        <w:rPr>
          <w:rFonts w:ascii="Arial" w:hAnsi="Arial" w:cs="Arial"/>
          <w:sz w:val="20"/>
          <w:szCs w:val="20"/>
        </w:rPr>
        <w:t xml:space="preserve">. </w:t>
      </w:r>
      <w:r w:rsidR="009F707A" w:rsidRPr="002F73DB">
        <w:rPr>
          <w:rFonts w:ascii="Arial" w:hAnsi="Arial" w:cs="Arial"/>
          <w:sz w:val="20"/>
          <w:szCs w:val="20"/>
          <w:highlight w:val="red"/>
        </w:rPr>
        <w:t xml:space="preserve">The flow chart for preparation of Instant </w:t>
      </w:r>
      <w:proofErr w:type="spellStart"/>
      <w:r w:rsidR="009F707A" w:rsidRPr="002F73DB">
        <w:rPr>
          <w:rFonts w:ascii="Arial" w:hAnsi="Arial" w:cs="Arial"/>
          <w:i/>
          <w:sz w:val="20"/>
          <w:szCs w:val="20"/>
          <w:highlight w:val="red"/>
        </w:rPr>
        <w:t>C.asiatica</w:t>
      </w:r>
      <w:proofErr w:type="spellEnd"/>
      <w:r w:rsidR="0011116D" w:rsidRPr="002F73DB">
        <w:rPr>
          <w:rFonts w:ascii="Arial" w:hAnsi="Arial" w:cs="Arial"/>
          <w:sz w:val="20"/>
          <w:szCs w:val="20"/>
          <w:highlight w:val="red"/>
        </w:rPr>
        <w:t xml:space="preserve"> tea bags </w:t>
      </w:r>
      <w:proofErr w:type="gramStart"/>
      <w:r w:rsidR="0011116D" w:rsidRPr="002F73DB">
        <w:rPr>
          <w:rFonts w:ascii="Arial" w:hAnsi="Arial" w:cs="Arial"/>
          <w:sz w:val="20"/>
          <w:szCs w:val="20"/>
          <w:highlight w:val="red"/>
        </w:rPr>
        <w:t>is shown</w:t>
      </w:r>
      <w:proofErr w:type="gramEnd"/>
      <w:r w:rsidR="0011116D" w:rsidRPr="002F73DB">
        <w:rPr>
          <w:rFonts w:ascii="Arial" w:hAnsi="Arial" w:cs="Arial"/>
          <w:sz w:val="20"/>
          <w:szCs w:val="20"/>
          <w:highlight w:val="red"/>
        </w:rPr>
        <w:t xml:space="preserve"> in Fig. </w:t>
      </w:r>
      <w:r w:rsidR="00480F23" w:rsidRPr="002F73DB">
        <w:rPr>
          <w:rFonts w:ascii="Arial" w:hAnsi="Arial" w:cs="Arial"/>
          <w:sz w:val="20"/>
          <w:szCs w:val="20"/>
          <w:highlight w:val="red"/>
        </w:rPr>
        <w:t>1.</w:t>
      </w:r>
    </w:p>
    <w:p w14:paraId="7A06331C"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 xml:space="preserve">Fresh </w:t>
      </w:r>
      <w:proofErr w:type="spellStart"/>
      <w:r w:rsidRPr="00363E23">
        <w:rPr>
          <w:rFonts w:ascii="Arial" w:hAnsi="Arial" w:cs="Arial"/>
          <w:sz w:val="20"/>
          <w:szCs w:val="20"/>
        </w:rPr>
        <w:t>Centella</w:t>
      </w:r>
      <w:proofErr w:type="spellEnd"/>
      <w:r w:rsidRPr="00363E23">
        <w:rPr>
          <w:rFonts w:ascii="Arial" w:hAnsi="Arial" w:cs="Arial"/>
          <w:sz w:val="20"/>
          <w:szCs w:val="20"/>
        </w:rPr>
        <w:t xml:space="preserve"> Leaves &amp; Ginger Rhizomes</w:t>
      </w:r>
    </w:p>
    <w:p w14:paraId="5AE3B39A"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6C6E13A7"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Sorting and Washing</w:t>
      </w:r>
    </w:p>
    <w:p w14:paraId="55F4DF68"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2E2B8ECB"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Shade Drying (3–4 days)</w:t>
      </w:r>
    </w:p>
    <w:p w14:paraId="5811DECE"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409D759A"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Fermentation (for fermented samples only)</w:t>
      </w:r>
    </w:p>
    <w:p w14:paraId="73B57CF1"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14872E40"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Grinding and Sieving</w:t>
      </w:r>
    </w:p>
    <w:p w14:paraId="21061B1A"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024A83B9"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Blending in Different Ratios</w:t>
      </w:r>
    </w:p>
    <w:p w14:paraId="7FAC0A6C"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0618D69D"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Packaging in 2 g Tea Sachets</w:t>
      </w:r>
    </w:p>
    <w:p w14:paraId="01EDF585"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20F09070" w14:textId="77777777" w:rsidR="00394811" w:rsidRPr="00363E23" w:rsidRDefault="00394811" w:rsidP="00394811">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Storage in Airtight Container</w:t>
      </w:r>
    </w:p>
    <w:p w14:paraId="47E1D71B" w14:textId="77777777" w:rsidR="00394811" w:rsidRPr="00867FCD" w:rsidRDefault="00394811" w:rsidP="00394811">
      <w:pPr>
        <w:pStyle w:val="NormalWeb"/>
        <w:spacing w:before="0" w:beforeAutospacing="0" w:after="0" w:afterAutospacing="0"/>
        <w:jc w:val="center"/>
      </w:pPr>
    </w:p>
    <w:p w14:paraId="3E05FD0D" w14:textId="3A84415F" w:rsidR="001D7401" w:rsidRPr="00DB17D3" w:rsidRDefault="00AB4F97" w:rsidP="00765341">
      <w:pPr>
        <w:pStyle w:val="NormalWeb"/>
        <w:spacing w:before="0" w:beforeAutospacing="0" w:after="0" w:afterAutospacing="0" w:line="360" w:lineRule="auto"/>
        <w:jc w:val="center"/>
        <w:rPr>
          <w:rFonts w:ascii="Arial" w:hAnsi="Arial" w:cs="Arial"/>
          <w:b/>
          <w:sz w:val="20"/>
          <w:szCs w:val="20"/>
        </w:rPr>
      </w:pPr>
      <w:r w:rsidRPr="00DB17D3">
        <w:rPr>
          <w:rFonts w:ascii="Arial" w:hAnsi="Arial" w:cs="Arial"/>
          <w:b/>
          <w:sz w:val="20"/>
          <w:szCs w:val="20"/>
        </w:rPr>
        <w:t xml:space="preserve">Fig </w:t>
      </w:r>
      <w:r w:rsidR="00480F23" w:rsidRPr="00DB17D3">
        <w:rPr>
          <w:rFonts w:ascii="Arial" w:hAnsi="Arial" w:cs="Arial"/>
          <w:b/>
          <w:sz w:val="20"/>
          <w:szCs w:val="20"/>
        </w:rPr>
        <w:t>1</w:t>
      </w:r>
      <w:r w:rsidR="00C327C4" w:rsidRPr="00DB17D3">
        <w:rPr>
          <w:rFonts w:ascii="Arial" w:hAnsi="Arial" w:cs="Arial"/>
          <w:b/>
          <w:sz w:val="20"/>
          <w:szCs w:val="20"/>
        </w:rPr>
        <w:t>:</w:t>
      </w:r>
      <w:r w:rsidR="00480F23" w:rsidRPr="00DB17D3">
        <w:rPr>
          <w:rFonts w:ascii="Arial" w:hAnsi="Arial" w:cs="Arial"/>
          <w:b/>
          <w:sz w:val="20"/>
          <w:szCs w:val="20"/>
        </w:rPr>
        <w:t xml:space="preserve"> </w:t>
      </w:r>
      <w:r w:rsidR="00394811" w:rsidRPr="00DB17D3">
        <w:rPr>
          <w:rFonts w:ascii="Arial" w:hAnsi="Arial" w:cs="Arial"/>
          <w:b/>
          <w:sz w:val="20"/>
          <w:szCs w:val="20"/>
        </w:rPr>
        <w:t xml:space="preserve">Flowchart for preparation of formulated </w:t>
      </w:r>
      <w:r w:rsidR="002252E7" w:rsidRPr="00DB17D3">
        <w:rPr>
          <w:rFonts w:ascii="Arial" w:hAnsi="Arial" w:cs="Arial"/>
          <w:b/>
          <w:sz w:val="20"/>
          <w:szCs w:val="20"/>
        </w:rPr>
        <w:t xml:space="preserve">Instant </w:t>
      </w:r>
      <w:r w:rsidR="00A77FA9" w:rsidRPr="00DB17D3">
        <w:rPr>
          <w:rFonts w:ascii="Arial" w:hAnsi="Arial" w:cs="Arial"/>
          <w:b/>
          <w:i/>
          <w:sz w:val="20"/>
          <w:szCs w:val="20"/>
        </w:rPr>
        <w:t>C.</w:t>
      </w:r>
      <w:r w:rsidR="00A77FA9" w:rsidRPr="00DB17D3">
        <w:rPr>
          <w:rFonts w:ascii="Arial" w:hAnsi="Arial" w:cs="Arial"/>
          <w:b/>
          <w:i/>
          <w:spacing w:val="-1"/>
          <w:sz w:val="20"/>
          <w:szCs w:val="20"/>
        </w:rPr>
        <w:t xml:space="preserve"> </w:t>
      </w:r>
      <w:proofErr w:type="spellStart"/>
      <w:r w:rsidR="00A77FA9" w:rsidRPr="00DB17D3">
        <w:rPr>
          <w:rFonts w:ascii="Arial" w:hAnsi="Arial" w:cs="Arial"/>
          <w:b/>
          <w:i/>
          <w:sz w:val="20"/>
          <w:szCs w:val="20"/>
        </w:rPr>
        <w:t>asiatica</w:t>
      </w:r>
      <w:proofErr w:type="spellEnd"/>
      <w:r w:rsidR="00A77FA9" w:rsidRPr="00DB17D3">
        <w:rPr>
          <w:rFonts w:ascii="Arial" w:hAnsi="Arial" w:cs="Arial"/>
          <w:b/>
          <w:i/>
          <w:spacing w:val="-1"/>
          <w:sz w:val="20"/>
          <w:szCs w:val="20"/>
        </w:rPr>
        <w:t xml:space="preserve"> </w:t>
      </w:r>
      <w:r w:rsidR="00A77FA9" w:rsidRPr="002F73DB">
        <w:rPr>
          <w:rFonts w:ascii="Arial" w:hAnsi="Arial" w:cs="Arial"/>
          <w:b/>
          <w:sz w:val="20"/>
          <w:szCs w:val="20"/>
          <w:highlight w:val="red"/>
        </w:rPr>
        <w:t>(</w:t>
      </w:r>
      <w:proofErr w:type="spellStart"/>
      <w:r w:rsidR="00A77FA9" w:rsidRPr="002F73DB">
        <w:rPr>
          <w:rFonts w:ascii="Arial" w:hAnsi="Arial" w:cs="Arial"/>
          <w:b/>
          <w:sz w:val="20"/>
          <w:szCs w:val="20"/>
          <w:highlight w:val="red"/>
        </w:rPr>
        <w:t>peeruk</w:t>
      </w:r>
      <w:proofErr w:type="spellEnd"/>
      <w:r w:rsidR="00A77FA9" w:rsidRPr="002F73DB">
        <w:rPr>
          <w:rFonts w:ascii="Arial" w:hAnsi="Arial" w:cs="Arial"/>
          <w:b/>
          <w:sz w:val="20"/>
          <w:szCs w:val="20"/>
          <w:highlight w:val="red"/>
        </w:rPr>
        <w:t>)</w:t>
      </w:r>
      <w:r w:rsidR="00A77FA9" w:rsidRPr="00DB17D3">
        <w:rPr>
          <w:rFonts w:ascii="Arial" w:hAnsi="Arial" w:cs="Arial"/>
          <w:b/>
          <w:spacing w:val="-5"/>
          <w:sz w:val="20"/>
          <w:szCs w:val="20"/>
        </w:rPr>
        <w:t xml:space="preserve"> </w:t>
      </w:r>
      <w:r w:rsidR="00A77FA9" w:rsidRPr="00DB17D3">
        <w:rPr>
          <w:rFonts w:ascii="Arial" w:hAnsi="Arial" w:cs="Arial"/>
          <w:b/>
          <w:spacing w:val="-4"/>
          <w:sz w:val="20"/>
          <w:szCs w:val="20"/>
        </w:rPr>
        <w:t>tea.</w:t>
      </w:r>
    </w:p>
    <w:p w14:paraId="06C9B830" w14:textId="77777777" w:rsidR="001D7401" w:rsidRDefault="001D7401" w:rsidP="00B505B3">
      <w:pPr>
        <w:pStyle w:val="NormalWeb"/>
        <w:spacing w:before="0" w:beforeAutospacing="0" w:after="0" w:afterAutospacing="0"/>
        <w:jc w:val="center"/>
      </w:pPr>
    </w:p>
    <w:p w14:paraId="03ABC276" w14:textId="01322886" w:rsidR="001D7401" w:rsidRPr="007D64EF" w:rsidRDefault="00E14B19" w:rsidP="007D64EF">
      <w:pPr>
        <w:tabs>
          <w:tab w:val="left" w:pos="1279"/>
        </w:tabs>
        <w:rPr>
          <w:rFonts w:ascii="Arial" w:hAnsi="Arial" w:cs="Arial"/>
          <w:b/>
        </w:rPr>
      </w:pPr>
      <w:r>
        <w:rPr>
          <w:rFonts w:ascii="Arial" w:hAnsi="Arial" w:cs="Arial"/>
          <w:b/>
        </w:rPr>
        <w:t>2</w:t>
      </w:r>
      <w:r w:rsidR="00667588" w:rsidRPr="007D64EF">
        <w:rPr>
          <w:rFonts w:ascii="Arial" w:hAnsi="Arial" w:cs="Arial"/>
          <w:b/>
        </w:rPr>
        <w:t>.4 Standardization</w:t>
      </w:r>
      <w:r w:rsidR="001D7401" w:rsidRPr="007D64EF">
        <w:rPr>
          <w:rFonts w:ascii="Arial" w:hAnsi="Arial" w:cs="Arial"/>
          <w:b/>
          <w:spacing w:val="-5"/>
        </w:rPr>
        <w:t xml:space="preserve"> </w:t>
      </w:r>
      <w:r w:rsidR="001D7401" w:rsidRPr="007D64EF">
        <w:rPr>
          <w:rFonts w:ascii="Arial" w:hAnsi="Arial" w:cs="Arial"/>
          <w:b/>
        </w:rPr>
        <w:t>method</w:t>
      </w:r>
      <w:r w:rsidR="001D7401" w:rsidRPr="007D64EF">
        <w:rPr>
          <w:rFonts w:ascii="Arial" w:hAnsi="Arial" w:cs="Arial"/>
          <w:b/>
          <w:spacing w:val="-1"/>
        </w:rPr>
        <w:t xml:space="preserve"> </w:t>
      </w:r>
      <w:r w:rsidR="001D7401" w:rsidRPr="007D64EF">
        <w:rPr>
          <w:rFonts w:ascii="Arial" w:hAnsi="Arial" w:cs="Arial"/>
          <w:b/>
        </w:rPr>
        <w:t>for</w:t>
      </w:r>
      <w:r w:rsidR="001D7401" w:rsidRPr="007D64EF">
        <w:rPr>
          <w:rFonts w:ascii="Arial" w:hAnsi="Arial" w:cs="Arial"/>
          <w:b/>
          <w:spacing w:val="-9"/>
        </w:rPr>
        <w:t xml:space="preserve"> </w:t>
      </w:r>
      <w:r w:rsidR="001D7401" w:rsidRPr="007D64EF">
        <w:rPr>
          <w:rFonts w:ascii="Arial" w:hAnsi="Arial" w:cs="Arial"/>
          <w:b/>
        </w:rPr>
        <w:t>preparation</w:t>
      </w:r>
      <w:r w:rsidR="001D7401" w:rsidRPr="007D64EF">
        <w:rPr>
          <w:rFonts w:ascii="Arial" w:hAnsi="Arial" w:cs="Arial"/>
          <w:b/>
          <w:spacing w:val="-1"/>
        </w:rPr>
        <w:t xml:space="preserve"> </w:t>
      </w:r>
      <w:r w:rsidR="001D7401" w:rsidRPr="007D64EF">
        <w:rPr>
          <w:rFonts w:ascii="Arial" w:hAnsi="Arial" w:cs="Arial"/>
          <w:b/>
        </w:rPr>
        <w:t>of</w:t>
      </w:r>
      <w:r w:rsidR="001D7401" w:rsidRPr="007D64EF">
        <w:rPr>
          <w:rFonts w:ascii="Arial" w:hAnsi="Arial" w:cs="Arial"/>
          <w:b/>
          <w:spacing w:val="-5"/>
        </w:rPr>
        <w:t xml:space="preserve"> </w:t>
      </w:r>
      <w:r w:rsidR="001D7401" w:rsidRPr="007D64EF">
        <w:rPr>
          <w:rFonts w:ascii="Arial" w:hAnsi="Arial" w:cs="Arial"/>
          <w:b/>
        </w:rPr>
        <w:t>Ready-to-serve</w:t>
      </w:r>
      <w:r w:rsidR="001D7401" w:rsidRPr="007D64EF">
        <w:rPr>
          <w:rFonts w:ascii="Arial" w:hAnsi="Arial" w:cs="Arial"/>
          <w:b/>
          <w:spacing w:val="-5"/>
        </w:rPr>
        <w:t xml:space="preserve"> </w:t>
      </w:r>
      <w:r w:rsidR="001D7401" w:rsidRPr="007D64EF">
        <w:rPr>
          <w:rFonts w:ascii="Arial" w:hAnsi="Arial" w:cs="Arial"/>
          <w:b/>
          <w:i/>
        </w:rPr>
        <w:t>C.</w:t>
      </w:r>
      <w:r w:rsidR="001D7401" w:rsidRPr="007D64EF">
        <w:rPr>
          <w:rFonts w:ascii="Arial" w:hAnsi="Arial" w:cs="Arial"/>
          <w:b/>
          <w:i/>
          <w:spacing w:val="-5"/>
        </w:rPr>
        <w:t xml:space="preserve"> </w:t>
      </w:r>
      <w:proofErr w:type="spellStart"/>
      <w:r w:rsidR="001D7401" w:rsidRPr="007D64EF">
        <w:rPr>
          <w:rFonts w:ascii="Arial" w:hAnsi="Arial" w:cs="Arial"/>
          <w:b/>
          <w:i/>
        </w:rPr>
        <w:t>asiatica</w:t>
      </w:r>
      <w:proofErr w:type="spellEnd"/>
      <w:r w:rsidR="001D7401" w:rsidRPr="007D64EF">
        <w:rPr>
          <w:rFonts w:ascii="Arial" w:hAnsi="Arial" w:cs="Arial"/>
          <w:b/>
          <w:i/>
          <w:spacing w:val="-2"/>
        </w:rPr>
        <w:t xml:space="preserve"> </w:t>
      </w:r>
      <w:r w:rsidR="001D7401" w:rsidRPr="002F73DB">
        <w:rPr>
          <w:rFonts w:ascii="Arial" w:hAnsi="Arial" w:cs="Arial"/>
          <w:b/>
          <w:highlight w:val="red"/>
        </w:rPr>
        <w:t>(</w:t>
      </w:r>
      <w:proofErr w:type="spellStart"/>
      <w:r w:rsidR="001D7401" w:rsidRPr="002F73DB">
        <w:rPr>
          <w:rFonts w:ascii="Arial" w:hAnsi="Arial" w:cs="Arial"/>
          <w:b/>
          <w:highlight w:val="red"/>
        </w:rPr>
        <w:t>peeruk</w:t>
      </w:r>
      <w:proofErr w:type="spellEnd"/>
      <w:r w:rsidR="001D7401" w:rsidRPr="002F73DB">
        <w:rPr>
          <w:rFonts w:ascii="Arial" w:hAnsi="Arial" w:cs="Arial"/>
          <w:b/>
          <w:highlight w:val="red"/>
        </w:rPr>
        <w:t>)</w:t>
      </w:r>
      <w:r w:rsidR="001D7401" w:rsidRPr="007D64EF">
        <w:rPr>
          <w:rFonts w:ascii="Arial" w:hAnsi="Arial" w:cs="Arial"/>
          <w:b/>
          <w:i/>
          <w:spacing w:val="-1"/>
        </w:rPr>
        <w:t xml:space="preserve"> </w:t>
      </w:r>
      <w:r w:rsidR="001D7401" w:rsidRPr="007D64EF">
        <w:rPr>
          <w:rFonts w:ascii="Arial" w:hAnsi="Arial" w:cs="Arial"/>
          <w:b/>
          <w:spacing w:val="-4"/>
        </w:rPr>
        <w:t>tea.</w:t>
      </w:r>
    </w:p>
    <w:p w14:paraId="6F4FE51B" w14:textId="2EF41439" w:rsidR="00414A31" w:rsidRPr="00363E23" w:rsidRDefault="00E95609" w:rsidP="000542E3">
      <w:pPr>
        <w:pStyle w:val="NormalWeb"/>
        <w:spacing w:line="360" w:lineRule="auto"/>
        <w:jc w:val="both"/>
        <w:rPr>
          <w:rFonts w:ascii="Arial" w:hAnsi="Arial" w:cs="Arial"/>
          <w:sz w:val="20"/>
          <w:szCs w:val="20"/>
        </w:rPr>
      </w:pPr>
      <w:r w:rsidRPr="00363E23">
        <w:rPr>
          <w:rFonts w:ascii="Arial" w:hAnsi="Arial" w:cs="Arial"/>
          <w:sz w:val="20"/>
          <w:szCs w:val="20"/>
        </w:rPr>
        <w:lastRenderedPageBreak/>
        <w:t xml:space="preserve">The method </w:t>
      </w:r>
      <w:r w:rsidR="00813685" w:rsidRPr="00363E23">
        <w:rPr>
          <w:rFonts w:ascii="Arial" w:hAnsi="Arial" w:cs="Arial"/>
          <w:sz w:val="20"/>
          <w:szCs w:val="20"/>
        </w:rPr>
        <w:t xml:space="preserve">standardization for </w:t>
      </w:r>
      <w:r w:rsidR="005009B8" w:rsidRPr="00363E23">
        <w:rPr>
          <w:rFonts w:ascii="Arial" w:hAnsi="Arial" w:cs="Arial"/>
          <w:sz w:val="20"/>
          <w:szCs w:val="20"/>
        </w:rPr>
        <w:t xml:space="preserve">preparation of Instant </w:t>
      </w:r>
      <w:proofErr w:type="spellStart"/>
      <w:r w:rsidR="005009B8" w:rsidRPr="00363E23">
        <w:rPr>
          <w:rFonts w:ascii="Arial" w:hAnsi="Arial" w:cs="Arial"/>
          <w:i/>
          <w:iCs/>
          <w:sz w:val="20"/>
          <w:szCs w:val="20"/>
        </w:rPr>
        <w:t>C.asiatica</w:t>
      </w:r>
      <w:proofErr w:type="spellEnd"/>
      <w:r w:rsidR="005009B8" w:rsidRPr="00363E23">
        <w:rPr>
          <w:rFonts w:ascii="Arial" w:hAnsi="Arial" w:cs="Arial"/>
          <w:i/>
          <w:iCs/>
          <w:sz w:val="20"/>
          <w:szCs w:val="20"/>
        </w:rPr>
        <w:t xml:space="preserve"> </w:t>
      </w:r>
      <w:r w:rsidR="005009B8" w:rsidRPr="00363E23">
        <w:rPr>
          <w:rFonts w:ascii="Arial" w:hAnsi="Arial" w:cs="Arial"/>
          <w:sz w:val="20"/>
          <w:szCs w:val="20"/>
        </w:rPr>
        <w:t xml:space="preserve">tea </w:t>
      </w:r>
      <w:r w:rsidR="006D19D8" w:rsidRPr="00363E23">
        <w:rPr>
          <w:rFonts w:ascii="Arial" w:hAnsi="Arial" w:cs="Arial"/>
          <w:sz w:val="20"/>
          <w:szCs w:val="20"/>
        </w:rPr>
        <w:t xml:space="preserve">includes </w:t>
      </w:r>
      <w:r w:rsidR="0094295A" w:rsidRPr="00363E23">
        <w:rPr>
          <w:rFonts w:ascii="Arial" w:hAnsi="Arial" w:cs="Arial"/>
          <w:sz w:val="20"/>
          <w:szCs w:val="20"/>
        </w:rPr>
        <w:t xml:space="preserve">boiling of required amount of water </w:t>
      </w:r>
      <w:r w:rsidR="00092B58" w:rsidRPr="00363E23">
        <w:rPr>
          <w:rFonts w:ascii="Arial" w:hAnsi="Arial" w:cs="Arial"/>
          <w:sz w:val="20"/>
          <w:szCs w:val="20"/>
        </w:rPr>
        <w:t xml:space="preserve">in a saucepan. </w:t>
      </w:r>
      <w:r w:rsidR="00D33F96" w:rsidRPr="00363E23">
        <w:rPr>
          <w:rFonts w:ascii="Arial" w:hAnsi="Arial" w:cs="Arial"/>
          <w:sz w:val="20"/>
          <w:szCs w:val="20"/>
        </w:rPr>
        <w:t xml:space="preserve">Pour the hot water </w:t>
      </w:r>
      <w:r w:rsidR="00C63FEF" w:rsidRPr="00363E23">
        <w:rPr>
          <w:rFonts w:ascii="Arial" w:hAnsi="Arial" w:cs="Arial"/>
          <w:sz w:val="20"/>
          <w:szCs w:val="20"/>
        </w:rPr>
        <w:t xml:space="preserve">(100 ml) </w:t>
      </w:r>
      <w:r w:rsidR="00D33F96" w:rsidRPr="00363E23">
        <w:rPr>
          <w:rFonts w:ascii="Arial" w:hAnsi="Arial" w:cs="Arial"/>
          <w:sz w:val="20"/>
          <w:szCs w:val="20"/>
        </w:rPr>
        <w:t xml:space="preserve">into the cup and dip the tea bag </w:t>
      </w:r>
      <w:r w:rsidR="00C63FEF" w:rsidRPr="00363E23">
        <w:rPr>
          <w:rFonts w:ascii="Arial" w:hAnsi="Arial" w:cs="Arial"/>
          <w:sz w:val="20"/>
          <w:szCs w:val="20"/>
        </w:rPr>
        <w:t xml:space="preserve">(2g) </w:t>
      </w:r>
      <w:r w:rsidR="00D33F96" w:rsidRPr="00363E23">
        <w:rPr>
          <w:rFonts w:ascii="Arial" w:hAnsi="Arial" w:cs="Arial"/>
          <w:sz w:val="20"/>
          <w:szCs w:val="20"/>
        </w:rPr>
        <w:t>into the hot water</w:t>
      </w:r>
      <w:r w:rsidR="0042668F" w:rsidRPr="00363E23">
        <w:rPr>
          <w:rFonts w:ascii="Arial" w:hAnsi="Arial" w:cs="Arial"/>
          <w:sz w:val="20"/>
          <w:szCs w:val="20"/>
        </w:rPr>
        <w:t xml:space="preserve"> for 5 minutes</w:t>
      </w:r>
      <w:r w:rsidR="00D33F96" w:rsidRPr="00363E23">
        <w:rPr>
          <w:rFonts w:ascii="Arial" w:hAnsi="Arial" w:cs="Arial"/>
          <w:sz w:val="20"/>
          <w:szCs w:val="20"/>
        </w:rPr>
        <w:t xml:space="preserve">. </w:t>
      </w:r>
      <w:r w:rsidR="00C47A1C" w:rsidRPr="00363E23">
        <w:rPr>
          <w:rFonts w:ascii="Arial" w:hAnsi="Arial" w:cs="Arial"/>
          <w:sz w:val="20"/>
          <w:szCs w:val="20"/>
        </w:rPr>
        <w:t>Honey can be added to enhance the taste and flavour</w:t>
      </w:r>
      <w:r w:rsidR="002F73DB">
        <w:rPr>
          <w:rFonts w:ascii="Arial" w:hAnsi="Arial" w:cs="Arial"/>
          <w:sz w:val="20"/>
          <w:szCs w:val="20"/>
        </w:rPr>
        <w:t xml:space="preserve"> </w:t>
      </w:r>
      <w:r w:rsidR="002F73DB" w:rsidRPr="002F73DB">
        <w:rPr>
          <w:rFonts w:ascii="Arial" w:hAnsi="Arial" w:cs="Arial"/>
          <w:color w:val="00B0F0"/>
          <w:sz w:val="20"/>
          <w:szCs w:val="20"/>
        </w:rPr>
        <w:t>(Fig.2)</w:t>
      </w:r>
      <w:r w:rsidR="00C47A1C" w:rsidRPr="00363E23">
        <w:rPr>
          <w:rFonts w:ascii="Arial" w:hAnsi="Arial" w:cs="Arial"/>
          <w:sz w:val="20"/>
          <w:szCs w:val="20"/>
        </w:rPr>
        <w:t xml:space="preserve">. </w:t>
      </w:r>
      <w:r w:rsidR="00D35517" w:rsidRPr="002F73DB">
        <w:rPr>
          <w:rFonts w:ascii="Arial" w:hAnsi="Arial" w:cs="Arial"/>
          <w:sz w:val="20"/>
          <w:szCs w:val="20"/>
          <w:highlight w:val="red"/>
        </w:rPr>
        <w:t xml:space="preserve">The flowchart for preparation of instant </w:t>
      </w:r>
      <w:proofErr w:type="spellStart"/>
      <w:r w:rsidR="00D35517" w:rsidRPr="002F73DB">
        <w:rPr>
          <w:rFonts w:ascii="Arial" w:hAnsi="Arial" w:cs="Arial"/>
          <w:i/>
          <w:iCs/>
          <w:sz w:val="20"/>
          <w:szCs w:val="20"/>
          <w:highlight w:val="red"/>
        </w:rPr>
        <w:t>C.asiatic</w:t>
      </w:r>
      <w:r w:rsidR="00092227" w:rsidRPr="002F73DB">
        <w:rPr>
          <w:rFonts w:ascii="Arial" w:hAnsi="Arial" w:cs="Arial"/>
          <w:i/>
          <w:iCs/>
          <w:sz w:val="20"/>
          <w:szCs w:val="20"/>
          <w:highlight w:val="red"/>
        </w:rPr>
        <w:t>a</w:t>
      </w:r>
      <w:proofErr w:type="spellEnd"/>
      <w:r w:rsidR="00092227" w:rsidRPr="002F73DB">
        <w:rPr>
          <w:rFonts w:ascii="Arial" w:hAnsi="Arial" w:cs="Arial"/>
          <w:sz w:val="20"/>
          <w:szCs w:val="20"/>
          <w:highlight w:val="red"/>
        </w:rPr>
        <w:t xml:space="preserve"> tea is shown in the </w:t>
      </w:r>
      <w:proofErr w:type="gramStart"/>
      <w:r w:rsidR="00092227" w:rsidRPr="002F73DB">
        <w:rPr>
          <w:rFonts w:ascii="Arial" w:hAnsi="Arial" w:cs="Arial"/>
          <w:sz w:val="20"/>
          <w:szCs w:val="20"/>
          <w:highlight w:val="red"/>
        </w:rPr>
        <w:t>Fig..</w:t>
      </w:r>
      <w:proofErr w:type="gramEnd"/>
      <w:r w:rsidR="00092227" w:rsidRPr="002F73DB">
        <w:rPr>
          <w:rFonts w:ascii="Arial" w:hAnsi="Arial" w:cs="Arial"/>
          <w:sz w:val="20"/>
          <w:szCs w:val="20"/>
          <w:highlight w:val="red"/>
        </w:rPr>
        <w:t>2</w:t>
      </w:r>
      <w:r w:rsidR="00D35517" w:rsidRPr="002F73DB">
        <w:rPr>
          <w:rFonts w:ascii="Arial" w:hAnsi="Arial" w:cs="Arial"/>
          <w:sz w:val="20"/>
          <w:szCs w:val="20"/>
          <w:highlight w:val="red"/>
        </w:rPr>
        <w:t xml:space="preserve"> below.</w:t>
      </w:r>
      <w:r w:rsidR="006D19D8" w:rsidRPr="00363E23">
        <w:rPr>
          <w:rFonts w:ascii="Arial" w:hAnsi="Arial" w:cs="Arial"/>
          <w:sz w:val="20"/>
          <w:szCs w:val="20"/>
        </w:rPr>
        <w:t xml:space="preserve"> </w:t>
      </w:r>
    </w:p>
    <w:p w14:paraId="67153E82"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 xml:space="preserve">Fresh </w:t>
      </w:r>
      <w:proofErr w:type="spellStart"/>
      <w:r w:rsidRPr="00363E23">
        <w:rPr>
          <w:rFonts w:ascii="Arial" w:hAnsi="Arial" w:cs="Arial"/>
          <w:i/>
          <w:iCs/>
          <w:sz w:val="20"/>
          <w:szCs w:val="20"/>
        </w:rPr>
        <w:t>Centella</w:t>
      </w:r>
      <w:proofErr w:type="spellEnd"/>
      <w:r w:rsidRPr="00363E23">
        <w:rPr>
          <w:rFonts w:ascii="Arial" w:hAnsi="Arial" w:cs="Arial"/>
          <w:i/>
          <w:iCs/>
          <w:sz w:val="20"/>
          <w:szCs w:val="20"/>
        </w:rPr>
        <w:t xml:space="preserve"> </w:t>
      </w:r>
      <w:proofErr w:type="spellStart"/>
      <w:r w:rsidR="0043723F" w:rsidRPr="00363E23">
        <w:rPr>
          <w:rFonts w:ascii="Arial" w:hAnsi="Arial" w:cs="Arial"/>
          <w:i/>
          <w:iCs/>
          <w:sz w:val="20"/>
          <w:szCs w:val="20"/>
        </w:rPr>
        <w:t>asiatica</w:t>
      </w:r>
      <w:proofErr w:type="spellEnd"/>
      <w:r w:rsidR="0043723F" w:rsidRPr="00363E23">
        <w:rPr>
          <w:rFonts w:ascii="Arial" w:hAnsi="Arial" w:cs="Arial"/>
          <w:sz w:val="20"/>
          <w:szCs w:val="20"/>
        </w:rPr>
        <w:t xml:space="preserve"> </w:t>
      </w:r>
      <w:r w:rsidRPr="00363E23">
        <w:rPr>
          <w:rFonts w:ascii="Arial" w:hAnsi="Arial" w:cs="Arial"/>
          <w:sz w:val="20"/>
          <w:szCs w:val="20"/>
        </w:rPr>
        <w:t>Leaves &amp; Ginger Rhizomes</w:t>
      </w:r>
    </w:p>
    <w:p w14:paraId="350BEB40"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254CD0EA"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Sorting and Washing</w:t>
      </w:r>
    </w:p>
    <w:p w14:paraId="0EF7729C"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45F476BB"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Shade Drying (3–4 days)</w:t>
      </w:r>
    </w:p>
    <w:p w14:paraId="4E7BB647"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7B0CB388"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Fermentation (for fermented samples only)</w:t>
      </w:r>
    </w:p>
    <w:p w14:paraId="31505E45"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733D4C43"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Grinding and Sieving</w:t>
      </w:r>
    </w:p>
    <w:p w14:paraId="11A3A652"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4E30548E"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Blending in Different Ratios</w:t>
      </w:r>
    </w:p>
    <w:p w14:paraId="2F28B157"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472823B5"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Packaging in 2 g Tea Sachets</w:t>
      </w:r>
    </w:p>
    <w:p w14:paraId="69EEAD12"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w:t>
      </w:r>
    </w:p>
    <w:p w14:paraId="04726EF9" w14:textId="77777777" w:rsidR="000C5433" w:rsidRPr="00363E23" w:rsidRDefault="000C5433" w:rsidP="000C5433">
      <w:pPr>
        <w:pStyle w:val="NormalWeb"/>
        <w:spacing w:before="0" w:beforeAutospacing="0" w:after="0" w:afterAutospacing="0"/>
        <w:jc w:val="center"/>
        <w:rPr>
          <w:rFonts w:ascii="Arial" w:hAnsi="Arial" w:cs="Arial"/>
          <w:sz w:val="20"/>
          <w:szCs w:val="20"/>
        </w:rPr>
      </w:pPr>
      <w:r w:rsidRPr="00363E23">
        <w:rPr>
          <w:rFonts w:ascii="Arial" w:hAnsi="Arial" w:cs="Arial"/>
          <w:sz w:val="20"/>
          <w:szCs w:val="20"/>
        </w:rPr>
        <w:t>Storage in Airtight Container</w:t>
      </w:r>
    </w:p>
    <w:p w14:paraId="3517FB5B" w14:textId="64B88913" w:rsidR="00602658" w:rsidRDefault="003A3B03" w:rsidP="007F6AA8">
      <w:pPr>
        <w:pStyle w:val="NormalWeb"/>
        <w:spacing w:line="360" w:lineRule="auto"/>
        <w:jc w:val="center"/>
        <w:rPr>
          <w:rFonts w:ascii="Arial" w:hAnsi="Arial" w:cs="Arial"/>
          <w:b/>
          <w:sz w:val="20"/>
          <w:szCs w:val="20"/>
        </w:rPr>
      </w:pPr>
      <w:r w:rsidRPr="000D1F54">
        <w:rPr>
          <w:rFonts w:ascii="Arial" w:hAnsi="Arial" w:cs="Arial"/>
          <w:b/>
          <w:sz w:val="20"/>
          <w:szCs w:val="20"/>
        </w:rPr>
        <w:t xml:space="preserve">Fig. </w:t>
      </w:r>
      <w:r w:rsidR="00653D93" w:rsidRPr="000D1F54">
        <w:rPr>
          <w:rFonts w:ascii="Arial" w:hAnsi="Arial" w:cs="Arial"/>
          <w:b/>
          <w:sz w:val="20"/>
          <w:szCs w:val="20"/>
        </w:rPr>
        <w:t>2</w:t>
      </w:r>
      <w:r w:rsidRPr="000D1F54">
        <w:rPr>
          <w:rFonts w:ascii="Arial" w:hAnsi="Arial" w:cs="Arial"/>
          <w:b/>
          <w:sz w:val="20"/>
          <w:szCs w:val="20"/>
        </w:rPr>
        <w:t>:</w:t>
      </w:r>
      <w:r w:rsidR="000C5433" w:rsidRPr="000D1F54">
        <w:rPr>
          <w:rFonts w:ascii="Arial" w:hAnsi="Arial" w:cs="Arial"/>
          <w:b/>
          <w:sz w:val="20"/>
          <w:szCs w:val="20"/>
        </w:rPr>
        <w:t xml:space="preserve"> </w:t>
      </w:r>
      <w:r w:rsidR="00501778" w:rsidRPr="000D1F54">
        <w:rPr>
          <w:rFonts w:ascii="Arial" w:hAnsi="Arial" w:cs="Arial"/>
          <w:b/>
          <w:sz w:val="20"/>
          <w:szCs w:val="20"/>
        </w:rPr>
        <w:t>Flowchart for prepa</w:t>
      </w:r>
      <w:r w:rsidR="007F6AA8" w:rsidRPr="000D1F54">
        <w:rPr>
          <w:rFonts w:ascii="Arial" w:hAnsi="Arial" w:cs="Arial"/>
          <w:b/>
          <w:sz w:val="20"/>
          <w:szCs w:val="20"/>
        </w:rPr>
        <w:t>ra</w:t>
      </w:r>
      <w:r w:rsidR="00501778" w:rsidRPr="000D1F54">
        <w:rPr>
          <w:rFonts w:ascii="Arial" w:hAnsi="Arial" w:cs="Arial"/>
          <w:b/>
          <w:sz w:val="20"/>
          <w:szCs w:val="20"/>
        </w:rPr>
        <w:t xml:space="preserve">tion of instant </w:t>
      </w:r>
      <w:proofErr w:type="spellStart"/>
      <w:r w:rsidR="00501778" w:rsidRPr="000D1F54">
        <w:rPr>
          <w:rFonts w:ascii="Arial" w:hAnsi="Arial" w:cs="Arial"/>
          <w:b/>
          <w:i/>
          <w:sz w:val="20"/>
          <w:szCs w:val="20"/>
        </w:rPr>
        <w:t>C.asiatica</w:t>
      </w:r>
      <w:proofErr w:type="spellEnd"/>
      <w:r w:rsidR="00501778" w:rsidRPr="000D1F54">
        <w:rPr>
          <w:rFonts w:ascii="Arial" w:hAnsi="Arial" w:cs="Arial"/>
          <w:b/>
          <w:sz w:val="20"/>
          <w:szCs w:val="20"/>
        </w:rPr>
        <w:t xml:space="preserve"> </w:t>
      </w:r>
      <w:r w:rsidR="00182ADB" w:rsidRPr="0081613E">
        <w:rPr>
          <w:rFonts w:ascii="Arial" w:hAnsi="Arial" w:cs="Arial"/>
          <w:b/>
          <w:sz w:val="20"/>
          <w:szCs w:val="20"/>
          <w:highlight w:val="red"/>
        </w:rPr>
        <w:t>(</w:t>
      </w:r>
      <w:proofErr w:type="spellStart"/>
      <w:r w:rsidR="00182ADB" w:rsidRPr="0081613E">
        <w:rPr>
          <w:rFonts w:ascii="Arial" w:hAnsi="Arial" w:cs="Arial"/>
          <w:b/>
          <w:sz w:val="20"/>
          <w:szCs w:val="20"/>
          <w:highlight w:val="red"/>
        </w:rPr>
        <w:t>peeruk</w:t>
      </w:r>
      <w:proofErr w:type="spellEnd"/>
      <w:r w:rsidR="00182ADB" w:rsidRPr="0081613E">
        <w:rPr>
          <w:rFonts w:ascii="Arial" w:hAnsi="Arial" w:cs="Arial"/>
          <w:b/>
          <w:sz w:val="20"/>
          <w:szCs w:val="20"/>
          <w:highlight w:val="red"/>
        </w:rPr>
        <w:t>)</w:t>
      </w:r>
      <w:r w:rsidR="00182ADB" w:rsidRPr="000D1F54">
        <w:rPr>
          <w:rFonts w:ascii="Arial" w:hAnsi="Arial" w:cs="Arial"/>
          <w:b/>
          <w:sz w:val="20"/>
          <w:szCs w:val="20"/>
        </w:rPr>
        <w:t xml:space="preserve"> </w:t>
      </w:r>
      <w:r w:rsidR="00501778" w:rsidRPr="000D1F54">
        <w:rPr>
          <w:rFonts w:ascii="Arial" w:hAnsi="Arial" w:cs="Arial"/>
          <w:b/>
          <w:sz w:val="20"/>
          <w:szCs w:val="20"/>
        </w:rPr>
        <w:t>tea</w:t>
      </w:r>
    </w:p>
    <w:p w14:paraId="7412B509" w14:textId="2460F706" w:rsidR="00F15769" w:rsidRPr="005641F2" w:rsidRDefault="00E14B19" w:rsidP="005641F2">
      <w:pPr>
        <w:pStyle w:val="NormalWeb"/>
        <w:spacing w:line="360" w:lineRule="auto"/>
        <w:rPr>
          <w:rFonts w:ascii="Arial" w:hAnsi="Arial" w:cs="Arial"/>
          <w:b/>
          <w:sz w:val="22"/>
          <w:szCs w:val="22"/>
        </w:rPr>
      </w:pPr>
      <w:r>
        <w:rPr>
          <w:rFonts w:ascii="Arial" w:hAnsi="Arial" w:cs="Arial"/>
          <w:b/>
          <w:sz w:val="22"/>
          <w:szCs w:val="22"/>
        </w:rPr>
        <w:t>2</w:t>
      </w:r>
      <w:r w:rsidR="000C6DC0" w:rsidRPr="005641F2">
        <w:rPr>
          <w:rFonts w:ascii="Arial" w:hAnsi="Arial" w:cs="Arial"/>
          <w:b/>
          <w:sz w:val="22"/>
          <w:szCs w:val="22"/>
        </w:rPr>
        <w:t xml:space="preserve">.5 </w:t>
      </w:r>
      <w:r w:rsidR="00266875" w:rsidRPr="005641F2">
        <w:rPr>
          <w:rFonts w:ascii="Arial" w:hAnsi="Arial" w:cs="Arial"/>
          <w:b/>
          <w:sz w:val="22"/>
          <w:szCs w:val="22"/>
        </w:rPr>
        <w:t>Determination of Total Phenolic Content (TPC)</w:t>
      </w:r>
    </w:p>
    <w:p w14:paraId="0CB81874" w14:textId="3489F83A" w:rsidR="00B44228" w:rsidRPr="00363E23" w:rsidRDefault="0099471F" w:rsidP="00B44228">
      <w:pPr>
        <w:pStyle w:val="NormalWeb"/>
        <w:spacing w:line="360" w:lineRule="auto"/>
        <w:jc w:val="both"/>
        <w:rPr>
          <w:rFonts w:ascii="Arial" w:hAnsi="Arial" w:cs="Arial"/>
          <w:sz w:val="20"/>
          <w:szCs w:val="20"/>
        </w:rPr>
      </w:pPr>
      <w:r w:rsidRPr="00363E23">
        <w:rPr>
          <w:rFonts w:ascii="Arial" w:hAnsi="Arial" w:cs="Arial"/>
          <w:sz w:val="20"/>
          <w:szCs w:val="20"/>
        </w:rPr>
        <w:t>The Total Phenolic C</w:t>
      </w:r>
      <w:r w:rsidR="00B44228" w:rsidRPr="00363E23">
        <w:rPr>
          <w:rFonts w:ascii="Arial" w:hAnsi="Arial" w:cs="Arial"/>
          <w:sz w:val="20"/>
          <w:szCs w:val="20"/>
        </w:rPr>
        <w:t xml:space="preserve">ontent (TPC) of the tea infusions was determined using the </w:t>
      </w:r>
      <w:proofErr w:type="spellStart"/>
      <w:r w:rsidR="00B44228" w:rsidRPr="00363E23">
        <w:rPr>
          <w:rFonts w:ascii="Arial" w:hAnsi="Arial" w:cs="Arial"/>
          <w:sz w:val="20"/>
          <w:szCs w:val="20"/>
        </w:rPr>
        <w:t>Folin</w:t>
      </w:r>
      <w:proofErr w:type="spellEnd"/>
      <w:r w:rsidR="00B44228" w:rsidRPr="00363E23">
        <w:rPr>
          <w:rFonts w:ascii="Arial" w:hAnsi="Arial" w:cs="Arial"/>
          <w:sz w:val="20"/>
          <w:szCs w:val="20"/>
        </w:rPr>
        <w:t>–</w:t>
      </w:r>
      <w:proofErr w:type="spellStart"/>
      <w:r w:rsidR="00B44228" w:rsidRPr="00363E23">
        <w:rPr>
          <w:rFonts w:ascii="Arial" w:hAnsi="Arial" w:cs="Arial"/>
          <w:sz w:val="20"/>
          <w:szCs w:val="20"/>
        </w:rPr>
        <w:t>Ciocalteu</w:t>
      </w:r>
      <w:proofErr w:type="spellEnd"/>
      <w:r w:rsidR="00B44228" w:rsidRPr="00363E23">
        <w:rPr>
          <w:rFonts w:ascii="Arial" w:hAnsi="Arial" w:cs="Arial"/>
          <w:sz w:val="20"/>
          <w:szCs w:val="20"/>
        </w:rPr>
        <w:t xml:space="preserve"> method as described by Rajiv et al. (2021) with slight modifications. A standard solution of gallic acid (1 mg/ml) was prepared by dissolving 100 mg of gallic acid in 100 ml of distilled water. A working standard (0.1 mg/ml) was obtained by diluting 10 ml of the stock solution to 100 ml with distilled water. A calibration curve was generated using 0.2 ml, 0.4 ml, 0.6 ml, 0.8 ml, and 1.0 ml of the </w:t>
      </w:r>
      <w:r w:rsidR="00B44228" w:rsidRPr="00284405">
        <w:rPr>
          <w:rFonts w:ascii="Arial" w:hAnsi="Arial" w:cs="Arial"/>
          <w:sz w:val="20"/>
          <w:szCs w:val="20"/>
          <w:highlight w:val="red"/>
        </w:rPr>
        <w:t>working</w:t>
      </w:r>
      <w:r w:rsidR="00B44228" w:rsidRPr="00363E23">
        <w:rPr>
          <w:rFonts w:ascii="Arial" w:hAnsi="Arial" w:cs="Arial"/>
          <w:sz w:val="20"/>
          <w:szCs w:val="20"/>
        </w:rPr>
        <w:t xml:space="preserve"> standard, with each volume made up to 1 ml with distilled water. For the samples, 0.1 ml and 0.5 ml aliquots of tea infusions were taken and also adjusted to 1 ml with distilled water.</w:t>
      </w:r>
      <w:r w:rsidR="00891048" w:rsidRPr="00363E23">
        <w:rPr>
          <w:rFonts w:ascii="Arial" w:hAnsi="Arial" w:cs="Arial"/>
          <w:sz w:val="20"/>
          <w:szCs w:val="20"/>
        </w:rPr>
        <w:t xml:space="preserve"> </w:t>
      </w:r>
      <w:r w:rsidR="00B44228" w:rsidRPr="00363E23">
        <w:rPr>
          <w:rFonts w:ascii="Arial" w:hAnsi="Arial" w:cs="Arial"/>
          <w:sz w:val="20"/>
          <w:szCs w:val="20"/>
        </w:rPr>
        <w:t xml:space="preserve">To each standard and sample, 0.5 ml </w:t>
      </w:r>
      <w:r w:rsidR="00B44228" w:rsidRPr="00284405">
        <w:rPr>
          <w:rFonts w:ascii="Arial" w:hAnsi="Arial" w:cs="Arial"/>
          <w:sz w:val="20"/>
          <w:szCs w:val="20"/>
          <w:highlight w:val="yellow"/>
        </w:rPr>
        <w:t>of 4×</w:t>
      </w:r>
      <w:r w:rsidR="00B44228" w:rsidRPr="00363E23">
        <w:rPr>
          <w:rFonts w:ascii="Arial" w:hAnsi="Arial" w:cs="Arial"/>
          <w:sz w:val="20"/>
          <w:szCs w:val="20"/>
        </w:rPr>
        <w:t xml:space="preserve"> diluted </w:t>
      </w:r>
      <w:proofErr w:type="spellStart"/>
      <w:r w:rsidR="00B44228" w:rsidRPr="00363E23">
        <w:rPr>
          <w:rFonts w:ascii="Arial" w:hAnsi="Arial" w:cs="Arial"/>
          <w:sz w:val="20"/>
          <w:szCs w:val="20"/>
        </w:rPr>
        <w:t>Folin</w:t>
      </w:r>
      <w:proofErr w:type="spellEnd"/>
      <w:r w:rsidR="00B44228" w:rsidRPr="00363E23">
        <w:rPr>
          <w:rFonts w:ascii="Arial" w:hAnsi="Arial" w:cs="Arial"/>
          <w:sz w:val="20"/>
          <w:szCs w:val="20"/>
        </w:rPr>
        <w:t>–</w:t>
      </w:r>
      <w:proofErr w:type="spellStart"/>
      <w:r w:rsidR="00B44228" w:rsidRPr="00363E23">
        <w:rPr>
          <w:rFonts w:ascii="Arial" w:hAnsi="Arial" w:cs="Arial"/>
          <w:sz w:val="20"/>
          <w:szCs w:val="20"/>
        </w:rPr>
        <w:t>Ciocalteu</w:t>
      </w:r>
      <w:proofErr w:type="spellEnd"/>
      <w:r w:rsidR="00B44228" w:rsidRPr="00363E23">
        <w:rPr>
          <w:rFonts w:ascii="Arial" w:hAnsi="Arial" w:cs="Arial"/>
          <w:sz w:val="20"/>
          <w:szCs w:val="20"/>
        </w:rPr>
        <w:t xml:space="preserve"> reagent was added and mixed thoroughly, followed by a 5-minute incubation at room temperature. Then, 2 ml of 8% sodium carbonate (</w:t>
      </w:r>
      <w:proofErr w:type="spellStart"/>
      <w:r w:rsidR="00B44228" w:rsidRPr="00363E23">
        <w:rPr>
          <w:rFonts w:ascii="Arial" w:hAnsi="Arial" w:cs="Arial"/>
          <w:sz w:val="20"/>
          <w:szCs w:val="20"/>
        </w:rPr>
        <w:t>Na</w:t>
      </w:r>
      <w:r w:rsidR="00B44228" w:rsidRPr="00363E23">
        <w:rPr>
          <w:rFonts w:ascii="Cambria Math" w:hAnsi="Cambria Math" w:cs="Cambria Math"/>
          <w:sz w:val="20"/>
          <w:szCs w:val="20"/>
        </w:rPr>
        <w:t>₂</w:t>
      </w:r>
      <w:r w:rsidR="00B44228" w:rsidRPr="00363E23">
        <w:rPr>
          <w:rFonts w:ascii="Arial" w:hAnsi="Arial" w:cs="Arial"/>
          <w:sz w:val="20"/>
          <w:szCs w:val="20"/>
        </w:rPr>
        <w:t>CO</w:t>
      </w:r>
      <w:proofErr w:type="spellEnd"/>
      <w:r w:rsidR="00B44228" w:rsidRPr="00363E23">
        <w:rPr>
          <w:rFonts w:ascii="Cambria Math" w:hAnsi="Cambria Math" w:cs="Cambria Math"/>
          <w:sz w:val="20"/>
          <w:szCs w:val="20"/>
        </w:rPr>
        <w:t>₃</w:t>
      </w:r>
      <w:r w:rsidR="00B44228" w:rsidRPr="00363E23">
        <w:rPr>
          <w:rFonts w:ascii="Arial" w:hAnsi="Arial" w:cs="Arial"/>
          <w:sz w:val="20"/>
          <w:szCs w:val="20"/>
        </w:rPr>
        <w:t xml:space="preserve">) was added to initiate the reaction. After 30 minutes of incubation at room temperature, the absorbance was measured at 750 nm using a </w:t>
      </w:r>
      <w:proofErr w:type="spellStart"/>
      <w:r w:rsidR="00B44228" w:rsidRPr="00363E23">
        <w:rPr>
          <w:rFonts w:ascii="Arial" w:hAnsi="Arial" w:cs="Arial"/>
          <w:sz w:val="20"/>
          <w:szCs w:val="20"/>
        </w:rPr>
        <w:t>Labman</w:t>
      </w:r>
      <w:proofErr w:type="spellEnd"/>
      <w:r w:rsidR="00B44228" w:rsidRPr="00363E23">
        <w:rPr>
          <w:rFonts w:ascii="Arial" w:hAnsi="Arial" w:cs="Arial"/>
          <w:sz w:val="20"/>
          <w:szCs w:val="20"/>
        </w:rPr>
        <w:t xml:space="preserve"> Double Beam UV–Vis spectrophotometer. A blank sample was prepared using reagents and distilled water only. The TPC was calculated </w:t>
      </w:r>
      <w:r w:rsidR="00B44228" w:rsidRPr="00284405">
        <w:rPr>
          <w:rFonts w:ascii="Arial" w:hAnsi="Arial" w:cs="Arial"/>
          <w:sz w:val="20"/>
          <w:szCs w:val="20"/>
          <w:highlight w:val="red"/>
        </w:rPr>
        <w:t>from</w:t>
      </w:r>
      <w:r w:rsidR="00B44228" w:rsidRPr="00363E23">
        <w:rPr>
          <w:rFonts w:ascii="Arial" w:hAnsi="Arial" w:cs="Arial"/>
          <w:sz w:val="20"/>
          <w:szCs w:val="20"/>
        </w:rPr>
        <w:t xml:space="preserve"> </w:t>
      </w:r>
      <w:r w:rsidR="00284405" w:rsidRPr="00284405">
        <w:rPr>
          <w:rFonts w:ascii="Arial" w:hAnsi="Arial" w:cs="Arial"/>
          <w:color w:val="00B0F0"/>
          <w:sz w:val="20"/>
          <w:szCs w:val="20"/>
        </w:rPr>
        <w:t>using</w:t>
      </w:r>
      <w:r w:rsidR="00284405">
        <w:rPr>
          <w:rFonts w:ascii="Arial" w:hAnsi="Arial" w:cs="Arial"/>
          <w:sz w:val="20"/>
          <w:szCs w:val="20"/>
        </w:rPr>
        <w:t xml:space="preserve"> </w:t>
      </w:r>
      <w:r w:rsidR="00B44228" w:rsidRPr="00363E23">
        <w:rPr>
          <w:rFonts w:ascii="Arial" w:hAnsi="Arial" w:cs="Arial"/>
          <w:sz w:val="20"/>
          <w:szCs w:val="20"/>
        </w:rPr>
        <w:t>the standard curve (y = 0.0183x – 0.4909; R² = 0.9569) and expressed as mg gallic acid equivalent (GAE) per tea sachet (2 g).</w:t>
      </w:r>
    </w:p>
    <w:p w14:paraId="0D8EC920" w14:textId="671AD6BB" w:rsidR="00B44228" w:rsidRPr="00B77FC6" w:rsidRDefault="00E14B19" w:rsidP="00B77FC6">
      <w:pPr>
        <w:pStyle w:val="NormalWeb"/>
        <w:spacing w:line="360" w:lineRule="auto"/>
        <w:rPr>
          <w:rFonts w:ascii="Arial" w:hAnsi="Arial" w:cs="Arial"/>
          <w:b/>
          <w:sz w:val="22"/>
          <w:szCs w:val="22"/>
        </w:rPr>
      </w:pPr>
      <w:r>
        <w:rPr>
          <w:rFonts w:ascii="Arial" w:hAnsi="Arial" w:cs="Arial"/>
          <w:b/>
          <w:sz w:val="22"/>
          <w:szCs w:val="22"/>
        </w:rPr>
        <w:t>2</w:t>
      </w:r>
      <w:r w:rsidR="0001667C" w:rsidRPr="00B77FC6">
        <w:rPr>
          <w:rFonts w:ascii="Arial" w:hAnsi="Arial" w:cs="Arial"/>
          <w:b/>
          <w:sz w:val="22"/>
          <w:szCs w:val="22"/>
        </w:rPr>
        <w:t>.6 Determination of Total Flavonoid Content (TFC)</w:t>
      </w:r>
    </w:p>
    <w:p w14:paraId="39C67FD5" w14:textId="77777777" w:rsidR="00FE7DC9" w:rsidRPr="00363E23" w:rsidRDefault="00FE7DC9" w:rsidP="00FE7DC9">
      <w:pPr>
        <w:pStyle w:val="NormalWeb"/>
        <w:spacing w:line="360" w:lineRule="auto"/>
        <w:jc w:val="both"/>
        <w:rPr>
          <w:rFonts w:ascii="Arial" w:hAnsi="Arial" w:cs="Arial"/>
          <w:sz w:val="20"/>
          <w:szCs w:val="20"/>
        </w:rPr>
      </w:pPr>
      <w:r w:rsidRPr="00363E23">
        <w:rPr>
          <w:rFonts w:ascii="Arial" w:hAnsi="Arial" w:cs="Arial"/>
          <w:sz w:val="20"/>
          <w:szCs w:val="20"/>
        </w:rPr>
        <w:t>The total flavonoid content (TFC) of tea infusions was estimated using the aluminium chloride (</w:t>
      </w:r>
      <w:proofErr w:type="spellStart"/>
      <w:r w:rsidRPr="00363E23">
        <w:rPr>
          <w:rFonts w:ascii="Arial" w:hAnsi="Arial" w:cs="Arial"/>
          <w:sz w:val="20"/>
          <w:szCs w:val="20"/>
        </w:rPr>
        <w:t>AlCl</w:t>
      </w:r>
      <w:proofErr w:type="spellEnd"/>
      <w:r w:rsidRPr="00363E23">
        <w:rPr>
          <w:rFonts w:ascii="Cambria Math" w:hAnsi="Cambria Math" w:cs="Cambria Math"/>
          <w:sz w:val="20"/>
          <w:szCs w:val="20"/>
        </w:rPr>
        <w:t>₃</w:t>
      </w:r>
      <w:r w:rsidRPr="00363E23">
        <w:rPr>
          <w:rFonts w:ascii="Arial" w:hAnsi="Arial" w:cs="Arial"/>
          <w:sz w:val="20"/>
          <w:szCs w:val="20"/>
        </w:rPr>
        <w:t xml:space="preserve">) colorimetric method. Quercetin was used as the standard reference compound. A stock solution of quercetin (1 mg/ml) was prepared by dissolving 100 mg in 4 ml of ethanol and making up the volume to 100 ml with distilled water. Calibration standards were prepared using 0.2, 0.4, 0.6, 0.8, and 1 ml of </w:t>
      </w:r>
      <w:r w:rsidRPr="00363E23">
        <w:rPr>
          <w:rFonts w:ascii="Arial" w:hAnsi="Arial" w:cs="Arial"/>
          <w:sz w:val="20"/>
          <w:szCs w:val="20"/>
        </w:rPr>
        <w:lastRenderedPageBreak/>
        <w:t>the stock solution, and each was diluted to 1 ml with distilled water. For the samples, 0.5 ml and 1 ml of tea infusion were taken and adjusted to 1 ml with distilled water.</w:t>
      </w:r>
      <w:r w:rsidR="00DE12BD" w:rsidRPr="00363E23">
        <w:rPr>
          <w:rFonts w:ascii="Arial" w:hAnsi="Arial" w:cs="Arial"/>
          <w:sz w:val="20"/>
          <w:szCs w:val="20"/>
        </w:rPr>
        <w:t xml:space="preserve"> </w:t>
      </w:r>
      <w:r w:rsidRPr="00363E23">
        <w:rPr>
          <w:rFonts w:ascii="Arial" w:hAnsi="Arial" w:cs="Arial"/>
          <w:sz w:val="20"/>
          <w:szCs w:val="20"/>
        </w:rPr>
        <w:t>To each tube (both standards and samples), 0.6 ml of 5% sodium nitrite (</w:t>
      </w:r>
      <w:proofErr w:type="spellStart"/>
      <w:r w:rsidRPr="00363E23">
        <w:rPr>
          <w:rFonts w:ascii="Arial" w:hAnsi="Arial" w:cs="Arial"/>
          <w:sz w:val="20"/>
          <w:szCs w:val="20"/>
        </w:rPr>
        <w:t>NaNO</w:t>
      </w:r>
      <w:proofErr w:type="spellEnd"/>
      <w:r w:rsidRPr="00363E23">
        <w:rPr>
          <w:rFonts w:ascii="Cambria Math" w:hAnsi="Cambria Math" w:cs="Cambria Math"/>
          <w:sz w:val="20"/>
          <w:szCs w:val="20"/>
        </w:rPr>
        <w:t>₂</w:t>
      </w:r>
      <w:r w:rsidRPr="00363E23">
        <w:rPr>
          <w:rFonts w:ascii="Arial" w:hAnsi="Arial" w:cs="Arial"/>
          <w:sz w:val="20"/>
          <w:szCs w:val="20"/>
        </w:rPr>
        <w:t xml:space="preserve">) solution was added and allowed to stand for 5 minutes. Subsequently, 0.6 ml of 10% aluminium chloride </w:t>
      </w:r>
      <w:proofErr w:type="spellStart"/>
      <w:r w:rsidRPr="00363E23">
        <w:rPr>
          <w:rFonts w:ascii="Arial" w:hAnsi="Arial" w:cs="Arial"/>
          <w:sz w:val="20"/>
          <w:szCs w:val="20"/>
        </w:rPr>
        <w:t>hexahydrate</w:t>
      </w:r>
      <w:proofErr w:type="spellEnd"/>
      <w:r w:rsidRPr="00363E23">
        <w:rPr>
          <w:rFonts w:ascii="Arial" w:hAnsi="Arial" w:cs="Arial"/>
          <w:sz w:val="20"/>
          <w:szCs w:val="20"/>
        </w:rPr>
        <w:t xml:space="preserve"> (</w:t>
      </w:r>
      <w:proofErr w:type="spellStart"/>
      <w:r w:rsidRPr="00363E23">
        <w:rPr>
          <w:rFonts w:ascii="Arial" w:hAnsi="Arial" w:cs="Arial"/>
          <w:sz w:val="20"/>
          <w:szCs w:val="20"/>
        </w:rPr>
        <w:t>AlCl</w:t>
      </w:r>
      <w:proofErr w:type="spellEnd"/>
      <w:r w:rsidRPr="00363E23">
        <w:rPr>
          <w:rFonts w:ascii="Cambria Math" w:hAnsi="Cambria Math" w:cs="Cambria Math"/>
          <w:sz w:val="20"/>
          <w:szCs w:val="20"/>
        </w:rPr>
        <w:t>₃</w:t>
      </w:r>
      <w:r w:rsidRPr="00363E23">
        <w:rPr>
          <w:rFonts w:ascii="Arial" w:hAnsi="Arial" w:cs="Arial"/>
          <w:sz w:val="20"/>
          <w:szCs w:val="20"/>
        </w:rPr>
        <w:t>·6H</w:t>
      </w:r>
      <w:r w:rsidRPr="00363E23">
        <w:rPr>
          <w:rFonts w:ascii="Cambria Math" w:hAnsi="Cambria Math" w:cs="Cambria Math"/>
          <w:sz w:val="20"/>
          <w:szCs w:val="20"/>
        </w:rPr>
        <w:t>₂</w:t>
      </w:r>
      <w:r w:rsidRPr="00363E23">
        <w:rPr>
          <w:rFonts w:ascii="Arial" w:hAnsi="Arial" w:cs="Arial"/>
          <w:sz w:val="20"/>
          <w:szCs w:val="20"/>
        </w:rPr>
        <w:t>O) solution was added and the mixtures were incubated for another 6 minutes. Following this, 2 ml of 2N sodium hydroxide (NaOH) and 3 ml of distilled water were added to bring the total volume to approximately 10 ml. The solutions were incubated at room temperature for 10 minutes, and the absorbance was measured at 510 nm against a blank using the same spectrophotometer. The total flavonoid content was determined using the standard curve (y = 0.002x + 0.0081; R² = 0.997) and expressed as mg quercetin equivalent (QE) per tea sachet (2 g).</w:t>
      </w:r>
    </w:p>
    <w:p w14:paraId="0F22D27E" w14:textId="7AD9A7D2" w:rsidR="00EB1C90" w:rsidRPr="00F54B6E" w:rsidRDefault="00E14B19" w:rsidP="00E14B19">
      <w:pPr>
        <w:pStyle w:val="NormalWeb"/>
        <w:spacing w:line="360" w:lineRule="auto"/>
        <w:rPr>
          <w:rFonts w:ascii="Arial" w:hAnsi="Arial" w:cs="Arial"/>
          <w:b/>
          <w:sz w:val="22"/>
          <w:szCs w:val="22"/>
        </w:rPr>
      </w:pPr>
      <w:r>
        <w:rPr>
          <w:rFonts w:ascii="Arial" w:hAnsi="Arial" w:cs="Arial"/>
          <w:b/>
          <w:sz w:val="22"/>
          <w:szCs w:val="22"/>
        </w:rPr>
        <w:t>2</w:t>
      </w:r>
      <w:r w:rsidR="002A5800" w:rsidRPr="00F54B6E">
        <w:rPr>
          <w:rFonts w:ascii="Arial" w:hAnsi="Arial" w:cs="Arial"/>
          <w:b/>
          <w:sz w:val="22"/>
          <w:szCs w:val="22"/>
        </w:rPr>
        <w:t xml:space="preserve">.7 Determination of </w:t>
      </w:r>
      <w:r w:rsidR="00855E0F" w:rsidRPr="00F54B6E">
        <w:rPr>
          <w:rFonts w:ascii="Arial" w:hAnsi="Arial" w:cs="Arial"/>
          <w:b/>
          <w:sz w:val="22"/>
          <w:szCs w:val="22"/>
        </w:rPr>
        <w:t>Antioxidant Activity (DPPH Assay)</w:t>
      </w:r>
    </w:p>
    <w:p w14:paraId="45F1E385" w14:textId="77777777" w:rsidR="000755D0" w:rsidRPr="00363E23" w:rsidRDefault="000755D0" w:rsidP="000755D0">
      <w:pPr>
        <w:pStyle w:val="NormalWeb"/>
        <w:spacing w:line="360" w:lineRule="auto"/>
        <w:jc w:val="both"/>
        <w:rPr>
          <w:rFonts w:ascii="Arial" w:hAnsi="Arial" w:cs="Arial"/>
          <w:sz w:val="20"/>
          <w:szCs w:val="20"/>
        </w:rPr>
      </w:pPr>
      <w:r w:rsidRPr="00363E23">
        <w:rPr>
          <w:rFonts w:ascii="Arial" w:hAnsi="Arial" w:cs="Arial"/>
          <w:sz w:val="20"/>
          <w:szCs w:val="20"/>
        </w:rPr>
        <w:t>The antioxidant activity of the tea infusions was measured using the 2,2-diphenyl-1-picrylhydrazyl (DPPH) radical scavenging method, as described by Brand-Williams et al. (1995) with modifications. A 0.1 mM DPPH solution in methanol was prepared freshly. For the assay, 1 ml of tea extract was mixed with 3 ml of the DPPH solution. The mixture was shaken vigorously and incubated in the dark at room temperature for 30 minutes. Absorbance was measured at 517 nm using a UV–Vis spectrophotometer against a blank containing methanol instead of the sample. The antioxidant activity was calculated as a percentage of DPPH inhibition using the formula:</w:t>
      </w:r>
    </w:p>
    <w:p w14:paraId="6BB2448C" w14:textId="77777777" w:rsidR="00855E0F" w:rsidRPr="00363E23" w:rsidRDefault="003719E5" w:rsidP="005502C0">
      <w:pPr>
        <w:pStyle w:val="NormalWeb"/>
        <w:spacing w:line="360" w:lineRule="auto"/>
        <w:jc w:val="center"/>
        <w:rPr>
          <w:rFonts w:ascii="Arial" w:hAnsi="Arial" w:cs="Arial"/>
          <w:sz w:val="20"/>
          <w:szCs w:val="20"/>
        </w:rPr>
      </w:pPr>
      <w:r w:rsidRPr="00363E23">
        <w:rPr>
          <w:rFonts w:ascii="Arial" w:hAnsi="Arial" w:cs="Arial"/>
          <w:sz w:val="20"/>
          <w:szCs w:val="20"/>
        </w:rPr>
        <w:t>%</w:t>
      </w:r>
      <w:r w:rsidRPr="00363E23">
        <w:rPr>
          <w:rFonts w:ascii="Arial" w:hAnsi="Arial" w:cs="Arial"/>
          <w:spacing w:val="-3"/>
          <w:sz w:val="20"/>
          <w:szCs w:val="20"/>
        </w:rPr>
        <w:t xml:space="preserve"> </w:t>
      </w:r>
      <w:r w:rsidRPr="00363E23">
        <w:rPr>
          <w:rFonts w:ascii="Arial" w:hAnsi="Arial" w:cs="Arial"/>
          <w:sz w:val="20"/>
          <w:szCs w:val="20"/>
        </w:rPr>
        <w:t>DPPH</w:t>
      </w:r>
      <w:r w:rsidRPr="00363E23">
        <w:rPr>
          <w:rFonts w:ascii="Arial" w:hAnsi="Arial" w:cs="Arial"/>
          <w:spacing w:val="-2"/>
          <w:sz w:val="20"/>
          <w:szCs w:val="20"/>
        </w:rPr>
        <w:t xml:space="preserve"> </w:t>
      </w:r>
      <w:r w:rsidRPr="00363E23">
        <w:rPr>
          <w:rFonts w:ascii="Arial" w:hAnsi="Arial" w:cs="Arial"/>
          <w:sz w:val="20"/>
          <w:szCs w:val="20"/>
        </w:rPr>
        <w:t>free</w:t>
      </w:r>
      <w:r w:rsidRPr="00363E23">
        <w:rPr>
          <w:rFonts w:ascii="Arial" w:hAnsi="Arial" w:cs="Arial"/>
          <w:spacing w:val="2"/>
          <w:sz w:val="20"/>
          <w:szCs w:val="20"/>
        </w:rPr>
        <w:t xml:space="preserve"> </w:t>
      </w:r>
      <w:r w:rsidRPr="00363E23">
        <w:rPr>
          <w:rFonts w:ascii="Arial" w:hAnsi="Arial" w:cs="Arial"/>
          <w:sz w:val="20"/>
          <w:szCs w:val="20"/>
        </w:rPr>
        <w:t>radical</w:t>
      </w:r>
      <w:r w:rsidRPr="00363E23">
        <w:rPr>
          <w:rFonts w:ascii="Arial" w:hAnsi="Arial" w:cs="Arial"/>
          <w:spacing w:val="2"/>
          <w:sz w:val="20"/>
          <w:szCs w:val="20"/>
        </w:rPr>
        <w:t xml:space="preserve"> </w:t>
      </w:r>
      <w:r w:rsidRPr="00363E23">
        <w:rPr>
          <w:rFonts w:ascii="Arial" w:hAnsi="Arial" w:cs="Arial"/>
          <w:sz w:val="20"/>
          <w:szCs w:val="20"/>
        </w:rPr>
        <w:t>scavenging</w:t>
      </w:r>
      <w:r w:rsidRPr="00363E23">
        <w:rPr>
          <w:rFonts w:ascii="Arial" w:hAnsi="Arial" w:cs="Arial"/>
          <w:spacing w:val="-2"/>
          <w:sz w:val="20"/>
          <w:szCs w:val="20"/>
        </w:rPr>
        <w:t xml:space="preserve"> </w:t>
      </w:r>
      <w:r w:rsidRPr="00363E23">
        <w:rPr>
          <w:rFonts w:ascii="Arial" w:hAnsi="Arial" w:cs="Arial"/>
          <w:sz w:val="20"/>
          <w:szCs w:val="20"/>
        </w:rPr>
        <w:t xml:space="preserve">activity </w:t>
      </w:r>
      <w:r w:rsidR="000755D0" w:rsidRPr="00363E23">
        <w:rPr>
          <w:rFonts w:ascii="Arial" w:hAnsi="Arial" w:cs="Arial"/>
          <w:sz w:val="20"/>
          <w:szCs w:val="20"/>
        </w:rPr>
        <w:t xml:space="preserve">= </w:t>
      </w:r>
      <m:oMath>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A0-A1</m:t>
                </m:r>
              </m:num>
              <m:den>
                <m:r>
                  <w:rPr>
                    <w:rFonts w:ascii="Cambria Math" w:hAnsi="Cambria Math" w:cs="Arial"/>
                    <w:sz w:val="20"/>
                    <w:szCs w:val="20"/>
                  </w:rPr>
                  <m:t>A0</m:t>
                </m:r>
              </m:den>
            </m:f>
          </m:e>
        </m:d>
        <m:r>
          <w:rPr>
            <w:rFonts w:ascii="Cambria Math" w:hAnsi="Cambria Math" w:cs="Arial"/>
            <w:sz w:val="20"/>
            <w:szCs w:val="20"/>
          </w:rPr>
          <m:t>X 100</m:t>
        </m:r>
      </m:oMath>
    </w:p>
    <w:p w14:paraId="30FCA9E5" w14:textId="77777777" w:rsidR="00EC7683" w:rsidRPr="00363E23" w:rsidRDefault="00160C9A" w:rsidP="00EC7683">
      <w:pPr>
        <w:pStyle w:val="NormalWeb"/>
        <w:spacing w:line="360" w:lineRule="auto"/>
        <w:jc w:val="both"/>
        <w:rPr>
          <w:rFonts w:ascii="Arial" w:hAnsi="Arial" w:cs="Arial"/>
          <w:sz w:val="20"/>
          <w:szCs w:val="20"/>
        </w:rPr>
      </w:pPr>
      <w:r w:rsidRPr="00363E23">
        <w:rPr>
          <w:rFonts w:ascii="Arial" w:hAnsi="Arial" w:cs="Arial"/>
          <w:sz w:val="20"/>
          <w:szCs w:val="20"/>
        </w:rPr>
        <w:t>Where</w:t>
      </w:r>
      <w:r w:rsidR="0055600E" w:rsidRPr="00363E23">
        <w:rPr>
          <w:rFonts w:ascii="Arial" w:hAnsi="Arial" w:cs="Arial"/>
          <w:sz w:val="20"/>
          <w:szCs w:val="20"/>
        </w:rPr>
        <w:t xml:space="preserve"> A</w:t>
      </w:r>
      <w:r w:rsidR="0055600E" w:rsidRPr="00363E23">
        <w:rPr>
          <w:rFonts w:ascii="Arial" w:hAnsi="Arial" w:cs="Arial"/>
          <w:sz w:val="20"/>
          <w:szCs w:val="20"/>
          <w:vertAlign w:val="subscript"/>
        </w:rPr>
        <w:t xml:space="preserve">0 </w:t>
      </w:r>
      <w:r w:rsidR="0055600E" w:rsidRPr="00363E23">
        <w:rPr>
          <w:rFonts w:ascii="Arial" w:hAnsi="Arial" w:cs="Arial"/>
          <w:sz w:val="20"/>
          <w:szCs w:val="20"/>
        </w:rPr>
        <w:t>is the absorbance of the blank or control</w:t>
      </w:r>
      <w:r w:rsidR="00BF00A9" w:rsidRPr="00363E23">
        <w:rPr>
          <w:rFonts w:ascii="Arial" w:hAnsi="Arial" w:cs="Arial"/>
          <w:sz w:val="20"/>
          <w:szCs w:val="20"/>
        </w:rPr>
        <w:t xml:space="preserve"> and A</w:t>
      </w:r>
      <w:r w:rsidR="00BF00A9" w:rsidRPr="00363E23">
        <w:rPr>
          <w:rFonts w:ascii="Arial" w:hAnsi="Arial" w:cs="Arial"/>
          <w:sz w:val="20"/>
          <w:szCs w:val="20"/>
          <w:vertAlign w:val="subscript"/>
        </w:rPr>
        <w:t>1</w:t>
      </w:r>
      <w:r w:rsidR="00BF00A9" w:rsidRPr="00363E23">
        <w:rPr>
          <w:rFonts w:ascii="Arial" w:hAnsi="Arial" w:cs="Arial"/>
          <w:sz w:val="20"/>
          <w:szCs w:val="20"/>
        </w:rPr>
        <w:t xml:space="preserve"> is the absorbance of the sample</w:t>
      </w:r>
      <w:r w:rsidR="003719E5" w:rsidRPr="00363E23">
        <w:rPr>
          <w:rFonts w:ascii="Arial" w:hAnsi="Arial" w:cs="Arial"/>
          <w:sz w:val="20"/>
          <w:szCs w:val="20"/>
        </w:rPr>
        <w:t xml:space="preserve"> or ascorbic acid</w:t>
      </w:r>
      <w:r w:rsidR="007724C8" w:rsidRPr="00363E23">
        <w:rPr>
          <w:rFonts w:ascii="Arial" w:hAnsi="Arial" w:cs="Arial"/>
          <w:sz w:val="20"/>
          <w:szCs w:val="20"/>
        </w:rPr>
        <w:t xml:space="preserve">. The results were expressed </w:t>
      </w:r>
      <w:r w:rsidR="00C36F18" w:rsidRPr="00363E23">
        <w:rPr>
          <w:rFonts w:ascii="Arial" w:hAnsi="Arial" w:cs="Arial"/>
          <w:sz w:val="20"/>
          <w:szCs w:val="20"/>
        </w:rPr>
        <w:t xml:space="preserve">as % DPPH radical scavenging activity </w:t>
      </w:r>
      <w:r w:rsidR="0099297B" w:rsidRPr="00363E23">
        <w:rPr>
          <w:rFonts w:ascii="Arial" w:hAnsi="Arial" w:cs="Arial"/>
          <w:sz w:val="20"/>
          <w:szCs w:val="20"/>
        </w:rPr>
        <w:t>per tea sachet (2g).</w:t>
      </w:r>
      <w:r w:rsidR="00EC7683" w:rsidRPr="00363E23">
        <w:rPr>
          <w:rFonts w:ascii="Arial" w:hAnsi="Arial" w:cs="Arial"/>
          <w:sz w:val="20"/>
          <w:szCs w:val="20"/>
        </w:rPr>
        <w:t xml:space="preserve"> The total antioxidant capacity of the tea samples was calculated from the standard Ascorbic acid curve, y=1.4791x+13.876, R² = 0.9383 and expressed in terms of mg AAE (Ascorbic Acid Equivalent) per tea sachet (2g) (mg AAE/tea sachet).</w:t>
      </w:r>
    </w:p>
    <w:p w14:paraId="680E738E" w14:textId="7D980C56" w:rsidR="00EC7683" w:rsidRPr="00B025DE" w:rsidRDefault="00E14B19" w:rsidP="00B025DE">
      <w:pPr>
        <w:pStyle w:val="NormalWeb"/>
        <w:spacing w:line="360" w:lineRule="auto"/>
        <w:rPr>
          <w:rFonts w:ascii="Arial" w:hAnsi="Arial" w:cs="Arial"/>
          <w:b/>
          <w:sz w:val="22"/>
          <w:szCs w:val="22"/>
        </w:rPr>
      </w:pPr>
      <w:r>
        <w:rPr>
          <w:rFonts w:ascii="Arial" w:hAnsi="Arial" w:cs="Arial"/>
          <w:b/>
          <w:sz w:val="22"/>
          <w:szCs w:val="22"/>
        </w:rPr>
        <w:t>2</w:t>
      </w:r>
      <w:r w:rsidR="00C13DB4" w:rsidRPr="00B025DE">
        <w:rPr>
          <w:rFonts w:ascii="Arial" w:hAnsi="Arial" w:cs="Arial"/>
          <w:b/>
          <w:sz w:val="22"/>
          <w:szCs w:val="22"/>
        </w:rPr>
        <w:t xml:space="preserve">.8 Sensory </w:t>
      </w:r>
      <w:r w:rsidR="00A30004" w:rsidRPr="00B025DE">
        <w:rPr>
          <w:rFonts w:ascii="Arial" w:hAnsi="Arial" w:cs="Arial"/>
          <w:b/>
          <w:sz w:val="22"/>
          <w:szCs w:val="22"/>
        </w:rPr>
        <w:t xml:space="preserve">evaluation </w:t>
      </w:r>
    </w:p>
    <w:p w14:paraId="0D7405BA" w14:textId="77777777" w:rsidR="00A30004" w:rsidRPr="00363E23" w:rsidRDefault="00A30004" w:rsidP="00FE7DC9">
      <w:pPr>
        <w:pStyle w:val="NormalWeb"/>
        <w:spacing w:line="360" w:lineRule="auto"/>
        <w:jc w:val="both"/>
        <w:rPr>
          <w:rFonts w:ascii="Arial" w:hAnsi="Arial" w:cs="Arial"/>
          <w:sz w:val="20"/>
          <w:szCs w:val="20"/>
        </w:rPr>
      </w:pPr>
      <w:r w:rsidRPr="00363E23">
        <w:rPr>
          <w:rFonts w:ascii="Arial" w:hAnsi="Arial" w:cs="Arial"/>
          <w:sz w:val="20"/>
          <w:szCs w:val="20"/>
        </w:rPr>
        <w:t xml:space="preserve">Sensory analysis of the formulated herbal teas was conducted using a semi-trained panel of 10 members from the department. The evaluation was performed using a 9-point hedonic scale (1 = dislike extremely, 9 = like extremely) for five sensory attributes: </w:t>
      </w:r>
      <w:r w:rsidR="001320C1" w:rsidRPr="00363E23">
        <w:rPr>
          <w:rFonts w:ascii="Arial" w:hAnsi="Arial" w:cs="Arial"/>
          <w:sz w:val="20"/>
          <w:szCs w:val="20"/>
        </w:rPr>
        <w:t>colour</w:t>
      </w:r>
      <w:r w:rsidRPr="00363E23">
        <w:rPr>
          <w:rFonts w:ascii="Arial" w:hAnsi="Arial" w:cs="Arial"/>
          <w:sz w:val="20"/>
          <w:szCs w:val="20"/>
        </w:rPr>
        <w:t xml:space="preserve">, aroma, taste, </w:t>
      </w:r>
      <w:r w:rsidR="001320C1" w:rsidRPr="00363E23">
        <w:rPr>
          <w:rFonts w:ascii="Arial" w:hAnsi="Arial" w:cs="Arial"/>
          <w:sz w:val="20"/>
          <w:szCs w:val="20"/>
        </w:rPr>
        <w:t>mouth feel</w:t>
      </w:r>
      <w:r w:rsidRPr="00363E23">
        <w:rPr>
          <w:rFonts w:ascii="Arial" w:hAnsi="Arial" w:cs="Arial"/>
          <w:sz w:val="20"/>
          <w:szCs w:val="20"/>
        </w:rPr>
        <w:t xml:space="preserve">, and overall acceptability. Each </w:t>
      </w:r>
      <w:r w:rsidR="001320C1" w:rsidRPr="00363E23">
        <w:rPr>
          <w:rFonts w:ascii="Arial" w:hAnsi="Arial" w:cs="Arial"/>
          <w:sz w:val="20"/>
          <w:szCs w:val="20"/>
        </w:rPr>
        <w:t>panellist</w:t>
      </w:r>
      <w:r w:rsidRPr="00363E23">
        <w:rPr>
          <w:rFonts w:ascii="Arial" w:hAnsi="Arial" w:cs="Arial"/>
          <w:sz w:val="20"/>
          <w:szCs w:val="20"/>
        </w:rPr>
        <w:t xml:space="preserve"> was provided with coded samples of tea infusions (200 ml each) in randomized order and instructed to rinse their palate with warm water between samples. The evaluation was carried out in a controlled environment under uniform lighting and temperature. </w:t>
      </w:r>
      <w:r w:rsidRPr="006E7698">
        <w:rPr>
          <w:rFonts w:ascii="Arial" w:hAnsi="Arial" w:cs="Arial"/>
          <w:sz w:val="20"/>
          <w:szCs w:val="20"/>
          <w:highlight w:val="red"/>
        </w:rPr>
        <w:t xml:space="preserve">The mean scores were calculated and statistically </w:t>
      </w:r>
      <w:proofErr w:type="spellStart"/>
      <w:r w:rsidRPr="006E7698">
        <w:rPr>
          <w:rFonts w:ascii="Arial" w:hAnsi="Arial" w:cs="Arial"/>
          <w:sz w:val="20"/>
          <w:szCs w:val="20"/>
          <w:highlight w:val="red"/>
        </w:rPr>
        <w:t>analyzed</w:t>
      </w:r>
      <w:proofErr w:type="spellEnd"/>
      <w:r w:rsidRPr="006E7698">
        <w:rPr>
          <w:rFonts w:ascii="Arial" w:hAnsi="Arial" w:cs="Arial"/>
          <w:sz w:val="20"/>
          <w:szCs w:val="20"/>
          <w:highlight w:val="red"/>
        </w:rPr>
        <w:t xml:space="preserve"> using ANOVA.</w:t>
      </w:r>
    </w:p>
    <w:p w14:paraId="370C5CB4" w14:textId="1B1619F1" w:rsidR="00EA24AD" w:rsidRPr="008B6DC5" w:rsidRDefault="00E14B19" w:rsidP="008B6DC5">
      <w:pPr>
        <w:pStyle w:val="NormalWeb"/>
        <w:spacing w:line="360" w:lineRule="auto"/>
        <w:rPr>
          <w:rFonts w:ascii="Arial" w:hAnsi="Arial" w:cs="Arial"/>
          <w:b/>
          <w:sz w:val="22"/>
          <w:szCs w:val="22"/>
        </w:rPr>
      </w:pPr>
      <w:r>
        <w:rPr>
          <w:rFonts w:ascii="Arial" w:hAnsi="Arial" w:cs="Arial"/>
          <w:b/>
          <w:sz w:val="22"/>
          <w:szCs w:val="22"/>
        </w:rPr>
        <w:t>2</w:t>
      </w:r>
      <w:r w:rsidR="00EA24AD" w:rsidRPr="008B6DC5">
        <w:rPr>
          <w:rFonts w:ascii="Arial" w:hAnsi="Arial" w:cs="Arial"/>
          <w:b/>
          <w:sz w:val="22"/>
          <w:szCs w:val="22"/>
        </w:rPr>
        <w:t>.9 Statistical Analysis</w:t>
      </w:r>
    </w:p>
    <w:p w14:paraId="704D3EB4" w14:textId="04659083" w:rsidR="004636F6" w:rsidRPr="006E7698" w:rsidRDefault="00586D7A" w:rsidP="00FE7DC9">
      <w:pPr>
        <w:pStyle w:val="NormalWeb"/>
        <w:spacing w:line="360" w:lineRule="auto"/>
        <w:jc w:val="both"/>
        <w:rPr>
          <w:rFonts w:ascii="Arial" w:hAnsi="Arial" w:cs="Arial"/>
          <w:b/>
          <w:color w:val="00B0F0"/>
          <w:sz w:val="20"/>
          <w:szCs w:val="20"/>
        </w:rPr>
      </w:pPr>
      <w:r w:rsidRPr="00363E23">
        <w:rPr>
          <w:rFonts w:ascii="Arial" w:hAnsi="Arial" w:cs="Arial"/>
          <w:sz w:val="20"/>
          <w:szCs w:val="20"/>
        </w:rPr>
        <w:lastRenderedPageBreak/>
        <w:t xml:space="preserve">All experiments were performed in </w:t>
      </w:r>
      <w:r w:rsidRPr="00363E23">
        <w:rPr>
          <w:rStyle w:val="Strong"/>
          <w:rFonts w:ascii="Arial" w:hAnsi="Arial" w:cs="Arial"/>
          <w:b w:val="0"/>
          <w:sz w:val="20"/>
          <w:szCs w:val="20"/>
        </w:rPr>
        <w:t>Triplicate</w:t>
      </w:r>
      <w:r w:rsidRPr="00363E23">
        <w:rPr>
          <w:rFonts w:ascii="Arial" w:hAnsi="Arial" w:cs="Arial"/>
          <w:sz w:val="20"/>
          <w:szCs w:val="20"/>
        </w:rPr>
        <w:t xml:space="preserve">, and data were recorded as </w:t>
      </w:r>
      <w:r w:rsidRPr="00363E23">
        <w:rPr>
          <w:rStyle w:val="Strong"/>
          <w:rFonts w:ascii="Arial" w:hAnsi="Arial" w:cs="Arial"/>
          <w:b w:val="0"/>
          <w:sz w:val="20"/>
          <w:szCs w:val="20"/>
        </w:rPr>
        <w:t>mean ± standard deviation</w:t>
      </w:r>
      <w:r w:rsidRPr="00363E23">
        <w:rPr>
          <w:rFonts w:ascii="Arial" w:hAnsi="Arial" w:cs="Arial"/>
          <w:b/>
          <w:sz w:val="20"/>
          <w:szCs w:val="20"/>
        </w:rPr>
        <w:t>.</w:t>
      </w:r>
      <w:r w:rsidRPr="00363E23">
        <w:rPr>
          <w:rFonts w:ascii="Arial" w:hAnsi="Arial" w:cs="Arial"/>
          <w:sz w:val="20"/>
          <w:szCs w:val="20"/>
        </w:rPr>
        <w:t xml:space="preserve"> Results of TPC, TFC, and antioxidant activity were </w:t>
      </w:r>
      <w:proofErr w:type="spellStart"/>
      <w:r w:rsidRPr="00363E23">
        <w:rPr>
          <w:rFonts w:ascii="Arial" w:hAnsi="Arial" w:cs="Arial"/>
          <w:sz w:val="20"/>
          <w:szCs w:val="20"/>
        </w:rPr>
        <w:t>analyzed</w:t>
      </w:r>
      <w:proofErr w:type="spellEnd"/>
      <w:r w:rsidRPr="00363E23">
        <w:rPr>
          <w:rFonts w:ascii="Arial" w:hAnsi="Arial" w:cs="Arial"/>
          <w:sz w:val="20"/>
          <w:szCs w:val="20"/>
        </w:rPr>
        <w:t xml:space="preserve"> using </w:t>
      </w:r>
      <w:r w:rsidRPr="00363E23">
        <w:rPr>
          <w:rStyle w:val="Strong"/>
          <w:rFonts w:ascii="Arial" w:hAnsi="Arial" w:cs="Arial"/>
          <w:b w:val="0"/>
          <w:sz w:val="20"/>
          <w:szCs w:val="20"/>
        </w:rPr>
        <w:t>Microsoft Excel</w:t>
      </w:r>
      <w:r w:rsidRPr="00363E23">
        <w:rPr>
          <w:rFonts w:ascii="Arial" w:hAnsi="Arial" w:cs="Arial"/>
          <w:b/>
          <w:sz w:val="20"/>
          <w:szCs w:val="20"/>
        </w:rPr>
        <w:t>.</w:t>
      </w:r>
      <w:r w:rsidRPr="00363E23">
        <w:rPr>
          <w:rFonts w:ascii="Arial" w:hAnsi="Arial" w:cs="Arial"/>
          <w:sz w:val="20"/>
          <w:szCs w:val="20"/>
        </w:rPr>
        <w:t xml:space="preserve"> Sensory data were </w:t>
      </w:r>
      <w:proofErr w:type="spellStart"/>
      <w:r w:rsidRPr="00363E23">
        <w:rPr>
          <w:rFonts w:ascii="Arial" w:hAnsi="Arial" w:cs="Arial"/>
          <w:sz w:val="20"/>
          <w:szCs w:val="20"/>
        </w:rPr>
        <w:t>analyzed</w:t>
      </w:r>
      <w:proofErr w:type="spellEnd"/>
      <w:r w:rsidRPr="00363E23">
        <w:rPr>
          <w:rFonts w:ascii="Arial" w:hAnsi="Arial" w:cs="Arial"/>
          <w:sz w:val="20"/>
          <w:szCs w:val="20"/>
        </w:rPr>
        <w:t xml:space="preserve"> using </w:t>
      </w:r>
      <w:r w:rsidRPr="00363E23">
        <w:rPr>
          <w:rStyle w:val="Strong"/>
          <w:rFonts w:ascii="Arial" w:hAnsi="Arial" w:cs="Arial"/>
          <w:b w:val="0"/>
          <w:sz w:val="20"/>
          <w:szCs w:val="20"/>
        </w:rPr>
        <w:t>descriptive statistics</w:t>
      </w:r>
      <w:r w:rsidRPr="00363E23">
        <w:rPr>
          <w:rFonts w:ascii="Arial" w:hAnsi="Arial" w:cs="Arial"/>
          <w:sz w:val="20"/>
          <w:szCs w:val="20"/>
        </w:rPr>
        <w:t>, and sample comparisons were made to determine the most acceptable formulation.</w:t>
      </w:r>
      <w:r w:rsidR="006E7698" w:rsidRPr="006E7698">
        <w:t xml:space="preserve"> </w:t>
      </w:r>
      <w:r w:rsidR="006E7698" w:rsidRPr="006E7698">
        <w:rPr>
          <w:rFonts w:ascii="Arial" w:hAnsi="Arial" w:cs="Arial"/>
          <w:color w:val="00B0F0"/>
          <w:sz w:val="20"/>
          <w:szCs w:val="20"/>
        </w:rPr>
        <w:t xml:space="preserve">The mean scores were calculated and statistically </w:t>
      </w:r>
      <w:proofErr w:type="spellStart"/>
      <w:r w:rsidR="006E7698" w:rsidRPr="006E7698">
        <w:rPr>
          <w:rFonts w:ascii="Arial" w:hAnsi="Arial" w:cs="Arial"/>
          <w:color w:val="00B0F0"/>
          <w:sz w:val="20"/>
          <w:szCs w:val="20"/>
        </w:rPr>
        <w:t>analyzed</w:t>
      </w:r>
      <w:proofErr w:type="spellEnd"/>
      <w:r w:rsidR="006E7698" w:rsidRPr="006E7698">
        <w:rPr>
          <w:rFonts w:ascii="Arial" w:hAnsi="Arial" w:cs="Arial"/>
          <w:color w:val="00B0F0"/>
          <w:sz w:val="20"/>
          <w:szCs w:val="20"/>
        </w:rPr>
        <w:t xml:space="preserve"> using ANOVA.</w:t>
      </w:r>
    </w:p>
    <w:p w14:paraId="5E6B6D02" w14:textId="10555E7B" w:rsidR="00EA24AD" w:rsidRDefault="00E14B19" w:rsidP="00FE7DC9">
      <w:pPr>
        <w:pStyle w:val="NormalWeb"/>
        <w:spacing w:line="360" w:lineRule="auto"/>
        <w:jc w:val="both"/>
        <w:rPr>
          <w:b/>
        </w:rPr>
      </w:pPr>
      <w:r>
        <w:rPr>
          <w:b/>
        </w:rPr>
        <w:t>3</w:t>
      </w:r>
      <w:r w:rsidR="00A22F81" w:rsidRPr="00A22F81">
        <w:rPr>
          <w:b/>
        </w:rPr>
        <w:t xml:space="preserve">. </w:t>
      </w:r>
      <w:r w:rsidR="00A22F81" w:rsidRPr="009D78EE">
        <w:rPr>
          <w:rFonts w:ascii="Arial" w:hAnsi="Arial" w:cs="Arial"/>
          <w:b/>
          <w:sz w:val="22"/>
          <w:szCs w:val="22"/>
        </w:rPr>
        <w:t>R</w:t>
      </w:r>
      <w:r w:rsidR="009374D7" w:rsidRPr="009D78EE">
        <w:rPr>
          <w:rFonts w:ascii="Arial" w:hAnsi="Arial" w:cs="Arial"/>
          <w:b/>
          <w:sz w:val="22"/>
          <w:szCs w:val="22"/>
        </w:rPr>
        <w:t>ESULTS AND DISCUSSION</w:t>
      </w:r>
    </w:p>
    <w:p w14:paraId="5A41DC09" w14:textId="0E8C7858" w:rsidR="00F7536F" w:rsidRPr="00A143F0" w:rsidRDefault="0049226B" w:rsidP="00F7536F">
      <w:pPr>
        <w:spacing w:before="100" w:beforeAutospacing="1" w:after="100" w:afterAutospacing="1" w:line="240" w:lineRule="auto"/>
        <w:outlineLvl w:val="2"/>
        <w:rPr>
          <w:rFonts w:ascii="Arial" w:eastAsia="Times New Roman" w:hAnsi="Arial" w:cs="Arial"/>
          <w:b/>
          <w:bCs/>
          <w:lang w:val="en-IN" w:eastAsia="en-IN"/>
        </w:rPr>
      </w:pPr>
      <w:r>
        <w:rPr>
          <w:rFonts w:ascii="Arial" w:eastAsia="Times New Roman" w:hAnsi="Arial" w:cs="Arial"/>
          <w:b/>
          <w:bCs/>
          <w:lang w:val="en-IN" w:eastAsia="en-IN"/>
        </w:rPr>
        <w:t>3</w:t>
      </w:r>
      <w:r w:rsidR="00531786" w:rsidRPr="00A143F0">
        <w:rPr>
          <w:rFonts w:ascii="Arial" w:eastAsia="Times New Roman" w:hAnsi="Arial" w:cs="Arial"/>
          <w:b/>
          <w:bCs/>
          <w:lang w:val="en-IN" w:eastAsia="en-IN"/>
        </w:rPr>
        <w:t xml:space="preserve">.1 </w:t>
      </w:r>
      <w:r w:rsidR="00F7536F" w:rsidRPr="00A143F0">
        <w:rPr>
          <w:rFonts w:ascii="Arial" w:eastAsia="Times New Roman" w:hAnsi="Arial" w:cs="Arial"/>
          <w:b/>
          <w:bCs/>
          <w:lang w:val="en-IN" w:eastAsia="en-IN"/>
        </w:rPr>
        <w:t>Antioxidant Activity</w:t>
      </w:r>
    </w:p>
    <w:p w14:paraId="2BA33E35" w14:textId="1799451E" w:rsidR="00774984" w:rsidRPr="00363E23" w:rsidRDefault="00F7536F" w:rsidP="001462E3">
      <w:pPr>
        <w:spacing w:before="100" w:beforeAutospacing="1" w:after="100" w:afterAutospacing="1" w:line="360" w:lineRule="auto"/>
        <w:jc w:val="both"/>
        <w:rPr>
          <w:rFonts w:ascii="Arial" w:hAnsi="Arial" w:cs="Arial"/>
          <w:sz w:val="20"/>
          <w:szCs w:val="20"/>
        </w:rPr>
      </w:pPr>
      <w:r w:rsidRPr="00363E23">
        <w:rPr>
          <w:rFonts w:ascii="Arial" w:hAnsi="Arial" w:cs="Arial"/>
          <w:sz w:val="20"/>
          <w:szCs w:val="20"/>
        </w:rPr>
        <w:t xml:space="preserve">Non-fermented formulations had greater antioxidant potential than their fermented counterparts, according to the antioxidant activity of the prepared tea samples, which was measured as mg AAE/2 g tea sachet. </w:t>
      </w:r>
      <w:r w:rsidR="005857F5" w:rsidRPr="00363E23">
        <w:rPr>
          <w:rFonts w:ascii="Arial" w:hAnsi="Arial" w:cs="Arial"/>
          <w:sz w:val="20"/>
          <w:szCs w:val="20"/>
        </w:rPr>
        <w:t>From the Fig.</w:t>
      </w:r>
      <w:r w:rsidR="009A72C2" w:rsidRPr="00363E23">
        <w:rPr>
          <w:rFonts w:ascii="Arial" w:hAnsi="Arial" w:cs="Arial"/>
          <w:sz w:val="20"/>
          <w:szCs w:val="20"/>
        </w:rPr>
        <w:t xml:space="preserve"> </w:t>
      </w:r>
      <w:r w:rsidR="007225D6" w:rsidRPr="00363E23">
        <w:rPr>
          <w:rFonts w:ascii="Arial" w:hAnsi="Arial" w:cs="Arial"/>
          <w:sz w:val="20"/>
          <w:szCs w:val="20"/>
        </w:rPr>
        <w:t>3</w:t>
      </w:r>
      <w:r w:rsidR="009A72C2" w:rsidRPr="00363E23">
        <w:rPr>
          <w:rFonts w:ascii="Arial" w:hAnsi="Arial" w:cs="Arial"/>
          <w:sz w:val="20"/>
          <w:szCs w:val="20"/>
        </w:rPr>
        <w:t xml:space="preserve">. and Table </w:t>
      </w:r>
      <w:r w:rsidR="00B31CC5" w:rsidRPr="00363E23">
        <w:rPr>
          <w:rFonts w:ascii="Arial" w:hAnsi="Arial" w:cs="Arial"/>
          <w:sz w:val="20"/>
          <w:szCs w:val="20"/>
        </w:rPr>
        <w:t>2, it can be observed that t</w:t>
      </w:r>
      <w:r w:rsidRPr="00363E23">
        <w:rPr>
          <w:rFonts w:ascii="Arial" w:hAnsi="Arial" w:cs="Arial"/>
          <w:sz w:val="20"/>
          <w:szCs w:val="20"/>
        </w:rPr>
        <w:t xml:space="preserve">he sample with the highest activity was non-fermented </w:t>
      </w:r>
      <w:r w:rsidRPr="001C1D16">
        <w:rPr>
          <w:rFonts w:ascii="Arial" w:hAnsi="Arial" w:cs="Arial"/>
          <w:sz w:val="20"/>
          <w:szCs w:val="20"/>
          <w:highlight w:val="yellow"/>
        </w:rPr>
        <w:t>2a</w:t>
      </w:r>
      <w:r w:rsidRPr="00363E23">
        <w:rPr>
          <w:rFonts w:ascii="Arial" w:hAnsi="Arial" w:cs="Arial"/>
          <w:sz w:val="20"/>
          <w:szCs w:val="20"/>
        </w:rPr>
        <w:t xml:space="preserve"> (22.09 ± 0.43 mg AAE/2 g), which was followed by fermented </w:t>
      </w:r>
      <w:r w:rsidRPr="001C1D16">
        <w:rPr>
          <w:rFonts w:ascii="Arial" w:hAnsi="Arial" w:cs="Arial"/>
          <w:sz w:val="20"/>
          <w:szCs w:val="20"/>
          <w:highlight w:val="yellow"/>
        </w:rPr>
        <w:t xml:space="preserve">1a </w:t>
      </w:r>
      <w:r w:rsidRPr="00363E23">
        <w:rPr>
          <w:rFonts w:ascii="Arial" w:hAnsi="Arial" w:cs="Arial"/>
          <w:sz w:val="20"/>
          <w:szCs w:val="20"/>
        </w:rPr>
        <w:t>(18.16 ± 0.48 mg AAE/2 g). P1 was the fermented control with the lowest activity (2.01 ± 0.91 mg AAE/2 g). Heat- and oxygen-sensitive phenolic chemicals, which are broken down during fermentation, are preserved in non-fermented tea, which explains its increased antioxidant activity (</w:t>
      </w:r>
      <w:proofErr w:type="spellStart"/>
      <w:r w:rsidRPr="00363E23">
        <w:rPr>
          <w:rFonts w:ascii="Arial" w:hAnsi="Arial" w:cs="Arial"/>
          <w:sz w:val="20"/>
          <w:szCs w:val="20"/>
        </w:rPr>
        <w:t>Heong</w:t>
      </w:r>
      <w:proofErr w:type="spellEnd"/>
      <w:r w:rsidRPr="00363E23">
        <w:rPr>
          <w:rFonts w:ascii="Arial" w:hAnsi="Arial" w:cs="Arial"/>
          <w:sz w:val="20"/>
          <w:szCs w:val="20"/>
        </w:rPr>
        <w:t xml:space="preserve"> et al., 2011). According to similar findings by Zainol et al. (2003), undamaged phenolics and flavonoids in fresh </w:t>
      </w:r>
      <w:r w:rsidRPr="005A7836">
        <w:rPr>
          <w:rFonts w:ascii="Arial" w:hAnsi="Arial" w:cs="Arial"/>
          <w:sz w:val="20"/>
          <w:szCs w:val="20"/>
          <w:highlight w:val="yellow"/>
        </w:rPr>
        <w:t>C. asiatica</w:t>
      </w:r>
      <w:r w:rsidRPr="00363E23">
        <w:rPr>
          <w:rFonts w:ascii="Arial" w:hAnsi="Arial" w:cs="Arial"/>
          <w:sz w:val="20"/>
          <w:szCs w:val="20"/>
        </w:rPr>
        <w:t xml:space="preserve"> leaves maintain more radical scavenging activity than in processed forms. In line with </w:t>
      </w:r>
      <w:proofErr w:type="spellStart"/>
      <w:r w:rsidRPr="00363E23">
        <w:rPr>
          <w:rFonts w:ascii="Arial" w:hAnsi="Arial" w:cs="Arial"/>
          <w:sz w:val="20"/>
          <w:szCs w:val="20"/>
        </w:rPr>
        <w:t>Ajayi</w:t>
      </w:r>
      <w:proofErr w:type="spellEnd"/>
      <w:r w:rsidRPr="00363E23">
        <w:rPr>
          <w:rFonts w:ascii="Arial" w:hAnsi="Arial" w:cs="Arial"/>
          <w:sz w:val="20"/>
          <w:szCs w:val="20"/>
        </w:rPr>
        <w:t xml:space="preserve"> and </w:t>
      </w:r>
      <w:proofErr w:type="spellStart"/>
      <w:r w:rsidRPr="00363E23">
        <w:rPr>
          <w:rFonts w:ascii="Arial" w:hAnsi="Arial" w:cs="Arial"/>
          <w:sz w:val="20"/>
          <w:szCs w:val="20"/>
        </w:rPr>
        <w:t>Oyerinde</w:t>
      </w:r>
      <w:proofErr w:type="spellEnd"/>
      <w:r w:rsidRPr="00363E23">
        <w:rPr>
          <w:rFonts w:ascii="Arial" w:hAnsi="Arial" w:cs="Arial"/>
          <w:sz w:val="20"/>
          <w:szCs w:val="20"/>
        </w:rPr>
        <w:t xml:space="preserve"> (2020), who discovered that ginger infusion raised micronutrient and antioxidant levels in herbal teas, the mixture of ginger and green tea further enhanced antioxidant capacity. The main bioactive in ginger that aid in scavenging free radicals are gingerol and </w:t>
      </w:r>
      <w:proofErr w:type="spellStart"/>
      <w:r w:rsidRPr="00363E23">
        <w:rPr>
          <w:rFonts w:ascii="Arial" w:hAnsi="Arial" w:cs="Arial"/>
          <w:sz w:val="20"/>
          <w:szCs w:val="20"/>
        </w:rPr>
        <w:t>shogaol</w:t>
      </w:r>
      <w:proofErr w:type="spellEnd"/>
      <w:r w:rsidRPr="00363E23">
        <w:rPr>
          <w:rFonts w:ascii="Arial" w:hAnsi="Arial" w:cs="Arial"/>
          <w:sz w:val="20"/>
          <w:szCs w:val="20"/>
        </w:rPr>
        <w:t xml:space="preserve"> (</w:t>
      </w:r>
      <w:proofErr w:type="spellStart"/>
      <w:r w:rsidRPr="00363E23">
        <w:rPr>
          <w:rFonts w:ascii="Arial" w:hAnsi="Arial" w:cs="Arial"/>
          <w:sz w:val="20"/>
          <w:szCs w:val="20"/>
        </w:rPr>
        <w:t>Dugasani</w:t>
      </w:r>
      <w:proofErr w:type="spellEnd"/>
      <w:r w:rsidRPr="00363E23">
        <w:rPr>
          <w:rFonts w:ascii="Arial" w:hAnsi="Arial" w:cs="Arial"/>
          <w:sz w:val="20"/>
          <w:szCs w:val="20"/>
        </w:rPr>
        <w:t xml:space="preserve"> et al., 2009). According to Namal Senanayake (2013), green tea catechins, especially epigallocatechin gallate (EGCG), also work in concert to increase antioxidant capacity. Thus, the results show that antioxidant potential is greatly influenced by the processing method (fermentation vs. non-fermentation) and ingredient composition (ratio of ginger to green tea).</w:t>
      </w:r>
    </w:p>
    <w:p w14:paraId="3096312D" w14:textId="77777777" w:rsidR="00E612CB" w:rsidRDefault="00E612CB" w:rsidP="00E612CB">
      <w:pPr>
        <w:spacing w:before="100" w:beforeAutospacing="1" w:after="100" w:afterAutospacing="1" w:line="360" w:lineRule="auto"/>
        <w:jc w:val="center"/>
        <w:rPr>
          <w:rFonts w:ascii="Times New Roman" w:hAnsi="Times New Roman" w:cs="Times New Roman"/>
          <w:sz w:val="24"/>
          <w:szCs w:val="24"/>
        </w:rPr>
      </w:pPr>
      <w:r w:rsidRPr="00E612CB">
        <w:rPr>
          <w:rFonts w:ascii="Times New Roman" w:hAnsi="Times New Roman" w:cs="Times New Roman"/>
          <w:noProof/>
          <w:sz w:val="24"/>
          <w:szCs w:val="24"/>
          <w:lang w:val="fr-FR" w:eastAsia="fr-FR"/>
        </w:rPr>
        <w:drawing>
          <wp:inline distT="0" distB="0" distL="0" distR="0" wp14:anchorId="1C20A9A9" wp14:editId="2C1976E3">
            <wp:extent cx="4572000" cy="29432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E94E7D" w14:textId="6DFD5761" w:rsidR="00E612CB" w:rsidRPr="00E476A4" w:rsidRDefault="00E612CB" w:rsidP="00E612CB">
      <w:pPr>
        <w:spacing w:before="100" w:beforeAutospacing="1" w:after="100" w:afterAutospacing="1" w:line="360" w:lineRule="auto"/>
        <w:jc w:val="center"/>
        <w:outlineLvl w:val="2"/>
        <w:rPr>
          <w:rFonts w:ascii="Arial" w:hAnsi="Arial" w:cs="Arial"/>
          <w:b/>
          <w:sz w:val="20"/>
          <w:szCs w:val="20"/>
        </w:rPr>
      </w:pPr>
      <w:r w:rsidRPr="005A7836">
        <w:rPr>
          <w:rFonts w:ascii="Arial" w:hAnsi="Arial" w:cs="Arial"/>
          <w:b/>
          <w:sz w:val="20"/>
          <w:szCs w:val="20"/>
          <w:highlight w:val="yellow"/>
        </w:rPr>
        <w:lastRenderedPageBreak/>
        <w:t xml:space="preserve">Fig. </w:t>
      </w:r>
      <w:r w:rsidR="00444325" w:rsidRPr="005A7836">
        <w:rPr>
          <w:rFonts w:ascii="Arial" w:hAnsi="Arial" w:cs="Arial"/>
          <w:b/>
          <w:sz w:val="20"/>
          <w:szCs w:val="20"/>
          <w:highlight w:val="yellow"/>
        </w:rPr>
        <w:t>3</w:t>
      </w:r>
      <w:r w:rsidRPr="005A7836">
        <w:rPr>
          <w:rFonts w:ascii="Arial" w:hAnsi="Arial" w:cs="Arial"/>
          <w:b/>
          <w:sz w:val="20"/>
          <w:szCs w:val="20"/>
          <w:highlight w:val="yellow"/>
        </w:rPr>
        <w:t xml:space="preserve">.: Variation of TAC with different fermented samples of </w:t>
      </w:r>
      <w:r w:rsidRPr="005A7836">
        <w:rPr>
          <w:rFonts w:ascii="Arial" w:hAnsi="Arial" w:cs="Arial"/>
          <w:b/>
          <w:i/>
          <w:iCs/>
          <w:sz w:val="20"/>
          <w:szCs w:val="20"/>
          <w:highlight w:val="yellow"/>
        </w:rPr>
        <w:t>C. asiatica</w:t>
      </w:r>
      <w:r w:rsidRPr="005A7836">
        <w:rPr>
          <w:rFonts w:ascii="Arial" w:hAnsi="Arial" w:cs="Arial"/>
          <w:b/>
          <w:sz w:val="20"/>
          <w:szCs w:val="20"/>
          <w:highlight w:val="yellow"/>
        </w:rPr>
        <w:t xml:space="preserve"> tea</w:t>
      </w:r>
    </w:p>
    <w:p w14:paraId="6D74BB4B" w14:textId="77777777" w:rsidR="00C96A31" w:rsidRDefault="003570BD" w:rsidP="00E612CB">
      <w:pPr>
        <w:spacing w:before="100" w:beforeAutospacing="1" w:after="100" w:afterAutospacing="1" w:line="360" w:lineRule="auto"/>
        <w:jc w:val="center"/>
        <w:outlineLvl w:val="2"/>
        <w:rPr>
          <w:rFonts w:ascii="Times New Roman" w:hAnsi="Times New Roman" w:cs="Times New Roman"/>
          <w:b/>
          <w:sz w:val="24"/>
          <w:szCs w:val="24"/>
        </w:rPr>
      </w:pPr>
      <w:r w:rsidRPr="003570BD">
        <w:rPr>
          <w:rFonts w:ascii="Times New Roman" w:hAnsi="Times New Roman" w:cs="Times New Roman"/>
          <w:b/>
          <w:noProof/>
          <w:sz w:val="24"/>
          <w:szCs w:val="24"/>
          <w:lang w:val="fr-FR" w:eastAsia="fr-FR"/>
        </w:rPr>
        <w:drawing>
          <wp:inline distT="0" distB="0" distL="0" distR="0" wp14:anchorId="67F2A8AC" wp14:editId="633DAFE4">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21AB1" w14:textId="547CC421" w:rsidR="00711592" w:rsidRPr="00E476A4" w:rsidRDefault="00E0625A" w:rsidP="005053F8">
      <w:pPr>
        <w:spacing w:before="100" w:beforeAutospacing="1" w:after="100" w:afterAutospacing="1" w:line="360" w:lineRule="auto"/>
        <w:jc w:val="center"/>
        <w:outlineLvl w:val="2"/>
        <w:rPr>
          <w:rFonts w:ascii="Arial" w:hAnsi="Arial" w:cs="Arial"/>
          <w:b/>
          <w:sz w:val="20"/>
          <w:szCs w:val="20"/>
        </w:rPr>
      </w:pPr>
      <w:r w:rsidRPr="00E476A4">
        <w:rPr>
          <w:rFonts w:ascii="Arial" w:hAnsi="Arial" w:cs="Arial"/>
          <w:b/>
          <w:sz w:val="20"/>
          <w:szCs w:val="20"/>
        </w:rPr>
        <w:t xml:space="preserve">Fig. </w:t>
      </w:r>
      <w:r w:rsidR="00EB5D1E">
        <w:rPr>
          <w:rFonts w:ascii="Arial" w:hAnsi="Arial" w:cs="Arial"/>
          <w:b/>
          <w:sz w:val="20"/>
          <w:szCs w:val="20"/>
        </w:rPr>
        <w:t>4</w:t>
      </w:r>
      <w:r w:rsidR="003570BD" w:rsidRPr="00E476A4">
        <w:rPr>
          <w:rFonts w:ascii="Arial" w:hAnsi="Arial" w:cs="Arial"/>
          <w:b/>
          <w:sz w:val="20"/>
          <w:szCs w:val="20"/>
        </w:rPr>
        <w:t xml:space="preserve">: Variation of TAC with different non fermented samples of </w:t>
      </w:r>
      <w:r w:rsidR="003570BD" w:rsidRPr="00E476A4">
        <w:rPr>
          <w:rFonts w:ascii="Arial" w:hAnsi="Arial" w:cs="Arial"/>
          <w:b/>
          <w:i/>
          <w:iCs/>
          <w:sz w:val="20"/>
          <w:szCs w:val="20"/>
        </w:rPr>
        <w:t xml:space="preserve">C. asiatica </w:t>
      </w:r>
      <w:r w:rsidR="003570BD" w:rsidRPr="00E476A4">
        <w:rPr>
          <w:rFonts w:ascii="Arial" w:hAnsi="Arial" w:cs="Arial"/>
          <w:b/>
          <w:sz w:val="20"/>
          <w:szCs w:val="20"/>
        </w:rPr>
        <w:t>tea</w:t>
      </w:r>
    </w:p>
    <w:p w14:paraId="2D06C840" w14:textId="04DF5C57" w:rsidR="00F7536F" w:rsidRPr="00A143F0" w:rsidRDefault="0049226B" w:rsidP="00A143F0">
      <w:pPr>
        <w:spacing w:before="100" w:beforeAutospacing="1" w:after="100" w:afterAutospacing="1" w:line="360" w:lineRule="auto"/>
        <w:rPr>
          <w:rFonts w:ascii="Arial" w:eastAsia="Times New Roman" w:hAnsi="Arial" w:cs="Arial"/>
          <w:b/>
          <w:bCs/>
          <w:lang w:val="en-IN" w:eastAsia="en-IN"/>
        </w:rPr>
      </w:pPr>
      <w:r>
        <w:rPr>
          <w:rFonts w:ascii="Arial" w:eastAsia="Times New Roman" w:hAnsi="Arial" w:cs="Arial"/>
          <w:b/>
          <w:bCs/>
          <w:lang w:val="en-IN" w:eastAsia="en-IN"/>
        </w:rPr>
        <w:t>3</w:t>
      </w:r>
      <w:r w:rsidR="00086F94" w:rsidRPr="00A143F0">
        <w:rPr>
          <w:rFonts w:ascii="Arial" w:eastAsia="Times New Roman" w:hAnsi="Arial" w:cs="Arial"/>
          <w:b/>
          <w:bCs/>
          <w:lang w:val="en-IN" w:eastAsia="en-IN"/>
        </w:rPr>
        <w:t xml:space="preserve">.2 </w:t>
      </w:r>
      <w:r w:rsidR="00F7536F" w:rsidRPr="00A143F0">
        <w:rPr>
          <w:rFonts w:ascii="Arial" w:eastAsia="Times New Roman" w:hAnsi="Arial" w:cs="Arial"/>
          <w:b/>
          <w:bCs/>
          <w:lang w:val="en-IN" w:eastAsia="en-IN"/>
        </w:rPr>
        <w:t>Total Phenolic Content (TPC)</w:t>
      </w:r>
    </w:p>
    <w:p w14:paraId="783D11D1" w14:textId="21D285F9" w:rsidR="00F7536F" w:rsidRPr="00363E23" w:rsidRDefault="00F7536F" w:rsidP="00F7536F">
      <w:pPr>
        <w:spacing w:before="100" w:beforeAutospacing="1" w:after="100" w:afterAutospacing="1" w:line="360" w:lineRule="auto"/>
        <w:jc w:val="both"/>
        <w:rPr>
          <w:rFonts w:ascii="Arial" w:hAnsi="Arial" w:cs="Arial"/>
          <w:sz w:val="20"/>
          <w:szCs w:val="20"/>
        </w:rPr>
      </w:pPr>
      <w:r w:rsidRPr="00363E23">
        <w:rPr>
          <w:rFonts w:ascii="Arial" w:hAnsi="Arial" w:cs="Arial"/>
          <w:sz w:val="20"/>
          <w:szCs w:val="20"/>
        </w:rPr>
        <w:t xml:space="preserve">The antioxidant activity of plant-based beverages is significantly influenced by phenolic chemicals. </w:t>
      </w:r>
      <w:r w:rsidR="00083A7A" w:rsidRPr="00363E23">
        <w:rPr>
          <w:rFonts w:ascii="Arial" w:hAnsi="Arial" w:cs="Arial"/>
          <w:sz w:val="20"/>
          <w:szCs w:val="20"/>
        </w:rPr>
        <w:t>From the Table 3</w:t>
      </w:r>
      <w:r w:rsidR="004B5CCC" w:rsidRPr="00363E23">
        <w:rPr>
          <w:rFonts w:ascii="Arial" w:hAnsi="Arial" w:cs="Arial"/>
          <w:sz w:val="20"/>
          <w:szCs w:val="20"/>
        </w:rPr>
        <w:t xml:space="preserve"> and Tab</w:t>
      </w:r>
      <w:r w:rsidR="00083A7A" w:rsidRPr="00363E23">
        <w:rPr>
          <w:rFonts w:ascii="Arial" w:hAnsi="Arial" w:cs="Arial"/>
          <w:sz w:val="20"/>
          <w:szCs w:val="20"/>
        </w:rPr>
        <w:t>le 4</w:t>
      </w:r>
      <w:r w:rsidR="004B5CCC" w:rsidRPr="00363E23">
        <w:rPr>
          <w:rFonts w:ascii="Arial" w:hAnsi="Arial" w:cs="Arial"/>
          <w:sz w:val="20"/>
          <w:szCs w:val="20"/>
        </w:rPr>
        <w:t xml:space="preserve"> it can be observed that t</w:t>
      </w:r>
      <w:r w:rsidRPr="00363E23">
        <w:rPr>
          <w:rFonts w:ascii="Arial" w:hAnsi="Arial" w:cs="Arial"/>
          <w:sz w:val="20"/>
          <w:szCs w:val="20"/>
        </w:rPr>
        <w:t xml:space="preserve">he fermented control P1 recorded the lowest TPC (5.25 ± 1.45 mg GAE/2 g), while the non-fermented sample 2a displayed the greatest TPC (13.59 ± 2.89 mg GAE/2 g). According to </w:t>
      </w:r>
      <w:r w:rsidRPr="002F5801">
        <w:rPr>
          <w:rFonts w:ascii="Arial" w:hAnsi="Arial" w:cs="Arial"/>
          <w:sz w:val="20"/>
          <w:szCs w:val="20"/>
          <w:highlight w:val="red"/>
        </w:rPr>
        <w:t>W.</w:t>
      </w:r>
      <w:r w:rsidRPr="00363E23">
        <w:rPr>
          <w:rFonts w:ascii="Arial" w:hAnsi="Arial" w:cs="Arial"/>
          <w:sz w:val="20"/>
          <w:szCs w:val="20"/>
        </w:rPr>
        <w:t xml:space="preserve"> </w:t>
      </w:r>
      <w:proofErr w:type="spellStart"/>
      <w:r w:rsidRPr="00363E23">
        <w:rPr>
          <w:rFonts w:ascii="Arial" w:hAnsi="Arial" w:cs="Arial"/>
          <w:sz w:val="20"/>
          <w:szCs w:val="20"/>
        </w:rPr>
        <w:t>Trirattanapikul</w:t>
      </w:r>
      <w:proofErr w:type="spellEnd"/>
      <w:r w:rsidRPr="00363E23">
        <w:rPr>
          <w:rFonts w:ascii="Arial" w:hAnsi="Arial" w:cs="Arial"/>
          <w:sz w:val="20"/>
          <w:szCs w:val="20"/>
        </w:rPr>
        <w:t xml:space="preserve"> and </w:t>
      </w:r>
      <w:proofErr w:type="spellStart"/>
      <w:r w:rsidRPr="00363E23">
        <w:rPr>
          <w:rFonts w:ascii="Arial" w:hAnsi="Arial" w:cs="Arial"/>
          <w:sz w:val="20"/>
          <w:szCs w:val="20"/>
        </w:rPr>
        <w:t>Phoungchandang</w:t>
      </w:r>
      <w:proofErr w:type="spellEnd"/>
      <w:r w:rsidRPr="00363E23">
        <w:rPr>
          <w:rFonts w:ascii="Arial" w:hAnsi="Arial" w:cs="Arial"/>
          <w:sz w:val="20"/>
          <w:szCs w:val="20"/>
        </w:rPr>
        <w:t xml:space="preserve"> (2014), who documented phenolic loss in </w:t>
      </w:r>
      <w:r w:rsidRPr="002F5801">
        <w:rPr>
          <w:rFonts w:ascii="Arial" w:hAnsi="Arial" w:cs="Arial"/>
          <w:sz w:val="20"/>
          <w:szCs w:val="20"/>
          <w:highlight w:val="yellow"/>
        </w:rPr>
        <w:t>C. asiatica</w:t>
      </w:r>
      <w:r w:rsidRPr="00363E23">
        <w:rPr>
          <w:rFonts w:ascii="Arial" w:hAnsi="Arial" w:cs="Arial"/>
          <w:sz w:val="20"/>
          <w:szCs w:val="20"/>
        </w:rPr>
        <w:t xml:space="preserve"> over extended fermentation and drying, the decrease in phenolic concentration upon fermentation indicates partial breakdown of polyphenols into simpler molecules. This study clearly shows a direct relationship between TPC and </w:t>
      </w:r>
      <w:proofErr w:type="spellStart"/>
      <w:r w:rsidRPr="002F5801">
        <w:rPr>
          <w:rFonts w:ascii="Arial" w:hAnsi="Arial" w:cs="Arial"/>
          <w:sz w:val="20"/>
          <w:szCs w:val="20"/>
          <w:highlight w:val="yellow"/>
        </w:rPr>
        <w:t>ntioxidant</w:t>
      </w:r>
      <w:proofErr w:type="spellEnd"/>
      <w:r w:rsidRPr="00363E23">
        <w:rPr>
          <w:rFonts w:ascii="Arial" w:hAnsi="Arial" w:cs="Arial"/>
          <w:sz w:val="20"/>
          <w:szCs w:val="20"/>
        </w:rPr>
        <w:t xml:space="preserve"> activity, supporting previous findings by Sherin and Jamuna (2010) that found </w:t>
      </w:r>
      <w:r w:rsidR="00E11463" w:rsidRPr="00363E23">
        <w:rPr>
          <w:rFonts w:ascii="Arial" w:hAnsi="Arial" w:cs="Arial"/>
          <w:sz w:val="20"/>
          <w:szCs w:val="20"/>
        </w:rPr>
        <w:t>proportionality</w:t>
      </w:r>
      <w:r w:rsidRPr="00363E23">
        <w:rPr>
          <w:rFonts w:ascii="Arial" w:hAnsi="Arial" w:cs="Arial"/>
          <w:sz w:val="20"/>
          <w:szCs w:val="20"/>
        </w:rPr>
        <w:t xml:space="preserve"> between polyphenol levels and the ability of herbal extracts to scavenge radicals. The findings are also consistent with those of Hussin et al. (2009), who found that the main radical scavengers in </w:t>
      </w:r>
      <w:r w:rsidRPr="00EF7C58">
        <w:rPr>
          <w:rFonts w:ascii="Arial" w:hAnsi="Arial" w:cs="Arial"/>
          <w:sz w:val="20"/>
          <w:szCs w:val="20"/>
          <w:highlight w:val="yellow"/>
        </w:rPr>
        <w:t>C. asiatica</w:t>
      </w:r>
      <w:r w:rsidRPr="00363E23">
        <w:rPr>
          <w:rFonts w:ascii="Arial" w:hAnsi="Arial" w:cs="Arial"/>
          <w:sz w:val="20"/>
          <w:szCs w:val="20"/>
        </w:rPr>
        <w:t xml:space="preserve"> are phenolic hydroxyl groups.</w:t>
      </w:r>
    </w:p>
    <w:p w14:paraId="59E18592" w14:textId="77777777" w:rsidR="00E4651B" w:rsidRDefault="00970778" w:rsidP="00970778">
      <w:pPr>
        <w:spacing w:before="100" w:beforeAutospacing="1" w:after="100" w:afterAutospacing="1" w:line="360" w:lineRule="auto"/>
        <w:jc w:val="center"/>
        <w:rPr>
          <w:rFonts w:ascii="Times New Roman" w:hAnsi="Times New Roman" w:cs="Times New Roman"/>
          <w:sz w:val="24"/>
          <w:szCs w:val="24"/>
        </w:rPr>
      </w:pPr>
      <w:r w:rsidRPr="00970778">
        <w:rPr>
          <w:rFonts w:ascii="Times New Roman" w:hAnsi="Times New Roman" w:cs="Times New Roman"/>
          <w:noProof/>
          <w:sz w:val="24"/>
          <w:szCs w:val="24"/>
          <w:lang w:val="fr-FR" w:eastAsia="fr-FR"/>
        </w:rPr>
        <w:lastRenderedPageBreak/>
        <w:drawing>
          <wp:inline distT="0" distB="0" distL="0" distR="0" wp14:anchorId="50919CC3" wp14:editId="7D37C3FF">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CE1B9D" w14:textId="463AF97C" w:rsidR="00E4651B" w:rsidRPr="00E57298" w:rsidRDefault="00A86DED" w:rsidP="00A86DED">
      <w:pPr>
        <w:spacing w:before="100" w:beforeAutospacing="1" w:after="100" w:afterAutospacing="1" w:line="360" w:lineRule="auto"/>
        <w:jc w:val="center"/>
        <w:outlineLvl w:val="2"/>
        <w:rPr>
          <w:rFonts w:ascii="Arial" w:hAnsi="Arial" w:cs="Arial"/>
          <w:b/>
          <w:sz w:val="20"/>
          <w:szCs w:val="20"/>
        </w:rPr>
      </w:pPr>
      <w:r w:rsidRPr="00E57298">
        <w:rPr>
          <w:rFonts w:ascii="Arial" w:hAnsi="Arial" w:cs="Arial"/>
          <w:b/>
          <w:sz w:val="20"/>
          <w:szCs w:val="20"/>
        </w:rPr>
        <w:t xml:space="preserve">Fig. </w:t>
      </w:r>
      <w:r w:rsidR="00EB5D1E">
        <w:rPr>
          <w:rFonts w:ascii="Arial" w:hAnsi="Arial" w:cs="Arial"/>
          <w:b/>
          <w:sz w:val="20"/>
          <w:szCs w:val="20"/>
        </w:rPr>
        <w:t>5</w:t>
      </w:r>
      <w:r w:rsidRPr="00E57298">
        <w:rPr>
          <w:rFonts w:ascii="Arial" w:hAnsi="Arial" w:cs="Arial"/>
          <w:b/>
          <w:sz w:val="20"/>
          <w:szCs w:val="20"/>
        </w:rPr>
        <w:t xml:space="preserve">: Variation of TPC with different fermented samples of </w:t>
      </w:r>
      <w:r w:rsidRPr="00E57298">
        <w:rPr>
          <w:rFonts w:ascii="Arial" w:hAnsi="Arial" w:cs="Arial"/>
          <w:b/>
          <w:i/>
          <w:iCs/>
          <w:sz w:val="20"/>
          <w:szCs w:val="20"/>
        </w:rPr>
        <w:t>C. asiatica</w:t>
      </w:r>
      <w:r w:rsidRPr="00E57298">
        <w:rPr>
          <w:rFonts w:ascii="Arial" w:hAnsi="Arial" w:cs="Arial"/>
          <w:b/>
          <w:sz w:val="20"/>
          <w:szCs w:val="20"/>
        </w:rPr>
        <w:t xml:space="preserve"> tea</w:t>
      </w:r>
    </w:p>
    <w:p w14:paraId="6D062D40" w14:textId="77777777" w:rsidR="00A86DED" w:rsidRDefault="00FC60CB" w:rsidP="00A86DED">
      <w:pPr>
        <w:spacing w:before="100" w:beforeAutospacing="1" w:after="100" w:afterAutospacing="1" w:line="360" w:lineRule="auto"/>
        <w:jc w:val="center"/>
        <w:outlineLvl w:val="2"/>
        <w:rPr>
          <w:rFonts w:ascii="Times New Roman" w:hAnsi="Times New Roman" w:cs="Times New Roman"/>
          <w:b/>
          <w:sz w:val="24"/>
          <w:szCs w:val="24"/>
        </w:rPr>
      </w:pPr>
      <w:r w:rsidRPr="00FC60CB">
        <w:rPr>
          <w:rFonts w:ascii="Times New Roman" w:hAnsi="Times New Roman" w:cs="Times New Roman"/>
          <w:b/>
          <w:noProof/>
          <w:sz w:val="24"/>
          <w:szCs w:val="24"/>
          <w:lang w:val="fr-FR" w:eastAsia="fr-FR"/>
        </w:rPr>
        <w:drawing>
          <wp:inline distT="0" distB="0" distL="0" distR="0" wp14:anchorId="5F6701B3" wp14:editId="0DB917CE">
            <wp:extent cx="45720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02DA93" w14:textId="1671DD3C" w:rsidR="00FC60CB" w:rsidRPr="00E57298" w:rsidRDefault="00115A15" w:rsidP="007A4432">
      <w:pPr>
        <w:spacing w:before="100" w:beforeAutospacing="1" w:after="100" w:afterAutospacing="1" w:line="360" w:lineRule="auto"/>
        <w:jc w:val="center"/>
        <w:outlineLvl w:val="2"/>
        <w:rPr>
          <w:rFonts w:ascii="Arial" w:hAnsi="Arial" w:cs="Arial"/>
          <w:b/>
          <w:sz w:val="20"/>
          <w:szCs w:val="20"/>
        </w:rPr>
      </w:pPr>
      <w:r w:rsidRPr="00E57298">
        <w:rPr>
          <w:rFonts w:ascii="Arial" w:hAnsi="Arial" w:cs="Arial"/>
          <w:b/>
          <w:sz w:val="20"/>
          <w:szCs w:val="20"/>
        </w:rPr>
        <w:t xml:space="preserve">Fig. </w:t>
      </w:r>
      <w:r w:rsidR="00EB5D1E">
        <w:rPr>
          <w:rFonts w:ascii="Arial" w:hAnsi="Arial" w:cs="Arial"/>
          <w:b/>
          <w:sz w:val="20"/>
          <w:szCs w:val="20"/>
        </w:rPr>
        <w:t>6</w:t>
      </w:r>
      <w:r w:rsidR="00FC60CB" w:rsidRPr="00E57298">
        <w:rPr>
          <w:rFonts w:ascii="Arial" w:hAnsi="Arial" w:cs="Arial"/>
          <w:b/>
          <w:sz w:val="20"/>
          <w:szCs w:val="20"/>
        </w:rPr>
        <w:t xml:space="preserve">: Variation of TPC with different non fermented samples of </w:t>
      </w:r>
      <w:r w:rsidR="00FC60CB" w:rsidRPr="00E57298">
        <w:rPr>
          <w:rFonts w:ascii="Arial" w:hAnsi="Arial" w:cs="Arial"/>
          <w:b/>
          <w:i/>
          <w:iCs/>
          <w:sz w:val="20"/>
          <w:szCs w:val="20"/>
        </w:rPr>
        <w:t>C. asiatica</w:t>
      </w:r>
      <w:r w:rsidR="00FC60CB" w:rsidRPr="00E57298">
        <w:rPr>
          <w:rFonts w:ascii="Arial" w:hAnsi="Arial" w:cs="Arial"/>
          <w:b/>
          <w:sz w:val="20"/>
          <w:szCs w:val="20"/>
        </w:rPr>
        <w:t xml:space="preserve"> tea</w:t>
      </w:r>
    </w:p>
    <w:p w14:paraId="058809A8" w14:textId="358F7FE9" w:rsidR="00F7536F" w:rsidRPr="00BF065B" w:rsidRDefault="00660C2B" w:rsidP="00F7536F">
      <w:pPr>
        <w:spacing w:before="100" w:beforeAutospacing="1" w:after="100" w:afterAutospacing="1" w:line="360" w:lineRule="auto"/>
        <w:jc w:val="both"/>
        <w:rPr>
          <w:rFonts w:ascii="Arial" w:eastAsia="Times New Roman" w:hAnsi="Arial" w:cs="Arial"/>
          <w:b/>
          <w:bCs/>
          <w:lang w:val="en-IN" w:eastAsia="en-IN"/>
        </w:rPr>
      </w:pPr>
      <w:r>
        <w:rPr>
          <w:rFonts w:ascii="Arial" w:eastAsia="Times New Roman" w:hAnsi="Arial" w:cs="Arial"/>
          <w:b/>
          <w:bCs/>
          <w:lang w:val="en-IN" w:eastAsia="en-IN"/>
        </w:rPr>
        <w:t>3</w:t>
      </w:r>
      <w:r w:rsidR="00DC0467" w:rsidRPr="00BF065B">
        <w:rPr>
          <w:rFonts w:ascii="Arial" w:eastAsia="Times New Roman" w:hAnsi="Arial" w:cs="Arial"/>
          <w:b/>
          <w:bCs/>
          <w:lang w:val="en-IN" w:eastAsia="en-IN"/>
        </w:rPr>
        <w:t xml:space="preserve">.3 </w:t>
      </w:r>
      <w:r w:rsidR="00F7536F" w:rsidRPr="00BF065B">
        <w:rPr>
          <w:rFonts w:ascii="Arial" w:eastAsia="Times New Roman" w:hAnsi="Arial" w:cs="Arial"/>
          <w:b/>
          <w:bCs/>
          <w:lang w:val="en-IN" w:eastAsia="en-IN"/>
        </w:rPr>
        <w:t>Total Flavonoid Content (TFC)</w:t>
      </w:r>
    </w:p>
    <w:p w14:paraId="4EE713C0" w14:textId="77DF827E" w:rsidR="004565EE" w:rsidRPr="00363E23" w:rsidRDefault="00F7536F" w:rsidP="00E612CB">
      <w:pPr>
        <w:spacing w:before="100" w:beforeAutospacing="1" w:after="100" w:afterAutospacing="1" w:line="360" w:lineRule="auto"/>
        <w:jc w:val="both"/>
        <w:outlineLvl w:val="2"/>
        <w:rPr>
          <w:rFonts w:ascii="Arial" w:hAnsi="Arial" w:cs="Arial"/>
          <w:sz w:val="20"/>
          <w:szCs w:val="20"/>
        </w:rPr>
      </w:pPr>
      <w:r w:rsidRPr="00363E23">
        <w:rPr>
          <w:rFonts w:ascii="Arial" w:hAnsi="Arial" w:cs="Arial"/>
          <w:sz w:val="20"/>
          <w:szCs w:val="20"/>
        </w:rPr>
        <w:t xml:space="preserve">A similar pattern was seen in the flavonoid content, with larger quantities seen in non-fermented samples. </w:t>
      </w:r>
      <w:r w:rsidR="000A5C1E" w:rsidRPr="00363E23">
        <w:rPr>
          <w:rFonts w:ascii="Arial" w:hAnsi="Arial" w:cs="Arial"/>
          <w:sz w:val="20"/>
          <w:szCs w:val="20"/>
        </w:rPr>
        <w:t xml:space="preserve">From </w:t>
      </w:r>
      <w:r w:rsidR="00CE256D" w:rsidRPr="00363E23">
        <w:rPr>
          <w:rFonts w:ascii="Arial" w:hAnsi="Arial" w:cs="Arial"/>
          <w:sz w:val="20"/>
          <w:szCs w:val="20"/>
        </w:rPr>
        <w:t>the Table 5 and Table 6</w:t>
      </w:r>
      <w:r w:rsidR="00EF7C58">
        <w:rPr>
          <w:rFonts w:ascii="Arial" w:hAnsi="Arial" w:cs="Arial"/>
          <w:sz w:val="20"/>
          <w:szCs w:val="20"/>
        </w:rPr>
        <w:t>,</w:t>
      </w:r>
      <w:r w:rsidR="000A5C1E" w:rsidRPr="00363E23">
        <w:rPr>
          <w:rFonts w:ascii="Arial" w:hAnsi="Arial" w:cs="Arial"/>
          <w:sz w:val="20"/>
          <w:szCs w:val="20"/>
        </w:rPr>
        <w:t xml:space="preserve"> it can be observed that the </w:t>
      </w:r>
      <w:r w:rsidRPr="00363E23">
        <w:rPr>
          <w:rFonts w:ascii="Arial" w:hAnsi="Arial" w:cs="Arial"/>
          <w:sz w:val="20"/>
          <w:szCs w:val="20"/>
        </w:rPr>
        <w:t xml:space="preserve">TFC was lowest in fermented control P1 (1.17 ± 0.39 mg QE/2 g) and highest in non-fermented </w:t>
      </w:r>
      <w:r w:rsidRPr="00EF7C58">
        <w:rPr>
          <w:rFonts w:ascii="Arial" w:hAnsi="Arial" w:cs="Arial"/>
          <w:sz w:val="20"/>
          <w:szCs w:val="20"/>
          <w:highlight w:val="yellow"/>
        </w:rPr>
        <w:t>2a</w:t>
      </w:r>
      <w:r w:rsidRPr="00363E23">
        <w:rPr>
          <w:rFonts w:ascii="Arial" w:hAnsi="Arial" w:cs="Arial"/>
          <w:sz w:val="20"/>
          <w:szCs w:val="20"/>
        </w:rPr>
        <w:t xml:space="preserve"> (10.31 ± 0.18 mg QE/2 g). </w:t>
      </w:r>
      <w:r w:rsidRPr="00EF7C58">
        <w:rPr>
          <w:rFonts w:ascii="Arial" w:hAnsi="Arial" w:cs="Arial"/>
          <w:sz w:val="20"/>
          <w:szCs w:val="20"/>
          <w:highlight w:val="yellow"/>
        </w:rPr>
        <w:t>C. asiatica</w:t>
      </w:r>
      <w:r w:rsidRPr="00363E23">
        <w:rPr>
          <w:rFonts w:ascii="Arial" w:hAnsi="Arial" w:cs="Arial"/>
          <w:sz w:val="20"/>
          <w:szCs w:val="20"/>
        </w:rPr>
        <w:t xml:space="preserve"> is rich in flavonoids such quercetin, catechin, and kaempferol (Mustafa et al., 2010), and during fermentation, its content is subject to decrease due to enzymatic oxidation. Once more, the idea that flavonoids constitute significant contributors to the total antioxidant potential is supported by the relationship between flavonoid content and antioxidant activity (Cao et al., 1997). Studies by </w:t>
      </w:r>
      <w:proofErr w:type="spellStart"/>
      <w:r w:rsidRPr="00363E23">
        <w:rPr>
          <w:rFonts w:ascii="Arial" w:hAnsi="Arial" w:cs="Arial"/>
          <w:sz w:val="20"/>
          <w:szCs w:val="20"/>
        </w:rPr>
        <w:lastRenderedPageBreak/>
        <w:t>Armoskaite</w:t>
      </w:r>
      <w:proofErr w:type="spellEnd"/>
      <w:r w:rsidRPr="00363E23">
        <w:rPr>
          <w:rFonts w:ascii="Arial" w:hAnsi="Arial" w:cs="Arial"/>
          <w:sz w:val="20"/>
          <w:szCs w:val="20"/>
        </w:rPr>
        <w:t xml:space="preserve"> et al. (2011) also showed that adding green tea, a rich source of catechins, increased the levels of flavonoids.</w:t>
      </w:r>
    </w:p>
    <w:p w14:paraId="11ED7C8D" w14:textId="77777777" w:rsidR="00C44FCA" w:rsidRDefault="00B9762C" w:rsidP="00B9762C">
      <w:pPr>
        <w:spacing w:before="100" w:beforeAutospacing="1" w:after="100" w:afterAutospacing="1" w:line="360" w:lineRule="auto"/>
        <w:jc w:val="center"/>
        <w:outlineLvl w:val="2"/>
        <w:rPr>
          <w:rFonts w:ascii="Times New Roman" w:hAnsi="Times New Roman" w:cs="Times New Roman"/>
          <w:sz w:val="24"/>
          <w:szCs w:val="24"/>
        </w:rPr>
      </w:pPr>
      <w:r w:rsidRPr="00B9762C">
        <w:rPr>
          <w:rFonts w:ascii="Times New Roman" w:hAnsi="Times New Roman" w:cs="Times New Roman"/>
          <w:noProof/>
          <w:sz w:val="24"/>
          <w:szCs w:val="24"/>
          <w:lang w:val="fr-FR" w:eastAsia="fr-FR"/>
        </w:rPr>
        <w:drawing>
          <wp:inline distT="0" distB="0" distL="0" distR="0" wp14:anchorId="10D30345" wp14:editId="0A3121D8">
            <wp:extent cx="45720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CFF1DB" w14:textId="3B838FF9" w:rsidR="00B9762C" w:rsidRPr="00765C1D" w:rsidRDefault="00B9762C" w:rsidP="00B9762C">
      <w:pPr>
        <w:spacing w:before="100" w:beforeAutospacing="1" w:after="100" w:afterAutospacing="1" w:line="360" w:lineRule="auto"/>
        <w:jc w:val="center"/>
        <w:outlineLvl w:val="2"/>
        <w:rPr>
          <w:rFonts w:ascii="Arial" w:hAnsi="Arial" w:cs="Arial"/>
          <w:b/>
          <w:sz w:val="20"/>
          <w:szCs w:val="20"/>
        </w:rPr>
      </w:pPr>
      <w:r w:rsidRPr="00765C1D">
        <w:rPr>
          <w:rFonts w:ascii="Arial" w:hAnsi="Arial" w:cs="Arial"/>
          <w:b/>
          <w:sz w:val="20"/>
          <w:szCs w:val="20"/>
        </w:rPr>
        <w:t xml:space="preserve">Fig. </w:t>
      </w:r>
      <w:r w:rsidR="00EB5D1E">
        <w:rPr>
          <w:rFonts w:ascii="Arial" w:hAnsi="Arial" w:cs="Arial"/>
          <w:b/>
          <w:sz w:val="20"/>
          <w:szCs w:val="20"/>
        </w:rPr>
        <w:t>7</w:t>
      </w:r>
      <w:r w:rsidRPr="00765C1D">
        <w:rPr>
          <w:rFonts w:ascii="Arial" w:hAnsi="Arial" w:cs="Arial"/>
          <w:b/>
          <w:sz w:val="20"/>
          <w:szCs w:val="20"/>
        </w:rPr>
        <w:t xml:space="preserve">: Variation of TFC with different fermented samples of </w:t>
      </w:r>
      <w:r w:rsidRPr="00765C1D">
        <w:rPr>
          <w:rFonts w:ascii="Arial" w:hAnsi="Arial" w:cs="Arial"/>
          <w:b/>
          <w:i/>
          <w:iCs/>
          <w:sz w:val="20"/>
          <w:szCs w:val="20"/>
        </w:rPr>
        <w:t>C. asiatica</w:t>
      </w:r>
      <w:r w:rsidRPr="00765C1D">
        <w:rPr>
          <w:rFonts w:ascii="Arial" w:hAnsi="Arial" w:cs="Arial"/>
          <w:b/>
          <w:sz w:val="20"/>
          <w:szCs w:val="20"/>
        </w:rPr>
        <w:t xml:space="preserve"> tea</w:t>
      </w:r>
    </w:p>
    <w:p w14:paraId="6A7E4715" w14:textId="77777777" w:rsidR="006B40F0" w:rsidRDefault="00CF6429" w:rsidP="00B9762C">
      <w:pPr>
        <w:spacing w:before="100" w:beforeAutospacing="1" w:after="100" w:afterAutospacing="1" w:line="360" w:lineRule="auto"/>
        <w:jc w:val="center"/>
        <w:outlineLvl w:val="2"/>
        <w:rPr>
          <w:rFonts w:ascii="Times New Roman" w:hAnsi="Times New Roman" w:cs="Times New Roman"/>
          <w:b/>
          <w:sz w:val="24"/>
          <w:szCs w:val="24"/>
        </w:rPr>
      </w:pPr>
      <w:r w:rsidRPr="00CF6429">
        <w:rPr>
          <w:rFonts w:ascii="Times New Roman" w:hAnsi="Times New Roman" w:cs="Times New Roman"/>
          <w:b/>
          <w:noProof/>
          <w:sz w:val="24"/>
          <w:szCs w:val="24"/>
          <w:lang w:val="fr-FR" w:eastAsia="fr-FR"/>
        </w:rPr>
        <w:drawing>
          <wp:inline distT="0" distB="0" distL="0" distR="0" wp14:anchorId="19EC22A7" wp14:editId="12FA2994">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79D962" w14:textId="7C62C7A5" w:rsidR="00010081" w:rsidRPr="00765C1D" w:rsidRDefault="00EC317E" w:rsidP="00070D1C">
      <w:pPr>
        <w:spacing w:before="100" w:beforeAutospacing="1" w:after="100" w:afterAutospacing="1" w:line="360" w:lineRule="auto"/>
        <w:jc w:val="center"/>
        <w:outlineLvl w:val="2"/>
        <w:rPr>
          <w:rFonts w:ascii="Arial" w:hAnsi="Arial" w:cs="Arial"/>
          <w:b/>
          <w:sz w:val="20"/>
          <w:szCs w:val="20"/>
        </w:rPr>
      </w:pPr>
      <w:r w:rsidRPr="00765C1D">
        <w:rPr>
          <w:rFonts w:ascii="Arial" w:hAnsi="Arial" w:cs="Arial"/>
          <w:b/>
          <w:sz w:val="20"/>
          <w:szCs w:val="20"/>
        </w:rPr>
        <w:t xml:space="preserve">Fig. </w:t>
      </w:r>
      <w:r w:rsidR="00EB5D1E">
        <w:rPr>
          <w:rFonts w:ascii="Arial" w:hAnsi="Arial" w:cs="Arial"/>
          <w:b/>
          <w:sz w:val="20"/>
          <w:szCs w:val="20"/>
        </w:rPr>
        <w:t>8</w:t>
      </w:r>
      <w:r w:rsidR="00CF6429" w:rsidRPr="00765C1D">
        <w:rPr>
          <w:rFonts w:ascii="Arial" w:hAnsi="Arial" w:cs="Arial"/>
          <w:b/>
          <w:sz w:val="20"/>
          <w:szCs w:val="20"/>
        </w:rPr>
        <w:t xml:space="preserve">: Variation of TFC with different non fermented samples of </w:t>
      </w:r>
      <w:r w:rsidR="00CF6429" w:rsidRPr="00765C1D">
        <w:rPr>
          <w:rFonts w:ascii="Arial" w:hAnsi="Arial" w:cs="Arial"/>
          <w:b/>
          <w:i/>
          <w:iCs/>
          <w:sz w:val="20"/>
          <w:szCs w:val="20"/>
        </w:rPr>
        <w:t>C. asiatica</w:t>
      </w:r>
      <w:r w:rsidR="00CF6429" w:rsidRPr="00765C1D">
        <w:rPr>
          <w:rFonts w:ascii="Arial" w:hAnsi="Arial" w:cs="Arial"/>
          <w:b/>
          <w:sz w:val="20"/>
          <w:szCs w:val="20"/>
        </w:rPr>
        <w:t xml:space="preserve"> tea</w:t>
      </w:r>
    </w:p>
    <w:p w14:paraId="22953588" w14:textId="535B2212" w:rsidR="00F7536F" w:rsidRPr="003F3A03" w:rsidRDefault="00660C2B" w:rsidP="00F7536F">
      <w:pPr>
        <w:spacing w:before="100" w:beforeAutospacing="1" w:after="100" w:afterAutospacing="1" w:line="240" w:lineRule="auto"/>
        <w:outlineLvl w:val="2"/>
        <w:rPr>
          <w:rFonts w:ascii="Arial" w:eastAsia="Times New Roman" w:hAnsi="Arial" w:cs="Arial"/>
          <w:b/>
          <w:bCs/>
          <w:lang w:val="en-IN" w:eastAsia="en-IN"/>
        </w:rPr>
      </w:pPr>
      <w:r>
        <w:rPr>
          <w:rFonts w:ascii="Arial" w:eastAsia="Times New Roman" w:hAnsi="Arial" w:cs="Arial"/>
          <w:b/>
          <w:bCs/>
          <w:lang w:val="en-IN" w:eastAsia="en-IN"/>
        </w:rPr>
        <w:t>3</w:t>
      </w:r>
      <w:r w:rsidR="001A7311" w:rsidRPr="003F3A03">
        <w:rPr>
          <w:rFonts w:ascii="Arial" w:eastAsia="Times New Roman" w:hAnsi="Arial" w:cs="Arial"/>
          <w:b/>
          <w:bCs/>
          <w:lang w:val="en-IN" w:eastAsia="en-IN"/>
        </w:rPr>
        <w:t xml:space="preserve">.4 </w:t>
      </w:r>
      <w:r w:rsidR="00F7536F" w:rsidRPr="003F3A03">
        <w:rPr>
          <w:rFonts w:ascii="Arial" w:eastAsia="Times New Roman" w:hAnsi="Arial" w:cs="Arial"/>
          <w:b/>
          <w:bCs/>
          <w:lang w:val="en-IN" w:eastAsia="en-IN"/>
        </w:rPr>
        <w:t>Sensory Evaluation</w:t>
      </w:r>
    </w:p>
    <w:p w14:paraId="4F404D19" w14:textId="5828410A" w:rsidR="00E41EE5" w:rsidRPr="00173709" w:rsidRDefault="00F7536F" w:rsidP="00F7536F">
      <w:pPr>
        <w:spacing w:before="100" w:beforeAutospacing="1" w:after="100" w:afterAutospacing="1" w:line="360" w:lineRule="auto"/>
        <w:jc w:val="both"/>
        <w:rPr>
          <w:rFonts w:ascii="Arial" w:hAnsi="Arial" w:cs="Arial"/>
          <w:sz w:val="20"/>
          <w:szCs w:val="20"/>
        </w:rPr>
      </w:pPr>
      <w:r w:rsidRPr="00173709">
        <w:rPr>
          <w:rFonts w:ascii="Arial" w:hAnsi="Arial" w:cs="Arial"/>
          <w:sz w:val="20"/>
          <w:szCs w:val="20"/>
        </w:rPr>
        <w:t xml:space="preserve">Color, taste, aroma, astringency, and bitterness were among the sensory qualities that were assessed. </w:t>
      </w:r>
      <w:r w:rsidR="00C5387C" w:rsidRPr="00173709">
        <w:rPr>
          <w:rFonts w:ascii="Arial" w:hAnsi="Arial" w:cs="Arial"/>
          <w:sz w:val="20"/>
          <w:szCs w:val="20"/>
        </w:rPr>
        <w:t>From the Table 1</w:t>
      </w:r>
      <w:r w:rsidR="00EF7C58">
        <w:rPr>
          <w:rFonts w:ascii="Arial" w:hAnsi="Arial" w:cs="Arial"/>
          <w:sz w:val="20"/>
          <w:szCs w:val="20"/>
        </w:rPr>
        <w:t>,</w:t>
      </w:r>
      <w:r w:rsidR="00A74B5B" w:rsidRPr="00173709">
        <w:rPr>
          <w:rFonts w:ascii="Arial" w:hAnsi="Arial" w:cs="Arial"/>
          <w:sz w:val="20"/>
          <w:szCs w:val="20"/>
        </w:rPr>
        <w:t xml:space="preserve"> it can be seen that t</w:t>
      </w:r>
      <w:r w:rsidRPr="00173709">
        <w:rPr>
          <w:rFonts w:ascii="Arial" w:hAnsi="Arial" w:cs="Arial"/>
          <w:sz w:val="20"/>
          <w:szCs w:val="20"/>
        </w:rPr>
        <w:t xml:space="preserve">he highest ratings for color (7.0) and aroma (7.5) were given to fermented sample </w:t>
      </w:r>
      <w:r w:rsidRPr="00EF7C58">
        <w:rPr>
          <w:rFonts w:ascii="Arial" w:hAnsi="Arial" w:cs="Arial"/>
          <w:sz w:val="20"/>
          <w:szCs w:val="20"/>
          <w:highlight w:val="yellow"/>
        </w:rPr>
        <w:t>1a</w:t>
      </w:r>
      <w:r w:rsidRPr="00173709">
        <w:rPr>
          <w:rFonts w:ascii="Arial" w:hAnsi="Arial" w:cs="Arial"/>
          <w:sz w:val="20"/>
          <w:szCs w:val="20"/>
        </w:rPr>
        <w:t xml:space="preserve">, indicating that fermentation improves both visual and olfactory appeal by encouraging the production of volatile chemicals and products of the Maillard reaction. This is consistent with earlier research showing that controlled fermentation enhanced herbal teas' sensory </w:t>
      </w:r>
      <w:r w:rsidRPr="00173709">
        <w:rPr>
          <w:rFonts w:ascii="Arial" w:hAnsi="Arial" w:cs="Arial"/>
          <w:sz w:val="20"/>
          <w:szCs w:val="20"/>
        </w:rPr>
        <w:lastRenderedPageBreak/>
        <w:t>appeal (</w:t>
      </w:r>
      <w:proofErr w:type="spellStart"/>
      <w:r w:rsidRPr="00173709">
        <w:rPr>
          <w:rFonts w:ascii="Arial" w:hAnsi="Arial" w:cs="Arial"/>
          <w:sz w:val="20"/>
          <w:szCs w:val="20"/>
        </w:rPr>
        <w:t>Aoshima</w:t>
      </w:r>
      <w:proofErr w:type="spellEnd"/>
      <w:r w:rsidRPr="00173709">
        <w:rPr>
          <w:rFonts w:ascii="Arial" w:hAnsi="Arial" w:cs="Arial"/>
          <w:sz w:val="20"/>
          <w:szCs w:val="20"/>
        </w:rPr>
        <w:t xml:space="preserve"> et al., 2007). With respective scores of 6.5, fermented </w:t>
      </w:r>
      <w:r w:rsidR="00EF7C58" w:rsidRPr="00EF7C58">
        <w:rPr>
          <w:rFonts w:ascii="Arial" w:hAnsi="Arial" w:cs="Arial"/>
          <w:color w:val="00B0F0"/>
          <w:sz w:val="20"/>
          <w:szCs w:val="20"/>
        </w:rPr>
        <w:t>formulation</w:t>
      </w:r>
      <w:r w:rsidR="00EF7C58">
        <w:rPr>
          <w:rFonts w:ascii="Arial" w:hAnsi="Arial" w:cs="Arial"/>
          <w:sz w:val="20"/>
          <w:szCs w:val="20"/>
        </w:rPr>
        <w:t xml:space="preserve"> </w:t>
      </w:r>
      <w:r w:rsidRPr="00EF7C58">
        <w:rPr>
          <w:rFonts w:ascii="Arial" w:hAnsi="Arial" w:cs="Arial"/>
          <w:sz w:val="20"/>
          <w:szCs w:val="20"/>
          <w:highlight w:val="yellow"/>
        </w:rPr>
        <w:t>1b</w:t>
      </w:r>
      <w:r w:rsidRPr="00173709">
        <w:rPr>
          <w:rFonts w:ascii="Arial" w:hAnsi="Arial" w:cs="Arial"/>
          <w:sz w:val="20"/>
          <w:szCs w:val="20"/>
        </w:rPr>
        <w:t xml:space="preserve"> and non-fermented </w:t>
      </w:r>
      <w:r w:rsidR="00EF7C58" w:rsidRPr="00EF7C58">
        <w:rPr>
          <w:rFonts w:ascii="Arial" w:hAnsi="Arial" w:cs="Arial"/>
          <w:color w:val="00B0F0"/>
          <w:sz w:val="20"/>
          <w:szCs w:val="20"/>
        </w:rPr>
        <w:t>formulation</w:t>
      </w:r>
      <w:r w:rsidR="00EF7C58">
        <w:rPr>
          <w:rFonts w:ascii="Arial" w:hAnsi="Arial" w:cs="Arial"/>
          <w:sz w:val="20"/>
          <w:szCs w:val="20"/>
        </w:rPr>
        <w:t xml:space="preserve"> </w:t>
      </w:r>
      <w:r w:rsidRPr="00EF7C58">
        <w:rPr>
          <w:rFonts w:ascii="Arial" w:hAnsi="Arial" w:cs="Arial"/>
          <w:sz w:val="20"/>
          <w:szCs w:val="20"/>
          <w:highlight w:val="yellow"/>
        </w:rPr>
        <w:t>2c</w:t>
      </w:r>
      <w:r w:rsidRPr="00173709">
        <w:rPr>
          <w:rFonts w:ascii="Arial" w:hAnsi="Arial" w:cs="Arial"/>
          <w:sz w:val="20"/>
          <w:szCs w:val="20"/>
        </w:rPr>
        <w:t xml:space="preserve"> were the most favored in terms of flavor. Fermented </w:t>
      </w:r>
      <w:r w:rsidR="00EF7C58" w:rsidRPr="00EF7C58">
        <w:rPr>
          <w:rFonts w:ascii="Arial" w:hAnsi="Arial" w:cs="Arial"/>
          <w:color w:val="00B0F0"/>
          <w:sz w:val="20"/>
          <w:szCs w:val="20"/>
        </w:rPr>
        <w:t>formulation</w:t>
      </w:r>
      <w:r w:rsidR="00EF7C58">
        <w:rPr>
          <w:rFonts w:ascii="Arial" w:hAnsi="Arial" w:cs="Arial"/>
          <w:sz w:val="20"/>
          <w:szCs w:val="20"/>
        </w:rPr>
        <w:t xml:space="preserve"> </w:t>
      </w:r>
      <w:r w:rsidRPr="00EF7C58">
        <w:rPr>
          <w:rFonts w:ascii="Arial" w:hAnsi="Arial" w:cs="Arial"/>
          <w:sz w:val="20"/>
          <w:szCs w:val="20"/>
          <w:highlight w:val="yellow"/>
        </w:rPr>
        <w:t>1a</w:t>
      </w:r>
      <w:r w:rsidRPr="00173709">
        <w:rPr>
          <w:rFonts w:ascii="Arial" w:hAnsi="Arial" w:cs="Arial"/>
          <w:sz w:val="20"/>
          <w:szCs w:val="20"/>
        </w:rPr>
        <w:t xml:space="preserve"> obtained the highest score (6.83) for bitterness, indicating that the distinctive flavor of </w:t>
      </w:r>
      <w:r w:rsidRPr="00EF7C58">
        <w:rPr>
          <w:rFonts w:ascii="Arial" w:hAnsi="Arial" w:cs="Arial"/>
          <w:sz w:val="20"/>
          <w:szCs w:val="20"/>
          <w:highlight w:val="yellow"/>
        </w:rPr>
        <w:t>C. asiatica</w:t>
      </w:r>
      <w:r w:rsidRPr="00173709">
        <w:rPr>
          <w:rFonts w:ascii="Arial" w:hAnsi="Arial" w:cs="Arial"/>
          <w:sz w:val="20"/>
          <w:szCs w:val="20"/>
        </w:rPr>
        <w:t xml:space="preserve"> was retained. The highest levels of astringency were found in </w:t>
      </w:r>
      <w:r w:rsidR="00EF7C58" w:rsidRPr="00EF7C58">
        <w:rPr>
          <w:rFonts w:ascii="Arial" w:hAnsi="Arial" w:cs="Arial"/>
          <w:color w:val="00B0F0"/>
          <w:sz w:val="20"/>
          <w:szCs w:val="20"/>
        </w:rPr>
        <w:t>formulation</w:t>
      </w:r>
      <w:r w:rsidR="00EF7C58">
        <w:rPr>
          <w:rFonts w:ascii="Arial" w:hAnsi="Arial" w:cs="Arial"/>
          <w:color w:val="00B0F0"/>
          <w:sz w:val="20"/>
          <w:szCs w:val="20"/>
        </w:rPr>
        <w:t>s</w:t>
      </w:r>
      <w:r w:rsidR="00EF7C58">
        <w:rPr>
          <w:rFonts w:ascii="Arial" w:hAnsi="Arial" w:cs="Arial"/>
          <w:sz w:val="20"/>
          <w:szCs w:val="20"/>
        </w:rPr>
        <w:t xml:space="preserve"> </w:t>
      </w:r>
      <w:r w:rsidRPr="000C1E5C">
        <w:rPr>
          <w:rFonts w:ascii="Arial" w:hAnsi="Arial" w:cs="Arial"/>
          <w:sz w:val="20"/>
          <w:szCs w:val="20"/>
          <w:highlight w:val="yellow"/>
        </w:rPr>
        <w:t xml:space="preserve">1a </w:t>
      </w:r>
      <w:r w:rsidRPr="00173709">
        <w:rPr>
          <w:rFonts w:ascii="Arial" w:hAnsi="Arial" w:cs="Arial"/>
          <w:sz w:val="20"/>
          <w:szCs w:val="20"/>
        </w:rPr>
        <w:t xml:space="preserve">and </w:t>
      </w:r>
      <w:r w:rsidRPr="000C1E5C">
        <w:rPr>
          <w:rFonts w:ascii="Arial" w:hAnsi="Arial" w:cs="Arial"/>
          <w:sz w:val="20"/>
          <w:szCs w:val="20"/>
          <w:highlight w:val="yellow"/>
        </w:rPr>
        <w:t>2b</w:t>
      </w:r>
      <w:r w:rsidRPr="00173709">
        <w:rPr>
          <w:rFonts w:ascii="Arial" w:hAnsi="Arial" w:cs="Arial"/>
          <w:sz w:val="20"/>
          <w:szCs w:val="20"/>
        </w:rPr>
        <w:t xml:space="preserve">, which may be related to the tannin concentration. Fermented samples </w:t>
      </w:r>
      <w:r w:rsidRPr="000C1E5C">
        <w:rPr>
          <w:rFonts w:ascii="Arial" w:hAnsi="Arial" w:cs="Arial"/>
          <w:sz w:val="20"/>
          <w:szCs w:val="20"/>
          <w:highlight w:val="yellow"/>
        </w:rPr>
        <w:t xml:space="preserve">1a </w:t>
      </w:r>
      <w:r w:rsidRPr="00173709">
        <w:rPr>
          <w:rFonts w:ascii="Arial" w:hAnsi="Arial" w:cs="Arial"/>
          <w:sz w:val="20"/>
          <w:szCs w:val="20"/>
        </w:rPr>
        <w:t xml:space="preserve">and </w:t>
      </w:r>
      <w:r w:rsidRPr="000C1E5C">
        <w:rPr>
          <w:rFonts w:ascii="Arial" w:hAnsi="Arial" w:cs="Arial"/>
          <w:sz w:val="20"/>
          <w:szCs w:val="20"/>
          <w:highlight w:val="yellow"/>
        </w:rPr>
        <w:t xml:space="preserve">1b </w:t>
      </w:r>
      <w:r w:rsidRPr="00173709">
        <w:rPr>
          <w:rFonts w:ascii="Arial" w:hAnsi="Arial" w:cs="Arial"/>
          <w:sz w:val="20"/>
          <w:szCs w:val="20"/>
        </w:rPr>
        <w:t>had the greatest overall acceptability (6.67), suggesting that although non-fermented teas had higher antioxidant and phenolic content scores</w:t>
      </w:r>
      <w:r w:rsidR="000C1E5C">
        <w:rPr>
          <w:rFonts w:ascii="Arial" w:hAnsi="Arial" w:cs="Arial"/>
          <w:sz w:val="20"/>
          <w:szCs w:val="20"/>
        </w:rPr>
        <w:t>;</w:t>
      </w:r>
      <w:r w:rsidRPr="00173709">
        <w:rPr>
          <w:rFonts w:ascii="Arial" w:hAnsi="Arial" w:cs="Arial"/>
          <w:sz w:val="20"/>
          <w:szCs w:val="20"/>
        </w:rPr>
        <w:t xml:space="preserve"> fermented teas offered better sensory satisfaction. This discrepancy emphasizes how important it is to balance functional and sensory aspects while creating new products. Fermented teas may still be appreciated despite having lower antioxidant content because consumers frequently place a higher value on flavor and scent.</w:t>
      </w:r>
      <w:r w:rsidR="00EF7C58">
        <w:rPr>
          <w:rFonts w:ascii="Arial" w:hAnsi="Arial" w:cs="Arial"/>
          <w:sz w:val="20"/>
          <w:szCs w:val="20"/>
        </w:rPr>
        <w:t xml:space="preserve">  </w:t>
      </w:r>
    </w:p>
    <w:p w14:paraId="70DA887A" w14:textId="6B9EE050" w:rsidR="003D4D7A" w:rsidRPr="0077012B" w:rsidRDefault="0018078B" w:rsidP="00F7536F">
      <w:pPr>
        <w:spacing w:before="100" w:beforeAutospacing="1" w:after="100" w:afterAutospacing="1" w:line="360" w:lineRule="auto"/>
        <w:jc w:val="both"/>
        <w:rPr>
          <w:rFonts w:ascii="Arial" w:hAnsi="Arial" w:cs="Arial"/>
          <w:b/>
          <w:sz w:val="20"/>
          <w:szCs w:val="20"/>
        </w:rPr>
      </w:pPr>
      <w:r w:rsidRPr="0077012B">
        <w:rPr>
          <w:rFonts w:ascii="Arial" w:hAnsi="Arial" w:cs="Arial"/>
          <w:b/>
          <w:sz w:val="20"/>
          <w:szCs w:val="20"/>
        </w:rPr>
        <w:t>Table.</w:t>
      </w:r>
      <w:r w:rsidR="00EB15F5">
        <w:rPr>
          <w:rFonts w:ascii="Arial" w:hAnsi="Arial" w:cs="Arial"/>
          <w:b/>
          <w:sz w:val="20"/>
          <w:szCs w:val="20"/>
        </w:rPr>
        <w:t>3</w:t>
      </w:r>
      <w:proofErr w:type="gramStart"/>
      <w:r w:rsidR="007878A0" w:rsidRPr="0077012B">
        <w:rPr>
          <w:rFonts w:ascii="Arial" w:hAnsi="Arial" w:cs="Arial"/>
          <w:b/>
          <w:sz w:val="20"/>
          <w:szCs w:val="20"/>
        </w:rPr>
        <w:t xml:space="preserve">. </w:t>
      </w:r>
      <w:r w:rsidR="003D4D7A" w:rsidRPr="0077012B">
        <w:rPr>
          <w:rFonts w:ascii="Arial" w:hAnsi="Arial" w:cs="Arial"/>
          <w:b/>
          <w:sz w:val="20"/>
          <w:szCs w:val="20"/>
        </w:rPr>
        <w:t xml:space="preserve"> </w:t>
      </w:r>
      <w:r w:rsidR="00A536F6" w:rsidRPr="0077012B">
        <w:rPr>
          <w:rFonts w:ascii="Arial" w:hAnsi="Arial" w:cs="Arial"/>
          <w:b/>
          <w:sz w:val="20"/>
          <w:szCs w:val="20"/>
        </w:rPr>
        <w:t>9</w:t>
      </w:r>
      <w:proofErr w:type="gramEnd"/>
      <w:r w:rsidR="00A536F6" w:rsidRPr="0077012B">
        <w:rPr>
          <w:rFonts w:ascii="Arial" w:hAnsi="Arial" w:cs="Arial"/>
          <w:b/>
          <w:sz w:val="20"/>
          <w:szCs w:val="20"/>
        </w:rPr>
        <w:t>-Point Hedonic Scores for evaluation of Sensory Parameters</w:t>
      </w:r>
    </w:p>
    <w:tbl>
      <w:tblPr>
        <w:tblStyle w:val="TableGrid"/>
        <w:tblW w:w="0" w:type="auto"/>
        <w:tblLook w:val="04A0" w:firstRow="1" w:lastRow="0" w:firstColumn="1" w:lastColumn="0" w:noHBand="0" w:noVBand="1"/>
      </w:tblPr>
      <w:tblGrid>
        <w:gridCol w:w="3794"/>
        <w:gridCol w:w="1134"/>
        <w:gridCol w:w="992"/>
        <w:gridCol w:w="709"/>
        <w:gridCol w:w="850"/>
        <w:gridCol w:w="993"/>
        <w:gridCol w:w="770"/>
      </w:tblGrid>
      <w:tr w:rsidR="001E3F0F" w14:paraId="62638BC0" w14:textId="77777777" w:rsidTr="000C1E5C">
        <w:tc>
          <w:tcPr>
            <w:tcW w:w="3794" w:type="dxa"/>
          </w:tcPr>
          <w:p w14:paraId="0AB2ACB4" w14:textId="77777777" w:rsidR="001E3F0F" w:rsidRPr="000238DE" w:rsidRDefault="001E3F0F" w:rsidP="007B08B3">
            <w:pPr>
              <w:pStyle w:val="TableParagraph"/>
              <w:spacing w:line="275" w:lineRule="exact"/>
              <w:ind w:left="16" w:right="2"/>
              <w:jc w:val="left"/>
              <w:rPr>
                <w:b/>
                <w:sz w:val="24"/>
              </w:rPr>
            </w:pPr>
            <w:r w:rsidRPr="000238DE">
              <w:rPr>
                <w:b/>
                <w:spacing w:val="-2"/>
                <w:sz w:val="24"/>
              </w:rPr>
              <w:t>Samples</w:t>
            </w:r>
          </w:p>
        </w:tc>
        <w:tc>
          <w:tcPr>
            <w:tcW w:w="1134" w:type="dxa"/>
          </w:tcPr>
          <w:p w14:paraId="03983CF3" w14:textId="77777777" w:rsidR="001E3F0F" w:rsidRPr="000C1E5C" w:rsidRDefault="001E3F0F" w:rsidP="002721C7">
            <w:pPr>
              <w:pStyle w:val="TableParagraph"/>
              <w:spacing w:line="275" w:lineRule="exact"/>
              <w:ind w:left="18" w:right="3"/>
              <w:rPr>
                <w:b/>
                <w:sz w:val="24"/>
                <w:highlight w:val="yellow"/>
              </w:rPr>
            </w:pPr>
            <w:r w:rsidRPr="000C1E5C">
              <w:rPr>
                <w:b/>
                <w:spacing w:val="-5"/>
                <w:sz w:val="24"/>
                <w:highlight w:val="yellow"/>
              </w:rPr>
              <w:t>1a</w:t>
            </w:r>
          </w:p>
        </w:tc>
        <w:tc>
          <w:tcPr>
            <w:tcW w:w="992" w:type="dxa"/>
          </w:tcPr>
          <w:p w14:paraId="0266FBAA" w14:textId="77777777" w:rsidR="001E3F0F" w:rsidRPr="000C1E5C" w:rsidRDefault="001E3F0F" w:rsidP="002721C7">
            <w:pPr>
              <w:pStyle w:val="TableParagraph"/>
              <w:spacing w:line="275" w:lineRule="exact"/>
              <w:ind w:left="16" w:right="3"/>
              <w:rPr>
                <w:b/>
                <w:sz w:val="24"/>
                <w:highlight w:val="yellow"/>
              </w:rPr>
            </w:pPr>
            <w:r w:rsidRPr="000C1E5C">
              <w:rPr>
                <w:b/>
                <w:spacing w:val="-5"/>
                <w:sz w:val="24"/>
                <w:highlight w:val="yellow"/>
              </w:rPr>
              <w:t>1b</w:t>
            </w:r>
          </w:p>
        </w:tc>
        <w:tc>
          <w:tcPr>
            <w:tcW w:w="709" w:type="dxa"/>
          </w:tcPr>
          <w:p w14:paraId="43D163E0" w14:textId="77777777" w:rsidR="001E3F0F" w:rsidRPr="000C1E5C" w:rsidRDefault="001E3F0F" w:rsidP="002721C7">
            <w:pPr>
              <w:pStyle w:val="TableParagraph"/>
              <w:spacing w:line="275" w:lineRule="exact"/>
              <w:ind w:left="18" w:right="1"/>
              <w:rPr>
                <w:b/>
                <w:sz w:val="24"/>
                <w:highlight w:val="yellow"/>
              </w:rPr>
            </w:pPr>
            <w:r w:rsidRPr="000C1E5C">
              <w:rPr>
                <w:b/>
                <w:spacing w:val="-5"/>
                <w:sz w:val="24"/>
                <w:highlight w:val="yellow"/>
              </w:rPr>
              <w:t>1c</w:t>
            </w:r>
          </w:p>
        </w:tc>
        <w:tc>
          <w:tcPr>
            <w:tcW w:w="850" w:type="dxa"/>
          </w:tcPr>
          <w:p w14:paraId="52F16E47" w14:textId="77777777" w:rsidR="001E3F0F" w:rsidRPr="000C1E5C" w:rsidRDefault="001E3F0F" w:rsidP="002721C7">
            <w:pPr>
              <w:pStyle w:val="TableParagraph"/>
              <w:spacing w:line="275" w:lineRule="exact"/>
              <w:ind w:left="14" w:right="1"/>
              <w:rPr>
                <w:b/>
                <w:sz w:val="24"/>
                <w:highlight w:val="yellow"/>
              </w:rPr>
            </w:pPr>
            <w:r w:rsidRPr="000C1E5C">
              <w:rPr>
                <w:b/>
                <w:spacing w:val="-5"/>
                <w:sz w:val="24"/>
                <w:highlight w:val="yellow"/>
              </w:rPr>
              <w:t>2a</w:t>
            </w:r>
          </w:p>
        </w:tc>
        <w:tc>
          <w:tcPr>
            <w:tcW w:w="993" w:type="dxa"/>
          </w:tcPr>
          <w:p w14:paraId="13208BD6" w14:textId="77777777" w:rsidR="001E3F0F" w:rsidRPr="000C1E5C" w:rsidRDefault="001E3F0F" w:rsidP="002721C7">
            <w:pPr>
              <w:pStyle w:val="TableParagraph"/>
              <w:spacing w:line="275" w:lineRule="exact"/>
              <w:ind w:left="18" w:right="3"/>
              <w:rPr>
                <w:b/>
                <w:sz w:val="24"/>
                <w:highlight w:val="yellow"/>
              </w:rPr>
            </w:pPr>
            <w:r w:rsidRPr="000C1E5C">
              <w:rPr>
                <w:b/>
                <w:spacing w:val="-5"/>
                <w:sz w:val="24"/>
                <w:highlight w:val="yellow"/>
              </w:rPr>
              <w:t>2b</w:t>
            </w:r>
          </w:p>
        </w:tc>
        <w:tc>
          <w:tcPr>
            <w:tcW w:w="770" w:type="dxa"/>
          </w:tcPr>
          <w:p w14:paraId="62A155C0" w14:textId="77777777" w:rsidR="001E3F0F" w:rsidRPr="000C1E5C" w:rsidRDefault="001E3F0F" w:rsidP="002721C7">
            <w:pPr>
              <w:pStyle w:val="TableParagraph"/>
              <w:spacing w:line="275" w:lineRule="exact"/>
              <w:ind w:left="14" w:right="1"/>
              <w:rPr>
                <w:b/>
                <w:sz w:val="24"/>
                <w:highlight w:val="yellow"/>
              </w:rPr>
            </w:pPr>
            <w:r w:rsidRPr="000C1E5C">
              <w:rPr>
                <w:b/>
                <w:spacing w:val="-5"/>
                <w:sz w:val="24"/>
                <w:highlight w:val="yellow"/>
              </w:rPr>
              <w:t>2c</w:t>
            </w:r>
          </w:p>
        </w:tc>
      </w:tr>
      <w:tr w:rsidR="003D4D7A" w14:paraId="6EAECB43" w14:textId="77777777" w:rsidTr="000C1E5C">
        <w:tc>
          <w:tcPr>
            <w:tcW w:w="3794" w:type="dxa"/>
          </w:tcPr>
          <w:p w14:paraId="1FF53F43" w14:textId="77777777" w:rsidR="003D4D7A" w:rsidRPr="003A10C5" w:rsidRDefault="003D4D7A" w:rsidP="00F7536F">
            <w:pPr>
              <w:spacing w:before="100" w:beforeAutospacing="1" w:after="100" w:afterAutospacing="1" w:line="360" w:lineRule="auto"/>
              <w:jc w:val="both"/>
              <w:rPr>
                <w:rFonts w:ascii="Times New Roman" w:hAnsi="Times New Roman" w:cs="Times New Roman"/>
                <w:b/>
                <w:sz w:val="24"/>
                <w:szCs w:val="24"/>
              </w:rPr>
            </w:pPr>
            <w:proofErr w:type="spellStart"/>
            <w:r w:rsidRPr="003A10C5">
              <w:rPr>
                <w:rFonts w:ascii="Times New Roman" w:hAnsi="Times New Roman" w:cs="Times New Roman"/>
                <w:b/>
                <w:sz w:val="24"/>
                <w:szCs w:val="24"/>
              </w:rPr>
              <w:t>Colour</w:t>
            </w:r>
            <w:proofErr w:type="spellEnd"/>
          </w:p>
        </w:tc>
        <w:tc>
          <w:tcPr>
            <w:tcW w:w="1134" w:type="dxa"/>
          </w:tcPr>
          <w:p w14:paraId="1E88A025" w14:textId="77777777" w:rsidR="003D4D7A" w:rsidRDefault="003D4D7A" w:rsidP="002721C7">
            <w:pPr>
              <w:pStyle w:val="TableParagraph"/>
              <w:spacing w:line="270" w:lineRule="exact"/>
              <w:ind w:left="24"/>
              <w:rPr>
                <w:sz w:val="24"/>
              </w:rPr>
            </w:pPr>
            <w:r>
              <w:rPr>
                <w:spacing w:val="-10"/>
                <w:sz w:val="24"/>
              </w:rPr>
              <w:t>7</w:t>
            </w:r>
          </w:p>
        </w:tc>
        <w:tc>
          <w:tcPr>
            <w:tcW w:w="992" w:type="dxa"/>
          </w:tcPr>
          <w:p w14:paraId="7A7464C2" w14:textId="77777777" w:rsidR="003D4D7A" w:rsidRDefault="003D4D7A" w:rsidP="002721C7">
            <w:pPr>
              <w:pStyle w:val="TableParagraph"/>
              <w:spacing w:line="270" w:lineRule="exact"/>
              <w:ind w:left="21" w:right="9"/>
              <w:rPr>
                <w:sz w:val="24"/>
              </w:rPr>
            </w:pPr>
            <w:r>
              <w:rPr>
                <w:spacing w:val="-4"/>
                <w:sz w:val="24"/>
              </w:rPr>
              <w:t>6.33</w:t>
            </w:r>
          </w:p>
        </w:tc>
        <w:tc>
          <w:tcPr>
            <w:tcW w:w="709" w:type="dxa"/>
          </w:tcPr>
          <w:p w14:paraId="5E4A64F4" w14:textId="77777777" w:rsidR="003D4D7A" w:rsidRDefault="003D4D7A" w:rsidP="002721C7">
            <w:pPr>
              <w:pStyle w:val="TableParagraph"/>
              <w:spacing w:line="270" w:lineRule="exact"/>
              <w:ind w:left="21" w:right="8"/>
              <w:rPr>
                <w:sz w:val="24"/>
              </w:rPr>
            </w:pPr>
            <w:r>
              <w:rPr>
                <w:spacing w:val="-4"/>
                <w:sz w:val="24"/>
              </w:rPr>
              <w:t>6.67</w:t>
            </w:r>
          </w:p>
        </w:tc>
        <w:tc>
          <w:tcPr>
            <w:tcW w:w="850" w:type="dxa"/>
          </w:tcPr>
          <w:p w14:paraId="670FD5DB" w14:textId="77777777" w:rsidR="003D4D7A" w:rsidRDefault="003D4D7A" w:rsidP="002721C7">
            <w:pPr>
              <w:pStyle w:val="TableParagraph"/>
              <w:spacing w:line="270" w:lineRule="exact"/>
              <w:ind w:left="21" w:right="13"/>
              <w:rPr>
                <w:sz w:val="24"/>
              </w:rPr>
            </w:pPr>
            <w:r>
              <w:rPr>
                <w:spacing w:val="-4"/>
                <w:sz w:val="24"/>
              </w:rPr>
              <w:t>6.17</w:t>
            </w:r>
          </w:p>
        </w:tc>
        <w:tc>
          <w:tcPr>
            <w:tcW w:w="993" w:type="dxa"/>
          </w:tcPr>
          <w:p w14:paraId="658C1E01" w14:textId="77777777" w:rsidR="003D4D7A" w:rsidRDefault="003D4D7A" w:rsidP="002721C7">
            <w:pPr>
              <w:pStyle w:val="TableParagraph"/>
              <w:spacing w:line="270" w:lineRule="exact"/>
              <w:ind w:left="26" w:right="15"/>
              <w:rPr>
                <w:sz w:val="24"/>
              </w:rPr>
            </w:pPr>
            <w:r>
              <w:rPr>
                <w:spacing w:val="-4"/>
                <w:sz w:val="24"/>
              </w:rPr>
              <w:t>6.17</w:t>
            </w:r>
          </w:p>
        </w:tc>
        <w:tc>
          <w:tcPr>
            <w:tcW w:w="770" w:type="dxa"/>
          </w:tcPr>
          <w:p w14:paraId="4B67F856" w14:textId="77777777" w:rsidR="003D4D7A" w:rsidRDefault="003D4D7A" w:rsidP="002721C7">
            <w:pPr>
              <w:pStyle w:val="TableParagraph"/>
              <w:spacing w:line="270" w:lineRule="exact"/>
              <w:ind w:left="26" w:right="8"/>
              <w:rPr>
                <w:sz w:val="24"/>
              </w:rPr>
            </w:pPr>
            <w:r>
              <w:rPr>
                <w:spacing w:val="-4"/>
                <w:sz w:val="24"/>
              </w:rPr>
              <w:t>6.50</w:t>
            </w:r>
          </w:p>
        </w:tc>
      </w:tr>
      <w:tr w:rsidR="003D4D7A" w14:paraId="6147C284" w14:textId="77777777" w:rsidTr="000C1E5C">
        <w:tc>
          <w:tcPr>
            <w:tcW w:w="3794" w:type="dxa"/>
          </w:tcPr>
          <w:p w14:paraId="42B8C93E" w14:textId="77777777" w:rsidR="003D4D7A" w:rsidRPr="003A10C5" w:rsidRDefault="003D4D7A" w:rsidP="00F7536F">
            <w:pPr>
              <w:spacing w:before="100" w:beforeAutospacing="1" w:after="100" w:afterAutospacing="1" w:line="360" w:lineRule="auto"/>
              <w:jc w:val="both"/>
              <w:rPr>
                <w:rFonts w:ascii="Times New Roman" w:hAnsi="Times New Roman" w:cs="Times New Roman"/>
                <w:b/>
                <w:sz w:val="24"/>
                <w:szCs w:val="24"/>
              </w:rPr>
            </w:pPr>
            <w:r w:rsidRPr="003A10C5">
              <w:rPr>
                <w:rFonts w:ascii="Times New Roman" w:hAnsi="Times New Roman" w:cs="Times New Roman"/>
                <w:b/>
                <w:sz w:val="24"/>
                <w:szCs w:val="24"/>
              </w:rPr>
              <w:t>Taste</w:t>
            </w:r>
          </w:p>
        </w:tc>
        <w:tc>
          <w:tcPr>
            <w:tcW w:w="1134" w:type="dxa"/>
          </w:tcPr>
          <w:p w14:paraId="460D2BC3" w14:textId="77777777" w:rsidR="003D4D7A" w:rsidRDefault="003D4D7A" w:rsidP="002721C7">
            <w:pPr>
              <w:pStyle w:val="TableParagraph"/>
              <w:spacing w:line="273" w:lineRule="exact"/>
              <w:ind w:left="11" w:right="4"/>
              <w:rPr>
                <w:sz w:val="24"/>
              </w:rPr>
            </w:pPr>
            <w:r>
              <w:rPr>
                <w:spacing w:val="-4"/>
                <w:sz w:val="24"/>
              </w:rPr>
              <w:t>6.33</w:t>
            </w:r>
          </w:p>
        </w:tc>
        <w:tc>
          <w:tcPr>
            <w:tcW w:w="992" w:type="dxa"/>
          </w:tcPr>
          <w:p w14:paraId="0254A253" w14:textId="77777777" w:rsidR="003D4D7A" w:rsidRDefault="003D4D7A" w:rsidP="002721C7">
            <w:pPr>
              <w:pStyle w:val="TableParagraph"/>
              <w:spacing w:line="273" w:lineRule="exact"/>
              <w:ind w:left="9" w:right="3"/>
              <w:rPr>
                <w:sz w:val="24"/>
              </w:rPr>
            </w:pPr>
            <w:r>
              <w:rPr>
                <w:spacing w:val="-4"/>
                <w:sz w:val="24"/>
              </w:rPr>
              <w:t>6.50</w:t>
            </w:r>
          </w:p>
        </w:tc>
        <w:tc>
          <w:tcPr>
            <w:tcW w:w="709" w:type="dxa"/>
          </w:tcPr>
          <w:p w14:paraId="03E3EC66" w14:textId="77777777" w:rsidR="003D4D7A" w:rsidRDefault="003D4D7A" w:rsidP="002721C7">
            <w:pPr>
              <w:pStyle w:val="TableParagraph"/>
              <w:spacing w:line="273" w:lineRule="exact"/>
              <w:ind w:left="9" w:right="8"/>
              <w:rPr>
                <w:sz w:val="24"/>
              </w:rPr>
            </w:pPr>
            <w:r>
              <w:rPr>
                <w:spacing w:val="-4"/>
                <w:sz w:val="24"/>
              </w:rPr>
              <w:t>6.33</w:t>
            </w:r>
          </w:p>
        </w:tc>
        <w:tc>
          <w:tcPr>
            <w:tcW w:w="850" w:type="dxa"/>
          </w:tcPr>
          <w:p w14:paraId="59F0B8E8" w14:textId="77777777" w:rsidR="003D4D7A" w:rsidRDefault="003D4D7A" w:rsidP="002721C7">
            <w:pPr>
              <w:pStyle w:val="TableParagraph"/>
              <w:spacing w:line="273" w:lineRule="exact"/>
              <w:ind w:left="2"/>
              <w:rPr>
                <w:sz w:val="24"/>
              </w:rPr>
            </w:pPr>
            <w:r>
              <w:rPr>
                <w:spacing w:val="-4"/>
                <w:sz w:val="24"/>
              </w:rPr>
              <w:t>5.67</w:t>
            </w:r>
          </w:p>
        </w:tc>
        <w:tc>
          <w:tcPr>
            <w:tcW w:w="993" w:type="dxa"/>
          </w:tcPr>
          <w:p w14:paraId="02F2816E" w14:textId="77777777" w:rsidR="003D4D7A" w:rsidRDefault="003D4D7A" w:rsidP="002721C7">
            <w:pPr>
              <w:pStyle w:val="TableParagraph"/>
              <w:spacing w:line="273" w:lineRule="exact"/>
              <w:ind w:right="1"/>
              <w:rPr>
                <w:sz w:val="24"/>
              </w:rPr>
            </w:pPr>
            <w:r>
              <w:rPr>
                <w:spacing w:val="-4"/>
                <w:sz w:val="24"/>
              </w:rPr>
              <w:t>5.67</w:t>
            </w:r>
          </w:p>
        </w:tc>
        <w:tc>
          <w:tcPr>
            <w:tcW w:w="770" w:type="dxa"/>
          </w:tcPr>
          <w:p w14:paraId="2C5C0565" w14:textId="77777777" w:rsidR="003D4D7A" w:rsidRDefault="003D4D7A" w:rsidP="002721C7">
            <w:pPr>
              <w:pStyle w:val="TableParagraph"/>
              <w:spacing w:line="273" w:lineRule="exact"/>
              <w:ind w:left="9" w:right="9"/>
              <w:rPr>
                <w:sz w:val="24"/>
              </w:rPr>
            </w:pPr>
            <w:r>
              <w:rPr>
                <w:spacing w:val="-4"/>
                <w:sz w:val="24"/>
              </w:rPr>
              <w:t>6.50</w:t>
            </w:r>
          </w:p>
        </w:tc>
      </w:tr>
      <w:tr w:rsidR="005215EA" w14:paraId="27A68246" w14:textId="77777777" w:rsidTr="000C1E5C">
        <w:tc>
          <w:tcPr>
            <w:tcW w:w="3794" w:type="dxa"/>
          </w:tcPr>
          <w:p w14:paraId="18FE3618" w14:textId="77777777" w:rsidR="005215EA" w:rsidRPr="003A10C5" w:rsidRDefault="005215EA" w:rsidP="00F7536F">
            <w:pPr>
              <w:spacing w:before="100" w:beforeAutospacing="1" w:after="100" w:afterAutospacing="1" w:line="360" w:lineRule="auto"/>
              <w:jc w:val="both"/>
              <w:rPr>
                <w:rFonts w:ascii="Times New Roman" w:hAnsi="Times New Roman" w:cs="Times New Roman"/>
                <w:b/>
                <w:sz w:val="24"/>
                <w:szCs w:val="24"/>
              </w:rPr>
            </w:pPr>
            <w:r w:rsidRPr="003A10C5">
              <w:rPr>
                <w:rFonts w:ascii="Times New Roman" w:hAnsi="Times New Roman" w:cs="Times New Roman"/>
                <w:b/>
                <w:sz w:val="24"/>
                <w:szCs w:val="24"/>
              </w:rPr>
              <w:t>Aroma</w:t>
            </w:r>
          </w:p>
        </w:tc>
        <w:tc>
          <w:tcPr>
            <w:tcW w:w="1134" w:type="dxa"/>
          </w:tcPr>
          <w:p w14:paraId="6B6DFF06" w14:textId="77777777" w:rsidR="005215EA" w:rsidRDefault="005215EA" w:rsidP="002721C7">
            <w:pPr>
              <w:pStyle w:val="TableParagraph"/>
              <w:spacing w:line="273" w:lineRule="exact"/>
              <w:ind w:left="11" w:right="4"/>
              <w:rPr>
                <w:sz w:val="24"/>
              </w:rPr>
            </w:pPr>
            <w:r>
              <w:rPr>
                <w:spacing w:val="-4"/>
                <w:sz w:val="24"/>
              </w:rPr>
              <w:t>7.50</w:t>
            </w:r>
          </w:p>
        </w:tc>
        <w:tc>
          <w:tcPr>
            <w:tcW w:w="992" w:type="dxa"/>
          </w:tcPr>
          <w:p w14:paraId="75DD6DE1" w14:textId="77777777" w:rsidR="005215EA" w:rsidRDefault="005215EA" w:rsidP="002721C7">
            <w:pPr>
              <w:pStyle w:val="TableParagraph"/>
              <w:spacing w:line="273" w:lineRule="exact"/>
              <w:ind w:left="16" w:right="6"/>
              <w:rPr>
                <w:sz w:val="24"/>
              </w:rPr>
            </w:pPr>
            <w:r>
              <w:rPr>
                <w:spacing w:val="-4"/>
                <w:sz w:val="24"/>
              </w:rPr>
              <w:t>6.83</w:t>
            </w:r>
          </w:p>
        </w:tc>
        <w:tc>
          <w:tcPr>
            <w:tcW w:w="709" w:type="dxa"/>
          </w:tcPr>
          <w:p w14:paraId="4ACD55BC" w14:textId="77777777" w:rsidR="005215EA" w:rsidRDefault="005215EA" w:rsidP="002721C7">
            <w:pPr>
              <w:pStyle w:val="TableParagraph"/>
              <w:spacing w:line="273" w:lineRule="exact"/>
              <w:ind w:left="16" w:right="5"/>
              <w:rPr>
                <w:sz w:val="24"/>
              </w:rPr>
            </w:pPr>
            <w:r>
              <w:rPr>
                <w:spacing w:val="-4"/>
                <w:sz w:val="24"/>
              </w:rPr>
              <w:t>5.83</w:t>
            </w:r>
          </w:p>
        </w:tc>
        <w:tc>
          <w:tcPr>
            <w:tcW w:w="850" w:type="dxa"/>
          </w:tcPr>
          <w:p w14:paraId="425EF705" w14:textId="77777777" w:rsidR="005215EA" w:rsidRDefault="005215EA" w:rsidP="002721C7">
            <w:pPr>
              <w:pStyle w:val="TableParagraph"/>
              <w:spacing w:line="273" w:lineRule="exact"/>
              <w:ind w:left="16"/>
              <w:rPr>
                <w:sz w:val="24"/>
              </w:rPr>
            </w:pPr>
            <w:r>
              <w:rPr>
                <w:spacing w:val="-4"/>
                <w:sz w:val="24"/>
              </w:rPr>
              <w:t>6.17</w:t>
            </w:r>
          </w:p>
        </w:tc>
        <w:tc>
          <w:tcPr>
            <w:tcW w:w="993" w:type="dxa"/>
          </w:tcPr>
          <w:p w14:paraId="50375FF8" w14:textId="77777777" w:rsidR="005215EA" w:rsidRDefault="005215EA" w:rsidP="002721C7">
            <w:pPr>
              <w:pStyle w:val="TableParagraph"/>
              <w:spacing w:line="273" w:lineRule="exact"/>
              <w:ind w:left="29" w:right="5"/>
              <w:rPr>
                <w:sz w:val="24"/>
              </w:rPr>
            </w:pPr>
            <w:r>
              <w:rPr>
                <w:spacing w:val="-4"/>
                <w:sz w:val="24"/>
              </w:rPr>
              <w:t>6.00</w:t>
            </w:r>
          </w:p>
        </w:tc>
        <w:tc>
          <w:tcPr>
            <w:tcW w:w="770" w:type="dxa"/>
          </w:tcPr>
          <w:p w14:paraId="77698F2C" w14:textId="77777777" w:rsidR="005215EA" w:rsidRDefault="005215EA" w:rsidP="002721C7">
            <w:pPr>
              <w:pStyle w:val="TableParagraph"/>
              <w:spacing w:line="273" w:lineRule="exact"/>
              <w:ind w:left="29" w:right="3"/>
              <w:rPr>
                <w:sz w:val="24"/>
              </w:rPr>
            </w:pPr>
            <w:r>
              <w:rPr>
                <w:spacing w:val="-4"/>
                <w:sz w:val="24"/>
              </w:rPr>
              <w:t>6.17</w:t>
            </w:r>
          </w:p>
        </w:tc>
      </w:tr>
      <w:tr w:rsidR="00C77F9B" w14:paraId="4A5AD30A" w14:textId="77777777" w:rsidTr="000C1E5C">
        <w:tc>
          <w:tcPr>
            <w:tcW w:w="3794" w:type="dxa"/>
          </w:tcPr>
          <w:p w14:paraId="39E07180" w14:textId="77777777" w:rsidR="00C77F9B" w:rsidRPr="003A10C5" w:rsidRDefault="00C77F9B" w:rsidP="00F7536F">
            <w:pPr>
              <w:spacing w:before="100" w:beforeAutospacing="1" w:after="100" w:afterAutospacing="1" w:line="360" w:lineRule="auto"/>
              <w:jc w:val="both"/>
              <w:rPr>
                <w:rFonts w:ascii="Times New Roman" w:hAnsi="Times New Roman" w:cs="Times New Roman"/>
                <w:b/>
                <w:sz w:val="24"/>
                <w:szCs w:val="24"/>
              </w:rPr>
            </w:pPr>
            <w:r w:rsidRPr="003A10C5">
              <w:rPr>
                <w:rFonts w:ascii="Times New Roman" w:hAnsi="Times New Roman" w:cs="Times New Roman"/>
                <w:b/>
                <w:sz w:val="24"/>
                <w:szCs w:val="24"/>
              </w:rPr>
              <w:t>Astringency</w:t>
            </w:r>
          </w:p>
        </w:tc>
        <w:tc>
          <w:tcPr>
            <w:tcW w:w="1134" w:type="dxa"/>
          </w:tcPr>
          <w:p w14:paraId="726F0C92" w14:textId="77777777" w:rsidR="00C77F9B" w:rsidRDefault="00C77F9B" w:rsidP="002721C7">
            <w:pPr>
              <w:pStyle w:val="TableParagraph"/>
              <w:spacing w:line="273" w:lineRule="exact"/>
              <w:ind w:left="12" w:right="3"/>
              <w:rPr>
                <w:sz w:val="24"/>
              </w:rPr>
            </w:pPr>
            <w:r>
              <w:rPr>
                <w:spacing w:val="-4"/>
                <w:sz w:val="24"/>
              </w:rPr>
              <w:t>6.50</w:t>
            </w:r>
          </w:p>
        </w:tc>
        <w:tc>
          <w:tcPr>
            <w:tcW w:w="992" w:type="dxa"/>
          </w:tcPr>
          <w:p w14:paraId="29422B69" w14:textId="77777777" w:rsidR="00C77F9B" w:rsidRDefault="00C77F9B" w:rsidP="002721C7">
            <w:pPr>
              <w:pStyle w:val="TableParagraph"/>
              <w:spacing w:line="273" w:lineRule="exact"/>
              <w:ind w:left="6" w:right="6"/>
              <w:rPr>
                <w:sz w:val="24"/>
              </w:rPr>
            </w:pPr>
            <w:r>
              <w:rPr>
                <w:spacing w:val="-4"/>
                <w:sz w:val="24"/>
              </w:rPr>
              <w:t>6.17</w:t>
            </w:r>
          </w:p>
        </w:tc>
        <w:tc>
          <w:tcPr>
            <w:tcW w:w="709" w:type="dxa"/>
          </w:tcPr>
          <w:p w14:paraId="6A88240C" w14:textId="77777777" w:rsidR="00C77F9B" w:rsidRDefault="00C77F9B" w:rsidP="002721C7">
            <w:pPr>
              <w:pStyle w:val="TableParagraph"/>
              <w:spacing w:line="273" w:lineRule="exact"/>
              <w:ind w:left="12" w:right="10"/>
              <w:rPr>
                <w:sz w:val="24"/>
              </w:rPr>
            </w:pPr>
            <w:r>
              <w:rPr>
                <w:spacing w:val="-4"/>
                <w:sz w:val="24"/>
              </w:rPr>
              <w:t>6.17</w:t>
            </w:r>
          </w:p>
        </w:tc>
        <w:tc>
          <w:tcPr>
            <w:tcW w:w="850" w:type="dxa"/>
          </w:tcPr>
          <w:p w14:paraId="03DBD673" w14:textId="77777777" w:rsidR="00C77F9B" w:rsidRDefault="00C77F9B" w:rsidP="002721C7">
            <w:pPr>
              <w:pStyle w:val="TableParagraph"/>
              <w:spacing w:line="273" w:lineRule="exact"/>
              <w:rPr>
                <w:sz w:val="24"/>
              </w:rPr>
            </w:pPr>
            <w:r>
              <w:rPr>
                <w:spacing w:val="-4"/>
                <w:sz w:val="24"/>
              </w:rPr>
              <w:t>5.67</w:t>
            </w:r>
          </w:p>
        </w:tc>
        <w:tc>
          <w:tcPr>
            <w:tcW w:w="993" w:type="dxa"/>
          </w:tcPr>
          <w:p w14:paraId="23BEB772" w14:textId="77777777" w:rsidR="00C77F9B" w:rsidRDefault="00C77F9B" w:rsidP="002721C7">
            <w:pPr>
              <w:pStyle w:val="TableParagraph"/>
              <w:spacing w:line="273" w:lineRule="exact"/>
              <w:ind w:left="7" w:right="9"/>
              <w:rPr>
                <w:sz w:val="24"/>
              </w:rPr>
            </w:pPr>
            <w:r>
              <w:rPr>
                <w:spacing w:val="-4"/>
                <w:sz w:val="24"/>
              </w:rPr>
              <w:t>6.50</w:t>
            </w:r>
          </w:p>
        </w:tc>
        <w:tc>
          <w:tcPr>
            <w:tcW w:w="770" w:type="dxa"/>
          </w:tcPr>
          <w:p w14:paraId="669056B2" w14:textId="77777777" w:rsidR="00C77F9B" w:rsidRDefault="00C77F9B" w:rsidP="002721C7">
            <w:pPr>
              <w:pStyle w:val="TableParagraph"/>
              <w:spacing w:line="273" w:lineRule="exact"/>
              <w:ind w:right="9"/>
              <w:rPr>
                <w:sz w:val="24"/>
              </w:rPr>
            </w:pPr>
            <w:r>
              <w:rPr>
                <w:spacing w:val="-4"/>
                <w:sz w:val="24"/>
              </w:rPr>
              <w:t>6.17</w:t>
            </w:r>
          </w:p>
        </w:tc>
      </w:tr>
      <w:tr w:rsidR="00470A4F" w14:paraId="3A6E0512" w14:textId="77777777" w:rsidTr="000C1E5C">
        <w:tc>
          <w:tcPr>
            <w:tcW w:w="3794" w:type="dxa"/>
          </w:tcPr>
          <w:p w14:paraId="195F0173" w14:textId="77777777" w:rsidR="00470A4F" w:rsidRPr="003A10C5" w:rsidRDefault="00470A4F" w:rsidP="00F7536F">
            <w:pPr>
              <w:spacing w:before="100" w:beforeAutospacing="1" w:after="100" w:afterAutospacing="1" w:line="360" w:lineRule="auto"/>
              <w:jc w:val="both"/>
              <w:rPr>
                <w:rFonts w:ascii="Times New Roman" w:hAnsi="Times New Roman" w:cs="Times New Roman"/>
                <w:b/>
                <w:sz w:val="24"/>
                <w:szCs w:val="24"/>
              </w:rPr>
            </w:pPr>
            <w:r w:rsidRPr="003A10C5">
              <w:rPr>
                <w:rFonts w:ascii="Times New Roman" w:hAnsi="Times New Roman" w:cs="Times New Roman"/>
                <w:b/>
                <w:sz w:val="24"/>
                <w:szCs w:val="24"/>
              </w:rPr>
              <w:t>Bitterness</w:t>
            </w:r>
          </w:p>
        </w:tc>
        <w:tc>
          <w:tcPr>
            <w:tcW w:w="1134" w:type="dxa"/>
          </w:tcPr>
          <w:p w14:paraId="6CC751F2" w14:textId="77777777" w:rsidR="00470A4F" w:rsidRDefault="00470A4F" w:rsidP="002721C7">
            <w:pPr>
              <w:pStyle w:val="TableParagraph"/>
              <w:spacing w:line="273" w:lineRule="exact"/>
              <w:ind w:left="18" w:right="6"/>
              <w:rPr>
                <w:sz w:val="24"/>
              </w:rPr>
            </w:pPr>
            <w:r>
              <w:rPr>
                <w:spacing w:val="-4"/>
                <w:sz w:val="24"/>
              </w:rPr>
              <w:t>6.83</w:t>
            </w:r>
          </w:p>
        </w:tc>
        <w:tc>
          <w:tcPr>
            <w:tcW w:w="992" w:type="dxa"/>
          </w:tcPr>
          <w:p w14:paraId="359FA175" w14:textId="77777777" w:rsidR="00470A4F" w:rsidRDefault="00470A4F" w:rsidP="002721C7">
            <w:pPr>
              <w:pStyle w:val="TableParagraph"/>
              <w:spacing w:line="273" w:lineRule="exact"/>
              <w:ind w:left="16" w:right="6"/>
              <w:rPr>
                <w:sz w:val="24"/>
              </w:rPr>
            </w:pPr>
            <w:r>
              <w:rPr>
                <w:spacing w:val="-4"/>
                <w:sz w:val="24"/>
              </w:rPr>
              <w:t>6.17</w:t>
            </w:r>
          </w:p>
        </w:tc>
        <w:tc>
          <w:tcPr>
            <w:tcW w:w="709" w:type="dxa"/>
          </w:tcPr>
          <w:p w14:paraId="4801D8C0" w14:textId="77777777" w:rsidR="00470A4F" w:rsidRDefault="00470A4F" w:rsidP="002721C7">
            <w:pPr>
              <w:pStyle w:val="TableParagraph"/>
              <w:spacing w:line="273" w:lineRule="exact"/>
              <w:ind w:left="18"/>
              <w:rPr>
                <w:sz w:val="24"/>
              </w:rPr>
            </w:pPr>
            <w:r>
              <w:rPr>
                <w:spacing w:val="-4"/>
                <w:sz w:val="24"/>
              </w:rPr>
              <w:t>5.83</w:t>
            </w:r>
          </w:p>
        </w:tc>
        <w:tc>
          <w:tcPr>
            <w:tcW w:w="850" w:type="dxa"/>
          </w:tcPr>
          <w:p w14:paraId="09E51006" w14:textId="77777777" w:rsidR="00470A4F" w:rsidRDefault="00470A4F" w:rsidP="002721C7">
            <w:pPr>
              <w:pStyle w:val="TableParagraph"/>
              <w:spacing w:line="273" w:lineRule="exact"/>
              <w:ind w:left="14" w:right="4"/>
              <w:rPr>
                <w:sz w:val="24"/>
              </w:rPr>
            </w:pPr>
            <w:r>
              <w:rPr>
                <w:spacing w:val="-4"/>
                <w:sz w:val="24"/>
              </w:rPr>
              <w:t>6.00</w:t>
            </w:r>
          </w:p>
        </w:tc>
        <w:tc>
          <w:tcPr>
            <w:tcW w:w="993" w:type="dxa"/>
          </w:tcPr>
          <w:p w14:paraId="33A47A97" w14:textId="77777777" w:rsidR="00470A4F" w:rsidRDefault="00470A4F" w:rsidP="002721C7">
            <w:pPr>
              <w:pStyle w:val="TableParagraph"/>
              <w:spacing w:line="273" w:lineRule="exact"/>
              <w:ind w:left="18"/>
              <w:rPr>
                <w:sz w:val="24"/>
              </w:rPr>
            </w:pPr>
            <w:r>
              <w:rPr>
                <w:spacing w:val="-4"/>
                <w:sz w:val="24"/>
              </w:rPr>
              <w:t>5.67</w:t>
            </w:r>
          </w:p>
        </w:tc>
        <w:tc>
          <w:tcPr>
            <w:tcW w:w="770" w:type="dxa"/>
          </w:tcPr>
          <w:p w14:paraId="47FFC67A" w14:textId="77777777" w:rsidR="00470A4F" w:rsidRDefault="00470A4F" w:rsidP="002721C7">
            <w:pPr>
              <w:pStyle w:val="TableParagraph"/>
              <w:spacing w:line="273" w:lineRule="exact"/>
              <w:ind w:left="14"/>
              <w:rPr>
                <w:sz w:val="24"/>
              </w:rPr>
            </w:pPr>
            <w:r>
              <w:rPr>
                <w:spacing w:val="-4"/>
                <w:sz w:val="24"/>
              </w:rPr>
              <w:t>6.33</w:t>
            </w:r>
          </w:p>
        </w:tc>
      </w:tr>
      <w:tr w:rsidR="00470A4F" w14:paraId="0A71AC22" w14:textId="77777777" w:rsidTr="000C1E5C">
        <w:tc>
          <w:tcPr>
            <w:tcW w:w="3794" w:type="dxa"/>
          </w:tcPr>
          <w:p w14:paraId="29C559B5" w14:textId="77777777" w:rsidR="00470A4F" w:rsidRPr="003A10C5" w:rsidRDefault="00470A4F" w:rsidP="00F7536F">
            <w:pPr>
              <w:spacing w:before="100" w:beforeAutospacing="1" w:after="100" w:afterAutospacing="1" w:line="360" w:lineRule="auto"/>
              <w:jc w:val="both"/>
              <w:rPr>
                <w:rFonts w:ascii="Times New Roman" w:hAnsi="Times New Roman" w:cs="Times New Roman"/>
                <w:b/>
                <w:sz w:val="24"/>
                <w:szCs w:val="24"/>
              </w:rPr>
            </w:pPr>
            <w:r w:rsidRPr="003A10C5">
              <w:rPr>
                <w:rFonts w:ascii="Times New Roman" w:hAnsi="Times New Roman" w:cs="Times New Roman"/>
                <w:b/>
                <w:sz w:val="24"/>
                <w:szCs w:val="24"/>
              </w:rPr>
              <w:t>Overall Acceptability</w:t>
            </w:r>
          </w:p>
        </w:tc>
        <w:tc>
          <w:tcPr>
            <w:tcW w:w="1134" w:type="dxa"/>
          </w:tcPr>
          <w:p w14:paraId="130F4A40" w14:textId="77777777" w:rsidR="00470A4F" w:rsidRPr="00A74758" w:rsidRDefault="00470A4F" w:rsidP="002721C7">
            <w:pPr>
              <w:pStyle w:val="TableParagraph"/>
              <w:spacing w:line="273" w:lineRule="exact"/>
              <w:ind w:left="18" w:right="6"/>
              <w:rPr>
                <w:b/>
                <w:sz w:val="24"/>
              </w:rPr>
            </w:pPr>
            <w:r w:rsidRPr="00A74758">
              <w:rPr>
                <w:b/>
                <w:spacing w:val="-4"/>
                <w:sz w:val="24"/>
              </w:rPr>
              <w:t>6.67</w:t>
            </w:r>
          </w:p>
        </w:tc>
        <w:tc>
          <w:tcPr>
            <w:tcW w:w="992" w:type="dxa"/>
          </w:tcPr>
          <w:p w14:paraId="4CA03664" w14:textId="77777777" w:rsidR="00470A4F" w:rsidRPr="00A74758" w:rsidRDefault="00470A4F" w:rsidP="002721C7">
            <w:pPr>
              <w:pStyle w:val="TableParagraph"/>
              <w:spacing w:line="273" w:lineRule="exact"/>
              <w:ind w:left="16" w:right="6"/>
              <w:rPr>
                <w:b/>
                <w:sz w:val="24"/>
              </w:rPr>
            </w:pPr>
            <w:r w:rsidRPr="00A74758">
              <w:rPr>
                <w:b/>
                <w:spacing w:val="-4"/>
                <w:sz w:val="24"/>
              </w:rPr>
              <w:t>6.67</w:t>
            </w:r>
          </w:p>
        </w:tc>
        <w:tc>
          <w:tcPr>
            <w:tcW w:w="709" w:type="dxa"/>
          </w:tcPr>
          <w:p w14:paraId="39537C8F" w14:textId="77777777" w:rsidR="00470A4F" w:rsidRPr="00A74758" w:rsidRDefault="00470A4F" w:rsidP="002721C7">
            <w:pPr>
              <w:pStyle w:val="TableParagraph"/>
              <w:spacing w:line="273" w:lineRule="exact"/>
              <w:ind w:left="18"/>
              <w:rPr>
                <w:b/>
                <w:sz w:val="24"/>
              </w:rPr>
            </w:pPr>
            <w:r w:rsidRPr="00A74758">
              <w:rPr>
                <w:b/>
                <w:spacing w:val="-4"/>
                <w:sz w:val="24"/>
              </w:rPr>
              <w:t>6.50</w:t>
            </w:r>
          </w:p>
        </w:tc>
        <w:tc>
          <w:tcPr>
            <w:tcW w:w="850" w:type="dxa"/>
          </w:tcPr>
          <w:p w14:paraId="52DE58CF" w14:textId="77777777" w:rsidR="00470A4F" w:rsidRDefault="00470A4F" w:rsidP="002721C7">
            <w:pPr>
              <w:pStyle w:val="TableParagraph"/>
              <w:spacing w:line="273" w:lineRule="exact"/>
              <w:ind w:left="14" w:right="4"/>
              <w:rPr>
                <w:sz w:val="24"/>
              </w:rPr>
            </w:pPr>
            <w:r>
              <w:rPr>
                <w:spacing w:val="-4"/>
                <w:sz w:val="24"/>
              </w:rPr>
              <w:t>5.67</w:t>
            </w:r>
          </w:p>
        </w:tc>
        <w:tc>
          <w:tcPr>
            <w:tcW w:w="993" w:type="dxa"/>
          </w:tcPr>
          <w:p w14:paraId="3701D564" w14:textId="77777777" w:rsidR="00470A4F" w:rsidRDefault="00470A4F" w:rsidP="002721C7">
            <w:pPr>
              <w:pStyle w:val="TableParagraph"/>
              <w:spacing w:line="273" w:lineRule="exact"/>
              <w:ind w:left="18"/>
              <w:rPr>
                <w:sz w:val="24"/>
              </w:rPr>
            </w:pPr>
            <w:r>
              <w:rPr>
                <w:spacing w:val="-4"/>
                <w:sz w:val="24"/>
              </w:rPr>
              <w:t>5.33</w:t>
            </w:r>
          </w:p>
        </w:tc>
        <w:tc>
          <w:tcPr>
            <w:tcW w:w="770" w:type="dxa"/>
          </w:tcPr>
          <w:p w14:paraId="5C642F26" w14:textId="77777777" w:rsidR="00470A4F" w:rsidRDefault="00470A4F" w:rsidP="002721C7">
            <w:pPr>
              <w:pStyle w:val="TableParagraph"/>
              <w:spacing w:line="273" w:lineRule="exact"/>
              <w:ind w:left="14"/>
              <w:rPr>
                <w:sz w:val="24"/>
              </w:rPr>
            </w:pPr>
            <w:r>
              <w:rPr>
                <w:spacing w:val="-4"/>
                <w:sz w:val="24"/>
              </w:rPr>
              <w:t>6.00</w:t>
            </w:r>
          </w:p>
        </w:tc>
      </w:tr>
    </w:tbl>
    <w:p w14:paraId="45E55A56" w14:textId="1254E024" w:rsidR="00F7536F" w:rsidRPr="00750341" w:rsidRDefault="00F7536F" w:rsidP="00660C2B">
      <w:pPr>
        <w:pStyle w:val="ListParagraph"/>
        <w:numPr>
          <w:ilvl w:val="0"/>
          <w:numId w:val="1"/>
        </w:numPr>
        <w:spacing w:before="100" w:beforeAutospacing="1" w:after="100" w:afterAutospacing="1" w:line="360" w:lineRule="auto"/>
        <w:jc w:val="both"/>
        <w:rPr>
          <w:rFonts w:ascii="Arial" w:hAnsi="Arial" w:cs="Arial"/>
          <w:b/>
          <w:lang w:val="en-IN" w:eastAsia="en-IN"/>
        </w:rPr>
      </w:pPr>
      <w:bookmarkStart w:id="0" w:name="_GoBack"/>
      <w:bookmarkEnd w:id="0"/>
      <w:r w:rsidRPr="00750341">
        <w:rPr>
          <w:rFonts w:ascii="Arial" w:hAnsi="Arial" w:cs="Arial"/>
          <w:b/>
          <w:lang w:val="en-IN" w:eastAsia="en-IN"/>
        </w:rPr>
        <w:t>C</w:t>
      </w:r>
      <w:r w:rsidR="00750341" w:rsidRPr="00750341">
        <w:rPr>
          <w:rFonts w:ascii="Arial" w:hAnsi="Arial" w:cs="Arial"/>
          <w:b/>
          <w:lang w:val="en-IN" w:eastAsia="en-IN"/>
        </w:rPr>
        <w:t>ONCLUSION</w:t>
      </w:r>
    </w:p>
    <w:p w14:paraId="0AC761BF" w14:textId="77777777" w:rsidR="00F7536F" w:rsidRPr="00173709" w:rsidRDefault="00F7536F" w:rsidP="00F7536F">
      <w:pPr>
        <w:spacing w:before="100" w:beforeAutospacing="1" w:after="100" w:afterAutospacing="1" w:line="360" w:lineRule="auto"/>
        <w:jc w:val="both"/>
        <w:rPr>
          <w:rFonts w:ascii="Arial" w:hAnsi="Arial" w:cs="Arial"/>
          <w:sz w:val="20"/>
          <w:szCs w:val="20"/>
        </w:rPr>
      </w:pPr>
      <w:r w:rsidRPr="00173709">
        <w:rPr>
          <w:rFonts w:ascii="Arial" w:hAnsi="Arial" w:cs="Arial"/>
          <w:sz w:val="20"/>
          <w:szCs w:val="20"/>
        </w:rPr>
        <w:t xml:space="preserve">This study showed that the quality of </w:t>
      </w:r>
      <w:proofErr w:type="spellStart"/>
      <w:r w:rsidRPr="00173709">
        <w:rPr>
          <w:rFonts w:ascii="Arial" w:hAnsi="Arial" w:cs="Arial"/>
          <w:i/>
          <w:iCs/>
          <w:sz w:val="20"/>
          <w:szCs w:val="20"/>
        </w:rPr>
        <w:t>Centella</w:t>
      </w:r>
      <w:proofErr w:type="spellEnd"/>
      <w:r w:rsidRPr="00173709">
        <w:rPr>
          <w:rFonts w:ascii="Arial" w:hAnsi="Arial" w:cs="Arial"/>
          <w:i/>
          <w:iCs/>
          <w:sz w:val="20"/>
          <w:szCs w:val="20"/>
        </w:rPr>
        <w:t xml:space="preserve"> </w:t>
      </w:r>
      <w:proofErr w:type="spellStart"/>
      <w:r w:rsidRPr="00173709">
        <w:rPr>
          <w:rFonts w:ascii="Arial" w:hAnsi="Arial" w:cs="Arial"/>
          <w:i/>
          <w:iCs/>
          <w:sz w:val="20"/>
          <w:szCs w:val="20"/>
        </w:rPr>
        <w:t>asiatica</w:t>
      </w:r>
      <w:proofErr w:type="spellEnd"/>
      <w:r w:rsidRPr="00173709">
        <w:rPr>
          <w:rFonts w:ascii="Arial" w:hAnsi="Arial" w:cs="Arial"/>
          <w:sz w:val="20"/>
          <w:szCs w:val="20"/>
        </w:rPr>
        <w:t xml:space="preserve"> (</w:t>
      </w:r>
      <w:proofErr w:type="spellStart"/>
      <w:r w:rsidRPr="00173709">
        <w:rPr>
          <w:rFonts w:ascii="Arial" w:hAnsi="Arial" w:cs="Arial"/>
          <w:sz w:val="20"/>
          <w:szCs w:val="20"/>
        </w:rPr>
        <w:t>Peeruk</w:t>
      </w:r>
      <w:proofErr w:type="spellEnd"/>
      <w:r w:rsidRPr="00173709">
        <w:rPr>
          <w:rFonts w:ascii="Arial" w:hAnsi="Arial" w:cs="Arial"/>
          <w:sz w:val="20"/>
          <w:szCs w:val="20"/>
        </w:rPr>
        <w:t xml:space="preserve">) tea blended with ginger and green tea is significantly influenced by processing and formulation. The highest levels of antioxidant activity, phenolic content, and flavonoid content were found in the non-fermented samples, especially </w:t>
      </w:r>
      <w:r w:rsidRPr="000C1E5C">
        <w:rPr>
          <w:rFonts w:ascii="Arial" w:hAnsi="Arial" w:cs="Arial"/>
          <w:sz w:val="20"/>
          <w:szCs w:val="20"/>
          <w:highlight w:val="yellow"/>
        </w:rPr>
        <w:t>2a</w:t>
      </w:r>
      <w:r w:rsidRPr="00173709">
        <w:rPr>
          <w:rFonts w:ascii="Arial" w:hAnsi="Arial" w:cs="Arial"/>
          <w:sz w:val="20"/>
          <w:szCs w:val="20"/>
        </w:rPr>
        <w:t xml:space="preserve">, indicating that non-fermentation better maintains bioactive chemicals. On the other hand, fermented samples like </w:t>
      </w:r>
      <w:r w:rsidRPr="000C1E5C">
        <w:rPr>
          <w:rFonts w:ascii="Arial" w:hAnsi="Arial" w:cs="Arial"/>
          <w:sz w:val="20"/>
          <w:szCs w:val="20"/>
          <w:highlight w:val="yellow"/>
        </w:rPr>
        <w:t>1a</w:t>
      </w:r>
      <w:r w:rsidRPr="00173709">
        <w:rPr>
          <w:rFonts w:ascii="Arial" w:hAnsi="Arial" w:cs="Arial"/>
          <w:sz w:val="20"/>
          <w:szCs w:val="20"/>
        </w:rPr>
        <w:t xml:space="preserve"> and </w:t>
      </w:r>
      <w:r w:rsidRPr="000C1E5C">
        <w:rPr>
          <w:rFonts w:ascii="Arial" w:hAnsi="Arial" w:cs="Arial"/>
          <w:sz w:val="20"/>
          <w:szCs w:val="20"/>
          <w:highlight w:val="yellow"/>
        </w:rPr>
        <w:t>1b</w:t>
      </w:r>
      <w:r w:rsidRPr="00173709">
        <w:rPr>
          <w:rFonts w:ascii="Arial" w:hAnsi="Arial" w:cs="Arial"/>
          <w:sz w:val="20"/>
          <w:szCs w:val="20"/>
        </w:rPr>
        <w:t xml:space="preserve"> performed better in sensory evaluation, particularly in terms of color, aroma, and general appeal. These results imply that while fermented teas are favored for their sensory attributes, non-fermented teas are better suited as useful, antioxidant-rich drinks. All things considered, adding </w:t>
      </w:r>
      <w:r w:rsidRPr="00173709">
        <w:rPr>
          <w:rFonts w:ascii="Arial" w:hAnsi="Arial" w:cs="Arial"/>
          <w:i/>
          <w:iCs/>
          <w:sz w:val="20"/>
          <w:szCs w:val="20"/>
        </w:rPr>
        <w:t>C. asiatica</w:t>
      </w:r>
      <w:r w:rsidRPr="00173709">
        <w:rPr>
          <w:rFonts w:ascii="Arial" w:hAnsi="Arial" w:cs="Arial"/>
          <w:sz w:val="20"/>
          <w:szCs w:val="20"/>
        </w:rPr>
        <w:t xml:space="preserve"> to ginger and green tea resulted in herbal teas that were appealing to consumers and had nutritional advantages, demonstrating their potential as value-added nutraceutical beverages.</w:t>
      </w:r>
    </w:p>
    <w:p w14:paraId="55526AD3" w14:textId="5C0DEF64" w:rsidR="00CC099E" w:rsidRDefault="00CC099E" w:rsidP="00224DB0">
      <w:pPr>
        <w:spacing w:before="100" w:beforeAutospacing="1" w:after="100" w:afterAutospacing="1" w:line="360" w:lineRule="auto"/>
        <w:rPr>
          <w:rFonts w:ascii="Arial" w:eastAsia="Times New Roman" w:hAnsi="Arial" w:cs="Arial"/>
          <w:b/>
          <w:bCs/>
          <w:lang w:val="en-IN" w:eastAsia="en-IN"/>
        </w:rPr>
      </w:pPr>
      <w:r>
        <w:rPr>
          <w:rFonts w:ascii="Arial" w:eastAsia="Times New Roman" w:hAnsi="Arial" w:cs="Arial"/>
          <w:b/>
          <w:bCs/>
          <w:lang w:val="en-IN" w:eastAsia="en-IN"/>
        </w:rPr>
        <w:t>CONCENT</w:t>
      </w:r>
    </w:p>
    <w:p w14:paraId="046B8025" w14:textId="2D9E21AA" w:rsidR="007E205A" w:rsidRPr="007E205A" w:rsidRDefault="007E205A" w:rsidP="007E205A">
      <w:pPr>
        <w:spacing w:before="100" w:beforeAutospacing="1" w:after="100" w:afterAutospacing="1" w:line="360" w:lineRule="auto"/>
        <w:jc w:val="both"/>
        <w:rPr>
          <w:rFonts w:ascii="Arial" w:eastAsia="Times New Roman" w:hAnsi="Arial" w:cs="Arial"/>
          <w:sz w:val="20"/>
          <w:szCs w:val="20"/>
          <w:lang w:val="en-IN" w:eastAsia="en-IN"/>
        </w:rPr>
      </w:pPr>
      <w:r w:rsidRPr="007E205A">
        <w:rPr>
          <w:rFonts w:ascii="Arial" w:eastAsia="Times New Roman" w:hAnsi="Arial" w:cs="Arial"/>
          <w:sz w:val="20"/>
          <w:szCs w:val="20"/>
          <w:lang w:eastAsia="en-IN"/>
        </w:rPr>
        <w:t>All authors declare that they have read and approved the final version of the manuscript and consent to its submission for publication. The authors further confirm that the work is original, has not been published previously, and is not under consideration for publication elsewhere.</w:t>
      </w:r>
    </w:p>
    <w:p w14:paraId="74810DBA" w14:textId="330A51D3" w:rsidR="00B66758" w:rsidRDefault="00B66758" w:rsidP="00224DB0">
      <w:pPr>
        <w:spacing w:before="100" w:beforeAutospacing="1" w:after="100" w:afterAutospacing="1" w:line="360" w:lineRule="auto"/>
        <w:rPr>
          <w:rFonts w:ascii="Arial" w:eastAsia="Times New Roman" w:hAnsi="Arial" w:cs="Arial"/>
          <w:b/>
          <w:bCs/>
          <w:lang w:val="en-IN" w:eastAsia="en-IN"/>
        </w:rPr>
      </w:pPr>
      <w:r>
        <w:rPr>
          <w:rFonts w:ascii="Arial" w:eastAsia="Times New Roman" w:hAnsi="Arial" w:cs="Arial"/>
          <w:b/>
          <w:bCs/>
          <w:lang w:val="en-IN" w:eastAsia="en-IN"/>
        </w:rPr>
        <w:lastRenderedPageBreak/>
        <w:t>ETHICAL APPROVAL</w:t>
      </w:r>
    </w:p>
    <w:p w14:paraId="34696F39" w14:textId="60A8312A" w:rsidR="00AE0E92" w:rsidRPr="00240EDE" w:rsidRDefault="008E4FF3" w:rsidP="00240EDE">
      <w:pPr>
        <w:spacing w:before="100" w:beforeAutospacing="1" w:after="100" w:afterAutospacing="1" w:line="360" w:lineRule="auto"/>
        <w:jc w:val="both"/>
        <w:rPr>
          <w:rFonts w:ascii="Arial" w:eastAsia="Times New Roman" w:hAnsi="Arial" w:cs="Arial"/>
          <w:sz w:val="20"/>
          <w:szCs w:val="20"/>
          <w:lang w:val="en-IN" w:eastAsia="en-IN"/>
        </w:rPr>
      </w:pPr>
      <w:r w:rsidRPr="008E4FF3">
        <w:rPr>
          <w:rFonts w:ascii="Arial" w:eastAsia="Times New Roman" w:hAnsi="Arial" w:cs="Arial"/>
          <w:sz w:val="20"/>
          <w:szCs w:val="20"/>
          <w:lang w:eastAsia="en-IN"/>
        </w:rPr>
        <w:t>The study involved only plant materials (</w:t>
      </w:r>
      <w:proofErr w:type="spellStart"/>
      <w:r w:rsidRPr="008E4FF3">
        <w:rPr>
          <w:rFonts w:ascii="Arial" w:eastAsia="Times New Roman" w:hAnsi="Arial" w:cs="Arial"/>
          <w:i/>
          <w:iCs/>
          <w:sz w:val="20"/>
          <w:szCs w:val="20"/>
          <w:lang w:eastAsia="en-IN"/>
        </w:rPr>
        <w:t>Centella</w:t>
      </w:r>
      <w:proofErr w:type="spellEnd"/>
      <w:r w:rsidRPr="008E4FF3">
        <w:rPr>
          <w:rFonts w:ascii="Arial" w:eastAsia="Times New Roman" w:hAnsi="Arial" w:cs="Arial"/>
          <w:i/>
          <w:iCs/>
          <w:sz w:val="20"/>
          <w:szCs w:val="20"/>
          <w:lang w:eastAsia="en-IN"/>
        </w:rPr>
        <w:t xml:space="preserve"> </w:t>
      </w:r>
      <w:proofErr w:type="spellStart"/>
      <w:r w:rsidRPr="008E4FF3">
        <w:rPr>
          <w:rFonts w:ascii="Arial" w:eastAsia="Times New Roman" w:hAnsi="Arial" w:cs="Arial"/>
          <w:i/>
          <w:iCs/>
          <w:sz w:val="20"/>
          <w:szCs w:val="20"/>
          <w:lang w:eastAsia="en-IN"/>
        </w:rPr>
        <w:t>asiatica</w:t>
      </w:r>
      <w:proofErr w:type="spellEnd"/>
      <w:r w:rsidRPr="008E4FF3">
        <w:rPr>
          <w:rFonts w:ascii="Arial" w:eastAsia="Times New Roman" w:hAnsi="Arial" w:cs="Arial"/>
          <w:sz w:val="20"/>
          <w:szCs w:val="20"/>
          <w:lang w:eastAsia="en-IN"/>
        </w:rPr>
        <w:t xml:space="preserve">, ginger, and green tea) and voluntary participation of semi-trained panelists for sensory evaluation. Ethical approval for conducting the sensory analysis was obtained from the Institutional Ethical Committee of the College of </w:t>
      </w:r>
      <w:r>
        <w:rPr>
          <w:rFonts w:ascii="Arial" w:eastAsia="Times New Roman" w:hAnsi="Arial" w:cs="Arial"/>
          <w:sz w:val="20"/>
          <w:szCs w:val="20"/>
          <w:lang w:eastAsia="en-IN"/>
        </w:rPr>
        <w:t xml:space="preserve">Food Technology, </w:t>
      </w:r>
      <w:r w:rsidRPr="008E4FF3">
        <w:rPr>
          <w:rFonts w:ascii="Arial" w:eastAsia="Times New Roman" w:hAnsi="Arial" w:cs="Arial"/>
          <w:sz w:val="20"/>
          <w:szCs w:val="20"/>
          <w:lang w:eastAsia="en-IN"/>
        </w:rPr>
        <w:t xml:space="preserve">CAU, </w:t>
      </w:r>
      <w:r>
        <w:rPr>
          <w:rFonts w:ascii="Arial" w:eastAsia="Times New Roman" w:hAnsi="Arial" w:cs="Arial"/>
          <w:sz w:val="20"/>
          <w:szCs w:val="20"/>
          <w:lang w:eastAsia="en-IN"/>
        </w:rPr>
        <w:t>Imphal, Manipur</w:t>
      </w:r>
      <w:r w:rsidRPr="008E4FF3">
        <w:rPr>
          <w:rFonts w:ascii="Arial" w:eastAsia="Times New Roman" w:hAnsi="Arial" w:cs="Arial"/>
          <w:sz w:val="20"/>
          <w:szCs w:val="20"/>
          <w:lang w:eastAsia="en-IN"/>
        </w:rPr>
        <w:t>. Informed consent was obtained from all panelists prior to participation.</w:t>
      </w:r>
    </w:p>
    <w:p w14:paraId="1DFDA153" w14:textId="3B07D17E" w:rsidR="00446A21" w:rsidRPr="00B66758" w:rsidRDefault="00446A21" w:rsidP="00446A21">
      <w:pPr>
        <w:spacing w:before="100" w:beforeAutospacing="1" w:after="100" w:afterAutospacing="1" w:line="240" w:lineRule="auto"/>
        <w:outlineLvl w:val="2"/>
        <w:rPr>
          <w:rFonts w:ascii="Arial" w:eastAsia="Times New Roman" w:hAnsi="Arial" w:cs="Arial"/>
          <w:b/>
          <w:bCs/>
          <w:lang w:val="en-IN" w:eastAsia="en-IN"/>
        </w:rPr>
      </w:pPr>
      <w:r w:rsidRPr="00B66758">
        <w:rPr>
          <w:rFonts w:ascii="Arial" w:eastAsia="Times New Roman" w:hAnsi="Arial" w:cs="Arial"/>
          <w:b/>
          <w:bCs/>
          <w:lang w:val="en-IN" w:eastAsia="en-IN"/>
        </w:rPr>
        <w:t>R</w:t>
      </w:r>
      <w:r w:rsidR="00B66758" w:rsidRPr="00B66758">
        <w:rPr>
          <w:rFonts w:ascii="Arial" w:eastAsia="Times New Roman" w:hAnsi="Arial" w:cs="Arial"/>
          <w:b/>
          <w:bCs/>
          <w:lang w:val="en-IN" w:eastAsia="en-IN"/>
        </w:rPr>
        <w:t>EFERENCES</w:t>
      </w:r>
    </w:p>
    <w:p w14:paraId="2622A4D3"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Subban</w:t>
      </w:r>
      <w:proofErr w:type="spellEnd"/>
      <w:r w:rsidRPr="002A08AA">
        <w:rPr>
          <w:rFonts w:ascii="Arial" w:eastAsia="Times New Roman" w:hAnsi="Arial" w:cs="Arial"/>
          <w:sz w:val="20"/>
          <w:szCs w:val="20"/>
          <w:highlight w:val="yellow"/>
          <w:lang w:val="en-IN" w:eastAsia="en-IN"/>
        </w:rPr>
        <w:t xml:space="preserve">, R., Veerakumar, A., &amp; Manimaran, T. (2008). </w:t>
      </w:r>
      <w:proofErr w:type="spellStart"/>
      <w:r w:rsidRPr="002A08AA">
        <w:rPr>
          <w:rFonts w:ascii="Arial" w:eastAsia="Times New Roman" w:hAnsi="Arial" w:cs="Arial"/>
          <w:sz w:val="20"/>
          <w:szCs w:val="20"/>
          <w:highlight w:val="yellow"/>
          <w:lang w:val="en-IN" w:eastAsia="en-IN"/>
        </w:rPr>
        <w:t>Pharmacognostic</w:t>
      </w:r>
      <w:proofErr w:type="spellEnd"/>
      <w:r w:rsidRPr="002A08AA">
        <w:rPr>
          <w:rFonts w:ascii="Arial" w:eastAsia="Times New Roman" w:hAnsi="Arial" w:cs="Arial"/>
          <w:sz w:val="20"/>
          <w:szCs w:val="20"/>
          <w:highlight w:val="yellow"/>
          <w:lang w:val="en-IN" w:eastAsia="en-IN"/>
        </w:rPr>
        <w:t xml:space="preserve"> and phytochemical studies of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w:t>
      </w:r>
    </w:p>
    <w:p w14:paraId="1A1A0AEC"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Singh, R. H., </w:t>
      </w:r>
      <w:proofErr w:type="spellStart"/>
      <w:r w:rsidRPr="002A08AA">
        <w:rPr>
          <w:rFonts w:ascii="Arial" w:eastAsia="Times New Roman" w:hAnsi="Arial" w:cs="Arial"/>
          <w:sz w:val="20"/>
          <w:szCs w:val="20"/>
          <w:highlight w:val="yellow"/>
          <w:lang w:val="en-IN" w:eastAsia="en-IN"/>
        </w:rPr>
        <w:t>Narsimhamurthy</w:t>
      </w:r>
      <w:proofErr w:type="spellEnd"/>
      <w:r w:rsidRPr="002A08AA">
        <w:rPr>
          <w:rFonts w:ascii="Arial" w:eastAsia="Times New Roman" w:hAnsi="Arial" w:cs="Arial"/>
          <w:sz w:val="20"/>
          <w:szCs w:val="20"/>
          <w:highlight w:val="yellow"/>
          <w:lang w:val="en-IN" w:eastAsia="en-IN"/>
        </w:rPr>
        <w:t xml:space="preserve">, K., &amp; Singh, G. (2010). Pharmacological studies on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(Brahmi).</w:t>
      </w:r>
    </w:p>
    <w:p w14:paraId="7227130A" w14:textId="34B21F87" w:rsidR="000D1852" w:rsidRPr="002A08AA" w:rsidRDefault="000D1852"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Pittella</w:t>
      </w:r>
      <w:proofErr w:type="spellEnd"/>
      <w:r w:rsidRPr="002A08AA">
        <w:rPr>
          <w:rFonts w:ascii="Arial" w:eastAsia="Times New Roman" w:hAnsi="Arial" w:cs="Arial"/>
          <w:sz w:val="20"/>
          <w:szCs w:val="20"/>
          <w:highlight w:val="yellow"/>
          <w:lang w:val="en-IN" w:eastAsia="en-IN"/>
        </w:rPr>
        <w:t xml:space="preserve">, F., Dutra, R. C., Junior, D. D., Lopes, M. T. P., &amp; Barbosa, N. R. (2009). Antioxidant and cytotoxic activities of </w:t>
      </w:r>
      <w:proofErr w:type="spellStart"/>
      <w:r w:rsidRPr="002A08AA">
        <w:rPr>
          <w:rFonts w:ascii="Arial" w:eastAsia="Times New Roman" w:hAnsi="Arial" w:cs="Arial"/>
          <w:sz w:val="20"/>
          <w:szCs w:val="20"/>
          <w:highlight w:val="yellow"/>
          <w:lang w:val="en-IN" w:eastAsia="en-IN"/>
        </w:rPr>
        <w:t>Centella</w:t>
      </w:r>
      <w:proofErr w:type="spellEnd"/>
      <w:r w:rsidRPr="002A08AA">
        <w:rPr>
          <w:rFonts w:ascii="Arial" w:eastAsia="Times New Roman" w:hAnsi="Arial" w:cs="Arial"/>
          <w:sz w:val="20"/>
          <w:szCs w:val="20"/>
          <w:highlight w:val="yellow"/>
          <w:lang w:val="en-IN" w:eastAsia="en-IN"/>
        </w:rPr>
        <w:t xml:space="preserve"> </w:t>
      </w:r>
      <w:proofErr w:type="spellStart"/>
      <w:r w:rsidRPr="002A08AA">
        <w:rPr>
          <w:rFonts w:ascii="Arial" w:eastAsia="Times New Roman" w:hAnsi="Arial" w:cs="Arial"/>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(L.) Urb. International Journal of Molecular Sciences, 10(9), 3713–3721. </w:t>
      </w:r>
      <w:hyperlink r:id="rId14" w:history="1">
        <w:r w:rsidRPr="002A08AA">
          <w:rPr>
            <w:rStyle w:val="Hyperlink"/>
            <w:rFonts w:ascii="Arial" w:eastAsia="Times New Roman" w:hAnsi="Arial" w:cs="Arial"/>
            <w:color w:val="auto"/>
            <w:sz w:val="20"/>
            <w:szCs w:val="20"/>
            <w:highlight w:val="yellow"/>
            <w:lang w:val="en-IN" w:eastAsia="en-IN"/>
          </w:rPr>
          <w:t>https://doi.org/10.3390/ijms10093713</w:t>
        </w:r>
      </w:hyperlink>
    </w:p>
    <w:p w14:paraId="4BBCB219" w14:textId="782658BC"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Mustafa, R. A., Hamid, A. A., Mohamed, S., &amp; Bakar, F. A. (2010). Total phenolic compounds, flavonoids, and radical scavenging activities of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w:t>
      </w:r>
    </w:p>
    <w:p w14:paraId="210955CE"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Cao, G., </w:t>
      </w:r>
      <w:proofErr w:type="spellStart"/>
      <w:r w:rsidRPr="002A08AA">
        <w:rPr>
          <w:rFonts w:ascii="Arial" w:eastAsia="Times New Roman" w:hAnsi="Arial" w:cs="Arial"/>
          <w:sz w:val="20"/>
          <w:szCs w:val="20"/>
          <w:highlight w:val="yellow"/>
          <w:lang w:val="en-IN" w:eastAsia="en-IN"/>
        </w:rPr>
        <w:t>Sofic</w:t>
      </w:r>
      <w:proofErr w:type="spellEnd"/>
      <w:r w:rsidRPr="002A08AA">
        <w:rPr>
          <w:rFonts w:ascii="Arial" w:eastAsia="Times New Roman" w:hAnsi="Arial" w:cs="Arial"/>
          <w:sz w:val="20"/>
          <w:szCs w:val="20"/>
          <w:highlight w:val="yellow"/>
          <w:lang w:val="en-IN" w:eastAsia="en-IN"/>
        </w:rPr>
        <w:t xml:space="preserve">, E., &amp; Prior, R. L. (1997). Antioxidant and </w:t>
      </w:r>
      <w:proofErr w:type="spellStart"/>
      <w:r w:rsidRPr="002A08AA">
        <w:rPr>
          <w:rFonts w:ascii="Arial" w:eastAsia="Times New Roman" w:hAnsi="Arial" w:cs="Arial"/>
          <w:sz w:val="20"/>
          <w:szCs w:val="20"/>
          <w:highlight w:val="yellow"/>
          <w:lang w:val="en-IN" w:eastAsia="en-IN"/>
        </w:rPr>
        <w:t>prooxidant</w:t>
      </w:r>
      <w:proofErr w:type="spellEnd"/>
      <w:r w:rsidRPr="002A08AA">
        <w:rPr>
          <w:rFonts w:ascii="Arial" w:eastAsia="Times New Roman" w:hAnsi="Arial" w:cs="Arial"/>
          <w:sz w:val="20"/>
          <w:szCs w:val="20"/>
          <w:highlight w:val="yellow"/>
          <w:lang w:val="en-IN" w:eastAsia="en-IN"/>
        </w:rPr>
        <w:t xml:space="preserve"> </w:t>
      </w:r>
      <w:proofErr w:type="spellStart"/>
      <w:r w:rsidRPr="002A08AA">
        <w:rPr>
          <w:rFonts w:ascii="Arial" w:eastAsia="Times New Roman" w:hAnsi="Arial" w:cs="Arial"/>
          <w:sz w:val="20"/>
          <w:szCs w:val="20"/>
          <w:highlight w:val="yellow"/>
          <w:lang w:val="en-IN" w:eastAsia="en-IN"/>
        </w:rPr>
        <w:t>behavior</w:t>
      </w:r>
      <w:proofErr w:type="spellEnd"/>
      <w:r w:rsidRPr="002A08AA">
        <w:rPr>
          <w:rFonts w:ascii="Arial" w:eastAsia="Times New Roman" w:hAnsi="Arial" w:cs="Arial"/>
          <w:sz w:val="20"/>
          <w:szCs w:val="20"/>
          <w:highlight w:val="yellow"/>
          <w:lang w:val="en-IN" w:eastAsia="en-IN"/>
        </w:rPr>
        <w:t xml:space="preserve"> of flavonoids.</w:t>
      </w:r>
    </w:p>
    <w:p w14:paraId="1137BECC" w14:textId="77777777" w:rsidR="00832A1C" w:rsidRPr="002A08AA" w:rsidRDefault="00832A1C"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Seevaratnam</w:t>
      </w:r>
      <w:proofErr w:type="spellEnd"/>
      <w:r w:rsidRPr="002A08AA">
        <w:rPr>
          <w:rFonts w:ascii="Arial" w:eastAsia="Times New Roman" w:hAnsi="Arial" w:cs="Arial"/>
          <w:sz w:val="20"/>
          <w:szCs w:val="20"/>
          <w:highlight w:val="yellow"/>
          <w:lang w:val="en-IN" w:eastAsia="en-IN"/>
        </w:rPr>
        <w:t xml:space="preserve">, V., Banumathi, P., Premalatha, M. R., Sundaram, S. P., &amp; Arumugam, T. (2012). Functional properties of </w:t>
      </w:r>
      <w:proofErr w:type="spellStart"/>
      <w:r w:rsidRPr="002A08AA">
        <w:rPr>
          <w:rFonts w:ascii="Arial" w:eastAsia="Times New Roman" w:hAnsi="Arial" w:cs="Arial"/>
          <w:sz w:val="20"/>
          <w:szCs w:val="20"/>
          <w:highlight w:val="yellow"/>
          <w:lang w:val="en-IN" w:eastAsia="en-IN"/>
        </w:rPr>
        <w:t>Centella</w:t>
      </w:r>
      <w:proofErr w:type="spellEnd"/>
      <w:r w:rsidRPr="002A08AA">
        <w:rPr>
          <w:rFonts w:ascii="Arial" w:eastAsia="Times New Roman" w:hAnsi="Arial" w:cs="Arial"/>
          <w:sz w:val="20"/>
          <w:szCs w:val="20"/>
          <w:highlight w:val="yellow"/>
          <w:lang w:val="en-IN" w:eastAsia="en-IN"/>
        </w:rPr>
        <w:t xml:space="preserve"> </w:t>
      </w:r>
      <w:proofErr w:type="spellStart"/>
      <w:r w:rsidRPr="002A08AA">
        <w:rPr>
          <w:rFonts w:ascii="Arial" w:eastAsia="Times New Roman" w:hAnsi="Arial" w:cs="Arial"/>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(L.): A review. International Journal of Pharmacy and Pharmaceutical Sciences, 4(8), 8–14.</w:t>
      </w:r>
    </w:p>
    <w:p w14:paraId="33E6909E" w14:textId="7BC00975"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Prakash, V., et al. (2017). Therapeutic potential of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in traditional medicine.</w:t>
      </w:r>
    </w:p>
    <w:p w14:paraId="2F46DD62"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Brinkhaus, B., Lindner, M., Schuppan, D., &amp; Hahn, E. G. (2000). Chemical, pharmacological and clinical profile of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w:t>
      </w:r>
    </w:p>
    <w:p w14:paraId="5054CE1E" w14:textId="77777777" w:rsidR="000B450B" w:rsidRPr="002A08AA" w:rsidRDefault="000B450B"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Zahara, K., Bibi, Y., &amp; Tabassum, S. (2014). Clinical and therapeutic benefits of </w:t>
      </w:r>
      <w:proofErr w:type="spellStart"/>
      <w:r w:rsidRPr="002A08AA">
        <w:rPr>
          <w:rFonts w:ascii="Arial" w:eastAsia="Times New Roman" w:hAnsi="Arial" w:cs="Arial"/>
          <w:sz w:val="20"/>
          <w:szCs w:val="20"/>
          <w:highlight w:val="yellow"/>
          <w:lang w:val="en-IN" w:eastAsia="en-IN"/>
        </w:rPr>
        <w:t>Centella</w:t>
      </w:r>
      <w:proofErr w:type="spellEnd"/>
      <w:r w:rsidRPr="002A08AA">
        <w:rPr>
          <w:rFonts w:ascii="Arial" w:eastAsia="Times New Roman" w:hAnsi="Arial" w:cs="Arial"/>
          <w:sz w:val="20"/>
          <w:szCs w:val="20"/>
          <w:highlight w:val="yellow"/>
          <w:lang w:val="en-IN" w:eastAsia="en-IN"/>
        </w:rPr>
        <w:t xml:space="preserve"> </w:t>
      </w:r>
      <w:proofErr w:type="spellStart"/>
      <w:r w:rsidRPr="002A08AA">
        <w:rPr>
          <w:rFonts w:ascii="Arial" w:eastAsia="Times New Roman" w:hAnsi="Arial" w:cs="Arial"/>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Pure and Applied Biology, 3(4), 152–159.</w:t>
      </w:r>
    </w:p>
    <w:p w14:paraId="5B6C7FCD" w14:textId="40B3E494"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Jana, U., Sur, T. K., Maity, L. N., Debnath, P. K., &amp; Bhattacharyya, D. (2010). Clinical evaluation of </w:t>
      </w:r>
      <w:proofErr w:type="spellStart"/>
      <w:r w:rsidRPr="002A08AA">
        <w:rPr>
          <w:rFonts w:ascii="Arial" w:eastAsia="Times New Roman" w:hAnsi="Arial" w:cs="Arial"/>
          <w:i/>
          <w:iCs/>
          <w:sz w:val="20"/>
          <w:szCs w:val="20"/>
          <w:highlight w:val="yellow"/>
          <w:lang w:val="en-IN" w:eastAsia="en-IN"/>
        </w:rPr>
        <w:t>Centella</w:t>
      </w:r>
      <w:proofErr w:type="spellEnd"/>
      <w:r w:rsidRPr="002A08AA">
        <w:rPr>
          <w:rFonts w:ascii="Arial" w:eastAsia="Times New Roman" w:hAnsi="Arial" w:cs="Arial"/>
          <w:i/>
          <w:iCs/>
          <w:sz w:val="20"/>
          <w:szCs w:val="20"/>
          <w:highlight w:val="yellow"/>
          <w:lang w:val="en-IN" w:eastAsia="en-IN"/>
        </w:rPr>
        <w:t xml:space="preserve"> </w:t>
      </w:r>
      <w:proofErr w:type="spellStart"/>
      <w:r w:rsidRPr="002A08AA">
        <w:rPr>
          <w:rFonts w:ascii="Arial" w:eastAsia="Times New Roman" w:hAnsi="Arial" w:cs="Arial"/>
          <w:i/>
          <w:iCs/>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in cognitive impairment.</w:t>
      </w:r>
    </w:p>
    <w:p w14:paraId="6C6FC86A"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Aoshima</w:t>
      </w:r>
      <w:proofErr w:type="spellEnd"/>
      <w:r w:rsidRPr="002A08AA">
        <w:rPr>
          <w:rFonts w:ascii="Arial" w:eastAsia="Times New Roman" w:hAnsi="Arial" w:cs="Arial"/>
          <w:sz w:val="20"/>
          <w:szCs w:val="20"/>
          <w:highlight w:val="yellow"/>
          <w:lang w:val="en-IN" w:eastAsia="en-IN"/>
        </w:rPr>
        <w:t xml:space="preserve">, H., </w:t>
      </w:r>
      <w:proofErr w:type="spellStart"/>
      <w:r w:rsidRPr="002A08AA">
        <w:rPr>
          <w:rFonts w:ascii="Arial" w:eastAsia="Times New Roman" w:hAnsi="Arial" w:cs="Arial"/>
          <w:sz w:val="20"/>
          <w:szCs w:val="20"/>
          <w:highlight w:val="yellow"/>
          <w:lang w:val="en-IN" w:eastAsia="en-IN"/>
        </w:rPr>
        <w:t>Tsunoue</w:t>
      </w:r>
      <w:proofErr w:type="spellEnd"/>
      <w:r w:rsidRPr="002A08AA">
        <w:rPr>
          <w:rFonts w:ascii="Arial" w:eastAsia="Times New Roman" w:hAnsi="Arial" w:cs="Arial"/>
          <w:sz w:val="20"/>
          <w:szCs w:val="20"/>
          <w:highlight w:val="yellow"/>
          <w:lang w:val="en-IN" w:eastAsia="en-IN"/>
        </w:rPr>
        <w:t>, H., Koda, H., &amp; Kiso, Y. (2007). Anti-stress effect of herbal teas.</w:t>
      </w:r>
    </w:p>
    <w:p w14:paraId="17688EC2"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Zhang, X. (2002). Traditional medicine and WHO global report.</w:t>
      </w:r>
    </w:p>
    <w:p w14:paraId="213972E2"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Prasad, S., &amp; Tyagi, A. K. (2015). Ginger and its anti-inflammatory and antioxidant potential.</w:t>
      </w:r>
    </w:p>
    <w:p w14:paraId="33F909BD"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Senanayake, S. P. J. N. (2013). Green tea polyphenols: chemistry and health benefits.</w:t>
      </w:r>
    </w:p>
    <w:p w14:paraId="73F775FE"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Heong</w:t>
      </w:r>
      <w:proofErr w:type="spellEnd"/>
      <w:r w:rsidRPr="002A08AA">
        <w:rPr>
          <w:rFonts w:ascii="Arial" w:eastAsia="Times New Roman" w:hAnsi="Arial" w:cs="Arial"/>
          <w:sz w:val="20"/>
          <w:szCs w:val="20"/>
          <w:highlight w:val="yellow"/>
          <w:lang w:val="en-IN" w:eastAsia="en-IN"/>
        </w:rPr>
        <w:t xml:space="preserve">, C. S., Chia, Y. L., &amp; Aishah, B. (2011). Effect of fermentation on herbal tea quality and </w:t>
      </w:r>
      <w:proofErr w:type="spellStart"/>
      <w:r w:rsidRPr="002A08AA">
        <w:rPr>
          <w:rFonts w:ascii="Arial" w:eastAsia="Times New Roman" w:hAnsi="Arial" w:cs="Arial"/>
          <w:sz w:val="20"/>
          <w:szCs w:val="20"/>
          <w:highlight w:val="yellow"/>
          <w:lang w:val="en-IN" w:eastAsia="en-IN"/>
        </w:rPr>
        <w:t>bioactives</w:t>
      </w:r>
      <w:proofErr w:type="spellEnd"/>
      <w:r w:rsidRPr="002A08AA">
        <w:rPr>
          <w:rFonts w:ascii="Arial" w:eastAsia="Times New Roman" w:hAnsi="Arial" w:cs="Arial"/>
          <w:sz w:val="20"/>
          <w:szCs w:val="20"/>
          <w:highlight w:val="yellow"/>
          <w:lang w:val="en-IN" w:eastAsia="en-IN"/>
        </w:rPr>
        <w:t>.</w:t>
      </w:r>
    </w:p>
    <w:p w14:paraId="77768569" w14:textId="7B98A026"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Rajiv, P. (2021). </w:t>
      </w:r>
      <w:proofErr w:type="spellStart"/>
      <w:r w:rsidRPr="002A08AA">
        <w:rPr>
          <w:rFonts w:ascii="Arial" w:eastAsia="Times New Roman" w:hAnsi="Arial" w:cs="Arial"/>
          <w:sz w:val="20"/>
          <w:szCs w:val="20"/>
          <w:highlight w:val="yellow"/>
          <w:lang w:val="en-IN" w:eastAsia="en-IN"/>
        </w:rPr>
        <w:t>Folin</w:t>
      </w:r>
      <w:proofErr w:type="spellEnd"/>
      <w:r w:rsidRPr="002A08AA">
        <w:rPr>
          <w:rFonts w:ascii="Arial" w:eastAsia="Times New Roman" w:hAnsi="Arial" w:cs="Arial"/>
          <w:sz w:val="20"/>
          <w:szCs w:val="20"/>
          <w:highlight w:val="yellow"/>
          <w:lang w:val="en-IN" w:eastAsia="en-IN"/>
        </w:rPr>
        <w:t>–</w:t>
      </w:r>
      <w:proofErr w:type="spellStart"/>
      <w:r w:rsidRPr="002A08AA">
        <w:rPr>
          <w:rFonts w:ascii="Arial" w:eastAsia="Times New Roman" w:hAnsi="Arial" w:cs="Arial"/>
          <w:sz w:val="20"/>
          <w:szCs w:val="20"/>
          <w:highlight w:val="yellow"/>
          <w:lang w:val="en-IN" w:eastAsia="en-IN"/>
        </w:rPr>
        <w:t>Ciocalteu</w:t>
      </w:r>
      <w:proofErr w:type="spellEnd"/>
      <w:r w:rsidRPr="002A08AA">
        <w:rPr>
          <w:rFonts w:ascii="Arial" w:eastAsia="Times New Roman" w:hAnsi="Arial" w:cs="Arial"/>
          <w:sz w:val="20"/>
          <w:szCs w:val="20"/>
          <w:highlight w:val="yellow"/>
          <w:lang w:val="en-IN" w:eastAsia="en-IN"/>
        </w:rPr>
        <w:t xml:space="preserve"> method for phenolic determination.</w:t>
      </w:r>
    </w:p>
    <w:p w14:paraId="18E8FBF7"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Brand-Williams, W., Cuvelier, M. E., &amp; Berset, C. (1995). DPPH radical scavenging activity method.</w:t>
      </w:r>
    </w:p>
    <w:p w14:paraId="3644A5FE" w14:textId="7D6AE53D" w:rsidR="00446A21" w:rsidRPr="002A08AA" w:rsidRDefault="00BB63D5"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Zainol, M. K., Abd-Hamid, A., Yusof, S., &amp; Muse, R. (2003). Antioxidative activity and total phenolic compounds of leaf, root and petiole of four accessions of </w:t>
      </w:r>
      <w:proofErr w:type="spellStart"/>
      <w:r w:rsidRPr="002A08AA">
        <w:rPr>
          <w:rFonts w:ascii="Arial" w:eastAsia="Times New Roman" w:hAnsi="Arial" w:cs="Arial"/>
          <w:sz w:val="20"/>
          <w:szCs w:val="20"/>
          <w:highlight w:val="yellow"/>
          <w:lang w:val="en-IN" w:eastAsia="en-IN"/>
        </w:rPr>
        <w:t>Centella</w:t>
      </w:r>
      <w:proofErr w:type="spellEnd"/>
      <w:r w:rsidRPr="002A08AA">
        <w:rPr>
          <w:rFonts w:ascii="Arial" w:eastAsia="Times New Roman" w:hAnsi="Arial" w:cs="Arial"/>
          <w:sz w:val="20"/>
          <w:szCs w:val="20"/>
          <w:highlight w:val="yellow"/>
          <w:lang w:val="en-IN" w:eastAsia="en-IN"/>
        </w:rPr>
        <w:t xml:space="preserve"> </w:t>
      </w:r>
      <w:proofErr w:type="spellStart"/>
      <w:r w:rsidRPr="002A08AA">
        <w:rPr>
          <w:rFonts w:ascii="Arial" w:eastAsia="Times New Roman" w:hAnsi="Arial" w:cs="Arial"/>
          <w:sz w:val="20"/>
          <w:szCs w:val="20"/>
          <w:highlight w:val="yellow"/>
          <w:lang w:val="en-IN" w:eastAsia="en-IN"/>
        </w:rPr>
        <w:t>asiatica</w:t>
      </w:r>
      <w:proofErr w:type="spellEnd"/>
      <w:r w:rsidRPr="002A08AA">
        <w:rPr>
          <w:rFonts w:ascii="Arial" w:eastAsia="Times New Roman" w:hAnsi="Arial" w:cs="Arial"/>
          <w:sz w:val="20"/>
          <w:szCs w:val="20"/>
          <w:highlight w:val="yellow"/>
          <w:lang w:val="en-IN" w:eastAsia="en-IN"/>
        </w:rPr>
        <w:t xml:space="preserve"> (L.) </w:t>
      </w:r>
      <w:r w:rsidRPr="002A08AA">
        <w:rPr>
          <w:rFonts w:ascii="Arial" w:eastAsia="Times New Roman" w:hAnsi="Arial" w:cs="Arial"/>
          <w:sz w:val="20"/>
          <w:szCs w:val="20"/>
          <w:highlight w:val="yellow"/>
          <w:lang w:val="en-IN" w:eastAsia="en-IN"/>
        </w:rPr>
        <w:lastRenderedPageBreak/>
        <w:t>Urban. Food Chemistry, 81(4), 575–581.</w:t>
      </w:r>
      <w:r w:rsidR="00446A21" w:rsidRPr="002A08AA">
        <w:rPr>
          <w:rFonts w:ascii="Arial" w:eastAsia="Times New Roman" w:hAnsi="Arial" w:cs="Arial"/>
          <w:sz w:val="20"/>
          <w:szCs w:val="20"/>
          <w:highlight w:val="yellow"/>
          <w:lang w:val="en-IN" w:eastAsia="en-IN"/>
        </w:rPr>
        <w:t xml:space="preserve">Ajayi, O. B., &amp; </w:t>
      </w:r>
      <w:proofErr w:type="spellStart"/>
      <w:r w:rsidR="00446A21" w:rsidRPr="002A08AA">
        <w:rPr>
          <w:rFonts w:ascii="Arial" w:eastAsia="Times New Roman" w:hAnsi="Arial" w:cs="Arial"/>
          <w:sz w:val="20"/>
          <w:szCs w:val="20"/>
          <w:highlight w:val="yellow"/>
          <w:lang w:val="en-IN" w:eastAsia="en-IN"/>
        </w:rPr>
        <w:t>Oyerinde</w:t>
      </w:r>
      <w:proofErr w:type="spellEnd"/>
      <w:r w:rsidR="00446A21" w:rsidRPr="002A08AA">
        <w:rPr>
          <w:rFonts w:ascii="Arial" w:eastAsia="Times New Roman" w:hAnsi="Arial" w:cs="Arial"/>
          <w:sz w:val="20"/>
          <w:szCs w:val="20"/>
          <w:highlight w:val="yellow"/>
          <w:lang w:val="en-IN" w:eastAsia="en-IN"/>
        </w:rPr>
        <w:t>, O. V. (2020). Nutritional and antioxidant improvement of herbal teas by ginger infusion.</w:t>
      </w:r>
    </w:p>
    <w:p w14:paraId="6C2025F4" w14:textId="2C32318E" w:rsidR="00446A21" w:rsidRPr="002A08AA" w:rsidRDefault="00BB63D5"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 xml:space="preserve">Dugasani, S., </w:t>
      </w:r>
      <w:proofErr w:type="spellStart"/>
      <w:r w:rsidRPr="002A08AA">
        <w:rPr>
          <w:rFonts w:ascii="Arial" w:eastAsia="Times New Roman" w:hAnsi="Arial" w:cs="Arial"/>
          <w:sz w:val="20"/>
          <w:szCs w:val="20"/>
          <w:highlight w:val="yellow"/>
          <w:lang w:val="en-IN" w:eastAsia="en-IN"/>
        </w:rPr>
        <w:t>Pichika</w:t>
      </w:r>
      <w:proofErr w:type="spellEnd"/>
      <w:r w:rsidRPr="002A08AA">
        <w:rPr>
          <w:rFonts w:ascii="Arial" w:eastAsia="Times New Roman" w:hAnsi="Arial" w:cs="Arial"/>
          <w:sz w:val="20"/>
          <w:szCs w:val="20"/>
          <w:highlight w:val="yellow"/>
          <w:lang w:val="en-IN" w:eastAsia="en-IN"/>
        </w:rPr>
        <w:t xml:space="preserve">, M. R., Nadarajah, V. D., </w:t>
      </w:r>
      <w:proofErr w:type="spellStart"/>
      <w:r w:rsidRPr="002A08AA">
        <w:rPr>
          <w:rFonts w:ascii="Arial" w:eastAsia="Times New Roman" w:hAnsi="Arial" w:cs="Arial"/>
          <w:sz w:val="20"/>
          <w:szCs w:val="20"/>
          <w:highlight w:val="yellow"/>
          <w:lang w:val="en-IN" w:eastAsia="en-IN"/>
        </w:rPr>
        <w:t>Balijepalli</w:t>
      </w:r>
      <w:proofErr w:type="spellEnd"/>
      <w:r w:rsidRPr="002A08AA">
        <w:rPr>
          <w:rFonts w:ascii="Arial" w:eastAsia="Times New Roman" w:hAnsi="Arial" w:cs="Arial"/>
          <w:sz w:val="20"/>
          <w:szCs w:val="20"/>
          <w:highlight w:val="yellow"/>
          <w:lang w:val="en-IN" w:eastAsia="en-IN"/>
        </w:rPr>
        <w:t xml:space="preserve">, M. K., Tandra, S., &amp; </w:t>
      </w:r>
      <w:proofErr w:type="spellStart"/>
      <w:r w:rsidRPr="002A08AA">
        <w:rPr>
          <w:rFonts w:ascii="Arial" w:eastAsia="Times New Roman" w:hAnsi="Arial" w:cs="Arial"/>
          <w:sz w:val="20"/>
          <w:szCs w:val="20"/>
          <w:highlight w:val="yellow"/>
          <w:lang w:val="en-IN" w:eastAsia="en-IN"/>
        </w:rPr>
        <w:t>Korlakunta</w:t>
      </w:r>
      <w:proofErr w:type="spellEnd"/>
      <w:r w:rsidRPr="002A08AA">
        <w:rPr>
          <w:rFonts w:ascii="Arial" w:eastAsia="Times New Roman" w:hAnsi="Arial" w:cs="Arial"/>
          <w:sz w:val="20"/>
          <w:szCs w:val="20"/>
          <w:highlight w:val="yellow"/>
          <w:lang w:val="en-IN" w:eastAsia="en-IN"/>
        </w:rPr>
        <w:t>, J. N. (2010). Comparative antioxidant and anti-inflammatory effects of [6]-gingerol, [8]-gingerol, [10]-gingerol and [6]-shogaol. Journal of Ethnopharmacology, 127(2), 515–520.</w:t>
      </w:r>
      <w:r w:rsidR="00446A21" w:rsidRPr="002A08AA">
        <w:rPr>
          <w:rFonts w:ascii="Arial" w:eastAsia="Times New Roman" w:hAnsi="Arial" w:cs="Arial"/>
          <w:sz w:val="20"/>
          <w:szCs w:val="20"/>
          <w:highlight w:val="yellow"/>
          <w:lang w:val="en-IN" w:eastAsia="en-IN"/>
        </w:rPr>
        <w:t xml:space="preserve">Trirattanapikul, W., &amp; </w:t>
      </w:r>
      <w:proofErr w:type="spellStart"/>
      <w:r w:rsidR="00446A21" w:rsidRPr="002A08AA">
        <w:rPr>
          <w:rFonts w:ascii="Arial" w:eastAsia="Times New Roman" w:hAnsi="Arial" w:cs="Arial"/>
          <w:sz w:val="20"/>
          <w:szCs w:val="20"/>
          <w:highlight w:val="yellow"/>
          <w:lang w:val="en-IN" w:eastAsia="en-IN"/>
        </w:rPr>
        <w:t>Phoungchandang</w:t>
      </w:r>
      <w:proofErr w:type="spellEnd"/>
      <w:r w:rsidR="00446A21" w:rsidRPr="002A08AA">
        <w:rPr>
          <w:rFonts w:ascii="Arial" w:eastAsia="Times New Roman" w:hAnsi="Arial" w:cs="Arial"/>
          <w:sz w:val="20"/>
          <w:szCs w:val="20"/>
          <w:highlight w:val="yellow"/>
          <w:lang w:val="en-IN" w:eastAsia="en-IN"/>
        </w:rPr>
        <w:t xml:space="preserve">, S. (2014). Phenolic stability of </w:t>
      </w:r>
      <w:proofErr w:type="spellStart"/>
      <w:r w:rsidR="00446A21" w:rsidRPr="002A08AA">
        <w:rPr>
          <w:rFonts w:ascii="Arial" w:eastAsia="Times New Roman" w:hAnsi="Arial" w:cs="Arial"/>
          <w:i/>
          <w:iCs/>
          <w:sz w:val="20"/>
          <w:szCs w:val="20"/>
          <w:highlight w:val="yellow"/>
          <w:lang w:val="en-IN" w:eastAsia="en-IN"/>
        </w:rPr>
        <w:t>Centella</w:t>
      </w:r>
      <w:proofErr w:type="spellEnd"/>
      <w:r w:rsidR="00446A21" w:rsidRPr="002A08AA">
        <w:rPr>
          <w:rFonts w:ascii="Arial" w:eastAsia="Times New Roman" w:hAnsi="Arial" w:cs="Arial"/>
          <w:i/>
          <w:iCs/>
          <w:sz w:val="20"/>
          <w:szCs w:val="20"/>
          <w:highlight w:val="yellow"/>
          <w:lang w:val="en-IN" w:eastAsia="en-IN"/>
        </w:rPr>
        <w:t xml:space="preserve"> </w:t>
      </w:r>
      <w:proofErr w:type="spellStart"/>
      <w:r w:rsidR="00446A21" w:rsidRPr="002A08AA">
        <w:rPr>
          <w:rFonts w:ascii="Arial" w:eastAsia="Times New Roman" w:hAnsi="Arial" w:cs="Arial"/>
          <w:i/>
          <w:iCs/>
          <w:sz w:val="20"/>
          <w:szCs w:val="20"/>
          <w:highlight w:val="yellow"/>
          <w:lang w:val="en-IN" w:eastAsia="en-IN"/>
        </w:rPr>
        <w:t>asiatica</w:t>
      </w:r>
      <w:proofErr w:type="spellEnd"/>
      <w:r w:rsidR="00446A21" w:rsidRPr="002A08AA">
        <w:rPr>
          <w:rFonts w:ascii="Arial" w:eastAsia="Times New Roman" w:hAnsi="Arial" w:cs="Arial"/>
          <w:sz w:val="20"/>
          <w:szCs w:val="20"/>
          <w:highlight w:val="yellow"/>
          <w:lang w:val="en-IN" w:eastAsia="en-IN"/>
        </w:rPr>
        <w:t xml:space="preserve"> during processing.</w:t>
      </w:r>
    </w:p>
    <w:p w14:paraId="285CE17A" w14:textId="77777777" w:rsidR="00446A21" w:rsidRPr="002A08AA" w:rsidRDefault="00446A21"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r w:rsidRPr="002A08AA">
        <w:rPr>
          <w:rFonts w:ascii="Arial" w:eastAsia="Times New Roman" w:hAnsi="Arial" w:cs="Arial"/>
          <w:sz w:val="20"/>
          <w:szCs w:val="20"/>
          <w:highlight w:val="yellow"/>
          <w:lang w:val="en-IN" w:eastAsia="en-IN"/>
        </w:rPr>
        <w:t>Sherin, V., &amp; Jamuna, P. (2010). Polyphenols and antioxidant activity in herbal extracts.</w:t>
      </w:r>
    </w:p>
    <w:p w14:paraId="3998FF5F" w14:textId="5385BDE2" w:rsidR="007035BE" w:rsidRPr="002A08AA" w:rsidRDefault="007035BE" w:rsidP="00446A21">
      <w:pPr>
        <w:numPr>
          <w:ilvl w:val="0"/>
          <w:numId w:val="4"/>
        </w:numPr>
        <w:spacing w:before="100" w:beforeAutospacing="1" w:after="100" w:afterAutospacing="1" w:line="360" w:lineRule="auto"/>
        <w:jc w:val="both"/>
        <w:rPr>
          <w:rFonts w:ascii="Arial" w:eastAsia="Times New Roman" w:hAnsi="Arial" w:cs="Arial"/>
          <w:sz w:val="20"/>
          <w:szCs w:val="20"/>
          <w:highlight w:val="yellow"/>
          <w:lang w:val="en-IN" w:eastAsia="en-IN"/>
        </w:rPr>
      </w:pPr>
      <w:proofErr w:type="spellStart"/>
      <w:r w:rsidRPr="002A08AA">
        <w:rPr>
          <w:rFonts w:ascii="Arial" w:eastAsia="Times New Roman" w:hAnsi="Arial" w:cs="Arial"/>
          <w:sz w:val="20"/>
          <w:szCs w:val="20"/>
          <w:highlight w:val="yellow"/>
          <w:lang w:val="en-IN" w:eastAsia="en-IN"/>
        </w:rPr>
        <w:t>Armoškaitė</w:t>
      </w:r>
      <w:proofErr w:type="spellEnd"/>
      <w:r w:rsidRPr="002A08AA">
        <w:rPr>
          <w:rFonts w:ascii="Arial" w:eastAsia="Times New Roman" w:hAnsi="Arial" w:cs="Arial"/>
          <w:sz w:val="20"/>
          <w:szCs w:val="20"/>
          <w:highlight w:val="yellow"/>
          <w:lang w:val="en-IN" w:eastAsia="en-IN"/>
        </w:rPr>
        <w:t xml:space="preserve"> V., </w:t>
      </w:r>
      <w:proofErr w:type="spellStart"/>
      <w:r w:rsidRPr="002A08AA">
        <w:rPr>
          <w:rFonts w:ascii="Arial" w:eastAsia="Times New Roman" w:hAnsi="Arial" w:cs="Arial"/>
          <w:sz w:val="20"/>
          <w:szCs w:val="20"/>
          <w:highlight w:val="yellow"/>
          <w:lang w:val="en-IN" w:eastAsia="en-IN"/>
        </w:rPr>
        <w:t>Ramanauskienė</w:t>
      </w:r>
      <w:proofErr w:type="spellEnd"/>
      <w:r w:rsidRPr="002A08AA">
        <w:rPr>
          <w:rFonts w:ascii="Arial" w:eastAsia="Times New Roman" w:hAnsi="Arial" w:cs="Arial"/>
          <w:sz w:val="20"/>
          <w:szCs w:val="20"/>
          <w:highlight w:val="yellow"/>
          <w:lang w:val="en-IN" w:eastAsia="en-IN"/>
        </w:rPr>
        <w:t xml:space="preserve"> K., Maruška A., </w:t>
      </w:r>
      <w:proofErr w:type="spellStart"/>
      <w:r w:rsidRPr="002A08AA">
        <w:rPr>
          <w:rFonts w:ascii="Arial" w:eastAsia="Times New Roman" w:hAnsi="Arial" w:cs="Arial"/>
          <w:sz w:val="20"/>
          <w:szCs w:val="20"/>
          <w:highlight w:val="yellow"/>
          <w:lang w:val="en-IN" w:eastAsia="en-IN"/>
        </w:rPr>
        <w:t>Razukas</w:t>
      </w:r>
      <w:proofErr w:type="spellEnd"/>
      <w:r w:rsidRPr="002A08AA">
        <w:rPr>
          <w:rFonts w:ascii="Arial" w:eastAsia="Times New Roman" w:hAnsi="Arial" w:cs="Arial"/>
          <w:sz w:val="20"/>
          <w:szCs w:val="20"/>
          <w:highlight w:val="yellow"/>
          <w:lang w:val="en-IN" w:eastAsia="en-IN"/>
        </w:rPr>
        <w:t xml:space="preserve"> A., </w:t>
      </w:r>
      <w:proofErr w:type="spellStart"/>
      <w:r w:rsidRPr="002A08AA">
        <w:rPr>
          <w:rFonts w:ascii="Arial" w:eastAsia="Times New Roman" w:hAnsi="Arial" w:cs="Arial"/>
          <w:sz w:val="20"/>
          <w:szCs w:val="20"/>
          <w:highlight w:val="yellow"/>
          <w:lang w:val="en-IN" w:eastAsia="en-IN"/>
        </w:rPr>
        <w:t>Dagilytė</w:t>
      </w:r>
      <w:proofErr w:type="spellEnd"/>
      <w:r w:rsidRPr="002A08AA">
        <w:rPr>
          <w:rFonts w:ascii="Arial" w:eastAsia="Times New Roman" w:hAnsi="Arial" w:cs="Arial"/>
          <w:sz w:val="20"/>
          <w:szCs w:val="20"/>
          <w:highlight w:val="yellow"/>
          <w:lang w:val="en-IN" w:eastAsia="en-IN"/>
        </w:rPr>
        <w:t xml:space="preserve"> A., Baranauskas A., et al. (2011). The analysis of quality and antioxidant activity of green tea extracts. Journal of Medicinal Plants Research, 5(5): 811–816.</w:t>
      </w:r>
    </w:p>
    <w:sectPr w:rsidR="007035BE" w:rsidRPr="002A08AA" w:rsidSect="005B6A9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82B6" w14:textId="77777777" w:rsidR="00A238D1" w:rsidRDefault="00A238D1" w:rsidP="008348BD">
      <w:pPr>
        <w:spacing w:after="0" w:line="240" w:lineRule="auto"/>
      </w:pPr>
      <w:r>
        <w:separator/>
      </w:r>
    </w:p>
  </w:endnote>
  <w:endnote w:type="continuationSeparator" w:id="0">
    <w:p w14:paraId="267C4A5E" w14:textId="77777777" w:rsidR="00A238D1" w:rsidRDefault="00A238D1" w:rsidP="0083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FAFE" w14:textId="77777777" w:rsidR="008348BD" w:rsidRDefault="0083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D082" w14:textId="77777777" w:rsidR="008348BD" w:rsidRDefault="0083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D50E" w14:textId="77777777" w:rsidR="008348BD" w:rsidRDefault="0083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42DF" w14:textId="77777777" w:rsidR="00A238D1" w:rsidRDefault="00A238D1" w:rsidP="008348BD">
      <w:pPr>
        <w:spacing w:after="0" w:line="240" w:lineRule="auto"/>
      </w:pPr>
      <w:r>
        <w:separator/>
      </w:r>
    </w:p>
  </w:footnote>
  <w:footnote w:type="continuationSeparator" w:id="0">
    <w:p w14:paraId="775671D9" w14:textId="77777777" w:rsidR="00A238D1" w:rsidRDefault="00A238D1" w:rsidP="0083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1ABE" w14:textId="179FD7A5" w:rsidR="008348BD" w:rsidRDefault="00A238D1">
    <w:pPr>
      <w:pStyle w:val="Header"/>
    </w:pPr>
    <w:r>
      <w:rPr>
        <w:noProof/>
      </w:rPr>
      <w:pict w14:anchorId="1D2E6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21C7" w14:textId="0F6D2F7C" w:rsidR="008348BD" w:rsidRDefault="00A238D1">
    <w:pPr>
      <w:pStyle w:val="Header"/>
    </w:pPr>
    <w:r>
      <w:rPr>
        <w:noProof/>
      </w:rPr>
      <w:pict w14:anchorId="5AB93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F16F" w14:textId="1A28E727" w:rsidR="008348BD" w:rsidRDefault="00A238D1">
    <w:pPr>
      <w:pStyle w:val="Header"/>
    </w:pPr>
    <w:r>
      <w:rPr>
        <w:noProof/>
      </w:rPr>
      <w:pict w14:anchorId="7C7E7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B88"/>
    <w:multiLevelType w:val="hybridMultilevel"/>
    <w:tmpl w:val="8C749FB8"/>
    <w:lvl w:ilvl="0" w:tplc="2D28BF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422C1"/>
    <w:multiLevelType w:val="multilevel"/>
    <w:tmpl w:val="B4D014CA"/>
    <w:lvl w:ilvl="0">
      <w:start w:val="3"/>
      <w:numFmt w:val="decimal"/>
      <w:lvlText w:val="%1"/>
      <w:lvlJc w:val="left"/>
      <w:pPr>
        <w:ind w:left="1280" w:hanging="600"/>
      </w:pPr>
      <w:rPr>
        <w:rFonts w:hint="default"/>
        <w:lang w:val="en-US" w:eastAsia="en-US" w:bidi="ar-SA"/>
      </w:rPr>
    </w:lvl>
    <w:lvl w:ilvl="1">
      <w:start w:val="3"/>
      <w:numFmt w:val="decimal"/>
      <w:lvlText w:val="%1.%2"/>
      <w:lvlJc w:val="left"/>
      <w:pPr>
        <w:ind w:left="1280" w:hanging="600"/>
      </w:pPr>
      <w:rPr>
        <w:rFonts w:hint="default"/>
        <w:lang w:val="en-US" w:eastAsia="en-US" w:bidi="ar-SA"/>
      </w:rPr>
    </w:lvl>
    <w:lvl w:ilvl="2">
      <w:start w:val="1"/>
      <w:numFmt w:val="decimal"/>
      <w:lvlText w:val="%1.%2.%3."/>
      <w:lvlJc w:val="left"/>
      <w:pPr>
        <w:ind w:left="128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65" w:hanging="600"/>
      </w:pPr>
      <w:rPr>
        <w:rFonts w:hint="default"/>
        <w:lang w:val="en-US" w:eastAsia="en-US" w:bidi="ar-SA"/>
      </w:rPr>
    </w:lvl>
    <w:lvl w:ilvl="4">
      <w:numFmt w:val="bullet"/>
      <w:lvlText w:val="•"/>
      <w:lvlJc w:val="left"/>
      <w:pPr>
        <w:ind w:left="4860" w:hanging="600"/>
      </w:pPr>
      <w:rPr>
        <w:rFonts w:hint="default"/>
        <w:lang w:val="en-US" w:eastAsia="en-US" w:bidi="ar-SA"/>
      </w:rPr>
    </w:lvl>
    <w:lvl w:ilvl="5">
      <w:numFmt w:val="bullet"/>
      <w:lvlText w:val="•"/>
      <w:lvlJc w:val="left"/>
      <w:pPr>
        <w:ind w:left="5755" w:hanging="600"/>
      </w:pPr>
      <w:rPr>
        <w:rFonts w:hint="default"/>
        <w:lang w:val="en-US" w:eastAsia="en-US" w:bidi="ar-SA"/>
      </w:rPr>
    </w:lvl>
    <w:lvl w:ilvl="6">
      <w:numFmt w:val="bullet"/>
      <w:lvlText w:val="•"/>
      <w:lvlJc w:val="left"/>
      <w:pPr>
        <w:ind w:left="6650" w:hanging="600"/>
      </w:pPr>
      <w:rPr>
        <w:rFonts w:hint="default"/>
        <w:lang w:val="en-US" w:eastAsia="en-US" w:bidi="ar-SA"/>
      </w:rPr>
    </w:lvl>
    <w:lvl w:ilvl="7">
      <w:numFmt w:val="bullet"/>
      <w:lvlText w:val="•"/>
      <w:lvlJc w:val="left"/>
      <w:pPr>
        <w:ind w:left="7545" w:hanging="600"/>
      </w:pPr>
      <w:rPr>
        <w:rFonts w:hint="default"/>
        <w:lang w:val="en-US" w:eastAsia="en-US" w:bidi="ar-SA"/>
      </w:rPr>
    </w:lvl>
    <w:lvl w:ilvl="8">
      <w:numFmt w:val="bullet"/>
      <w:lvlText w:val="•"/>
      <w:lvlJc w:val="left"/>
      <w:pPr>
        <w:ind w:left="8440" w:hanging="600"/>
      </w:pPr>
      <w:rPr>
        <w:rFonts w:hint="default"/>
        <w:lang w:val="en-US" w:eastAsia="en-US" w:bidi="ar-SA"/>
      </w:rPr>
    </w:lvl>
  </w:abstractNum>
  <w:abstractNum w:abstractNumId="2" w15:restartNumberingAfterBreak="0">
    <w:nsid w:val="18203468"/>
    <w:multiLevelType w:val="multilevel"/>
    <w:tmpl w:val="575C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C7FD2"/>
    <w:multiLevelType w:val="hybridMultilevel"/>
    <w:tmpl w:val="C2B42F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94313D"/>
    <w:multiLevelType w:val="multilevel"/>
    <w:tmpl w:val="7E5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602989"/>
    <w:multiLevelType w:val="multilevel"/>
    <w:tmpl w:val="58A2A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053C8"/>
    <w:multiLevelType w:val="multilevel"/>
    <w:tmpl w:val="BDE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7D7D"/>
    <w:rsid w:val="00000C33"/>
    <w:rsid w:val="00010081"/>
    <w:rsid w:val="00013B0D"/>
    <w:rsid w:val="0001595D"/>
    <w:rsid w:val="0001667C"/>
    <w:rsid w:val="000238DE"/>
    <w:rsid w:val="00031BC5"/>
    <w:rsid w:val="00035D3E"/>
    <w:rsid w:val="000369FE"/>
    <w:rsid w:val="00041712"/>
    <w:rsid w:val="00053742"/>
    <w:rsid w:val="000542E3"/>
    <w:rsid w:val="000656E7"/>
    <w:rsid w:val="00070D1C"/>
    <w:rsid w:val="0007477F"/>
    <w:rsid w:val="000755D0"/>
    <w:rsid w:val="00083A7A"/>
    <w:rsid w:val="00083E85"/>
    <w:rsid w:val="000849F4"/>
    <w:rsid w:val="00086F94"/>
    <w:rsid w:val="00091E6E"/>
    <w:rsid w:val="00092227"/>
    <w:rsid w:val="00092B58"/>
    <w:rsid w:val="00092F44"/>
    <w:rsid w:val="00095381"/>
    <w:rsid w:val="000A5C1E"/>
    <w:rsid w:val="000B450B"/>
    <w:rsid w:val="000C1182"/>
    <w:rsid w:val="000C1358"/>
    <w:rsid w:val="000C1E5C"/>
    <w:rsid w:val="000C5433"/>
    <w:rsid w:val="000C6DC0"/>
    <w:rsid w:val="000D1852"/>
    <w:rsid w:val="000D1F54"/>
    <w:rsid w:val="000D5B81"/>
    <w:rsid w:val="000E0060"/>
    <w:rsid w:val="000E0F65"/>
    <w:rsid w:val="000E1E34"/>
    <w:rsid w:val="000E2E9D"/>
    <w:rsid w:val="000E53DA"/>
    <w:rsid w:val="00104022"/>
    <w:rsid w:val="0011116D"/>
    <w:rsid w:val="00111E88"/>
    <w:rsid w:val="00112FCA"/>
    <w:rsid w:val="001149A9"/>
    <w:rsid w:val="00115A15"/>
    <w:rsid w:val="001246CD"/>
    <w:rsid w:val="001320C1"/>
    <w:rsid w:val="001324B5"/>
    <w:rsid w:val="00135024"/>
    <w:rsid w:val="001462E3"/>
    <w:rsid w:val="001478A4"/>
    <w:rsid w:val="00160C9A"/>
    <w:rsid w:val="00171FEF"/>
    <w:rsid w:val="00173709"/>
    <w:rsid w:val="00175C38"/>
    <w:rsid w:val="0018078B"/>
    <w:rsid w:val="00182ADB"/>
    <w:rsid w:val="00183BE8"/>
    <w:rsid w:val="00184D86"/>
    <w:rsid w:val="001916F7"/>
    <w:rsid w:val="001A0BD8"/>
    <w:rsid w:val="001A7311"/>
    <w:rsid w:val="001B1C93"/>
    <w:rsid w:val="001C1D16"/>
    <w:rsid w:val="001C2BBD"/>
    <w:rsid w:val="001D4797"/>
    <w:rsid w:val="001D4D53"/>
    <w:rsid w:val="001D5747"/>
    <w:rsid w:val="001D7401"/>
    <w:rsid w:val="001E3F0F"/>
    <w:rsid w:val="001E5DC5"/>
    <w:rsid w:val="001E7F39"/>
    <w:rsid w:val="002014CD"/>
    <w:rsid w:val="0020205F"/>
    <w:rsid w:val="00207B59"/>
    <w:rsid w:val="00211618"/>
    <w:rsid w:val="00213561"/>
    <w:rsid w:val="002142DE"/>
    <w:rsid w:val="00221319"/>
    <w:rsid w:val="00224DB0"/>
    <w:rsid w:val="002252E7"/>
    <w:rsid w:val="00235FB3"/>
    <w:rsid w:val="00240188"/>
    <w:rsid w:val="00240EDE"/>
    <w:rsid w:val="002463D7"/>
    <w:rsid w:val="002521CB"/>
    <w:rsid w:val="00266875"/>
    <w:rsid w:val="00272F6B"/>
    <w:rsid w:val="00274309"/>
    <w:rsid w:val="002802A6"/>
    <w:rsid w:val="00282E91"/>
    <w:rsid w:val="00284405"/>
    <w:rsid w:val="002A08AA"/>
    <w:rsid w:val="002A545E"/>
    <w:rsid w:val="002A5800"/>
    <w:rsid w:val="002B6138"/>
    <w:rsid w:val="002D1D35"/>
    <w:rsid w:val="002D7E1D"/>
    <w:rsid w:val="002E7D1D"/>
    <w:rsid w:val="002F5801"/>
    <w:rsid w:val="002F73DB"/>
    <w:rsid w:val="0030170F"/>
    <w:rsid w:val="003062CB"/>
    <w:rsid w:val="00311EAE"/>
    <w:rsid w:val="00325B83"/>
    <w:rsid w:val="00340459"/>
    <w:rsid w:val="00341BFF"/>
    <w:rsid w:val="00351C60"/>
    <w:rsid w:val="003570BD"/>
    <w:rsid w:val="00363E23"/>
    <w:rsid w:val="00370F94"/>
    <w:rsid w:val="003719E5"/>
    <w:rsid w:val="00385567"/>
    <w:rsid w:val="00392B43"/>
    <w:rsid w:val="00394811"/>
    <w:rsid w:val="00396024"/>
    <w:rsid w:val="003A10C5"/>
    <w:rsid w:val="003A1CCB"/>
    <w:rsid w:val="003A3B03"/>
    <w:rsid w:val="003A6576"/>
    <w:rsid w:val="003C360B"/>
    <w:rsid w:val="003C6A77"/>
    <w:rsid w:val="003D47F8"/>
    <w:rsid w:val="003D4D7A"/>
    <w:rsid w:val="003D5FBD"/>
    <w:rsid w:val="003F3A03"/>
    <w:rsid w:val="004049AD"/>
    <w:rsid w:val="00405689"/>
    <w:rsid w:val="0041080D"/>
    <w:rsid w:val="00414A31"/>
    <w:rsid w:val="00424EB0"/>
    <w:rsid w:val="0042668F"/>
    <w:rsid w:val="0043723F"/>
    <w:rsid w:val="00443B86"/>
    <w:rsid w:val="00444325"/>
    <w:rsid w:val="00446A21"/>
    <w:rsid w:val="004470F6"/>
    <w:rsid w:val="004565EE"/>
    <w:rsid w:val="004636F6"/>
    <w:rsid w:val="00467EF8"/>
    <w:rsid w:val="00470A4F"/>
    <w:rsid w:val="004713BE"/>
    <w:rsid w:val="00472B6E"/>
    <w:rsid w:val="00475FFF"/>
    <w:rsid w:val="004808C0"/>
    <w:rsid w:val="00480F23"/>
    <w:rsid w:val="0049226B"/>
    <w:rsid w:val="004B5CCC"/>
    <w:rsid w:val="004D708A"/>
    <w:rsid w:val="004E0554"/>
    <w:rsid w:val="004E1446"/>
    <w:rsid w:val="005009B8"/>
    <w:rsid w:val="00501778"/>
    <w:rsid w:val="00502786"/>
    <w:rsid w:val="005053F8"/>
    <w:rsid w:val="00506E18"/>
    <w:rsid w:val="00515EA9"/>
    <w:rsid w:val="005215EA"/>
    <w:rsid w:val="00531786"/>
    <w:rsid w:val="00540A33"/>
    <w:rsid w:val="00542499"/>
    <w:rsid w:val="005502C0"/>
    <w:rsid w:val="00553BDD"/>
    <w:rsid w:val="0055600E"/>
    <w:rsid w:val="005641F2"/>
    <w:rsid w:val="00566A39"/>
    <w:rsid w:val="00567624"/>
    <w:rsid w:val="00575D41"/>
    <w:rsid w:val="00584B75"/>
    <w:rsid w:val="005857F5"/>
    <w:rsid w:val="00586D7A"/>
    <w:rsid w:val="005879EA"/>
    <w:rsid w:val="005A27F9"/>
    <w:rsid w:val="005A7836"/>
    <w:rsid w:val="005B6A9C"/>
    <w:rsid w:val="005C3348"/>
    <w:rsid w:val="005D26D1"/>
    <w:rsid w:val="005D6572"/>
    <w:rsid w:val="005E5886"/>
    <w:rsid w:val="0060161F"/>
    <w:rsid w:val="00602658"/>
    <w:rsid w:val="00612D4D"/>
    <w:rsid w:val="0061307B"/>
    <w:rsid w:val="00620ACA"/>
    <w:rsid w:val="006311B2"/>
    <w:rsid w:val="0063231B"/>
    <w:rsid w:val="00641FF1"/>
    <w:rsid w:val="00653D93"/>
    <w:rsid w:val="00660C2B"/>
    <w:rsid w:val="00663EF3"/>
    <w:rsid w:val="00667588"/>
    <w:rsid w:val="0069446D"/>
    <w:rsid w:val="00695E20"/>
    <w:rsid w:val="006A1258"/>
    <w:rsid w:val="006A65DF"/>
    <w:rsid w:val="006B40F0"/>
    <w:rsid w:val="006C0821"/>
    <w:rsid w:val="006C205B"/>
    <w:rsid w:val="006D1053"/>
    <w:rsid w:val="006D19D8"/>
    <w:rsid w:val="006E5143"/>
    <w:rsid w:val="006E64B3"/>
    <w:rsid w:val="006E7698"/>
    <w:rsid w:val="006F3B64"/>
    <w:rsid w:val="006F6F47"/>
    <w:rsid w:val="007035BE"/>
    <w:rsid w:val="00711592"/>
    <w:rsid w:val="007225D6"/>
    <w:rsid w:val="00744CA2"/>
    <w:rsid w:val="00750341"/>
    <w:rsid w:val="0076098D"/>
    <w:rsid w:val="007631B7"/>
    <w:rsid w:val="00765341"/>
    <w:rsid w:val="00765C1D"/>
    <w:rsid w:val="0077012B"/>
    <w:rsid w:val="007724C8"/>
    <w:rsid w:val="00772510"/>
    <w:rsid w:val="00774984"/>
    <w:rsid w:val="00781360"/>
    <w:rsid w:val="007878A0"/>
    <w:rsid w:val="007A1C7C"/>
    <w:rsid w:val="007A4432"/>
    <w:rsid w:val="007B06AE"/>
    <w:rsid w:val="007B08B3"/>
    <w:rsid w:val="007C15C5"/>
    <w:rsid w:val="007D0AE3"/>
    <w:rsid w:val="007D59B2"/>
    <w:rsid w:val="007D64EF"/>
    <w:rsid w:val="007E205A"/>
    <w:rsid w:val="007E41AD"/>
    <w:rsid w:val="007F6038"/>
    <w:rsid w:val="007F6AA8"/>
    <w:rsid w:val="007F7230"/>
    <w:rsid w:val="008048A9"/>
    <w:rsid w:val="00812C79"/>
    <w:rsid w:val="00813685"/>
    <w:rsid w:val="0081613E"/>
    <w:rsid w:val="00831C51"/>
    <w:rsid w:val="00832A1C"/>
    <w:rsid w:val="008348BD"/>
    <w:rsid w:val="008479FA"/>
    <w:rsid w:val="00855E0F"/>
    <w:rsid w:val="00867DD0"/>
    <w:rsid w:val="00867FCD"/>
    <w:rsid w:val="0088162D"/>
    <w:rsid w:val="00891048"/>
    <w:rsid w:val="008A1BCD"/>
    <w:rsid w:val="008A258A"/>
    <w:rsid w:val="008B6DC5"/>
    <w:rsid w:val="008B7883"/>
    <w:rsid w:val="008E4FF3"/>
    <w:rsid w:val="0090180E"/>
    <w:rsid w:val="00902AF7"/>
    <w:rsid w:val="009107D8"/>
    <w:rsid w:val="00925C41"/>
    <w:rsid w:val="00925E5A"/>
    <w:rsid w:val="00934E30"/>
    <w:rsid w:val="0093652B"/>
    <w:rsid w:val="00936601"/>
    <w:rsid w:val="009374D7"/>
    <w:rsid w:val="009416FC"/>
    <w:rsid w:val="0094295A"/>
    <w:rsid w:val="0094437C"/>
    <w:rsid w:val="00956F69"/>
    <w:rsid w:val="00964090"/>
    <w:rsid w:val="00970778"/>
    <w:rsid w:val="00971B92"/>
    <w:rsid w:val="0099297B"/>
    <w:rsid w:val="0099471F"/>
    <w:rsid w:val="009A72C2"/>
    <w:rsid w:val="009B43BD"/>
    <w:rsid w:val="009B5ACF"/>
    <w:rsid w:val="009C380A"/>
    <w:rsid w:val="009D1631"/>
    <w:rsid w:val="009D3F7C"/>
    <w:rsid w:val="009D4319"/>
    <w:rsid w:val="009D78EE"/>
    <w:rsid w:val="009D7D7E"/>
    <w:rsid w:val="009E3301"/>
    <w:rsid w:val="009E6104"/>
    <w:rsid w:val="009F707A"/>
    <w:rsid w:val="00A02EBB"/>
    <w:rsid w:val="00A143F0"/>
    <w:rsid w:val="00A22F81"/>
    <w:rsid w:val="00A238D1"/>
    <w:rsid w:val="00A2409C"/>
    <w:rsid w:val="00A30004"/>
    <w:rsid w:val="00A53497"/>
    <w:rsid w:val="00A536F6"/>
    <w:rsid w:val="00A62126"/>
    <w:rsid w:val="00A746CD"/>
    <w:rsid w:val="00A74758"/>
    <w:rsid w:val="00A74B5B"/>
    <w:rsid w:val="00A77FA9"/>
    <w:rsid w:val="00A84821"/>
    <w:rsid w:val="00A86DED"/>
    <w:rsid w:val="00A90CE8"/>
    <w:rsid w:val="00A94C51"/>
    <w:rsid w:val="00A95818"/>
    <w:rsid w:val="00A96DA8"/>
    <w:rsid w:val="00AA5155"/>
    <w:rsid w:val="00AA588B"/>
    <w:rsid w:val="00AB4F97"/>
    <w:rsid w:val="00AD0320"/>
    <w:rsid w:val="00AD6B4A"/>
    <w:rsid w:val="00AD7AB6"/>
    <w:rsid w:val="00AE0E92"/>
    <w:rsid w:val="00B025DE"/>
    <w:rsid w:val="00B10088"/>
    <w:rsid w:val="00B10317"/>
    <w:rsid w:val="00B16506"/>
    <w:rsid w:val="00B20258"/>
    <w:rsid w:val="00B26469"/>
    <w:rsid w:val="00B31CC5"/>
    <w:rsid w:val="00B37CCF"/>
    <w:rsid w:val="00B44228"/>
    <w:rsid w:val="00B454A2"/>
    <w:rsid w:val="00B505B3"/>
    <w:rsid w:val="00B566B3"/>
    <w:rsid w:val="00B66758"/>
    <w:rsid w:val="00B741EE"/>
    <w:rsid w:val="00B74851"/>
    <w:rsid w:val="00B77FC6"/>
    <w:rsid w:val="00B8271A"/>
    <w:rsid w:val="00B92F1C"/>
    <w:rsid w:val="00B95F83"/>
    <w:rsid w:val="00B9762C"/>
    <w:rsid w:val="00BB63D5"/>
    <w:rsid w:val="00BC1B92"/>
    <w:rsid w:val="00BC49E8"/>
    <w:rsid w:val="00BC6438"/>
    <w:rsid w:val="00BD0BD2"/>
    <w:rsid w:val="00BD48D0"/>
    <w:rsid w:val="00BD5676"/>
    <w:rsid w:val="00BD70D2"/>
    <w:rsid w:val="00BF00A9"/>
    <w:rsid w:val="00BF065B"/>
    <w:rsid w:val="00BF3B46"/>
    <w:rsid w:val="00BF5BB6"/>
    <w:rsid w:val="00C1210B"/>
    <w:rsid w:val="00C13661"/>
    <w:rsid w:val="00C13DB4"/>
    <w:rsid w:val="00C327C4"/>
    <w:rsid w:val="00C365B4"/>
    <w:rsid w:val="00C36F18"/>
    <w:rsid w:val="00C37A66"/>
    <w:rsid w:val="00C42487"/>
    <w:rsid w:val="00C44FCA"/>
    <w:rsid w:val="00C46593"/>
    <w:rsid w:val="00C47A1C"/>
    <w:rsid w:val="00C5004C"/>
    <w:rsid w:val="00C5387C"/>
    <w:rsid w:val="00C61863"/>
    <w:rsid w:val="00C621EB"/>
    <w:rsid w:val="00C63FEF"/>
    <w:rsid w:val="00C71E96"/>
    <w:rsid w:val="00C7292F"/>
    <w:rsid w:val="00C734F7"/>
    <w:rsid w:val="00C77B1E"/>
    <w:rsid w:val="00C77F9B"/>
    <w:rsid w:val="00C83CF3"/>
    <w:rsid w:val="00C92BB2"/>
    <w:rsid w:val="00C9642B"/>
    <w:rsid w:val="00C96A31"/>
    <w:rsid w:val="00CA10CE"/>
    <w:rsid w:val="00CA2526"/>
    <w:rsid w:val="00CA67DC"/>
    <w:rsid w:val="00CC099E"/>
    <w:rsid w:val="00CC4D10"/>
    <w:rsid w:val="00CC5411"/>
    <w:rsid w:val="00CC63A3"/>
    <w:rsid w:val="00CD245E"/>
    <w:rsid w:val="00CD7C5E"/>
    <w:rsid w:val="00CE11E8"/>
    <w:rsid w:val="00CE256D"/>
    <w:rsid w:val="00CE2AFE"/>
    <w:rsid w:val="00CE5EFD"/>
    <w:rsid w:val="00CF6429"/>
    <w:rsid w:val="00D021BD"/>
    <w:rsid w:val="00D02647"/>
    <w:rsid w:val="00D02766"/>
    <w:rsid w:val="00D0709F"/>
    <w:rsid w:val="00D1749A"/>
    <w:rsid w:val="00D22B49"/>
    <w:rsid w:val="00D22C59"/>
    <w:rsid w:val="00D33F96"/>
    <w:rsid w:val="00D35517"/>
    <w:rsid w:val="00D4575E"/>
    <w:rsid w:val="00D50015"/>
    <w:rsid w:val="00D70540"/>
    <w:rsid w:val="00D722E1"/>
    <w:rsid w:val="00DB17D3"/>
    <w:rsid w:val="00DB42C5"/>
    <w:rsid w:val="00DB6DF0"/>
    <w:rsid w:val="00DC0467"/>
    <w:rsid w:val="00DC3075"/>
    <w:rsid w:val="00DD4B63"/>
    <w:rsid w:val="00DD59FA"/>
    <w:rsid w:val="00DE12BD"/>
    <w:rsid w:val="00DF090E"/>
    <w:rsid w:val="00E05705"/>
    <w:rsid w:val="00E0625A"/>
    <w:rsid w:val="00E11463"/>
    <w:rsid w:val="00E14B19"/>
    <w:rsid w:val="00E15888"/>
    <w:rsid w:val="00E2222F"/>
    <w:rsid w:val="00E23E7B"/>
    <w:rsid w:val="00E25325"/>
    <w:rsid w:val="00E26D1B"/>
    <w:rsid w:val="00E33212"/>
    <w:rsid w:val="00E41EE5"/>
    <w:rsid w:val="00E4651B"/>
    <w:rsid w:val="00E476A4"/>
    <w:rsid w:val="00E51A03"/>
    <w:rsid w:val="00E5651B"/>
    <w:rsid w:val="00E57298"/>
    <w:rsid w:val="00E612CB"/>
    <w:rsid w:val="00E71E30"/>
    <w:rsid w:val="00E74CBD"/>
    <w:rsid w:val="00E86893"/>
    <w:rsid w:val="00E91115"/>
    <w:rsid w:val="00E94E49"/>
    <w:rsid w:val="00E95609"/>
    <w:rsid w:val="00EA24AD"/>
    <w:rsid w:val="00EA2B01"/>
    <w:rsid w:val="00EA3CEC"/>
    <w:rsid w:val="00EA7EB8"/>
    <w:rsid w:val="00EB15F5"/>
    <w:rsid w:val="00EB1C90"/>
    <w:rsid w:val="00EB43A6"/>
    <w:rsid w:val="00EB5D1E"/>
    <w:rsid w:val="00EC1BC0"/>
    <w:rsid w:val="00EC317E"/>
    <w:rsid w:val="00EC7683"/>
    <w:rsid w:val="00ED51E0"/>
    <w:rsid w:val="00ED558C"/>
    <w:rsid w:val="00EE73B9"/>
    <w:rsid w:val="00EE7AE0"/>
    <w:rsid w:val="00EF7C58"/>
    <w:rsid w:val="00F02F3F"/>
    <w:rsid w:val="00F06139"/>
    <w:rsid w:val="00F13249"/>
    <w:rsid w:val="00F15769"/>
    <w:rsid w:val="00F205A8"/>
    <w:rsid w:val="00F26334"/>
    <w:rsid w:val="00F31716"/>
    <w:rsid w:val="00F40C81"/>
    <w:rsid w:val="00F45276"/>
    <w:rsid w:val="00F45287"/>
    <w:rsid w:val="00F4639E"/>
    <w:rsid w:val="00F54B6E"/>
    <w:rsid w:val="00F63A53"/>
    <w:rsid w:val="00F746DE"/>
    <w:rsid w:val="00F7536F"/>
    <w:rsid w:val="00FA45E2"/>
    <w:rsid w:val="00FB4D34"/>
    <w:rsid w:val="00FB62A5"/>
    <w:rsid w:val="00FB7C1A"/>
    <w:rsid w:val="00FC01E8"/>
    <w:rsid w:val="00FC3A1A"/>
    <w:rsid w:val="00FC58E9"/>
    <w:rsid w:val="00FC60CB"/>
    <w:rsid w:val="00FC6117"/>
    <w:rsid w:val="00FC7D7D"/>
    <w:rsid w:val="00FD725A"/>
    <w:rsid w:val="00FD7EA7"/>
    <w:rsid w:val="00FE431A"/>
    <w:rsid w:val="00FE7DC9"/>
    <w:rsid w:val="00FF0EF3"/>
    <w:rsid w:val="00FF4895"/>
    <w:rsid w:val="00FF59FB"/>
    <w:rsid w:val="00FF705B"/>
    <w:rsid w:val="00FF72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B4514"/>
  <w15:docId w15:val="{3B9B30CA-E3B5-4370-8169-9EA0BA25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9C"/>
    <w:rPr>
      <w:lang w:val="en-US"/>
    </w:rPr>
  </w:style>
  <w:style w:type="paragraph" w:styleId="Heading3">
    <w:name w:val="heading 3"/>
    <w:basedOn w:val="Normal"/>
    <w:link w:val="Heading3Char"/>
    <w:uiPriority w:val="9"/>
    <w:qFormat/>
    <w:rsid w:val="00CA10C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5">
    <w:name w:val="heading 5"/>
    <w:basedOn w:val="Normal"/>
    <w:next w:val="Normal"/>
    <w:link w:val="Heading5Char"/>
    <w:uiPriority w:val="9"/>
    <w:semiHidden/>
    <w:unhideWhenUsed/>
    <w:qFormat/>
    <w:rsid w:val="007115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5D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E2AFE"/>
    <w:rPr>
      <w:b/>
      <w:bCs/>
    </w:rPr>
  </w:style>
  <w:style w:type="character" w:styleId="Emphasis">
    <w:name w:val="Emphasis"/>
    <w:basedOn w:val="DefaultParagraphFont"/>
    <w:uiPriority w:val="20"/>
    <w:qFormat/>
    <w:rsid w:val="00D02647"/>
    <w:rPr>
      <w:i/>
      <w:iCs/>
    </w:rPr>
  </w:style>
  <w:style w:type="table" w:styleId="TableGrid">
    <w:name w:val="Table Grid"/>
    <w:basedOn w:val="TableNormal"/>
    <w:uiPriority w:val="59"/>
    <w:rsid w:val="0086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401"/>
    <w:pPr>
      <w:widowControl w:val="0"/>
      <w:autoSpaceDE w:val="0"/>
      <w:autoSpaceDN w:val="0"/>
      <w:spacing w:after="0" w:line="240" w:lineRule="auto"/>
      <w:ind w:left="1400" w:hanging="360"/>
    </w:pPr>
    <w:rPr>
      <w:rFonts w:ascii="Times New Roman" w:eastAsia="Times New Roman" w:hAnsi="Times New Roman" w:cs="Times New Roman"/>
    </w:rPr>
  </w:style>
  <w:style w:type="paragraph" w:styleId="BodyText">
    <w:name w:val="Body Text"/>
    <w:basedOn w:val="Normal"/>
    <w:link w:val="BodyTextChar"/>
    <w:uiPriority w:val="1"/>
    <w:qFormat/>
    <w:rsid w:val="001E5D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E5DC5"/>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07B59"/>
    <w:rPr>
      <w:color w:val="808080"/>
    </w:rPr>
  </w:style>
  <w:style w:type="paragraph" w:styleId="BalloonText">
    <w:name w:val="Balloon Text"/>
    <w:basedOn w:val="Normal"/>
    <w:link w:val="BalloonTextChar"/>
    <w:uiPriority w:val="99"/>
    <w:semiHidden/>
    <w:unhideWhenUsed/>
    <w:rsid w:val="00207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B59"/>
    <w:rPr>
      <w:rFonts w:ascii="Tahoma" w:hAnsi="Tahoma" w:cs="Tahoma"/>
      <w:sz w:val="16"/>
      <w:szCs w:val="16"/>
      <w:lang w:val="en-US"/>
    </w:rPr>
  </w:style>
  <w:style w:type="character" w:customStyle="1" w:styleId="Heading3Char">
    <w:name w:val="Heading 3 Char"/>
    <w:basedOn w:val="DefaultParagraphFont"/>
    <w:link w:val="Heading3"/>
    <w:uiPriority w:val="9"/>
    <w:rsid w:val="00CA10CE"/>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semiHidden/>
    <w:rsid w:val="00711592"/>
    <w:rPr>
      <w:rFonts w:asciiTheme="majorHAnsi" w:eastAsiaTheme="majorEastAsia" w:hAnsiTheme="majorHAnsi" w:cstheme="majorBidi"/>
      <w:color w:val="243F60" w:themeColor="accent1" w:themeShade="7F"/>
      <w:lang w:val="en-US"/>
    </w:rPr>
  </w:style>
  <w:style w:type="paragraph" w:customStyle="1" w:styleId="TableParagraph">
    <w:name w:val="Table Paragraph"/>
    <w:basedOn w:val="Normal"/>
    <w:uiPriority w:val="1"/>
    <w:qFormat/>
    <w:rsid w:val="00711592"/>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0D1852"/>
    <w:rPr>
      <w:color w:val="0000FF" w:themeColor="hyperlink"/>
      <w:u w:val="single"/>
    </w:rPr>
  </w:style>
  <w:style w:type="character" w:customStyle="1" w:styleId="UnresolvedMention">
    <w:name w:val="Unresolved Mention"/>
    <w:basedOn w:val="DefaultParagraphFont"/>
    <w:uiPriority w:val="99"/>
    <w:semiHidden/>
    <w:unhideWhenUsed/>
    <w:rsid w:val="000D1852"/>
    <w:rPr>
      <w:color w:val="605E5C"/>
      <w:shd w:val="clear" w:color="auto" w:fill="E1DFDD"/>
    </w:rPr>
  </w:style>
  <w:style w:type="paragraph" w:styleId="Header">
    <w:name w:val="header"/>
    <w:basedOn w:val="Normal"/>
    <w:link w:val="HeaderChar"/>
    <w:uiPriority w:val="99"/>
    <w:unhideWhenUsed/>
    <w:rsid w:val="00834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8BD"/>
    <w:rPr>
      <w:lang w:val="en-US"/>
    </w:rPr>
  </w:style>
  <w:style w:type="paragraph" w:styleId="Footer">
    <w:name w:val="footer"/>
    <w:basedOn w:val="Normal"/>
    <w:link w:val="FooterChar"/>
    <w:uiPriority w:val="99"/>
    <w:unhideWhenUsed/>
    <w:rsid w:val="00834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8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747">
      <w:bodyDiv w:val="1"/>
      <w:marLeft w:val="0"/>
      <w:marRight w:val="0"/>
      <w:marTop w:val="0"/>
      <w:marBottom w:val="0"/>
      <w:divBdr>
        <w:top w:val="none" w:sz="0" w:space="0" w:color="auto"/>
        <w:left w:val="none" w:sz="0" w:space="0" w:color="auto"/>
        <w:bottom w:val="none" w:sz="0" w:space="0" w:color="auto"/>
        <w:right w:val="none" w:sz="0" w:space="0" w:color="auto"/>
      </w:divBdr>
    </w:div>
    <w:div w:id="277832108">
      <w:bodyDiv w:val="1"/>
      <w:marLeft w:val="0"/>
      <w:marRight w:val="0"/>
      <w:marTop w:val="0"/>
      <w:marBottom w:val="0"/>
      <w:divBdr>
        <w:top w:val="none" w:sz="0" w:space="0" w:color="auto"/>
        <w:left w:val="none" w:sz="0" w:space="0" w:color="auto"/>
        <w:bottom w:val="none" w:sz="0" w:space="0" w:color="auto"/>
        <w:right w:val="none" w:sz="0" w:space="0" w:color="auto"/>
      </w:divBdr>
    </w:div>
    <w:div w:id="297956246">
      <w:bodyDiv w:val="1"/>
      <w:marLeft w:val="0"/>
      <w:marRight w:val="0"/>
      <w:marTop w:val="0"/>
      <w:marBottom w:val="0"/>
      <w:divBdr>
        <w:top w:val="none" w:sz="0" w:space="0" w:color="auto"/>
        <w:left w:val="none" w:sz="0" w:space="0" w:color="auto"/>
        <w:bottom w:val="none" w:sz="0" w:space="0" w:color="auto"/>
        <w:right w:val="none" w:sz="0" w:space="0" w:color="auto"/>
      </w:divBdr>
    </w:div>
    <w:div w:id="321668427">
      <w:bodyDiv w:val="1"/>
      <w:marLeft w:val="0"/>
      <w:marRight w:val="0"/>
      <w:marTop w:val="0"/>
      <w:marBottom w:val="0"/>
      <w:divBdr>
        <w:top w:val="none" w:sz="0" w:space="0" w:color="auto"/>
        <w:left w:val="none" w:sz="0" w:space="0" w:color="auto"/>
        <w:bottom w:val="none" w:sz="0" w:space="0" w:color="auto"/>
        <w:right w:val="none" w:sz="0" w:space="0" w:color="auto"/>
      </w:divBdr>
    </w:div>
    <w:div w:id="355233429">
      <w:bodyDiv w:val="1"/>
      <w:marLeft w:val="0"/>
      <w:marRight w:val="0"/>
      <w:marTop w:val="0"/>
      <w:marBottom w:val="0"/>
      <w:divBdr>
        <w:top w:val="none" w:sz="0" w:space="0" w:color="auto"/>
        <w:left w:val="none" w:sz="0" w:space="0" w:color="auto"/>
        <w:bottom w:val="none" w:sz="0" w:space="0" w:color="auto"/>
        <w:right w:val="none" w:sz="0" w:space="0" w:color="auto"/>
      </w:divBdr>
    </w:div>
    <w:div w:id="679040207">
      <w:bodyDiv w:val="1"/>
      <w:marLeft w:val="0"/>
      <w:marRight w:val="0"/>
      <w:marTop w:val="0"/>
      <w:marBottom w:val="0"/>
      <w:divBdr>
        <w:top w:val="none" w:sz="0" w:space="0" w:color="auto"/>
        <w:left w:val="none" w:sz="0" w:space="0" w:color="auto"/>
        <w:bottom w:val="none" w:sz="0" w:space="0" w:color="auto"/>
        <w:right w:val="none" w:sz="0" w:space="0" w:color="auto"/>
      </w:divBdr>
    </w:div>
    <w:div w:id="704989634">
      <w:bodyDiv w:val="1"/>
      <w:marLeft w:val="0"/>
      <w:marRight w:val="0"/>
      <w:marTop w:val="0"/>
      <w:marBottom w:val="0"/>
      <w:divBdr>
        <w:top w:val="none" w:sz="0" w:space="0" w:color="auto"/>
        <w:left w:val="none" w:sz="0" w:space="0" w:color="auto"/>
        <w:bottom w:val="none" w:sz="0" w:space="0" w:color="auto"/>
        <w:right w:val="none" w:sz="0" w:space="0" w:color="auto"/>
      </w:divBdr>
    </w:div>
    <w:div w:id="752973958">
      <w:bodyDiv w:val="1"/>
      <w:marLeft w:val="0"/>
      <w:marRight w:val="0"/>
      <w:marTop w:val="0"/>
      <w:marBottom w:val="0"/>
      <w:divBdr>
        <w:top w:val="none" w:sz="0" w:space="0" w:color="auto"/>
        <w:left w:val="none" w:sz="0" w:space="0" w:color="auto"/>
        <w:bottom w:val="none" w:sz="0" w:space="0" w:color="auto"/>
        <w:right w:val="none" w:sz="0" w:space="0" w:color="auto"/>
      </w:divBdr>
    </w:div>
    <w:div w:id="1359115513">
      <w:bodyDiv w:val="1"/>
      <w:marLeft w:val="0"/>
      <w:marRight w:val="0"/>
      <w:marTop w:val="0"/>
      <w:marBottom w:val="0"/>
      <w:divBdr>
        <w:top w:val="none" w:sz="0" w:space="0" w:color="auto"/>
        <w:left w:val="none" w:sz="0" w:space="0" w:color="auto"/>
        <w:bottom w:val="none" w:sz="0" w:space="0" w:color="auto"/>
        <w:right w:val="none" w:sz="0" w:space="0" w:color="auto"/>
      </w:divBdr>
    </w:div>
    <w:div w:id="16749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ijms1009371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3089129483814524"/>
          <c:y val="0.19480351414406535"/>
          <c:w val="0.73174890638670365"/>
          <c:h val="0.59104512977544377"/>
        </c:manualLayout>
      </c:layout>
      <c:barChart>
        <c:barDir val="col"/>
        <c:grouping val="clustered"/>
        <c:varyColors val="0"/>
        <c:ser>
          <c:idx val="0"/>
          <c:order val="0"/>
          <c:tx>
            <c:strRef>
              <c:f>Sheet1!$B$1</c:f>
              <c:strCache>
                <c:ptCount val="1"/>
                <c:pt idx="0">
                  <c:v>TAC (mg AAE/tea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1a</c:v>
                </c:pt>
                <c:pt idx="1">
                  <c:v>1b</c:v>
                </c:pt>
                <c:pt idx="2">
                  <c:v>1c</c:v>
                </c:pt>
                <c:pt idx="3">
                  <c:v>C1</c:v>
                </c:pt>
              </c:strCache>
            </c:strRef>
          </c:cat>
          <c:val>
            <c:numRef>
              <c:f>Sheet1!$B$2:$B$5</c:f>
              <c:numCache>
                <c:formatCode>General</c:formatCode>
                <c:ptCount val="4"/>
                <c:pt idx="0">
                  <c:v>18.16</c:v>
                </c:pt>
                <c:pt idx="1">
                  <c:v>10.08</c:v>
                </c:pt>
                <c:pt idx="2">
                  <c:v>6.39</c:v>
                </c:pt>
                <c:pt idx="3">
                  <c:v>2.0099999999999998</c:v>
                </c:pt>
              </c:numCache>
            </c:numRef>
          </c:val>
          <c:extLst>
            <c:ext xmlns:c16="http://schemas.microsoft.com/office/drawing/2014/chart" uri="{C3380CC4-5D6E-409C-BE32-E72D297353CC}">
              <c16:uniqueId val="{00000000-1418-4EF7-9B14-CCB813A8DE78}"/>
            </c:ext>
          </c:extLst>
        </c:ser>
        <c:dLbls>
          <c:showLegendKey val="0"/>
          <c:showVal val="0"/>
          <c:showCatName val="0"/>
          <c:showSerName val="0"/>
          <c:showPercent val="0"/>
          <c:showBubbleSize val="0"/>
        </c:dLbls>
        <c:gapWidth val="150"/>
        <c:axId val="57479168"/>
        <c:axId val="57529088"/>
      </c:barChart>
      <c:catAx>
        <c:axId val="57479168"/>
        <c:scaling>
          <c:orientation val="minMax"/>
        </c:scaling>
        <c:delete val="0"/>
        <c:axPos val="b"/>
        <c:title>
          <c:tx>
            <c:rich>
              <a:bodyPr/>
              <a:lstStyle/>
              <a:p>
                <a:pPr>
                  <a:defRPr/>
                </a:pPr>
                <a:r>
                  <a:rPr lang="en-IN"/>
                  <a:t>Samples (Fermented)</a:t>
                </a:r>
              </a:p>
            </c:rich>
          </c:tx>
          <c:overlay val="0"/>
        </c:title>
        <c:numFmt formatCode="General" sourceLinked="0"/>
        <c:majorTickMark val="none"/>
        <c:minorTickMark val="none"/>
        <c:tickLblPos val="nextTo"/>
        <c:crossAx val="57529088"/>
        <c:crosses val="autoZero"/>
        <c:auto val="1"/>
        <c:lblAlgn val="ctr"/>
        <c:lblOffset val="100"/>
        <c:noMultiLvlLbl val="0"/>
      </c:catAx>
      <c:valAx>
        <c:axId val="57529088"/>
        <c:scaling>
          <c:orientation val="minMax"/>
        </c:scaling>
        <c:delete val="0"/>
        <c:axPos val="l"/>
        <c:title>
          <c:tx>
            <c:rich>
              <a:bodyPr/>
              <a:lstStyle/>
              <a:p>
                <a:pPr>
                  <a:defRPr/>
                </a:pPr>
                <a:r>
                  <a:rPr lang="en-IN"/>
                  <a:t>TAC</a:t>
                </a:r>
                <a:r>
                  <a:rPr lang="en-IN" baseline="0"/>
                  <a:t> (mg AAE/tea sachet)</a:t>
                </a:r>
                <a:endParaRPr lang="en-IN"/>
              </a:p>
            </c:rich>
          </c:tx>
          <c:overlay val="0"/>
        </c:title>
        <c:numFmt formatCode="General" sourceLinked="1"/>
        <c:majorTickMark val="out"/>
        <c:minorTickMark val="none"/>
        <c:tickLblPos val="nextTo"/>
        <c:crossAx val="57479168"/>
        <c:crosses val="autoZero"/>
        <c:crossBetween val="between"/>
      </c:valAx>
    </c:plotArea>
    <c:legend>
      <c:legendPos val="r"/>
      <c:layout>
        <c:manualLayout>
          <c:xMode val="edge"/>
          <c:yMode val="edge"/>
          <c:x val="0.64041797900262332"/>
          <c:y val="0.298361402741324"/>
          <c:w val="0.32902646544182107"/>
          <c:h val="7.802767372525039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Sheet1!$B$6</c:f>
              <c:strCache>
                <c:ptCount val="1"/>
                <c:pt idx="0">
                  <c:v>TAC (mg AAE/tea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Sheet1!$A$7:$A$10</c:f>
              <c:strCache>
                <c:ptCount val="4"/>
                <c:pt idx="0">
                  <c:v>2a</c:v>
                </c:pt>
                <c:pt idx="1">
                  <c:v>2b</c:v>
                </c:pt>
                <c:pt idx="2">
                  <c:v>2c</c:v>
                </c:pt>
                <c:pt idx="3">
                  <c:v>C2</c:v>
                </c:pt>
              </c:strCache>
            </c:strRef>
          </c:cat>
          <c:val>
            <c:numRef>
              <c:f>Sheet1!$B$7:$B$10</c:f>
              <c:numCache>
                <c:formatCode>General</c:formatCode>
                <c:ptCount val="4"/>
                <c:pt idx="0">
                  <c:v>22.09</c:v>
                </c:pt>
                <c:pt idx="1">
                  <c:v>13.719999999999999</c:v>
                </c:pt>
                <c:pt idx="2">
                  <c:v>7.85</c:v>
                </c:pt>
                <c:pt idx="3">
                  <c:v>2.7600000000000002</c:v>
                </c:pt>
              </c:numCache>
            </c:numRef>
          </c:val>
          <c:extLst>
            <c:ext xmlns:c16="http://schemas.microsoft.com/office/drawing/2014/chart" uri="{C3380CC4-5D6E-409C-BE32-E72D297353CC}">
              <c16:uniqueId val="{00000000-F252-487E-AD18-7E8E334062EE}"/>
            </c:ext>
          </c:extLst>
        </c:ser>
        <c:dLbls>
          <c:showLegendKey val="0"/>
          <c:showVal val="0"/>
          <c:showCatName val="0"/>
          <c:showSerName val="0"/>
          <c:showPercent val="0"/>
          <c:showBubbleSize val="0"/>
        </c:dLbls>
        <c:gapWidth val="150"/>
        <c:axId val="87428480"/>
        <c:axId val="87537152"/>
      </c:barChart>
      <c:catAx>
        <c:axId val="87428480"/>
        <c:scaling>
          <c:orientation val="minMax"/>
        </c:scaling>
        <c:delete val="0"/>
        <c:axPos val="b"/>
        <c:title>
          <c:tx>
            <c:rich>
              <a:bodyPr/>
              <a:lstStyle/>
              <a:p>
                <a:pPr>
                  <a:defRPr/>
                </a:pPr>
                <a:r>
                  <a:rPr lang="en-IN"/>
                  <a:t>Samples (Non Fermented)</a:t>
                </a:r>
              </a:p>
            </c:rich>
          </c:tx>
          <c:overlay val="0"/>
        </c:title>
        <c:numFmt formatCode="General" sourceLinked="0"/>
        <c:majorTickMark val="none"/>
        <c:minorTickMark val="none"/>
        <c:tickLblPos val="nextTo"/>
        <c:crossAx val="87537152"/>
        <c:crosses val="autoZero"/>
        <c:auto val="1"/>
        <c:lblAlgn val="ctr"/>
        <c:lblOffset val="100"/>
        <c:noMultiLvlLbl val="0"/>
      </c:catAx>
      <c:valAx>
        <c:axId val="87537152"/>
        <c:scaling>
          <c:orientation val="minMax"/>
        </c:scaling>
        <c:delete val="0"/>
        <c:axPos val="l"/>
        <c:title>
          <c:tx>
            <c:rich>
              <a:bodyPr/>
              <a:lstStyle/>
              <a:p>
                <a:pPr>
                  <a:defRPr/>
                </a:pPr>
                <a:r>
                  <a:rPr lang="en-IN"/>
                  <a:t>TAC</a:t>
                </a:r>
                <a:r>
                  <a:rPr lang="en-IN" baseline="0"/>
                  <a:t> (mg AAE/tea sachet)</a:t>
                </a:r>
                <a:endParaRPr lang="en-IN"/>
              </a:p>
            </c:rich>
          </c:tx>
          <c:overlay val="0"/>
        </c:title>
        <c:numFmt formatCode="General" sourceLinked="1"/>
        <c:majorTickMark val="out"/>
        <c:minorTickMark val="none"/>
        <c:tickLblPos val="nextTo"/>
        <c:crossAx val="874284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TPC (mg GAE/tea sachet)</a:t>
            </a:r>
          </a:p>
        </c:rich>
      </c:tx>
      <c:overlay val="0"/>
    </c:title>
    <c:autoTitleDeleted val="0"/>
    <c:plotArea>
      <c:layout/>
      <c:barChart>
        <c:barDir val="col"/>
        <c:grouping val="clustered"/>
        <c:varyColors val="0"/>
        <c:ser>
          <c:idx val="0"/>
          <c:order val="0"/>
          <c:tx>
            <c:strRef>
              <c:f>Sheet1!$B$36</c:f>
              <c:strCache>
                <c:ptCount val="1"/>
                <c:pt idx="0">
                  <c:v>TPC(mg GAE/tea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Sheet1!$A$37:$A$40</c:f>
              <c:strCache>
                <c:ptCount val="4"/>
                <c:pt idx="0">
                  <c:v>1a</c:v>
                </c:pt>
                <c:pt idx="1">
                  <c:v>1b</c:v>
                </c:pt>
                <c:pt idx="2">
                  <c:v>1c</c:v>
                </c:pt>
                <c:pt idx="3">
                  <c:v>C1</c:v>
                </c:pt>
              </c:strCache>
            </c:strRef>
          </c:cat>
          <c:val>
            <c:numRef>
              <c:f>Sheet1!$B$37:$B$40</c:f>
              <c:numCache>
                <c:formatCode>General</c:formatCode>
                <c:ptCount val="4"/>
                <c:pt idx="0">
                  <c:v>9.4</c:v>
                </c:pt>
                <c:pt idx="1">
                  <c:v>7.6499999999999995</c:v>
                </c:pt>
                <c:pt idx="2">
                  <c:v>7.13</c:v>
                </c:pt>
                <c:pt idx="3">
                  <c:v>5.25</c:v>
                </c:pt>
              </c:numCache>
            </c:numRef>
          </c:val>
          <c:extLst>
            <c:ext xmlns:c16="http://schemas.microsoft.com/office/drawing/2014/chart" uri="{C3380CC4-5D6E-409C-BE32-E72D297353CC}">
              <c16:uniqueId val="{00000000-E8F3-41BE-88AD-D1A79AFA77AF}"/>
            </c:ext>
          </c:extLst>
        </c:ser>
        <c:dLbls>
          <c:showLegendKey val="0"/>
          <c:showVal val="0"/>
          <c:showCatName val="0"/>
          <c:showSerName val="0"/>
          <c:showPercent val="0"/>
          <c:showBubbleSize val="0"/>
        </c:dLbls>
        <c:gapWidth val="150"/>
        <c:axId val="87807872"/>
        <c:axId val="87812352"/>
      </c:barChart>
      <c:catAx>
        <c:axId val="87807872"/>
        <c:scaling>
          <c:orientation val="minMax"/>
        </c:scaling>
        <c:delete val="0"/>
        <c:axPos val="b"/>
        <c:title>
          <c:tx>
            <c:rich>
              <a:bodyPr/>
              <a:lstStyle/>
              <a:p>
                <a:pPr>
                  <a:defRPr/>
                </a:pPr>
                <a:r>
                  <a:rPr lang="en-IN"/>
                  <a:t>Samples</a:t>
                </a:r>
                <a:r>
                  <a:rPr lang="en-IN" baseline="0"/>
                  <a:t> (Fermented)</a:t>
                </a:r>
                <a:endParaRPr lang="en-IN"/>
              </a:p>
            </c:rich>
          </c:tx>
          <c:overlay val="0"/>
        </c:title>
        <c:numFmt formatCode="General" sourceLinked="0"/>
        <c:majorTickMark val="none"/>
        <c:minorTickMark val="none"/>
        <c:tickLblPos val="nextTo"/>
        <c:crossAx val="87812352"/>
        <c:crosses val="autoZero"/>
        <c:auto val="1"/>
        <c:lblAlgn val="ctr"/>
        <c:lblOffset val="100"/>
        <c:noMultiLvlLbl val="0"/>
      </c:catAx>
      <c:valAx>
        <c:axId val="87812352"/>
        <c:scaling>
          <c:orientation val="minMax"/>
        </c:scaling>
        <c:delete val="0"/>
        <c:axPos val="l"/>
        <c:title>
          <c:tx>
            <c:rich>
              <a:bodyPr/>
              <a:lstStyle/>
              <a:p>
                <a:pPr>
                  <a:defRPr/>
                </a:pPr>
                <a:r>
                  <a:rPr lang="en-IN"/>
                  <a:t>TPC (mg GAE/tea sachet)</a:t>
                </a:r>
              </a:p>
            </c:rich>
          </c:tx>
          <c:overlay val="0"/>
        </c:title>
        <c:numFmt formatCode="General" sourceLinked="1"/>
        <c:majorTickMark val="out"/>
        <c:minorTickMark val="none"/>
        <c:tickLblPos val="nextTo"/>
        <c:crossAx val="878078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TPC (mg GAE/tea sachet)</a:t>
            </a:r>
          </a:p>
        </c:rich>
      </c:tx>
      <c:overlay val="0"/>
    </c:title>
    <c:autoTitleDeleted val="0"/>
    <c:plotArea>
      <c:layout/>
      <c:barChart>
        <c:barDir val="col"/>
        <c:grouping val="clustered"/>
        <c:varyColors val="0"/>
        <c:ser>
          <c:idx val="0"/>
          <c:order val="0"/>
          <c:tx>
            <c:strRef>
              <c:f>Sheet1!$B$41</c:f>
              <c:strCache>
                <c:ptCount val="1"/>
                <c:pt idx="0">
                  <c:v>TPC (mg GAE/tea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Sheet1!$A$42:$A$45</c:f>
              <c:strCache>
                <c:ptCount val="4"/>
                <c:pt idx="0">
                  <c:v>2a</c:v>
                </c:pt>
                <c:pt idx="1">
                  <c:v>2b</c:v>
                </c:pt>
                <c:pt idx="2">
                  <c:v>2c</c:v>
                </c:pt>
                <c:pt idx="3">
                  <c:v>C2</c:v>
                </c:pt>
              </c:strCache>
            </c:strRef>
          </c:cat>
          <c:val>
            <c:numRef>
              <c:f>Sheet1!$B$42:$B$45</c:f>
              <c:numCache>
                <c:formatCode>General</c:formatCode>
                <c:ptCount val="4"/>
                <c:pt idx="0">
                  <c:v>13.59</c:v>
                </c:pt>
                <c:pt idx="1">
                  <c:v>11.48</c:v>
                </c:pt>
                <c:pt idx="2">
                  <c:v>8.51</c:v>
                </c:pt>
                <c:pt idx="3">
                  <c:v>6.67</c:v>
                </c:pt>
              </c:numCache>
            </c:numRef>
          </c:val>
          <c:extLst>
            <c:ext xmlns:c16="http://schemas.microsoft.com/office/drawing/2014/chart" uri="{C3380CC4-5D6E-409C-BE32-E72D297353CC}">
              <c16:uniqueId val="{00000000-06D5-4CC0-8CDC-4A342031B708}"/>
            </c:ext>
          </c:extLst>
        </c:ser>
        <c:dLbls>
          <c:showLegendKey val="0"/>
          <c:showVal val="0"/>
          <c:showCatName val="0"/>
          <c:showSerName val="0"/>
          <c:showPercent val="0"/>
          <c:showBubbleSize val="0"/>
        </c:dLbls>
        <c:gapWidth val="150"/>
        <c:axId val="91801856"/>
        <c:axId val="94573312"/>
      </c:barChart>
      <c:catAx>
        <c:axId val="91801856"/>
        <c:scaling>
          <c:orientation val="minMax"/>
        </c:scaling>
        <c:delete val="0"/>
        <c:axPos val="b"/>
        <c:title>
          <c:tx>
            <c:rich>
              <a:bodyPr/>
              <a:lstStyle/>
              <a:p>
                <a:pPr>
                  <a:defRPr/>
                </a:pPr>
                <a:r>
                  <a:rPr lang="en-IN"/>
                  <a:t>Samples</a:t>
                </a:r>
                <a:r>
                  <a:rPr lang="en-IN" baseline="0"/>
                  <a:t> (Non Fermented)</a:t>
                </a:r>
                <a:endParaRPr lang="en-IN"/>
              </a:p>
            </c:rich>
          </c:tx>
          <c:overlay val="0"/>
        </c:title>
        <c:numFmt formatCode="General" sourceLinked="0"/>
        <c:majorTickMark val="none"/>
        <c:minorTickMark val="none"/>
        <c:tickLblPos val="nextTo"/>
        <c:crossAx val="94573312"/>
        <c:crosses val="autoZero"/>
        <c:auto val="1"/>
        <c:lblAlgn val="ctr"/>
        <c:lblOffset val="100"/>
        <c:noMultiLvlLbl val="0"/>
      </c:catAx>
      <c:valAx>
        <c:axId val="94573312"/>
        <c:scaling>
          <c:orientation val="minMax"/>
        </c:scaling>
        <c:delete val="0"/>
        <c:axPos val="l"/>
        <c:title>
          <c:tx>
            <c:rich>
              <a:bodyPr/>
              <a:lstStyle/>
              <a:p>
                <a:pPr>
                  <a:defRPr/>
                </a:pPr>
                <a:r>
                  <a:rPr lang="en-IN"/>
                  <a:t>TPC (mg GAE/tea sachet)</a:t>
                </a:r>
              </a:p>
            </c:rich>
          </c:tx>
          <c:overlay val="0"/>
        </c:title>
        <c:numFmt formatCode="General" sourceLinked="1"/>
        <c:majorTickMark val="out"/>
        <c:minorTickMark val="none"/>
        <c:tickLblPos val="nextTo"/>
        <c:crossAx val="918018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TFC (mg QE/tea sachet)</a:t>
            </a:r>
          </a:p>
        </c:rich>
      </c:tx>
      <c:overlay val="0"/>
    </c:title>
    <c:autoTitleDeleted val="0"/>
    <c:plotArea>
      <c:layout/>
      <c:barChart>
        <c:barDir val="col"/>
        <c:grouping val="clustered"/>
        <c:varyColors val="0"/>
        <c:ser>
          <c:idx val="0"/>
          <c:order val="0"/>
          <c:tx>
            <c:strRef>
              <c:f>Sheet1!$B$67</c:f>
              <c:strCache>
                <c:ptCount val="1"/>
                <c:pt idx="0">
                  <c:v>TFC(mg QE/tea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Sheet1!$A$68:$A$71</c:f>
              <c:strCache>
                <c:ptCount val="4"/>
                <c:pt idx="0">
                  <c:v>1a</c:v>
                </c:pt>
                <c:pt idx="1">
                  <c:v>1b</c:v>
                </c:pt>
                <c:pt idx="2">
                  <c:v>1c</c:v>
                </c:pt>
                <c:pt idx="3">
                  <c:v>C1</c:v>
                </c:pt>
              </c:strCache>
            </c:strRef>
          </c:cat>
          <c:val>
            <c:numRef>
              <c:f>Sheet1!$B$68:$B$71</c:f>
              <c:numCache>
                <c:formatCode>General</c:formatCode>
                <c:ptCount val="4"/>
                <c:pt idx="0">
                  <c:v>6.72</c:v>
                </c:pt>
                <c:pt idx="1">
                  <c:v>4.3199999999999985</c:v>
                </c:pt>
                <c:pt idx="2">
                  <c:v>3.57</c:v>
                </c:pt>
                <c:pt idx="3">
                  <c:v>1.170000000000001</c:v>
                </c:pt>
              </c:numCache>
            </c:numRef>
          </c:val>
          <c:extLst>
            <c:ext xmlns:c16="http://schemas.microsoft.com/office/drawing/2014/chart" uri="{C3380CC4-5D6E-409C-BE32-E72D297353CC}">
              <c16:uniqueId val="{00000000-BD2D-4542-B96D-39790FB31249}"/>
            </c:ext>
          </c:extLst>
        </c:ser>
        <c:dLbls>
          <c:showLegendKey val="0"/>
          <c:showVal val="0"/>
          <c:showCatName val="0"/>
          <c:showSerName val="0"/>
          <c:showPercent val="0"/>
          <c:showBubbleSize val="0"/>
        </c:dLbls>
        <c:gapWidth val="150"/>
        <c:axId val="105777792"/>
        <c:axId val="105840000"/>
      </c:barChart>
      <c:catAx>
        <c:axId val="105777792"/>
        <c:scaling>
          <c:orientation val="minMax"/>
        </c:scaling>
        <c:delete val="0"/>
        <c:axPos val="b"/>
        <c:title>
          <c:tx>
            <c:rich>
              <a:bodyPr/>
              <a:lstStyle/>
              <a:p>
                <a:pPr>
                  <a:defRPr/>
                </a:pPr>
                <a:r>
                  <a:rPr lang="en-IN"/>
                  <a:t>Samples (Fermented)</a:t>
                </a:r>
              </a:p>
            </c:rich>
          </c:tx>
          <c:overlay val="0"/>
        </c:title>
        <c:numFmt formatCode="General" sourceLinked="0"/>
        <c:majorTickMark val="none"/>
        <c:minorTickMark val="none"/>
        <c:tickLblPos val="nextTo"/>
        <c:crossAx val="105840000"/>
        <c:crosses val="autoZero"/>
        <c:auto val="1"/>
        <c:lblAlgn val="ctr"/>
        <c:lblOffset val="100"/>
        <c:noMultiLvlLbl val="0"/>
      </c:catAx>
      <c:valAx>
        <c:axId val="105840000"/>
        <c:scaling>
          <c:orientation val="minMax"/>
        </c:scaling>
        <c:delete val="0"/>
        <c:axPos val="l"/>
        <c:title>
          <c:tx>
            <c:rich>
              <a:bodyPr/>
              <a:lstStyle/>
              <a:p>
                <a:pPr>
                  <a:defRPr/>
                </a:pPr>
                <a:r>
                  <a:rPr lang="en-IN"/>
                  <a:t>TFC (mg QE/tea sachet)</a:t>
                </a:r>
              </a:p>
            </c:rich>
          </c:tx>
          <c:overlay val="0"/>
        </c:title>
        <c:numFmt formatCode="General" sourceLinked="1"/>
        <c:majorTickMark val="out"/>
        <c:minorTickMark val="none"/>
        <c:tickLblPos val="nextTo"/>
        <c:crossAx val="10577779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TFC (mg QE/tea sachet)</a:t>
            </a:r>
          </a:p>
        </c:rich>
      </c:tx>
      <c:overlay val="0"/>
    </c:title>
    <c:autoTitleDeleted val="0"/>
    <c:plotArea>
      <c:layout/>
      <c:barChart>
        <c:barDir val="col"/>
        <c:grouping val="clustered"/>
        <c:varyColors val="0"/>
        <c:ser>
          <c:idx val="0"/>
          <c:order val="0"/>
          <c:tx>
            <c:strRef>
              <c:f>Sheet1!$B$72</c:f>
              <c:strCache>
                <c:ptCount val="1"/>
                <c:pt idx="0">
                  <c:v>TFC(mg QE/tea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Sheet1!$A$73:$A$76</c:f>
              <c:strCache>
                <c:ptCount val="4"/>
                <c:pt idx="0">
                  <c:v>2a</c:v>
                </c:pt>
                <c:pt idx="1">
                  <c:v>2b</c:v>
                </c:pt>
                <c:pt idx="2">
                  <c:v>2c</c:v>
                </c:pt>
                <c:pt idx="3">
                  <c:v>C2</c:v>
                </c:pt>
              </c:strCache>
            </c:strRef>
          </c:cat>
          <c:val>
            <c:numRef>
              <c:f>Sheet1!$B$73:$B$76</c:f>
              <c:numCache>
                <c:formatCode>General</c:formatCode>
                <c:ptCount val="4"/>
                <c:pt idx="0">
                  <c:v>10.31</c:v>
                </c:pt>
                <c:pt idx="1">
                  <c:v>9.7200000000000024</c:v>
                </c:pt>
                <c:pt idx="2">
                  <c:v>5.64</c:v>
                </c:pt>
                <c:pt idx="3">
                  <c:v>2.77</c:v>
                </c:pt>
              </c:numCache>
            </c:numRef>
          </c:val>
          <c:extLst>
            <c:ext xmlns:c16="http://schemas.microsoft.com/office/drawing/2014/chart" uri="{C3380CC4-5D6E-409C-BE32-E72D297353CC}">
              <c16:uniqueId val="{00000000-966D-422A-A218-826F81DC833C}"/>
            </c:ext>
          </c:extLst>
        </c:ser>
        <c:dLbls>
          <c:showLegendKey val="0"/>
          <c:showVal val="0"/>
          <c:showCatName val="0"/>
          <c:showSerName val="0"/>
          <c:showPercent val="0"/>
          <c:showBubbleSize val="0"/>
        </c:dLbls>
        <c:gapWidth val="150"/>
        <c:axId val="106087168"/>
        <c:axId val="106089472"/>
      </c:barChart>
      <c:catAx>
        <c:axId val="106087168"/>
        <c:scaling>
          <c:orientation val="minMax"/>
        </c:scaling>
        <c:delete val="0"/>
        <c:axPos val="b"/>
        <c:title>
          <c:tx>
            <c:rich>
              <a:bodyPr/>
              <a:lstStyle/>
              <a:p>
                <a:pPr>
                  <a:defRPr/>
                </a:pPr>
                <a:r>
                  <a:rPr lang="en-IN"/>
                  <a:t>Samples (Non</a:t>
                </a:r>
                <a:r>
                  <a:rPr lang="en-IN" baseline="0"/>
                  <a:t> Fermented)</a:t>
                </a:r>
                <a:endParaRPr lang="en-IN"/>
              </a:p>
            </c:rich>
          </c:tx>
          <c:overlay val="0"/>
        </c:title>
        <c:numFmt formatCode="General" sourceLinked="0"/>
        <c:majorTickMark val="none"/>
        <c:minorTickMark val="none"/>
        <c:tickLblPos val="nextTo"/>
        <c:crossAx val="106089472"/>
        <c:crosses val="autoZero"/>
        <c:auto val="1"/>
        <c:lblAlgn val="ctr"/>
        <c:lblOffset val="100"/>
        <c:noMultiLvlLbl val="0"/>
      </c:catAx>
      <c:valAx>
        <c:axId val="106089472"/>
        <c:scaling>
          <c:orientation val="minMax"/>
        </c:scaling>
        <c:delete val="0"/>
        <c:axPos val="l"/>
        <c:title>
          <c:tx>
            <c:rich>
              <a:bodyPr/>
              <a:lstStyle/>
              <a:p>
                <a:pPr>
                  <a:defRPr/>
                </a:pPr>
                <a:r>
                  <a:rPr lang="en-IN"/>
                  <a:t>TFC (mg QE/tea sachet)</a:t>
                </a:r>
              </a:p>
            </c:rich>
          </c:tx>
          <c:overlay val="0"/>
        </c:title>
        <c:numFmt formatCode="General" sourceLinked="1"/>
        <c:majorTickMark val="out"/>
        <c:minorTickMark val="none"/>
        <c:tickLblPos val="nextTo"/>
        <c:crossAx val="106087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9868-97C1-4A07-ABD1-2DC6E6E3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Pages>
  <Words>4005</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BiotechHub</dc:creator>
  <cp:keywords/>
  <dc:description/>
  <cp:lastModifiedBy>MARSI MBAYO</cp:lastModifiedBy>
  <cp:revision>509</cp:revision>
  <dcterms:created xsi:type="dcterms:W3CDTF">2025-07-31T06:20:00Z</dcterms:created>
  <dcterms:modified xsi:type="dcterms:W3CDTF">2025-08-27T16:13:00Z</dcterms:modified>
</cp:coreProperties>
</file>