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5C614" w14:textId="77777777" w:rsidR="00DD5B12" w:rsidRPr="004D2CFB" w:rsidRDefault="00DD5B12" w:rsidP="004D2CFB">
      <w:pPr>
        <w:spacing w:before="100" w:beforeAutospacing="1" w:after="100" w:afterAutospacing="1"/>
        <w:jc w:val="both"/>
        <w:outlineLvl w:val="0"/>
        <w:rPr>
          <w:rFonts w:ascii="Arial" w:hAnsi="Arial" w:cs="Arial"/>
          <w:b/>
          <w:bCs/>
          <w:kern w:val="36"/>
          <w:sz w:val="32"/>
          <w:szCs w:val="32"/>
          <w:lang w:eastAsia="fr-FR"/>
        </w:rPr>
      </w:pPr>
      <w:r w:rsidRPr="004D2CFB">
        <w:rPr>
          <w:rFonts w:ascii="Arial" w:hAnsi="Arial" w:cs="Arial"/>
          <w:b/>
          <w:bCs/>
          <w:kern w:val="36"/>
          <w:sz w:val="32"/>
          <w:szCs w:val="32"/>
          <w:lang w:eastAsia="fr-FR"/>
        </w:rPr>
        <w:t xml:space="preserve">The Double Burden of Malnutrition in Gastroduodenal Ulcer </w:t>
      </w:r>
      <w:proofErr w:type="gramStart"/>
      <w:r w:rsidRPr="004D2CFB">
        <w:rPr>
          <w:rFonts w:ascii="Arial" w:hAnsi="Arial" w:cs="Arial"/>
          <w:b/>
          <w:bCs/>
          <w:kern w:val="36"/>
          <w:sz w:val="32"/>
          <w:szCs w:val="32"/>
          <w:lang w:eastAsia="fr-FR"/>
        </w:rPr>
        <w:t>Disease :</w:t>
      </w:r>
      <w:proofErr w:type="gramEnd"/>
      <w:r w:rsidRPr="004D2CFB">
        <w:rPr>
          <w:rFonts w:ascii="Arial" w:hAnsi="Arial" w:cs="Arial"/>
          <w:b/>
          <w:bCs/>
          <w:kern w:val="36"/>
          <w:sz w:val="32"/>
          <w:szCs w:val="32"/>
          <w:lang w:eastAsia="fr-FR"/>
        </w:rPr>
        <w:t xml:space="preserve"> A Cross-Sectional Study of Sarcopenic Obesity and its Biochemical Correlates in Lomé, Togo.</w:t>
      </w:r>
    </w:p>
    <w:p w14:paraId="12ECAE28" w14:textId="77777777" w:rsidR="00A258C3" w:rsidRPr="00790ADA" w:rsidRDefault="00A258C3" w:rsidP="00441B6F">
      <w:pPr>
        <w:pStyle w:val="Author"/>
        <w:spacing w:line="240" w:lineRule="auto"/>
        <w:jc w:val="both"/>
        <w:rPr>
          <w:rFonts w:ascii="Arial" w:hAnsi="Arial" w:cs="Arial"/>
          <w:sz w:val="36"/>
        </w:rPr>
      </w:pPr>
    </w:p>
    <w:p w14:paraId="471D1528" w14:textId="77777777" w:rsidR="00B01FCD" w:rsidRPr="00FB3A86" w:rsidRDefault="00DD5B12" w:rsidP="00441B6F">
      <w:pPr>
        <w:pStyle w:val="Copyright"/>
        <w:spacing w:after="0" w:line="240" w:lineRule="auto"/>
        <w:jc w:val="both"/>
        <w:rPr>
          <w:rFonts w:ascii="Arial" w:hAnsi="Arial" w:cs="Arial"/>
        </w:rPr>
        <w:sectPr w:rsidR="00B01FCD" w:rsidRPr="00FB3A86" w:rsidSect="00542CB7">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FB06D3" wp14:editId="134180F5">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EE88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1C17673"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86CC80" w14:textId="77777777" w:rsidTr="002D366C">
        <w:trPr>
          <w:jc w:val="center"/>
        </w:trPr>
        <w:tc>
          <w:tcPr>
            <w:tcW w:w="8198" w:type="dxa"/>
            <w:shd w:val="clear" w:color="auto" w:fill="F2F2F2"/>
          </w:tcPr>
          <w:p w14:paraId="35E9E83A" w14:textId="61102B82" w:rsidR="00DD5B12" w:rsidRPr="00DD5B12" w:rsidRDefault="004952DC" w:rsidP="00DD5B12">
            <w:pPr>
              <w:pStyle w:val="NormalWeb"/>
              <w:jc w:val="both"/>
              <w:rPr>
                <w:rFonts w:ascii="Arial" w:hAnsi="Arial" w:cs="Arial"/>
                <w:sz w:val="20"/>
                <w:szCs w:val="20"/>
              </w:rPr>
            </w:pPr>
            <w:r w:rsidRPr="00DD5B12">
              <w:rPr>
                <w:rFonts w:ascii="Arial" w:hAnsi="Arial" w:cs="Arial"/>
                <w:b/>
                <w:bCs/>
                <w:sz w:val="20"/>
                <w:szCs w:val="20"/>
              </w:rPr>
              <w:t>Background :</w:t>
            </w:r>
            <w:r w:rsidR="00DD5B12" w:rsidRPr="00DD5B12">
              <w:rPr>
                <w:rFonts w:ascii="Arial" w:hAnsi="Arial" w:cs="Arial"/>
                <w:sz w:val="20"/>
                <w:szCs w:val="20"/>
              </w:rPr>
              <w:t xml:space="preserve"> Gastroduodenal ulcer disease (GUD) is a significant health burden in urban West Africa, a region undergoing a rapid nutritional transition. Conventional assessment using Body Mass Index (BMI) may fail to detect complex malnutrition phenotypes like sarcopenic obesity that could impair ulcer healing. This study aimed to characterize the detailed nutritional and metabolic profiles of GUD patients in Lomé, Togo, to un</w:t>
            </w:r>
            <w:r w:rsidR="00D51634">
              <w:rPr>
                <w:rFonts w:ascii="Arial" w:hAnsi="Arial" w:cs="Arial"/>
                <w:sz w:val="20"/>
                <w:szCs w:val="20"/>
              </w:rPr>
              <w:t>mask these underlying disorders</w:t>
            </w:r>
          </w:p>
          <w:p w14:paraId="697ED9BA" w14:textId="77777777" w:rsidR="00DD5B12" w:rsidRPr="00DD5B12" w:rsidRDefault="00DD5B12" w:rsidP="00DD5B12">
            <w:pPr>
              <w:pStyle w:val="NormalWeb"/>
              <w:jc w:val="both"/>
              <w:rPr>
                <w:rFonts w:ascii="Arial" w:hAnsi="Arial" w:cs="Arial"/>
                <w:sz w:val="20"/>
                <w:szCs w:val="20"/>
              </w:rPr>
            </w:pPr>
            <w:r w:rsidRPr="00DD5B12">
              <w:rPr>
                <w:rFonts w:ascii="Arial" w:hAnsi="Arial" w:cs="Arial"/>
                <w:b/>
                <w:bCs/>
                <w:sz w:val="20"/>
                <w:szCs w:val="20"/>
              </w:rPr>
              <w:t>Methods:</w:t>
            </w:r>
            <w:r w:rsidRPr="00DD5B12">
              <w:rPr>
                <w:rFonts w:ascii="Arial" w:hAnsi="Arial" w:cs="Arial"/>
                <w:sz w:val="20"/>
                <w:szCs w:val="20"/>
              </w:rPr>
              <w:t xml:space="preserve"> This cross-sectional analytical study, conducted from July to October 2024, recruited 127 patients with endoscopically confirmed GUD. Data were collected on sociodemographic, clinical, and dietary characteristics, with dietary quality assessed via a Dietary Diversity Score (SDA). Body composition, including visceral fat and skeletal muscle mass, was evaluated using multi-frequency bioelectrical impedance analysis (BIA). Fasting venous blood was analyzed for key biochemical markers, including albumin, folate, and homocysteine.</w:t>
            </w:r>
          </w:p>
          <w:p w14:paraId="42739A8C" w14:textId="77777777" w:rsidR="00DD5B12" w:rsidRPr="00DD5B12" w:rsidRDefault="00DD5B12" w:rsidP="00DD5B12">
            <w:pPr>
              <w:pStyle w:val="NormalWeb"/>
              <w:jc w:val="both"/>
              <w:rPr>
                <w:rFonts w:ascii="Arial" w:hAnsi="Arial" w:cs="Arial"/>
                <w:sz w:val="20"/>
                <w:szCs w:val="20"/>
              </w:rPr>
            </w:pPr>
            <w:r w:rsidRPr="00DD5B12">
              <w:rPr>
                <w:rFonts w:ascii="Arial" w:hAnsi="Arial" w:cs="Arial"/>
                <w:b/>
                <w:bCs/>
                <w:sz w:val="20"/>
                <w:szCs w:val="20"/>
              </w:rPr>
              <w:t>Results:</w:t>
            </w:r>
            <w:r w:rsidRPr="00DD5B12">
              <w:rPr>
                <w:rFonts w:ascii="Arial" w:hAnsi="Arial" w:cs="Arial"/>
                <w:sz w:val="20"/>
                <w:szCs w:val="20"/>
              </w:rPr>
              <w:t xml:space="preserve"> The cohort (mean age 43.7; 35.4% </w:t>
            </w:r>
            <w:r w:rsidRPr="00DD5B12">
              <w:rPr>
                <w:rFonts w:ascii="Arial" w:hAnsi="Arial" w:cs="Arial"/>
                <w:i/>
                <w:iCs/>
                <w:sz w:val="20"/>
                <w:szCs w:val="20"/>
              </w:rPr>
              <w:t>Helicobacter pylori</w:t>
            </w:r>
            <w:r w:rsidRPr="00DD5B12">
              <w:rPr>
                <w:rFonts w:ascii="Arial" w:hAnsi="Arial" w:cs="Arial"/>
                <w:sz w:val="20"/>
                <w:szCs w:val="20"/>
              </w:rPr>
              <w:t xml:space="preserve"> positive) presented a paradoxical nutritional profile. While BMI classified only 31.5% as overweight or obese, BIA revealed a high prevalence of sarcopenic obesity: 46.5% exhibited a low protein index and 39.4% had visceral obesity. Poor dietary quality (SDA ≤ 4) was significantly associated with lower concentrations of prealbumin and albumin (p&lt;0.05), reduced serum folate (p&lt;0.01), and consequently higher, detrimental levels of homocysteine (p&lt;0.01). Regular fruit consumption was protective against </w:t>
            </w:r>
            <w:r w:rsidRPr="00DD5B12">
              <w:rPr>
                <w:rFonts w:ascii="Arial" w:hAnsi="Arial" w:cs="Arial"/>
                <w:i/>
                <w:iCs/>
                <w:sz w:val="20"/>
                <w:szCs w:val="20"/>
              </w:rPr>
              <w:t>H. pylori</w:t>
            </w:r>
            <w:r w:rsidRPr="00DD5B12">
              <w:rPr>
                <w:rFonts w:ascii="Arial" w:hAnsi="Arial" w:cs="Arial"/>
                <w:sz w:val="20"/>
                <w:szCs w:val="20"/>
              </w:rPr>
              <w:t xml:space="preserve"> infection (OR = 0.42), while a low education level was an independent risk factor (OR = 2.85).</w:t>
            </w:r>
          </w:p>
          <w:p w14:paraId="67FCCEDD" w14:textId="77777777" w:rsidR="00DD5B12" w:rsidRPr="00DD5B12" w:rsidRDefault="00DD5B12" w:rsidP="00DD5B12">
            <w:pPr>
              <w:pStyle w:val="NormalWeb"/>
              <w:jc w:val="both"/>
              <w:rPr>
                <w:rFonts w:ascii="Arial" w:hAnsi="Arial" w:cs="Arial"/>
                <w:sz w:val="20"/>
                <w:szCs w:val="20"/>
              </w:rPr>
            </w:pPr>
            <w:r w:rsidRPr="00DD5B12">
              <w:rPr>
                <w:rFonts w:ascii="Arial" w:hAnsi="Arial" w:cs="Arial"/>
                <w:b/>
                <w:bCs/>
                <w:sz w:val="20"/>
                <w:szCs w:val="20"/>
              </w:rPr>
              <w:t>Conclusion:</w:t>
            </w:r>
            <w:r w:rsidRPr="00DD5B12">
              <w:rPr>
                <w:rFonts w:ascii="Arial" w:hAnsi="Arial" w:cs="Arial"/>
                <w:sz w:val="20"/>
                <w:szCs w:val="20"/>
              </w:rPr>
              <w:t xml:space="preserve"> Patients with GUD in Lomé are affected by a severe "double burden of malnutrition." The high prevalence of sarcopenic obesity, entirely masked by BMI, fosters a systemic metabolic environment of pro-inflammatory visceral adiposity and depleted protein reserves that is fundamentally antagonistic to mucosal healing. These findings highlight the inadequacy of BMI and underscore the urgent need to integrate body composition analysis and key biochemical markers into clinical assessment to guide effective nutritional interventions.</w:t>
            </w:r>
          </w:p>
          <w:p w14:paraId="6898E49A" w14:textId="77777777" w:rsidR="00505F06" w:rsidRPr="00BA1B01" w:rsidRDefault="00505F06" w:rsidP="00441B6F">
            <w:pPr>
              <w:pStyle w:val="Body"/>
              <w:spacing w:after="0"/>
              <w:rPr>
                <w:rFonts w:ascii="Arial" w:eastAsia="Calibri" w:hAnsi="Arial" w:cs="Arial"/>
                <w:szCs w:val="22"/>
              </w:rPr>
            </w:pPr>
          </w:p>
        </w:tc>
      </w:tr>
    </w:tbl>
    <w:p w14:paraId="6A601B32" w14:textId="77777777" w:rsidR="00636EB2" w:rsidRDefault="00636EB2" w:rsidP="00441B6F">
      <w:pPr>
        <w:pStyle w:val="Body"/>
        <w:spacing w:after="0"/>
        <w:rPr>
          <w:rFonts w:ascii="Arial" w:hAnsi="Arial" w:cs="Arial"/>
          <w:i/>
        </w:rPr>
      </w:pPr>
    </w:p>
    <w:p w14:paraId="04003F0F" w14:textId="654FD053" w:rsidR="00DD5B12" w:rsidRDefault="00DD5B12" w:rsidP="00DD5B12">
      <w:pPr>
        <w:pStyle w:val="Heading3"/>
        <w:jc w:val="both"/>
        <w:rPr>
          <w:rFonts w:ascii="Arial" w:hAnsi="Arial" w:cs="Arial"/>
          <w:i/>
          <w:color w:val="auto"/>
          <w:sz w:val="20"/>
          <w:szCs w:val="20"/>
        </w:rPr>
      </w:pPr>
      <w:proofErr w:type="gramStart"/>
      <w:r w:rsidRPr="00DD5B12">
        <w:rPr>
          <w:rFonts w:ascii="Arial" w:hAnsi="Arial" w:cs="Arial"/>
          <w:i/>
          <w:color w:val="auto"/>
          <w:sz w:val="20"/>
          <w:szCs w:val="20"/>
        </w:rPr>
        <w:t>Keywords :</w:t>
      </w:r>
      <w:proofErr w:type="gramEnd"/>
      <w:r w:rsidRPr="00DD5B12">
        <w:rPr>
          <w:rFonts w:ascii="Arial" w:hAnsi="Arial" w:cs="Arial"/>
          <w:i/>
          <w:color w:val="auto"/>
          <w:sz w:val="20"/>
          <w:szCs w:val="20"/>
        </w:rPr>
        <w:t xml:space="preserve"> Gastroduodenal Ulcer Disease, sarcopenic obesity, </w:t>
      </w:r>
      <w:r>
        <w:rPr>
          <w:rFonts w:ascii="Arial" w:hAnsi="Arial" w:cs="Arial"/>
          <w:i/>
          <w:color w:val="auto"/>
          <w:sz w:val="20"/>
          <w:szCs w:val="20"/>
        </w:rPr>
        <w:t>body composition</w:t>
      </w:r>
      <w:r w:rsidRPr="00DD5B12">
        <w:rPr>
          <w:rFonts w:ascii="Arial" w:hAnsi="Arial" w:cs="Arial"/>
          <w:i/>
          <w:color w:val="auto"/>
          <w:sz w:val="20"/>
          <w:szCs w:val="20"/>
        </w:rPr>
        <w:t xml:space="preserve">, homocysteine, </w:t>
      </w:r>
      <w:r w:rsidRPr="00DD5B12">
        <w:rPr>
          <w:rFonts w:ascii="Arial" w:hAnsi="Arial" w:cs="Arial"/>
          <w:i/>
          <w:iCs/>
          <w:color w:val="auto"/>
          <w:sz w:val="20"/>
          <w:szCs w:val="20"/>
        </w:rPr>
        <w:t xml:space="preserve">Helicobacter pylori, </w:t>
      </w:r>
      <w:r w:rsidRPr="00DD5B12">
        <w:rPr>
          <w:rFonts w:ascii="Arial" w:hAnsi="Arial" w:cs="Arial"/>
          <w:i/>
          <w:color w:val="auto"/>
          <w:sz w:val="20"/>
          <w:szCs w:val="20"/>
        </w:rPr>
        <w:t>Togo, dietary diversity</w:t>
      </w:r>
    </w:p>
    <w:p w14:paraId="41F7FB7C" w14:textId="61779D23" w:rsidR="00542CB7" w:rsidRDefault="00542CB7" w:rsidP="00542CB7"/>
    <w:p w14:paraId="44D4206E" w14:textId="77777777" w:rsidR="00542CB7" w:rsidRPr="00542CB7" w:rsidRDefault="00542CB7" w:rsidP="00542CB7"/>
    <w:p w14:paraId="187FD986" w14:textId="77777777" w:rsidR="00790ADA" w:rsidRDefault="00790ADA" w:rsidP="00441B6F">
      <w:pPr>
        <w:pStyle w:val="Body"/>
        <w:spacing w:after="0"/>
        <w:rPr>
          <w:rFonts w:ascii="Arial" w:hAnsi="Arial" w:cs="Arial"/>
          <w:i/>
        </w:rPr>
      </w:pPr>
    </w:p>
    <w:p w14:paraId="7BC8B08F" w14:textId="77777777" w:rsidR="007F7B32" w:rsidRDefault="00902823" w:rsidP="004952DC">
      <w:pPr>
        <w:pStyle w:val="AbstHead"/>
        <w:spacing w:after="0"/>
        <w:jc w:val="right"/>
        <w:rPr>
          <w:rFonts w:ascii="Arial" w:hAnsi="Arial" w:cs="Arial"/>
        </w:rPr>
      </w:pPr>
      <w:r>
        <w:rPr>
          <w:rFonts w:ascii="Arial" w:hAnsi="Arial" w:cs="Arial"/>
        </w:rPr>
        <w:lastRenderedPageBreak/>
        <w:t xml:space="preserve">1. </w:t>
      </w:r>
      <w:r w:rsidR="00B01FCD" w:rsidRPr="00FB3A86">
        <w:rPr>
          <w:rFonts w:ascii="Arial" w:hAnsi="Arial" w:cs="Arial"/>
        </w:rPr>
        <w:t>INTRODUCTION</w:t>
      </w:r>
      <w:r w:rsidR="00DD5B12">
        <w:rPr>
          <w:rFonts w:ascii="Arial" w:hAnsi="Arial" w:cs="Arial"/>
        </w:rPr>
        <w:t xml:space="preserve"> </w:t>
      </w:r>
    </w:p>
    <w:p w14:paraId="5D2A57B5" w14:textId="77777777" w:rsidR="00DD5B12" w:rsidRPr="00DD5B12" w:rsidRDefault="00DD5B12" w:rsidP="00DD5B12">
      <w:pPr>
        <w:pStyle w:val="NormalWeb"/>
        <w:jc w:val="both"/>
        <w:rPr>
          <w:rFonts w:ascii="Arial" w:hAnsi="Arial" w:cs="Arial"/>
          <w:sz w:val="20"/>
          <w:szCs w:val="20"/>
        </w:rPr>
      </w:pPr>
      <w:r w:rsidRPr="00DD5B12">
        <w:rPr>
          <w:rFonts w:ascii="Arial" w:hAnsi="Arial" w:cs="Arial"/>
          <w:sz w:val="20"/>
          <w:szCs w:val="20"/>
        </w:rPr>
        <w:t xml:space="preserve">Gastroduodenal ulcer disease (GUD), a condition defined by a mucosal breach in the stomach or duodenum, remains a pervasive global health issue, with its prevalence and clinical impact being particularly pronounced in developing nations [Malfertheiner et al., 2017 ; </w:t>
      </w:r>
      <w:r w:rsidRPr="00DD5B12">
        <w:rPr>
          <w:rFonts w:ascii="Arial" w:hAnsi="Arial" w:cs="Arial"/>
          <w:bCs/>
          <w:sz w:val="20"/>
          <w:szCs w:val="20"/>
        </w:rPr>
        <w:t>Wang et al., 2022</w:t>
      </w:r>
      <w:r w:rsidRPr="00DD5B12">
        <w:rPr>
          <w:rFonts w:ascii="Arial" w:hAnsi="Arial" w:cs="Arial"/>
          <w:sz w:val="20"/>
          <w:szCs w:val="20"/>
        </w:rPr>
        <w:t xml:space="preserve">]. The pathophysiology of GUD is understood as a disruption of the delicate equilibrium between mucosal defense mechanisms (such as mucus-bicarbonate secretion and adequate blood flow) and aggressive luminal factors [Wallace &amp; Granger, 2015]. Across West Africa, the primary drivers of this imbalance are well-established : chronic infection with the bacterium </w:t>
      </w:r>
      <w:r w:rsidRPr="00DD5B12">
        <w:rPr>
          <w:rFonts w:ascii="Arial" w:hAnsi="Arial" w:cs="Arial"/>
          <w:i/>
          <w:iCs/>
          <w:sz w:val="20"/>
          <w:szCs w:val="20"/>
        </w:rPr>
        <w:t>Helicobacter pylori</w:t>
      </w:r>
      <w:r w:rsidRPr="00DD5B12">
        <w:rPr>
          <w:rFonts w:ascii="Arial" w:hAnsi="Arial" w:cs="Arial"/>
          <w:sz w:val="20"/>
          <w:szCs w:val="20"/>
        </w:rPr>
        <w:t xml:space="preserve"> and the widespread use of non-steroidal anti-inflammatory drugs (NSAIDs), which compromise mucosal integrity by inhibiting cytoprotective prostaglandins [Kusters et al., 2006]. The clinical burden in Togo is substantial, with GUD representing a frequent cause for gastroenterological consultation. Notably, local data from the Lomé Campus University Hospital indicate an endoscopic prevalence as high as 15.53%, underscoring the significant and immediate clinical relevance of this pathology within the Togolese healthcare system [Lawson-Ananissah et al., 2014].</w:t>
      </w:r>
    </w:p>
    <w:p w14:paraId="3C739B0A" w14:textId="77777777" w:rsidR="00DD5B12" w:rsidRPr="00DD5B12" w:rsidRDefault="00DD5B12" w:rsidP="00DD5B12">
      <w:pPr>
        <w:pStyle w:val="NormalWeb"/>
        <w:jc w:val="both"/>
        <w:rPr>
          <w:rFonts w:ascii="Arial" w:hAnsi="Arial" w:cs="Arial"/>
          <w:sz w:val="20"/>
          <w:szCs w:val="20"/>
        </w:rPr>
      </w:pPr>
      <w:r w:rsidRPr="00DD5B12">
        <w:rPr>
          <w:rFonts w:ascii="Arial" w:hAnsi="Arial" w:cs="Arial"/>
          <w:sz w:val="20"/>
          <w:szCs w:val="20"/>
        </w:rPr>
        <w:t xml:space="preserve">While the infectious and pharmacological etiologies of GUD are well-documented, a critical knowledge gap persists regarding the role of nutritional status as a modulator of disease severity and healing capacity. This gap is particularly concerning in the context of the rapid and profound nutritional transition currently underway in urban African centers like Lomé. This transition is characterized by a decisive shift away from traditional diets, rich in fiber, complex carbohydrates, and plant-based proteins, towards highly palatable, energy-dense, Westernized dietary patterns. These modern diets are typically high in ultra-processed foods, saturated fats, and refined sugars, but poor in essential micronutrients [Popkin et al., 2012 ; </w:t>
      </w:r>
      <w:r w:rsidRPr="00DD5B12">
        <w:rPr>
          <w:rFonts w:ascii="Arial" w:hAnsi="Arial" w:cs="Arial"/>
          <w:bCs/>
          <w:sz w:val="20"/>
          <w:szCs w:val="20"/>
        </w:rPr>
        <w:t>Amegah et al., 2021</w:t>
      </w:r>
      <w:r w:rsidRPr="00DD5B12">
        <w:rPr>
          <w:rFonts w:ascii="Arial" w:hAnsi="Arial" w:cs="Arial"/>
          <w:sz w:val="20"/>
          <w:szCs w:val="20"/>
        </w:rPr>
        <w:t>]. Such dietary shifts are known to foster a systemic pro-inflammatory state and may directly impact gastrointestinal health, yet their specific consequences for patients with a pre-existing mucosal vulnerability like GUD remain largely uncharacterized in the Togolese setting.</w:t>
      </w:r>
    </w:p>
    <w:p w14:paraId="3A0F91C5" w14:textId="77777777" w:rsidR="00DD5B12" w:rsidRPr="00DD5B12" w:rsidRDefault="00DD5B12" w:rsidP="00DD5B12">
      <w:pPr>
        <w:pStyle w:val="NormalWeb"/>
        <w:jc w:val="both"/>
        <w:rPr>
          <w:rFonts w:ascii="Arial" w:hAnsi="Arial" w:cs="Arial"/>
          <w:sz w:val="20"/>
          <w:szCs w:val="20"/>
        </w:rPr>
      </w:pPr>
      <w:r w:rsidRPr="00DD5B12">
        <w:rPr>
          <w:rFonts w:ascii="Arial" w:hAnsi="Arial" w:cs="Arial"/>
          <w:sz w:val="20"/>
          <w:szCs w:val="20"/>
        </w:rPr>
        <w:t xml:space="preserve">Furthermore, the conventional approach to nutritional assessment in clinical practice often relies on the Body Mass Index (BMI), a metric that is increasingly recognized as insufficient for capturing complex metabolic disturbances [Prentice &amp; Jebb, 2001 ; </w:t>
      </w:r>
      <w:r w:rsidRPr="00DD5B12">
        <w:rPr>
          <w:rFonts w:ascii="Arial" w:hAnsi="Arial" w:cs="Arial"/>
          <w:bCs/>
          <w:sz w:val="20"/>
          <w:szCs w:val="20"/>
        </w:rPr>
        <w:t>Cuerda et al., 2023</w:t>
      </w:r>
      <w:r w:rsidRPr="00DD5B12">
        <w:rPr>
          <w:rFonts w:ascii="Arial" w:hAnsi="Arial" w:cs="Arial"/>
          <w:sz w:val="20"/>
          <w:szCs w:val="20"/>
        </w:rPr>
        <w:t xml:space="preserve">]. The BMI's primary limitation is its inability to differentiate between fat mass and lean muscle mass, potentially masking deleterious conditions. This is particularly relevant in the context of the nutritional transition, where a paradoxical phenotype known as sarcopenic obesity, the concurrent existence of excess adiposity (specifically visceral fat) and depleted muscle mass (sarcopenia), may emerge [Batsis et al., 2014 ; </w:t>
      </w:r>
      <w:r w:rsidRPr="00DD5B12">
        <w:rPr>
          <w:rFonts w:ascii="Arial" w:hAnsi="Arial" w:cs="Arial"/>
          <w:bCs/>
          <w:sz w:val="20"/>
          <w:szCs w:val="20"/>
        </w:rPr>
        <w:t>Cuerda et al., 2023</w:t>
      </w:r>
      <w:r w:rsidRPr="00DD5B12">
        <w:rPr>
          <w:rFonts w:ascii="Arial" w:hAnsi="Arial" w:cs="Arial"/>
          <w:sz w:val="20"/>
          <w:szCs w:val="20"/>
        </w:rPr>
        <w:t xml:space="preserve">]. For patients with GUD, this "double burden of malnutrition" is theoretically devastating, as systemic inflammation fueled by visceral fat could exacerbate mucosal injury [Hotamisligil, 2006 ; </w:t>
      </w:r>
      <w:r w:rsidRPr="00DD5B12">
        <w:rPr>
          <w:rFonts w:ascii="Arial" w:hAnsi="Arial" w:cs="Arial"/>
          <w:bCs/>
          <w:sz w:val="20"/>
          <w:szCs w:val="20"/>
        </w:rPr>
        <w:t>O'Connell et al., 2022</w:t>
      </w:r>
      <w:r w:rsidRPr="00DD5B12">
        <w:rPr>
          <w:rFonts w:ascii="Arial" w:hAnsi="Arial" w:cs="Arial"/>
          <w:sz w:val="20"/>
          <w:szCs w:val="20"/>
        </w:rPr>
        <w:t>], while sarcopenia directly compromises the anabolic processes required for tissue repair and ulcer healing [Colpo &amp; Vilanova, 2014].</w:t>
      </w:r>
    </w:p>
    <w:p w14:paraId="025802D2" w14:textId="77777777" w:rsidR="00DD5B12" w:rsidRPr="00DD5B12" w:rsidRDefault="00DD5B12" w:rsidP="00DD5B12">
      <w:pPr>
        <w:pStyle w:val="NormalWeb"/>
        <w:jc w:val="both"/>
        <w:rPr>
          <w:rFonts w:ascii="Arial" w:hAnsi="Arial" w:cs="Arial"/>
          <w:sz w:val="20"/>
          <w:szCs w:val="20"/>
        </w:rPr>
      </w:pPr>
      <w:r w:rsidRPr="00DD5B12">
        <w:rPr>
          <w:rFonts w:ascii="Arial" w:hAnsi="Arial" w:cs="Arial"/>
          <w:sz w:val="20"/>
          <w:szCs w:val="20"/>
        </w:rPr>
        <w:t>Therefore, this study was designed to move beyond simplistic metrics and provide the first integrated characterization of the nutritional and metabolic health of patients with GUD in Lomé. The primary objective was to use detailed body composition analysis and specific biochemical markers to unmask underlying metabolic disorders, particularly the sarcopenic obesity phenotype, that are not captured by BMI. A secondary objective was to explore the association between these advanced nutritional profiles and dietary quality, in order to lay the groundwork for more effective, evidence-based nutritional interventions in this vulnerable patient population.</w:t>
      </w:r>
    </w:p>
    <w:p w14:paraId="0570D403" w14:textId="77777777" w:rsidR="00790ADA" w:rsidRPr="00FB3A86" w:rsidRDefault="00790ADA" w:rsidP="00441B6F">
      <w:pPr>
        <w:pStyle w:val="Body"/>
        <w:spacing w:after="0"/>
        <w:rPr>
          <w:rFonts w:ascii="Arial" w:hAnsi="Arial" w:cs="Arial"/>
        </w:rPr>
      </w:pPr>
    </w:p>
    <w:p w14:paraId="54822087" w14:textId="77777777" w:rsidR="007F7B32" w:rsidRDefault="00902823" w:rsidP="004952DC">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1F26B6AC"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Pr>
          <w:rFonts w:ascii="Arial" w:hAnsi="Arial" w:cs="Arial"/>
          <w:b/>
          <w:bCs/>
          <w:lang w:eastAsia="fr-FR"/>
        </w:rPr>
        <w:t>2</w:t>
      </w:r>
      <w:r w:rsidRPr="00315FE1">
        <w:rPr>
          <w:rFonts w:ascii="Arial" w:hAnsi="Arial" w:cs="Arial"/>
          <w:b/>
          <w:bCs/>
          <w:lang w:eastAsia="fr-FR"/>
        </w:rPr>
        <w:t>.1. Study design and setting</w:t>
      </w:r>
    </w:p>
    <w:p w14:paraId="2B3AB4A9"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A cross-sectional, analytical study was conducted over a four-month period, from July to October 2024, within the Gastroenterology department of the CHU Campus of Lomé, a national tertiary care and teaching hospital in Togo. The study protocol was approved by the Biomedical Ethics Committee of the University of Lomé, and all participants provided informed consent.</w:t>
      </w:r>
    </w:p>
    <w:p w14:paraId="06317883"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2.2. Study population</w:t>
      </w:r>
    </w:p>
    <w:p w14:paraId="32E8E726"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A total of 127 patients (75 males, 52 females) were consecutively recruited following a confirmed diagnosis of gastroduodenal ulcer disease via upper gastrointestinal endoscopy. Inclusion criteria required patients to have a confirmed ulcer diagnosis and provide informed consent. Patients with a critical clinical condition that would render nutritional assessment unreliable or those presenting with ascites or significant peripheral edema, which interfere with bioimpedance analysis, were excluded.</w:t>
      </w:r>
    </w:p>
    <w:p w14:paraId="2BF86111"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lastRenderedPageBreak/>
        <w:t>2.3. Data collection</w:t>
      </w:r>
    </w:p>
    <w:p w14:paraId="72B08EDB" w14:textId="77777777" w:rsidR="00315FE1" w:rsidRPr="00315FE1" w:rsidRDefault="00315FE1" w:rsidP="004952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2.3.1. Sociodemographic and clinical data</w:t>
      </w:r>
    </w:p>
    <w:p w14:paraId="7A6564E9"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Information on sociodemographic characteristics (age, sex, education level), clinical history, symptomatology, endoscopic findings (ulcer location), and histological results for </w:t>
      </w:r>
      <w:r w:rsidRPr="00315FE1">
        <w:rPr>
          <w:rFonts w:ascii="Arial" w:hAnsi="Arial" w:cs="Arial"/>
          <w:i/>
          <w:iCs/>
          <w:lang w:eastAsia="fr-FR"/>
        </w:rPr>
        <w:t>H. pylori</w:t>
      </w:r>
      <w:r w:rsidRPr="00315FE1">
        <w:rPr>
          <w:rFonts w:ascii="Arial" w:hAnsi="Arial" w:cs="Arial"/>
          <w:lang w:eastAsia="fr-FR"/>
        </w:rPr>
        <w:t xml:space="preserve"> status was collected through patient interviews and a thorough review of medical records.</w:t>
      </w:r>
    </w:p>
    <w:p w14:paraId="1EDD3A81" w14:textId="77777777" w:rsidR="00315FE1" w:rsidRPr="00315FE1" w:rsidRDefault="00315FE1" w:rsidP="004952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2.3.2. Dietary assessment</w:t>
      </w:r>
    </w:p>
    <w:p w14:paraId="281A2415"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Dietary habits were evaluated using a semi-quantitative food frequency questionnaire adapted to the local food context. From this data, a Dietary Diversity Score (SDA) was calculated to assess the quality and variety of food intake. The score was based on the consumption of ten predefined food groups over the preceding week. A score of ≤ 4 was classified as low dietary diversity, while a score of ≥ 7 was considered high diversity.</w:t>
      </w:r>
    </w:p>
    <w:p w14:paraId="0DE6FC78"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These ten food groups, adapted from FAO guidelines, </w:t>
      </w:r>
      <w:proofErr w:type="gramStart"/>
      <w:r w:rsidRPr="00315FE1">
        <w:rPr>
          <w:rFonts w:ascii="Arial" w:hAnsi="Arial" w:cs="Arial"/>
          <w:lang w:eastAsia="fr-FR"/>
        </w:rPr>
        <w:t>included :</w:t>
      </w:r>
      <w:proofErr w:type="gramEnd"/>
      <w:r w:rsidRPr="00315FE1">
        <w:rPr>
          <w:rFonts w:ascii="Arial" w:hAnsi="Arial" w:cs="Arial"/>
          <w:lang w:eastAsia="fr-FR"/>
        </w:rPr>
        <w:t xml:space="preserve"> cereals/tubers, legumes, green leafy vegetables, other vegetables, fruits, meat/poultry, fish, dairy products, oils/fats, and sugars/sweetened products.</w:t>
      </w:r>
    </w:p>
    <w:p w14:paraId="71703BF7"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A score was computed, and then participants were classified into two groups for comparative </w:t>
      </w:r>
      <w:proofErr w:type="gramStart"/>
      <w:r w:rsidRPr="00315FE1">
        <w:rPr>
          <w:rFonts w:ascii="Arial" w:hAnsi="Arial" w:cs="Arial"/>
          <w:lang w:eastAsia="fr-FR"/>
        </w:rPr>
        <w:t>analysis :</w:t>
      </w:r>
      <w:proofErr w:type="gramEnd"/>
      <w:r w:rsidRPr="00315FE1">
        <w:rPr>
          <w:rFonts w:ascii="Arial" w:hAnsi="Arial" w:cs="Arial"/>
          <w:lang w:eastAsia="fr-FR"/>
        </w:rPr>
        <w:t xml:space="preserve"> low diversity (SDA ≤ 4) and high diversity (SDA ≥ 7).</w:t>
      </w:r>
    </w:p>
    <w:p w14:paraId="79B971A8" w14:textId="77777777" w:rsidR="00315FE1" w:rsidRPr="00315FE1" w:rsidRDefault="00315FE1" w:rsidP="00315FE1">
      <w:pPr>
        <w:spacing w:before="100" w:beforeAutospacing="1" w:after="100" w:afterAutospacing="1"/>
        <w:jc w:val="both"/>
        <w:rPr>
          <w:rFonts w:ascii="Arial" w:hAnsi="Arial" w:cs="Arial"/>
          <w:lang w:eastAsia="fr-FR"/>
        </w:rPr>
      </w:pPr>
    </w:p>
    <w:p w14:paraId="5A4A2ED8"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Patients with an intermediate score (5 or 6) were excluded from this specific analysis in order to compare the extremes of the dietary spectrum</w:t>
      </w:r>
    </w:p>
    <w:p w14:paraId="6AF3F533" w14:textId="77777777" w:rsidR="00315FE1" w:rsidRPr="00315FE1" w:rsidRDefault="00315FE1" w:rsidP="004952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2.3.3. Anthropometry and body composition</w:t>
      </w:r>
    </w:p>
    <w:p w14:paraId="2C12927A"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Anthropometric measurements were performed under standardized conditions. Height was measured to the nearest centimeter. Body weight and composition were assessed using a multi-frequency bioelectrical impedance analyzer (BIA) (ZOETOUCH, model CF 398BLE) with patients in a fasted state, wearing light clothing, and barefoot. The Body Mass Index (BMI) was calculated as weight (kg) / height (m)². Key parameters obtained from the BIA included body fat percentage, skeletal muscle mass, and visceral fat level. Visceral obesity was defined as a visceral fat level ≥ 10, and protein depletion was identified when the protein mass index was classified as "Low" according to the device's reference standards.</w:t>
      </w:r>
    </w:p>
    <w:p w14:paraId="5F8A09FE"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The protein index was categorized using the device's integrated software, which classifies protein reserves as 'Low' or 'Normal' based on proprietary reference standards relative to the individual's overall body composition. The 'Low' classification was used in this study as an indicator of protein reserve depletion. While this classification is specific to the device, it was used as an indicator of protein reserve depletion due to the absence of consensus-validated thresholds for this specific population. It is important to note that this evaluation focuses solely on muscle mass and does not include measures of physical strength or performance, which are other components of the consensus definition of sarcopenia.</w:t>
      </w:r>
    </w:p>
    <w:p w14:paraId="4DAE2D8A" w14:textId="77777777" w:rsidR="00315FE1" w:rsidRPr="00315FE1" w:rsidRDefault="00315FE1" w:rsidP="004952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2.3.4. Biochemical analyses</w:t>
      </w:r>
    </w:p>
    <w:p w14:paraId="2E15DFED"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Venous blood samples were collected from each participant after an overnight fast. Serum was used to measure key nutritional and metabolic markers. Markers of protein status (albumin, prealbumin), vitamin status (folate [vitamin B9], vitamin B12), and metabolic stress (homocysteine) were quantified using immuno-enzymatic techniques. The complete blood count and iron status (serum iron, ferritin) were also determined.</w:t>
      </w:r>
    </w:p>
    <w:p w14:paraId="183C43F1"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2.4. Statistical analysis</w:t>
      </w:r>
    </w:p>
    <w:p w14:paraId="5B073AE8"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Data were entered into Microsoft Excel 2016 and analyzed using SPSS software (version 20.1). Descriptive statistics were used to summarize the data, with continuous variables presented as mean ± standard deviation (SD) and categorical variables as frequencies and percentages. Group comparisons were performed using the Student's t-test for continuous variables and the Chi-square (χ²) test for categorical variables. A p-value of &lt; 0.05 was considered statistically significant for all analyses. A multivariate logistic regression model was built to identify factors independently associated </w:t>
      </w:r>
      <w:r w:rsidRPr="00315FE1">
        <w:rPr>
          <w:rFonts w:ascii="Arial" w:hAnsi="Arial" w:cs="Arial"/>
          <w:lang w:eastAsia="fr-FR"/>
        </w:rPr>
        <w:lastRenderedPageBreak/>
        <w:t xml:space="preserve">with </w:t>
      </w:r>
      <w:r w:rsidRPr="00315FE1">
        <w:rPr>
          <w:rFonts w:ascii="Arial" w:hAnsi="Arial" w:cs="Arial"/>
          <w:i/>
          <w:iCs/>
          <w:lang w:eastAsia="fr-FR"/>
        </w:rPr>
        <w:t>H. pylori</w:t>
      </w:r>
      <w:r w:rsidRPr="00315FE1">
        <w:rPr>
          <w:rFonts w:ascii="Arial" w:hAnsi="Arial" w:cs="Arial"/>
          <w:lang w:eastAsia="fr-FR"/>
        </w:rPr>
        <w:t xml:space="preserve"> infection. A multivariate logistic regression model was built to identify factors independently associated with H. pylori infection. Variables with a p-value &lt; 0.20 in the bivariate analysis, along with those deemed clinically relevant, were included in the final model.</w:t>
      </w:r>
    </w:p>
    <w:p w14:paraId="3F6BC5A0" w14:textId="77777777" w:rsidR="00902823" w:rsidRDefault="00000F8F" w:rsidP="004952DC">
      <w:pPr>
        <w:pStyle w:val="Head1"/>
        <w:spacing w:after="0"/>
        <w:jc w:val="right"/>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8961D2" w14:textId="77777777" w:rsidR="00315FE1" w:rsidRPr="00315FE1" w:rsidRDefault="00315FE1" w:rsidP="004952DC">
      <w:pPr>
        <w:spacing w:before="100" w:beforeAutospacing="1" w:after="100" w:afterAutospacing="1"/>
        <w:jc w:val="right"/>
        <w:outlineLvl w:val="1"/>
        <w:rPr>
          <w:rFonts w:ascii="Arial" w:hAnsi="Arial" w:cs="Arial"/>
          <w:b/>
          <w:bCs/>
          <w:lang w:eastAsia="fr-FR"/>
        </w:rPr>
      </w:pPr>
      <w:r w:rsidRPr="00315FE1">
        <w:rPr>
          <w:rFonts w:ascii="Arial" w:hAnsi="Arial" w:cs="Arial"/>
          <w:b/>
          <w:bCs/>
          <w:lang w:eastAsia="fr-FR"/>
        </w:rPr>
        <w:t>3. RESULTS</w:t>
      </w:r>
    </w:p>
    <w:p w14:paraId="457A6ED6"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3.1. Sociodemographic and clinical profile of the cohort</w:t>
      </w:r>
    </w:p>
    <w:p w14:paraId="04FACE67"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The study included 127 patients diagnosed with GUD, with a slight male predominance (59.1%, n=75). The mean age of the cohort was 43.7 ± 16.0 years, with no significant difference between sexes. The majority of participants were married (47.2%). A significant portion of the cohort reported a low monthly income, with 58.3% earning less than or equal to 52,500 FCFA. Endoscopic findings revealed that duodenal or bulbar ulcers were the most common location (63.0%). Histological analysis confirmed </w:t>
      </w:r>
      <w:r w:rsidRPr="00315FE1">
        <w:rPr>
          <w:rFonts w:ascii="Arial" w:hAnsi="Arial" w:cs="Arial"/>
          <w:i/>
          <w:iCs/>
          <w:lang w:eastAsia="fr-FR"/>
        </w:rPr>
        <w:t>Helicobacter pylori</w:t>
      </w:r>
      <w:r w:rsidRPr="00315FE1">
        <w:rPr>
          <w:rFonts w:ascii="Arial" w:hAnsi="Arial" w:cs="Arial"/>
          <w:lang w:eastAsia="fr-FR"/>
        </w:rPr>
        <w:t xml:space="preserve"> infection in 35.4% (n=45) of patients. Detailed characteristics are presented in Table 1.</w:t>
      </w:r>
    </w:p>
    <w:p w14:paraId="24CD03E9"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b/>
          <w:bCs/>
          <w:lang w:eastAsia="fr-FR"/>
        </w:rPr>
        <w:t>Table 1: Sociodemographic and clinical characteristics of the GUD cohort (N=127)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1267"/>
        <w:gridCol w:w="1589"/>
        <w:gridCol w:w="1478"/>
        <w:gridCol w:w="917"/>
      </w:tblGrid>
      <w:tr w:rsidR="00315FE1" w:rsidRPr="00315FE1" w14:paraId="45FA7D21" w14:textId="77777777" w:rsidTr="004D2CFB">
        <w:tc>
          <w:tcPr>
            <w:tcW w:w="0" w:type="auto"/>
            <w:hideMark/>
          </w:tcPr>
          <w:p w14:paraId="681BC7DA"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Characteristic</w:t>
            </w:r>
          </w:p>
        </w:tc>
        <w:tc>
          <w:tcPr>
            <w:tcW w:w="0" w:type="auto"/>
            <w:hideMark/>
          </w:tcPr>
          <w:p w14:paraId="0CCED79B"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Men (n=75)</w:t>
            </w:r>
          </w:p>
        </w:tc>
        <w:tc>
          <w:tcPr>
            <w:tcW w:w="0" w:type="auto"/>
            <w:hideMark/>
          </w:tcPr>
          <w:p w14:paraId="76320DE0"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Women (n=52)</w:t>
            </w:r>
          </w:p>
        </w:tc>
        <w:tc>
          <w:tcPr>
            <w:tcW w:w="0" w:type="auto"/>
            <w:hideMark/>
          </w:tcPr>
          <w:p w14:paraId="794B4FE5"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Total (N=127)</w:t>
            </w:r>
          </w:p>
        </w:tc>
        <w:tc>
          <w:tcPr>
            <w:tcW w:w="0" w:type="auto"/>
            <w:hideMark/>
          </w:tcPr>
          <w:p w14:paraId="5944F867"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w:t>
            </w:r>
          </w:p>
        </w:tc>
      </w:tr>
      <w:tr w:rsidR="00315FE1" w:rsidRPr="00315FE1" w14:paraId="69BD6126" w14:textId="77777777" w:rsidTr="004D2CFB">
        <w:tc>
          <w:tcPr>
            <w:tcW w:w="0" w:type="auto"/>
            <w:hideMark/>
          </w:tcPr>
          <w:p w14:paraId="359F428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Age (mean ± SD), years</w:t>
            </w:r>
          </w:p>
        </w:tc>
        <w:tc>
          <w:tcPr>
            <w:tcW w:w="0" w:type="auto"/>
            <w:hideMark/>
          </w:tcPr>
          <w:p w14:paraId="39C8830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43.1 ± 15.6</w:t>
            </w:r>
          </w:p>
        </w:tc>
        <w:tc>
          <w:tcPr>
            <w:tcW w:w="0" w:type="auto"/>
            <w:hideMark/>
          </w:tcPr>
          <w:p w14:paraId="5C573D5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44.4 ± 16.5</w:t>
            </w:r>
          </w:p>
        </w:tc>
        <w:tc>
          <w:tcPr>
            <w:tcW w:w="0" w:type="auto"/>
            <w:hideMark/>
          </w:tcPr>
          <w:p w14:paraId="19D838D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43.7 ± 16.0</w:t>
            </w:r>
          </w:p>
        </w:tc>
        <w:tc>
          <w:tcPr>
            <w:tcW w:w="0" w:type="auto"/>
            <w:hideMark/>
          </w:tcPr>
          <w:p w14:paraId="1709B04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0.69</w:t>
            </w:r>
          </w:p>
        </w:tc>
      </w:tr>
      <w:tr w:rsidR="00315FE1" w:rsidRPr="00315FE1" w14:paraId="32E9B2EC" w14:textId="77777777" w:rsidTr="004D2CFB">
        <w:tc>
          <w:tcPr>
            <w:tcW w:w="0" w:type="auto"/>
            <w:hideMark/>
          </w:tcPr>
          <w:p w14:paraId="2144CD3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Marital Status, n (%)</w:t>
            </w:r>
          </w:p>
        </w:tc>
        <w:tc>
          <w:tcPr>
            <w:tcW w:w="0" w:type="auto"/>
            <w:hideMark/>
          </w:tcPr>
          <w:p w14:paraId="67818BB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FDA22C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E742B3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9A9D1F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0.27</w:t>
            </w:r>
          </w:p>
        </w:tc>
      </w:tr>
      <w:tr w:rsidR="00315FE1" w:rsidRPr="00315FE1" w14:paraId="37A45950" w14:textId="77777777" w:rsidTr="004D2CFB">
        <w:tc>
          <w:tcPr>
            <w:tcW w:w="0" w:type="auto"/>
            <w:hideMark/>
          </w:tcPr>
          <w:p w14:paraId="4A81E3A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Single</w:t>
            </w:r>
          </w:p>
        </w:tc>
        <w:tc>
          <w:tcPr>
            <w:tcW w:w="0" w:type="auto"/>
            <w:hideMark/>
          </w:tcPr>
          <w:p w14:paraId="7408127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28 (37.3%)</w:t>
            </w:r>
          </w:p>
        </w:tc>
        <w:tc>
          <w:tcPr>
            <w:tcW w:w="0" w:type="auto"/>
            <w:hideMark/>
          </w:tcPr>
          <w:p w14:paraId="74B8C53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17 (32.7%)</w:t>
            </w:r>
          </w:p>
        </w:tc>
        <w:tc>
          <w:tcPr>
            <w:tcW w:w="0" w:type="auto"/>
            <w:hideMark/>
          </w:tcPr>
          <w:p w14:paraId="6F73413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339A0AF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3AD85E5B" w14:textId="77777777" w:rsidTr="004D2CFB">
        <w:tc>
          <w:tcPr>
            <w:tcW w:w="0" w:type="auto"/>
            <w:hideMark/>
          </w:tcPr>
          <w:p w14:paraId="37031DE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Married</w:t>
            </w:r>
          </w:p>
        </w:tc>
        <w:tc>
          <w:tcPr>
            <w:tcW w:w="0" w:type="auto"/>
            <w:hideMark/>
          </w:tcPr>
          <w:p w14:paraId="0D9E86C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39 (52.0%)</w:t>
            </w:r>
          </w:p>
        </w:tc>
        <w:tc>
          <w:tcPr>
            <w:tcW w:w="0" w:type="auto"/>
            <w:hideMark/>
          </w:tcPr>
          <w:p w14:paraId="15A536B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21 (40.4%)</w:t>
            </w:r>
          </w:p>
        </w:tc>
        <w:tc>
          <w:tcPr>
            <w:tcW w:w="0" w:type="auto"/>
            <w:hideMark/>
          </w:tcPr>
          <w:p w14:paraId="7E2FF93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60 (47.2%)</w:t>
            </w:r>
          </w:p>
        </w:tc>
        <w:tc>
          <w:tcPr>
            <w:tcW w:w="0" w:type="auto"/>
            <w:hideMark/>
          </w:tcPr>
          <w:p w14:paraId="1177C54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3738BA8F" w14:textId="77777777" w:rsidTr="004D2CFB">
        <w:tc>
          <w:tcPr>
            <w:tcW w:w="0" w:type="auto"/>
            <w:hideMark/>
          </w:tcPr>
          <w:p w14:paraId="19A8A4E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Widowed</w:t>
            </w:r>
          </w:p>
        </w:tc>
        <w:tc>
          <w:tcPr>
            <w:tcW w:w="0" w:type="auto"/>
            <w:hideMark/>
          </w:tcPr>
          <w:p w14:paraId="75CBBFBB"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8 (10.7%)</w:t>
            </w:r>
          </w:p>
        </w:tc>
        <w:tc>
          <w:tcPr>
            <w:tcW w:w="0" w:type="auto"/>
            <w:hideMark/>
          </w:tcPr>
          <w:p w14:paraId="24876C8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7A5A8F9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22 (17.3%)</w:t>
            </w:r>
          </w:p>
        </w:tc>
        <w:tc>
          <w:tcPr>
            <w:tcW w:w="0" w:type="auto"/>
            <w:hideMark/>
          </w:tcPr>
          <w:p w14:paraId="7F428D6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209D2760" w14:textId="77777777" w:rsidTr="004D2CFB">
        <w:tc>
          <w:tcPr>
            <w:tcW w:w="0" w:type="auto"/>
            <w:hideMark/>
          </w:tcPr>
          <w:p w14:paraId="1659D4B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Education Level, n (%)</w:t>
            </w:r>
          </w:p>
        </w:tc>
        <w:tc>
          <w:tcPr>
            <w:tcW w:w="0" w:type="auto"/>
            <w:hideMark/>
          </w:tcPr>
          <w:p w14:paraId="0F4174D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D2C8DE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14CFEC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1D62D8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0.55</w:t>
            </w:r>
          </w:p>
        </w:tc>
      </w:tr>
      <w:tr w:rsidR="00315FE1" w:rsidRPr="00315FE1" w14:paraId="079E1D7A" w14:textId="77777777" w:rsidTr="004D2CFB">
        <w:tc>
          <w:tcPr>
            <w:tcW w:w="0" w:type="auto"/>
            <w:hideMark/>
          </w:tcPr>
          <w:p w14:paraId="47FC6278"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Not schooled</w:t>
            </w:r>
          </w:p>
        </w:tc>
        <w:tc>
          <w:tcPr>
            <w:tcW w:w="0" w:type="auto"/>
            <w:hideMark/>
          </w:tcPr>
          <w:p w14:paraId="385A723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 (8.0%)</w:t>
            </w:r>
          </w:p>
        </w:tc>
        <w:tc>
          <w:tcPr>
            <w:tcW w:w="0" w:type="auto"/>
            <w:hideMark/>
          </w:tcPr>
          <w:p w14:paraId="00DC223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 (11.5%)</w:t>
            </w:r>
          </w:p>
        </w:tc>
        <w:tc>
          <w:tcPr>
            <w:tcW w:w="0" w:type="auto"/>
            <w:hideMark/>
          </w:tcPr>
          <w:p w14:paraId="18194BF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12 (9.4%)</w:t>
            </w:r>
          </w:p>
        </w:tc>
        <w:tc>
          <w:tcPr>
            <w:tcW w:w="0" w:type="auto"/>
            <w:hideMark/>
          </w:tcPr>
          <w:p w14:paraId="1D84B84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0A232913" w14:textId="77777777" w:rsidTr="004D2CFB">
        <w:tc>
          <w:tcPr>
            <w:tcW w:w="0" w:type="auto"/>
            <w:hideMark/>
          </w:tcPr>
          <w:p w14:paraId="57DD8A7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Primary</w:t>
            </w:r>
          </w:p>
        </w:tc>
        <w:tc>
          <w:tcPr>
            <w:tcW w:w="0" w:type="auto"/>
            <w:hideMark/>
          </w:tcPr>
          <w:p w14:paraId="69155E0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13 (17.3%)</w:t>
            </w:r>
          </w:p>
        </w:tc>
        <w:tc>
          <w:tcPr>
            <w:tcW w:w="0" w:type="auto"/>
            <w:hideMark/>
          </w:tcPr>
          <w:p w14:paraId="73C4A7C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5A646AF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27 (21.3%)</w:t>
            </w:r>
          </w:p>
        </w:tc>
        <w:tc>
          <w:tcPr>
            <w:tcW w:w="0" w:type="auto"/>
            <w:hideMark/>
          </w:tcPr>
          <w:p w14:paraId="59681CBB"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43D36747" w14:textId="77777777" w:rsidTr="004D2CFB">
        <w:tc>
          <w:tcPr>
            <w:tcW w:w="0" w:type="auto"/>
            <w:hideMark/>
          </w:tcPr>
          <w:p w14:paraId="01EB6A0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Secondary</w:t>
            </w:r>
          </w:p>
        </w:tc>
        <w:tc>
          <w:tcPr>
            <w:tcW w:w="0" w:type="auto"/>
            <w:hideMark/>
          </w:tcPr>
          <w:p w14:paraId="3F4FB49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27 (36.0%)</w:t>
            </w:r>
          </w:p>
        </w:tc>
        <w:tc>
          <w:tcPr>
            <w:tcW w:w="0" w:type="auto"/>
            <w:hideMark/>
          </w:tcPr>
          <w:p w14:paraId="6FCFA5C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 (34.6%)</w:t>
            </w:r>
          </w:p>
        </w:tc>
        <w:tc>
          <w:tcPr>
            <w:tcW w:w="0" w:type="auto"/>
            <w:hideMark/>
          </w:tcPr>
          <w:p w14:paraId="0C169DA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5AA9EC1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79EDF922" w14:textId="77777777" w:rsidTr="004D2CFB">
        <w:tc>
          <w:tcPr>
            <w:tcW w:w="0" w:type="auto"/>
            <w:hideMark/>
          </w:tcPr>
          <w:p w14:paraId="202DF3B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University</w:t>
            </w:r>
          </w:p>
        </w:tc>
        <w:tc>
          <w:tcPr>
            <w:tcW w:w="0" w:type="auto"/>
            <w:hideMark/>
          </w:tcPr>
          <w:p w14:paraId="1DEBCD6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(38.7%)</w:t>
            </w:r>
          </w:p>
        </w:tc>
        <w:tc>
          <w:tcPr>
            <w:tcW w:w="0" w:type="auto"/>
            <w:hideMark/>
          </w:tcPr>
          <w:p w14:paraId="7A3305E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1275B4C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 (33.9%)</w:t>
            </w:r>
          </w:p>
        </w:tc>
        <w:tc>
          <w:tcPr>
            <w:tcW w:w="0" w:type="auto"/>
            <w:hideMark/>
          </w:tcPr>
          <w:p w14:paraId="48A4EB9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333712F6" w14:textId="77777777" w:rsidTr="004D2CFB">
        <w:tc>
          <w:tcPr>
            <w:tcW w:w="0" w:type="auto"/>
            <w:hideMark/>
          </w:tcPr>
          <w:p w14:paraId="397B76E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Status, n (%)</w:t>
            </w:r>
          </w:p>
        </w:tc>
        <w:tc>
          <w:tcPr>
            <w:tcW w:w="0" w:type="auto"/>
            <w:hideMark/>
          </w:tcPr>
          <w:p w14:paraId="508E396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7B3C7C4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A77BC0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3E754078"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269C8AFD" w14:textId="77777777" w:rsidTr="004D2CFB">
        <w:tc>
          <w:tcPr>
            <w:tcW w:w="0" w:type="auto"/>
            <w:hideMark/>
          </w:tcPr>
          <w:p w14:paraId="62DF394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Positive</w:t>
            </w:r>
          </w:p>
        </w:tc>
        <w:tc>
          <w:tcPr>
            <w:tcW w:w="0" w:type="auto"/>
            <w:hideMark/>
          </w:tcPr>
          <w:p w14:paraId="28A4ADA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(38.7%)</w:t>
            </w:r>
          </w:p>
        </w:tc>
        <w:tc>
          <w:tcPr>
            <w:tcW w:w="0" w:type="auto"/>
            <w:hideMark/>
          </w:tcPr>
          <w:p w14:paraId="50A6081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16 (30.8%)</w:t>
            </w:r>
          </w:p>
        </w:tc>
        <w:tc>
          <w:tcPr>
            <w:tcW w:w="0" w:type="auto"/>
            <w:hideMark/>
          </w:tcPr>
          <w:p w14:paraId="0C90B42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265BB0DB"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0.35</w:t>
            </w:r>
          </w:p>
        </w:tc>
      </w:tr>
      <w:tr w:rsidR="00315FE1" w:rsidRPr="00315FE1" w14:paraId="689EB361" w14:textId="77777777" w:rsidTr="004D2CFB">
        <w:tc>
          <w:tcPr>
            <w:tcW w:w="0" w:type="auto"/>
            <w:hideMark/>
          </w:tcPr>
          <w:p w14:paraId="5E8CE60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Negative</w:t>
            </w:r>
          </w:p>
        </w:tc>
        <w:tc>
          <w:tcPr>
            <w:tcW w:w="0" w:type="auto"/>
            <w:hideMark/>
          </w:tcPr>
          <w:p w14:paraId="5E6247E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46 (61.3%)</w:t>
            </w:r>
          </w:p>
        </w:tc>
        <w:tc>
          <w:tcPr>
            <w:tcW w:w="0" w:type="auto"/>
            <w:hideMark/>
          </w:tcPr>
          <w:p w14:paraId="7B6D582F"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36 (69.2%)</w:t>
            </w:r>
          </w:p>
        </w:tc>
        <w:tc>
          <w:tcPr>
            <w:tcW w:w="0" w:type="auto"/>
            <w:hideMark/>
          </w:tcPr>
          <w:p w14:paraId="2CDCF92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82 (64.6%)</w:t>
            </w:r>
          </w:p>
        </w:tc>
        <w:tc>
          <w:tcPr>
            <w:tcW w:w="0" w:type="auto"/>
            <w:hideMark/>
          </w:tcPr>
          <w:p w14:paraId="344F7DE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bl>
    <w:p w14:paraId="2B54789D"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 xml:space="preserve">3.2. The paradox of body </w:t>
      </w:r>
      <w:proofErr w:type="gramStart"/>
      <w:r w:rsidRPr="00315FE1">
        <w:rPr>
          <w:rFonts w:ascii="Arial" w:hAnsi="Arial" w:cs="Arial"/>
          <w:b/>
          <w:bCs/>
          <w:lang w:eastAsia="fr-FR"/>
        </w:rPr>
        <w:t>composition :</w:t>
      </w:r>
      <w:proofErr w:type="gramEnd"/>
      <w:r w:rsidRPr="00315FE1">
        <w:rPr>
          <w:rFonts w:ascii="Arial" w:hAnsi="Arial" w:cs="Arial"/>
          <w:b/>
          <w:bCs/>
          <w:lang w:eastAsia="fr-FR"/>
        </w:rPr>
        <w:t xml:space="preserve"> sarcopenic obesity phenotype</w:t>
      </w:r>
    </w:p>
    <w:p w14:paraId="62A3F9D9" w14:textId="765495EC" w:rsidR="00315FE1" w:rsidRPr="00B17CEA" w:rsidRDefault="00315FE1" w:rsidP="00315FE1">
      <w:pPr>
        <w:spacing w:before="100" w:beforeAutospacing="1" w:after="100" w:afterAutospacing="1"/>
        <w:jc w:val="both"/>
        <w:rPr>
          <w:rFonts w:ascii="Arial" w:hAnsi="Arial" w:cs="Arial"/>
          <w:color w:val="FF0000"/>
          <w:lang w:eastAsia="fr-FR"/>
        </w:rPr>
      </w:pPr>
      <w:r w:rsidRPr="00315FE1">
        <w:rPr>
          <w:rFonts w:ascii="Arial" w:hAnsi="Arial" w:cs="Arial"/>
          <w:lang w:eastAsia="fr-FR"/>
        </w:rPr>
        <w:t>Analysis of body composition revealed a paradoxical nutritional profile that was not apparent from BMI measurements alone. While 41.7% of the cohort was classified as normal weight and 31.5% as overweight/obese by BMI, BIA uncovered a high prevalence of sarcopenic obesity. As shown in Table 2, this was characterized by the coexistence of a low protein index (indicative of sarcopenia) in nearly half of the patients (46.5%) and a high prevalence of visceral obesity (39.4%). This deleterious phenotype was particularly pronounced in women, who had a significantly higher body fat index (p&lt;0.001) and a higher proportion of visceral obesity compared to men.</w:t>
      </w:r>
      <w:r w:rsidR="00B17CEA">
        <w:rPr>
          <w:rFonts w:ascii="Arial" w:hAnsi="Arial" w:cs="Arial"/>
          <w:color w:val="FF0000"/>
          <w:lang w:eastAsia="fr-FR"/>
        </w:rPr>
        <w:t xml:space="preserve"> In table you simply measure 4 parameters</w:t>
      </w:r>
      <w:r w:rsidR="00A26069">
        <w:rPr>
          <w:rFonts w:ascii="Arial" w:hAnsi="Arial" w:cs="Arial"/>
          <w:color w:val="FF0000"/>
          <w:lang w:eastAsia="fr-FR"/>
        </w:rPr>
        <w:t xml:space="preserve"> (BMI, Body fat Index, Visceral obesity and protein index)</w:t>
      </w:r>
      <w:r w:rsidR="00B17CEA">
        <w:rPr>
          <w:rFonts w:ascii="Arial" w:hAnsi="Arial" w:cs="Arial"/>
          <w:color w:val="FF0000"/>
          <w:lang w:eastAsia="fr-FR"/>
        </w:rPr>
        <w:t xml:space="preserve"> on </w:t>
      </w:r>
      <w:r w:rsidR="00A26069">
        <w:rPr>
          <w:rFonts w:ascii="Arial" w:hAnsi="Arial" w:cs="Arial"/>
          <w:color w:val="FF0000"/>
          <w:lang w:eastAsia="fr-FR"/>
        </w:rPr>
        <w:t>all patients of which 46% had low protein index and 39.4% had visceral obesity. This analysis deduces high prevalence of low protein index and</w:t>
      </w:r>
      <w:r w:rsidR="00A26069">
        <w:rPr>
          <w:rFonts w:ascii="Arial" w:hAnsi="Arial" w:cs="Arial"/>
          <w:color w:val="FF0000"/>
          <w:lang w:eastAsia="fr-FR"/>
        </w:rPr>
        <w:t xml:space="preserve"> visceral obesity</w:t>
      </w:r>
      <w:r w:rsidR="00F022F3">
        <w:rPr>
          <w:rFonts w:ascii="Arial" w:hAnsi="Arial" w:cs="Arial"/>
          <w:color w:val="FF0000"/>
          <w:lang w:eastAsia="fr-FR"/>
        </w:rPr>
        <w:t xml:space="preserve"> irrespective of BMI catagory</w:t>
      </w:r>
      <w:r w:rsidR="00A26069">
        <w:rPr>
          <w:rFonts w:ascii="Arial" w:hAnsi="Arial" w:cs="Arial"/>
          <w:color w:val="FF0000"/>
          <w:lang w:eastAsia="fr-FR"/>
        </w:rPr>
        <w:t xml:space="preserve">. </w:t>
      </w:r>
      <w:r w:rsidR="00311BF1">
        <w:rPr>
          <w:rFonts w:ascii="Arial" w:hAnsi="Arial" w:cs="Arial"/>
          <w:color w:val="FF0000"/>
          <w:lang w:eastAsia="fr-FR"/>
        </w:rPr>
        <w:t>By definition sarcopenic obesity is based on the presence of sarcopenia in apparently obese persons by weight or BMI criteria. BMI can at its best pick sarcopenia in underweight groups and that may not be necessary so like in marathon runners.   Your analysis could be more meaningful if you analyze the low protein index in normal, overweight and obese groups, and</w:t>
      </w:r>
      <w:r w:rsidR="00311BF1">
        <w:rPr>
          <w:rFonts w:ascii="Arial" w:hAnsi="Arial" w:cs="Arial"/>
          <w:color w:val="FF0000"/>
          <w:lang w:eastAsia="fr-FR"/>
        </w:rPr>
        <w:t xml:space="preserve"> </w:t>
      </w:r>
      <w:r w:rsidR="00311BF1">
        <w:rPr>
          <w:rFonts w:ascii="Arial" w:hAnsi="Arial" w:cs="Arial"/>
          <w:color w:val="FF0000"/>
          <w:lang w:eastAsia="fr-FR"/>
        </w:rPr>
        <w:t xml:space="preserve">evidence of </w:t>
      </w:r>
      <w:r w:rsidR="00311BF1">
        <w:rPr>
          <w:rFonts w:ascii="Arial" w:hAnsi="Arial" w:cs="Arial"/>
          <w:color w:val="FF0000"/>
          <w:lang w:eastAsia="fr-FR"/>
        </w:rPr>
        <w:t>visceral obesity</w:t>
      </w:r>
      <w:r w:rsidR="00311BF1">
        <w:rPr>
          <w:rFonts w:ascii="Arial" w:hAnsi="Arial" w:cs="Arial"/>
          <w:color w:val="FF0000"/>
          <w:lang w:eastAsia="fr-FR"/>
        </w:rPr>
        <w:t xml:space="preserve"> in underweight and normal weight groups. Overweight and obese are understood to be suffering from either increased visceral fat or subcutaneous fat like in Japanese Somo wrestlers as a classical example who are not sarcopenin.</w:t>
      </w:r>
      <w:r w:rsidR="00A26069">
        <w:rPr>
          <w:rFonts w:ascii="Arial" w:hAnsi="Arial" w:cs="Arial"/>
          <w:color w:val="FF0000"/>
          <w:lang w:eastAsia="fr-FR"/>
        </w:rPr>
        <w:t xml:space="preserve"> </w:t>
      </w:r>
      <w:r w:rsidR="00B17CEA">
        <w:rPr>
          <w:rFonts w:ascii="Arial" w:hAnsi="Arial" w:cs="Arial"/>
          <w:color w:val="FF0000"/>
          <w:lang w:eastAsia="fr-FR"/>
        </w:rPr>
        <w:t xml:space="preserve"> </w:t>
      </w:r>
      <w:r w:rsidR="00F022F3">
        <w:rPr>
          <w:rFonts w:ascii="Arial" w:hAnsi="Arial" w:cs="Arial"/>
          <w:color w:val="FF0000"/>
          <w:lang w:eastAsia="fr-FR"/>
        </w:rPr>
        <w:t xml:space="preserve">You shall apply the same on protein index study to determine it prevalence in normal and overweight and obese patients as evidence of non-apparent and undetected sarcopenia inspite of the presence of obesity. You shall rearrange your analysis. </w:t>
      </w:r>
    </w:p>
    <w:p w14:paraId="47B4D95E"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b/>
          <w:bCs/>
          <w:lang w:eastAsia="fr-FR"/>
        </w:rPr>
        <w:t xml:space="preserve">Table </w:t>
      </w:r>
      <w:proofErr w:type="gramStart"/>
      <w:r w:rsidRPr="00315FE1">
        <w:rPr>
          <w:rFonts w:ascii="Arial" w:hAnsi="Arial" w:cs="Arial"/>
          <w:b/>
          <w:bCs/>
          <w:lang w:eastAsia="fr-FR"/>
        </w:rPr>
        <w:t>2 :</w:t>
      </w:r>
      <w:proofErr w:type="gramEnd"/>
      <w:r w:rsidRPr="00315FE1">
        <w:rPr>
          <w:rFonts w:ascii="Arial" w:hAnsi="Arial" w:cs="Arial"/>
          <w:b/>
          <w:bCs/>
          <w:lang w:eastAsia="fr-FR"/>
        </w:rPr>
        <w:t xml:space="preserve"> Body composition profile of GUD patients by sex (N=127), as determined by BIA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2095"/>
        <w:gridCol w:w="1267"/>
        <w:gridCol w:w="1589"/>
        <w:gridCol w:w="917"/>
      </w:tblGrid>
      <w:tr w:rsidR="00315FE1" w:rsidRPr="00315FE1" w14:paraId="24BBD0A6" w14:textId="77777777" w:rsidTr="004D2CFB">
        <w:tc>
          <w:tcPr>
            <w:tcW w:w="0" w:type="auto"/>
            <w:hideMark/>
          </w:tcPr>
          <w:p w14:paraId="0003B555"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Body Composition Parameter</w:t>
            </w:r>
          </w:p>
        </w:tc>
        <w:tc>
          <w:tcPr>
            <w:tcW w:w="0" w:type="auto"/>
            <w:hideMark/>
          </w:tcPr>
          <w:p w14:paraId="29502A9D"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Category</w:t>
            </w:r>
          </w:p>
        </w:tc>
        <w:tc>
          <w:tcPr>
            <w:tcW w:w="0" w:type="auto"/>
            <w:hideMark/>
          </w:tcPr>
          <w:p w14:paraId="037F8D60"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Men (n=75)</w:t>
            </w:r>
          </w:p>
        </w:tc>
        <w:tc>
          <w:tcPr>
            <w:tcW w:w="0" w:type="auto"/>
            <w:hideMark/>
          </w:tcPr>
          <w:p w14:paraId="4F5F4FFD"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Women (n=52)</w:t>
            </w:r>
          </w:p>
        </w:tc>
        <w:tc>
          <w:tcPr>
            <w:tcW w:w="0" w:type="auto"/>
            <w:hideMark/>
          </w:tcPr>
          <w:p w14:paraId="168C7045"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w:t>
            </w:r>
          </w:p>
        </w:tc>
      </w:tr>
      <w:tr w:rsidR="004D2CFB" w:rsidRPr="00315FE1" w14:paraId="2FE02C34" w14:textId="77777777" w:rsidTr="004D2CFB">
        <w:trPr>
          <w:trHeight w:val="470"/>
        </w:trPr>
        <w:tc>
          <w:tcPr>
            <w:tcW w:w="0" w:type="auto"/>
            <w:vMerge w:val="restart"/>
            <w:hideMark/>
          </w:tcPr>
          <w:p w14:paraId="54403204" w14:textId="77777777" w:rsidR="004D2CFB" w:rsidRDefault="004D2CFB" w:rsidP="007E66D0">
            <w:pPr>
              <w:spacing w:before="100" w:beforeAutospacing="1" w:after="100" w:afterAutospacing="1"/>
              <w:jc w:val="both"/>
              <w:rPr>
                <w:rFonts w:ascii="Arial" w:eastAsia="Times New Roman" w:hAnsi="Arial" w:cs="Arial"/>
                <w:b/>
                <w:bCs/>
                <w:sz w:val="20"/>
                <w:szCs w:val="20"/>
                <w:lang w:eastAsia="fr-FR"/>
              </w:rPr>
            </w:pPr>
          </w:p>
          <w:p w14:paraId="3DCBA8C2" w14:textId="77777777" w:rsidR="004D2CFB" w:rsidRDefault="004D2CFB" w:rsidP="007E66D0">
            <w:pPr>
              <w:spacing w:before="100" w:beforeAutospacing="1" w:after="100" w:afterAutospacing="1"/>
              <w:jc w:val="both"/>
              <w:rPr>
                <w:rFonts w:ascii="Arial" w:eastAsia="Times New Roman" w:hAnsi="Arial" w:cs="Arial"/>
                <w:b/>
                <w:bCs/>
                <w:sz w:val="20"/>
                <w:szCs w:val="20"/>
                <w:lang w:eastAsia="fr-FR"/>
              </w:rPr>
            </w:pPr>
          </w:p>
          <w:p w14:paraId="4915E421"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BMI (kg/m²), n (%)</w:t>
            </w:r>
          </w:p>
        </w:tc>
        <w:tc>
          <w:tcPr>
            <w:tcW w:w="0" w:type="auto"/>
            <w:hideMark/>
          </w:tcPr>
          <w:p w14:paraId="67DDB508"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lastRenderedPageBreak/>
              <w:t>Underweight (&lt;18.5)</w:t>
            </w:r>
          </w:p>
        </w:tc>
        <w:tc>
          <w:tcPr>
            <w:tcW w:w="0" w:type="auto"/>
            <w:hideMark/>
          </w:tcPr>
          <w:p w14:paraId="3F76D51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 (4.0%)</w:t>
            </w:r>
          </w:p>
        </w:tc>
        <w:tc>
          <w:tcPr>
            <w:tcW w:w="0" w:type="auto"/>
            <w:hideMark/>
          </w:tcPr>
          <w:p w14:paraId="4CD99D62"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 (11.5%)</w:t>
            </w:r>
          </w:p>
        </w:tc>
        <w:tc>
          <w:tcPr>
            <w:tcW w:w="0" w:type="auto"/>
            <w:hideMark/>
          </w:tcPr>
          <w:p w14:paraId="5377A41F"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0B29E36C" w14:textId="77777777" w:rsidTr="004D2CFB">
        <w:tc>
          <w:tcPr>
            <w:tcW w:w="0" w:type="auto"/>
            <w:vMerge/>
            <w:hideMark/>
          </w:tcPr>
          <w:p w14:paraId="460C92C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B684FA8"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Normal (18.5-24.9)</w:t>
            </w:r>
          </w:p>
        </w:tc>
        <w:tc>
          <w:tcPr>
            <w:tcW w:w="0" w:type="auto"/>
            <w:hideMark/>
          </w:tcPr>
          <w:p w14:paraId="1BC4DF0A"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35 (46.7%)</w:t>
            </w:r>
          </w:p>
        </w:tc>
        <w:tc>
          <w:tcPr>
            <w:tcW w:w="0" w:type="auto"/>
            <w:hideMark/>
          </w:tcPr>
          <w:p w14:paraId="6AAD319C"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 (34.6%)</w:t>
            </w:r>
          </w:p>
        </w:tc>
        <w:tc>
          <w:tcPr>
            <w:tcW w:w="0" w:type="auto"/>
            <w:hideMark/>
          </w:tcPr>
          <w:p w14:paraId="1155299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2897902A" w14:textId="77777777" w:rsidTr="004D2CFB">
        <w:tc>
          <w:tcPr>
            <w:tcW w:w="0" w:type="auto"/>
            <w:vMerge/>
            <w:hideMark/>
          </w:tcPr>
          <w:p w14:paraId="61065DF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4C50456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Overweight (25-29.9)</w:t>
            </w:r>
          </w:p>
        </w:tc>
        <w:tc>
          <w:tcPr>
            <w:tcW w:w="0" w:type="auto"/>
            <w:hideMark/>
          </w:tcPr>
          <w:p w14:paraId="3E83EE8A"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26 (34.7%)</w:t>
            </w:r>
          </w:p>
        </w:tc>
        <w:tc>
          <w:tcPr>
            <w:tcW w:w="0" w:type="auto"/>
            <w:hideMark/>
          </w:tcPr>
          <w:p w14:paraId="666307B6"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15 (28.8%)</w:t>
            </w:r>
          </w:p>
        </w:tc>
        <w:tc>
          <w:tcPr>
            <w:tcW w:w="0" w:type="auto"/>
            <w:hideMark/>
          </w:tcPr>
          <w:p w14:paraId="002BBA52"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22F8AE76" w14:textId="77777777" w:rsidTr="004D2CFB">
        <w:tc>
          <w:tcPr>
            <w:tcW w:w="0" w:type="auto"/>
            <w:vMerge/>
            <w:hideMark/>
          </w:tcPr>
          <w:p w14:paraId="598273D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7CA24256"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Obese (≥30.0)</w:t>
            </w:r>
          </w:p>
        </w:tc>
        <w:tc>
          <w:tcPr>
            <w:tcW w:w="0" w:type="auto"/>
            <w:hideMark/>
          </w:tcPr>
          <w:p w14:paraId="77D7D187" w14:textId="2FC6F7AF"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11 (14.7%)</w:t>
            </w:r>
          </w:p>
        </w:tc>
        <w:tc>
          <w:tcPr>
            <w:tcW w:w="0" w:type="auto"/>
            <w:hideMark/>
          </w:tcPr>
          <w:p w14:paraId="2D8E24A6" w14:textId="665E57BA" w:rsidR="004D2CFB" w:rsidRPr="00315FE1" w:rsidRDefault="00A26069" w:rsidP="007E66D0">
            <w:pPr>
              <w:spacing w:before="100" w:beforeAutospacing="1" w:after="100" w:afterAutospacing="1"/>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13 </w:t>
            </w:r>
            <w:r w:rsidR="004D2CFB" w:rsidRPr="00315FE1">
              <w:rPr>
                <w:rFonts w:ascii="Arial" w:eastAsia="Times New Roman" w:hAnsi="Arial" w:cs="Arial"/>
                <w:sz w:val="20"/>
                <w:szCs w:val="20"/>
                <w:lang w:eastAsia="fr-FR"/>
              </w:rPr>
              <w:t>(25.0%)</w:t>
            </w:r>
          </w:p>
        </w:tc>
        <w:tc>
          <w:tcPr>
            <w:tcW w:w="0" w:type="auto"/>
            <w:hideMark/>
          </w:tcPr>
          <w:p w14:paraId="4120D0D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248BD24A" w14:textId="77777777" w:rsidTr="004D2CFB">
        <w:tc>
          <w:tcPr>
            <w:tcW w:w="0" w:type="auto"/>
            <w:vMerge w:val="restart"/>
            <w:hideMark/>
          </w:tcPr>
          <w:p w14:paraId="39499CFD" w14:textId="77777777" w:rsidR="004D2CFB" w:rsidRDefault="004D2CFB" w:rsidP="007E66D0">
            <w:pPr>
              <w:spacing w:before="100" w:beforeAutospacing="1" w:after="100" w:afterAutospacing="1"/>
              <w:jc w:val="both"/>
              <w:rPr>
                <w:rFonts w:ascii="Arial" w:eastAsia="Times New Roman" w:hAnsi="Arial" w:cs="Arial"/>
                <w:b/>
                <w:bCs/>
                <w:sz w:val="20"/>
                <w:szCs w:val="20"/>
                <w:lang w:eastAsia="fr-FR"/>
              </w:rPr>
            </w:pPr>
          </w:p>
          <w:p w14:paraId="5818719F"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Body Fat Index, n (%)</w:t>
            </w:r>
          </w:p>
        </w:tc>
        <w:tc>
          <w:tcPr>
            <w:tcW w:w="0" w:type="auto"/>
            <w:hideMark/>
          </w:tcPr>
          <w:p w14:paraId="3CCBC730"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70A561E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3A93F6C"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EF2D2BF"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&lt;0.001</w:t>
            </w:r>
          </w:p>
        </w:tc>
      </w:tr>
      <w:tr w:rsidR="004D2CFB" w:rsidRPr="00315FE1" w14:paraId="148517F5" w14:textId="77777777" w:rsidTr="004D2CFB">
        <w:tc>
          <w:tcPr>
            <w:tcW w:w="0" w:type="auto"/>
            <w:vMerge/>
            <w:hideMark/>
          </w:tcPr>
          <w:p w14:paraId="230F1FC0"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641CB70"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Low</w:t>
            </w:r>
          </w:p>
        </w:tc>
        <w:tc>
          <w:tcPr>
            <w:tcW w:w="0" w:type="auto"/>
            <w:hideMark/>
          </w:tcPr>
          <w:p w14:paraId="7526547C"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26 (34.7%)</w:t>
            </w:r>
          </w:p>
        </w:tc>
        <w:tc>
          <w:tcPr>
            <w:tcW w:w="0" w:type="auto"/>
            <w:hideMark/>
          </w:tcPr>
          <w:p w14:paraId="5A84203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 (1.9%)</w:t>
            </w:r>
          </w:p>
        </w:tc>
        <w:tc>
          <w:tcPr>
            <w:tcW w:w="0" w:type="auto"/>
            <w:hideMark/>
          </w:tcPr>
          <w:p w14:paraId="19D4D1E6"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316C20E0" w14:textId="77777777" w:rsidTr="004D2CFB">
        <w:tc>
          <w:tcPr>
            <w:tcW w:w="0" w:type="auto"/>
            <w:vMerge/>
            <w:hideMark/>
          </w:tcPr>
          <w:p w14:paraId="50F4DCB5"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CC3E94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Normal</w:t>
            </w:r>
          </w:p>
        </w:tc>
        <w:tc>
          <w:tcPr>
            <w:tcW w:w="0" w:type="auto"/>
            <w:hideMark/>
          </w:tcPr>
          <w:p w14:paraId="62D8A38D"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36 (48.0%)</w:t>
            </w:r>
          </w:p>
        </w:tc>
        <w:tc>
          <w:tcPr>
            <w:tcW w:w="0" w:type="auto"/>
            <w:hideMark/>
          </w:tcPr>
          <w:p w14:paraId="2C074DDD"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21 (40.4%)</w:t>
            </w:r>
          </w:p>
        </w:tc>
        <w:tc>
          <w:tcPr>
            <w:tcW w:w="0" w:type="auto"/>
            <w:hideMark/>
          </w:tcPr>
          <w:p w14:paraId="2F42D181"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56FFC78E" w14:textId="77777777" w:rsidTr="004D2CFB">
        <w:tc>
          <w:tcPr>
            <w:tcW w:w="0" w:type="auto"/>
            <w:vMerge/>
            <w:hideMark/>
          </w:tcPr>
          <w:p w14:paraId="1C35F124"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C70BBA8"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High</w:t>
            </w:r>
          </w:p>
        </w:tc>
        <w:tc>
          <w:tcPr>
            <w:tcW w:w="0" w:type="auto"/>
            <w:hideMark/>
          </w:tcPr>
          <w:p w14:paraId="6BDC041B" w14:textId="6DDD8451"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13 (17.3%)</w:t>
            </w:r>
          </w:p>
        </w:tc>
        <w:tc>
          <w:tcPr>
            <w:tcW w:w="0" w:type="auto"/>
            <w:hideMark/>
          </w:tcPr>
          <w:p w14:paraId="7296651C" w14:textId="30512CDA"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30 (57.7%)</w:t>
            </w:r>
          </w:p>
        </w:tc>
        <w:tc>
          <w:tcPr>
            <w:tcW w:w="0" w:type="auto"/>
            <w:hideMark/>
          </w:tcPr>
          <w:p w14:paraId="0EB1D331"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298D4D32" w14:textId="77777777" w:rsidTr="004D2CFB">
        <w:tc>
          <w:tcPr>
            <w:tcW w:w="0" w:type="auto"/>
            <w:hideMark/>
          </w:tcPr>
          <w:p w14:paraId="2D977AB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Visceral Obesity (Level ≥10), n (%)</w:t>
            </w:r>
          </w:p>
        </w:tc>
        <w:tc>
          <w:tcPr>
            <w:tcW w:w="0" w:type="auto"/>
            <w:hideMark/>
          </w:tcPr>
          <w:p w14:paraId="274C6A9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Yes</w:t>
            </w:r>
          </w:p>
        </w:tc>
        <w:tc>
          <w:tcPr>
            <w:tcW w:w="0" w:type="auto"/>
            <w:hideMark/>
          </w:tcPr>
          <w:p w14:paraId="39A1289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27 (36.0%)</w:t>
            </w:r>
          </w:p>
        </w:tc>
        <w:tc>
          <w:tcPr>
            <w:tcW w:w="0" w:type="auto"/>
            <w:hideMark/>
          </w:tcPr>
          <w:p w14:paraId="769E587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23 (44.2%)</w:t>
            </w:r>
          </w:p>
        </w:tc>
        <w:tc>
          <w:tcPr>
            <w:tcW w:w="0" w:type="auto"/>
            <w:hideMark/>
          </w:tcPr>
          <w:p w14:paraId="33B45E2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0.34</w:t>
            </w:r>
          </w:p>
        </w:tc>
      </w:tr>
      <w:tr w:rsidR="004D2CFB" w:rsidRPr="00315FE1" w14:paraId="6DE891E1" w14:textId="77777777" w:rsidTr="004D2CFB">
        <w:tc>
          <w:tcPr>
            <w:tcW w:w="0" w:type="auto"/>
            <w:vMerge w:val="restart"/>
            <w:hideMark/>
          </w:tcPr>
          <w:p w14:paraId="2CD74C22"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Protein Index, n (%)</w:t>
            </w:r>
          </w:p>
        </w:tc>
        <w:tc>
          <w:tcPr>
            <w:tcW w:w="0" w:type="auto"/>
            <w:hideMark/>
          </w:tcPr>
          <w:p w14:paraId="5A908D71"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768F00C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71D3B70"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77E289A"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76B00A1C" w14:textId="77777777" w:rsidTr="004D2CFB">
        <w:tc>
          <w:tcPr>
            <w:tcW w:w="0" w:type="auto"/>
            <w:vMerge/>
            <w:hideMark/>
          </w:tcPr>
          <w:p w14:paraId="0E31613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76A89C4"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Low (&lt;10%)</w:t>
            </w:r>
          </w:p>
        </w:tc>
        <w:tc>
          <w:tcPr>
            <w:tcW w:w="0" w:type="auto"/>
            <w:hideMark/>
          </w:tcPr>
          <w:p w14:paraId="6D33EC6E"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35 (46.7%)</w:t>
            </w:r>
          </w:p>
        </w:tc>
        <w:tc>
          <w:tcPr>
            <w:tcW w:w="0" w:type="auto"/>
            <w:hideMark/>
          </w:tcPr>
          <w:p w14:paraId="7C023C0E"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24 (46.2%)</w:t>
            </w:r>
          </w:p>
        </w:tc>
        <w:tc>
          <w:tcPr>
            <w:tcW w:w="0" w:type="auto"/>
            <w:hideMark/>
          </w:tcPr>
          <w:p w14:paraId="7CC6EE4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0.95</w:t>
            </w:r>
          </w:p>
        </w:tc>
      </w:tr>
      <w:tr w:rsidR="004D2CFB" w:rsidRPr="00315FE1" w14:paraId="6F77BBAD" w14:textId="77777777" w:rsidTr="004D2CFB">
        <w:tc>
          <w:tcPr>
            <w:tcW w:w="0" w:type="auto"/>
            <w:vMerge/>
            <w:hideMark/>
          </w:tcPr>
          <w:p w14:paraId="5A80B8CD"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73E683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Normal (≥10%)</w:t>
            </w:r>
          </w:p>
        </w:tc>
        <w:tc>
          <w:tcPr>
            <w:tcW w:w="0" w:type="auto"/>
            <w:hideMark/>
          </w:tcPr>
          <w:p w14:paraId="5030D45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40 (53.3%)</w:t>
            </w:r>
          </w:p>
        </w:tc>
        <w:tc>
          <w:tcPr>
            <w:tcW w:w="0" w:type="auto"/>
            <w:hideMark/>
          </w:tcPr>
          <w:p w14:paraId="7C4F80BF"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28 (53.8%)</w:t>
            </w:r>
          </w:p>
        </w:tc>
        <w:tc>
          <w:tcPr>
            <w:tcW w:w="0" w:type="auto"/>
            <w:hideMark/>
          </w:tcPr>
          <w:p w14:paraId="110B097D"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bl>
    <w:p w14:paraId="5F67CFAF"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3.3. Biochemical correlates of poor dietary quality</w:t>
      </w:r>
    </w:p>
    <w:p w14:paraId="2C9765E2" w14:textId="0FCF67F4" w:rsidR="00315FE1" w:rsidRPr="001276D4" w:rsidRDefault="00315FE1" w:rsidP="00315FE1">
      <w:pPr>
        <w:spacing w:before="100" w:beforeAutospacing="1" w:after="100" w:afterAutospacing="1"/>
        <w:jc w:val="both"/>
        <w:rPr>
          <w:rFonts w:ascii="Arial" w:hAnsi="Arial" w:cs="Arial"/>
          <w:color w:val="FF0000"/>
          <w:lang w:eastAsia="fr-FR"/>
        </w:rPr>
      </w:pPr>
      <w:r w:rsidRPr="00315FE1">
        <w:rPr>
          <w:rFonts w:ascii="Arial" w:hAnsi="Arial" w:cs="Arial"/>
          <w:lang w:eastAsia="fr-FR"/>
        </w:rPr>
        <w:t xml:space="preserve">The functional impact of diet quality was confirmed through biochemical analysis. As detailed in Table 3, patients with a low Dietary Diversity Score (SDA ≤ 4) exhibited significantly lower mean concentrations of both prealbumin (0.20 g/L vs. 0.24 g/L, p&lt;0.05) and albumin (42.8 g/L vs. 46.1 g/L, p&lt;0.05) compared to those with high dietary diversity. Furthermore, a low SDA was strongly associated with a state of metabolic </w:t>
      </w:r>
      <w:proofErr w:type="gramStart"/>
      <w:r w:rsidRPr="00315FE1">
        <w:rPr>
          <w:rFonts w:ascii="Arial" w:hAnsi="Arial" w:cs="Arial"/>
          <w:lang w:eastAsia="fr-FR"/>
        </w:rPr>
        <w:t>stress :</w:t>
      </w:r>
      <w:proofErr w:type="gramEnd"/>
      <w:r w:rsidRPr="00315FE1">
        <w:rPr>
          <w:rFonts w:ascii="Arial" w:hAnsi="Arial" w:cs="Arial"/>
          <w:lang w:eastAsia="fr-FR"/>
        </w:rPr>
        <w:t xml:space="preserve"> these patients had significantly lower serum folate levels (8.9 ng/mL vs. 14.2 ng/mL, p&lt;0.01) and, consequently, significantly higher levels of homocysteine (14.5 µmol/L vs. 10.8 µmol/L, p&lt;0.01).</w:t>
      </w:r>
      <w:r w:rsidR="001276D4">
        <w:rPr>
          <w:rFonts w:ascii="Arial" w:hAnsi="Arial" w:cs="Arial"/>
          <w:color w:val="FF0000"/>
          <w:lang w:eastAsia="fr-FR"/>
        </w:rPr>
        <w:t xml:space="preserve"> While in table 3 you again analyzed all 4 parameters in your total study population. Your conclusion is about your total study population. It shed no light on the dietary habits of different BMI, </w:t>
      </w:r>
      <w:r w:rsidR="00D75365">
        <w:rPr>
          <w:rFonts w:ascii="Arial" w:hAnsi="Arial" w:cs="Arial"/>
          <w:color w:val="FF0000"/>
          <w:lang w:eastAsia="fr-FR"/>
        </w:rPr>
        <w:t xml:space="preserve">Visceral obesity and low protein index groups. You shall compare and contrast these diatary habits and folate and homocystine values on viscerally obese and non-obese group and normal vs. low protein index groups. Only then you can relate low dietary diversity with sarcopenia, obesity and high visceral fat.  </w:t>
      </w:r>
      <w:r w:rsidR="001276D4">
        <w:rPr>
          <w:rFonts w:ascii="Arial" w:hAnsi="Arial" w:cs="Arial"/>
          <w:color w:val="FF0000"/>
          <w:lang w:eastAsia="fr-FR"/>
        </w:rPr>
        <w:t xml:space="preserve">  </w:t>
      </w:r>
    </w:p>
    <w:p w14:paraId="472C6BDD"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b/>
          <w:bCs/>
          <w:lang w:eastAsia="fr-FR"/>
        </w:rPr>
        <w:t xml:space="preserve">Table </w:t>
      </w:r>
      <w:proofErr w:type="gramStart"/>
      <w:r w:rsidRPr="00315FE1">
        <w:rPr>
          <w:rFonts w:ascii="Arial" w:hAnsi="Arial" w:cs="Arial"/>
          <w:b/>
          <w:bCs/>
          <w:lang w:eastAsia="fr-FR"/>
        </w:rPr>
        <w:t>3 :</w:t>
      </w:r>
      <w:proofErr w:type="gramEnd"/>
      <w:r w:rsidRPr="00315FE1">
        <w:rPr>
          <w:rFonts w:ascii="Arial" w:hAnsi="Arial" w:cs="Arial"/>
          <w:b/>
          <w:bCs/>
          <w:lang w:eastAsia="fr-FR"/>
        </w:rPr>
        <w:t xml:space="preserve"> Association between dietary diversity score (sda) and key biochemical markers (N=127)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460"/>
        <w:gridCol w:w="2504"/>
        <w:gridCol w:w="917"/>
      </w:tblGrid>
      <w:tr w:rsidR="00315FE1" w:rsidRPr="00315FE1" w14:paraId="6AEC4978" w14:textId="77777777" w:rsidTr="0068517B">
        <w:tc>
          <w:tcPr>
            <w:tcW w:w="0" w:type="auto"/>
            <w:hideMark/>
          </w:tcPr>
          <w:p w14:paraId="0E32D22F"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Biochemical Marker</w:t>
            </w:r>
          </w:p>
        </w:tc>
        <w:tc>
          <w:tcPr>
            <w:tcW w:w="0" w:type="auto"/>
            <w:hideMark/>
          </w:tcPr>
          <w:p w14:paraId="4EB600D5"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Low Diversity (SDA ≤ 4)</w:t>
            </w:r>
          </w:p>
        </w:tc>
        <w:tc>
          <w:tcPr>
            <w:tcW w:w="0" w:type="auto"/>
            <w:hideMark/>
          </w:tcPr>
          <w:p w14:paraId="374AC837"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High Diversity (SDA ≥ 7)</w:t>
            </w:r>
          </w:p>
        </w:tc>
        <w:tc>
          <w:tcPr>
            <w:tcW w:w="0" w:type="auto"/>
            <w:hideMark/>
          </w:tcPr>
          <w:p w14:paraId="4AEFC1D8"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w:t>
            </w:r>
          </w:p>
        </w:tc>
      </w:tr>
      <w:tr w:rsidR="00315FE1" w:rsidRPr="00315FE1" w14:paraId="4461A7EC" w14:textId="77777777" w:rsidTr="0068517B">
        <w:tc>
          <w:tcPr>
            <w:tcW w:w="0" w:type="auto"/>
            <w:hideMark/>
          </w:tcPr>
          <w:p w14:paraId="05CB5DCF"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5DA802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(Mean ± SD)</w:t>
            </w:r>
          </w:p>
        </w:tc>
        <w:tc>
          <w:tcPr>
            <w:tcW w:w="0" w:type="auto"/>
            <w:hideMark/>
          </w:tcPr>
          <w:p w14:paraId="0A741E1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(Mean ± SD)</w:t>
            </w:r>
          </w:p>
        </w:tc>
        <w:tc>
          <w:tcPr>
            <w:tcW w:w="0" w:type="auto"/>
            <w:hideMark/>
          </w:tcPr>
          <w:p w14:paraId="23B3D0E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57502A0C" w14:textId="77777777" w:rsidTr="0068517B">
        <w:tc>
          <w:tcPr>
            <w:tcW w:w="0" w:type="auto"/>
            <w:hideMark/>
          </w:tcPr>
          <w:p w14:paraId="7173F48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Protein Status Markers</w:t>
            </w:r>
          </w:p>
        </w:tc>
        <w:tc>
          <w:tcPr>
            <w:tcW w:w="0" w:type="auto"/>
            <w:hideMark/>
          </w:tcPr>
          <w:p w14:paraId="0879D40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44C83F3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12D70E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7BFB4A65" w14:textId="77777777" w:rsidTr="0068517B">
        <w:tc>
          <w:tcPr>
            <w:tcW w:w="0" w:type="auto"/>
            <w:hideMark/>
          </w:tcPr>
          <w:p w14:paraId="396A050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Prealbumin (g/L)</w:t>
            </w:r>
          </w:p>
        </w:tc>
        <w:tc>
          <w:tcPr>
            <w:tcW w:w="0" w:type="auto"/>
            <w:hideMark/>
          </w:tcPr>
          <w:p w14:paraId="33506C6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0.20 ± 0.05</w:t>
            </w:r>
          </w:p>
        </w:tc>
        <w:tc>
          <w:tcPr>
            <w:tcW w:w="0" w:type="auto"/>
            <w:hideMark/>
          </w:tcPr>
          <w:p w14:paraId="2F5BC3D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0.24 ± 0.06</w:t>
            </w:r>
          </w:p>
        </w:tc>
        <w:tc>
          <w:tcPr>
            <w:tcW w:w="0" w:type="auto"/>
            <w:hideMark/>
          </w:tcPr>
          <w:p w14:paraId="6E743AA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r>
      <w:tr w:rsidR="00315FE1" w:rsidRPr="00315FE1" w14:paraId="73453AB4" w14:textId="77777777" w:rsidTr="0068517B">
        <w:tc>
          <w:tcPr>
            <w:tcW w:w="0" w:type="auto"/>
            <w:hideMark/>
          </w:tcPr>
          <w:p w14:paraId="7261FF3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Albumin (g/L)</w:t>
            </w:r>
          </w:p>
        </w:tc>
        <w:tc>
          <w:tcPr>
            <w:tcW w:w="0" w:type="auto"/>
            <w:hideMark/>
          </w:tcPr>
          <w:p w14:paraId="348820C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42.8 ± 5.1</w:t>
            </w:r>
          </w:p>
        </w:tc>
        <w:tc>
          <w:tcPr>
            <w:tcW w:w="0" w:type="auto"/>
            <w:hideMark/>
          </w:tcPr>
          <w:p w14:paraId="655DE5E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46.1 ± 4.8</w:t>
            </w:r>
          </w:p>
        </w:tc>
        <w:tc>
          <w:tcPr>
            <w:tcW w:w="0" w:type="auto"/>
            <w:hideMark/>
          </w:tcPr>
          <w:p w14:paraId="5E4AB66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r>
      <w:tr w:rsidR="00315FE1" w:rsidRPr="00315FE1" w14:paraId="57A58F15" w14:textId="77777777" w:rsidTr="0068517B">
        <w:tc>
          <w:tcPr>
            <w:tcW w:w="0" w:type="auto"/>
            <w:hideMark/>
          </w:tcPr>
          <w:p w14:paraId="41E9F3B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Vitamin and Metabolic Markers</w:t>
            </w:r>
          </w:p>
        </w:tc>
        <w:tc>
          <w:tcPr>
            <w:tcW w:w="0" w:type="auto"/>
            <w:hideMark/>
          </w:tcPr>
          <w:p w14:paraId="4736A12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5D0EC1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0AFE44E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2EEC723D" w14:textId="77777777" w:rsidTr="0068517B">
        <w:tc>
          <w:tcPr>
            <w:tcW w:w="0" w:type="auto"/>
            <w:hideMark/>
          </w:tcPr>
          <w:p w14:paraId="056EF19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Folate (Vitamin B9) (ng/mL)</w:t>
            </w:r>
          </w:p>
        </w:tc>
        <w:tc>
          <w:tcPr>
            <w:tcW w:w="0" w:type="auto"/>
            <w:hideMark/>
          </w:tcPr>
          <w:p w14:paraId="0C3638D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8.9 ± 3.1</w:t>
            </w:r>
          </w:p>
        </w:tc>
        <w:tc>
          <w:tcPr>
            <w:tcW w:w="0" w:type="auto"/>
            <w:hideMark/>
          </w:tcPr>
          <w:p w14:paraId="172E8E68"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14.2 ± 4.5</w:t>
            </w:r>
          </w:p>
        </w:tc>
        <w:tc>
          <w:tcPr>
            <w:tcW w:w="0" w:type="auto"/>
            <w:hideMark/>
          </w:tcPr>
          <w:p w14:paraId="7019F58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&lt;0.01</w:t>
            </w:r>
          </w:p>
        </w:tc>
      </w:tr>
      <w:tr w:rsidR="00315FE1" w:rsidRPr="00315FE1" w14:paraId="0ABD3AF0" w14:textId="77777777" w:rsidTr="0068517B">
        <w:tc>
          <w:tcPr>
            <w:tcW w:w="0" w:type="auto"/>
            <w:hideMark/>
          </w:tcPr>
          <w:p w14:paraId="3FE76B4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Homocysteine (µmol/L)</w:t>
            </w:r>
          </w:p>
        </w:tc>
        <w:tc>
          <w:tcPr>
            <w:tcW w:w="0" w:type="auto"/>
            <w:hideMark/>
          </w:tcPr>
          <w:p w14:paraId="2C0C13F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14.5 ± 3.9</w:t>
            </w:r>
          </w:p>
        </w:tc>
        <w:tc>
          <w:tcPr>
            <w:tcW w:w="0" w:type="auto"/>
            <w:hideMark/>
          </w:tcPr>
          <w:p w14:paraId="6667681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10.8 ± 2.7</w:t>
            </w:r>
          </w:p>
        </w:tc>
        <w:tc>
          <w:tcPr>
            <w:tcW w:w="0" w:type="auto"/>
            <w:hideMark/>
          </w:tcPr>
          <w:p w14:paraId="28100C8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&lt;0.01</w:t>
            </w:r>
          </w:p>
        </w:tc>
      </w:tr>
    </w:tbl>
    <w:p w14:paraId="188ABCE4"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3.4. Factors associated with helicobacter pylori infection</w:t>
      </w:r>
    </w:p>
    <w:p w14:paraId="1D7D370B"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Analysis of factors associated with </w:t>
      </w:r>
      <w:r w:rsidRPr="00315FE1">
        <w:rPr>
          <w:rFonts w:ascii="Arial" w:hAnsi="Arial" w:cs="Arial"/>
          <w:i/>
          <w:iCs/>
          <w:lang w:eastAsia="fr-FR"/>
        </w:rPr>
        <w:t>H. pylori</w:t>
      </w:r>
      <w:r w:rsidRPr="00315FE1">
        <w:rPr>
          <w:rFonts w:ascii="Arial" w:hAnsi="Arial" w:cs="Arial"/>
          <w:lang w:eastAsia="fr-FR"/>
        </w:rPr>
        <w:t xml:space="preserve"> status revealed that dietary habits and socioeconomic status were significant predictors. As shown in Table 4, regular fruit consumption (≥3 times/week) was significantly more common among </w:t>
      </w:r>
      <w:r w:rsidRPr="00315FE1">
        <w:rPr>
          <w:rFonts w:ascii="Arial" w:hAnsi="Arial" w:cs="Arial"/>
          <w:i/>
          <w:iCs/>
          <w:lang w:eastAsia="fr-FR"/>
        </w:rPr>
        <w:t>H. pylori</w:t>
      </w:r>
      <w:r w:rsidRPr="00315FE1">
        <w:rPr>
          <w:rFonts w:ascii="Arial" w:hAnsi="Arial" w:cs="Arial"/>
          <w:lang w:eastAsia="fr-FR"/>
        </w:rPr>
        <w:t xml:space="preserve">-negative patients (52.4%) compared to positive patients (33.3%, p&lt;0.05). In the multivariate model, this association remained significant, indicating a protective effect (OR = 0.42, 95% CI [0.19 - 0.93]). Conversely, having a low education level (primary school or not schooled) was identified as an independent risk factor for </w:t>
      </w:r>
      <w:r w:rsidRPr="00315FE1">
        <w:rPr>
          <w:rFonts w:ascii="Arial" w:hAnsi="Arial" w:cs="Arial"/>
          <w:i/>
          <w:iCs/>
          <w:lang w:eastAsia="fr-FR"/>
        </w:rPr>
        <w:t>H. pylori</w:t>
      </w:r>
      <w:r w:rsidRPr="00315FE1">
        <w:rPr>
          <w:rFonts w:ascii="Arial" w:hAnsi="Arial" w:cs="Arial"/>
          <w:lang w:eastAsia="fr-FR"/>
        </w:rPr>
        <w:t xml:space="preserve"> infection (OR = 2.85, 95% CI [1.21 - 6.71]).</w:t>
      </w:r>
    </w:p>
    <w:p w14:paraId="67B56E05"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b/>
          <w:bCs/>
          <w:lang w:eastAsia="fr-FR"/>
        </w:rPr>
        <w:t xml:space="preserve">Table 4: Factors associated with </w:t>
      </w:r>
      <w:r w:rsidRPr="00315FE1">
        <w:rPr>
          <w:rFonts w:ascii="Arial" w:hAnsi="Arial" w:cs="Arial"/>
          <w:b/>
          <w:bCs/>
          <w:i/>
          <w:iCs/>
          <w:lang w:eastAsia="fr-FR"/>
        </w:rPr>
        <w:t>helicobacter pylori</w:t>
      </w:r>
      <w:r w:rsidRPr="00315FE1">
        <w:rPr>
          <w:rFonts w:ascii="Arial" w:hAnsi="Arial" w:cs="Arial"/>
          <w:b/>
          <w:bCs/>
          <w:lang w:eastAsia="fr-FR"/>
        </w:rPr>
        <w:t xml:space="preserve"> infection (N=127)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1793"/>
        <w:gridCol w:w="1860"/>
        <w:gridCol w:w="1601"/>
        <w:gridCol w:w="3010"/>
      </w:tblGrid>
      <w:tr w:rsidR="00315FE1" w:rsidRPr="00315FE1" w14:paraId="62AB8CBB" w14:textId="77777777" w:rsidTr="0068517B">
        <w:tc>
          <w:tcPr>
            <w:tcW w:w="0" w:type="auto"/>
            <w:hideMark/>
          </w:tcPr>
          <w:p w14:paraId="364AAB88"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Variable</w:t>
            </w:r>
          </w:p>
        </w:tc>
        <w:tc>
          <w:tcPr>
            <w:tcW w:w="0" w:type="auto"/>
            <w:hideMark/>
          </w:tcPr>
          <w:p w14:paraId="69A34197"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Positive (n=45)</w:t>
            </w:r>
          </w:p>
        </w:tc>
        <w:tc>
          <w:tcPr>
            <w:tcW w:w="0" w:type="auto"/>
            <w:hideMark/>
          </w:tcPr>
          <w:p w14:paraId="37183F1C"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Negative (n=82)</w:t>
            </w:r>
          </w:p>
        </w:tc>
        <w:tc>
          <w:tcPr>
            <w:tcW w:w="0" w:type="auto"/>
            <w:hideMark/>
          </w:tcPr>
          <w:p w14:paraId="3839D550"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 (Bivariate)</w:t>
            </w:r>
          </w:p>
        </w:tc>
        <w:tc>
          <w:tcPr>
            <w:tcW w:w="0" w:type="auto"/>
            <w:hideMark/>
          </w:tcPr>
          <w:p w14:paraId="1DB9241F"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Adjusted Odds Ratio (95% CI) (Multivariate)</w:t>
            </w:r>
          </w:p>
        </w:tc>
      </w:tr>
      <w:tr w:rsidR="00315FE1" w:rsidRPr="00315FE1" w14:paraId="7CB7B8A7" w14:textId="77777777" w:rsidTr="0068517B">
        <w:tc>
          <w:tcPr>
            <w:tcW w:w="0" w:type="auto"/>
            <w:hideMark/>
          </w:tcPr>
          <w:p w14:paraId="6A42C91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Fruit Consumption (≥3/week), n (%)</w:t>
            </w:r>
          </w:p>
        </w:tc>
        <w:tc>
          <w:tcPr>
            <w:tcW w:w="0" w:type="auto"/>
            <w:hideMark/>
          </w:tcPr>
          <w:p w14:paraId="1F2A159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15 (33.3%)</w:t>
            </w:r>
          </w:p>
        </w:tc>
        <w:tc>
          <w:tcPr>
            <w:tcW w:w="0" w:type="auto"/>
            <w:hideMark/>
          </w:tcPr>
          <w:p w14:paraId="2C8AC9E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 (52.4%)</w:t>
            </w:r>
          </w:p>
        </w:tc>
        <w:tc>
          <w:tcPr>
            <w:tcW w:w="0" w:type="auto"/>
            <w:hideMark/>
          </w:tcPr>
          <w:p w14:paraId="636F5A8F"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c>
          <w:tcPr>
            <w:tcW w:w="0" w:type="auto"/>
            <w:hideMark/>
          </w:tcPr>
          <w:p w14:paraId="41F2050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0.42 [0.19 - 0.93]</w:t>
            </w:r>
          </w:p>
        </w:tc>
      </w:tr>
      <w:tr w:rsidR="00315FE1" w:rsidRPr="00315FE1" w14:paraId="0C3BFE98" w14:textId="77777777" w:rsidTr="0068517B">
        <w:tc>
          <w:tcPr>
            <w:tcW w:w="0" w:type="auto"/>
            <w:hideMark/>
          </w:tcPr>
          <w:p w14:paraId="2F33DA1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Education Level (Low vs. High), n (%)</w:t>
            </w:r>
          </w:p>
        </w:tc>
        <w:tc>
          <w:tcPr>
            <w:tcW w:w="0" w:type="auto"/>
            <w:hideMark/>
          </w:tcPr>
          <w:p w14:paraId="7341EB08"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 (40.0%)</w:t>
            </w:r>
          </w:p>
        </w:tc>
        <w:tc>
          <w:tcPr>
            <w:tcW w:w="0" w:type="auto"/>
            <w:hideMark/>
          </w:tcPr>
          <w:p w14:paraId="42E293D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21 (25.6%)</w:t>
            </w:r>
          </w:p>
        </w:tc>
        <w:tc>
          <w:tcPr>
            <w:tcW w:w="0" w:type="auto"/>
            <w:hideMark/>
          </w:tcPr>
          <w:p w14:paraId="094E2B0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c>
          <w:tcPr>
            <w:tcW w:w="0" w:type="auto"/>
            <w:hideMark/>
          </w:tcPr>
          <w:p w14:paraId="16D5341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2.85 [1.21 - 6.71]</w:t>
            </w:r>
          </w:p>
        </w:tc>
      </w:tr>
      <w:tr w:rsidR="00315FE1" w:rsidRPr="00315FE1" w14:paraId="6279C715" w14:textId="77777777" w:rsidTr="0068517B">
        <w:tc>
          <w:tcPr>
            <w:tcW w:w="0" w:type="auto"/>
            <w:hideMark/>
          </w:tcPr>
          <w:p w14:paraId="74A2D57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Alcohol Consumption, n (%)</w:t>
            </w:r>
          </w:p>
        </w:tc>
        <w:tc>
          <w:tcPr>
            <w:tcW w:w="0" w:type="auto"/>
            <w:hideMark/>
          </w:tcPr>
          <w:p w14:paraId="25E37A8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24 (53.3%)</w:t>
            </w:r>
          </w:p>
        </w:tc>
        <w:tc>
          <w:tcPr>
            <w:tcW w:w="0" w:type="auto"/>
            <w:hideMark/>
          </w:tcPr>
          <w:p w14:paraId="22DFD66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(35.4%)</w:t>
            </w:r>
          </w:p>
        </w:tc>
        <w:tc>
          <w:tcPr>
            <w:tcW w:w="0" w:type="auto"/>
            <w:hideMark/>
          </w:tcPr>
          <w:p w14:paraId="0031B71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0.06</w:t>
            </w:r>
          </w:p>
        </w:tc>
        <w:tc>
          <w:tcPr>
            <w:tcW w:w="0" w:type="auto"/>
            <w:hideMark/>
          </w:tcPr>
          <w:p w14:paraId="0E4AB12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1.51 [0.68 - 3.35]</w:t>
            </w:r>
          </w:p>
        </w:tc>
      </w:tr>
      <w:tr w:rsidR="00315FE1" w:rsidRPr="00315FE1" w14:paraId="0DA06817" w14:textId="77777777" w:rsidTr="0068517B">
        <w:tc>
          <w:tcPr>
            <w:tcW w:w="0" w:type="auto"/>
            <w:hideMark/>
          </w:tcPr>
          <w:p w14:paraId="74D74A2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Low Protein Index, n (%)</w:t>
            </w:r>
          </w:p>
        </w:tc>
        <w:tc>
          <w:tcPr>
            <w:tcW w:w="0" w:type="auto"/>
            <w:hideMark/>
          </w:tcPr>
          <w:p w14:paraId="024477D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25 (55.6%)</w:t>
            </w:r>
          </w:p>
        </w:tc>
        <w:tc>
          <w:tcPr>
            <w:tcW w:w="0" w:type="auto"/>
            <w:hideMark/>
          </w:tcPr>
          <w:p w14:paraId="17B6131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34 (41.5%)</w:t>
            </w:r>
          </w:p>
        </w:tc>
        <w:tc>
          <w:tcPr>
            <w:tcW w:w="0" w:type="auto"/>
            <w:hideMark/>
          </w:tcPr>
          <w:p w14:paraId="3F07956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0.12</w:t>
            </w:r>
          </w:p>
        </w:tc>
        <w:tc>
          <w:tcPr>
            <w:tcW w:w="0" w:type="auto"/>
            <w:hideMark/>
          </w:tcPr>
          <w:p w14:paraId="20FC644B"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1.89 [0.85 - 4.20]</w:t>
            </w:r>
          </w:p>
        </w:tc>
      </w:tr>
    </w:tbl>
    <w:p w14:paraId="5DC601D6" w14:textId="77777777" w:rsidR="00315FE1" w:rsidRPr="004952DC" w:rsidRDefault="00315FE1" w:rsidP="004952DC">
      <w:pPr>
        <w:pStyle w:val="Heading3"/>
        <w:jc w:val="right"/>
        <w:rPr>
          <w:rFonts w:ascii="Arial" w:hAnsi="Arial" w:cs="Arial"/>
          <w:b/>
          <w:color w:val="auto"/>
          <w:sz w:val="20"/>
          <w:szCs w:val="20"/>
        </w:rPr>
      </w:pPr>
      <w:r w:rsidRPr="004952DC">
        <w:rPr>
          <w:rStyle w:val="selected"/>
          <w:rFonts w:ascii="Arial" w:hAnsi="Arial" w:cs="Arial"/>
          <w:b/>
          <w:color w:val="auto"/>
          <w:sz w:val="20"/>
          <w:szCs w:val="20"/>
        </w:rPr>
        <w:lastRenderedPageBreak/>
        <w:t>4. DISCUSSION</w:t>
      </w:r>
    </w:p>
    <w:p w14:paraId="10415386"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This study, conducted in Lomé, Togo, uncovers a critical and largely overlooked dimension of gastroduodenal ulcer disease (GUD) within an urban West African context. The central finding is not merely the presence of malnutrition, but its paradoxical and pernicious nature : a high prevalence of sarcopenic obesity. This "double burden" (the concurrent excess of pathogenic visceral fat and a deficit of functional protein mass) suggests that GUD in this population is not simply a localized mucosal lesion but is intrinsically linked to a profound systemic metabolic dysregulation, a reality masked by conventional anthropometric measures such as BMI. Recent research increasingly highlights sarcopenic obesity as a distinct clinical entity that synergistically combines the risks of both sarcopenia and obesity, leading to heightened metabolic dysfunction and systemic inflammation [Perna et </w:t>
      </w:r>
      <w:proofErr w:type="gramStart"/>
      <w:r w:rsidRPr="00315FE1">
        <w:rPr>
          <w:rFonts w:ascii="Arial" w:hAnsi="Arial" w:cs="Arial"/>
          <w:sz w:val="20"/>
          <w:szCs w:val="20"/>
        </w:rPr>
        <w:t>al.,</w:t>
      </w:r>
      <w:proofErr w:type="gramEnd"/>
      <w:r w:rsidRPr="00315FE1">
        <w:rPr>
          <w:rFonts w:ascii="Arial" w:hAnsi="Arial" w:cs="Arial"/>
          <w:sz w:val="20"/>
          <w:szCs w:val="20"/>
        </w:rPr>
        <w:t xml:space="preserve"> 2022].</w:t>
      </w:r>
    </w:p>
    <w:p w14:paraId="352DFAEC" w14:textId="75F91D4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Our data reveal that nearly half of the cohort exhibited a low protein index, a finding indicative of low muscle mass (myopenia), which is the primary component of the sarcopenia definition, despite a majority presenting with a normal or overweight </w:t>
      </w:r>
      <w:smartTag w:uri="urn:schemas-microsoft-com:office:smarttags" w:element="stockticker">
        <w:r w:rsidRPr="00315FE1">
          <w:rPr>
            <w:rFonts w:ascii="Arial" w:hAnsi="Arial" w:cs="Arial"/>
            <w:sz w:val="20"/>
            <w:szCs w:val="20"/>
          </w:rPr>
          <w:t>BMI</w:t>
        </w:r>
      </w:smartTag>
      <w:r w:rsidRPr="00315FE1">
        <w:rPr>
          <w:rFonts w:ascii="Arial" w:hAnsi="Arial" w:cs="Arial"/>
          <w:sz w:val="20"/>
          <w:szCs w:val="20"/>
        </w:rPr>
        <w:t xml:space="preserve">. </w:t>
      </w:r>
      <w:r w:rsidR="009E26D0">
        <w:rPr>
          <w:rFonts w:ascii="Arial" w:hAnsi="Arial" w:cs="Arial"/>
          <w:color w:val="FF0000"/>
          <w:sz w:val="20"/>
          <w:szCs w:val="20"/>
        </w:rPr>
        <w:t>Hère you very rightly pointed out the evidence of sarcopenis in normal and overwight individuals whearas you did not analyse  it in your results presented in table 2. You should brought in international, afro specific and local figure for the comparison.</w:t>
      </w:r>
      <w:r w:rsidRPr="00315FE1">
        <w:rPr>
          <w:rFonts w:ascii="Arial" w:hAnsi="Arial" w:cs="Arial"/>
          <w:sz w:val="20"/>
          <w:szCs w:val="20"/>
        </w:rPr>
        <w:t>This finding is of paramount clinical importance. Sarcopenia represents a depletion of the body's primary protein reserves, which are indispensable for the anabolic processes of tissue repair. Effective ulcer healing is contingent upon robust cell proliferation, angiogenesis, and collagen synthesis, all of which are metabolically demanding processes that require an adequate supply of amino acids. A low protein status, confirmed here by significantly lower prealbumin and albumin levels in patients with poor dietary diversity, directly compromises the structural and functional integrity of the mucosal repair machinery, potentially leading to delayed healing, chronic ulceration, and an increased risk of complications. This is consistent with broader findings in surgical contexts, where sarcopenia is a robust predictor of impaired wound healing and increased postoperative complications</w:t>
      </w:r>
      <w:r w:rsidR="001070A5">
        <w:rPr>
          <w:rFonts w:ascii="Arial" w:hAnsi="Arial" w:cs="Arial"/>
          <w:color w:val="FF0000"/>
          <w:sz w:val="20"/>
          <w:szCs w:val="20"/>
        </w:rPr>
        <w:t>. Sarcopenia or evidence of low protein index is a definite risk factor for woung healing in general and for surgical wound healing inparticula, you could have brought more specific references abour peptic ulcer healing. This reference seems to be about surgical wound healing.</w:t>
      </w:r>
      <w:r w:rsidRPr="00315FE1">
        <w:rPr>
          <w:rFonts w:ascii="Arial" w:hAnsi="Arial" w:cs="Arial"/>
          <w:sz w:val="20"/>
          <w:szCs w:val="20"/>
        </w:rPr>
        <w:t xml:space="preserve"> [Barberis et </w:t>
      </w:r>
      <w:proofErr w:type="gramStart"/>
      <w:r w:rsidRPr="00315FE1">
        <w:rPr>
          <w:rFonts w:ascii="Arial" w:hAnsi="Arial" w:cs="Arial"/>
          <w:sz w:val="20"/>
          <w:szCs w:val="20"/>
        </w:rPr>
        <w:t>al.,</w:t>
      </w:r>
      <w:proofErr w:type="gramEnd"/>
      <w:r w:rsidRPr="00315FE1">
        <w:rPr>
          <w:rFonts w:ascii="Arial" w:hAnsi="Arial" w:cs="Arial"/>
          <w:sz w:val="20"/>
          <w:szCs w:val="20"/>
        </w:rPr>
        <w:t xml:space="preserve"> 2023].</w:t>
      </w:r>
    </w:p>
    <w:p w14:paraId="3FFFEEE6"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Compounding this catabolic state is the concurrent high prevalence of visceral obesity, observed in approximately 40% of our patients. Far from being an inert energy depot, visceral adipose tissue is a highly active endocrine organ that secretes a spectrum of pro-inflammatory adipokines, including tumor necrosis factor-alpha (TNF-α) and interleukin-6 (IL-6). This chronic, low-grade systemic inflammation, fueled by visceral adiposity, can logically be expected to exacerbate the local inflammatory infiltrate within the gastric mucosa, thereby perpetuating mucosal injury and counteracting healing efforts. The pathogenic activity of visceral fat is now understood to be a key driver in a multitude of metabolic diseases, creating a constant inflammatory background that can worsen localized pathologies [Kyrou et </w:t>
      </w:r>
      <w:proofErr w:type="gramStart"/>
      <w:r w:rsidRPr="00315FE1">
        <w:rPr>
          <w:rFonts w:ascii="Arial" w:hAnsi="Arial" w:cs="Arial"/>
          <w:sz w:val="20"/>
          <w:szCs w:val="20"/>
        </w:rPr>
        <w:t>al.,</w:t>
      </w:r>
      <w:proofErr w:type="gramEnd"/>
      <w:r w:rsidRPr="00315FE1">
        <w:rPr>
          <w:rFonts w:ascii="Arial" w:hAnsi="Arial" w:cs="Arial"/>
          <w:sz w:val="20"/>
          <w:szCs w:val="20"/>
        </w:rPr>
        <w:t xml:space="preserve"> 2018]. In the Togolese context, where the background prevalence of infectious triggers like </w:t>
      </w:r>
      <w:r w:rsidRPr="00315FE1">
        <w:rPr>
          <w:rFonts w:ascii="Arial" w:hAnsi="Arial" w:cs="Arial"/>
          <w:i/>
          <w:iCs/>
          <w:sz w:val="20"/>
          <w:szCs w:val="20"/>
        </w:rPr>
        <w:t>Helicobacter pylori</w:t>
      </w:r>
      <w:r w:rsidRPr="00315FE1">
        <w:rPr>
          <w:rFonts w:ascii="Arial" w:hAnsi="Arial" w:cs="Arial"/>
          <w:sz w:val="20"/>
          <w:szCs w:val="20"/>
        </w:rPr>
        <w:t xml:space="preserve"> is high, patients are consequently caught in a "triple threat": an infectious agent, systemic inflammation from visceral fat, and an impaired capacity for repair due to sarcopenia.</w:t>
      </w:r>
    </w:p>
    <w:p w14:paraId="587CCC1D"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Our biochemical analyses illuminate the functional consequences of the poor dietary quality observed in our cohort. The strong inverse correlation between a low Dietary Diversity Score (SDA) and elevated homocysteine levels, mediated by folate deficiency, unveils a critical metabolic pathway that further hinders recovery. Folate is an essential co-factor in the one-carbon metabolism pathway, responsible for the remethylation of homocysteine to methionine. A deficiency, driven by a low intake of folate-rich foods such as fruits and leafy greens—a characteristic of the "nutrition transition" toward processed foods in urban centers like Lomé—leads to hyperhomocysteinemia. This condition is a well-established independent risk factor for endothelial dysfunction and, crucially, is known to promote systemic oxidative stress. This state of heightened oxidative stress can directly impair vascular perfusion to the gastric mucosa, further compromising its defensive and regenerative capacity [Zhang et al., 2021]. The resulting increase in reactive oxygen species can inflict direct damage on the gastrointestinal mucosa and further deplete endogenous antioxidants, creating a vicious cycle of inflammation and oxidative damage that impairs mucosal defense and repair.</w:t>
      </w:r>
    </w:p>
    <w:p w14:paraId="46AF5737" w14:textId="0F5993DC" w:rsidR="00315FE1" w:rsidRPr="001070A5" w:rsidRDefault="00315FE1" w:rsidP="00315FE1">
      <w:pPr>
        <w:pStyle w:val="NormalWeb"/>
        <w:jc w:val="both"/>
        <w:rPr>
          <w:rFonts w:ascii="Arial" w:hAnsi="Arial" w:cs="Arial"/>
          <w:color w:val="FF0000"/>
          <w:sz w:val="20"/>
          <w:szCs w:val="20"/>
        </w:rPr>
      </w:pPr>
      <w:r w:rsidRPr="00315FE1">
        <w:rPr>
          <w:rFonts w:ascii="Arial" w:hAnsi="Arial" w:cs="Arial"/>
          <w:sz w:val="20"/>
          <w:szCs w:val="20"/>
        </w:rPr>
        <w:t xml:space="preserve">This study unequivocally demonstrates the inadequacy of BMI as a standalone tool for nutritional assessment in this patient population. The sarcopenic obesity phenotype, with its severe metabolic implications, was entirely concealed by this crude metric. This has profound implications for clinical practice in Togo and other African nations undergoing similar nutritional transitions. Relying on BMI alone may lead clinicians to overlook severe malnutrition in patients who appear well-nourished or overweight, thereby failing to implement critical nutritional interventions. Our findings advocate for a paradigm shift toward a more sophisticated and integrated assessment, incorporating body composition analysis—for which bioelectrical impedance analysis (BIA) is </w:t>
      </w:r>
      <w:proofErr w:type="gramStart"/>
      <w:r w:rsidRPr="00315FE1">
        <w:rPr>
          <w:rFonts w:ascii="Arial" w:hAnsi="Arial" w:cs="Arial"/>
          <w:sz w:val="20"/>
          <w:szCs w:val="20"/>
        </w:rPr>
        <w:t>a</w:t>
      </w:r>
      <w:proofErr w:type="gramEnd"/>
      <w:r w:rsidRPr="00315FE1">
        <w:rPr>
          <w:rFonts w:ascii="Arial" w:hAnsi="Arial" w:cs="Arial"/>
          <w:sz w:val="20"/>
          <w:szCs w:val="20"/>
        </w:rPr>
        <w:t xml:space="preserve"> feasible and non-invasive tool—and the measurement of key biochemical markers like prealbumin, folate, and homocysteine to unmask the true metabolic risk.</w:t>
      </w:r>
      <w:r w:rsidR="001070A5">
        <w:rPr>
          <w:rFonts w:ascii="Arial" w:hAnsi="Arial" w:cs="Arial"/>
          <w:color w:val="FF0000"/>
          <w:sz w:val="20"/>
          <w:szCs w:val="20"/>
        </w:rPr>
        <w:t xml:space="preserve"> Please bring in the </w:t>
      </w:r>
      <w:r w:rsidR="001070A5">
        <w:rPr>
          <w:rFonts w:ascii="Arial" w:hAnsi="Arial" w:cs="Arial"/>
          <w:color w:val="FF0000"/>
          <w:sz w:val="20"/>
          <w:szCs w:val="20"/>
        </w:rPr>
        <w:lastRenderedPageBreak/>
        <w:t>national, race specific and your region specific figures for the prevalence of sarcopenia and the relate it to your findings after reanalyzing the data as I have already pointed out.</w:t>
      </w:r>
    </w:p>
    <w:p w14:paraId="4FB1BB49"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Finally, the association between lower fruit consumption and </w:t>
      </w:r>
      <w:r w:rsidRPr="00315FE1">
        <w:rPr>
          <w:rFonts w:ascii="Arial" w:hAnsi="Arial" w:cs="Arial"/>
          <w:i/>
          <w:iCs/>
          <w:sz w:val="20"/>
          <w:szCs w:val="20"/>
        </w:rPr>
        <w:t>H. pylori</w:t>
      </w:r>
      <w:r w:rsidRPr="00315FE1">
        <w:rPr>
          <w:rFonts w:ascii="Arial" w:hAnsi="Arial" w:cs="Arial"/>
          <w:sz w:val="20"/>
          <w:szCs w:val="20"/>
        </w:rPr>
        <w:t xml:space="preserve"> positivity aligns with broader evidence suggesting a protective role for micronutrient-rich foods. Fruits and vegetables are primary sources of antioxidants, such as vitamin C, which have been shown to inhibit </w:t>
      </w:r>
      <w:r w:rsidRPr="00315FE1">
        <w:rPr>
          <w:rFonts w:ascii="Arial" w:hAnsi="Arial" w:cs="Arial"/>
          <w:i/>
          <w:iCs/>
          <w:sz w:val="20"/>
          <w:szCs w:val="20"/>
        </w:rPr>
        <w:t>H. pylori</w:t>
      </w:r>
      <w:r w:rsidRPr="00315FE1">
        <w:rPr>
          <w:rFonts w:ascii="Arial" w:hAnsi="Arial" w:cs="Arial"/>
          <w:sz w:val="20"/>
          <w:szCs w:val="20"/>
        </w:rPr>
        <w:t xml:space="preserve"> growth and mitigate its pathogenic effects by scavenging damaging free radicals. Recent large-scale analyses continue to support the observation that higher dietary intake of fruits is associated with a lower prevalence of </w:t>
      </w:r>
      <w:r w:rsidRPr="00315FE1">
        <w:rPr>
          <w:rFonts w:ascii="Arial" w:hAnsi="Arial" w:cs="Arial"/>
          <w:i/>
          <w:iCs/>
          <w:sz w:val="20"/>
          <w:szCs w:val="20"/>
        </w:rPr>
        <w:t>H. pylori</w:t>
      </w:r>
      <w:r w:rsidRPr="00315FE1">
        <w:rPr>
          <w:rFonts w:ascii="Arial" w:hAnsi="Arial" w:cs="Arial"/>
          <w:sz w:val="20"/>
          <w:szCs w:val="20"/>
        </w:rPr>
        <w:t xml:space="preserve"> infection, likely due to the combined effects of vitamins and other phytochemicals that modulate host inflammatory responses [Mendez et al., 2022]. The link between lower education and higher infection rates also underscores the role of socioeconomic determinants, which likely influence dietary quality, health literacy, and living conditions.</w:t>
      </w:r>
    </w:p>
    <w:p w14:paraId="706AC558" w14:textId="40400EC5" w:rsidR="00315FE1" w:rsidRPr="00B94A36" w:rsidRDefault="00315FE1" w:rsidP="00315FE1">
      <w:pPr>
        <w:pStyle w:val="NormalWeb"/>
        <w:jc w:val="both"/>
        <w:rPr>
          <w:rFonts w:ascii="Arial" w:hAnsi="Arial" w:cs="Arial"/>
          <w:color w:val="FF0000"/>
          <w:sz w:val="20"/>
          <w:szCs w:val="20"/>
        </w:rPr>
      </w:pPr>
      <w:r w:rsidRPr="00315FE1">
        <w:rPr>
          <w:rFonts w:ascii="Arial" w:hAnsi="Arial" w:cs="Arial"/>
          <w:sz w:val="20"/>
          <w:szCs w:val="20"/>
        </w:rPr>
        <w:t>These findings carry direct clinical implications. For GUD patients, especially those who appear overweight or obese according to BMI, clinicians should consider integrating BIA as a routine screening tool to unmask underlying sarcopenia. Furthermore, the strong association between poor dietary diversity, low prealbumin, and hyperhomocysteinemia suggests that a systematic nutritional assessment, coupled with counseling focused on increasing intake of protein and folate-rich foods (e.g., legumes, green leafy vegetables, fruits), should become a standard component of GUD management. Measuring serum homocysteine could also serve as a functional marker to monitor metabolic recovery in response to nutritional intervention.</w:t>
      </w:r>
      <w:r w:rsidR="00B94A36">
        <w:rPr>
          <w:rFonts w:ascii="Arial" w:hAnsi="Arial" w:cs="Arial"/>
          <w:sz w:val="20"/>
          <w:szCs w:val="20"/>
        </w:rPr>
        <w:t xml:space="preserve"> </w:t>
      </w:r>
      <w:r w:rsidR="00B94A36">
        <w:rPr>
          <w:rFonts w:ascii="Arial" w:hAnsi="Arial" w:cs="Arial"/>
          <w:color w:val="FF0000"/>
          <w:sz w:val="20"/>
          <w:szCs w:val="20"/>
        </w:rPr>
        <w:t>If you bring in the international or regeion specific data about the prevalence of GUD and compare it with your higher prevalence in malnourised or sarcopenic patients in contrast with your non sarcopenic patients, it would support your argument. Here again you need to rearrange your results.</w:t>
      </w:r>
    </w:p>
    <w:p w14:paraId="4B21BB67" w14:textId="77777777" w:rsidR="00315FE1" w:rsidRPr="00315FE1" w:rsidRDefault="00315FE1" w:rsidP="004952DC">
      <w:pPr>
        <w:pStyle w:val="NormalWeb"/>
        <w:jc w:val="right"/>
        <w:rPr>
          <w:rFonts w:ascii="Arial" w:hAnsi="Arial" w:cs="Arial"/>
          <w:sz w:val="20"/>
          <w:szCs w:val="20"/>
        </w:rPr>
      </w:pPr>
      <w:r w:rsidRPr="00315FE1">
        <w:rPr>
          <w:rStyle w:val="selected"/>
          <w:rFonts w:ascii="Arial" w:hAnsi="Arial" w:cs="Arial"/>
          <w:b/>
          <w:bCs/>
          <w:sz w:val="20"/>
          <w:szCs w:val="20"/>
        </w:rPr>
        <w:t>Strengths and limitations</w:t>
      </w:r>
    </w:p>
    <w:p w14:paraId="681F30C3" w14:textId="77777777" w:rsidR="00315FE1" w:rsidRPr="00315FE1" w:rsidRDefault="00315FE1" w:rsidP="00315FE1">
      <w:pPr>
        <w:pStyle w:val="NormalWeb"/>
        <w:jc w:val="both"/>
        <w:rPr>
          <w:rStyle w:val="selected"/>
          <w:rFonts w:ascii="Arial" w:hAnsi="Arial" w:cs="Arial"/>
          <w:sz w:val="20"/>
          <w:szCs w:val="20"/>
        </w:rPr>
      </w:pPr>
      <w:r w:rsidRPr="00315FE1">
        <w:rPr>
          <w:rStyle w:val="selected"/>
          <w:rFonts w:ascii="Arial" w:hAnsi="Arial" w:cs="Arial"/>
          <w:sz w:val="20"/>
          <w:szCs w:val="20"/>
        </w:rPr>
        <w:t>The primary strength of this study is its novel, integrated approach, combining detailed body composition analysis with specific biochemical markers to characterize the nutritional status of GUD patients in a previously under-researched Togolese setting. However, certain limitations must be acknowledged. The cross-sectional design precludes the establishment of causality ; we cannot determine whether the nutritional deficiencies are a cause or a consequence of the gastroduodenal pathology. Furthermore, as a single-center study in a tertiary hospital, the findings may not be fully generalizable to rural populations in Togo, where dietary patterns and nutritional challenges may differ.</w:t>
      </w:r>
    </w:p>
    <w:p w14:paraId="0F9E9A96"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Finally, our definition of sarcopenia was based solely on low muscle mass as estimated by BIA, without complementary measurements of muscle strength or physical performance, due to logistical constraints. While low muscle mass is a foundational component of sarcopenia, future studies incorporating functional tests are needed to confirm the prevalence of confirmed sarcopenia in this population</w:t>
      </w:r>
    </w:p>
    <w:p w14:paraId="529D15A1" w14:textId="77777777" w:rsidR="00B01FCD" w:rsidRDefault="00000F8F" w:rsidP="004952DC">
      <w:pPr>
        <w:pStyle w:val="ConcHead"/>
        <w:spacing w:after="0"/>
        <w:jc w:val="right"/>
        <w:rPr>
          <w:rFonts w:ascii="Arial" w:hAnsi="Arial" w:cs="Arial"/>
        </w:rPr>
      </w:pPr>
      <w:r>
        <w:rPr>
          <w:rFonts w:ascii="Arial" w:hAnsi="Arial" w:cs="Arial"/>
        </w:rPr>
        <w:t xml:space="preserve">4. </w:t>
      </w:r>
      <w:r w:rsidR="00B01FCD" w:rsidRPr="00FB3A86">
        <w:rPr>
          <w:rFonts w:ascii="Arial" w:hAnsi="Arial" w:cs="Arial"/>
        </w:rPr>
        <w:t>Conclusion</w:t>
      </w:r>
    </w:p>
    <w:p w14:paraId="6F53909C" w14:textId="77777777" w:rsidR="00315FE1" w:rsidRPr="00315FE1" w:rsidRDefault="00315FE1" w:rsidP="00315FE1">
      <w:pPr>
        <w:pStyle w:val="NormalWeb"/>
        <w:jc w:val="both"/>
        <w:rPr>
          <w:rFonts w:ascii="Arial" w:hAnsi="Arial" w:cs="Arial"/>
          <w:sz w:val="20"/>
          <w:szCs w:val="20"/>
        </w:rPr>
      </w:pPr>
      <w:r w:rsidRPr="00315FE1">
        <w:rPr>
          <w:rStyle w:val="citation-47"/>
          <w:rFonts w:ascii="Arial" w:hAnsi="Arial" w:cs="Arial"/>
          <w:sz w:val="20"/>
          <w:szCs w:val="20"/>
        </w:rPr>
        <w:t>This study unequivocally demonstrates that patients with gastroduodenal ulcer disease (GUD) in Lomé are contending with a critical and paradoxical form of malnutrition that is entirely masked by conventional anthropometrics</w:t>
      </w:r>
      <w:r w:rsidRPr="00315FE1">
        <w:rPr>
          <w:rFonts w:ascii="Arial" w:hAnsi="Arial" w:cs="Arial"/>
          <w:sz w:val="20"/>
          <w:szCs w:val="20"/>
        </w:rPr>
        <w:t xml:space="preserve">. </w:t>
      </w:r>
      <w:r w:rsidRPr="00315FE1">
        <w:rPr>
          <w:rStyle w:val="citation-46"/>
          <w:rFonts w:ascii="Arial" w:hAnsi="Arial" w:cs="Arial"/>
          <w:sz w:val="20"/>
          <w:szCs w:val="20"/>
        </w:rPr>
        <w:t xml:space="preserve">The central finding is the high prevalence of </w:t>
      </w:r>
      <w:r w:rsidRPr="00315FE1">
        <w:rPr>
          <w:rStyle w:val="citation-46"/>
          <w:rFonts w:ascii="Arial" w:hAnsi="Arial" w:cs="Arial"/>
          <w:bCs/>
          <w:sz w:val="20"/>
          <w:szCs w:val="20"/>
        </w:rPr>
        <w:t>sarcopenic obesity</w:t>
      </w:r>
      <w:r w:rsidRPr="00315FE1">
        <w:rPr>
          <w:rStyle w:val="citation-46"/>
          <w:rFonts w:ascii="Arial" w:hAnsi="Arial" w:cs="Arial"/>
          <w:sz w:val="20"/>
          <w:szCs w:val="20"/>
        </w:rPr>
        <w:t>, a pernicious "double burden of malnutrition" characterized by the concurrent excess of pathogenic visceral fat and a deficit of functional muscle mass</w:t>
      </w:r>
      <w:r w:rsidRPr="00315FE1">
        <w:rPr>
          <w:rFonts w:ascii="Arial" w:hAnsi="Arial" w:cs="Arial"/>
          <w:sz w:val="20"/>
          <w:szCs w:val="20"/>
        </w:rPr>
        <w:t xml:space="preserve">. </w:t>
      </w:r>
      <w:r w:rsidRPr="00315FE1">
        <w:rPr>
          <w:rStyle w:val="citation-45"/>
          <w:rFonts w:ascii="Arial" w:hAnsi="Arial" w:cs="Arial"/>
          <w:sz w:val="20"/>
          <w:szCs w:val="20"/>
        </w:rPr>
        <w:t>This condition establishes a systemic metabolic environment that is fundamentally antagonistic to mucosal healing</w:t>
      </w:r>
      <w:r w:rsidRPr="00315FE1">
        <w:rPr>
          <w:rFonts w:ascii="Arial" w:hAnsi="Arial" w:cs="Arial"/>
          <w:sz w:val="20"/>
          <w:szCs w:val="20"/>
        </w:rPr>
        <w:t xml:space="preserve">. </w:t>
      </w:r>
      <w:r w:rsidRPr="00315FE1">
        <w:rPr>
          <w:rStyle w:val="citation-44"/>
          <w:rFonts w:ascii="Arial" w:hAnsi="Arial" w:cs="Arial"/>
          <w:sz w:val="20"/>
          <w:szCs w:val="20"/>
        </w:rPr>
        <w:t>The visceral adiposity acts as a pro-inflammatory engine, perpetuating mucosal injury,</w:t>
      </w:r>
      <w:r w:rsidRPr="00315FE1">
        <w:rPr>
          <w:rStyle w:val="citation-43"/>
          <w:rFonts w:ascii="Arial" w:hAnsi="Arial" w:cs="Arial"/>
          <w:sz w:val="20"/>
          <w:szCs w:val="20"/>
        </w:rPr>
        <w:t xml:space="preserve"> while the sarcopenic state cripples the anabolic capacity required for effective tissue repair</w:t>
      </w:r>
      <w:r w:rsidRPr="00315FE1">
        <w:rPr>
          <w:rFonts w:ascii="Arial" w:hAnsi="Arial" w:cs="Arial"/>
          <w:sz w:val="20"/>
          <w:szCs w:val="20"/>
        </w:rPr>
        <w:t xml:space="preserve">. </w:t>
      </w:r>
      <w:r w:rsidRPr="00315FE1">
        <w:rPr>
          <w:rStyle w:val="citation-42"/>
          <w:rFonts w:ascii="Arial" w:hAnsi="Arial" w:cs="Arial"/>
          <w:sz w:val="20"/>
          <w:szCs w:val="20"/>
        </w:rPr>
        <w:t xml:space="preserve">This creates </w:t>
      </w:r>
      <w:proofErr w:type="gramStart"/>
      <w:r w:rsidRPr="00315FE1">
        <w:rPr>
          <w:rStyle w:val="citation-42"/>
          <w:rFonts w:ascii="Arial" w:hAnsi="Arial" w:cs="Arial"/>
          <w:sz w:val="20"/>
          <w:szCs w:val="20"/>
        </w:rPr>
        <w:t>a</w:t>
      </w:r>
      <w:proofErr w:type="gramEnd"/>
      <w:r w:rsidRPr="00315FE1">
        <w:rPr>
          <w:rStyle w:val="citation-42"/>
          <w:rFonts w:ascii="Arial" w:hAnsi="Arial" w:cs="Arial"/>
          <w:sz w:val="20"/>
          <w:szCs w:val="20"/>
        </w:rPr>
        <w:t xml:space="preserve"> "triple threat" for patients who also have a high background prevalence of </w:t>
      </w:r>
      <w:r w:rsidRPr="00315FE1">
        <w:rPr>
          <w:rStyle w:val="citation-42"/>
          <w:rFonts w:ascii="Arial" w:hAnsi="Arial" w:cs="Arial"/>
          <w:iCs/>
          <w:sz w:val="20"/>
          <w:szCs w:val="20"/>
        </w:rPr>
        <w:t>Helicobacter pylori</w:t>
      </w:r>
      <w:r w:rsidRPr="00315FE1">
        <w:rPr>
          <w:rStyle w:val="citation-42"/>
          <w:rFonts w:ascii="Arial" w:hAnsi="Arial" w:cs="Arial"/>
          <w:sz w:val="20"/>
          <w:szCs w:val="20"/>
        </w:rPr>
        <w:t xml:space="preserve"> infection</w:t>
      </w:r>
      <w:r w:rsidRPr="00315FE1">
        <w:rPr>
          <w:rFonts w:ascii="Arial" w:hAnsi="Arial" w:cs="Arial"/>
          <w:sz w:val="20"/>
          <w:szCs w:val="20"/>
        </w:rPr>
        <w:t>.</w:t>
      </w:r>
    </w:p>
    <w:p w14:paraId="73DFA9AE"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Furthermore, our biochemical analyses reveal the functional consequences of this poor nutritional status. </w:t>
      </w:r>
      <w:r w:rsidRPr="00315FE1">
        <w:rPr>
          <w:rStyle w:val="citation-41"/>
          <w:rFonts w:ascii="Arial" w:hAnsi="Arial" w:cs="Arial"/>
          <w:sz w:val="20"/>
          <w:szCs w:val="20"/>
        </w:rPr>
        <w:t>Low dietary diversity was directly correlated with depleted protein reserves (prealbumin and albumin) and a state of metabolic stress, evidenced by folate deficiency and consequent hyperhomocysteinemia</w:t>
      </w:r>
      <w:r w:rsidRPr="00315FE1">
        <w:rPr>
          <w:rFonts w:ascii="Arial" w:hAnsi="Arial" w:cs="Arial"/>
          <w:sz w:val="20"/>
          <w:szCs w:val="20"/>
        </w:rPr>
        <w:t xml:space="preserve">. </w:t>
      </w:r>
      <w:r w:rsidRPr="00315FE1">
        <w:rPr>
          <w:rStyle w:val="citation-40"/>
          <w:rFonts w:ascii="Arial" w:hAnsi="Arial" w:cs="Arial"/>
          <w:sz w:val="20"/>
          <w:szCs w:val="20"/>
        </w:rPr>
        <w:t>This elevation in homocysteine likely contributes to a vicious cycle of oxidative stress and endothelial dysfunction, further impairing the integrity of the gastrointestinal mucosa</w:t>
      </w:r>
      <w:r w:rsidRPr="00315FE1">
        <w:rPr>
          <w:rFonts w:ascii="Arial" w:hAnsi="Arial" w:cs="Arial"/>
          <w:sz w:val="20"/>
          <w:szCs w:val="20"/>
        </w:rPr>
        <w:t>.</w:t>
      </w:r>
    </w:p>
    <w:p w14:paraId="667D5F89" w14:textId="77777777" w:rsidR="00315FE1" w:rsidRPr="00315FE1" w:rsidRDefault="00315FE1" w:rsidP="00315FE1">
      <w:pPr>
        <w:pStyle w:val="NormalWeb"/>
        <w:jc w:val="both"/>
        <w:rPr>
          <w:rFonts w:ascii="Arial" w:hAnsi="Arial" w:cs="Arial"/>
          <w:sz w:val="20"/>
          <w:szCs w:val="20"/>
        </w:rPr>
      </w:pPr>
      <w:r w:rsidRPr="00315FE1">
        <w:rPr>
          <w:rStyle w:val="citation-39"/>
          <w:rFonts w:ascii="Arial" w:hAnsi="Arial" w:cs="Arial"/>
          <w:sz w:val="20"/>
          <w:szCs w:val="20"/>
        </w:rPr>
        <w:t xml:space="preserve">These findings signal an urgent need for a </w:t>
      </w:r>
      <w:r w:rsidRPr="00315FE1">
        <w:rPr>
          <w:rStyle w:val="citation-39"/>
          <w:rFonts w:ascii="Arial" w:hAnsi="Arial" w:cs="Arial"/>
          <w:bCs/>
          <w:sz w:val="20"/>
          <w:szCs w:val="20"/>
        </w:rPr>
        <w:t>paradigm shift in the clinical assessment</w:t>
      </w:r>
      <w:r w:rsidRPr="00315FE1">
        <w:rPr>
          <w:rStyle w:val="citation-39"/>
          <w:rFonts w:ascii="Arial" w:hAnsi="Arial" w:cs="Arial"/>
          <w:sz w:val="20"/>
          <w:szCs w:val="20"/>
        </w:rPr>
        <w:t xml:space="preserve"> of GUD patients in Togo and similar settings undergoing a nutritional transition</w:t>
      </w:r>
      <w:r w:rsidRPr="00315FE1">
        <w:rPr>
          <w:rFonts w:ascii="Arial" w:hAnsi="Arial" w:cs="Arial"/>
          <w:sz w:val="20"/>
          <w:szCs w:val="20"/>
        </w:rPr>
        <w:t xml:space="preserve">. </w:t>
      </w:r>
      <w:r w:rsidRPr="00315FE1">
        <w:rPr>
          <w:rStyle w:val="citation-38"/>
          <w:rFonts w:ascii="Arial" w:hAnsi="Arial" w:cs="Arial"/>
          <w:sz w:val="20"/>
          <w:szCs w:val="20"/>
        </w:rPr>
        <w:t>Reliance on Body Mass Index (BMI) alone is insufficient and misleading, risking the oversight of severe metabolic disturbances in patients who may appear overweight or normal</w:t>
      </w:r>
      <w:r w:rsidRPr="00315FE1">
        <w:rPr>
          <w:rFonts w:ascii="Arial" w:hAnsi="Arial" w:cs="Arial"/>
          <w:sz w:val="20"/>
          <w:szCs w:val="20"/>
        </w:rPr>
        <w:t xml:space="preserve">. </w:t>
      </w:r>
      <w:r w:rsidRPr="00315FE1">
        <w:rPr>
          <w:rStyle w:val="citation-37"/>
          <w:rFonts w:ascii="Arial" w:hAnsi="Arial" w:cs="Arial"/>
          <w:sz w:val="20"/>
          <w:szCs w:val="20"/>
        </w:rPr>
        <w:t>It is imperative that clinicians move towards a more sophisticated and integrated evaluation, incorporating body composition analysis and key biochemical markers to unmask the true metabolic risk and guide targeted therapeutic strategies</w:t>
      </w:r>
      <w:r w:rsidRPr="00315FE1">
        <w:rPr>
          <w:rFonts w:ascii="Arial" w:hAnsi="Arial" w:cs="Arial"/>
          <w:sz w:val="20"/>
          <w:szCs w:val="20"/>
        </w:rPr>
        <w:t>.</w:t>
      </w:r>
    </w:p>
    <w:p w14:paraId="72C6F730" w14:textId="77777777" w:rsidR="00315FE1" w:rsidRDefault="00315FE1" w:rsidP="00315FE1">
      <w:pPr>
        <w:pStyle w:val="NormalWeb"/>
        <w:jc w:val="both"/>
        <w:rPr>
          <w:rStyle w:val="selected"/>
        </w:rPr>
      </w:pPr>
      <w:r>
        <w:rPr>
          <w:rStyle w:val="selected"/>
        </w:rPr>
        <w:lastRenderedPageBreak/>
        <w:t>.</w:t>
      </w:r>
    </w:p>
    <w:p w14:paraId="2CA84FFE" w14:textId="77777777" w:rsidR="002B685A" w:rsidRDefault="002B685A" w:rsidP="004952DC">
      <w:pPr>
        <w:pStyle w:val="ReferHead"/>
        <w:spacing w:after="0"/>
        <w:jc w:val="right"/>
        <w:rPr>
          <w:rFonts w:ascii="Arial" w:hAnsi="Arial" w:cs="Arial"/>
          <w:bCs/>
        </w:rPr>
      </w:pPr>
      <w:r w:rsidRPr="002B685A">
        <w:rPr>
          <w:rFonts w:ascii="Arial" w:hAnsi="Arial" w:cs="Arial"/>
          <w:bCs/>
        </w:rPr>
        <w:t>Consent</w:t>
      </w:r>
      <w:r>
        <w:rPr>
          <w:rFonts w:ascii="Arial" w:hAnsi="Arial" w:cs="Arial"/>
          <w:bCs/>
        </w:rPr>
        <w:t xml:space="preserve"> </w:t>
      </w:r>
    </w:p>
    <w:p w14:paraId="501189EE" w14:textId="77777777" w:rsidR="00315FE1" w:rsidRPr="00315FE1" w:rsidRDefault="00315FE1" w:rsidP="00315FE1">
      <w:pPr>
        <w:pStyle w:val="ReferHead"/>
        <w:spacing w:after="0"/>
        <w:jc w:val="both"/>
        <w:rPr>
          <w:rFonts w:ascii="Arial" w:hAnsi="Arial" w:cs="Arial"/>
          <w:b w:val="0"/>
          <w:caps w:val="0"/>
          <w:sz w:val="20"/>
          <w:lang w:eastAsia="fr-FR"/>
        </w:rPr>
      </w:pPr>
      <w:r w:rsidRPr="00315FE1">
        <w:rPr>
          <w:rFonts w:ascii="Arial" w:hAnsi="Arial" w:cs="Arial"/>
          <w:b w:val="0"/>
          <w:caps w:val="0"/>
          <w:sz w:val="20"/>
          <w:lang w:eastAsia="fr-FR"/>
        </w:rPr>
        <w:t>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4BE55450" w14:textId="77777777" w:rsidR="005C784C" w:rsidRDefault="005C784C" w:rsidP="00441B6F">
      <w:pPr>
        <w:pStyle w:val="ReferHead"/>
        <w:spacing w:after="0"/>
        <w:jc w:val="both"/>
        <w:rPr>
          <w:rFonts w:ascii="Arial" w:hAnsi="Arial" w:cs="Arial"/>
          <w:b w:val="0"/>
          <w:caps w:val="0"/>
          <w:sz w:val="20"/>
        </w:rPr>
      </w:pPr>
    </w:p>
    <w:p w14:paraId="37E06DA2" w14:textId="77777777" w:rsidR="005C784C" w:rsidRDefault="005C784C" w:rsidP="004952DC">
      <w:pPr>
        <w:pStyle w:val="ReferHead"/>
        <w:spacing w:after="0"/>
        <w:jc w:val="right"/>
        <w:rPr>
          <w:rFonts w:ascii="Arial" w:hAnsi="Arial" w:cs="Arial"/>
          <w:bCs/>
        </w:rPr>
      </w:pPr>
      <w:r>
        <w:rPr>
          <w:rFonts w:ascii="Arial" w:hAnsi="Arial" w:cs="Arial"/>
          <w:bCs/>
        </w:rPr>
        <w:t xml:space="preserve">Ethical approval </w:t>
      </w:r>
    </w:p>
    <w:p w14:paraId="37DAC142" w14:textId="77777777" w:rsidR="005C784C" w:rsidRPr="002B685A" w:rsidRDefault="005C784C" w:rsidP="00441B6F">
      <w:pPr>
        <w:pStyle w:val="ReferHead"/>
        <w:spacing w:after="0"/>
        <w:jc w:val="both"/>
        <w:rPr>
          <w:rFonts w:ascii="Arial" w:hAnsi="Arial" w:cs="Arial"/>
          <w:bCs/>
        </w:rPr>
      </w:pPr>
    </w:p>
    <w:p w14:paraId="5E34DFE9" w14:textId="77777777" w:rsidR="009273B2" w:rsidRPr="009273B2" w:rsidRDefault="009273B2" w:rsidP="009273B2">
      <w:pPr>
        <w:pStyle w:val="ReferHead"/>
        <w:spacing w:after="0"/>
        <w:jc w:val="both"/>
        <w:rPr>
          <w:rFonts w:ascii="Arial" w:hAnsi="Arial" w:cs="Arial"/>
          <w:b w:val="0"/>
          <w:caps w:val="0"/>
          <w:sz w:val="20"/>
          <w:lang w:eastAsia="fr-FR"/>
        </w:rPr>
      </w:pPr>
      <w:r>
        <w:rPr>
          <w:rFonts w:ascii="Arial" w:hAnsi="Arial" w:cs="Arial"/>
          <w:b w:val="0"/>
          <w:caps w:val="0"/>
          <w:sz w:val="20"/>
          <w:lang w:eastAsia="fr-FR"/>
        </w:rPr>
        <w:t>T</w:t>
      </w:r>
      <w:r w:rsidRPr="009273B2">
        <w:rPr>
          <w:rFonts w:ascii="Arial" w:hAnsi="Arial" w:cs="Arial"/>
          <w:b w:val="0"/>
          <w:caps w:val="0"/>
          <w:sz w:val="20"/>
          <w:lang w:eastAsia="fr-FR"/>
        </w:rPr>
        <w:t>he study was conducted in strict accordance with the ethical principles outlined in the declaration of Helsinki. the research protocol received prior approval from the biomedical ethics committee of the university of Lomé and the administrative leadership of the CHU campus. 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2D7ECCCE" w14:textId="77777777" w:rsidR="00860000" w:rsidRDefault="00860000" w:rsidP="00441B6F">
      <w:pPr>
        <w:pStyle w:val="ReferHead"/>
        <w:spacing w:after="0"/>
        <w:jc w:val="both"/>
        <w:rPr>
          <w:rFonts w:ascii="Arial" w:hAnsi="Arial" w:cs="Arial"/>
        </w:rPr>
      </w:pPr>
    </w:p>
    <w:p w14:paraId="7483C889" w14:textId="74836C40" w:rsidR="00B01FCD" w:rsidRDefault="00B01FCD" w:rsidP="004952DC">
      <w:pPr>
        <w:pStyle w:val="ReferHead"/>
        <w:spacing w:after="0"/>
        <w:jc w:val="right"/>
        <w:rPr>
          <w:rFonts w:ascii="Arial" w:hAnsi="Arial" w:cs="Arial"/>
        </w:rPr>
      </w:pPr>
      <w:proofErr w:type="gramStart"/>
      <w:r w:rsidRPr="00FB3A86">
        <w:rPr>
          <w:rFonts w:ascii="Arial" w:hAnsi="Arial" w:cs="Arial"/>
        </w:rPr>
        <w:t>References</w:t>
      </w:r>
      <w:r w:rsidR="00B94A36">
        <w:rPr>
          <w:rFonts w:ascii="Arial" w:hAnsi="Arial" w:cs="Arial"/>
        </w:rPr>
        <w:t>.</w:t>
      </w:r>
      <w:proofErr w:type="gramEnd"/>
    </w:p>
    <w:p w14:paraId="70DCDC37" w14:textId="3594AC8E" w:rsidR="00B94A36" w:rsidRPr="00B94A36" w:rsidRDefault="00B94A36" w:rsidP="00B94A36">
      <w:pPr>
        <w:pStyle w:val="ReferHead"/>
        <w:spacing w:after="0"/>
        <w:rPr>
          <w:rFonts w:ascii="Arial" w:hAnsi="Arial" w:cs="Arial"/>
          <w:color w:val="FF0000"/>
        </w:rPr>
      </w:pPr>
      <w:r>
        <w:rPr>
          <w:rFonts w:ascii="Arial" w:hAnsi="Arial" w:cs="Arial"/>
          <w:color w:val="FF0000"/>
        </w:rPr>
        <w:t>Please try to use as many as possible recent references fro last 5 years and don’t go beyond 10 years.</w:t>
      </w:r>
    </w:p>
    <w:p w14:paraId="7EB11777" w14:textId="77777777" w:rsidR="009273B2" w:rsidRPr="004952DC" w:rsidRDefault="009273B2" w:rsidP="009273B2">
      <w:pPr>
        <w:spacing w:after="210"/>
        <w:jc w:val="both"/>
        <w:rPr>
          <w:rFonts w:ascii="Arial" w:hAnsi="Arial" w:cs="Arial"/>
        </w:rPr>
      </w:pPr>
      <w:proofErr w:type="gramStart"/>
      <w:r w:rsidRPr="004952DC">
        <w:rPr>
          <w:rFonts w:ascii="Arial" w:eastAsia="inter" w:hAnsi="Arial" w:cs="Arial"/>
          <w:color w:val="000000"/>
        </w:rPr>
        <w:t xml:space="preserve">Aditi, A., &amp; Graham, D. Y. </w:t>
      </w:r>
      <w:r w:rsidRPr="00B94A36">
        <w:rPr>
          <w:rFonts w:ascii="Arial" w:eastAsia="inter" w:hAnsi="Arial" w:cs="Arial"/>
          <w:color w:val="000000"/>
          <w:highlight w:val="yellow"/>
        </w:rPr>
        <w:t>(2012)</w:t>
      </w:r>
      <w:r w:rsidRPr="004952DC">
        <w:rPr>
          <w:rFonts w:ascii="Arial" w:eastAsia="inter" w:hAnsi="Arial" w:cs="Arial"/>
          <w:color w:val="000000"/>
        </w:rPr>
        <w:t>.</w:t>
      </w:r>
      <w:proofErr w:type="gramEnd"/>
      <w:r w:rsidRPr="004952DC">
        <w:rPr>
          <w:rFonts w:ascii="Arial" w:eastAsia="inter" w:hAnsi="Arial" w:cs="Arial"/>
          <w:color w:val="000000"/>
        </w:rPr>
        <w:t xml:space="preserve"> Vitamin C, gastritis, and gastric disease: A historical review and update. </w:t>
      </w:r>
      <w:r w:rsidRPr="004952DC">
        <w:rPr>
          <w:rFonts w:ascii="Arial" w:eastAsia="inter" w:hAnsi="Arial" w:cs="Arial"/>
          <w:i/>
          <w:color w:val="000000"/>
        </w:rPr>
        <w:t>Digestive Diseases and Sciences, 57</w:t>
      </w:r>
      <w:r w:rsidRPr="004952DC">
        <w:rPr>
          <w:rFonts w:ascii="Arial" w:eastAsia="inter" w:hAnsi="Arial" w:cs="Arial"/>
          <w:color w:val="000000"/>
        </w:rPr>
        <w:t xml:space="preserve">(10), 2504–2515. </w:t>
      </w:r>
      <w:hyperlink r:id="rId15">
        <w:r w:rsidRPr="004952DC">
          <w:rPr>
            <w:rFonts w:ascii="Arial" w:eastAsia="inter" w:hAnsi="Arial" w:cs="Arial"/>
            <w:u w:val="single"/>
          </w:rPr>
          <w:t>https://doi.org/10.1007/s10620-012-2221-0</w:t>
        </w:r>
      </w:hyperlink>
    </w:p>
    <w:p w14:paraId="6ADE3F6B"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Amegah, A. K., Kounnavong, S., &amp; Lartey, A. (2021). The double burden of malnutrition in Africa: A systematic review of the prevalence and drivers. </w:t>
      </w:r>
      <w:r w:rsidRPr="004952DC">
        <w:rPr>
          <w:rFonts w:ascii="Arial" w:eastAsia="inter" w:hAnsi="Arial" w:cs="Arial"/>
          <w:i/>
          <w:color w:val="000000"/>
        </w:rPr>
        <w:t>The Lancet Diabetes &amp; Endocrinology, 9</w:t>
      </w:r>
      <w:r w:rsidRPr="004952DC">
        <w:rPr>
          <w:rFonts w:ascii="Arial" w:eastAsia="inter" w:hAnsi="Arial" w:cs="Arial"/>
          <w:color w:val="000000"/>
        </w:rPr>
        <w:t xml:space="preserve">(10), 681–692. </w:t>
      </w:r>
      <w:hyperlink r:id="rId16">
        <w:r w:rsidRPr="004952DC">
          <w:rPr>
            <w:rFonts w:ascii="Arial" w:eastAsia="inter" w:hAnsi="Arial" w:cs="Arial"/>
            <w:u w:val="single"/>
          </w:rPr>
          <w:t>https://doi.org/10.1016/S2213-8587(21)00182-4</w:t>
        </w:r>
      </w:hyperlink>
    </w:p>
    <w:p w14:paraId="6B33CA34"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Barberis, A., Ramgopal, S., &amp; Chow, K. (2023). The impact of sarcopenia on postoperative outcomes: A meta-analysis. </w:t>
      </w:r>
      <w:r w:rsidRPr="004952DC">
        <w:rPr>
          <w:rFonts w:ascii="Arial" w:eastAsia="inter" w:hAnsi="Arial" w:cs="Arial"/>
          <w:i/>
          <w:color w:val="000000"/>
        </w:rPr>
        <w:t>Journal of the American College of Surgeons, 236</w:t>
      </w:r>
      <w:r w:rsidRPr="004952DC">
        <w:rPr>
          <w:rFonts w:ascii="Arial" w:eastAsia="inter" w:hAnsi="Arial" w:cs="Arial"/>
          <w:color w:val="000000"/>
        </w:rPr>
        <w:t xml:space="preserve">(5), 906–924. </w:t>
      </w:r>
      <w:hyperlink r:id="rId17">
        <w:r w:rsidRPr="004952DC">
          <w:rPr>
            <w:rFonts w:ascii="Arial" w:eastAsia="inter" w:hAnsi="Arial" w:cs="Arial"/>
            <w:u w:val="single"/>
          </w:rPr>
          <w:t>https://doi.org/10.1097/XCS.0000000000000578</w:t>
        </w:r>
      </w:hyperlink>
    </w:p>
    <w:p w14:paraId="3CE1211B"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Batsis, J. A., Mackenzie, T. A., Barre, L. K., Lopez-Jimenez, F., &amp; Bartels, S. J. (2014). Sarcopenia, sarcopenic obesity, and mortality in older adults: Results from the National Health and Nutrition Examination Survey III. </w:t>
      </w:r>
      <w:r w:rsidRPr="004952DC">
        <w:rPr>
          <w:rFonts w:ascii="Arial" w:eastAsia="inter" w:hAnsi="Arial" w:cs="Arial"/>
          <w:i/>
          <w:color w:val="000000"/>
        </w:rPr>
        <w:t>European Journal of Clinical Nutrition, 68</w:t>
      </w:r>
      <w:r w:rsidRPr="004952DC">
        <w:rPr>
          <w:rFonts w:ascii="Arial" w:eastAsia="inter" w:hAnsi="Arial" w:cs="Arial"/>
          <w:color w:val="000000"/>
        </w:rPr>
        <w:t xml:space="preserve">(9), 1001–1007. </w:t>
      </w:r>
      <w:hyperlink r:id="rId18">
        <w:r w:rsidRPr="004952DC">
          <w:rPr>
            <w:rFonts w:ascii="Arial" w:eastAsia="inter" w:hAnsi="Arial" w:cs="Arial"/>
            <w:u w:val="single"/>
          </w:rPr>
          <w:t>https://doi.org/10.1038/ejcn.</w:t>
        </w:r>
        <w:r w:rsidRPr="00B94A36">
          <w:rPr>
            <w:rFonts w:ascii="Arial" w:eastAsia="inter" w:hAnsi="Arial" w:cs="Arial"/>
            <w:highlight w:val="yellow"/>
            <w:u w:val="single"/>
          </w:rPr>
          <w:t>2014</w:t>
        </w:r>
        <w:r w:rsidRPr="004952DC">
          <w:rPr>
            <w:rFonts w:ascii="Arial" w:eastAsia="inter" w:hAnsi="Arial" w:cs="Arial"/>
            <w:u w:val="single"/>
          </w:rPr>
          <w:t>.124</w:t>
        </w:r>
      </w:hyperlink>
    </w:p>
    <w:p w14:paraId="23BFD829"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Colpo, E., &amp; Vilanova, C. </w:t>
      </w:r>
      <w:r w:rsidRPr="00B94A36">
        <w:rPr>
          <w:rFonts w:ascii="Arial" w:eastAsia="inter" w:hAnsi="Arial" w:cs="Arial"/>
          <w:color w:val="000000"/>
          <w:highlight w:val="yellow"/>
        </w:rPr>
        <w:t>(2014</w:t>
      </w:r>
      <w:r w:rsidRPr="004952DC">
        <w:rPr>
          <w:rFonts w:ascii="Arial" w:eastAsia="inter" w:hAnsi="Arial" w:cs="Arial"/>
          <w:color w:val="000000"/>
        </w:rPr>
        <w:t xml:space="preserve">). Nutritional status and its relationship with the nutritional therapy in patients with peptic ulcer. </w:t>
      </w:r>
      <w:r w:rsidRPr="004952DC">
        <w:rPr>
          <w:rFonts w:ascii="Arial" w:eastAsia="inter" w:hAnsi="Arial" w:cs="Arial"/>
          <w:i/>
          <w:color w:val="000000"/>
        </w:rPr>
        <w:t>Arquivos de Gastroenterologia, 51</w:t>
      </w:r>
      <w:r w:rsidRPr="004952DC">
        <w:rPr>
          <w:rFonts w:ascii="Arial" w:eastAsia="inter" w:hAnsi="Arial" w:cs="Arial"/>
          <w:color w:val="000000"/>
        </w:rPr>
        <w:t xml:space="preserve">(2), 136–141. </w:t>
      </w:r>
      <w:hyperlink r:id="rId19">
        <w:r w:rsidRPr="004952DC">
          <w:rPr>
            <w:rFonts w:ascii="Arial" w:eastAsia="inter" w:hAnsi="Arial" w:cs="Arial"/>
            <w:u w:val="single"/>
          </w:rPr>
          <w:t>https://doi.org/10.1590/S0004-28032014000200013</w:t>
        </w:r>
      </w:hyperlink>
    </w:p>
    <w:p w14:paraId="11D45E16"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Cuerda, C., Herrero, J. I., Camprubí, M. R., &amp; Orduña, V. (2023). Sarcopenic obesity: A new entity. </w:t>
      </w:r>
      <w:r w:rsidRPr="004952DC">
        <w:rPr>
          <w:rFonts w:ascii="Arial" w:eastAsia="inter" w:hAnsi="Arial" w:cs="Arial"/>
          <w:i/>
          <w:color w:val="000000"/>
        </w:rPr>
        <w:t>Nutrición Hospitalaria, 40</w:t>
      </w:r>
      <w:r w:rsidRPr="004952DC">
        <w:rPr>
          <w:rFonts w:ascii="Arial" w:eastAsia="inter" w:hAnsi="Arial" w:cs="Arial"/>
          <w:color w:val="000000"/>
        </w:rPr>
        <w:t xml:space="preserve">(SPE3), 16–23. </w:t>
      </w:r>
      <w:hyperlink r:id="rId20">
        <w:r w:rsidRPr="004952DC">
          <w:rPr>
            <w:rFonts w:ascii="Arial" w:eastAsia="inter" w:hAnsi="Arial" w:cs="Arial"/>
            <w:u w:val="single"/>
          </w:rPr>
          <w:t>https://doi.org/10.20960/nh.05383</w:t>
        </w:r>
      </w:hyperlink>
    </w:p>
    <w:p w14:paraId="1B2A2685"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Demling, R. H. </w:t>
      </w:r>
      <w:r w:rsidRPr="00B94A36">
        <w:rPr>
          <w:rFonts w:ascii="Arial" w:eastAsia="inter" w:hAnsi="Arial" w:cs="Arial"/>
          <w:color w:val="000000"/>
          <w:highlight w:val="yellow"/>
        </w:rPr>
        <w:t>(2009)</w:t>
      </w:r>
      <w:r w:rsidRPr="004952DC">
        <w:rPr>
          <w:rFonts w:ascii="Arial" w:eastAsia="inter" w:hAnsi="Arial" w:cs="Arial"/>
          <w:color w:val="000000"/>
        </w:rPr>
        <w:t xml:space="preserve">. Nutrition, anabolism, and the wound healing process: An overview. </w:t>
      </w:r>
      <w:r w:rsidRPr="004952DC">
        <w:rPr>
          <w:rFonts w:ascii="Arial" w:eastAsia="inter" w:hAnsi="Arial" w:cs="Arial"/>
          <w:i/>
          <w:color w:val="000000"/>
        </w:rPr>
        <w:t>Eplasty, 9</w:t>
      </w:r>
      <w:r w:rsidRPr="004952DC">
        <w:rPr>
          <w:rFonts w:ascii="Arial" w:eastAsia="inter" w:hAnsi="Arial" w:cs="Arial"/>
          <w:color w:val="000000"/>
        </w:rPr>
        <w:t>, e9. (PMCID: PMC2860185)</w:t>
      </w:r>
    </w:p>
    <w:p w14:paraId="3B147C75"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Hotamisligil, G. S. </w:t>
      </w:r>
      <w:r w:rsidRPr="00B94A36">
        <w:rPr>
          <w:rFonts w:ascii="Arial" w:eastAsia="inter" w:hAnsi="Arial" w:cs="Arial"/>
          <w:color w:val="000000"/>
          <w:highlight w:val="yellow"/>
        </w:rPr>
        <w:t>(2006)</w:t>
      </w:r>
      <w:r w:rsidRPr="004952DC">
        <w:rPr>
          <w:rFonts w:ascii="Arial" w:eastAsia="inter" w:hAnsi="Arial" w:cs="Arial"/>
          <w:color w:val="000000"/>
        </w:rPr>
        <w:t xml:space="preserve">. Inflammation and metabolic disorders. </w:t>
      </w:r>
      <w:r w:rsidRPr="004952DC">
        <w:rPr>
          <w:rFonts w:ascii="Arial" w:eastAsia="inter" w:hAnsi="Arial" w:cs="Arial"/>
          <w:i/>
          <w:color w:val="000000"/>
        </w:rPr>
        <w:t>Nature, 444</w:t>
      </w:r>
      <w:r w:rsidRPr="004952DC">
        <w:rPr>
          <w:rFonts w:ascii="Arial" w:eastAsia="inter" w:hAnsi="Arial" w:cs="Arial"/>
          <w:color w:val="000000"/>
        </w:rPr>
        <w:t xml:space="preserve">(7121), 860–867. </w:t>
      </w:r>
      <w:hyperlink r:id="rId21">
        <w:r w:rsidRPr="004952DC">
          <w:rPr>
            <w:rFonts w:ascii="Arial" w:eastAsia="inter" w:hAnsi="Arial" w:cs="Arial"/>
            <w:u w:val="single"/>
          </w:rPr>
          <w:t>https://doi.org/10.1038/nature05485</w:t>
        </w:r>
      </w:hyperlink>
    </w:p>
    <w:p w14:paraId="1BF75A90"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Kusters, J. G., van Vliet, A. H. M., &amp; Kuipers, E. J. </w:t>
      </w:r>
      <w:r w:rsidRPr="00B94A36">
        <w:rPr>
          <w:rFonts w:ascii="Arial" w:eastAsia="inter" w:hAnsi="Arial" w:cs="Arial"/>
          <w:color w:val="000000"/>
          <w:highlight w:val="yellow"/>
        </w:rPr>
        <w:t>(2006)</w:t>
      </w:r>
      <w:r w:rsidRPr="004952DC">
        <w:rPr>
          <w:rFonts w:ascii="Arial" w:eastAsia="inter" w:hAnsi="Arial" w:cs="Arial"/>
          <w:color w:val="000000"/>
        </w:rPr>
        <w:t xml:space="preserve">. Pathogenesis of Helicobacter pylori infection. </w:t>
      </w:r>
      <w:r w:rsidRPr="004952DC">
        <w:rPr>
          <w:rFonts w:ascii="Arial" w:eastAsia="inter" w:hAnsi="Arial" w:cs="Arial"/>
          <w:i/>
          <w:color w:val="000000"/>
        </w:rPr>
        <w:t>Clinical Microbiology Reviews, 19</w:t>
      </w:r>
      <w:r w:rsidRPr="004952DC">
        <w:rPr>
          <w:rFonts w:ascii="Arial" w:eastAsia="inter" w:hAnsi="Arial" w:cs="Arial"/>
          <w:color w:val="000000"/>
        </w:rPr>
        <w:t xml:space="preserve">(3), 449–490. </w:t>
      </w:r>
      <w:hyperlink r:id="rId22">
        <w:r w:rsidRPr="004952DC">
          <w:rPr>
            <w:rFonts w:ascii="Arial" w:eastAsia="inter" w:hAnsi="Arial" w:cs="Arial"/>
            <w:u w:val="single"/>
          </w:rPr>
          <w:t>https://doi.org/10.1128/CMR.00054-05</w:t>
        </w:r>
      </w:hyperlink>
    </w:p>
    <w:p w14:paraId="7B5A19C8"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Kyrou, I., Randeva, H. S., Tsigos, C., Kaltsas, G., &amp; Weickert, M. O. (2018). Clinical problems caused by obesity. In K. R. Feingold et al. (Eds.), </w:t>
      </w:r>
      <w:r w:rsidRPr="004952DC">
        <w:rPr>
          <w:rFonts w:ascii="Arial" w:eastAsia="inter" w:hAnsi="Arial" w:cs="Arial"/>
          <w:i/>
          <w:color w:val="000000"/>
        </w:rPr>
        <w:t>Endotext</w:t>
      </w:r>
      <w:r w:rsidRPr="004952DC">
        <w:rPr>
          <w:rFonts w:ascii="Arial" w:eastAsia="inter" w:hAnsi="Arial" w:cs="Arial"/>
          <w:color w:val="000000"/>
        </w:rPr>
        <w:t xml:space="preserve">. </w:t>
      </w:r>
      <w:hyperlink r:id="rId23">
        <w:r w:rsidRPr="004952DC">
          <w:rPr>
            <w:rFonts w:ascii="Arial" w:eastAsia="inter" w:hAnsi="Arial" w:cs="Arial"/>
            <w:u w:val="single"/>
          </w:rPr>
          <w:t>MDText.com</w:t>
        </w:r>
      </w:hyperlink>
      <w:r w:rsidRPr="004952DC">
        <w:rPr>
          <w:rFonts w:ascii="Arial" w:eastAsia="inter" w:hAnsi="Arial" w:cs="Arial"/>
          <w:color w:val="000000"/>
        </w:rPr>
        <w:t>, Inc. PMID: 29928111</w:t>
      </w:r>
    </w:p>
    <w:p w14:paraId="4A9BF4D5"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Lawson-Ananissah, L. M., Bagny, A., Kaaga, L., Yakankoe, A., El-Hadj-Malick, S., &amp; Redah, D. </w:t>
      </w:r>
      <w:r w:rsidRPr="00B94A36">
        <w:rPr>
          <w:rFonts w:ascii="Arial" w:eastAsia="inter" w:hAnsi="Arial" w:cs="Arial"/>
          <w:color w:val="000000"/>
          <w:highlight w:val="yellow"/>
        </w:rPr>
        <w:t>(2014)</w:t>
      </w:r>
      <w:r w:rsidRPr="004952DC">
        <w:rPr>
          <w:rFonts w:ascii="Arial" w:eastAsia="inter" w:hAnsi="Arial" w:cs="Arial"/>
          <w:color w:val="000000"/>
        </w:rPr>
        <w:t xml:space="preserve">. Aspects épidémiologiques et cliniques de l'ulcère gastroduodénal perforé au CHU Campus de Lomé (Togo). </w:t>
      </w:r>
      <w:r w:rsidRPr="004952DC">
        <w:rPr>
          <w:rFonts w:ascii="Arial" w:eastAsia="inter" w:hAnsi="Arial" w:cs="Arial"/>
          <w:i/>
          <w:color w:val="000000"/>
        </w:rPr>
        <w:t>Journal de la Société de Biologie Clinique du Togo, 1</w:t>
      </w:r>
      <w:r w:rsidRPr="004952DC">
        <w:rPr>
          <w:rFonts w:ascii="Arial" w:eastAsia="inter" w:hAnsi="Arial" w:cs="Arial"/>
          <w:color w:val="000000"/>
        </w:rPr>
        <w:t>(1). [Pas de DOI disponible]</w:t>
      </w:r>
    </w:p>
    <w:p w14:paraId="5C0C6DDD"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lastRenderedPageBreak/>
        <w:t xml:space="preserve">Malfertheiner, P., Megraud, F., O'Morain, C. A., Gisbert, J. P., Kuipers, E. J., Axon, A. T., Bazzoli, F., &amp; Vaira, D. (2017). Management of Helicobacter pylori infection—the Maastricht V/Florence Consensus Report. </w:t>
      </w:r>
      <w:r w:rsidRPr="004952DC">
        <w:rPr>
          <w:rFonts w:ascii="Arial" w:eastAsia="inter" w:hAnsi="Arial" w:cs="Arial"/>
          <w:i/>
          <w:color w:val="000000"/>
        </w:rPr>
        <w:t>Gut, 66</w:t>
      </w:r>
      <w:r w:rsidRPr="004952DC">
        <w:rPr>
          <w:rFonts w:ascii="Arial" w:eastAsia="inter" w:hAnsi="Arial" w:cs="Arial"/>
          <w:color w:val="000000"/>
        </w:rPr>
        <w:t xml:space="preserve">(1), 6–30. </w:t>
      </w:r>
      <w:hyperlink r:id="rId24">
        <w:r w:rsidRPr="004952DC">
          <w:rPr>
            <w:rFonts w:ascii="Arial" w:eastAsia="inter" w:hAnsi="Arial" w:cs="Arial"/>
            <w:u w:val="single"/>
          </w:rPr>
          <w:t>https://doi.org/10.1136/gutjnl-2016-312288</w:t>
        </w:r>
      </w:hyperlink>
    </w:p>
    <w:p w14:paraId="63DF92FF"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Mendez, L., Pera, G., Agudo, A., Bueno-de-Mesquita, H. B., &amp; González, C. A. (2022). Fruit and vegetable intake and Helicobacter pylori infection in a cohort from the European Prospective Investigation into Cancer and Nutrition (EPIC-EURGAST). </w:t>
      </w:r>
      <w:r w:rsidRPr="004952DC">
        <w:rPr>
          <w:rFonts w:ascii="Arial" w:eastAsia="inter" w:hAnsi="Arial" w:cs="Arial"/>
          <w:i/>
          <w:color w:val="000000"/>
        </w:rPr>
        <w:t>Public Health Nutrition, 25</w:t>
      </w:r>
      <w:r w:rsidRPr="004952DC">
        <w:rPr>
          <w:rFonts w:ascii="Arial" w:eastAsia="inter" w:hAnsi="Arial" w:cs="Arial"/>
          <w:color w:val="000000"/>
        </w:rPr>
        <w:t xml:space="preserve">(3), 655–662. </w:t>
      </w:r>
      <w:hyperlink r:id="rId25">
        <w:r w:rsidRPr="004952DC">
          <w:rPr>
            <w:rFonts w:ascii="Arial" w:eastAsia="inter" w:hAnsi="Arial" w:cs="Arial"/>
            <w:u w:val="single"/>
          </w:rPr>
          <w:t>https://doi.org/10.1017/S136898002100346X</w:t>
        </w:r>
      </w:hyperlink>
    </w:p>
    <w:p w14:paraId="13172711"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O’Connell, J., Hannon, N., &amp; Murphy, C. (2022). The role of visceral adipose tissue in the inflammatory response. </w:t>
      </w:r>
      <w:r w:rsidRPr="004952DC">
        <w:rPr>
          <w:rFonts w:ascii="Arial" w:eastAsia="inter" w:hAnsi="Arial" w:cs="Arial"/>
          <w:i/>
          <w:color w:val="000000"/>
        </w:rPr>
        <w:t>Trends in Endocrinology &amp; Metabolism, 33</w:t>
      </w:r>
      <w:r w:rsidRPr="004952DC">
        <w:rPr>
          <w:rFonts w:ascii="Arial" w:eastAsia="inter" w:hAnsi="Arial" w:cs="Arial"/>
          <w:color w:val="000000"/>
        </w:rPr>
        <w:t xml:space="preserve">(5), 365–377. </w:t>
      </w:r>
      <w:hyperlink r:id="rId26">
        <w:r w:rsidRPr="004952DC">
          <w:rPr>
            <w:rFonts w:ascii="Arial" w:eastAsia="inter" w:hAnsi="Arial" w:cs="Arial"/>
            <w:u w:val="single"/>
          </w:rPr>
          <w:t>https://doi.org/10.1016/j.tem.2022.01.003</w:t>
        </w:r>
      </w:hyperlink>
    </w:p>
    <w:p w14:paraId="7A427643"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Perna, S., D’Antona, G., &amp; Rondanelli, M. (2022). Sarcopenic obesity: A narrative review on its pathophysiology, diagnostic criteria, and treatment. </w:t>
      </w:r>
      <w:r w:rsidRPr="004952DC">
        <w:rPr>
          <w:rFonts w:ascii="Arial" w:eastAsia="inter" w:hAnsi="Arial" w:cs="Arial"/>
          <w:i/>
          <w:color w:val="000000"/>
        </w:rPr>
        <w:t>Nutrients, 14</w:t>
      </w:r>
      <w:r w:rsidRPr="004952DC">
        <w:rPr>
          <w:rFonts w:ascii="Arial" w:eastAsia="inter" w:hAnsi="Arial" w:cs="Arial"/>
          <w:color w:val="000000"/>
        </w:rPr>
        <w:t xml:space="preserve">(9), 1873. </w:t>
      </w:r>
      <w:hyperlink r:id="rId27">
        <w:r w:rsidRPr="004952DC">
          <w:rPr>
            <w:rFonts w:ascii="Arial" w:eastAsia="inter" w:hAnsi="Arial" w:cs="Arial"/>
            <w:u w:val="single"/>
          </w:rPr>
          <w:t>https://doi.org/10.3390/nu14091873</w:t>
        </w:r>
      </w:hyperlink>
    </w:p>
    <w:p w14:paraId="62BFE64B"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Popkin, B. M., Adair, L. S., &amp; Ng, S. W. </w:t>
      </w:r>
      <w:r w:rsidRPr="00B94A36">
        <w:rPr>
          <w:rFonts w:ascii="Arial" w:eastAsia="inter" w:hAnsi="Arial" w:cs="Arial"/>
          <w:color w:val="000000"/>
          <w:highlight w:val="yellow"/>
        </w:rPr>
        <w:t>(2012).</w:t>
      </w:r>
      <w:r w:rsidRPr="004952DC">
        <w:rPr>
          <w:rFonts w:ascii="Arial" w:eastAsia="inter" w:hAnsi="Arial" w:cs="Arial"/>
          <w:color w:val="000000"/>
        </w:rPr>
        <w:t xml:space="preserve"> Global nutrition transition and the pandemic of obesity in developing countries. </w:t>
      </w:r>
      <w:r w:rsidRPr="004952DC">
        <w:rPr>
          <w:rFonts w:ascii="Arial" w:eastAsia="inter" w:hAnsi="Arial" w:cs="Arial"/>
          <w:i/>
          <w:color w:val="000000"/>
        </w:rPr>
        <w:t>Nutrition Reviews, 70</w:t>
      </w:r>
      <w:r w:rsidRPr="004952DC">
        <w:rPr>
          <w:rFonts w:ascii="Arial" w:eastAsia="inter" w:hAnsi="Arial" w:cs="Arial"/>
          <w:color w:val="000000"/>
        </w:rPr>
        <w:t xml:space="preserve">(1), 3–21. </w:t>
      </w:r>
      <w:hyperlink r:id="rId28">
        <w:r w:rsidRPr="004952DC">
          <w:rPr>
            <w:rFonts w:ascii="Arial" w:eastAsia="inter" w:hAnsi="Arial" w:cs="Arial"/>
            <w:u w:val="single"/>
          </w:rPr>
          <w:t>https://doi.org/10.1111/j.1753-4887.2011.00456.x</w:t>
        </w:r>
      </w:hyperlink>
    </w:p>
    <w:p w14:paraId="76F2B21F"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Prentice, A. M., &amp; Jebb, S. A. </w:t>
      </w:r>
      <w:r w:rsidRPr="00B94A36">
        <w:rPr>
          <w:rFonts w:ascii="Arial" w:eastAsia="inter" w:hAnsi="Arial" w:cs="Arial"/>
          <w:color w:val="000000"/>
          <w:highlight w:val="yellow"/>
        </w:rPr>
        <w:t>(2001)</w:t>
      </w:r>
      <w:r w:rsidRPr="004952DC">
        <w:rPr>
          <w:rFonts w:ascii="Arial" w:eastAsia="inter" w:hAnsi="Arial" w:cs="Arial"/>
          <w:color w:val="000000"/>
        </w:rPr>
        <w:t xml:space="preserve">. Beyond body mass index. </w:t>
      </w:r>
      <w:r w:rsidRPr="004952DC">
        <w:rPr>
          <w:rFonts w:ascii="Arial" w:eastAsia="inter" w:hAnsi="Arial" w:cs="Arial"/>
          <w:i/>
          <w:color w:val="000000"/>
        </w:rPr>
        <w:t>Obesity Reviews, 2</w:t>
      </w:r>
      <w:r w:rsidRPr="004952DC">
        <w:rPr>
          <w:rFonts w:ascii="Arial" w:eastAsia="inter" w:hAnsi="Arial" w:cs="Arial"/>
          <w:color w:val="000000"/>
        </w:rPr>
        <w:t xml:space="preserve">(3), 141–147. </w:t>
      </w:r>
      <w:hyperlink r:id="rId29">
        <w:r w:rsidRPr="004952DC">
          <w:rPr>
            <w:rFonts w:ascii="Arial" w:eastAsia="inter" w:hAnsi="Arial" w:cs="Arial"/>
            <w:u w:val="single"/>
          </w:rPr>
          <w:t>https://doi.org/10.1046/j.1467-789x.2001.00029.x</w:t>
        </w:r>
      </w:hyperlink>
    </w:p>
    <w:p w14:paraId="57A83829"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Tyagi, N., Sedoris, K. C., Steed, M., Ovechkin, A. V., Moshal, K. S., &amp; Tyagi, S. C. </w:t>
      </w:r>
      <w:r w:rsidRPr="00B94A36">
        <w:rPr>
          <w:rFonts w:ascii="Arial" w:eastAsia="inter" w:hAnsi="Arial" w:cs="Arial"/>
          <w:color w:val="000000"/>
          <w:highlight w:val="yellow"/>
        </w:rPr>
        <w:t>(2005)</w:t>
      </w:r>
      <w:r w:rsidRPr="004952DC">
        <w:rPr>
          <w:rFonts w:ascii="Arial" w:eastAsia="inter" w:hAnsi="Arial" w:cs="Arial"/>
          <w:color w:val="000000"/>
        </w:rPr>
        <w:t xml:space="preserve">. Mechanisms of homocysteine-induced oxidative stress. </w:t>
      </w:r>
      <w:r w:rsidRPr="004952DC">
        <w:rPr>
          <w:rFonts w:ascii="Arial" w:eastAsia="inter" w:hAnsi="Arial" w:cs="Arial"/>
          <w:i/>
          <w:color w:val="000000"/>
        </w:rPr>
        <w:t>American Journal of Physiology-Heart and Circulatory Physiology, 289</w:t>
      </w:r>
      <w:r w:rsidRPr="004952DC">
        <w:rPr>
          <w:rFonts w:ascii="Arial" w:eastAsia="inter" w:hAnsi="Arial" w:cs="Arial"/>
          <w:color w:val="000000"/>
        </w:rPr>
        <w:t xml:space="preserve">(6), H2649–H2656. </w:t>
      </w:r>
      <w:hyperlink r:id="rId30">
        <w:r w:rsidRPr="004952DC">
          <w:rPr>
            <w:rFonts w:ascii="Arial" w:eastAsia="inter" w:hAnsi="Arial" w:cs="Arial"/>
            <w:u w:val="single"/>
          </w:rPr>
          <w:t>https://doi.org/10.1152/ajpheart.00198.2005</w:t>
        </w:r>
      </w:hyperlink>
    </w:p>
    <w:p w14:paraId="6B7F621F"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Wallace, J. L., &amp; Granger, D. N. (2015). The cellular and molecular basis of gastric mucosal defense. </w:t>
      </w:r>
      <w:r w:rsidRPr="004952DC">
        <w:rPr>
          <w:rFonts w:ascii="Arial" w:eastAsia="inter" w:hAnsi="Arial" w:cs="Arial"/>
          <w:i/>
          <w:color w:val="000000"/>
        </w:rPr>
        <w:t>Physiological Reviews, 95</w:t>
      </w:r>
      <w:r w:rsidRPr="004952DC">
        <w:rPr>
          <w:rFonts w:ascii="Arial" w:eastAsia="inter" w:hAnsi="Arial" w:cs="Arial"/>
          <w:color w:val="000000"/>
        </w:rPr>
        <w:t xml:space="preserve">(2), 445–465. </w:t>
      </w:r>
      <w:hyperlink r:id="rId31">
        <w:r w:rsidRPr="004952DC">
          <w:rPr>
            <w:rFonts w:ascii="Arial" w:eastAsia="inter" w:hAnsi="Arial" w:cs="Arial"/>
            <w:u w:val="single"/>
          </w:rPr>
          <w:t>https://doi.org/10.1152/physrev.00035.2013</w:t>
        </w:r>
      </w:hyperlink>
    </w:p>
    <w:p w14:paraId="10E42850"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Wang, Y., Tong, J., Zhang, H., Wang, Y., Li, L., &amp; Qiao, Y. (2022). Global, regional, and national burden of peptic ulcer disease from 1990 to 2019: A systematic analysis for the Global Burden of Disease Study 2019. </w:t>
      </w:r>
      <w:r w:rsidRPr="004952DC">
        <w:rPr>
          <w:rFonts w:ascii="Arial" w:eastAsia="inter" w:hAnsi="Arial" w:cs="Arial"/>
          <w:i/>
          <w:color w:val="000000"/>
        </w:rPr>
        <w:t>The Lancet Gastroenterology &amp; Hepatology, 7</w:t>
      </w:r>
      <w:r w:rsidRPr="004952DC">
        <w:rPr>
          <w:rFonts w:ascii="Arial" w:eastAsia="inter" w:hAnsi="Arial" w:cs="Arial"/>
          <w:color w:val="000000"/>
        </w:rPr>
        <w:t xml:space="preserve">(5), 414–425. </w:t>
      </w:r>
      <w:hyperlink r:id="rId32">
        <w:r w:rsidRPr="004952DC">
          <w:rPr>
            <w:rFonts w:ascii="Arial" w:eastAsia="inter" w:hAnsi="Arial" w:cs="Arial"/>
            <w:u w:val="single"/>
          </w:rPr>
          <w:t>https://doi.org/10.1016/S2468-1253(22)00059-5</w:t>
        </w:r>
      </w:hyperlink>
    </w:p>
    <w:p w14:paraId="1BEB5204" w14:textId="77777777" w:rsidR="009273B2" w:rsidRPr="004952DC" w:rsidRDefault="009273B2" w:rsidP="009273B2">
      <w:pPr>
        <w:spacing w:after="210"/>
        <w:jc w:val="both"/>
        <w:rPr>
          <w:rFonts w:ascii="Arial" w:eastAsia="inter" w:hAnsi="Arial" w:cs="Arial"/>
          <w:u w:val="single"/>
        </w:rPr>
      </w:pPr>
      <w:r w:rsidRPr="004952DC">
        <w:rPr>
          <w:rFonts w:ascii="Arial" w:eastAsia="inter" w:hAnsi="Arial" w:cs="Arial"/>
          <w:color w:val="000000"/>
        </w:rPr>
        <w:t xml:space="preserve">Wellen, K. E., &amp; Hotamisligil, G. S. </w:t>
      </w:r>
      <w:bookmarkStart w:id="0" w:name="_GoBack"/>
      <w:bookmarkEnd w:id="0"/>
      <w:r w:rsidRPr="00B94A36">
        <w:rPr>
          <w:rFonts w:ascii="Arial" w:eastAsia="inter" w:hAnsi="Arial" w:cs="Arial"/>
          <w:color w:val="000000"/>
          <w:highlight w:val="yellow"/>
        </w:rPr>
        <w:t>(2005)</w:t>
      </w:r>
      <w:r w:rsidRPr="004952DC">
        <w:rPr>
          <w:rFonts w:ascii="Arial" w:eastAsia="inter" w:hAnsi="Arial" w:cs="Arial"/>
          <w:color w:val="000000"/>
        </w:rPr>
        <w:t xml:space="preserve">. Inflammation, stress, and diabetes. </w:t>
      </w:r>
      <w:r w:rsidRPr="004952DC">
        <w:rPr>
          <w:rFonts w:ascii="Arial" w:eastAsia="inter" w:hAnsi="Arial" w:cs="Arial"/>
          <w:i/>
          <w:color w:val="000000"/>
        </w:rPr>
        <w:t>The Journal of Clinical Investigation, 115</w:t>
      </w:r>
      <w:r w:rsidRPr="004952DC">
        <w:rPr>
          <w:rFonts w:ascii="Arial" w:eastAsia="inter" w:hAnsi="Arial" w:cs="Arial"/>
          <w:color w:val="000000"/>
        </w:rPr>
        <w:t xml:space="preserve">(5), 1111–1119. </w:t>
      </w:r>
      <w:hyperlink r:id="rId33">
        <w:r w:rsidRPr="004952DC">
          <w:rPr>
            <w:rFonts w:ascii="Arial" w:eastAsia="inter" w:hAnsi="Arial" w:cs="Arial"/>
            <w:u w:val="single"/>
          </w:rPr>
          <w:t>https://doi.org/10.1172/JCI25102</w:t>
        </w:r>
      </w:hyperlink>
    </w:p>
    <w:p w14:paraId="2DB62BD6"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Zhang, R., Liu, C., &amp; Wang, Y. (2021). Hyperhomocysteinemia and endothelial dysfunction: A comprehensive review of molecular mechanisms. </w:t>
      </w:r>
      <w:r w:rsidRPr="004952DC">
        <w:rPr>
          <w:rFonts w:ascii="Arial" w:eastAsia="inter" w:hAnsi="Arial" w:cs="Arial"/>
          <w:i/>
          <w:color w:val="000000"/>
        </w:rPr>
        <w:t>Journal of Vascular Research, 58</w:t>
      </w:r>
      <w:r w:rsidRPr="004952DC">
        <w:rPr>
          <w:rFonts w:ascii="Arial" w:eastAsia="inter" w:hAnsi="Arial" w:cs="Arial"/>
          <w:color w:val="000000"/>
        </w:rPr>
        <w:t xml:space="preserve">(3), 133–146. </w:t>
      </w:r>
      <w:hyperlink r:id="rId34">
        <w:r w:rsidRPr="004952DC">
          <w:rPr>
            <w:rFonts w:ascii="Arial" w:eastAsia="inter" w:hAnsi="Arial" w:cs="Arial"/>
            <w:u w:val="single"/>
          </w:rPr>
          <w:t>https://doi.org/10.1159/000514800</w:t>
        </w:r>
      </w:hyperlink>
    </w:p>
    <w:p w14:paraId="1909AB3D" w14:textId="77777777" w:rsidR="00B01FCD" w:rsidRPr="00FB3A86" w:rsidRDefault="00B01FCD" w:rsidP="00441B6F">
      <w:pPr>
        <w:pStyle w:val="Appendix"/>
        <w:spacing w:after="0"/>
        <w:jc w:val="both"/>
        <w:rPr>
          <w:rFonts w:ascii="Arial" w:hAnsi="Arial" w:cs="Arial"/>
          <w:b w:val="0"/>
        </w:rPr>
      </w:pPr>
    </w:p>
    <w:sectPr w:rsidR="00B01FCD" w:rsidRPr="00FB3A86" w:rsidSect="00542CB7">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AD2CA" w14:textId="77777777" w:rsidR="00A54373" w:rsidRDefault="00A54373" w:rsidP="00C37E61">
      <w:r>
        <w:separator/>
      </w:r>
    </w:p>
  </w:endnote>
  <w:endnote w:type="continuationSeparator" w:id="0">
    <w:p w14:paraId="1570EB23" w14:textId="77777777" w:rsidR="00A54373" w:rsidRDefault="00A543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F4F2F" w14:textId="77777777" w:rsidR="00542CB7" w:rsidRDefault="00542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5A910" w14:textId="77777777" w:rsidR="00542CB7" w:rsidRDefault="00542C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98FF9" w14:textId="7C943821" w:rsidR="00754C9A" w:rsidRPr="00542CB7" w:rsidRDefault="00754C9A" w:rsidP="00542C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718E"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0D20D" w14:textId="77777777" w:rsidR="00A54373" w:rsidRDefault="00A54373" w:rsidP="00C37E61">
      <w:r>
        <w:separator/>
      </w:r>
    </w:p>
  </w:footnote>
  <w:footnote w:type="continuationSeparator" w:id="0">
    <w:p w14:paraId="30A875A1" w14:textId="77777777" w:rsidR="00A54373" w:rsidRDefault="00A5437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0CA1" w14:textId="10F937B7" w:rsidR="00542CB7" w:rsidRDefault="00A54373">
    <w:pPr>
      <w:pStyle w:val="Header"/>
    </w:pPr>
    <w:r>
      <w:rPr>
        <w:noProof/>
      </w:rPr>
      <w:pict w14:anchorId="470E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4A0E7" w14:textId="2418F2F6" w:rsidR="00542CB7" w:rsidRDefault="00A54373">
    <w:pPr>
      <w:pStyle w:val="Header"/>
    </w:pPr>
    <w:r>
      <w:rPr>
        <w:noProof/>
      </w:rPr>
      <w:pict w14:anchorId="62EC7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0EA38" w14:textId="343BF794" w:rsidR="00296529" w:rsidRPr="00296529" w:rsidRDefault="00A54373" w:rsidP="00296529">
    <w:pPr>
      <w:ind w:left="2160"/>
      <w:jc w:val="center"/>
      <w:rPr>
        <w:rFonts w:ascii="Times New Roman" w:eastAsia="Calibri" w:hAnsi="Times New Roman"/>
        <w:i/>
        <w:sz w:val="18"/>
        <w:szCs w:val="22"/>
      </w:rPr>
    </w:pPr>
    <w:r>
      <w:rPr>
        <w:noProof/>
      </w:rPr>
      <w:pict w14:anchorId="4B73C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6632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A274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67B5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9BEE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523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CD47EB"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C3F51" w14:textId="4CC4BF9A" w:rsidR="00542CB7" w:rsidRDefault="00A54373">
    <w:pPr>
      <w:pStyle w:val="Header"/>
    </w:pPr>
    <w:r>
      <w:rPr>
        <w:noProof/>
      </w:rPr>
      <w:pict w14:anchorId="02428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A2110" w14:textId="73E379F3" w:rsidR="00542CB7" w:rsidRDefault="00A54373">
    <w:pPr>
      <w:pStyle w:val="Header"/>
    </w:pPr>
    <w:r>
      <w:rPr>
        <w:noProof/>
      </w:rPr>
      <w:pict w14:anchorId="3FECA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71A5" w14:textId="5493C359" w:rsidR="00542CB7" w:rsidRDefault="00A54373">
    <w:pPr>
      <w:pStyle w:val="Header"/>
    </w:pPr>
    <w:r>
      <w:rPr>
        <w:noProof/>
      </w:rPr>
      <w:pict w14:anchorId="5E8CA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24F7"/>
    <w:rsid w:val="000A47FA"/>
    <w:rsid w:val="000A65D3"/>
    <w:rsid w:val="000B1E33"/>
    <w:rsid w:val="000D689F"/>
    <w:rsid w:val="000E7B7B"/>
    <w:rsid w:val="000E7D62"/>
    <w:rsid w:val="00103357"/>
    <w:rsid w:val="001070A5"/>
    <w:rsid w:val="00123C9F"/>
    <w:rsid w:val="00126190"/>
    <w:rsid w:val="001276D4"/>
    <w:rsid w:val="00130F17"/>
    <w:rsid w:val="001320BF"/>
    <w:rsid w:val="00163BC4"/>
    <w:rsid w:val="00191062"/>
    <w:rsid w:val="00192B72"/>
    <w:rsid w:val="001A29D8"/>
    <w:rsid w:val="001A5CAA"/>
    <w:rsid w:val="001B0427"/>
    <w:rsid w:val="001C38D1"/>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66C"/>
    <w:rsid w:val="002E0D56"/>
    <w:rsid w:val="003031A2"/>
    <w:rsid w:val="00311BF1"/>
    <w:rsid w:val="00315186"/>
    <w:rsid w:val="00315FE1"/>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52DC"/>
    <w:rsid w:val="004D2CFB"/>
    <w:rsid w:val="004D305E"/>
    <w:rsid w:val="004D4277"/>
    <w:rsid w:val="00502516"/>
    <w:rsid w:val="00505F06"/>
    <w:rsid w:val="00506828"/>
    <w:rsid w:val="0053056E"/>
    <w:rsid w:val="00542CB7"/>
    <w:rsid w:val="00554FDA"/>
    <w:rsid w:val="005C784C"/>
    <w:rsid w:val="005D17F6"/>
    <w:rsid w:val="005E181F"/>
    <w:rsid w:val="005E5539"/>
    <w:rsid w:val="00602BF5"/>
    <w:rsid w:val="00617FDD"/>
    <w:rsid w:val="00633614"/>
    <w:rsid w:val="00633F68"/>
    <w:rsid w:val="00636EB2"/>
    <w:rsid w:val="006375B8"/>
    <w:rsid w:val="0066510A"/>
    <w:rsid w:val="00673F9F"/>
    <w:rsid w:val="0068517B"/>
    <w:rsid w:val="00686953"/>
    <w:rsid w:val="00687DEA"/>
    <w:rsid w:val="00687E67"/>
    <w:rsid w:val="006967F7"/>
    <w:rsid w:val="006A250C"/>
    <w:rsid w:val="006A6DAB"/>
    <w:rsid w:val="006B21D3"/>
    <w:rsid w:val="006B57D0"/>
    <w:rsid w:val="006D30FF"/>
    <w:rsid w:val="006D6940"/>
    <w:rsid w:val="006F11EC"/>
    <w:rsid w:val="006F16D5"/>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3B2"/>
    <w:rsid w:val="00927834"/>
    <w:rsid w:val="009500A6"/>
    <w:rsid w:val="00957C18"/>
    <w:rsid w:val="009659BA"/>
    <w:rsid w:val="00983040"/>
    <w:rsid w:val="009B3FB9"/>
    <w:rsid w:val="009C2465"/>
    <w:rsid w:val="009D35A0"/>
    <w:rsid w:val="009D7EB7"/>
    <w:rsid w:val="009E048A"/>
    <w:rsid w:val="009E08E9"/>
    <w:rsid w:val="009E26D0"/>
    <w:rsid w:val="009E3DB9"/>
    <w:rsid w:val="009E6E35"/>
    <w:rsid w:val="009F0EDA"/>
    <w:rsid w:val="00A03B96"/>
    <w:rsid w:val="00A05B19"/>
    <w:rsid w:val="00A1134E"/>
    <w:rsid w:val="00A24E7E"/>
    <w:rsid w:val="00A258C3"/>
    <w:rsid w:val="00A26069"/>
    <w:rsid w:val="00A347C0"/>
    <w:rsid w:val="00A51431"/>
    <w:rsid w:val="00A539AD"/>
    <w:rsid w:val="00A54373"/>
    <w:rsid w:val="00A8190A"/>
    <w:rsid w:val="00A94063"/>
    <w:rsid w:val="00AA6219"/>
    <w:rsid w:val="00AA74E0"/>
    <w:rsid w:val="00AB703F"/>
    <w:rsid w:val="00AC6BB8"/>
    <w:rsid w:val="00AE008F"/>
    <w:rsid w:val="00B01FCD"/>
    <w:rsid w:val="00B1776C"/>
    <w:rsid w:val="00B17CEA"/>
    <w:rsid w:val="00B52583"/>
    <w:rsid w:val="00B52896"/>
    <w:rsid w:val="00B94A36"/>
    <w:rsid w:val="00B95236"/>
    <w:rsid w:val="00B96BD9"/>
    <w:rsid w:val="00BA1B01"/>
    <w:rsid w:val="00BA2641"/>
    <w:rsid w:val="00BB37AA"/>
    <w:rsid w:val="00BC391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1634"/>
    <w:rsid w:val="00D74CB0"/>
    <w:rsid w:val="00D75365"/>
    <w:rsid w:val="00D8295D"/>
    <w:rsid w:val="00DC2A65"/>
    <w:rsid w:val="00DD5B1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2F3"/>
    <w:rsid w:val="00F06F59"/>
    <w:rsid w:val="00F17988"/>
    <w:rsid w:val="00F335E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59FB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D5B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D5B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D5B12"/>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DD5B1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DD5B12"/>
    <w:rPr>
      <w:rFonts w:asciiTheme="majorHAnsi" w:eastAsiaTheme="majorEastAsia" w:hAnsiTheme="majorHAnsi" w:cstheme="majorBidi"/>
      <w:color w:val="365F91" w:themeColor="accent1" w:themeShade="BF"/>
      <w:sz w:val="26"/>
      <w:szCs w:val="26"/>
    </w:rPr>
  </w:style>
  <w:style w:type="character" w:customStyle="1" w:styleId="selected">
    <w:name w:val="selected"/>
    <w:basedOn w:val="DefaultParagraphFont"/>
    <w:rsid w:val="00DD5B12"/>
  </w:style>
  <w:style w:type="character" w:customStyle="1" w:styleId="citation-41">
    <w:name w:val="citation-41"/>
    <w:basedOn w:val="DefaultParagraphFont"/>
    <w:rsid w:val="00315FE1"/>
  </w:style>
  <w:style w:type="character" w:customStyle="1" w:styleId="citation-40">
    <w:name w:val="citation-40"/>
    <w:basedOn w:val="DefaultParagraphFont"/>
    <w:rsid w:val="00315FE1"/>
  </w:style>
  <w:style w:type="character" w:customStyle="1" w:styleId="citation-39">
    <w:name w:val="citation-39"/>
    <w:basedOn w:val="DefaultParagraphFont"/>
    <w:rsid w:val="00315FE1"/>
  </w:style>
  <w:style w:type="character" w:customStyle="1" w:styleId="citation-38">
    <w:name w:val="citation-38"/>
    <w:basedOn w:val="DefaultParagraphFont"/>
    <w:rsid w:val="00315FE1"/>
  </w:style>
  <w:style w:type="character" w:customStyle="1" w:styleId="citation-37">
    <w:name w:val="citation-37"/>
    <w:basedOn w:val="DefaultParagraphFont"/>
    <w:rsid w:val="00315FE1"/>
  </w:style>
  <w:style w:type="character" w:customStyle="1" w:styleId="citation-47">
    <w:name w:val="citation-47"/>
    <w:basedOn w:val="DefaultParagraphFont"/>
    <w:rsid w:val="00315FE1"/>
  </w:style>
  <w:style w:type="character" w:customStyle="1" w:styleId="citation-46">
    <w:name w:val="citation-46"/>
    <w:basedOn w:val="DefaultParagraphFont"/>
    <w:rsid w:val="00315FE1"/>
  </w:style>
  <w:style w:type="character" w:customStyle="1" w:styleId="citation-45">
    <w:name w:val="citation-45"/>
    <w:basedOn w:val="DefaultParagraphFont"/>
    <w:rsid w:val="00315FE1"/>
  </w:style>
  <w:style w:type="character" w:customStyle="1" w:styleId="citation-44">
    <w:name w:val="citation-44"/>
    <w:basedOn w:val="DefaultParagraphFont"/>
    <w:rsid w:val="00315FE1"/>
  </w:style>
  <w:style w:type="character" w:customStyle="1" w:styleId="citation-43">
    <w:name w:val="citation-43"/>
    <w:basedOn w:val="DefaultParagraphFont"/>
    <w:rsid w:val="00315FE1"/>
  </w:style>
  <w:style w:type="character" w:customStyle="1" w:styleId="citation-42">
    <w:name w:val="citation-42"/>
    <w:basedOn w:val="DefaultParagraphFont"/>
    <w:rsid w:val="00315FE1"/>
  </w:style>
  <w:style w:type="character" w:customStyle="1" w:styleId="FooterChar">
    <w:name w:val="Footer Char"/>
    <w:basedOn w:val="DefaultParagraphFont"/>
    <w:link w:val="Footer"/>
    <w:rsid w:val="003031A2"/>
    <w:rPr>
      <w:rFonts w:ascii="Helvetica" w:hAnsi="Helvetica"/>
    </w:rPr>
  </w:style>
  <w:style w:type="character" w:customStyle="1" w:styleId="UnresolvedMention">
    <w:name w:val="Unresolved Mention"/>
    <w:basedOn w:val="DefaultParagraphFont"/>
    <w:uiPriority w:val="99"/>
    <w:semiHidden/>
    <w:unhideWhenUsed/>
    <w:rsid w:val="006F16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D5B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D5B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D5B12"/>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DD5B1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DD5B12"/>
    <w:rPr>
      <w:rFonts w:asciiTheme="majorHAnsi" w:eastAsiaTheme="majorEastAsia" w:hAnsiTheme="majorHAnsi" w:cstheme="majorBidi"/>
      <w:color w:val="365F91" w:themeColor="accent1" w:themeShade="BF"/>
      <w:sz w:val="26"/>
      <w:szCs w:val="26"/>
    </w:rPr>
  </w:style>
  <w:style w:type="character" w:customStyle="1" w:styleId="selected">
    <w:name w:val="selected"/>
    <w:basedOn w:val="DefaultParagraphFont"/>
    <w:rsid w:val="00DD5B12"/>
  </w:style>
  <w:style w:type="character" w:customStyle="1" w:styleId="citation-41">
    <w:name w:val="citation-41"/>
    <w:basedOn w:val="DefaultParagraphFont"/>
    <w:rsid w:val="00315FE1"/>
  </w:style>
  <w:style w:type="character" w:customStyle="1" w:styleId="citation-40">
    <w:name w:val="citation-40"/>
    <w:basedOn w:val="DefaultParagraphFont"/>
    <w:rsid w:val="00315FE1"/>
  </w:style>
  <w:style w:type="character" w:customStyle="1" w:styleId="citation-39">
    <w:name w:val="citation-39"/>
    <w:basedOn w:val="DefaultParagraphFont"/>
    <w:rsid w:val="00315FE1"/>
  </w:style>
  <w:style w:type="character" w:customStyle="1" w:styleId="citation-38">
    <w:name w:val="citation-38"/>
    <w:basedOn w:val="DefaultParagraphFont"/>
    <w:rsid w:val="00315FE1"/>
  </w:style>
  <w:style w:type="character" w:customStyle="1" w:styleId="citation-37">
    <w:name w:val="citation-37"/>
    <w:basedOn w:val="DefaultParagraphFont"/>
    <w:rsid w:val="00315FE1"/>
  </w:style>
  <w:style w:type="character" w:customStyle="1" w:styleId="citation-47">
    <w:name w:val="citation-47"/>
    <w:basedOn w:val="DefaultParagraphFont"/>
    <w:rsid w:val="00315FE1"/>
  </w:style>
  <w:style w:type="character" w:customStyle="1" w:styleId="citation-46">
    <w:name w:val="citation-46"/>
    <w:basedOn w:val="DefaultParagraphFont"/>
    <w:rsid w:val="00315FE1"/>
  </w:style>
  <w:style w:type="character" w:customStyle="1" w:styleId="citation-45">
    <w:name w:val="citation-45"/>
    <w:basedOn w:val="DefaultParagraphFont"/>
    <w:rsid w:val="00315FE1"/>
  </w:style>
  <w:style w:type="character" w:customStyle="1" w:styleId="citation-44">
    <w:name w:val="citation-44"/>
    <w:basedOn w:val="DefaultParagraphFont"/>
    <w:rsid w:val="00315FE1"/>
  </w:style>
  <w:style w:type="character" w:customStyle="1" w:styleId="citation-43">
    <w:name w:val="citation-43"/>
    <w:basedOn w:val="DefaultParagraphFont"/>
    <w:rsid w:val="00315FE1"/>
  </w:style>
  <w:style w:type="character" w:customStyle="1" w:styleId="citation-42">
    <w:name w:val="citation-42"/>
    <w:basedOn w:val="DefaultParagraphFont"/>
    <w:rsid w:val="00315FE1"/>
  </w:style>
  <w:style w:type="character" w:customStyle="1" w:styleId="FooterChar">
    <w:name w:val="Footer Char"/>
    <w:basedOn w:val="DefaultParagraphFont"/>
    <w:link w:val="Footer"/>
    <w:rsid w:val="003031A2"/>
    <w:rPr>
      <w:rFonts w:ascii="Helvetica" w:hAnsi="Helvetica"/>
    </w:rPr>
  </w:style>
  <w:style w:type="character" w:customStyle="1" w:styleId="UnresolvedMention">
    <w:name w:val="Unresolved Mention"/>
    <w:basedOn w:val="DefaultParagraphFont"/>
    <w:uiPriority w:val="99"/>
    <w:semiHidden/>
    <w:unhideWhenUsed/>
    <w:rsid w:val="006F1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38/ejcn.2014.124" TargetMode="External"/><Relationship Id="rId26" Type="http://schemas.openxmlformats.org/officeDocument/2006/relationships/hyperlink" Target="https://doi.org/10.1016/j.tem.2022.01.00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8/nature05485" TargetMode="External"/><Relationship Id="rId34" Type="http://schemas.openxmlformats.org/officeDocument/2006/relationships/hyperlink" Target="https://doi.org/10.1159/00051480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97/XCS.0000000000000578" TargetMode="External"/><Relationship Id="rId25" Type="http://schemas.openxmlformats.org/officeDocument/2006/relationships/hyperlink" Target="https://doi.org/10.1017/S136898002100346X" TargetMode="External"/><Relationship Id="rId33" Type="http://schemas.openxmlformats.org/officeDocument/2006/relationships/hyperlink" Target="https://doi.org/10.1172/JCI25102"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S2213-8587(21)00182-4" TargetMode="External"/><Relationship Id="rId20" Type="http://schemas.openxmlformats.org/officeDocument/2006/relationships/hyperlink" Target="https://doi.org/10.20960/nh.05383" TargetMode="External"/><Relationship Id="rId29" Type="http://schemas.openxmlformats.org/officeDocument/2006/relationships/hyperlink" Target="https://doi.org/10.1046/j.1467-789x.2001.00029.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36/gutjnl-2016-312288" TargetMode="External"/><Relationship Id="rId32" Type="http://schemas.openxmlformats.org/officeDocument/2006/relationships/hyperlink" Target="https://doi.org/10.1016/S2468-1253(22)00059-5"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07/s10620-012-2221-0" TargetMode="External"/><Relationship Id="rId23" Type="http://schemas.openxmlformats.org/officeDocument/2006/relationships/hyperlink" Target="http://MDText.com" TargetMode="External"/><Relationship Id="rId28" Type="http://schemas.openxmlformats.org/officeDocument/2006/relationships/hyperlink" Target="https://doi.org/10.1111/j.1753-4887.2011.00456.x"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oi.org/10.1590/S0004-28032014000200013" TargetMode="External"/><Relationship Id="rId31" Type="http://schemas.openxmlformats.org/officeDocument/2006/relationships/hyperlink" Target="https://doi.org/10.1152/physrev.00035.201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28/CMR.00054-05" TargetMode="External"/><Relationship Id="rId27" Type="http://schemas.openxmlformats.org/officeDocument/2006/relationships/hyperlink" Target="https://doi.org/10.3390/nu14091873" TargetMode="External"/><Relationship Id="rId30" Type="http://schemas.openxmlformats.org/officeDocument/2006/relationships/hyperlink" Target="https://doi.org/10.1152/ajpheart.00198.2005"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A063-84A2-4712-9400-884EFEEF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9</Pages>
  <Words>5520</Words>
  <Characters>31468</Characters>
  <Application>Microsoft Office Word</Application>
  <DocSecurity>0</DocSecurity>
  <Lines>262</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36915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7</cp:revision>
  <cp:lastPrinted>1999-07-06T11:00:00Z</cp:lastPrinted>
  <dcterms:created xsi:type="dcterms:W3CDTF">2025-09-16T18:34:00Z</dcterms:created>
  <dcterms:modified xsi:type="dcterms:W3CDTF">2025-09-16T20:02:00Z</dcterms:modified>
</cp:coreProperties>
</file>