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ED6C2" w14:textId="0BDC5B58" w:rsidR="00B017D3" w:rsidRDefault="00B017D3" w:rsidP="00137D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017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Case Report</w:t>
      </w:r>
    </w:p>
    <w:p w14:paraId="6F09B70A" w14:textId="77777777" w:rsidR="00B017D3" w:rsidRDefault="00B017D3" w:rsidP="00137D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14:paraId="7B437B66" w14:textId="446197CF" w:rsidR="00137D6A" w:rsidRPr="00137D6A" w:rsidRDefault="00137D6A" w:rsidP="00137D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Coffin-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by an ARID1B Mutation: A Case Report</w:t>
      </w:r>
    </w:p>
    <w:p w14:paraId="7296DB58" w14:textId="1D807875" w:rsidR="00EB1FC2" w:rsidRPr="00EB1FC2" w:rsidRDefault="00EB1FC2" w:rsidP="00EB1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06FDA224" w14:textId="77777777" w:rsidR="003A76C6" w:rsidRPr="003A76C6" w:rsidRDefault="003A76C6" w:rsidP="003A7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4B4202F6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Abstract</w:t>
      </w:r>
    </w:p>
    <w:p w14:paraId="3E7886F0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30DD6A6C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Introduction</w:t>
      </w: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proofErr w:type="gram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Coffin</w:t>
      </w:r>
      <w:proofErr w:type="gram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-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Siris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syndrome (CSS)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rare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genetic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disorder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belonging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to the group of </w:t>
      </w:r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SWI/SNF-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related</w:t>
      </w:r>
      <w:proofErr w:type="spellEnd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intellectual</w:t>
      </w:r>
      <w:proofErr w:type="spellEnd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disability</w:t>
      </w:r>
      <w:proofErr w:type="spellEnd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disorders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It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characterized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by global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developmental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delay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variable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intellectual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disability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distinctive facial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dysmorphism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hypoplasia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/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aplasia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distal phalanges,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particularly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fifth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digit.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Among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involved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ARID1B</w:t>
      </w:r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most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frequently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mutated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representing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majority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genetically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confirmed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cases.</w:t>
      </w:r>
    </w:p>
    <w:p w14:paraId="394884C8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E1AB470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Case </w:t>
      </w:r>
      <w:proofErr w:type="spellStart"/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presentation</w:t>
      </w:r>
      <w:proofErr w:type="spellEnd"/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report the case of </w:t>
      </w:r>
      <w:proofErr w:type="gram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14-year-old boy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global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characteristic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digits,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dorsolumbar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café-au-lait macules,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rarely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CSS.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Complementary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investigations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unremarkable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normal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Exome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novel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heterozygous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deletion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r w:rsidRPr="003A76C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ARID1B</w:t>
      </w: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gene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(NM_001374828.1:c.2964del; NP_001361757.1:p.Ser989ValfsTer20),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frameshift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predicted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cause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protein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truncation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variant, absent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unreported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likely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type 1 (OMIM:135900).</w:t>
      </w:r>
    </w:p>
    <w:p w14:paraId="518906FA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DD79F1" w14:textId="77777777" w:rsid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Conclusion:</w:t>
      </w: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This case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illustrates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gram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</w:t>
      </w:r>
      <w:proofErr w:type="gram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typical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ARID1B</w:t>
      </w:r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-related Coffin-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Siris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phenotype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while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reporting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novel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variant,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thereby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contributing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to the expansion of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molecular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spectrum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CSS. It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underscores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pivotal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role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next-generation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sequencing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in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confirming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diagnosis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complex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malformation syndromes,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facilitating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appropriate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multidisciplinary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care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genetic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counseling.</w:t>
      </w:r>
    </w:p>
    <w:p w14:paraId="1B9BD337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02B574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Keywords</w:t>
      </w:r>
    </w:p>
    <w:p w14:paraId="36F80021" w14:textId="77777777" w:rsidR="003A76C6" w:rsidRPr="003A76C6" w:rsidRDefault="003A76C6" w:rsidP="003A76C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Coffin-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syndrome; ARID1B;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exome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3A76C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29B56C" w14:textId="77777777" w:rsidR="003A76C6" w:rsidRDefault="003A76C6" w:rsidP="003A7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21DC5B" w14:textId="77777777" w:rsidR="003A76C6" w:rsidRPr="003A76C6" w:rsidRDefault="003A76C6" w:rsidP="003A76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80F6D04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Introduction</w:t>
      </w:r>
    </w:p>
    <w:p w14:paraId="02D62A1E" w14:textId="77777777" w:rsidR="00137D6A" w:rsidRPr="004E1947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Coffin-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Siris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syndrome (CSS)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rare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complex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genetic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disorder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belonging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to the group of </w:t>
      </w:r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SWI/SNF-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related</w:t>
      </w:r>
      <w:proofErr w:type="spellEnd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intellectual</w:t>
      </w:r>
      <w:proofErr w:type="spellEnd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disability</w:t>
      </w:r>
      <w:proofErr w:type="spellEnd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disorders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It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characterized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by global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developmental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delay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variable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intellectual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disability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distinctive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dysmorphic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features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hypoplasia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/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aplasia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distal phalanges,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particularly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fifth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digit.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Since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its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first description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1970,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clinical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genetic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spectrum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has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expanded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considerably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largely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due to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advent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next-generation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sequencing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(NGS) technologies [1–3].</w:t>
      </w:r>
    </w:p>
    <w:p w14:paraId="6D1A7785" w14:textId="77777777" w:rsidR="00137D6A" w:rsidRPr="004E1947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Among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implicated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r w:rsidRPr="004E194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ARID1B</w:t>
      </w:r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by far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most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frequently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mutated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accounts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for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majority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genetically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confirmed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cases [4–6]. The ARID1B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phenotype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characterized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by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moderate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intellectual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disability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speech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delay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progressive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dysmorphic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features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overall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preserved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survival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However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significant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interindividual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variability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has been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reported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making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clinical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diagnosis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sometimes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challenging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.</w:t>
      </w:r>
    </w:p>
    <w:p w14:paraId="2B68131E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report a case of CSS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confirmed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by a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pathogenic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mutation in ARID1B,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highlighting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importance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molecular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diagnosis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in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evaluation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complex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malformative syndromes, and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discussing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role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this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within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Coffin-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Siris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spectrum</w:t>
      </w:r>
      <w:proofErr w:type="spellEnd"/>
      <w:r w:rsidRPr="004E1947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.</w:t>
      </w:r>
    </w:p>
    <w:p w14:paraId="52B242BC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B70229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Case Report</w:t>
      </w:r>
    </w:p>
    <w:p w14:paraId="56DAACE5" w14:textId="77777777" w:rsidR="00137D6A" w:rsidRPr="003A7E1C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Ilyass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14-year-old boy, the second of five siblings,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born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to non-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consanguineous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parents. The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pregnancy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was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uneventful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and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well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monitored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Delivery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was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by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cesarean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section,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with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immediate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crying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at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birth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and a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birth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weight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3000 g.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Family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history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not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reveal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similar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conditions or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neurodevelopmental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disorders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.</w:t>
      </w:r>
    </w:p>
    <w:p w14:paraId="1E27AA68" w14:textId="77777777" w:rsidR="00137D6A" w:rsidRPr="003A7E1C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Psychomotor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development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was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notably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delayed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: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independent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walking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was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only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achieved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after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age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two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and a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half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years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and intelligible speech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emerged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around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age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three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Academically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the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child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experienced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persistent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difficulties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requiring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specialized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support and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referral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to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child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psychiatry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for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moderate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intellectual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disability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.</w:t>
      </w:r>
    </w:p>
    <w:p w14:paraId="72C109C1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Clinical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examination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revealed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characteristic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facial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dysmorphism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: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triangular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face,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low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anterior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hairline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prominent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ears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thick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lips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long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eyelashes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and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microcrania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Additional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findings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included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café-au-lait spots, a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broad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intermammary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distance, and flat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feet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Musculoskeletal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examination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revealed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dorsolumbar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scoliosis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radiologically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confirmed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.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Examination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extremities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showed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bilateral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hypoplasia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distal phalanges of the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fifth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fingers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considered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cardinal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sign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syndrome.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medical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surgically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corrected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2A0373B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Complementary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investigations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globally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unremarkable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standard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normal, ENT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ophthalmological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evaluations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cardiac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abdominopelvic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Skeletal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X-rays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dorsolumbar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0773D809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exome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heterozygous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deletion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in the ARID1B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(NM_001374828.1:c.2964del; NP_001361757.1:p.Ser989ValfsTer20)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variant causes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frameshift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leading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protein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truncation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nonsense-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mediated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mRNA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decay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absent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gnomAD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v4.1.0), has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classified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likely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pathogenic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thereby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type 1 (OMIM:135900) (Figure 1).</w:t>
      </w:r>
    </w:p>
    <w:p w14:paraId="02337FA7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B4EDDB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Discussion</w:t>
      </w:r>
    </w:p>
    <w:p w14:paraId="1415A947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Coffin-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Siris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syndrome (CSS)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rare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genetic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condition first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described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1970 by Coffin and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Siris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in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three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female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patients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presenting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with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intellectual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disability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digital anomalies, and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recognizable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facial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dysmorphism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[7]. It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is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now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classified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within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the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spectrum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</w:t>
      </w:r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SWI/SNF-</w:t>
      </w:r>
      <w:proofErr w:type="spellStart"/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related</w:t>
      </w:r>
      <w:proofErr w:type="spellEnd"/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intellectual</w:t>
      </w:r>
      <w:proofErr w:type="spellEnd"/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disability</w:t>
      </w:r>
      <w:proofErr w:type="spellEnd"/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disorders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a group of syndromes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caused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by mutations in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genes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encoding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subunits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of the SWI/SNF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chromatin-remodeling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complex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,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which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plays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a key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role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in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transcriptional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</w:t>
      </w:r>
      <w:proofErr w:type="spellStart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regulation</w:t>
      </w:r>
      <w:proofErr w:type="spellEnd"/>
      <w:r w:rsidRPr="003A7E1C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 [1,8].</w:t>
      </w:r>
      <w:bookmarkStart w:id="0" w:name="_GoBack"/>
      <w:bookmarkEnd w:id="0"/>
    </w:p>
    <w:p w14:paraId="1E0BD48A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Prevalence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Epidemiology</w:t>
      </w:r>
      <w:proofErr w:type="spellEnd"/>
    </w:p>
    <w:p w14:paraId="46E56EDD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CSS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ultra-rare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few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hundred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described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worldwide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exact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prevalence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unknown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international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Orphanet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OMIM)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frequency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&lt;1/100,000 live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births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introduction of NGS technologies,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diagnoses has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increased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[9].</w:t>
      </w:r>
    </w:p>
    <w:p w14:paraId="6ADAE35F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Description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Phenotypic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Variability</w:t>
      </w:r>
      <w:proofErr w:type="spellEnd"/>
    </w:p>
    <w:p w14:paraId="6A5195D1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CSS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56ED58C1" w14:textId="77777777" w:rsidR="00137D6A" w:rsidRPr="00137D6A" w:rsidRDefault="00137D6A" w:rsidP="00137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global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over 90% of cases [5,6],</w:t>
      </w:r>
    </w:p>
    <w:p w14:paraId="6A72B82E" w14:textId="77777777" w:rsidR="00137D6A" w:rsidRPr="00137D6A" w:rsidRDefault="00137D6A" w:rsidP="00137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characteristic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facial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dysmorphism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mouth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thick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lips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long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eyelashes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hairline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prominent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ears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flat 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upturned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nose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[10],</w:t>
      </w:r>
    </w:p>
    <w:p w14:paraId="4E10B545" w14:textId="77777777" w:rsidR="00137D6A" w:rsidRPr="00137D6A" w:rsidRDefault="00137D6A" w:rsidP="00137D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hypoplasia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aplasia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the distal phalanges of the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fingers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or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almost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pathognomonic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[11].</w:t>
      </w:r>
    </w:p>
    <w:p w14:paraId="7206FBDE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anomalies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skeletal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joint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laxity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flat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feet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urogenital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defects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malformations),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neurological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hypotonia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seizures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white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matter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abnormalities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cutaneous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manifestations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hirsutism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hypertrichosis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pigmentary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) [12,13].</w:t>
      </w:r>
    </w:p>
    <w:p w14:paraId="10F971C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all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major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global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triangular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microcrania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finger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dorsolumbar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a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bilateral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originality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 lies in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presence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café-au-lait macules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rarely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suggesting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possible extension of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cutaneous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ARID1B.</w:t>
      </w:r>
    </w:p>
    <w:p w14:paraId="4C8DC790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Genotype-Phenotype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Correlations</w:t>
      </w:r>
      <w:proofErr w:type="spellEnd"/>
    </w:p>
    <w:p w14:paraId="762DBFF8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CSS (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ARID1A, ARID1B, SMARCA4, SMARCB1, SMARCE1, DPF2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Among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ARID1B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most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frequently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mutated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65–70%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 [5,6].</w:t>
      </w:r>
    </w:p>
    <w:p w14:paraId="542A731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Patients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 mutations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usually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typical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language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cognitive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progressive facial anomalies, digital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hypoplasia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major life-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threatening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visceral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malformations [4,9]. This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contrasts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mutations in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ARID1A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SMARCA4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neonatal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lethal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[8].</w:t>
      </w:r>
    </w:p>
    <w:p w14:paraId="7B8D5B9E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Our observation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because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variant (c.2964del; p.Ser989ValfsTer20)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novel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absent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databases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previously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literature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expands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ARID1B mutations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reinforces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classic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900B3AE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Complementary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Investigations and the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Role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 NGS</w:t>
      </w:r>
    </w:p>
    <w:p w14:paraId="2AFA210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CGH-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array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 in CSS [10].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exome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definitive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Identification of the causal mutation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crucial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both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diagnostic confirmation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for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ruling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 close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differential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diagnoses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Nicolaides-Baraitser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, Cornelia de Lange, or Rubinstein-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Taybi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syndromes [3,14].</w:t>
      </w:r>
    </w:p>
    <w:p w14:paraId="58D11ADF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normal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exome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decisive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pathogenic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 mutation.</w:t>
      </w:r>
    </w:p>
    <w:p w14:paraId="6900D259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Therapeutic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Management</w:t>
      </w:r>
    </w:p>
    <w:p w14:paraId="5F928B67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curative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Management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multidisciplinary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individualized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neurodevelopmental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-up (speech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psychomotor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education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orthopedic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monitoring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scoliosis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joint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laxity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urological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surgery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cryptorchidism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anomalies),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endocrinological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metabolic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-up, 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well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psychiatric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social support [15].</w:t>
      </w:r>
    </w:p>
    <w:p w14:paraId="13FADDEA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Progno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sis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and Evolution</w:t>
      </w:r>
    </w:p>
    <w:p w14:paraId="1A201847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variable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favorable for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survival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patients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ARID1B mutations.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remains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main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functional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handicap,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ranging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moderate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severe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largely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determines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autonomy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adulthood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[6,9].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tend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become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pronounced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evident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adolescents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adults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C500D18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case,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evolution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was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stable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requiring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specialized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educational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support,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major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visceral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</w:t>
      </w:r>
    </w:p>
    <w:p w14:paraId="06133F7E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Perspectives</w:t>
      </w:r>
    </w:p>
    <w:p w14:paraId="2B777C39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Future directions in CSS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research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21E55A12" w14:textId="77777777" w:rsidR="00137D6A" w:rsidRPr="00137D6A" w:rsidRDefault="00137D6A" w:rsidP="00137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better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understanding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genotype-phenotype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correlations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borderline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CSS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nonspecific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76BD2353" w14:textId="77777777" w:rsidR="00137D6A" w:rsidRPr="00137D6A" w:rsidRDefault="00137D6A" w:rsidP="00137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identification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14:paraId="51012F99" w14:textId="77777777" w:rsidR="00137D6A" w:rsidRPr="00137D6A" w:rsidRDefault="00137D6A" w:rsidP="00137D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targeted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epigenetic</w:t>
      </w:r>
      <w:proofErr w:type="spellEnd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therapies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 [8,9].</w:t>
      </w:r>
    </w:p>
    <w:p w14:paraId="358BD195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F4022B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Conclusion</w:t>
      </w:r>
    </w:p>
    <w:p w14:paraId="5F03F892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rare but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recognizable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entity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global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delay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typical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facial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dysmorphism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digital anomalies are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ARID1B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contribution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next-generation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essential for diagnostic confirmation,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karyotype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normal. This case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importance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rare syndromes,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enabling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tailored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multidisciplinary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care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valuable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counseling,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contributing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expansion of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molecular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</w:t>
      </w:r>
    </w:p>
    <w:p w14:paraId="3663E7C9" w14:textId="77777777" w:rsidR="00137D6A" w:rsidRPr="00137D6A" w:rsidRDefault="00137D6A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FCF54" w14:textId="77777777" w:rsidR="00137D6A" w:rsidRPr="00137D6A" w:rsidRDefault="00137D6A" w:rsidP="00137D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References</w:t>
      </w:r>
      <w:proofErr w:type="spellEnd"/>
    </w:p>
    <w:p w14:paraId="2681A408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Tsurusaki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et al. Mutations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components of the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cause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Nat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2012;44(4):376–80.</w:t>
      </w:r>
    </w:p>
    <w:p w14:paraId="567E8A91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Kosho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Miyake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N.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components of the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Congenit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Anom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(Kyoto)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2014;54(3):114–25.</w:t>
      </w:r>
    </w:p>
    <w:p w14:paraId="4F96B757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Santen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GW, et al. The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role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exome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Clin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2019;95(3):399–407.</w:t>
      </w:r>
    </w:p>
    <w:p w14:paraId="64045633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Halgren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et al. ARID1B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cause of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mutational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Eur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J Hum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2012;20(7):701–7.</w:t>
      </w:r>
    </w:p>
    <w:p w14:paraId="156BDB51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Bramswig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NC,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ARID1B mutations: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expanding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Hum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Mutat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2017;38(11):1374–85.</w:t>
      </w:r>
    </w:p>
    <w:p w14:paraId="65C95E68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Santen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GW, et al. ARID1B-related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case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series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 J Med Genet 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2014;164A(7):1761–71.</w:t>
      </w:r>
    </w:p>
    <w:p w14:paraId="7937AD85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Coffin GS,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E. Mental retardation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absent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fifth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fingernail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terminal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phalanx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Am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Dis Child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1970;119(5):433–9.</w:t>
      </w:r>
    </w:p>
    <w:p w14:paraId="6808BD2D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Parenti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et al. Mutations in SWI/SNF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expanding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Nicolaides-Baraitser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 Med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2020;57(5):339–46.</w:t>
      </w:r>
    </w:p>
    <w:p w14:paraId="324E5CE9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Hoyer J,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spectrum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ARID1B mutations: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nonspecific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intellectual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disability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Clin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2021;99(2):187–200.</w:t>
      </w:r>
    </w:p>
    <w:p w14:paraId="034F3043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Wieczorek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adhesion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pathways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Am J Med Genet C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Semin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Med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2013;163C(4):249–56.</w:t>
      </w:r>
    </w:p>
    <w:p w14:paraId="0FFB371C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Vergano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features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23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individuals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Am J Med Genet C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Semin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Med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2014;166C(3):250–6.</w:t>
      </w:r>
    </w:p>
    <w:p w14:paraId="337DEC91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Schrier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SA, et al. The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phenotype-genotype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 J Med Genet 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2012;158A(11):2646–55.</w:t>
      </w:r>
    </w:p>
    <w:p w14:paraId="00E9346C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Miyake N,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Genotype-phenotype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correlations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Coffin-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Siris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syndrome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caused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mutations in SMARCB1, SMARCA4, and ARID1B.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 Hum Genet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2017;62(5):481–9.</w:t>
      </w:r>
    </w:p>
    <w:p w14:paraId="0D8CBA20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Kline AD, et al.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management of Cornelia de Lange syndrome: 2018 consensus guidelines. </w:t>
      </w:r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 J Med Genet A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. 2018;176(4):865–77.</w:t>
      </w:r>
    </w:p>
    <w:p w14:paraId="6ACD1B84" w14:textId="77777777" w:rsidR="00137D6A" w:rsidRPr="00137D6A" w:rsidRDefault="00137D6A" w:rsidP="00137D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Vergano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SA,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Santen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G. ARID1B-related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disorder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In: </w:t>
      </w:r>
      <w:proofErr w:type="spellStart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GeneReviews</w:t>
      </w:r>
      <w:proofErr w:type="spellEnd"/>
      <w:r w:rsidRPr="00137D6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® [Internet]</w:t>
      </w:r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Seattle (WA):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University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Washington; </w:t>
      </w:r>
      <w:proofErr w:type="spellStart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>updated</w:t>
      </w:r>
      <w:proofErr w:type="spellEnd"/>
      <w:r w:rsidRPr="00137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2023.</w:t>
      </w:r>
    </w:p>
    <w:p w14:paraId="3CD1E75A" w14:textId="77777777" w:rsidR="003A76C6" w:rsidRDefault="003A76C6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76C6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171CDAAA" wp14:editId="5BAB0BDA">
            <wp:extent cx="3604602" cy="2187235"/>
            <wp:effectExtent l="0" t="0" r="0" b="3810"/>
            <wp:docPr id="1" name="Image 1" descr="C:\Users\asmae\Desktop\9d90bf0f-7009-4e71-bda7-3a51307dc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smae\Desktop\9d90bf0f-7009-4e71-bda7-3a51307dc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636" cy="21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53B50" w14:textId="77777777" w:rsidR="003A76C6" w:rsidRPr="00137D6A" w:rsidRDefault="003A76C6" w:rsidP="00137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Style w:val="Strong"/>
        </w:rPr>
        <w:t>Figure 1.</w:t>
      </w:r>
      <w:r>
        <w:t xml:space="preserve"> </w:t>
      </w:r>
      <w:proofErr w:type="spellStart"/>
      <w:r>
        <w:rPr>
          <w:rStyle w:val="Emphasis"/>
        </w:rPr>
        <w:t>Molecular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analysis</w:t>
      </w:r>
      <w:proofErr w:type="spellEnd"/>
      <w:r>
        <w:rPr>
          <w:rStyle w:val="Emphasis"/>
        </w:rPr>
        <w:t xml:space="preserve"> by </w:t>
      </w:r>
      <w:proofErr w:type="spellStart"/>
      <w:r>
        <w:rPr>
          <w:rStyle w:val="Emphasis"/>
        </w:rPr>
        <w:t>exome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sequencing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identified</w:t>
      </w:r>
      <w:proofErr w:type="spellEnd"/>
      <w:r>
        <w:rPr>
          <w:rStyle w:val="Emphasis"/>
        </w:rPr>
        <w:t xml:space="preserve"> a </w:t>
      </w:r>
      <w:proofErr w:type="spellStart"/>
      <w:r>
        <w:rPr>
          <w:rStyle w:val="Emphasis"/>
        </w:rPr>
        <w:t>heterozygous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deletion</w:t>
      </w:r>
      <w:proofErr w:type="spellEnd"/>
      <w:r>
        <w:rPr>
          <w:rStyle w:val="Emphasis"/>
        </w:rPr>
        <w:t xml:space="preserve"> in the ARID1B </w:t>
      </w:r>
      <w:proofErr w:type="spellStart"/>
      <w:r>
        <w:rPr>
          <w:rStyle w:val="Emphasis"/>
        </w:rPr>
        <w:t>gene</w:t>
      </w:r>
      <w:proofErr w:type="spellEnd"/>
    </w:p>
    <w:p w14:paraId="6CE1612C" w14:textId="77777777" w:rsidR="00137D6A" w:rsidRPr="00137D6A" w:rsidRDefault="00137D6A" w:rsidP="00137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59D185" w14:textId="77777777" w:rsidR="00137D6A" w:rsidRPr="00137D6A" w:rsidRDefault="00137D6A" w:rsidP="00137D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37D6A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19C78A99" w14:textId="77777777" w:rsidR="00DA5A38" w:rsidRDefault="00DA5A38"/>
    <w:sectPr w:rsidR="00DA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9C0D9" w14:textId="77777777" w:rsidR="0070459B" w:rsidRDefault="0070459B" w:rsidP="009D0031">
      <w:pPr>
        <w:spacing w:after="0" w:line="240" w:lineRule="auto"/>
      </w:pPr>
      <w:r>
        <w:separator/>
      </w:r>
    </w:p>
  </w:endnote>
  <w:endnote w:type="continuationSeparator" w:id="0">
    <w:p w14:paraId="15017E0C" w14:textId="77777777" w:rsidR="0070459B" w:rsidRDefault="0070459B" w:rsidP="009D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5635B" w14:textId="77777777" w:rsidR="009D0031" w:rsidRDefault="009D00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C3BA0" w14:textId="77777777" w:rsidR="009D0031" w:rsidRDefault="009D00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F1AAE" w14:textId="77777777" w:rsidR="009D0031" w:rsidRDefault="009D00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DDD1C" w14:textId="77777777" w:rsidR="0070459B" w:rsidRDefault="0070459B" w:rsidP="009D0031">
      <w:pPr>
        <w:spacing w:after="0" w:line="240" w:lineRule="auto"/>
      </w:pPr>
      <w:r>
        <w:separator/>
      </w:r>
    </w:p>
  </w:footnote>
  <w:footnote w:type="continuationSeparator" w:id="0">
    <w:p w14:paraId="35B13BA9" w14:textId="77777777" w:rsidR="0070459B" w:rsidRDefault="0070459B" w:rsidP="009D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C880A" w14:textId="144205F8" w:rsidR="009D0031" w:rsidRDefault="0070459B">
    <w:pPr>
      <w:pStyle w:val="Header"/>
    </w:pPr>
    <w:r>
      <w:rPr>
        <w:noProof/>
      </w:rPr>
      <w:pict w14:anchorId="6D4BE9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75313" o:spid="_x0000_s2050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4276" w14:textId="50975FD7" w:rsidR="009D0031" w:rsidRDefault="0070459B">
    <w:pPr>
      <w:pStyle w:val="Header"/>
    </w:pPr>
    <w:r>
      <w:rPr>
        <w:noProof/>
      </w:rPr>
      <w:pict w14:anchorId="72D42B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75314" o:spid="_x0000_s2051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A68C0" w14:textId="3EC4E405" w:rsidR="009D0031" w:rsidRDefault="0070459B">
    <w:pPr>
      <w:pStyle w:val="Header"/>
    </w:pPr>
    <w:r>
      <w:rPr>
        <w:noProof/>
      </w:rPr>
      <w:pict w14:anchorId="60F55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75312" o:spid="_x0000_s2049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33191"/>
    <w:multiLevelType w:val="multilevel"/>
    <w:tmpl w:val="67D4B718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1">
    <w:nsid w:val="1D7F4DBD"/>
    <w:multiLevelType w:val="multilevel"/>
    <w:tmpl w:val="02A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03736"/>
    <w:multiLevelType w:val="hybridMultilevel"/>
    <w:tmpl w:val="FC6A1D6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7039D"/>
    <w:multiLevelType w:val="multilevel"/>
    <w:tmpl w:val="88B8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6A"/>
    <w:rsid w:val="00104D5B"/>
    <w:rsid w:val="00137D6A"/>
    <w:rsid w:val="002C076D"/>
    <w:rsid w:val="003A76C6"/>
    <w:rsid w:val="003A7E1C"/>
    <w:rsid w:val="00482840"/>
    <w:rsid w:val="004E1947"/>
    <w:rsid w:val="006B3D5C"/>
    <w:rsid w:val="006E183B"/>
    <w:rsid w:val="0070459B"/>
    <w:rsid w:val="007C3636"/>
    <w:rsid w:val="007D091B"/>
    <w:rsid w:val="009D0031"/>
    <w:rsid w:val="00B017D3"/>
    <w:rsid w:val="00B41924"/>
    <w:rsid w:val="00B77077"/>
    <w:rsid w:val="00DA5A38"/>
    <w:rsid w:val="00E115DF"/>
    <w:rsid w:val="00E261D8"/>
    <w:rsid w:val="00E80A27"/>
    <w:rsid w:val="00EB1FC2"/>
    <w:rsid w:val="00ED0863"/>
    <w:rsid w:val="00F2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5B41E16B"/>
  <w15:chartTrackingRefBased/>
  <w15:docId w15:val="{3504AC9F-55F1-4694-8F8C-04AA42EB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76C6"/>
    <w:rPr>
      <w:b/>
      <w:bCs/>
    </w:rPr>
  </w:style>
  <w:style w:type="character" w:styleId="Emphasis">
    <w:name w:val="Emphasis"/>
    <w:basedOn w:val="DefaultParagraphFont"/>
    <w:uiPriority w:val="20"/>
    <w:qFormat/>
    <w:rsid w:val="003A76C6"/>
    <w:rPr>
      <w:i/>
      <w:iCs/>
    </w:rPr>
  </w:style>
  <w:style w:type="paragraph" w:styleId="ListParagraph">
    <w:name w:val="List Paragraph"/>
    <w:basedOn w:val="Normal"/>
    <w:uiPriority w:val="34"/>
    <w:qFormat/>
    <w:rsid w:val="003A76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F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31"/>
  </w:style>
  <w:style w:type="paragraph" w:styleId="Footer">
    <w:name w:val="footer"/>
    <w:basedOn w:val="Normal"/>
    <w:link w:val="FooterChar"/>
    <w:uiPriority w:val="99"/>
    <w:unhideWhenUsed/>
    <w:rsid w:val="009D0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5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7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835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42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5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0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5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91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1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1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1890</Words>
  <Characters>10777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asmae</dc:creator>
  <cp:keywords/>
  <dc:description/>
  <cp:lastModifiedBy>MOGELBAHR</cp:lastModifiedBy>
  <cp:revision>4</cp:revision>
  <dcterms:created xsi:type="dcterms:W3CDTF">2025-09-20T13:45:00Z</dcterms:created>
  <dcterms:modified xsi:type="dcterms:W3CDTF">2025-09-20T13:49:00Z</dcterms:modified>
</cp:coreProperties>
</file>