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E5361" w14:textId="77777777" w:rsidR="0065366B" w:rsidRPr="00A01B76" w:rsidRDefault="0065366B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A01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Case report </w:t>
      </w:r>
    </w:p>
    <w:p w14:paraId="5D267907" w14:textId="3AB07C2C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EVANS syndrome: a case report</w:t>
      </w:r>
    </w:p>
    <w:p w14:paraId="2381CAD0" w14:textId="77777777" w:rsidR="0065366B" w:rsidRDefault="0065366B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77E800" w14:textId="77777777" w:rsidR="00227E80" w:rsidRPr="0090223A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Abstract</w:t>
      </w:r>
    </w:p>
    <w:p w14:paraId="3F0C1148" w14:textId="77777777" w:rsidR="00227E80" w:rsidRPr="0090223A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Introduction: Langerhans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(LCH)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and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heterogeneous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commentRangeStart w:id="0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condition </w:t>
      </w:r>
      <w:commentRangeEnd w:id="0"/>
      <w:r w:rsidR="006A039E">
        <w:rPr>
          <w:rStyle w:val="Refdecomentario"/>
        </w:rPr>
        <w:commentReference w:id="0"/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affect one or more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organs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association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Evans syndrome, an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defined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combination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haemolytic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anaemia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immune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thrombocytopenia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exceptional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CFFC35C" w14:textId="77777777" w:rsidR="00227E80" w:rsidRPr="0090223A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Observation: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the case of </w:t>
      </w:r>
      <w:proofErr w:type="gram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16-month-old girl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presenting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bicytopenia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revealing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HL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Evans syndrome. The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histology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immunohistochemistry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(CD1a, </w:t>
      </w:r>
      <w:commentRangeStart w:id="1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PS100</w:t>
      </w:r>
      <w:commentRangeEnd w:id="1"/>
      <w:r w:rsidR="006A039E">
        <w:rPr>
          <w:rStyle w:val="Refdecomentario"/>
        </w:rPr>
        <w:commentReference w:id="1"/>
      </w:r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and the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detection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an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activating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 in the MAPK/ERK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consisted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chemotherapy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combining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vinblastine and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systemic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favourable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outcome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AF66FD9" w14:textId="77777777" w:rsidR="00227E80" w:rsidRPr="0090223A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Conclusion: This case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illustrates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rarity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HL-Evans association and highlights the importance of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considering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cases of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cytopenias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HL.</w:t>
      </w:r>
    </w:p>
    <w:p w14:paraId="2B2D9FFD" w14:textId="77777777" w:rsidR="00227E80" w:rsidRPr="0090223A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Keywords: Langerhans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Evans syndrome,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cytopenias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, Infant</w:t>
      </w:r>
    </w:p>
    <w:p w14:paraId="105F83AE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Introduction</w:t>
      </w:r>
    </w:p>
    <w:p w14:paraId="3B4B6ABA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(LCH)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accumulation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dendritic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commentRangeStart w:id="2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CD1a</w:t>
      </w:r>
      <w:commentRangeEnd w:id="2"/>
      <w:r w:rsidR="0088056D">
        <w:rPr>
          <w:rStyle w:val="Refdecomentario"/>
        </w:rPr>
        <w:commentReference w:id="2"/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CD207.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incidence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estimated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5 cases per million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[1].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expression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polymorphic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ranging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isolated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74A241B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Evans syndrome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defined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association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haemolytic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anaemia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immune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sometimes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accompanied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neutropenia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[2].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occurrence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unusual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2580509" w14:textId="77777777" w:rsidR="00227E80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association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entities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extremely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rare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rarely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[3–5].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observation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Evans 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yndrome in a 16-month-old girl.</w:t>
      </w:r>
    </w:p>
    <w:p w14:paraId="7804B196" w14:textId="3DAF44CB" w:rsidR="00DB5931" w:rsidRDefault="00DB5931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</w:p>
    <w:p w14:paraId="15C61352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Observation</w:t>
      </w:r>
    </w:p>
    <w:p w14:paraId="6ADFFD97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16-month-old girl, 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born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non-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consanguineous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parents,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monitored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pregnancy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carried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caesarean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section. Normal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psychomotor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commentRangeStart w:id="3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commentRangeEnd w:id="3"/>
      <w:proofErr w:type="spellEnd"/>
      <w:r w:rsidR="001B6E3D">
        <w:rPr>
          <w:rStyle w:val="Refdecomentario"/>
        </w:rPr>
        <w:commentReference w:id="3"/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E106AAA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admitted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investigation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examination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pale skin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mucous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membranes, a rash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pink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erythematous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macules and papules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measuring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to 3 mm,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arranged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sleeveless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shirt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pattern,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papular-squamous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crusty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erythema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scalp, as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cervical intertrigo.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Splenomegaly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abdominal palpation.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rest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examination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normal.</w:t>
      </w:r>
    </w:p>
    <w:p w14:paraId="46D8C94F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commentRangeStart w:id="4"/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Laboratory</w:t>
      </w:r>
      <w:commentRangeEnd w:id="4"/>
      <w:proofErr w:type="spellEnd"/>
      <w:r w:rsidR="00226709">
        <w:rPr>
          <w:rStyle w:val="Refdecomentario"/>
        </w:rPr>
        <w:commentReference w:id="4"/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normochromic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normocytic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regenerative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anaemia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positive direct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Coombs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collapsed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haptoglobin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elevated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LDH and total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bilirubin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search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irregular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agglutinins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workup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Viral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serology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(HBV, HCV, HIV, EBV, CMV, Parvovirus B19)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5AFB578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Thoracoabdominal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computed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tomography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thymic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hypertrophy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calcifications, large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homogeneous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splenomegaly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S1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vertebral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compression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paravertebral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tissue infiltration.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Skull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radiography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fronto-parietal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spinal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radi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ography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flat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vertebra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D1613B">
        <w:t xml:space="preserve"> 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skin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biopsy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infiltration by CD1a+ and PS100+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testing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activating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 in the MAPK/ERK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0D160EF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patient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placed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high-risk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chemotherapy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commentRangeStart w:id="6"/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protocol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commentRangeEnd w:id="6"/>
      <w:r w:rsidR="00A05A5B">
        <w:rPr>
          <w:rStyle w:val="Refdecomentario"/>
        </w:rPr>
        <w:commentReference w:id="6"/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vinblastine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outcome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favourable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FF3B37">
        <w:rPr>
          <w:rStyle w:val="Refdecomentario"/>
        </w:rPr>
        <w:commentReference w:id="7"/>
      </w:r>
    </w:p>
    <w:p w14:paraId="3B808E56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Discussion</w:t>
      </w:r>
    </w:p>
    <w:p w14:paraId="4DE14718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(LCH)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condition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estimated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incidence of 5 cases per million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under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15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2.7 cases per million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adults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[1].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distribution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asymmetrical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slight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male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predominance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Etiological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hypotheses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viral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ones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(EBV [3], HHV6 [4], CMV [5]), have been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no causal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relationship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been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case-control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commentRangeStart w:id="8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 date,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established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factor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active smoking,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responsible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lung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damage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adults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commentRangeEnd w:id="8"/>
      <w:r w:rsidR="009C24BD">
        <w:rPr>
          <w:rStyle w:val="Refdecomentario"/>
        </w:rPr>
        <w:commentReference w:id="8"/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[6].</w:t>
      </w:r>
    </w:p>
    <w:p w14:paraId="567132FE" w14:textId="77777777" w:rsidR="00227E80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extremely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heterogeneous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range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benign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localised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[7,8].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50 to 80% of cases,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defects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mainly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skull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jaw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vertebrae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pelvis.</w:t>
      </w:r>
    </w:p>
    <w:p w14:paraId="4FBE1ADB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Skin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found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30%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polymorphic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appearances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papulosquamous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crusty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erythematous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predominantly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scalp and in skin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folds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organs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are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more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guarded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commentRangeStart w:id="9"/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prognosis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commentRangeEnd w:id="9"/>
      <w:r w:rsidR="00A05A5B">
        <w:rPr>
          <w:rStyle w:val="Refdecomentario"/>
        </w:rPr>
        <w:commentReference w:id="9"/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liver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spleen 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haematopoietic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marrow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Letterer-Siwe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syndrome). Endocrine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pituitary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stalk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responsible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diabetes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insipidus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25% of cases,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neurological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rarer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tumoral 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neurodegenerative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B192291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based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biopsy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showing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infiltrate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CD1a+ and CD207+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commentRangeStart w:id="10"/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commentRangeEnd w:id="10"/>
      <w:r w:rsidR="00FF3B37">
        <w:rPr>
          <w:rStyle w:val="Refdecomentario"/>
        </w:rPr>
        <w:commentReference w:id="10"/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PS100+.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discovery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activating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mutations in the MAPK/ERK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BRAFV600E, has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profoundly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changed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clonal nature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paving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targeted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therapies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[9].</w:t>
      </w:r>
    </w:p>
    <w:p w14:paraId="1E4FFACE" w14:textId="77777777" w:rsidR="00227E80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Management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variable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multidisciplinary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Unifocal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sometimes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regress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spontaneously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locally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(curettage,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intralesional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first-line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chemotherapy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based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vinblastine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weeks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[7,10]. In cases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resistance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cladribine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cytarabine, and BRAF and MEK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inhibitors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been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shown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effective [11].</w:t>
      </w:r>
    </w:p>
    <w:p w14:paraId="7D557A69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In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association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HL and Evans syndrome has been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rare cases [12–14].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observations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link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clonal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proliferation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immune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tolerance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dysregulation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3461C95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observation, HL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manifested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itself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skin,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spleen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origin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 positive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Coombs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markers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haemolysis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major contribution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lies in the identification of 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activating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 in the MAPK/ERK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discovery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constitutive activation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limited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proliferation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could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breakdown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tolerance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autoimmunity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3C36582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pathophysiological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therefore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plausible: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secretion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pro-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inflammatory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cytokines by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(TNF-α, IL-1β, IL-17)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polyclonal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lymphocyte activation, and the aberrant activation of the MAPK/ERK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clonal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survival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immune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dysregulation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A19FCDA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therapeutic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standpoint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distinguish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marrow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infiltration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strategy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case,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vinblastine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simultaneous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HL and Evans syndrome,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consistent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Tsuji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 [13].</w:t>
      </w:r>
      <w:r w:rsidRPr="00D1613B"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given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recurrent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nature of Evans syndrome,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the use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immunomodulatory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targeted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therapies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event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commentRangeStart w:id="11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relapse.</w:t>
      </w:r>
      <w:commentRangeEnd w:id="11"/>
      <w:r w:rsidR="009C24BD">
        <w:rPr>
          <w:rStyle w:val="Refdecomentario"/>
        </w:rPr>
        <w:commentReference w:id="11"/>
      </w:r>
    </w:p>
    <w:p w14:paraId="1205FBC2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97FCAC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Conclusion</w:t>
      </w:r>
    </w:p>
    <w:p w14:paraId="03C518FF" w14:textId="77777777" w:rsidR="00227E80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association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Evans syndrome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rare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highlights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importance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comprehensive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immunological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testing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all patients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cytopenias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identification of a mutation in the MAPK/ERK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supports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hypothesis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immune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dysregulation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Management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based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conventional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chemotherapy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-up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due to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relapse</w:t>
      </w:r>
    </w:p>
    <w:p w14:paraId="79D4D77B" w14:textId="77777777" w:rsidR="004964DE" w:rsidRDefault="004964DE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2C0FB8" w14:textId="77777777" w:rsidR="004964DE" w:rsidRPr="004964DE" w:rsidRDefault="004964DE" w:rsidP="004964DE">
      <w:pPr>
        <w:spacing w:after="200" w:line="276" w:lineRule="auto"/>
        <w:jc w:val="both"/>
        <w:outlineLvl w:val="0"/>
        <w:rPr>
          <w:rFonts w:ascii="Arial" w:eastAsia="Times New Roman" w:hAnsi="Arial" w:cs="Arial"/>
          <w:lang w:val="en-GB" w:eastAsia="en-GB"/>
        </w:rPr>
      </w:pPr>
      <w:r w:rsidRPr="004964DE">
        <w:rPr>
          <w:rFonts w:ascii="Arial" w:eastAsia="Times New Roman" w:hAnsi="Arial" w:cs="Arial"/>
          <w:b/>
          <w:bCs/>
          <w:lang w:val="en-GB" w:eastAsia="en-GB"/>
        </w:rPr>
        <w:t>COMPETING INTERESTS DISCLAIMER:</w:t>
      </w:r>
    </w:p>
    <w:p w14:paraId="4863CADA" w14:textId="77777777" w:rsidR="004964DE" w:rsidRPr="004964DE" w:rsidRDefault="004964DE" w:rsidP="004964DE">
      <w:pPr>
        <w:spacing w:after="200" w:line="276" w:lineRule="auto"/>
        <w:rPr>
          <w:rFonts w:ascii="Calibri" w:eastAsia="Times New Roman" w:hAnsi="Calibri" w:cs="Times New Roman"/>
          <w:lang w:val="en-GB" w:eastAsia="en-GB"/>
        </w:rPr>
      </w:pPr>
      <w:r w:rsidRPr="004964DE">
        <w:rPr>
          <w:rFonts w:ascii="Calibri" w:eastAsia="Times New Roman" w:hAnsi="Calibri" w:cs="Times New Roman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53893E00" w14:textId="77777777" w:rsidR="004964DE" w:rsidRDefault="004964DE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5C9F31" w14:textId="77777777" w:rsidR="00227E80" w:rsidRPr="00D1613B" w:rsidRDefault="00227E80" w:rsidP="00227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References</w:t>
      </w:r>
      <w:proofErr w:type="spellEnd"/>
    </w:p>
    <w:p w14:paraId="6B53E940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Guyot-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Goubin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Donadieu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Barkaoui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et al. Descriptive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epidemiology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childhood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France, 2000–2004.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Blood Cancer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2008;51:71–5.</w:t>
      </w:r>
    </w:p>
    <w:p w14:paraId="0D281CE9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Evans RS, Takahashi K, Duane RT, et al.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Primary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thrombocytopenic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purpura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acquired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hemolytic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anemia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evidence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etiology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Blood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1951;6(11):1196–1213.</w:t>
      </w:r>
    </w:p>
    <w:p w14:paraId="56E9D668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Shimakage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Sasagawa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Kimura M, et al. Expression of Epstein-Barr virus in Langerhans’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Hum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Pathol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2004;35:862–8.</w:t>
      </w:r>
    </w:p>
    <w:p w14:paraId="63D343B9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Leahy MA,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Krejci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SM,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Friednash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et al.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Human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herpesvirus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J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Invest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Dermatol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1993;101:642–5.</w:t>
      </w:r>
    </w:p>
    <w:p w14:paraId="3AD9F848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Kawakubo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Kishimoto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H, Sato Y, et al.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Human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cytomegalovirus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infection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foci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Virchows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Arch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1999;434:109–15.</w:t>
      </w:r>
    </w:p>
    <w:p w14:paraId="5716C775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AJ, Basset F, Saumon G, et al. Smoking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interstitial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lung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Ann N Y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Acad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Sci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1986;465:643–56.</w:t>
      </w:r>
    </w:p>
    <w:p w14:paraId="1FEEC386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Haupt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Minkov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Astigarraga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I, et al.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(LCH): guidelines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-up,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patients till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18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Blood Cancer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2013;60(2):175–184.</w:t>
      </w:r>
    </w:p>
    <w:p w14:paraId="25CFB45D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Lorillon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Meignin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V, Tazi A.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Pulmonary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adults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Presse Med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2016.</w:t>
      </w:r>
    </w:p>
    <w:p w14:paraId="2C470E9B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Badalian-Very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Vergilio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Degar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BA, et al.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Recurrent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BRAF mutations in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Blood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2010;116(11):1919–1923.</w:t>
      </w:r>
    </w:p>
    <w:p w14:paraId="3D081A57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Gadner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Grois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Arico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et al.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randomized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trial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Langerhans'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J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2001;138:728–734.</w:t>
      </w:r>
    </w:p>
    <w:p w14:paraId="7AE740C3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Heritier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S, Jehanne M,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Leverger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et al.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Vemurafenib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in an infant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high-risk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JAMA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Oncol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2015;1(6):836–838.</w:t>
      </w:r>
    </w:p>
    <w:p w14:paraId="14AC6BC8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Cseh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et al. Association of Evans syndrome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a case report.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Hematol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Oncol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2006;23:335–339.</w:t>
      </w:r>
    </w:p>
    <w:p w14:paraId="35AFA3B6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Tsuji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Y, et al. Evans syndrome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coexisting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Int J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Hematol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2008;87:86–89.</w:t>
      </w:r>
    </w:p>
    <w:p w14:paraId="2E283E9B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Chen RL, et al. Evans syndrome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cord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blood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transplantation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disseminated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J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Hematol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Oncol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2007;29:489–492.</w:t>
      </w:r>
    </w:p>
    <w:p w14:paraId="58F690B5" w14:textId="77777777" w:rsidR="003D48C9" w:rsidRDefault="003D48C9"/>
    <w:sectPr w:rsidR="003D4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erly" w:date="2025-09-10T21:56:00Z" w:initials="K">
    <w:p w14:paraId="73E476AD" w14:textId="77777777" w:rsidR="006A039E" w:rsidRPr="006A039E" w:rsidRDefault="006A039E" w:rsidP="006A039E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Refdecomentario"/>
        </w:rPr>
        <w:annotationRef/>
      </w:r>
      <w:r w:rsidRPr="006A039E">
        <w:rPr>
          <w:rFonts w:ascii="inherit" w:hAnsi="inherit"/>
          <w:color w:val="1F1F1F"/>
          <w:sz w:val="42"/>
          <w:szCs w:val="42"/>
          <w:lang w:val="en"/>
        </w:rPr>
        <w:t>Briefly define the etiology or main characteristic of LCH to understand the relevance of its association with Evans syndrome.</w:t>
      </w:r>
    </w:p>
    <w:p w14:paraId="7C9C95C9" w14:textId="1E2B4C4A" w:rsidR="006A039E" w:rsidRDefault="006A039E">
      <w:pPr>
        <w:pStyle w:val="Textocomentario"/>
      </w:pPr>
    </w:p>
  </w:comment>
  <w:comment w:id="1" w:author="Kerly" w:date="2025-09-10T22:06:00Z" w:initials="K">
    <w:p w14:paraId="3932F42A" w14:textId="77777777" w:rsidR="006A039E" w:rsidRDefault="006A039E" w:rsidP="006A039E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Refdecomentario"/>
        </w:rPr>
        <w:annotationRef/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 xml:space="preserve">Was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langerin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 xml:space="preserve"> (CD207) performed? If so, mention it along with CD1A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immunoreactivity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, as these determine the diagnosis of LCH.</w:t>
      </w:r>
    </w:p>
    <w:p w14:paraId="1EA9C9B4" w14:textId="72ABC5CB" w:rsidR="006A039E" w:rsidRDefault="006A039E">
      <w:pPr>
        <w:pStyle w:val="Textocomentario"/>
      </w:pPr>
    </w:p>
  </w:comment>
  <w:comment w:id="2" w:author="Kerly" w:date="2025-09-10T21:45:00Z" w:initials="K">
    <w:p w14:paraId="5E41B6ED" w14:textId="1A138C6C" w:rsidR="0088056D" w:rsidRDefault="0088056D">
      <w:pPr>
        <w:pStyle w:val="Textocomentario"/>
      </w:pPr>
      <w:r>
        <w:rPr>
          <w:rStyle w:val="Refdecomentario"/>
        </w:rPr>
        <w:annotationRef/>
      </w:r>
    </w:p>
  </w:comment>
  <w:comment w:id="3" w:author="Kerly" w:date="2025-09-10T22:18:00Z" w:initials="K">
    <w:p w14:paraId="01D4B271" w14:textId="77777777" w:rsidR="001B6E3D" w:rsidRDefault="001B6E3D" w:rsidP="001B6E3D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Refdecomentario"/>
        </w:rPr>
        <w:annotationRef/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Is there a family history of cancer? It is suggested to mention it due to its high association with this disease.</w:t>
      </w:r>
    </w:p>
    <w:p w14:paraId="130F3807" w14:textId="49E52727" w:rsidR="001B6E3D" w:rsidRDefault="001B6E3D">
      <w:pPr>
        <w:pStyle w:val="Textocomentario"/>
      </w:pPr>
    </w:p>
  </w:comment>
  <w:comment w:id="4" w:author="Kerly" w:date="2025-09-10T23:36:00Z" w:initials="K">
    <w:p w14:paraId="4AE3EA5E" w14:textId="77777777" w:rsidR="00226709" w:rsidRDefault="00226709" w:rsidP="00226709">
      <w:pPr>
        <w:pStyle w:val="HTMLconformatoprevio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42"/>
          <w:szCs w:val="42"/>
          <w:lang w:val="en"/>
        </w:rPr>
      </w:pPr>
      <w:r>
        <w:rPr>
          <w:rStyle w:val="Refdecomentario"/>
        </w:rPr>
        <w:annotationRef/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 xml:space="preserve">Was immunohistochemistry, flow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cytometry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, or BRAF PCR performed on the bone marrow?</w:t>
      </w:r>
    </w:p>
    <w:p w14:paraId="24A2EDA5" w14:textId="77777777" w:rsidR="00226709" w:rsidRDefault="00226709" w:rsidP="00226709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These studies rule out bone marrow involvement in LCH</w:t>
      </w:r>
    </w:p>
    <w:p w14:paraId="72C0836F" w14:textId="28516372" w:rsidR="00226709" w:rsidRDefault="00226709" w:rsidP="00226709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bookmarkStart w:id="5" w:name="_GoBack"/>
      <w:bookmarkEnd w:id="5"/>
    </w:p>
    <w:p w14:paraId="1A19BABF" w14:textId="681DED67" w:rsidR="00226709" w:rsidRDefault="00226709">
      <w:pPr>
        <w:pStyle w:val="Textocomentario"/>
      </w:pPr>
    </w:p>
  </w:comment>
  <w:comment w:id="6" w:author="Kerly" w:date="2025-09-10T23:05:00Z" w:initials="K">
    <w:p w14:paraId="5C340C8C" w14:textId="77777777" w:rsidR="00A05A5B" w:rsidRDefault="00A05A5B" w:rsidP="00A05A5B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Refdecomentario"/>
        </w:rPr>
        <w:annotationRef/>
      </w:r>
      <w:proofErr w:type="gramStart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according</w:t>
      </w:r>
      <w:proofErr w:type="gramEnd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 xml:space="preserve"> to what protocol?</w:t>
      </w:r>
    </w:p>
    <w:p w14:paraId="4F89C81E" w14:textId="73CEF652" w:rsidR="00A05A5B" w:rsidRDefault="00A05A5B">
      <w:pPr>
        <w:pStyle w:val="Textocomentario"/>
      </w:pPr>
    </w:p>
  </w:comment>
  <w:comment w:id="7" w:author="Kerly" w:date="2025-09-10T23:26:00Z" w:initials="K">
    <w:p w14:paraId="37122729" w14:textId="77777777" w:rsidR="00FF3B37" w:rsidRDefault="00FF3B37" w:rsidP="00FF3B37">
      <w:pPr>
        <w:pStyle w:val="HTMLconformatoprevio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42"/>
          <w:szCs w:val="42"/>
          <w:lang w:val="en"/>
        </w:rPr>
      </w:pPr>
      <w:r>
        <w:rPr>
          <w:rStyle w:val="Refdecomentario"/>
        </w:rPr>
        <w:annotationRef/>
      </w:r>
      <w:proofErr w:type="gramStart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specify</w:t>
      </w:r>
      <w:proofErr w:type="gramEnd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 xml:space="preserve"> how long the follow-up will take</w:t>
      </w:r>
    </w:p>
    <w:p w14:paraId="67C018F1" w14:textId="70B23A58" w:rsidR="00A05A5B" w:rsidRDefault="00A05A5B" w:rsidP="00A05A5B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It is suggested to mention how long it took for hematologic, cutaneous,</w:t>
      </w:r>
      <w:r w:rsidR="000F4C7E">
        <w:rPr>
          <w:rStyle w:val="y2iqfc"/>
          <w:rFonts w:ascii="inherit" w:hAnsi="inherit"/>
          <w:color w:val="1F1F1F"/>
          <w:sz w:val="42"/>
          <w:szCs w:val="42"/>
          <w:lang w:val="en"/>
        </w:rPr>
        <w:t xml:space="preserve"> </w:t>
      </w:r>
      <w:proofErr w:type="spellStart"/>
      <w:r w:rsidR="000F4C7E">
        <w:rPr>
          <w:rStyle w:val="y2iqfc"/>
          <w:rFonts w:ascii="inherit" w:hAnsi="inherit"/>
          <w:color w:val="1F1F1F"/>
          <w:sz w:val="42"/>
          <w:szCs w:val="42"/>
          <w:lang w:val="en"/>
        </w:rPr>
        <w:t>thymic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 xml:space="preserve"> and bone manifestations to remit.</w:t>
      </w:r>
    </w:p>
    <w:p w14:paraId="51B3B6D1" w14:textId="77777777" w:rsidR="00A05A5B" w:rsidRDefault="00A05A5B" w:rsidP="00FF3B37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</w:p>
    <w:p w14:paraId="13EE223A" w14:textId="31A3C01F" w:rsidR="00FF3B37" w:rsidRDefault="00FF3B37">
      <w:pPr>
        <w:pStyle w:val="Textocomentario"/>
      </w:pPr>
    </w:p>
  </w:comment>
  <w:comment w:id="8" w:author="Kerly" w:date="2025-09-10T23:09:00Z" w:initials="K">
    <w:p w14:paraId="15002A53" w14:textId="77777777" w:rsidR="009C24BD" w:rsidRDefault="009C24BD" w:rsidP="009C24BD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Refdecomentario"/>
        </w:rPr>
        <w:annotationRef/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Its mention is not relevant. For many years, the lungs were considered high-risk organs, but isolated lung involvement in pediatric LCH is no longer considered to carry a significant risk of death.</w:t>
      </w:r>
    </w:p>
    <w:p w14:paraId="1B065621" w14:textId="5D22F525" w:rsidR="009C24BD" w:rsidRDefault="009C24BD">
      <w:pPr>
        <w:pStyle w:val="Textocomentario"/>
      </w:pPr>
    </w:p>
  </w:comment>
  <w:comment w:id="9" w:author="Kerly" w:date="2025-09-10T23:21:00Z" w:initials="K">
    <w:p w14:paraId="195BC571" w14:textId="77777777" w:rsidR="000F4C7E" w:rsidRDefault="00A05A5B" w:rsidP="000F4C7E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Refdecomentario"/>
        </w:rPr>
        <w:annotationRef/>
      </w:r>
      <w:r w:rsidR="000F4C7E">
        <w:rPr>
          <w:rStyle w:val="y2iqfc"/>
          <w:rFonts w:ascii="inherit" w:hAnsi="inherit"/>
          <w:color w:val="1F1F1F"/>
          <w:sz w:val="42"/>
          <w:szCs w:val="42"/>
          <w:lang w:val="en"/>
        </w:rPr>
        <w:t>It is suggested to mention as factors of poor prognosis: age and this genetic variant</w:t>
      </w:r>
    </w:p>
    <w:p w14:paraId="2994EF79" w14:textId="2827C921" w:rsidR="00A05A5B" w:rsidRDefault="00A05A5B" w:rsidP="00A05A5B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</w:p>
    <w:p w14:paraId="5644CD4D" w14:textId="2884D878" w:rsidR="00A05A5B" w:rsidRDefault="00A05A5B">
      <w:pPr>
        <w:pStyle w:val="Textocomentario"/>
      </w:pPr>
    </w:p>
  </w:comment>
  <w:comment w:id="10" w:author="Kerly" w:date="2025-09-10T22:29:00Z" w:initials="K">
    <w:p w14:paraId="5DFDC73F" w14:textId="1C90C702" w:rsidR="00FF3B37" w:rsidRDefault="00FF3B37">
      <w:pPr>
        <w:pStyle w:val="Textocomentario"/>
      </w:pPr>
      <w:r>
        <w:rPr>
          <w:rStyle w:val="Refdecomentario"/>
        </w:rPr>
        <w:annotationRef/>
      </w:r>
      <w:proofErr w:type="spellStart"/>
      <w:r>
        <w:t>Add</w:t>
      </w:r>
      <w:proofErr w:type="spellEnd"/>
      <w:r>
        <w:t xml:space="preserve"> CD68</w:t>
      </w:r>
    </w:p>
  </w:comment>
  <w:comment w:id="11" w:author="Kerly" w:date="2025-09-10T23:15:00Z" w:initials="K">
    <w:p w14:paraId="1E96929F" w14:textId="77777777" w:rsidR="009C24BD" w:rsidRDefault="009C24BD" w:rsidP="009C24BD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Refdecomentario"/>
        </w:rPr>
        <w:annotationRef/>
      </w:r>
      <w:proofErr w:type="gramStart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where</w:t>
      </w:r>
      <w:proofErr w:type="gramEnd"/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 xml:space="preserve"> bone involvement is more frequent</w:t>
      </w:r>
    </w:p>
    <w:p w14:paraId="42647151" w14:textId="225C0EFD" w:rsidR="009C24BD" w:rsidRDefault="009C24BD">
      <w:pPr>
        <w:pStyle w:val="Textocomentario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B2643" w14:textId="77777777" w:rsidR="00320E5D" w:rsidRDefault="00320E5D" w:rsidP="003B27B5">
      <w:pPr>
        <w:spacing w:after="0" w:line="240" w:lineRule="auto"/>
      </w:pPr>
      <w:r>
        <w:separator/>
      </w:r>
    </w:p>
  </w:endnote>
  <w:endnote w:type="continuationSeparator" w:id="0">
    <w:p w14:paraId="63655A2C" w14:textId="77777777" w:rsidR="00320E5D" w:rsidRDefault="00320E5D" w:rsidP="003B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9385E" w14:textId="77777777" w:rsidR="003B27B5" w:rsidRDefault="003B27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8C4D5" w14:textId="77777777" w:rsidR="003B27B5" w:rsidRDefault="003B27B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4ED03" w14:textId="77777777" w:rsidR="003B27B5" w:rsidRDefault="003B27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9D503" w14:textId="77777777" w:rsidR="00320E5D" w:rsidRDefault="00320E5D" w:rsidP="003B27B5">
      <w:pPr>
        <w:spacing w:after="0" w:line="240" w:lineRule="auto"/>
      </w:pPr>
      <w:r>
        <w:separator/>
      </w:r>
    </w:p>
  </w:footnote>
  <w:footnote w:type="continuationSeparator" w:id="0">
    <w:p w14:paraId="4D04F08D" w14:textId="77777777" w:rsidR="00320E5D" w:rsidRDefault="00320E5D" w:rsidP="003B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2B874" w14:textId="27654137" w:rsidR="003B27B5" w:rsidRDefault="00320E5D">
    <w:pPr>
      <w:pStyle w:val="Encabezado"/>
    </w:pPr>
    <w:r>
      <w:rPr>
        <w:noProof/>
      </w:rPr>
      <w:pict w14:anchorId="72EA73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6557891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F16B0" w14:textId="05EFF6DB" w:rsidR="003B27B5" w:rsidRDefault="00320E5D">
    <w:pPr>
      <w:pStyle w:val="Encabezado"/>
    </w:pPr>
    <w:r>
      <w:rPr>
        <w:noProof/>
      </w:rPr>
      <w:pict w14:anchorId="1082D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6557892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7F057" w14:textId="08AD4AB5" w:rsidR="003B27B5" w:rsidRDefault="00320E5D">
    <w:pPr>
      <w:pStyle w:val="Encabezado"/>
    </w:pPr>
    <w:r>
      <w:rPr>
        <w:noProof/>
      </w:rPr>
      <w:pict w14:anchorId="51997F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6557890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3455C"/>
    <w:multiLevelType w:val="multilevel"/>
    <w:tmpl w:val="6868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80"/>
    <w:rsid w:val="000F4C7E"/>
    <w:rsid w:val="001B6E3D"/>
    <w:rsid w:val="00226709"/>
    <w:rsid w:val="00227E80"/>
    <w:rsid w:val="00320E5D"/>
    <w:rsid w:val="003B27B5"/>
    <w:rsid w:val="003D48C9"/>
    <w:rsid w:val="004964DE"/>
    <w:rsid w:val="005F6FD3"/>
    <w:rsid w:val="0065366B"/>
    <w:rsid w:val="006A039E"/>
    <w:rsid w:val="00847AE1"/>
    <w:rsid w:val="0088056D"/>
    <w:rsid w:val="008A4422"/>
    <w:rsid w:val="009C24BD"/>
    <w:rsid w:val="00A01B76"/>
    <w:rsid w:val="00A05A5B"/>
    <w:rsid w:val="00DB5931"/>
    <w:rsid w:val="00FB4138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E437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7AE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7AE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B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7B5"/>
  </w:style>
  <w:style w:type="paragraph" w:styleId="Piedepgina">
    <w:name w:val="footer"/>
    <w:basedOn w:val="Normal"/>
    <w:link w:val="PiedepginaCar"/>
    <w:uiPriority w:val="99"/>
    <w:unhideWhenUsed/>
    <w:rsid w:val="003B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7B5"/>
  </w:style>
  <w:style w:type="character" w:styleId="Refdecomentario">
    <w:name w:val="annotation reference"/>
    <w:basedOn w:val="Fuentedeprrafopredeter"/>
    <w:uiPriority w:val="99"/>
    <w:semiHidden/>
    <w:unhideWhenUsed/>
    <w:rsid w:val="008805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05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05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05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056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56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A0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A039E"/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y2iqfc">
    <w:name w:val="y2iqfc"/>
    <w:basedOn w:val="Fuentedeprrafopredeter"/>
    <w:rsid w:val="006A0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7AE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7AE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B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7B5"/>
  </w:style>
  <w:style w:type="paragraph" w:styleId="Piedepgina">
    <w:name w:val="footer"/>
    <w:basedOn w:val="Normal"/>
    <w:link w:val="PiedepginaCar"/>
    <w:uiPriority w:val="99"/>
    <w:unhideWhenUsed/>
    <w:rsid w:val="003B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7B5"/>
  </w:style>
  <w:style w:type="character" w:styleId="Refdecomentario">
    <w:name w:val="annotation reference"/>
    <w:basedOn w:val="Fuentedeprrafopredeter"/>
    <w:uiPriority w:val="99"/>
    <w:semiHidden/>
    <w:unhideWhenUsed/>
    <w:rsid w:val="008805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05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05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05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056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56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A0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A039E"/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y2iqfc">
    <w:name w:val="y2iqfc"/>
    <w:basedOn w:val="Fuentedeprrafopredeter"/>
    <w:rsid w:val="006A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8400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asmae</dc:creator>
  <cp:lastModifiedBy>Kerly</cp:lastModifiedBy>
  <cp:revision>2</cp:revision>
  <dcterms:created xsi:type="dcterms:W3CDTF">2025-09-11T02:42:00Z</dcterms:created>
  <dcterms:modified xsi:type="dcterms:W3CDTF">2025-09-11T02:42:00Z</dcterms:modified>
</cp:coreProperties>
</file>