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23AEB3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5DB6CF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D4F6C8A" w14:textId="77777777" w:rsidTr="002643B3">
        <w:trPr>
          <w:trHeight w:val="290"/>
        </w:trPr>
        <w:tc>
          <w:tcPr>
            <w:tcW w:w="1234" w:type="pct"/>
          </w:tcPr>
          <w:p w14:paraId="595E191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29C0" w14:textId="77777777" w:rsidR="0000007A" w:rsidRPr="00E65EB7" w:rsidRDefault="0087784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377B1" w:rsidRPr="00E27B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Pregnancy and Childbirth</w:t>
              </w:r>
            </w:hyperlink>
          </w:p>
        </w:tc>
      </w:tr>
      <w:tr w:rsidR="0000007A" w:rsidRPr="00F245A7" w14:paraId="42153976" w14:textId="77777777" w:rsidTr="002643B3">
        <w:trPr>
          <w:trHeight w:val="290"/>
        </w:trPr>
        <w:tc>
          <w:tcPr>
            <w:tcW w:w="1234" w:type="pct"/>
          </w:tcPr>
          <w:p w14:paraId="0B03B00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5B88" w14:textId="77777777" w:rsidR="0000007A" w:rsidRPr="00F245A7" w:rsidRDefault="005809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8094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Ms_AJPCB_143755</w:t>
            </w:r>
          </w:p>
        </w:tc>
      </w:tr>
      <w:tr w:rsidR="0000007A" w:rsidRPr="00F245A7" w14:paraId="05BFB96A" w14:textId="77777777" w:rsidTr="002643B3">
        <w:trPr>
          <w:trHeight w:val="650"/>
        </w:trPr>
        <w:tc>
          <w:tcPr>
            <w:tcW w:w="1234" w:type="pct"/>
          </w:tcPr>
          <w:p w14:paraId="434A418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B3D5" w14:textId="77777777" w:rsidR="0000007A" w:rsidRPr="00F245A7" w:rsidRDefault="005809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8094E">
              <w:rPr>
                <w:rFonts w:ascii="Arial" w:hAnsi="Arial" w:cs="Arial"/>
                <w:b/>
                <w:sz w:val="20"/>
                <w:szCs w:val="28"/>
                <w:lang w:val="en-GB"/>
              </w:rPr>
              <w:t>PREVALENCE AND PREDICTORS OF ANAEMIA AMONG PREGNANT WOMEN ATTENDING ANTENATAL CARE AT SELECTED HOSPITALS IN MOGADISHU, SOMALIA</w:t>
            </w:r>
          </w:p>
        </w:tc>
      </w:tr>
      <w:tr w:rsidR="00CF0BBB" w:rsidRPr="00F245A7" w14:paraId="00CD55CE" w14:textId="77777777" w:rsidTr="002643B3">
        <w:trPr>
          <w:trHeight w:val="332"/>
        </w:trPr>
        <w:tc>
          <w:tcPr>
            <w:tcW w:w="1234" w:type="pct"/>
          </w:tcPr>
          <w:p w14:paraId="2738D27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6A49" w14:textId="77777777" w:rsidR="00CF0BBB" w:rsidRPr="00F245A7" w:rsidRDefault="005809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8094E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BB7CAF3" w14:textId="41F8BF71" w:rsidR="005973B6" w:rsidRPr="00900E9B" w:rsidRDefault="005973B6" w:rsidP="005973B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973B6" w:rsidRPr="00900E9B" w14:paraId="2A4929B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F1A538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55C2020" w14:textId="77777777" w:rsidR="005973B6" w:rsidRPr="00900E9B" w:rsidRDefault="005973B6">
            <w:pPr>
              <w:rPr>
                <w:sz w:val="20"/>
                <w:szCs w:val="20"/>
                <w:lang w:val="en-GB"/>
              </w:rPr>
            </w:pPr>
          </w:p>
        </w:tc>
      </w:tr>
      <w:tr w:rsidR="005973B6" w:rsidRPr="00900E9B" w14:paraId="2A811583" w14:textId="77777777">
        <w:tc>
          <w:tcPr>
            <w:tcW w:w="1265" w:type="pct"/>
            <w:noWrap/>
          </w:tcPr>
          <w:p w14:paraId="53D327C1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6A8E6C3" w14:textId="77777777" w:rsidR="005973B6" w:rsidRDefault="005973B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8A9A3E6" w14:textId="77777777" w:rsidR="004026C3" w:rsidRDefault="004026C3" w:rsidP="004026C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019F53" w14:textId="77777777" w:rsidR="004026C3" w:rsidRPr="004026C3" w:rsidRDefault="004026C3" w:rsidP="004026C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C49F4DE" w14:textId="77777777" w:rsidR="00A62778" w:rsidRDefault="00A62778" w:rsidP="00A62778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43A796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494E1F01" w14:textId="77777777">
        <w:trPr>
          <w:trHeight w:val="1264"/>
        </w:trPr>
        <w:tc>
          <w:tcPr>
            <w:tcW w:w="1265" w:type="pct"/>
            <w:noWrap/>
          </w:tcPr>
          <w:p w14:paraId="35230B45" w14:textId="77777777" w:rsidR="005973B6" w:rsidRPr="00900E9B" w:rsidRDefault="005973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C743740" w14:textId="77777777" w:rsidR="005973B6" w:rsidRPr="00900E9B" w:rsidRDefault="005973B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785C48" w14:textId="2F0B8224" w:rsidR="005973B6" w:rsidRPr="00900E9B" w:rsidRDefault="00DF183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study is important in that anaemia as a disease is prevalent in more than 50% of the population.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it becomes necessary to identify</w:t>
            </w:r>
            <w:r w:rsidR="00945874">
              <w:rPr>
                <w:b/>
                <w:bCs/>
                <w:sz w:val="20"/>
                <w:szCs w:val="20"/>
                <w:lang w:val="en-GB"/>
              </w:rPr>
              <w:t xml:space="preserve"> anaemia in antenatal mothers attending the </w:t>
            </w:r>
            <w:proofErr w:type="spellStart"/>
            <w:r w:rsidR="00945874">
              <w:rPr>
                <w:b/>
                <w:bCs/>
                <w:sz w:val="20"/>
                <w:szCs w:val="20"/>
                <w:lang w:val="en-GB"/>
              </w:rPr>
              <w:t>opd</w:t>
            </w:r>
            <w:proofErr w:type="spellEnd"/>
            <w:r w:rsidR="00945874">
              <w:rPr>
                <w:b/>
                <w:bCs/>
                <w:sz w:val="20"/>
                <w:szCs w:val="20"/>
                <w:lang w:val="en-GB"/>
              </w:rPr>
              <w:t>. Anaemia is prevalent</w:t>
            </w:r>
            <w:r w:rsidR="000C1037">
              <w:rPr>
                <w:b/>
                <w:bCs/>
                <w:sz w:val="20"/>
                <w:szCs w:val="20"/>
                <w:lang w:val="en-GB"/>
              </w:rPr>
              <w:t xml:space="preserve"> in all parts of the world.</w:t>
            </w:r>
          </w:p>
        </w:tc>
        <w:tc>
          <w:tcPr>
            <w:tcW w:w="1523" w:type="pct"/>
          </w:tcPr>
          <w:p w14:paraId="7178FB50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6E67BF8B" w14:textId="77777777">
        <w:trPr>
          <w:trHeight w:val="1262"/>
        </w:trPr>
        <w:tc>
          <w:tcPr>
            <w:tcW w:w="1265" w:type="pct"/>
            <w:noWrap/>
          </w:tcPr>
          <w:p w14:paraId="55083544" w14:textId="77777777" w:rsidR="005973B6" w:rsidRPr="00900E9B" w:rsidRDefault="005973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F04B9E" w14:textId="77777777" w:rsidR="005973B6" w:rsidRPr="00900E9B" w:rsidRDefault="005973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B91C50A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40E5E6" w14:textId="2AE71BBE" w:rsidR="005973B6" w:rsidRPr="00900E9B" w:rsidRDefault="000C10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is suitable. </w:t>
            </w:r>
          </w:p>
        </w:tc>
        <w:tc>
          <w:tcPr>
            <w:tcW w:w="1523" w:type="pct"/>
          </w:tcPr>
          <w:p w14:paraId="6EC09D84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2FAEDC3A" w14:textId="77777777">
        <w:trPr>
          <w:trHeight w:val="1262"/>
        </w:trPr>
        <w:tc>
          <w:tcPr>
            <w:tcW w:w="1265" w:type="pct"/>
            <w:noWrap/>
          </w:tcPr>
          <w:p w14:paraId="1D2C3B99" w14:textId="77777777" w:rsidR="005973B6" w:rsidRPr="00900E9B" w:rsidRDefault="005973B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4F7190D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88D19A" w14:textId="24B06E56" w:rsidR="005973B6" w:rsidRPr="00900E9B" w:rsidRDefault="00AE2B6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comprehensive. </w:t>
            </w:r>
          </w:p>
        </w:tc>
        <w:tc>
          <w:tcPr>
            <w:tcW w:w="1523" w:type="pct"/>
          </w:tcPr>
          <w:p w14:paraId="59DDDE88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5E022E68" w14:textId="77777777">
        <w:trPr>
          <w:trHeight w:val="704"/>
        </w:trPr>
        <w:tc>
          <w:tcPr>
            <w:tcW w:w="1265" w:type="pct"/>
            <w:noWrap/>
          </w:tcPr>
          <w:p w14:paraId="62436839" w14:textId="77777777" w:rsidR="005973B6" w:rsidRPr="00900E9B" w:rsidRDefault="005973B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F0233AA" w14:textId="78A4EEB0" w:rsidR="005973B6" w:rsidRPr="00C115E9" w:rsidRDefault="00AE2B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are a few suggestions for the author. The hospitals mentioned, how were they selected? Was it random? Or is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anemia</w:t>
            </w:r>
            <w:proofErr w:type="spellEnd"/>
            <w:r w:rsidR="00CC1DC9">
              <w:rPr>
                <w:bCs/>
                <w:sz w:val="20"/>
                <w:szCs w:val="20"/>
                <w:lang w:val="en-GB"/>
              </w:rPr>
              <w:t xml:space="preserve"> more prevalent there? What social economic status people come there in majority? </w:t>
            </w:r>
            <w:r w:rsidR="00444E9A">
              <w:rPr>
                <w:bCs/>
                <w:sz w:val="20"/>
                <w:szCs w:val="20"/>
                <w:lang w:val="en-GB"/>
              </w:rPr>
              <w:t xml:space="preserve">Kindly mention the hospital names as such everywhere in the manuscript. Refrain from using abbreviations each time. Confuses the readers. </w:t>
            </w:r>
          </w:p>
        </w:tc>
        <w:tc>
          <w:tcPr>
            <w:tcW w:w="1523" w:type="pct"/>
          </w:tcPr>
          <w:p w14:paraId="2284DC3F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08AA70AB" w14:textId="77777777">
        <w:trPr>
          <w:trHeight w:val="703"/>
        </w:trPr>
        <w:tc>
          <w:tcPr>
            <w:tcW w:w="1265" w:type="pct"/>
            <w:noWrap/>
          </w:tcPr>
          <w:p w14:paraId="14BB3D9A" w14:textId="77777777" w:rsidR="005973B6" w:rsidRPr="00E10705" w:rsidRDefault="005973B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E36ED0C" w14:textId="31365823" w:rsidR="005973B6" w:rsidRPr="006F5EBE" w:rsidRDefault="005372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could be more extensive. </w:t>
            </w:r>
          </w:p>
        </w:tc>
        <w:tc>
          <w:tcPr>
            <w:tcW w:w="1523" w:type="pct"/>
          </w:tcPr>
          <w:p w14:paraId="4C30D6BA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973B6" w:rsidRPr="00900E9B" w14:paraId="714817A1" w14:textId="77777777">
        <w:trPr>
          <w:trHeight w:val="386"/>
        </w:trPr>
        <w:tc>
          <w:tcPr>
            <w:tcW w:w="1265" w:type="pct"/>
            <w:noWrap/>
          </w:tcPr>
          <w:p w14:paraId="0DB11476" w14:textId="77777777" w:rsidR="005973B6" w:rsidRPr="00900E9B" w:rsidRDefault="005973B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D6A9927" w14:textId="77777777" w:rsidR="005973B6" w:rsidRPr="00900E9B" w:rsidRDefault="005973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826667" w14:textId="0CE012F4" w:rsidR="005973B6" w:rsidRPr="00900E9B" w:rsidRDefault="005372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9F5335" w14:textId="77777777" w:rsidR="005973B6" w:rsidRPr="00900E9B" w:rsidRDefault="005973B6">
            <w:pPr>
              <w:rPr>
                <w:sz w:val="20"/>
                <w:szCs w:val="20"/>
                <w:lang w:val="en-GB"/>
              </w:rPr>
            </w:pPr>
          </w:p>
        </w:tc>
      </w:tr>
      <w:tr w:rsidR="005973B6" w:rsidRPr="00900E9B" w14:paraId="58C45F71" w14:textId="77777777">
        <w:trPr>
          <w:trHeight w:val="1178"/>
        </w:trPr>
        <w:tc>
          <w:tcPr>
            <w:tcW w:w="1265" w:type="pct"/>
            <w:noWrap/>
          </w:tcPr>
          <w:p w14:paraId="75BF7398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CC29504" w14:textId="77777777" w:rsidR="005973B6" w:rsidRPr="00900E9B" w:rsidRDefault="005973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FBDF519" w14:textId="3D83CBBD" w:rsidR="005973B6" w:rsidRDefault="005372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</w:t>
            </w:r>
            <w:r w:rsidR="0085746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table</w:t>
            </w:r>
            <w:r w:rsidR="00D762B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1 says, people diagnosed with anaemia is around 43%</w:t>
            </w:r>
            <w:r w:rsidR="005731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But in </w:t>
            </w:r>
            <w:proofErr w:type="spellStart"/>
            <w:r w:rsidR="005731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anemia</w:t>
            </w:r>
            <w:proofErr w:type="spellEnd"/>
            <w:r w:rsidR="005731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severity, the percentages don’t add </w:t>
            </w:r>
            <w:proofErr w:type="spellStart"/>
            <w:r w:rsidR="005731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upto</w:t>
            </w:r>
            <w:proofErr w:type="spellEnd"/>
            <w:r w:rsidR="005731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43%</w:t>
            </w:r>
            <w:r w:rsidR="00AC77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 It comes to 41.8% only.</w:t>
            </w:r>
          </w:p>
          <w:p w14:paraId="1DC1EDE8" w14:textId="77777777" w:rsidR="00573105" w:rsidRDefault="005731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D641AAB" w14:textId="77777777" w:rsidR="00573105" w:rsidRDefault="0097225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Under anaemia signs, the percentage exceeds 100</w:t>
            </w:r>
            <w:r w:rsidR="0041696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 It comes to 100.7%</w:t>
            </w:r>
            <w:r w:rsidR="00AC77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</w:p>
          <w:p w14:paraId="51A96E7C" w14:textId="77777777" w:rsidR="00E22058" w:rsidRDefault="00E220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FDB8B99" w14:textId="6D0828AC" w:rsidR="00E22058" w:rsidRPr="000D0955" w:rsidRDefault="00E220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Under the heading,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hemoglobin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levels, the total percentage adds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7725C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99.8% only. How come such disparities in data?</w:t>
            </w:r>
          </w:p>
        </w:tc>
        <w:tc>
          <w:tcPr>
            <w:tcW w:w="1523" w:type="pct"/>
          </w:tcPr>
          <w:p w14:paraId="048761EC" w14:textId="77777777" w:rsidR="005973B6" w:rsidRPr="00900E9B" w:rsidRDefault="005973B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08E618C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40F61F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2F014A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516D30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D6CD90" w14:textId="2940AAEA" w:rsidR="005973B6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E9941F" w14:textId="77777777" w:rsidR="00531387" w:rsidRPr="00900E9B" w:rsidRDefault="00531387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98E234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2ADD60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7B88B5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31F9E" w14:paraId="19ADC7B2" w14:textId="77777777" w:rsidTr="00A31F9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140A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898485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1F9E" w14:paraId="5214C5A1" w14:textId="77777777" w:rsidTr="00A31F9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C84A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8371" w14:textId="77777777" w:rsidR="00A31F9E" w:rsidRDefault="00A31F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679D" w14:textId="77777777" w:rsidR="00A31F9E" w:rsidRDefault="00A31F9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0922E" w14:textId="77777777" w:rsidR="00A31F9E" w:rsidRDefault="00A31F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1F9E" w14:paraId="2652F91C" w14:textId="77777777" w:rsidTr="00A31F9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96F2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217325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12E2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2203AAD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B8C5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F820B4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0B80A3" w14:textId="77777777" w:rsidR="00A31F9E" w:rsidRDefault="00A31F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82B5F71" w14:textId="77777777" w:rsidR="00A31F9E" w:rsidRDefault="00A31F9E" w:rsidP="00A31F9E"/>
    <w:p w14:paraId="0BE43D2F" w14:textId="77777777" w:rsidR="00531387" w:rsidRPr="005F4EDD" w:rsidRDefault="00531387" w:rsidP="0053138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E0BF855" w14:textId="77777777" w:rsidR="00531387" w:rsidRDefault="00531387" w:rsidP="0053138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C42C0ED" w14:textId="77777777" w:rsidR="00531387" w:rsidRPr="00CD2483" w:rsidRDefault="00531387" w:rsidP="00531387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Monisha</w:t>
      </w:r>
      <w:proofErr w:type="spellEnd"/>
      <w:r>
        <w:rPr>
          <w:rFonts w:ascii="Calibri" w:hAnsi="Calibri" w:cs="Calibri"/>
        </w:rPr>
        <w:t xml:space="preserve"> C, Dr </w:t>
      </w:r>
      <w:proofErr w:type="spellStart"/>
      <w:r>
        <w:rPr>
          <w:rFonts w:ascii="Calibri" w:hAnsi="Calibri" w:cs="Calibri"/>
        </w:rPr>
        <w:t>Rela</w:t>
      </w:r>
      <w:proofErr w:type="spellEnd"/>
      <w:r>
        <w:rPr>
          <w:rFonts w:ascii="Calibri" w:hAnsi="Calibri" w:cs="Calibri"/>
        </w:rPr>
        <w:t xml:space="preserve"> Institute and Medical Center, Chennai, India</w:t>
      </w:r>
    </w:p>
    <w:p w14:paraId="12F95BB4" w14:textId="77777777" w:rsidR="00A31F9E" w:rsidRDefault="00A31F9E" w:rsidP="00A31F9E">
      <w:bookmarkStart w:id="4" w:name="_GoBack"/>
      <w:bookmarkEnd w:id="4"/>
    </w:p>
    <w:p w14:paraId="033FC037" w14:textId="77777777" w:rsidR="00A31F9E" w:rsidRDefault="00A31F9E" w:rsidP="00A31F9E">
      <w:pPr>
        <w:rPr>
          <w:bCs/>
          <w:u w:val="single"/>
          <w:lang w:val="en-GB"/>
        </w:rPr>
      </w:pPr>
    </w:p>
    <w:bookmarkEnd w:id="3"/>
    <w:p w14:paraId="3FBDBDD2" w14:textId="77777777" w:rsidR="00A31F9E" w:rsidRDefault="00A31F9E" w:rsidP="00A31F9E"/>
    <w:bookmarkEnd w:id="0"/>
    <w:bookmarkEnd w:id="1"/>
    <w:p w14:paraId="643889FA" w14:textId="77777777" w:rsidR="005973B6" w:rsidRPr="00900E9B" w:rsidRDefault="005973B6" w:rsidP="005973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973B6" w:rsidRPr="00900E9B" w:rsidSect="004E3A5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203AB" w14:textId="77777777" w:rsidR="0087784C" w:rsidRPr="0000007A" w:rsidRDefault="0087784C" w:rsidP="0099583E">
      <w:r>
        <w:separator/>
      </w:r>
    </w:p>
  </w:endnote>
  <w:endnote w:type="continuationSeparator" w:id="0">
    <w:p w14:paraId="11053101" w14:textId="77777777" w:rsidR="0087784C" w:rsidRPr="0000007A" w:rsidRDefault="008778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307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16494" w:rsidRPr="00E16494">
      <w:rPr>
        <w:sz w:val="16"/>
      </w:rPr>
      <w:t xml:space="preserve">Version: </w:t>
    </w:r>
    <w:r w:rsidR="00204BE1">
      <w:rPr>
        <w:sz w:val="16"/>
      </w:rPr>
      <w:t>3</w:t>
    </w:r>
    <w:r w:rsidR="00E16494" w:rsidRPr="00E16494">
      <w:rPr>
        <w:sz w:val="16"/>
      </w:rPr>
      <w:t xml:space="preserve"> (0</w:t>
    </w:r>
    <w:r w:rsidR="00204BE1">
      <w:rPr>
        <w:sz w:val="16"/>
      </w:rPr>
      <w:t>7</w:t>
    </w:r>
    <w:r w:rsidR="00E16494" w:rsidRPr="00E1649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9B815" w14:textId="77777777" w:rsidR="0087784C" w:rsidRPr="0000007A" w:rsidRDefault="0087784C" w:rsidP="0099583E">
      <w:r>
        <w:separator/>
      </w:r>
    </w:p>
  </w:footnote>
  <w:footnote w:type="continuationSeparator" w:id="0">
    <w:p w14:paraId="3616B380" w14:textId="77777777" w:rsidR="0087784C" w:rsidRPr="0000007A" w:rsidRDefault="008778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7E6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DBCCF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04B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D31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1037"/>
    <w:rsid w:val="000C3B7E"/>
    <w:rsid w:val="00100577"/>
    <w:rsid w:val="00101322"/>
    <w:rsid w:val="00136984"/>
    <w:rsid w:val="00142C42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BE1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3E16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6C3"/>
    <w:rsid w:val="004066B0"/>
    <w:rsid w:val="0041696A"/>
    <w:rsid w:val="0042465A"/>
    <w:rsid w:val="004356CC"/>
    <w:rsid w:val="00435B36"/>
    <w:rsid w:val="00442B24"/>
    <w:rsid w:val="0044444D"/>
    <w:rsid w:val="00444E9A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3A53"/>
    <w:rsid w:val="00503AB6"/>
    <w:rsid w:val="005047C5"/>
    <w:rsid w:val="00510920"/>
    <w:rsid w:val="00521812"/>
    <w:rsid w:val="00523D2C"/>
    <w:rsid w:val="00531387"/>
    <w:rsid w:val="00531C82"/>
    <w:rsid w:val="005339A8"/>
    <w:rsid w:val="00533FC1"/>
    <w:rsid w:val="00537204"/>
    <w:rsid w:val="0054403F"/>
    <w:rsid w:val="0054564B"/>
    <w:rsid w:val="00545A13"/>
    <w:rsid w:val="00546343"/>
    <w:rsid w:val="005523A8"/>
    <w:rsid w:val="005573B2"/>
    <w:rsid w:val="00557CD3"/>
    <w:rsid w:val="00560D3C"/>
    <w:rsid w:val="00567DE0"/>
    <w:rsid w:val="00573105"/>
    <w:rsid w:val="005735A5"/>
    <w:rsid w:val="0058094E"/>
    <w:rsid w:val="00592807"/>
    <w:rsid w:val="005973B6"/>
    <w:rsid w:val="005A5BE0"/>
    <w:rsid w:val="005B12E0"/>
    <w:rsid w:val="005C25A0"/>
    <w:rsid w:val="005D230D"/>
    <w:rsid w:val="005F761C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18D8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77B1"/>
    <w:rsid w:val="00741BD0"/>
    <w:rsid w:val="007426E6"/>
    <w:rsid w:val="00746370"/>
    <w:rsid w:val="00766889"/>
    <w:rsid w:val="00766A0D"/>
    <w:rsid w:val="00767F8C"/>
    <w:rsid w:val="007725C9"/>
    <w:rsid w:val="00780B67"/>
    <w:rsid w:val="007B1099"/>
    <w:rsid w:val="007B6E18"/>
    <w:rsid w:val="007D0246"/>
    <w:rsid w:val="007F5873"/>
    <w:rsid w:val="00804F54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7462"/>
    <w:rsid w:val="0087201B"/>
    <w:rsid w:val="0087784C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1AC6"/>
    <w:rsid w:val="00910037"/>
    <w:rsid w:val="00933C8B"/>
    <w:rsid w:val="00945874"/>
    <w:rsid w:val="009553EC"/>
    <w:rsid w:val="00972253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670"/>
    <w:rsid w:val="009B5AA8"/>
    <w:rsid w:val="009B5BBB"/>
    <w:rsid w:val="009C45A0"/>
    <w:rsid w:val="009C5642"/>
    <w:rsid w:val="009E13C3"/>
    <w:rsid w:val="009E6A30"/>
    <w:rsid w:val="009E79E5"/>
    <w:rsid w:val="009F07D4"/>
    <w:rsid w:val="009F1961"/>
    <w:rsid w:val="009F29EB"/>
    <w:rsid w:val="009F6277"/>
    <w:rsid w:val="00A001A0"/>
    <w:rsid w:val="00A12C83"/>
    <w:rsid w:val="00A31AAC"/>
    <w:rsid w:val="00A31F9E"/>
    <w:rsid w:val="00A32905"/>
    <w:rsid w:val="00A36C95"/>
    <w:rsid w:val="00A37DE3"/>
    <w:rsid w:val="00A519D1"/>
    <w:rsid w:val="00A62778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77CD"/>
    <w:rsid w:val="00AD6C51"/>
    <w:rsid w:val="00AE2B63"/>
    <w:rsid w:val="00AF3016"/>
    <w:rsid w:val="00B03A45"/>
    <w:rsid w:val="00B13FF7"/>
    <w:rsid w:val="00B2236C"/>
    <w:rsid w:val="00B22FE6"/>
    <w:rsid w:val="00B3033D"/>
    <w:rsid w:val="00B356AF"/>
    <w:rsid w:val="00B46827"/>
    <w:rsid w:val="00B548C3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4660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1DC9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39B8"/>
    <w:rsid w:val="00D45CF7"/>
    <w:rsid w:val="00D4782A"/>
    <w:rsid w:val="00D7603E"/>
    <w:rsid w:val="00D762B3"/>
    <w:rsid w:val="00D8579C"/>
    <w:rsid w:val="00D90124"/>
    <w:rsid w:val="00D9392F"/>
    <w:rsid w:val="00DA41F5"/>
    <w:rsid w:val="00DB5B54"/>
    <w:rsid w:val="00DB7E1B"/>
    <w:rsid w:val="00DC1D81"/>
    <w:rsid w:val="00DF1836"/>
    <w:rsid w:val="00E16494"/>
    <w:rsid w:val="00E22058"/>
    <w:rsid w:val="00E27B0D"/>
    <w:rsid w:val="00E451EA"/>
    <w:rsid w:val="00E53E52"/>
    <w:rsid w:val="00E57F4B"/>
    <w:rsid w:val="00E63889"/>
    <w:rsid w:val="00E65EB7"/>
    <w:rsid w:val="00E71C8D"/>
    <w:rsid w:val="00E72360"/>
    <w:rsid w:val="00E86912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FEC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BAD52"/>
  <w15:chartTrackingRefBased/>
  <w15:docId w15:val="{6933D4E1-143B-3945-92E7-7141D825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27B0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13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cb.com/index.php/AJP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ABF5-8D47-453D-9D61-DED43738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https://journalajpcb.com/index.php/AJPCB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2025-09-01T14:42:00Z</dcterms:created>
  <dcterms:modified xsi:type="dcterms:W3CDTF">2025-09-08T06:15:00Z</dcterms:modified>
</cp:coreProperties>
</file>