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E550" w14:textId="77777777" w:rsidR="00D71AE1" w:rsidRDefault="00D71AE1">
      <w:pPr>
        <w:spacing w:line="360" w:lineRule="auto"/>
        <w:jc w:val="center"/>
        <w:rPr>
          <w:rFonts w:ascii="Times New Roman" w:eastAsia="Times New Roman" w:hAnsi="Times New Roman" w:cs="Times New Roman"/>
          <w:sz w:val="24"/>
          <w:szCs w:val="24"/>
        </w:rPr>
      </w:pPr>
      <w:r w:rsidRPr="00D71AE1">
        <w:rPr>
          <w:rFonts w:ascii="Times New Roman" w:eastAsia="Times New Roman" w:hAnsi="Times New Roman" w:cs="Times New Roman"/>
          <w:sz w:val="24"/>
          <w:szCs w:val="24"/>
        </w:rPr>
        <w:t xml:space="preserve">Original Research Article </w:t>
      </w:r>
    </w:p>
    <w:p w14:paraId="216EF0AD" w14:textId="77777777" w:rsidR="002E79F6" w:rsidRDefault="0002194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Toxicological Insights into Diuron Exposure: Evidence from a Tropical Estuarine Fish, Javanese Medaka (</w:t>
      </w:r>
      <w:proofErr w:type="spellStart"/>
      <w:r>
        <w:rPr>
          <w:rFonts w:ascii="Times New Roman" w:eastAsia="Times New Roman" w:hAnsi="Times New Roman" w:cs="Times New Roman"/>
          <w:i/>
          <w:iCs/>
          <w:sz w:val="24"/>
          <w:szCs w:val="24"/>
        </w:rPr>
        <w:t>Oryzias</w:t>
      </w:r>
      <w:proofErr w:type="spellEnd"/>
      <w:r>
        <w:rPr>
          <w:rFonts w:ascii="Times New Roman" w:eastAsia="Times New Roman" w:hAnsi="Times New Roman" w:cs="Times New Roman"/>
          <w:i/>
          <w:iCs/>
          <w:sz w:val="24"/>
          <w:szCs w:val="24"/>
        </w:rPr>
        <w:t xml:space="preserve"> javanicus</w:t>
      </w:r>
      <w:r>
        <w:rPr>
          <w:rFonts w:ascii="Times New Roman" w:eastAsia="Times New Roman" w:hAnsi="Times New Roman" w:cs="Times New Roman"/>
          <w:sz w:val="24"/>
          <w:szCs w:val="24"/>
        </w:rPr>
        <w:t>)</w:t>
      </w:r>
    </w:p>
    <w:p w14:paraId="3813E2AE" w14:textId="77777777" w:rsidR="00CC5199" w:rsidRPr="00CC5199" w:rsidRDefault="00CC5199" w:rsidP="00CC5199">
      <w:pPr>
        <w:spacing w:line="360" w:lineRule="auto"/>
        <w:jc w:val="center"/>
        <w:rPr>
          <w:rFonts w:ascii="Times New Roman" w:eastAsia="Times New Roman" w:hAnsi="Times New Roman" w:cs="Times New Roman"/>
          <w:i/>
          <w:sz w:val="24"/>
          <w:szCs w:val="24"/>
        </w:rPr>
      </w:pPr>
      <w:r w:rsidRPr="00CC5199">
        <w:rPr>
          <w:rFonts w:ascii="Times New Roman" w:eastAsia="Times New Roman" w:hAnsi="Times New Roman" w:cs="Times New Roman"/>
          <w:i/>
          <w:sz w:val="24"/>
          <w:szCs w:val="24"/>
        </w:rPr>
        <w:t xml:space="preserve"> </w:t>
      </w:r>
    </w:p>
    <w:p w14:paraId="6DEC1223" w14:textId="1C1FEF94" w:rsidR="002E79F6" w:rsidRDefault="00021946">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4C406F">
        <w:rPr>
          <w:rFonts w:ascii="Times New Roman" w:eastAsia="Times New Roman" w:hAnsi="Times New Roman" w:cs="Times New Roman"/>
          <w:i/>
          <w:sz w:val="24"/>
          <w:szCs w:val="24"/>
        </w:rPr>
        <w:t>S</w:t>
      </w:r>
    </w:p>
    <w:p w14:paraId="1480BC42" w14:textId="77777777" w:rsidR="002E79F6" w:rsidRDefault="000219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9C2E70D" w14:textId="77777777" w:rsidR="002E79F6" w:rsidRDefault="0002194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Diuron, a biocide widely used in agriculture and offshore industries, can cause acute toxicity in aquatic organisms, leading to fatal outcomes and behavioral disruptions. This study assessed its toxic effects on Javanese medaka (</w:t>
      </w:r>
      <w:proofErr w:type="spellStart"/>
      <w:r>
        <w:rPr>
          <w:rFonts w:ascii="Times New Roman" w:eastAsia="Times New Roman" w:hAnsi="Times New Roman" w:cs="Times New Roman"/>
          <w:bCs/>
          <w:i/>
          <w:iCs/>
          <w:sz w:val="24"/>
          <w:szCs w:val="24"/>
        </w:rPr>
        <w:t>Oryzias</w:t>
      </w:r>
      <w:proofErr w:type="spellEnd"/>
      <w:r>
        <w:rPr>
          <w:rFonts w:ascii="Times New Roman" w:eastAsia="Times New Roman" w:hAnsi="Times New Roman" w:cs="Times New Roman"/>
          <w:bCs/>
          <w:i/>
          <w:iCs/>
          <w:sz w:val="24"/>
          <w:szCs w:val="24"/>
        </w:rPr>
        <w:t xml:space="preserve"> javanicus</w:t>
      </w:r>
      <w:r>
        <w:rPr>
          <w:rFonts w:ascii="Times New Roman" w:eastAsia="Times New Roman" w:hAnsi="Times New Roman" w:cs="Times New Roman"/>
          <w:bCs/>
          <w:sz w:val="24"/>
          <w:szCs w:val="24"/>
        </w:rPr>
        <w:t xml:space="preserve">) to determine safe exposure levels and support guideline development for Malaysian river and coastal waters. Eight triplicate treatments were prepared, each with 10 individuals (mean size 3.0 ± 0.3 cm, n = 240) exposed to 1.0 to 20.0 mg/L concentrations. Behavioral endpoints—surfacing, burst swimming, coordination, and pigmentation changes—were monitored, with responses observed starting at 5.0 mg/L. Acute toxicity was evaluated over 96 hours using probit analysis to calculate the median lethal concentration (LC₅₀), which was found to be 5.90 mg/L. No mortality occurred in the control groups. The results highlight the high sensitivity of </w:t>
      </w:r>
      <w:r>
        <w:rPr>
          <w:rFonts w:ascii="Times New Roman" w:eastAsia="Times New Roman" w:hAnsi="Times New Roman" w:cs="Times New Roman"/>
          <w:bCs/>
          <w:i/>
          <w:iCs/>
          <w:sz w:val="24"/>
          <w:szCs w:val="24"/>
        </w:rPr>
        <w:t>O. javanicus</w:t>
      </w:r>
      <w:r>
        <w:rPr>
          <w:rFonts w:ascii="Times New Roman" w:eastAsia="Times New Roman" w:hAnsi="Times New Roman" w:cs="Times New Roman"/>
          <w:bCs/>
          <w:sz w:val="24"/>
          <w:szCs w:val="24"/>
        </w:rPr>
        <w:t xml:space="preserve"> to this herbicide, supporting its suitability as a bioindicator species for aquatic toxicants. Due to its ecological adaptability and sensitivity, Javanese medaka is a valuable tropical model for ecotoxicological research in Malaysia. </w:t>
      </w:r>
      <w:r>
        <w:rPr>
          <w:rFonts w:ascii="Times New Roman" w:eastAsia="Times New Roman" w:hAnsi="Times New Roman" w:cs="Times New Roman"/>
          <w:b/>
          <w:i/>
          <w:iCs/>
          <w:sz w:val="24"/>
          <w:szCs w:val="24"/>
        </w:rPr>
        <w:t>Keywords:</w:t>
      </w:r>
      <w:r>
        <w:rPr>
          <w:rFonts w:ascii="Times New Roman" w:eastAsia="Times New Roman" w:hAnsi="Times New Roman" w:cs="Times New Roman"/>
          <w:i/>
          <w:iCs/>
          <w:sz w:val="24"/>
          <w:szCs w:val="24"/>
        </w:rPr>
        <w:t xml:space="preserve"> herbicide, lethal toxicity, probit analysis, bio-monitoring agents</w:t>
      </w:r>
    </w:p>
    <w:p w14:paraId="3526A49B" w14:textId="77777777" w:rsidR="002E79F6" w:rsidRDefault="0002194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Introduction</w:t>
      </w:r>
      <w:bookmarkStart w:id="0" w:name="_gjdgxs" w:colFirst="0" w:colLast="0"/>
      <w:bookmarkEnd w:id="0"/>
    </w:p>
    <w:p w14:paraId="2685A1B5"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integrity of aquatic ecosystems can be compromised by various factors, particularly unforeseen pollution resulting from human activities, predominantly those associated with agricultural practices, as aquatic ecosystems are often primary sinks for pollutants from a variety of sources (</w:t>
      </w:r>
      <w:r w:rsidRPr="00911B3C">
        <w:rPr>
          <w:rFonts w:ascii="Times New Roman" w:eastAsia="Times New Roman" w:hAnsi="Times New Roman" w:cs="Times New Roman"/>
          <w:color w:val="EE0000"/>
          <w:sz w:val="24"/>
          <w:szCs w:val="24"/>
        </w:rPr>
        <w:t xml:space="preserve">Bashir </w:t>
      </w:r>
      <w:r w:rsidRPr="00911B3C">
        <w:rPr>
          <w:rFonts w:ascii="Times New Roman" w:eastAsia="Times New Roman" w:hAnsi="Times New Roman" w:cs="Times New Roman"/>
          <w:color w:val="EE0000"/>
          <w:sz w:val="24"/>
          <w:szCs w:val="24"/>
          <w:highlight w:val="yellow"/>
        </w:rPr>
        <w:t>et al.,</w:t>
      </w:r>
      <w:r w:rsidRPr="00911B3C">
        <w:rPr>
          <w:rFonts w:ascii="Times New Roman" w:eastAsia="Times New Roman" w:hAnsi="Times New Roman" w:cs="Times New Roman"/>
          <w:color w:val="EE0000"/>
          <w:sz w:val="24"/>
          <w:szCs w:val="24"/>
        </w:rPr>
        <w:t xml:space="preserve"> 2020; </w:t>
      </w:r>
      <w:proofErr w:type="spellStart"/>
      <w:r w:rsidRPr="00911B3C">
        <w:rPr>
          <w:rFonts w:ascii="Times New Roman" w:eastAsia="Times New Roman" w:hAnsi="Times New Roman" w:cs="Times New Roman"/>
          <w:color w:val="EE0000"/>
          <w:sz w:val="24"/>
          <w:szCs w:val="24"/>
        </w:rPr>
        <w:t>Thanigaivel</w:t>
      </w:r>
      <w:proofErr w:type="spellEnd"/>
      <w:r w:rsidRPr="00911B3C">
        <w:rPr>
          <w:rFonts w:ascii="Times New Roman" w:eastAsia="Times New Roman" w:hAnsi="Times New Roman" w:cs="Times New Roman"/>
          <w:color w:val="EE0000"/>
          <w:sz w:val="24"/>
          <w:szCs w:val="24"/>
        </w:rPr>
        <w:t xml:space="preserve"> et al., 2023). </w:t>
      </w:r>
      <w:r>
        <w:rPr>
          <w:rFonts w:ascii="Times New Roman" w:eastAsia="Times New Roman" w:hAnsi="Times New Roman" w:cs="Times New Roman"/>
          <w:sz w:val="24"/>
          <w:szCs w:val="24"/>
        </w:rPr>
        <w:t xml:space="preserve">Aquatic ecosystems are impacted by the widespread use of agrochemicals such as herbicides in agriculture (Bashir et al., 2020; Bhat et al., 2018). In brief, these incidents will eventually cause harm to aquatic organisms in the long term. Diuron (3-(3,4-dichlorophenyl)-1,1-dimethylurea) is one of the widely known </w:t>
      </w:r>
      <w:proofErr w:type="spellStart"/>
      <w:r>
        <w:rPr>
          <w:rFonts w:ascii="Times New Roman" w:eastAsia="Times New Roman" w:hAnsi="Times New Roman" w:cs="Times New Roman"/>
          <w:sz w:val="24"/>
          <w:szCs w:val="24"/>
        </w:rPr>
        <w:t>phenylurea</w:t>
      </w:r>
      <w:proofErr w:type="spellEnd"/>
      <w:r>
        <w:rPr>
          <w:rFonts w:ascii="Times New Roman" w:eastAsia="Times New Roman" w:hAnsi="Times New Roman" w:cs="Times New Roman"/>
          <w:sz w:val="24"/>
          <w:szCs w:val="24"/>
        </w:rPr>
        <w:t xml:space="preserve"> herbicides that have been used in controlling pre-emergence weed growth in crop and non-crop areas (Giacomazzi &amp; Cochet, 2004; Das et al., 2024). This </w:t>
      </w:r>
      <w:r>
        <w:rPr>
          <w:rFonts w:ascii="Times New Roman" w:eastAsia="Times New Roman" w:hAnsi="Times New Roman" w:cs="Times New Roman"/>
          <w:sz w:val="24"/>
          <w:szCs w:val="24"/>
        </w:rPr>
        <w:lastRenderedPageBreak/>
        <w:t>herbicide is persistent in the soil, as aerobic soil degradation takes 372 days to complete, while 995 days are required for anaerobic soil degradation. The hydrolysis half-life at pH 7 takes 1240 to 1330 days to degrade in water (Kollman &amp; Segawa, 1995; DPR Pesticide Chemistry Database, 2003). </w:t>
      </w:r>
    </w:p>
    <w:p w14:paraId="6F995699"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Diuron contamination is a worldwide concern arising from its extensive application as a bioactive ingredient in anti-fouling paint and as an herbicide combination. A booster biocide, Diuron and </w:t>
      </w:r>
      <w:proofErr w:type="spellStart"/>
      <w:r>
        <w:rPr>
          <w:rFonts w:ascii="Times New Roman" w:eastAsia="Times New Roman" w:hAnsi="Times New Roman" w:cs="Times New Roman"/>
          <w:sz w:val="24"/>
          <w:szCs w:val="24"/>
        </w:rPr>
        <w:t>Irgarol</w:t>
      </w:r>
      <w:proofErr w:type="spellEnd"/>
      <w:r>
        <w:rPr>
          <w:rFonts w:ascii="Times New Roman" w:eastAsia="Times New Roman" w:hAnsi="Times New Roman" w:cs="Times New Roman"/>
          <w:sz w:val="24"/>
          <w:szCs w:val="24"/>
        </w:rPr>
        <w:t xml:space="preserve"> 1051, was assessed in the marine ecosystem in the Gulf of Napoli, Italy. The results showed a higher Diuron level concentration than </w:t>
      </w:r>
      <w:proofErr w:type="spellStart"/>
      <w:r>
        <w:rPr>
          <w:rFonts w:ascii="Times New Roman" w:eastAsia="Times New Roman" w:hAnsi="Times New Roman" w:cs="Times New Roman"/>
          <w:sz w:val="24"/>
          <w:szCs w:val="24"/>
        </w:rPr>
        <w:t>Irgarol</w:t>
      </w:r>
      <w:proofErr w:type="spellEnd"/>
      <w:r>
        <w:rPr>
          <w:rFonts w:ascii="Times New Roman" w:eastAsia="Times New Roman" w:hAnsi="Times New Roman" w:cs="Times New Roman"/>
          <w:sz w:val="24"/>
          <w:szCs w:val="24"/>
        </w:rPr>
        <w:t xml:space="preserve"> 1051 in all sampling sites. The dissolved concentrations of Diuron ranged from &lt;1 to 1380 ng/L compared to &lt;0.2 to 173 ng/L for </w:t>
      </w:r>
      <w:proofErr w:type="spellStart"/>
      <w:r>
        <w:rPr>
          <w:rFonts w:ascii="Times New Roman" w:eastAsia="Times New Roman" w:hAnsi="Times New Roman" w:cs="Times New Roman"/>
          <w:sz w:val="24"/>
          <w:szCs w:val="24"/>
        </w:rPr>
        <w:t>Irgarol</w:t>
      </w:r>
      <w:proofErr w:type="spellEnd"/>
      <w:r>
        <w:rPr>
          <w:rFonts w:ascii="Times New Roman" w:eastAsia="Times New Roman" w:hAnsi="Times New Roman" w:cs="Times New Roman"/>
          <w:sz w:val="24"/>
          <w:szCs w:val="24"/>
        </w:rPr>
        <w:t xml:space="preserve"> 1051 (Di Landa et al., 2009). The assessment of the natural environment, however, showed significantly lower levels of Diuron concentration compared to the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obtained. Another study by Kaonga et al. (2015) assessed the contamination of Diuron in the Seto Island Sea, Japan. Their study recorded Diuron levels of 2.18 µg/L, 0.06 µg/L, 0.075 µg/g, 2.83 µg/g, and 4.12 µg/g for surface water, bottom water, sediments, plankton, and fish, respectively. The source of Diuron contamination is the anti-fouling paint used in the shipping industry. However, the concentration of Diuron in the surface water from Japan is much higher than in Italy, indicating that pesticide contamination occurred worldwide and is presumably severe in more developed countries with industrial and agricultural activities.</w:t>
      </w:r>
    </w:p>
    <w:p w14:paraId="689C0E1C" w14:textId="77777777"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In Malaysia, Diuron contamination in oil palm plantation soil was studied in Sepang, Selangor, where its residue can still be detected in the surface soil even after 90 days (Muhammad et al., 2013). Furthermore, the residue of this herbicide can also be found in the extracted crude palm oil matrices (Ramli et al., 2012). The findings suggested that Diuron is one of the main herbicides used in Malaysia. Diuron contamination of Malaysian coastal waters can significantly negatively impact the east coast coral reef (Ali et al., 2014) and blood cockle (Mukhtar et al., 2020) due to Diuron-based anti-fouling paint. Another affected area is Malaysia’s largest shipping port, Port Klang, where Diuron residue can be found in sediments, pore water, and surface seawater due to leaching out from moored vessels, rapid industrialization, and active fishing activities (Hanapiah et al., 2017).</w:t>
      </w:r>
    </w:p>
    <w:p w14:paraId="45D642FB"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Animal behavior is susceptible to environmental changes and contamination, particularly from pollutants that serve as environmental stressors (Shahbazi </w:t>
      </w:r>
      <w:proofErr w:type="spellStart"/>
      <w:r>
        <w:rPr>
          <w:rFonts w:ascii="Times New Roman" w:eastAsia="Times New Roman" w:hAnsi="Times New Roman" w:cs="Times New Roman"/>
          <w:sz w:val="24"/>
          <w:szCs w:val="24"/>
        </w:rPr>
        <w:t>Naserabad</w:t>
      </w:r>
      <w:proofErr w:type="spellEnd"/>
      <w:r>
        <w:rPr>
          <w:rFonts w:ascii="Times New Roman" w:eastAsia="Times New Roman" w:hAnsi="Times New Roman" w:cs="Times New Roman"/>
          <w:sz w:val="24"/>
          <w:szCs w:val="24"/>
        </w:rPr>
        <w:t xml:space="preserve"> et al., 2015; Jacquin et al., 2020; Bertram et al., 2022). Behavioral observations offer dependable substitute evaluations since they are quicker, more perceptive, and more ecologically significant, offering </w:t>
      </w:r>
      <w:r>
        <w:rPr>
          <w:rFonts w:ascii="Times New Roman" w:eastAsia="Times New Roman" w:hAnsi="Times New Roman" w:cs="Times New Roman"/>
          <w:sz w:val="24"/>
          <w:szCs w:val="24"/>
        </w:rPr>
        <w:lastRenderedPageBreak/>
        <w:t xml:space="preserve">early alerts about the condition of an aquatic ecosystem's health (Sharma, 2019; Ford et al., 2021). In a previous study, </w:t>
      </w:r>
      <w:proofErr w:type="spellStart"/>
      <w:r>
        <w:rPr>
          <w:rFonts w:ascii="Times New Roman" w:eastAsia="Times New Roman" w:hAnsi="Times New Roman" w:cs="Times New Roman"/>
          <w:sz w:val="24"/>
          <w:szCs w:val="24"/>
        </w:rPr>
        <w:t>Saglio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Trijasse</w:t>
      </w:r>
      <w:proofErr w:type="spellEnd"/>
      <w:r>
        <w:rPr>
          <w:rFonts w:ascii="Times New Roman" w:eastAsia="Times New Roman" w:hAnsi="Times New Roman" w:cs="Times New Roman"/>
          <w:sz w:val="24"/>
          <w:szCs w:val="24"/>
        </w:rPr>
        <w:t xml:space="preserve"> (1998) discovered that Diuron can cause notable behavioral changes in goldfish, including increased surfacing activity and fast or irregular swimming movements. Recent studies have shown that the agrochemical Diuron's acute toxicity towards aquatic organisms can be assessed using </w:t>
      </w:r>
      <w:proofErr w:type="spellStart"/>
      <w:r>
        <w:rPr>
          <w:rFonts w:ascii="Times New Roman" w:eastAsia="Times New Roman" w:hAnsi="Times New Roman" w:cs="Times New Roman"/>
          <w:sz w:val="24"/>
          <w:szCs w:val="24"/>
        </w:rPr>
        <w:t>ricefish</w:t>
      </w:r>
      <w:proofErr w:type="spellEnd"/>
      <w:r>
        <w:rPr>
          <w:rFonts w:ascii="Times New Roman" w:eastAsia="Times New Roman" w:hAnsi="Times New Roman" w:cs="Times New Roman"/>
          <w:sz w:val="24"/>
          <w:szCs w:val="24"/>
        </w:rPr>
        <w:t xml:space="preserve"> Javanese medaka (</w:t>
      </w:r>
      <w:proofErr w:type="spellStart"/>
      <w:r>
        <w:rPr>
          <w:rFonts w:ascii="Times New Roman" w:eastAsia="Times New Roman" w:hAnsi="Times New Roman" w:cs="Times New Roman"/>
          <w:i/>
          <w:iCs/>
          <w:sz w:val="24"/>
          <w:szCs w:val="24"/>
        </w:rPr>
        <w:t>Oryzias</w:t>
      </w:r>
      <w:proofErr w:type="spellEnd"/>
      <w:r>
        <w:rPr>
          <w:rFonts w:ascii="Times New Roman" w:eastAsia="Times New Roman" w:hAnsi="Times New Roman" w:cs="Times New Roman"/>
          <w:i/>
          <w:iCs/>
          <w:sz w:val="24"/>
          <w:szCs w:val="24"/>
        </w:rPr>
        <w:t xml:space="preserve"> javanicus</w:t>
      </w:r>
      <w:r>
        <w:rPr>
          <w:rFonts w:ascii="Times New Roman" w:eastAsia="Times New Roman" w:hAnsi="Times New Roman" w:cs="Times New Roman"/>
          <w:sz w:val="24"/>
          <w:szCs w:val="24"/>
        </w:rPr>
        <w:t>) as a bio-indicator. Javanese medaka is naturally distributed in the coastal areas of Peninsular Thailand, Peninsular Malaysia, Indonesia, Singapore, and Western Borneo (</w:t>
      </w:r>
      <w:proofErr w:type="spellStart"/>
      <w:r>
        <w:rPr>
          <w:rFonts w:ascii="Times New Roman" w:eastAsia="Times New Roman" w:hAnsi="Times New Roman" w:cs="Times New Roman"/>
          <w:sz w:val="24"/>
          <w:szCs w:val="24"/>
        </w:rPr>
        <w:t>Magtoon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Termvidchakorn</w:t>
      </w:r>
      <w:proofErr w:type="spellEnd"/>
      <w:r>
        <w:rPr>
          <w:rFonts w:ascii="Times New Roman" w:eastAsia="Times New Roman" w:hAnsi="Times New Roman" w:cs="Times New Roman"/>
          <w:sz w:val="24"/>
          <w:szCs w:val="24"/>
        </w:rPr>
        <w:t>, 2009; Yusof et al., 2012; Yusof et al., 2013). Recent discoveries of Javanese medaka have been recorded in the natural coastal waters of South and Eastern Peninsular India, as updated by Angel et al. (2019). This euryhaline fish species can survive in waters of a wide salinity range from seawater, brackish, and freshwater ecosystems, making them ideal bio-indicator candidates for aquatic ecosystems. The Javanese medaka currently serves as a model species for ecotoxicological research due to studies demonstrating its vulnerability to toxicants (</w:t>
      </w:r>
      <w:proofErr w:type="spellStart"/>
      <w:r>
        <w:rPr>
          <w:rFonts w:ascii="Times New Roman" w:eastAsia="Times New Roman" w:hAnsi="Times New Roman" w:cs="Times New Roman"/>
          <w:sz w:val="24"/>
          <w:szCs w:val="24"/>
        </w:rPr>
        <w:t>Mohamat</w:t>
      </w:r>
      <w:proofErr w:type="spellEnd"/>
      <w:r>
        <w:rPr>
          <w:rFonts w:ascii="Times New Roman" w:eastAsia="Times New Roman" w:hAnsi="Times New Roman" w:cs="Times New Roman"/>
          <w:sz w:val="24"/>
          <w:szCs w:val="24"/>
        </w:rPr>
        <w:t xml:space="preserve">-Yusuff et al., 2018; Aziz et al., 2018; Kamarudin et al., 2019; Kamarudin et al., 2020; Lee et al., 2020). </w:t>
      </w:r>
    </w:p>
    <w:p w14:paraId="47D465DC"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of this study are to evaluate the herbicide's safety levels during the exposure period and to find the Diuron 96-hour median lethal concentration toward the Javanese medaka (</w:t>
      </w:r>
      <w:r>
        <w:rPr>
          <w:rFonts w:ascii="Times New Roman" w:eastAsia="Times New Roman" w:hAnsi="Times New Roman" w:cs="Times New Roman"/>
          <w:i/>
          <w:iCs/>
          <w:sz w:val="24"/>
          <w:szCs w:val="24"/>
        </w:rPr>
        <w:t>O. javanicus</w:t>
      </w:r>
      <w:r>
        <w:rPr>
          <w:rFonts w:ascii="Times New Roman" w:eastAsia="Times New Roman" w:hAnsi="Times New Roman" w:cs="Times New Roman"/>
          <w:sz w:val="24"/>
          <w:szCs w:val="24"/>
        </w:rPr>
        <w:t xml:space="preserve">) together with their behavioral reactions. While Diuron's effects have been investigated on several fish species, this work offers the first scientific account of Diuron's effects on the selected test organism, </w:t>
      </w:r>
      <w:r>
        <w:rPr>
          <w:rFonts w:ascii="Times New Roman" w:eastAsia="Times New Roman" w:hAnsi="Times New Roman" w:cs="Times New Roman"/>
          <w:i/>
          <w:iCs/>
          <w:sz w:val="24"/>
          <w:szCs w:val="24"/>
        </w:rPr>
        <w:t>O. javanicus</w:t>
      </w:r>
      <w:r>
        <w:rPr>
          <w:rFonts w:ascii="Times New Roman" w:eastAsia="Times New Roman" w:hAnsi="Times New Roman" w:cs="Times New Roman"/>
          <w:sz w:val="24"/>
          <w:szCs w:val="24"/>
        </w:rPr>
        <w:t>. The findings of this study contribute essential baseline data for environmental regulators, supporting the formulation of Diuron exposure guidelines and strengthening monitoring frameworks for aquatic pollution in tropical and subtropical regions.</w:t>
      </w:r>
    </w:p>
    <w:p w14:paraId="3A54781F" w14:textId="77777777" w:rsidR="002E79F6" w:rsidRDefault="000219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and Methods</w:t>
      </w:r>
    </w:p>
    <w:p w14:paraId="559116E0" w14:textId="77777777" w:rsidR="002E79F6" w:rsidRDefault="00021946">
      <w:pPr>
        <w:spacing w:line="360" w:lineRule="auto"/>
        <w:jc w:val="both"/>
        <w:rPr>
          <w:rFonts w:ascii="Times New Roman" w:eastAsia="SimSun" w:hAnsi="Times New Roman" w:cs="Times New Roman"/>
          <w:color w:val="0E101A"/>
          <w:sz w:val="24"/>
          <w:szCs w:val="24"/>
        </w:rPr>
      </w:pPr>
      <w:r>
        <w:rPr>
          <w:rFonts w:ascii="Times New Roman" w:eastAsia="SimSun" w:hAnsi="Times New Roman" w:cs="Times New Roman"/>
          <w:color w:val="0E101A"/>
          <w:sz w:val="24"/>
          <w:szCs w:val="24"/>
        </w:rPr>
        <w:t xml:space="preserve">The wild stock of Javanese medaka (family: </w:t>
      </w:r>
      <w:proofErr w:type="spellStart"/>
      <w:r>
        <w:rPr>
          <w:rFonts w:ascii="Times New Roman" w:eastAsia="SimSun" w:hAnsi="Times New Roman" w:cs="Times New Roman"/>
          <w:color w:val="0E101A"/>
          <w:sz w:val="24"/>
          <w:szCs w:val="24"/>
        </w:rPr>
        <w:t>Adrianichthyidae</w:t>
      </w:r>
      <w:proofErr w:type="spellEnd"/>
      <w:r>
        <w:rPr>
          <w:rFonts w:ascii="Times New Roman" w:eastAsia="SimSun" w:hAnsi="Times New Roman" w:cs="Times New Roman"/>
          <w:color w:val="0E101A"/>
          <w:sz w:val="24"/>
          <w:szCs w:val="24"/>
        </w:rPr>
        <w:t xml:space="preserve">, order: </w:t>
      </w:r>
      <w:proofErr w:type="spellStart"/>
      <w:r>
        <w:rPr>
          <w:rFonts w:ascii="Times New Roman" w:eastAsia="SimSun" w:hAnsi="Times New Roman" w:cs="Times New Roman"/>
          <w:color w:val="0E101A"/>
          <w:sz w:val="24"/>
          <w:szCs w:val="24"/>
        </w:rPr>
        <w:t>Beloniformes</w:t>
      </w:r>
      <w:proofErr w:type="spellEnd"/>
      <w:r>
        <w:rPr>
          <w:rFonts w:ascii="Times New Roman" w:eastAsia="SimSun" w:hAnsi="Times New Roman" w:cs="Times New Roman"/>
          <w:color w:val="0E101A"/>
          <w:sz w:val="24"/>
          <w:szCs w:val="24"/>
        </w:rPr>
        <w:t xml:space="preserve">) was collected from an estuarine area of Sungai Pelek, Sepang, Selangor, Malaysia. The sampling followed the methods Aziz et al. described (2018). Customized nets were used, and adult medaka with more than 3.0 cm in size were collected and acclimatized in the laboratory for more than 6 months in a flow-through system. The water’s salinity was decreased daily until it became freshwater for easy maintenance under a 14-hour light: 10-hour dark photoperiod. </w:t>
      </w:r>
      <w:r>
        <w:rPr>
          <w:rFonts w:ascii="Times New Roman" w:eastAsia="SimSun" w:hAnsi="Times New Roman" w:cs="Times New Roman"/>
          <w:i/>
          <w:iCs/>
          <w:color w:val="0E101A"/>
          <w:sz w:val="24"/>
          <w:szCs w:val="24"/>
        </w:rPr>
        <w:t>Ad libitum</w:t>
      </w:r>
      <w:r>
        <w:rPr>
          <w:rFonts w:ascii="Times New Roman" w:eastAsia="SimSun" w:hAnsi="Times New Roman" w:cs="Times New Roman"/>
          <w:color w:val="0E101A"/>
          <w:sz w:val="24"/>
          <w:szCs w:val="24"/>
        </w:rPr>
        <w:t xml:space="preserve"> commercial pellets and freshly hatched brine shrimp (</w:t>
      </w:r>
      <w:r>
        <w:rPr>
          <w:rStyle w:val="Emphasis"/>
          <w:rFonts w:ascii="Times New Roman" w:eastAsia="SimSun" w:hAnsi="Times New Roman" w:cs="Times New Roman"/>
          <w:color w:val="0E101A"/>
          <w:sz w:val="24"/>
          <w:szCs w:val="24"/>
        </w:rPr>
        <w:t>Artemia salina</w:t>
      </w:r>
      <w:r>
        <w:rPr>
          <w:rFonts w:ascii="Times New Roman" w:eastAsia="SimSun" w:hAnsi="Times New Roman" w:cs="Times New Roman"/>
          <w:color w:val="0E101A"/>
          <w:sz w:val="24"/>
          <w:szCs w:val="24"/>
        </w:rPr>
        <w:t xml:space="preserve">) were fed to the medaka. Fish were deemed suitable for testing once acclimated and exhibiting regular </w:t>
      </w:r>
      <w:r>
        <w:rPr>
          <w:rFonts w:ascii="Times New Roman" w:eastAsia="SimSun" w:hAnsi="Times New Roman" w:cs="Times New Roman"/>
          <w:color w:val="0E101A"/>
          <w:sz w:val="24"/>
          <w:szCs w:val="24"/>
        </w:rPr>
        <w:lastRenderedPageBreak/>
        <w:t>spawning. Water parameters were monitored and adjusted throughout the trials using a water pump for aeration and pH balancing.</w:t>
      </w:r>
    </w:p>
    <w:p w14:paraId="3A277281" w14:textId="77777777" w:rsidR="002E79F6" w:rsidRDefault="00021946">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Eight triplicates of the treatment solution were prepared, and 10 individuals with a size of 3.0 ± 0.3 cm (n = 240) of Javanese medaka were placed in each aquarium with a capacity of 6 L (17.5 x 18.0 x 38.0 cm). All the water parameters were closely monitored, and the temperature, pH, dissolved oxygen, and the mean results recorded (±SD) were 25.0 ± 1.0 °C, 7.0 ± 0.5, and 6.9 ± 0.6 mg/L, respectively. The aquariums containing fish specimens were exposed to Diuron with concentrations of 1.0, 5.0, 7.0, 10.0, 15.0, and 20.0 mg/L, respectively.</w:t>
      </w:r>
    </w:p>
    <w:p w14:paraId="1660A49E" w14:textId="77777777" w:rsidR="002E79F6" w:rsidRDefault="00021946">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Another two sets of treatments were not treated with Diuron, as they were the experimental and solvent controls. The reagents used in this study were all analytical reagent grade certified for their high purity. The treatment solutions were prepared using the powder form of the 98% D2425-100G Diuron (C</w:t>
      </w:r>
      <w:r>
        <w:rPr>
          <w:rFonts w:ascii="Times New Roman" w:eastAsia="Times New Roman" w:hAnsi="Times New Roman" w:cs="Times New Roman"/>
          <w:iCs/>
          <w:sz w:val="24"/>
          <w:szCs w:val="24"/>
          <w:vertAlign w:val="subscript"/>
        </w:rPr>
        <w:t>9</w:t>
      </w:r>
      <w:r>
        <w:rPr>
          <w:rFonts w:ascii="Times New Roman" w:eastAsia="Times New Roman" w:hAnsi="Times New Roman" w:cs="Times New Roman"/>
          <w:iCs/>
          <w:sz w:val="24"/>
          <w:szCs w:val="24"/>
        </w:rPr>
        <w:t>H</w:t>
      </w:r>
      <w:r>
        <w:rPr>
          <w:rFonts w:ascii="Times New Roman" w:eastAsia="Times New Roman" w:hAnsi="Times New Roman" w:cs="Times New Roman"/>
          <w:iCs/>
          <w:sz w:val="24"/>
          <w:szCs w:val="24"/>
          <w:vertAlign w:val="subscript"/>
        </w:rPr>
        <w:t>10</w:t>
      </w:r>
      <w:r>
        <w:rPr>
          <w:rFonts w:ascii="Times New Roman" w:eastAsia="Times New Roman" w:hAnsi="Times New Roman" w:cs="Times New Roman"/>
          <w:iCs/>
          <w:sz w:val="24"/>
          <w:szCs w:val="24"/>
        </w:rPr>
        <w:t>C</w:t>
      </w:r>
      <w:r>
        <w:rPr>
          <w:rFonts w:ascii="Times New Roman" w:eastAsia="Times New Roman" w:hAnsi="Times New Roman" w:cs="Times New Roman"/>
          <w:iCs/>
          <w:sz w:val="24"/>
          <w:szCs w:val="24"/>
          <w:vertAlign w:val="subscript"/>
        </w:rPr>
        <w:t>l2</w:t>
      </w:r>
      <w:r>
        <w:rPr>
          <w:rFonts w:ascii="Times New Roman" w:eastAsia="Times New Roman" w:hAnsi="Times New Roman" w:cs="Times New Roman"/>
          <w:iCs/>
          <w:sz w:val="24"/>
          <w:szCs w:val="24"/>
        </w:rPr>
        <w:t>N</w:t>
      </w:r>
      <w:r>
        <w:rPr>
          <w:rFonts w:ascii="Times New Roman" w:eastAsia="Times New Roman" w:hAnsi="Times New Roman" w:cs="Times New Roman"/>
          <w:iCs/>
          <w:sz w:val="24"/>
          <w:szCs w:val="24"/>
          <w:vertAlign w:val="subscript"/>
        </w:rPr>
        <w:t>2</w:t>
      </w:r>
      <w:r>
        <w:rPr>
          <w:rFonts w:ascii="Times New Roman" w:eastAsia="Times New Roman" w:hAnsi="Times New Roman" w:cs="Times New Roman"/>
          <w:iCs/>
          <w:sz w:val="24"/>
          <w:szCs w:val="24"/>
        </w:rPr>
        <w:t>O) (Sigma-Aldrich, United States). While the solvent used was dimethyl sulfoxide (C</w:t>
      </w:r>
      <w:r>
        <w:rPr>
          <w:rFonts w:ascii="Times New Roman" w:eastAsia="Times New Roman" w:hAnsi="Times New Roman" w:cs="Times New Roman"/>
          <w:iCs/>
          <w:sz w:val="24"/>
          <w:szCs w:val="24"/>
          <w:vertAlign w:val="subscript"/>
        </w:rPr>
        <w:t>2</w:t>
      </w:r>
      <w:r>
        <w:rPr>
          <w:rFonts w:ascii="Times New Roman" w:eastAsia="Times New Roman" w:hAnsi="Times New Roman" w:cs="Times New Roman"/>
          <w:iCs/>
          <w:sz w:val="24"/>
          <w:szCs w:val="24"/>
        </w:rPr>
        <w:t>HSO), (</w:t>
      </w:r>
      <w:proofErr w:type="spellStart"/>
      <w:r>
        <w:rPr>
          <w:rFonts w:ascii="Times New Roman" w:eastAsia="Times New Roman" w:hAnsi="Times New Roman" w:cs="Times New Roman"/>
          <w:iCs/>
          <w:sz w:val="24"/>
          <w:szCs w:val="24"/>
        </w:rPr>
        <w:t>Riendemann</w:t>
      </w:r>
      <w:proofErr w:type="spellEnd"/>
      <w:r>
        <w:rPr>
          <w:rFonts w:ascii="Times New Roman" w:eastAsia="Times New Roman" w:hAnsi="Times New Roman" w:cs="Times New Roman"/>
          <w:iCs/>
          <w:sz w:val="24"/>
          <w:szCs w:val="24"/>
        </w:rPr>
        <w:t xml:space="preserve"> Chmidt) (DMSO, </w:t>
      </w:r>
      <w:proofErr w:type="spellStart"/>
      <w:r>
        <w:rPr>
          <w:rFonts w:ascii="Times New Roman" w:eastAsia="Times New Roman" w:hAnsi="Times New Roman" w:cs="Times New Roman"/>
          <w:iCs/>
          <w:sz w:val="24"/>
          <w:szCs w:val="24"/>
        </w:rPr>
        <w:t>AnalaR</w:t>
      </w:r>
      <w:proofErr w:type="spellEnd"/>
      <w:r>
        <w:rPr>
          <w:rFonts w:ascii="Times New Roman" w:eastAsia="Times New Roman" w:hAnsi="Times New Roman" w:cs="Times New Roman"/>
          <w:iCs/>
          <w:sz w:val="24"/>
          <w:szCs w:val="24"/>
        </w:rPr>
        <w:t xml:space="preserve"> grade), Diuron did not completely dissolve in water. The safe level estimation of the Diuron herbicide was identified according to Sprague (1969), Committee on Water Quality Criteria (CWQC, 1972), National Academy of Sciences/National Academy of Engineering (NAS/NAE, 1972), International Joint Commission (IJC, 1977), Canadian Council of Resources and Environmental Ministry (CCREM, 1992; Hart et al., 1948).</w:t>
      </w:r>
    </w:p>
    <w:p w14:paraId="14980E81" w14:textId="77777777" w:rsidR="002E79F6" w:rsidRDefault="00021946">
      <w:pPr>
        <w:spacing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fish were sampled, handled, treated, and sacrificed according to the methods approved by the Institutional Animal Care and Use Committee, </w:t>
      </w:r>
      <w:proofErr w:type="spellStart"/>
      <w:r>
        <w:rPr>
          <w:rFonts w:ascii="Times New Roman" w:eastAsia="Times New Roman" w:hAnsi="Times New Roman" w:cs="Times New Roman"/>
          <w:iCs/>
          <w:sz w:val="24"/>
          <w:szCs w:val="24"/>
        </w:rPr>
        <w:t>Universiti</w:t>
      </w:r>
      <w:proofErr w:type="spellEnd"/>
      <w:r>
        <w:rPr>
          <w:rFonts w:ascii="Times New Roman" w:eastAsia="Times New Roman" w:hAnsi="Times New Roman" w:cs="Times New Roman"/>
          <w:iCs/>
          <w:sz w:val="24"/>
          <w:szCs w:val="24"/>
        </w:rPr>
        <w:t xml:space="preserve"> Putra Malaysia (AUP No.: R006/2016). All the experiments were conducted according to the guidelines and regulations mentioned.</w:t>
      </w:r>
    </w:p>
    <w:p w14:paraId="28711AD2"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Behavioral observations were made during the first 15 minutes of exposure. Modified observations on the fishes’ diagnostic behavioral effects included surfacing, burst swimming, coordination, and skin pigmentation changes (</w:t>
      </w:r>
      <w:proofErr w:type="spellStart"/>
      <w:r>
        <w:rPr>
          <w:rFonts w:ascii="Times New Roman" w:eastAsia="Times New Roman" w:hAnsi="Times New Roman" w:cs="Times New Roman"/>
          <w:sz w:val="24"/>
          <w:szCs w:val="24"/>
        </w:rPr>
        <w:t>Saglio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Trijasse</w:t>
      </w:r>
      <w:proofErr w:type="spellEnd"/>
      <w:r>
        <w:rPr>
          <w:rFonts w:ascii="Times New Roman" w:eastAsia="Times New Roman" w:hAnsi="Times New Roman" w:cs="Times New Roman"/>
          <w:sz w:val="24"/>
          <w:szCs w:val="24"/>
        </w:rPr>
        <w:t xml:space="preserve">, 1998; Gerhardt, 2007) (Table 1). The control treatments were monitored as a reference to compare any behavioral changes. </w:t>
      </w:r>
    </w:p>
    <w:p w14:paraId="161EA75C" w14:textId="77777777" w:rsidR="002E79F6" w:rsidRDefault="00021946">
      <w:p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Table 1. </w:t>
      </w:r>
      <w:r>
        <w:rPr>
          <w:rFonts w:ascii="Times New Roman" w:eastAsia="Times New Roman" w:hAnsi="Times New Roman" w:cs="Times New Roman"/>
          <w:b/>
          <w:bCs/>
          <w:sz w:val="24"/>
          <w:szCs w:val="24"/>
        </w:rPr>
        <w:t xml:space="preserve">Criteria of </w:t>
      </w:r>
      <w:proofErr w:type="spellStart"/>
      <w:r>
        <w:rPr>
          <w:rFonts w:ascii="Times New Roman" w:eastAsia="Times New Roman" w:hAnsi="Times New Roman" w:cs="Times New Roman"/>
          <w:b/>
          <w:bCs/>
          <w:sz w:val="24"/>
          <w:szCs w:val="24"/>
        </w:rPr>
        <w:t>behaviour</w:t>
      </w:r>
      <w:proofErr w:type="spellEnd"/>
      <w:r>
        <w:rPr>
          <w:rFonts w:ascii="Times New Roman" w:eastAsia="Times New Roman" w:hAnsi="Times New Roman" w:cs="Times New Roman"/>
          <w:b/>
          <w:bCs/>
          <w:sz w:val="24"/>
          <w:szCs w:val="24"/>
        </w:rPr>
        <w:t xml:space="preserve"> scores of Javanese medaka exposed with herbicide Diuron.</w:t>
      </w:r>
    </w:p>
    <w:tbl>
      <w:tblPr>
        <w:tblStyle w:val="TableGrid"/>
        <w:tblpPr w:leftFromText="180" w:rightFromText="180" w:vertAnchor="text" w:horzAnchor="page" w:tblpX="1830" w:tblpY="192"/>
        <w:tblOverlap w:val="never"/>
        <w:tblW w:w="8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6"/>
        <w:gridCol w:w="795"/>
        <w:gridCol w:w="5058"/>
      </w:tblGrid>
      <w:tr w:rsidR="002E79F6" w14:paraId="4BB8A6F2" w14:textId="77777777">
        <w:tc>
          <w:tcPr>
            <w:tcW w:w="2546" w:type="dxa"/>
            <w:tcBorders>
              <w:top w:val="single" w:sz="4" w:space="0" w:color="auto"/>
              <w:bottom w:val="single" w:sz="4" w:space="0" w:color="auto"/>
            </w:tcBorders>
          </w:tcPr>
          <w:p w14:paraId="31072953" w14:textId="77777777" w:rsidR="002E79F6" w:rsidRDefault="00021946">
            <w:pPr>
              <w:spacing w:after="100" w:afterAutospacing="1" w:line="240"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Behaviour</w:t>
            </w:r>
            <w:proofErr w:type="spellEnd"/>
            <w:r>
              <w:rPr>
                <w:rFonts w:ascii="Times New Roman" w:eastAsia="Times New Roman" w:hAnsi="Times New Roman" w:cs="Times New Roman"/>
                <w:b/>
                <w:bCs/>
                <w:sz w:val="24"/>
                <w:szCs w:val="24"/>
              </w:rPr>
              <w:t xml:space="preserve"> </w:t>
            </w:r>
          </w:p>
        </w:tc>
        <w:tc>
          <w:tcPr>
            <w:tcW w:w="795" w:type="dxa"/>
            <w:tcBorders>
              <w:top w:val="single" w:sz="4" w:space="0" w:color="auto"/>
              <w:bottom w:val="single" w:sz="4" w:space="0" w:color="auto"/>
            </w:tcBorders>
          </w:tcPr>
          <w:p w14:paraId="7AC911C4" w14:textId="77777777" w:rsidR="002E79F6" w:rsidRDefault="00021946">
            <w:pPr>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Score</w:t>
            </w:r>
          </w:p>
        </w:tc>
        <w:tc>
          <w:tcPr>
            <w:tcW w:w="5058" w:type="dxa"/>
            <w:tcBorders>
              <w:top w:val="single" w:sz="4" w:space="0" w:color="auto"/>
              <w:bottom w:val="single" w:sz="4" w:space="0" w:color="auto"/>
            </w:tcBorders>
          </w:tcPr>
          <w:p w14:paraId="0EBB8A63" w14:textId="77777777" w:rsidR="002E79F6" w:rsidRDefault="00021946">
            <w:pPr>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Criteria</w:t>
            </w:r>
          </w:p>
        </w:tc>
      </w:tr>
      <w:tr w:rsidR="002E79F6" w14:paraId="700042CF" w14:textId="77777777">
        <w:tc>
          <w:tcPr>
            <w:tcW w:w="2546" w:type="dxa"/>
            <w:vMerge w:val="restart"/>
            <w:tcBorders>
              <w:top w:val="single" w:sz="4" w:space="0" w:color="auto"/>
            </w:tcBorders>
          </w:tcPr>
          <w:p w14:paraId="05E9677C"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Surfacing</w:t>
            </w:r>
          </w:p>
        </w:tc>
        <w:tc>
          <w:tcPr>
            <w:tcW w:w="795" w:type="dxa"/>
            <w:tcBorders>
              <w:top w:val="single" w:sz="4" w:space="0" w:color="auto"/>
            </w:tcBorders>
          </w:tcPr>
          <w:p w14:paraId="6633C428"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058" w:type="dxa"/>
            <w:tcBorders>
              <w:top w:val="single" w:sz="4" w:space="0" w:color="auto"/>
            </w:tcBorders>
          </w:tcPr>
          <w:p w14:paraId="6AF910A4"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surfacing</w:t>
            </w:r>
          </w:p>
        </w:tc>
      </w:tr>
      <w:tr w:rsidR="002E79F6" w14:paraId="62EBCCB6" w14:textId="77777777">
        <w:tc>
          <w:tcPr>
            <w:tcW w:w="2546" w:type="dxa"/>
            <w:vMerge/>
          </w:tcPr>
          <w:p w14:paraId="550FFA4E" w14:textId="77777777" w:rsidR="002E79F6" w:rsidRDefault="002E79F6">
            <w:pPr>
              <w:spacing w:after="100" w:afterAutospacing="1" w:line="240" w:lineRule="auto"/>
              <w:rPr>
                <w:rFonts w:ascii="Times New Roman" w:eastAsia="Times New Roman" w:hAnsi="Times New Roman" w:cs="Times New Roman"/>
                <w:sz w:val="24"/>
                <w:szCs w:val="24"/>
              </w:rPr>
            </w:pPr>
          </w:p>
        </w:tc>
        <w:tc>
          <w:tcPr>
            <w:tcW w:w="795" w:type="dxa"/>
          </w:tcPr>
          <w:p w14:paraId="61026CF5"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8" w:type="dxa"/>
          </w:tcPr>
          <w:p w14:paraId="351ADF0D"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Mouth opening at the surface </w:t>
            </w:r>
          </w:p>
        </w:tc>
      </w:tr>
      <w:tr w:rsidR="002E79F6" w14:paraId="017BBB3E" w14:textId="77777777">
        <w:tc>
          <w:tcPr>
            <w:tcW w:w="2546" w:type="dxa"/>
            <w:vMerge w:val="restart"/>
          </w:tcPr>
          <w:p w14:paraId="0B195DE7"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Burst Swimming</w:t>
            </w:r>
          </w:p>
        </w:tc>
        <w:tc>
          <w:tcPr>
            <w:tcW w:w="795" w:type="dxa"/>
          </w:tcPr>
          <w:p w14:paraId="67341D17"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058" w:type="dxa"/>
          </w:tcPr>
          <w:p w14:paraId="554CE1B5"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burst swimming</w:t>
            </w:r>
          </w:p>
        </w:tc>
      </w:tr>
      <w:tr w:rsidR="002E79F6" w14:paraId="1878D6DB" w14:textId="77777777">
        <w:tc>
          <w:tcPr>
            <w:tcW w:w="2546" w:type="dxa"/>
            <w:vMerge/>
          </w:tcPr>
          <w:p w14:paraId="02CAEEE0" w14:textId="77777777" w:rsidR="002E79F6" w:rsidRDefault="002E79F6">
            <w:pPr>
              <w:spacing w:after="100" w:afterAutospacing="1" w:line="240" w:lineRule="auto"/>
              <w:rPr>
                <w:rFonts w:ascii="Times New Roman" w:eastAsia="Times New Roman" w:hAnsi="Times New Roman" w:cs="Times New Roman"/>
                <w:sz w:val="24"/>
                <w:szCs w:val="24"/>
              </w:rPr>
            </w:pPr>
          </w:p>
        </w:tc>
        <w:tc>
          <w:tcPr>
            <w:tcW w:w="795" w:type="dxa"/>
          </w:tcPr>
          <w:p w14:paraId="3E3AC771"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8" w:type="dxa"/>
          </w:tcPr>
          <w:p w14:paraId="700204A3"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Sudden spurt and non-directed movement of </w:t>
            </w:r>
            <w:r>
              <w:rPr>
                <w:rFonts w:ascii="Times New Roman" w:eastAsia="Times New Roman" w:hAnsi="Times New Roman" w:cs="Times New Roman"/>
                <w:sz w:val="24"/>
                <w:szCs w:val="24"/>
              </w:rPr>
              <w:lastRenderedPageBreak/>
              <w:t>swimming</w:t>
            </w:r>
          </w:p>
        </w:tc>
      </w:tr>
      <w:tr w:rsidR="002E79F6" w14:paraId="089E252D" w14:textId="77777777">
        <w:tc>
          <w:tcPr>
            <w:tcW w:w="2546" w:type="dxa"/>
            <w:vMerge w:val="restart"/>
          </w:tcPr>
          <w:p w14:paraId="6ED749ED"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Coordination</w:t>
            </w:r>
          </w:p>
        </w:tc>
        <w:tc>
          <w:tcPr>
            <w:tcW w:w="795" w:type="dxa"/>
          </w:tcPr>
          <w:p w14:paraId="543BF60B"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058" w:type="dxa"/>
          </w:tcPr>
          <w:p w14:paraId="1B5AE209"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fish in the group were highly coordinated </w:t>
            </w:r>
          </w:p>
        </w:tc>
      </w:tr>
      <w:tr w:rsidR="002E79F6" w14:paraId="5F371EF5" w14:textId="77777777">
        <w:tc>
          <w:tcPr>
            <w:tcW w:w="2546" w:type="dxa"/>
            <w:vMerge/>
          </w:tcPr>
          <w:p w14:paraId="3604E1C6" w14:textId="77777777" w:rsidR="002E79F6" w:rsidRDefault="002E79F6">
            <w:pPr>
              <w:spacing w:after="100" w:afterAutospacing="1" w:line="240" w:lineRule="auto"/>
              <w:rPr>
                <w:rFonts w:ascii="Times New Roman" w:eastAsia="Times New Roman" w:hAnsi="Times New Roman" w:cs="Times New Roman"/>
                <w:sz w:val="24"/>
                <w:szCs w:val="24"/>
              </w:rPr>
            </w:pPr>
          </w:p>
        </w:tc>
        <w:tc>
          <w:tcPr>
            <w:tcW w:w="795" w:type="dxa"/>
          </w:tcPr>
          <w:p w14:paraId="74564C22"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8" w:type="dxa"/>
          </w:tcPr>
          <w:p w14:paraId="2DB3A113" w14:textId="77777777" w:rsidR="002E79F6" w:rsidRDefault="00021946">
            <w:pPr>
              <w:spacing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No/low coordination. Fish were pointing in different directions</w:t>
            </w:r>
          </w:p>
        </w:tc>
      </w:tr>
      <w:tr w:rsidR="002E79F6" w14:paraId="6A9B4828" w14:textId="77777777">
        <w:trPr>
          <w:trHeight w:val="249"/>
        </w:trPr>
        <w:tc>
          <w:tcPr>
            <w:tcW w:w="2546" w:type="dxa"/>
            <w:vMerge w:val="restart"/>
          </w:tcPr>
          <w:p w14:paraId="60AB7AAA" w14:textId="77777777" w:rsidR="002E79F6" w:rsidRDefault="00021946">
            <w:pPr>
              <w:spacing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skin pigmentation</w:t>
            </w:r>
          </w:p>
        </w:tc>
        <w:tc>
          <w:tcPr>
            <w:tcW w:w="795" w:type="dxa"/>
          </w:tcPr>
          <w:p w14:paraId="2D8DA78C"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058" w:type="dxa"/>
          </w:tcPr>
          <w:p w14:paraId="2E616CE5"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 in skin pigmentation</w:t>
            </w:r>
          </w:p>
        </w:tc>
      </w:tr>
      <w:tr w:rsidR="002E79F6" w14:paraId="29CD0834" w14:textId="77777777">
        <w:tc>
          <w:tcPr>
            <w:tcW w:w="2546" w:type="dxa"/>
            <w:vMerge/>
            <w:tcBorders>
              <w:bottom w:val="single" w:sz="4" w:space="0" w:color="auto"/>
            </w:tcBorders>
          </w:tcPr>
          <w:p w14:paraId="622C24DC" w14:textId="77777777" w:rsidR="002E79F6" w:rsidRDefault="002E79F6">
            <w:pPr>
              <w:spacing w:after="100" w:afterAutospacing="1" w:line="240" w:lineRule="auto"/>
              <w:jc w:val="left"/>
              <w:rPr>
                <w:rFonts w:ascii="Times New Roman" w:eastAsia="Times New Roman" w:hAnsi="Times New Roman" w:cs="Times New Roman"/>
                <w:sz w:val="24"/>
                <w:szCs w:val="24"/>
              </w:rPr>
            </w:pPr>
          </w:p>
        </w:tc>
        <w:tc>
          <w:tcPr>
            <w:tcW w:w="795" w:type="dxa"/>
            <w:tcBorders>
              <w:bottom w:val="single" w:sz="4" w:space="0" w:color="auto"/>
            </w:tcBorders>
          </w:tcPr>
          <w:p w14:paraId="528EEF33"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8" w:type="dxa"/>
            <w:tcBorders>
              <w:bottom w:val="single" w:sz="4" w:space="0" w:color="auto"/>
            </w:tcBorders>
          </w:tcPr>
          <w:p w14:paraId="507B6B37"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Skin color change from transparent to whitish body color</w:t>
            </w:r>
          </w:p>
        </w:tc>
      </w:tr>
    </w:tbl>
    <w:p w14:paraId="39C089F5" w14:textId="77777777" w:rsidR="002E79F6" w:rsidRDefault="002E79F6">
      <w:pPr>
        <w:spacing w:line="480" w:lineRule="auto"/>
        <w:jc w:val="both"/>
        <w:rPr>
          <w:rFonts w:ascii="Times New Roman" w:eastAsia="Times New Roman" w:hAnsi="Times New Roman" w:cs="Times New Roman"/>
          <w:b/>
          <w:bCs/>
          <w:iCs/>
          <w:sz w:val="24"/>
          <w:szCs w:val="24"/>
        </w:rPr>
      </w:pPr>
    </w:p>
    <w:p w14:paraId="2A795864" w14:textId="77777777" w:rsidR="002E79F6" w:rsidRDefault="00021946">
      <w:pPr>
        <w:spacing w:line="360" w:lineRule="auto"/>
        <w:jc w:val="both"/>
        <w:rPr>
          <w:rFonts w:ascii="Times New Roman" w:eastAsia="SimSun" w:hAnsi="Times New Roman"/>
          <w:color w:val="222222"/>
          <w:sz w:val="24"/>
          <w:szCs w:val="24"/>
          <w:shd w:val="clear" w:color="auto" w:fill="FFFFFF"/>
        </w:rPr>
      </w:pPr>
      <w:r>
        <w:rPr>
          <w:rFonts w:ascii="Times New Roman" w:eastAsia="SimSun" w:hAnsi="Times New Roman"/>
          <w:color w:val="222222"/>
          <w:sz w:val="24"/>
          <w:szCs w:val="24"/>
          <w:shd w:val="clear" w:color="auto" w:fill="FFFFFF"/>
        </w:rPr>
        <w:t>The data obtained were subjected to a one-way analysis of variance (ANOVA) using the statistical package SPSS (Version 25.0). </w:t>
      </w:r>
      <w:r>
        <w:rPr>
          <w:rFonts w:ascii="Times New Roman" w:eastAsia="Times New Roman" w:hAnsi="Times New Roman" w:cs="Times New Roman"/>
          <w:iCs/>
          <w:sz w:val="24"/>
          <w:szCs w:val="24"/>
        </w:rPr>
        <w:t>The Diuron’s median lethal concentration towards adults of Javanese medaka (</w:t>
      </w:r>
      <w:r>
        <w:rPr>
          <w:rFonts w:ascii="Times New Roman" w:eastAsia="Times New Roman" w:hAnsi="Times New Roman" w:cs="Times New Roman"/>
          <w:i/>
          <w:sz w:val="24"/>
          <w:szCs w:val="24"/>
        </w:rPr>
        <w:t>O. javanicus</w:t>
      </w:r>
      <w:r>
        <w:rPr>
          <w:rFonts w:ascii="Times New Roman" w:eastAsia="Times New Roman" w:hAnsi="Times New Roman" w:cs="Times New Roman"/>
          <w:iCs/>
          <w:sz w:val="24"/>
          <w:szCs w:val="24"/>
        </w:rPr>
        <w:t xml:space="preserve">) was determined using the probit analysis method (Soni &amp; Verma, 2018; </w:t>
      </w:r>
      <w:r>
        <w:rPr>
          <w:rFonts w:ascii="Times New Roman" w:eastAsia="SimSun" w:hAnsi="Times New Roman"/>
          <w:color w:val="222222"/>
          <w:sz w:val="24"/>
          <w:szCs w:val="24"/>
          <w:shd w:val="clear" w:color="auto" w:fill="FFFFFF"/>
        </w:rPr>
        <w:t>Rana &amp; Gautam, 2022; Uçar, 2024). </w:t>
      </w:r>
    </w:p>
    <w:p w14:paraId="0C40CCBF" w14:textId="77777777" w:rsidR="002E79F6" w:rsidRDefault="0002194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2CFB7BC0" w14:textId="77777777"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physical and chemical properties of the water treatment during the 96-hour toxicity test did not significantly differ from the acclimation period (p &gt; 0.05). It had a temperature of 25.0 ± 1.0°C, a dissolved oxygen content of 6.9 ± 0.6 mg/L, and a pH mean (±SD) of 7.0 ± 0.5. In the static renewal-toxicity test, the Javanese medaka's estimated mean 96-hour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 was 5.90 mg/L (Figure 2). Throughout the experiment, no fish mortality was noted in the control group. </w:t>
      </w:r>
    </w:p>
    <w:p w14:paraId="46C74FB6" w14:textId="77777777" w:rsidR="002E79F6" w:rsidRDefault="002E79F6">
      <w:pPr>
        <w:spacing w:line="360" w:lineRule="auto"/>
        <w:jc w:val="both"/>
        <w:rPr>
          <w:rFonts w:ascii="Times New Roman" w:eastAsia="Times New Roman" w:hAnsi="Times New Roman"/>
          <w:sz w:val="24"/>
          <w:szCs w:val="24"/>
        </w:rPr>
      </w:pPr>
    </w:p>
    <w:p w14:paraId="6749E696" w14:textId="77777777"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toxicity of the Diuron herbicide on adult Javanese medaka increased with the exposure time and in test solution concentrations. Direct visual observations were done after the fish were introduced into the test solution within 15 minutes. The medaka exhibited some behavioral abnormalities of "escaping" or avoidance behavior in response to the effects of the Diuron herbicide. The Javanese medaka showed erratic swimming movements from the bottom to the water's surface. The surfacing activity was fast, coupled with convulsions and jerky body movements. The fishes also lost their equilibrium and struggled for breathing as shown by their rapid operculum movements. However, no hemorrhage incident was observed on the fish's skin. The control treatment medaka showed normal swimming behavior and natural color with transparent bodies. The body color of treated fish at the highest concentration, 15.0 mg/L, showed body color changes from transparent to pale whitish (Figure 1). At lower concentrations, the changes in its behavior are not prominent. The estimated safe level values </w:t>
      </w:r>
      <w:r>
        <w:rPr>
          <w:rFonts w:ascii="Times New Roman" w:eastAsia="Times New Roman" w:hAnsi="Times New Roman"/>
          <w:sz w:val="24"/>
          <w:szCs w:val="24"/>
        </w:rPr>
        <w:lastRenderedPageBreak/>
        <w:t>of the Diuron herbicide for Javanese medaka ranged from 0.059 to 0.59 mg/L, as presented in Table 2.</w:t>
      </w:r>
    </w:p>
    <w:p w14:paraId="191FF0CC" w14:textId="77777777" w:rsidR="002E79F6" w:rsidRDefault="002E79F6">
      <w:pPr>
        <w:jc w:val="both"/>
        <w:rPr>
          <w:rFonts w:ascii="Times New Roman" w:hAnsi="Times New Roman" w:cs="Times New Roman"/>
          <w:sz w:val="24"/>
          <w:szCs w:val="24"/>
        </w:rPr>
      </w:pPr>
    </w:p>
    <w:p w14:paraId="79656F96" w14:textId="77777777" w:rsidR="002E79F6" w:rsidRDefault="00021946">
      <w:pPr>
        <w:jc w:val="both"/>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061724B" wp14:editId="356A587A">
                <wp:simplePos x="0" y="0"/>
                <wp:positionH relativeFrom="column">
                  <wp:posOffset>5299710</wp:posOffset>
                </wp:positionH>
                <wp:positionV relativeFrom="paragraph">
                  <wp:posOffset>19685</wp:posOffset>
                </wp:positionV>
                <wp:extent cx="129540" cy="523875"/>
                <wp:effectExtent l="50482" t="44768" r="73343" b="73342"/>
                <wp:wrapNone/>
                <wp:docPr id="2128906207" name="Left Brace 2"/>
                <wp:cNvGraphicFramePr/>
                <a:graphic xmlns:a="http://schemas.openxmlformats.org/drawingml/2006/main">
                  <a:graphicData uri="http://schemas.microsoft.com/office/word/2010/wordprocessingShape">
                    <wps:wsp>
                      <wps:cNvSpPr/>
                      <wps:spPr>
                        <a:xfrm rot="5400000">
                          <a:off x="0" y="0"/>
                          <a:ext cx="129540" cy="523875"/>
                        </a:xfrm>
                        <a:prstGeom prst="leftBrace">
                          <a:avLst/>
                        </a:prstGeom>
                        <a:ln w="952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Left Brace 2" o:spid="_x0000_s1026" o:spt="87" type="#_x0000_t87" style="position:absolute;left:0pt;margin-left:417.3pt;margin-top:1.55pt;height:41.25pt;width:10.2pt;rotation:5898240f;z-index:251660288;v-text-anchor:middle;mso-width-relative:page;mso-height-relative:page;" filled="f" stroked="t" coordsize="21600,21600" o:gfxdata="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kV9qs9cAAAAIAQAADwAAAAAAAAABACAAAAAiAAAAZHJzL2Rv&#10;d25yZXYueG1sUEsBAhQAFAAAAAgAh07iQECLptKtAgAAfgUAAA4AAAAAAAAAAQAgAAAAJgEAAGRy&#10;cy9lMm9Eb2MueG1sUEsFBgAAAAAGAAYAWQEAAEUGAAAAAA==&#10;" adj="445,10800">
                <v:fill on="f" focussize="0,0"/>
                <v:stroke color="#000000 [3200]" joinstyle="round"/>
                <v:imagedata o:title=""/>
                <o:lock v:ext="edit" aspectratio="f"/>
                <v:shadow on="t" color="#000000" opacity="24903f" offset="0pt,1.5748031496063pt" origin="0f,32768f" matrix="65536f,0f,0f,65536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BD100C2" wp14:editId="2C1702CC">
                <wp:simplePos x="0" y="0"/>
                <wp:positionH relativeFrom="column">
                  <wp:posOffset>4646295</wp:posOffset>
                </wp:positionH>
                <wp:positionV relativeFrom="paragraph">
                  <wp:posOffset>30480</wp:posOffset>
                </wp:positionV>
                <wp:extent cx="129540" cy="523875"/>
                <wp:effectExtent l="50482" t="44768" r="73343" b="73342"/>
                <wp:wrapNone/>
                <wp:docPr id="1685618318" name="Left Brace 2"/>
                <wp:cNvGraphicFramePr/>
                <a:graphic xmlns:a="http://schemas.openxmlformats.org/drawingml/2006/main">
                  <a:graphicData uri="http://schemas.microsoft.com/office/word/2010/wordprocessingShape">
                    <wps:wsp>
                      <wps:cNvSpPr/>
                      <wps:spPr>
                        <a:xfrm rot="5400000">
                          <a:off x="0" y="0"/>
                          <a:ext cx="129540" cy="523875"/>
                        </a:xfrm>
                        <a:prstGeom prst="leftBrace">
                          <a:avLst/>
                        </a:prstGeom>
                        <a:ln w="952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Left Brace 2" o:spid="_x0000_s1026" o:spt="87" type="#_x0000_t87" style="position:absolute;left:0pt;margin-left:365.85pt;margin-top:2.4pt;height:41.25pt;width:10.2pt;rotation:5898240f;z-index:251659264;v-text-anchor:middle;mso-width-relative:page;mso-height-relative:page;" filled="f" stroked="t" coordsize="21600,21600" o:gfxdata="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W8wlWNcAAAAIAQAADwAAAAAAAAABACAAAAAiAAAAZHJzL2Rv&#10;d25yZXYueG1sUEsBAhQAFAAAAAgAh07iQBu8wZ+tAgAAfgUAAA4AAAAAAAAAAQAgAAAAJgEAAGRy&#10;cy9lMm9Eb2MueG1sUEsFBgAAAAAGAAYAWQEAAEUGAAAAAA==&#10;" adj="445,10800">
                <v:fill on="f" focussize="0,0"/>
                <v:stroke color="#000000 [3200]" joinstyle="round"/>
                <v:imagedata o:title=""/>
                <o:lock v:ext="edit" aspectratio="f"/>
                <v:shadow on="t" color="#000000" opacity="24903f" offset="0pt,1.5748031496063pt" origin="0f,32768f" matrix="65536f,0f,0f,65536f"/>
              </v:shape>
            </w:pict>
          </mc:Fallback>
        </mc:AlternateContent>
      </w:r>
      <w:r>
        <w:rPr>
          <w:rFonts w:ascii="Times New Roman" w:hAnsi="Times New Roman" w:cs="Times New Roman"/>
          <w:noProof/>
          <w:sz w:val="24"/>
          <w:szCs w:val="24"/>
        </w:rPr>
        <w:drawing>
          <wp:inline distT="0" distB="0" distL="114300" distR="114300" wp14:anchorId="09D30A4E" wp14:editId="003EFCAD">
            <wp:extent cx="5829300" cy="2802890"/>
            <wp:effectExtent l="0" t="0" r="0" b="1651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76D783" w14:textId="77777777" w:rsidR="002E79F6" w:rsidRDefault="000219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Behavioral responses of Javanese medaka in group of 30 to different treatments of herbicide Diuron. Remarks:</w:t>
      </w:r>
      <w:r>
        <w:rPr>
          <w:rFonts w:ascii="Times New Roman" w:eastAsiaTheme="minorHAnsi" w:hAnsi="Times New Roman" w:cs="Times New Roman"/>
          <w:sz w:val="24"/>
          <w:szCs w:val="24"/>
        </w:rPr>
        <w:t xml:space="preserve"> </w:t>
      </w:r>
      <w:r>
        <w:rPr>
          <w:rFonts w:ascii="Times New Roman" w:eastAsia="Times New Roman" w:hAnsi="Times New Roman" w:cs="Times New Roman"/>
          <w:sz w:val="24"/>
          <w:szCs w:val="24"/>
        </w:rPr>
        <w:t>Different alphabets indicate a significant difference (p&lt;0.05) between the groups.</w:t>
      </w:r>
    </w:p>
    <w:p w14:paraId="4136868B" w14:textId="77777777" w:rsidR="002E79F6" w:rsidRDefault="00021946">
      <w:pPr>
        <w:jc w:val="center"/>
        <w:rPr>
          <w:rFonts w:ascii="Times New Roman" w:eastAsia="Times New Roman" w:hAnsi="Times New Roman" w:cs="Times New Roman"/>
          <w:sz w:val="24"/>
          <w:szCs w:val="24"/>
        </w:rPr>
      </w:pPr>
      <w:r>
        <w:rPr>
          <w:rFonts w:ascii="Times New Roman" w:hAnsi="Times New Roman" w:cs="Times New Roman"/>
          <w:noProof/>
          <w:sz w:val="24"/>
          <w:szCs w:val="24"/>
        </w:rPr>
        <w:drawing>
          <wp:inline distT="0" distB="0" distL="114300" distR="114300" wp14:anchorId="0B701E04" wp14:editId="673C3686">
            <wp:extent cx="4615180" cy="2533650"/>
            <wp:effectExtent l="0" t="0" r="1397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9"/>
                    <a:srcRect/>
                    <a:stretch>
                      <a:fillRect/>
                    </a:stretch>
                  </pic:blipFill>
                  <pic:spPr>
                    <a:xfrm>
                      <a:off x="0" y="0"/>
                      <a:ext cx="4615180" cy="2533650"/>
                    </a:xfrm>
                    <a:prstGeom prst="rect">
                      <a:avLst/>
                    </a:prstGeom>
                  </pic:spPr>
                </pic:pic>
              </a:graphicData>
            </a:graphic>
          </wp:inline>
        </w:drawing>
      </w:r>
    </w:p>
    <w:p w14:paraId="63D4670C" w14:textId="77777777" w:rsidR="002E79F6" w:rsidRDefault="000219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Probit analysis to determine the Lethal Concentration (50%) of Diuron acute exposure at different concentrations for 96 hours.</w:t>
      </w:r>
    </w:p>
    <w:p w14:paraId="66822E6B" w14:textId="77777777" w:rsidR="002E79F6" w:rsidRDefault="002E79F6">
      <w:pPr>
        <w:jc w:val="both"/>
        <w:rPr>
          <w:rFonts w:ascii="Times New Roman" w:eastAsia="Times New Roman" w:hAnsi="Times New Roman" w:cs="Times New Roman"/>
          <w:sz w:val="24"/>
          <w:szCs w:val="24"/>
        </w:rPr>
      </w:pPr>
    </w:p>
    <w:tbl>
      <w:tblPr>
        <w:tblStyle w:val="Style10"/>
        <w:tblpPr w:leftFromText="180" w:rightFromText="180" w:vertAnchor="text" w:horzAnchor="margin" w:tblpY="-165"/>
        <w:tblOverlap w:val="never"/>
        <w:tblW w:w="9186" w:type="dxa"/>
        <w:tblInd w:w="0" w:type="dxa"/>
        <w:tblBorders>
          <w:top w:val="single" w:sz="4" w:space="0" w:color="auto"/>
          <w:bottom w:val="single" w:sz="4" w:space="0" w:color="auto"/>
        </w:tblBorders>
        <w:tblLayout w:type="fixed"/>
        <w:tblLook w:val="04A0" w:firstRow="1" w:lastRow="0" w:firstColumn="1" w:lastColumn="0" w:noHBand="0" w:noVBand="1"/>
      </w:tblPr>
      <w:tblGrid>
        <w:gridCol w:w="1458"/>
        <w:gridCol w:w="1350"/>
        <w:gridCol w:w="1980"/>
        <w:gridCol w:w="2070"/>
        <w:gridCol w:w="2328"/>
      </w:tblGrid>
      <w:tr w:rsidR="002E79F6" w14:paraId="2BF90647" w14:textId="77777777" w:rsidTr="002E79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6" w:type="dxa"/>
            <w:gridSpan w:val="5"/>
            <w:tcBorders>
              <w:top w:val="nil"/>
              <w:bottom w:val="single" w:sz="4" w:space="0" w:color="auto"/>
            </w:tcBorders>
            <w:tcMar>
              <w:top w:w="0" w:type="dxa"/>
              <w:left w:w="108" w:type="dxa"/>
              <w:bottom w:w="0" w:type="dxa"/>
              <w:right w:w="108" w:type="dxa"/>
            </w:tcMar>
          </w:tcPr>
          <w:p w14:paraId="2B3BB0C4" w14:textId="77777777" w:rsidR="002E79F6" w:rsidRDefault="00021946">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val="0"/>
                <w:sz w:val="24"/>
                <w:szCs w:val="24"/>
              </w:rPr>
              <w:lastRenderedPageBreak/>
              <w:t>Table 2. Safe level estimation of Diuron to Javanese medaka (</w:t>
            </w:r>
            <w:proofErr w:type="spellStart"/>
            <w:r>
              <w:rPr>
                <w:rFonts w:ascii="Times New Roman" w:eastAsia="Times New Roman" w:hAnsi="Times New Roman" w:cs="Times New Roman"/>
                <w:b w:val="0"/>
                <w:i/>
                <w:sz w:val="24"/>
                <w:szCs w:val="24"/>
              </w:rPr>
              <w:t>Oryzias</w:t>
            </w:r>
            <w:proofErr w:type="spellEnd"/>
            <w:r>
              <w:rPr>
                <w:rFonts w:ascii="Times New Roman" w:eastAsia="Times New Roman" w:hAnsi="Times New Roman" w:cs="Times New Roman"/>
                <w:b w:val="0"/>
                <w:i/>
                <w:sz w:val="24"/>
                <w:szCs w:val="24"/>
              </w:rPr>
              <w:t xml:space="preserve"> javanicus</w:t>
            </w:r>
            <w:r>
              <w:rPr>
                <w:rFonts w:ascii="Times New Roman" w:eastAsia="Times New Roman" w:hAnsi="Times New Roman" w:cs="Times New Roman"/>
                <w:b w:val="0"/>
                <w:sz w:val="24"/>
                <w:szCs w:val="24"/>
              </w:rPr>
              <w:t>)</w:t>
            </w:r>
          </w:p>
        </w:tc>
      </w:tr>
      <w:tr w:rsidR="002E79F6" w14:paraId="699BB2CD" w14:textId="77777777" w:rsidTr="002E79F6">
        <w:tc>
          <w:tcPr>
            <w:cnfStyle w:val="001000000000" w:firstRow="0" w:lastRow="0" w:firstColumn="1" w:lastColumn="0" w:oddVBand="0" w:evenVBand="0" w:oddHBand="0" w:evenHBand="0" w:firstRowFirstColumn="0" w:firstRowLastColumn="0" w:lastRowFirstColumn="0" w:lastRowLastColumn="0"/>
            <w:tcW w:w="1458" w:type="dxa"/>
            <w:tcBorders>
              <w:top w:val="single" w:sz="4" w:space="0" w:color="auto"/>
              <w:bottom w:val="single" w:sz="4" w:space="0" w:color="auto"/>
            </w:tcBorders>
            <w:tcMar>
              <w:top w:w="0" w:type="dxa"/>
              <w:left w:w="108" w:type="dxa"/>
              <w:bottom w:w="0" w:type="dxa"/>
              <w:right w:w="108" w:type="dxa"/>
            </w:tcMar>
          </w:tcPr>
          <w:p w14:paraId="0B7298AE" w14:textId="77777777" w:rsidR="002E79F6" w:rsidRDefault="00021946">
            <w:pPr>
              <w:spacing w:after="100" w:afterAutospacing="1"/>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Chemical </w:t>
            </w:r>
          </w:p>
        </w:tc>
        <w:tc>
          <w:tcPr>
            <w:tcW w:w="1350" w:type="dxa"/>
            <w:tcBorders>
              <w:top w:val="single" w:sz="4" w:space="0" w:color="auto"/>
              <w:bottom w:val="single" w:sz="4" w:space="0" w:color="auto"/>
            </w:tcBorders>
            <w:tcMar>
              <w:top w:w="0" w:type="dxa"/>
              <w:left w:w="108" w:type="dxa"/>
              <w:bottom w:w="0" w:type="dxa"/>
              <w:right w:w="108" w:type="dxa"/>
            </w:tcMar>
          </w:tcPr>
          <w:p w14:paraId="4657F83E"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96h-LC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(mg/L) </w:t>
            </w:r>
          </w:p>
        </w:tc>
        <w:tc>
          <w:tcPr>
            <w:tcW w:w="1980" w:type="dxa"/>
            <w:tcBorders>
              <w:top w:val="single" w:sz="4" w:space="0" w:color="auto"/>
              <w:bottom w:val="single" w:sz="4" w:space="0" w:color="auto"/>
            </w:tcBorders>
            <w:tcMar>
              <w:top w:w="0" w:type="dxa"/>
              <w:left w:w="108" w:type="dxa"/>
              <w:bottom w:w="0" w:type="dxa"/>
              <w:right w:w="108" w:type="dxa"/>
            </w:tcMar>
          </w:tcPr>
          <w:p w14:paraId="37DB42BB"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Method</w:t>
            </w:r>
          </w:p>
        </w:tc>
        <w:tc>
          <w:tcPr>
            <w:tcW w:w="2070" w:type="dxa"/>
            <w:tcBorders>
              <w:top w:val="single" w:sz="4" w:space="0" w:color="auto"/>
              <w:bottom w:val="single" w:sz="4" w:space="0" w:color="auto"/>
            </w:tcBorders>
            <w:tcMar>
              <w:top w:w="0" w:type="dxa"/>
              <w:left w:w="108" w:type="dxa"/>
              <w:bottom w:w="0" w:type="dxa"/>
              <w:right w:w="108" w:type="dxa"/>
            </w:tcMar>
          </w:tcPr>
          <w:p w14:paraId="719BE276"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Calculation/ Application Factor</w:t>
            </w:r>
          </w:p>
        </w:tc>
        <w:tc>
          <w:tcPr>
            <w:tcW w:w="2328" w:type="dxa"/>
            <w:tcBorders>
              <w:top w:val="single" w:sz="4" w:space="0" w:color="auto"/>
              <w:bottom w:val="single" w:sz="4" w:space="0" w:color="auto"/>
            </w:tcBorders>
            <w:tcMar>
              <w:top w:w="0" w:type="dxa"/>
              <w:left w:w="108" w:type="dxa"/>
              <w:bottom w:w="0" w:type="dxa"/>
              <w:right w:w="108" w:type="dxa"/>
            </w:tcMar>
          </w:tcPr>
          <w:p w14:paraId="044BC39B"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Estimation of Safety Level (mg/L)</w:t>
            </w:r>
          </w:p>
        </w:tc>
      </w:tr>
      <w:tr w:rsidR="002E79F6" w14:paraId="10E56ACF" w14:textId="77777777" w:rsidTr="002E79F6">
        <w:tc>
          <w:tcPr>
            <w:cnfStyle w:val="001000000000" w:firstRow="0" w:lastRow="0" w:firstColumn="1" w:lastColumn="0" w:oddVBand="0" w:evenVBand="0" w:oddHBand="0" w:evenHBand="0" w:firstRowFirstColumn="0" w:firstRowLastColumn="0" w:lastRowFirstColumn="0" w:lastRowLastColumn="0"/>
            <w:tcW w:w="1458" w:type="dxa"/>
            <w:tcBorders>
              <w:top w:val="single" w:sz="4" w:space="0" w:color="auto"/>
            </w:tcBorders>
            <w:tcMar>
              <w:top w:w="0" w:type="dxa"/>
              <w:left w:w="108" w:type="dxa"/>
              <w:bottom w:w="0" w:type="dxa"/>
              <w:right w:w="108" w:type="dxa"/>
            </w:tcMar>
          </w:tcPr>
          <w:p w14:paraId="152743BC" w14:textId="77777777" w:rsidR="002E79F6" w:rsidRDefault="00021946">
            <w:pPr>
              <w:spacing w:after="100" w:afterAutospacing="1"/>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Diuron</w:t>
            </w:r>
          </w:p>
        </w:tc>
        <w:tc>
          <w:tcPr>
            <w:tcW w:w="1350" w:type="dxa"/>
            <w:tcBorders>
              <w:top w:val="single" w:sz="4" w:space="0" w:color="auto"/>
            </w:tcBorders>
            <w:tcMar>
              <w:top w:w="0" w:type="dxa"/>
              <w:left w:w="108" w:type="dxa"/>
              <w:bottom w:w="0" w:type="dxa"/>
              <w:right w:w="108" w:type="dxa"/>
            </w:tcMar>
          </w:tcPr>
          <w:p w14:paraId="1E5E2DEF"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1980" w:type="dxa"/>
            <w:tcBorders>
              <w:top w:val="single" w:sz="4" w:space="0" w:color="auto"/>
            </w:tcBorders>
            <w:tcMar>
              <w:top w:w="0" w:type="dxa"/>
              <w:left w:w="108" w:type="dxa"/>
              <w:bottom w:w="0" w:type="dxa"/>
              <w:right w:w="108" w:type="dxa"/>
            </w:tcMar>
          </w:tcPr>
          <w:p w14:paraId="1E14EADD"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Sprague (1971)</w:t>
            </w:r>
          </w:p>
        </w:tc>
        <w:tc>
          <w:tcPr>
            <w:tcW w:w="2070" w:type="dxa"/>
            <w:tcBorders>
              <w:top w:val="single" w:sz="4" w:space="0" w:color="auto"/>
            </w:tcBorders>
            <w:tcMar>
              <w:top w:w="0" w:type="dxa"/>
              <w:left w:w="108" w:type="dxa"/>
              <w:bottom w:w="0" w:type="dxa"/>
              <w:right w:w="108" w:type="dxa"/>
            </w:tcMar>
          </w:tcPr>
          <w:p w14:paraId="2382ED3D"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2328" w:type="dxa"/>
            <w:tcBorders>
              <w:top w:val="single" w:sz="4" w:space="0" w:color="auto"/>
            </w:tcBorders>
            <w:tcMar>
              <w:top w:w="0" w:type="dxa"/>
              <w:left w:w="108" w:type="dxa"/>
              <w:bottom w:w="0" w:type="dxa"/>
              <w:right w:w="108" w:type="dxa"/>
            </w:tcMar>
          </w:tcPr>
          <w:p w14:paraId="70D4058A"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0.590</w:t>
            </w:r>
          </w:p>
        </w:tc>
      </w:tr>
      <w:tr w:rsidR="002E79F6" w14:paraId="0590F03C" w14:textId="77777777" w:rsidTr="002E79F6">
        <w:tc>
          <w:tcPr>
            <w:cnfStyle w:val="001000000000" w:firstRow="0" w:lastRow="0" w:firstColumn="1" w:lastColumn="0" w:oddVBand="0" w:evenVBand="0" w:oddHBand="0" w:evenHBand="0" w:firstRowFirstColumn="0" w:firstRowLastColumn="0" w:lastRowFirstColumn="0" w:lastRowLastColumn="0"/>
            <w:tcW w:w="1458" w:type="dxa"/>
            <w:tcMar>
              <w:top w:w="0" w:type="dxa"/>
              <w:left w:w="108" w:type="dxa"/>
              <w:bottom w:w="0" w:type="dxa"/>
              <w:right w:w="108" w:type="dxa"/>
            </w:tcMar>
          </w:tcPr>
          <w:p w14:paraId="4C3F3B6C" w14:textId="77777777" w:rsidR="002E79F6" w:rsidRDefault="002E79F6">
            <w:pPr>
              <w:spacing w:after="100" w:afterAutospacing="1"/>
              <w:rPr>
                <w:rFonts w:ascii="Times New Roman" w:eastAsia="Times New Roman" w:hAnsi="Times New Roman" w:cs="Times New Roman"/>
                <w:sz w:val="24"/>
                <w:szCs w:val="24"/>
              </w:rPr>
            </w:pPr>
          </w:p>
        </w:tc>
        <w:tc>
          <w:tcPr>
            <w:tcW w:w="1350" w:type="dxa"/>
            <w:tcMar>
              <w:top w:w="0" w:type="dxa"/>
              <w:left w:w="108" w:type="dxa"/>
              <w:bottom w:w="0" w:type="dxa"/>
              <w:right w:w="108" w:type="dxa"/>
            </w:tcMar>
          </w:tcPr>
          <w:p w14:paraId="30D78F3A" w14:textId="77777777" w:rsidR="002E79F6" w:rsidRDefault="002E79F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0" w:type="dxa"/>
            <w:tcMar>
              <w:top w:w="0" w:type="dxa"/>
              <w:left w:w="108" w:type="dxa"/>
              <w:bottom w:w="0" w:type="dxa"/>
              <w:right w:w="108" w:type="dxa"/>
            </w:tcMar>
          </w:tcPr>
          <w:p w14:paraId="589E7A9C"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CWQC (1972)</w:t>
            </w:r>
          </w:p>
        </w:tc>
        <w:tc>
          <w:tcPr>
            <w:tcW w:w="2070" w:type="dxa"/>
            <w:tcMar>
              <w:top w:w="0" w:type="dxa"/>
              <w:left w:w="108" w:type="dxa"/>
              <w:bottom w:w="0" w:type="dxa"/>
              <w:right w:w="108" w:type="dxa"/>
            </w:tcMar>
          </w:tcPr>
          <w:p w14:paraId="52D2AB02"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2328" w:type="dxa"/>
            <w:tcMar>
              <w:top w:w="0" w:type="dxa"/>
              <w:left w:w="108" w:type="dxa"/>
              <w:bottom w:w="0" w:type="dxa"/>
              <w:right w:w="108" w:type="dxa"/>
            </w:tcMar>
          </w:tcPr>
          <w:p w14:paraId="76F73A9F"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0.059</w:t>
            </w:r>
          </w:p>
        </w:tc>
      </w:tr>
      <w:tr w:rsidR="002E79F6" w14:paraId="1D400288" w14:textId="77777777" w:rsidTr="002E79F6">
        <w:tc>
          <w:tcPr>
            <w:cnfStyle w:val="001000000000" w:firstRow="0" w:lastRow="0" w:firstColumn="1" w:lastColumn="0" w:oddVBand="0" w:evenVBand="0" w:oddHBand="0" w:evenHBand="0" w:firstRowFirstColumn="0" w:firstRowLastColumn="0" w:lastRowFirstColumn="0" w:lastRowLastColumn="0"/>
            <w:tcW w:w="1458" w:type="dxa"/>
            <w:tcMar>
              <w:top w:w="0" w:type="dxa"/>
              <w:left w:w="108" w:type="dxa"/>
              <w:bottom w:w="0" w:type="dxa"/>
              <w:right w:w="108" w:type="dxa"/>
            </w:tcMar>
          </w:tcPr>
          <w:p w14:paraId="245CD4B0" w14:textId="77777777" w:rsidR="002E79F6" w:rsidRDefault="002E79F6">
            <w:pPr>
              <w:spacing w:after="100" w:afterAutospacing="1"/>
              <w:rPr>
                <w:rFonts w:ascii="Times New Roman" w:eastAsia="Times New Roman" w:hAnsi="Times New Roman" w:cs="Times New Roman"/>
                <w:sz w:val="24"/>
                <w:szCs w:val="24"/>
              </w:rPr>
            </w:pPr>
          </w:p>
        </w:tc>
        <w:tc>
          <w:tcPr>
            <w:tcW w:w="1350" w:type="dxa"/>
            <w:tcMar>
              <w:top w:w="0" w:type="dxa"/>
              <w:left w:w="108" w:type="dxa"/>
              <w:bottom w:w="0" w:type="dxa"/>
              <w:right w:w="108" w:type="dxa"/>
            </w:tcMar>
          </w:tcPr>
          <w:p w14:paraId="185821D5" w14:textId="77777777" w:rsidR="002E79F6" w:rsidRDefault="002E79F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0" w:type="dxa"/>
            <w:tcMar>
              <w:top w:w="0" w:type="dxa"/>
              <w:left w:w="108" w:type="dxa"/>
              <w:bottom w:w="0" w:type="dxa"/>
              <w:right w:w="108" w:type="dxa"/>
            </w:tcMar>
          </w:tcPr>
          <w:p w14:paraId="08169D35"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NAS/NAE (1973)</w:t>
            </w:r>
          </w:p>
        </w:tc>
        <w:tc>
          <w:tcPr>
            <w:tcW w:w="2070" w:type="dxa"/>
            <w:tcMar>
              <w:top w:w="0" w:type="dxa"/>
              <w:left w:w="108" w:type="dxa"/>
              <w:bottom w:w="0" w:type="dxa"/>
              <w:right w:w="108" w:type="dxa"/>
            </w:tcMar>
          </w:tcPr>
          <w:p w14:paraId="6699AFE7"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0.1-0.00001</w:t>
            </w:r>
          </w:p>
        </w:tc>
        <w:tc>
          <w:tcPr>
            <w:tcW w:w="2328" w:type="dxa"/>
            <w:tcMar>
              <w:top w:w="0" w:type="dxa"/>
              <w:left w:w="108" w:type="dxa"/>
              <w:bottom w:w="0" w:type="dxa"/>
              <w:right w:w="108" w:type="dxa"/>
            </w:tcMar>
          </w:tcPr>
          <w:p w14:paraId="30FE0CDB"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0.590-0.000059</w:t>
            </w:r>
          </w:p>
        </w:tc>
      </w:tr>
      <w:tr w:rsidR="002E79F6" w14:paraId="6CD596E8" w14:textId="77777777" w:rsidTr="002E79F6">
        <w:tc>
          <w:tcPr>
            <w:cnfStyle w:val="001000000000" w:firstRow="0" w:lastRow="0" w:firstColumn="1" w:lastColumn="0" w:oddVBand="0" w:evenVBand="0" w:oddHBand="0" w:evenHBand="0" w:firstRowFirstColumn="0" w:firstRowLastColumn="0" w:lastRowFirstColumn="0" w:lastRowLastColumn="0"/>
            <w:tcW w:w="1458" w:type="dxa"/>
            <w:tcMar>
              <w:top w:w="0" w:type="dxa"/>
              <w:left w:w="108" w:type="dxa"/>
              <w:bottom w:w="0" w:type="dxa"/>
              <w:right w:w="108" w:type="dxa"/>
            </w:tcMar>
          </w:tcPr>
          <w:p w14:paraId="3BADCE22" w14:textId="77777777" w:rsidR="002E79F6" w:rsidRDefault="002E79F6">
            <w:pPr>
              <w:spacing w:after="100" w:afterAutospacing="1"/>
              <w:rPr>
                <w:rFonts w:ascii="Times New Roman" w:eastAsia="Times New Roman" w:hAnsi="Times New Roman" w:cs="Times New Roman"/>
                <w:sz w:val="24"/>
                <w:szCs w:val="24"/>
              </w:rPr>
            </w:pPr>
          </w:p>
        </w:tc>
        <w:tc>
          <w:tcPr>
            <w:tcW w:w="1350" w:type="dxa"/>
            <w:tcMar>
              <w:top w:w="0" w:type="dxa"/>
              <w:left w:w="108" w:type="dxa"/>
              <w:bottom w:w="0" w:type="dxa"/>
              <w:right w:w="108" w:type="dxa"/>
            </w:tcMar>
          </w:tcPr>
          <w:p w14:paraId="15C9C712" w14:textId="77777777" w:rsidR="002E79F6" w:rsidRDefault="002E79F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0" w:type="dxa"/>
            <w:tcMar>
              <w:top w:w="0" w:type="dxa"/>
              <w:left w:w="108" w:type="dxa"/>
              <w:bottom w:w="0" w:type="dxa"/>
              <w:right w:w="108" w:type="dxa"/>
            </w:tcMar>
          </w:tcPr>
          <w:p w14:paraId="78E6B369"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CCREM (1991)</w:t>
            </w:r>
          </w:p>
        </w:tc>
        <w:tc>
          <w:tcPr>
            <w:tcW w:w="2070" w:type="dxa"/>
            <w:tcMar>
              <w:top w:w="0" w:type="dxa"/>
              <w:left w:w="108" w:type="dxa"/>
              <w:bottom w:w="0" w:type="dxa"/>
              <w:right w:w="108" w:type="dxa"/>
            </w:tcMar>
          </w:tcPr>
          <w:p w14:paraId="457DB3FD"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2328" w:type="dxa"/>
            <w:tcMar>
              <w:top w:w="0" w:type="dxa"/>
              <w:left w:w="108" w:type="dxa"/>
              <w:bottom w:w="0" w:type="dxa"/>
              <w:right w:w="108" w:type="dxa"/>
            </w:tcMar>
          </w:tcPr>
          <w:p w14:paraId="026EB9AB"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0.295</w:t>
            </w:r>
          </w:p>
        </w:tc>
      </w:tr>
      <w:tr w:rsidR="002E79F6" w14:paraId="768452F8" w14:textId="77777777" w:rsidTr="002E79F6">
        <w:tc>
          <w:tcPr>
            <w:cnfStyle w:val="001000000000" w:firstRow="0" w:lastRow="0" w:firstColumn="1" w:lastColumn="0" w:oddVBand="0" w:evenVBand="0" w:oddHBand="0" w:evenHBand="0" w:firstRowFirstColumn="0" w:firstRowLastColumn="0" w:lastRowFirstColumn="0" w:lastRowLastColumn="0"/>
            <w:tcW w:w="1458" w:type="dxa"/>
            <w:tcMar>
              <w:top w:w="0" w:type="dxa"/>
              <w:left w:w="108" w:type="dxa"/>
              <w:bottom w:w="0" w:type="dxa"/>
              <w:right w:w="108" w:type="dxa"/>
            </w:tcMar>
          </w:tcPr>
          <w:p w14:paraId="590B2E8E" w14:textId="77777777" w:rsidR="002E79F6" w:rsidRDefault="002E79F6">
            <w:pPr>
              <w:spacing w:after="100" w:afterAutospacing="1"/>
              <w:rPr>
                <w:rFonts w:ascii="Times New Roman" w:eastAsia="Times New Roman" w:hAnsi="Times New Roman" w:cs="Times New Roman"/>
                <w:sz w:val="24"/>
                <w:szCs w:val="24"/>
              </w:rPr>
            </w:pPr>
          </w:p>
        </w:tc>
        <w:tc>
          <w:tcPr>
            <w:tcW w:w="1350" w:type="dxa"/>
            <w:tcMar>
              <w:top w:w="0" w:type="dxa"/>
              <w:left w:w="108" w:type="dxa"/>
              <w:bottom w:w="0" w:type="dxa"/>
              <w:right w:w="108" w:type="dxa"/>
            </w:tcMar>
          </w:tcPr>
          <w:p w14:paraId="1D05DA20" w14:textId="77777777" w:rsidR="002E79F6" w:rsidRDefault="002E79F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980" w:type="dxa"/>
            <w:tcMar>
              <w:top w:w="0" w:type="dxa"/>
              <w:left w:w="108" w:type="dxa"/>
              <w:bottom w:w="0" w:type="dxa"/>
              <w:right w:w="108" w:type="dxa"/>
            </w:tcMar>
          </w:tcPr>
          <w:p w14:paraId="048DBD9E"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IJC (1977)</w:t>
            </w:r>
          </w:p>
        </w:tc>
        <w:tc>
          <w:tcPr>
            <w:tcW w:w="2070" w:type="dxa"/>
            <w:tcMar>
              <w:top w:w="0" w:type="dxa"/>
              <w:left w:w="108" w:type="dxa"/>
              <w:bottom w:w="0" w:type="dxa"/>
              <w:right w:w="108" w:type="dxa"/>
            </w:tcMar>
          </w:tcPr>
          <w:p w14:paraId="4CB00E85"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 of 96h-LC</w:t>
            </w:r>
            <w:r>
              <w:rPr>
                <w:rFonts w:ascii="Times New Roman" w:eastAsia="Times New Roman" w:hAnsi="Times New Roman" w:cs="Times New Roman"/>
                <w:sz w:val="24"/>
                <w:szCs w:val="24"/>
                <w:vertAlign w:val="subscript"/>
              </w:rPr>
              <w:t>50</w:t>
            </w:r>
          </w:p>
        </w:tc>
        <w:tc>
          <w:tcPr>
            <w:tcW w:w="2328" w:type="dxa"/>
            <w:tcMar>
              <w:top w:w="0" w:type="dxa"/>
              <w:left w:w="108" w:type="dxa"/>
              <w:bottom w:w="0" w:type="dxa"/>
              <w:right w:w="108" w:type="dxa"/>
            </w:tcMar>
          </w:tcPr>
          <w:p w14:paraId="1929E008" w14:textId="77777777" w:rsidR="002E79F6" w:rsidRDefault="00021946">
            <w:pPr>
              <w:spacing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0.295 </w:t>
            </w:r>
          </w:p>
        </w:tc>
      </w:tr>
    </w:tbl>
    <w:p w14:paraId="4D6FD98C" w14:textId="77777777" w:rsidR="002E79F6" w:rsidRDefault="002E79F6">
      <w:pPr>
        <w:jc w:val="both"/>
        <w:rPr>
          <w:rFonts w:ascii="Times New Roman" w:eastAsia="Times New Roman" w:hAnsi="Times New Roman" w:cs="Times New Roman"/>
          <w:sz w:val="24"/>
          <w:szCs w:val="24"/>
        </w:rPr>
      </w:pPr>
    </w:p>
    <w:tbl>
      <w:tblPr>
        <w:tblStyle w:val="Style11"/>
        <w:tblpPr w:leftFromText="180" w:rightFromText="180" w:vertAnchor="page" w:horzAnchor="margin" w:tblpY="1669"/>
        <w:tblW w:w="9198"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55"/>
        <w:gridCol w:w="1174"/>
        <w:gridCol w:w="1450"/>
        <w:gridCol w:w="2439"/>
        <w:gridCol w:w="1980"/>
      </w:tblGrid>
      <w:tr w:rsidR="002E79F6" w14:paraId="429F8D52" w14:textId="77777777">
        <w:trPr>
          <w:trHeight w:val="342"/>
        </w:trPr>
        <w:tc>
          <w:tcPr>
            <w:tcW w:w="9198" w:type="dxa"/>
            <w:gridSpan w:val="5"/>
            <w:tcBorders>
              <w:top w:val="nil"/>
              <w:left w:val="nil"/>
              <w:bottom w:val="single" w:sz="4" w:space="0" w:color="000000"/>
              <w:right w:val="nil"/>
            </w:tcBorders>
            <w:tcMar>
              <w:top w:w="0" w:type="dxa"/>
              <w:left w:w="108" w:type="dxa"/>
              <w:bottom w:w="0" w:type="dxa"/>
              <w:right w:w="108" w:type="dxa"/>
            </w:tcMar>
          </w:tcPr>
          <w:p w14:paraId="56F9A799" w14:textId="77777777" w:rsidR="002E79F6" w:rsidRDefault="00021946">
            <w:pPr>
              <w:spacing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3</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Ecological toxicity of Diuron on different species of fish.</w:t>
            </w:r>
          </w:p>
        </w:tc>
      </w:tr>
      <w:tr w:rsidR="002E79F6" w14:paraId="44D8D622" w14:textId="77777777">
        <w:trPr>
          <w:trHeight w:val="862"/>
        </w:trPr>
        <w:tc>
          <w:tcPr>
            <w:tcW w:w="2155" w:type="dxa"/>
            <w:tcBorders>
              <w:top w:val="single" w:sz="4" w:space="0" w:color="000000"/>
              <w:left w:val="nil"/>
              <w:bottom w:val="single" w:sz="4" w:space="0" w:color="000000"/>
              <w:right w:val="nil"/>
            </w:tcBorders>
            <w:tcMar>
              <w:top w:w="0" w:type="dxa"/>
              <w:left w:w="108" w:type="dxa"/>
              <w:bottom w:w="0" w:type="dxa"/>
              <w:right w:w="108" w:type="dxa"/>
            </w:tcMar>
          </w:tcPr>
          <w:p w14:paraId="7DFD5C7A" w14:textId="77777777"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Fish species</w:t>
            </w:r>
          </w:p>
        </w:tc>
        <w:tc>
          <w:tcPr>
            <w:tcW w:w="1174" w:type="dxa"/>
            <w:tcBorders>
              <w:top w:val="single" w:sz="4" w:space="0" w:color="000000"/>
              <w:left w:val="nil"/>
              <w:bottom w:val="single" w:sz="4" w:space="0" w:color="000000"/>
              <w:right w:val="nil"/>
            </w:tcBorders>
            <w:tcMar>
              <w:top w:w="0" w:type="dxa"/>
              <w:left w:w="108" w:type="dxa"/>
              <w:bottom w:w="0" w:type="dxa"/>
              <w:right w:w="108" w:type="dxa"/>
            </w:tcMar>
          </w:tcPr>
          <w:p w14:paraId="7BD19E6A" w14:textId="77777777"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Stage of life</w:t>
            </w:r>
          </w:p>
        </w:tc>
        <w:tc>
          <w:tcPr>
            <w:tcW w:w="1450" w:type="dxa"/>
            <w:tcBorders>
              <w:top w:val="single" w:sz="4" w:space="0" w:color="000000"/>
              <w:left w:val="nil"/>
              <w:bottom w:val="single" w:sz="4" w:space="0" w:color="000000"/>
              <w:right w:val="nil"/>
            </w:tcBorders>
            <w:tcMar>
              <w:top w:w="0" w:type="dxa"/>
              <w:left w:w="108" w:type="dxa"/>
              <w:bottom w:w="0" w:type="dxa"/>
              <w:right w:w="108" w:type="dxa"/>
            </w:tcMar>
          </w:tcPr>
          <w:p w14:paraId="33B75081" w14:textId="77777777"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 of Exposure (Hours)</w:t>
            </w:r>
          </w:p>
        </w:tc>
        <w:tc>
          <w:tcPr>
            <w:tcW w:w="2439" w:type="dxa"/>
            <w:tcBorders>
              <w:top w:val="single" w:sz="4" w:space="0" w:color="000000"/>
              <w:left w:val="nil"/>
              <w:bottom w:val="single" w:sz="4" w:space="0" w:color="000000"/>
              <w:right w:val="nil"/>
            </w:tcBorders>
            <w:tcMar>
              <w:top w:w="0" w:type="dxa"/>
              <w:left w:w="108" w:type="dxa"/>
              <w:bottom w:w="0" w:type="dxa"/>
              <w:right w:w="108" w:type="dxa"/>
            </w:tcMar>
          </w:tcPr>
          <w:p w14:paraId="1A98326B" w14:textId="77777777"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Median Lethal Concentration (LC</w:t>
            </w:r>
            <w:r>
              <w:rPr>
                <w:rFonts w:ascii="Times New Roman" w:eastAsia="Times New Roman" w:hAnsi="Times New Roman" w:cs="Times New Roman"/>
                <w:b/>
                <w:sz w:val="24"/>
                <w:szCs w:val="24"/>
                <w:vertAlign w:val="subscript"/>
              </w:rPr>
              <w:t>50</w:t>
            </w:r>
            <w:r>
              <w:rPr>
                <w:rFonts w:ascii="Times New Roman" w:eastAsia="Times New Roman" w:hAnsi="Times New Roman" w:cs="Times New Roman"/>
                <w:b/>
                <w:sz w:val="24"/>
                <w:szCs w:val="24"/>
              </w:rPr>
              <w:t>) (mg/L)</w:t>
            </w:r>
          </w:p>
        </w:tc>
        <w:tc>
          <w:tcPr>
            <w:tcW w:w="1980" w:type="dxa"/>
            <w:tcBorders>
              <w:top w:val="single" w:sz="4" w:space="0" w:color="000000"/>
              <w:left w:val="nil"/>
              <w:bottom w:val="single" w:sz="4" w:space="0" w:color="000000"/>
              <w:right w:val="nil"/>
            </w:tcBorders>
            <w:tcMar>
              <w:top w:w="0" w:type="dxa"/>
              <w:left w:w="108" w:type="dxa"/>
              <w:bottom w:w="0" w:type="dxa"/>
              <w:right w:w="108" w:type="dxa"/>
            </w:tcMar>
          </w:tcPr>
          <w:p w14:paraId="5BD2E645" w14:textId="77777777" w:rsidR="002E79F6" w:rsidRDefault="00021946">
            <w:pPr>
              <w:spacing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2E79F6" w14:paraId="19C2DCC9" w14:textId="77777777">
        <w:trPr>
          <w:trHeight w:val="550"/>
        </w:trPr>
        <w:tc>
          <w:tcPr>
            <w:tcW w:w="2155" w:type="dxa"/>
            <w:tcBorders>
              <w:top w:val="single" w:sz="4" w:space="0" w:color="000000"/>
              <w:left w:val="nil"/>
              <w:bottom w:val="nil"/>
              <w:right w:val="nil"/>
            </w:tcBorders>
            <w:tcMar>
              <w:top w:w="0" w:type="dxa"/>
              <w:left w:w="108" w:type="dxa"/>
              <w:bottom w:w="0" w:type="dxa"/>
              <w:right w:w="108" w:type="dxa"/>
            </w:tcMar>
          </w:tcPr>
          <w:p w14:paraId="4D9BB3DD"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Javanese Medaka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javanicus</w:t>
            </w:r>
            <w:r>
              <w:rPr>
                <w:rFonts w:ascii="Times New Roman" w:eastAsia="Times New Roman" w:hAnsi="Times New Roman" w:cs="Times New Roman"/>
                <w:sz w:val="24"/>
                <w:szCs w:val="24"/>
              </w:rPr>
              <w:t>)</w:t>
            </w:r>
          </w:p>
        </w:tc>
        <w:tc>
          <w:tcPr>
            <w:tcW w:w="1174" w:type="dxa"/>
            <w:tcBorders>
              <w:top w:val="single" w:sz="4" w:space="0" w:color="000000"/>
              <w:left w:val="nil"/>
              <w:bottom w:val="nil"/>
              <w:right w:val="nil"/>
            </w:tcBorders>
            <w:tcMar>
              <w:top w:w="0" w:type="dxa"/>
              <w:left w:w="108" w:type="dxa"/>
              <w:bottom w:w="0" w:type="dxa"/>
              <w:right w:w="108" w:type="dxa"/>
            </w:tcMar>
          </w:tcPr>
          <w:p w14:paraId="694FF322"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single" w:sz="4" w:space="0" w:color="000000"/>
              <w:left w:val="nil"/>
              <w:bottom w:val="nil"/>
              <w:right w:val="nil"/>
            </w:tcBorders>
            <w:tcMar>
              <w:top w:w="0" w:type="dxa"/>
              <w:left w:w="108" w:type="dxa"/>
              <w:bottom w:w="0" w:type="dxa"/>
              <w:right w:w="108" w:type="dxa"/>
            </w:tcMar>
          </w:tcPr>
          <w:p w14:paraId="3B2F54FD"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single" w:sz="4" w:space="0" w:color="000000"/>
              <w:left w:val="nil"/>
              <w:bottom w:val="nil"/>
              <w:right w:val="nil"/>
            </w:tcBorders>
            <w:tcMar>
              <w:top w:w="0" w:type="dxa"/>
              <w:left w:w="108" w:type="dxa"/>
              <w:bottom w:w="0" w:type="dxa"/>
              <w:right w:w="108" w:type="dxa"/>
            </w:tcMar>
          </w:tcPr>
          <w:p w14:paraId="21DC4E7F"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1980" w:type="dxa"/>
            <w:tcBorders>
              <w:top w:val="single" w:sz="4" w:space="0" w:color="000000"/>
              <w:left w:val="nil"/>
              <w:bottom w:val="nil"/>
              <w:right w:val="nil"/>
            </w:tcBorders>
            <w:tcMar>
              <w:top w:w="0" w:type="dxa"/>
              <w:left w:w="108" w:type="dxa"/>
              <w:bottom w:w="0" w:type="dxa"/>
              <w:right w:w="108" w:type="dxa"/>
            </w:tcMar>
          </w:tcPr>
          <w:p w14:paraId="1BBC16C9"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w:t>
            </w:r>
          </w:p>
        </w:tc>
      </w:tr>
      <w:tr w:rsidR="002E79F6" w14:paraId="3013B59B" w14:textId="77777777">
        <w:tc>
          <w:tcPr>
            <w:tcW w:w="2155" w:type="dxa"/>
            <w:tcBorders>
              <w:top w:val="nil"/>
              <w:left w:val="nil"/>
              <w:bottom w:val="nil"/>
              <w:right w:val="nil"/>
            </w:tcBorders>
            <w:tcMar>
              <w:top w:w="0" w:type="dxa"/>
              <w:left w:w="108" w:type="dxa"/>
              <w:bottom w:w="0" w:type="dxa"/>
              <w:right w:w="108" w:type="dxa"/>
            </w:tcMar>
          </w:tcPr>
          <w:p w14:paraId="639CD499"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Zebrafish</w:t>
            </w:r>
          </w:p>
          <w:p w14:paraId="1294D9A9"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Danio rerio</w:t>
            </w:r>
            <w:r>
              <w:rPr>
                <w:rFonts w:ascii="Times New Roman" w:eastAsia="Times New Roman" w:hAnsi="Times New Roman" w:cs="Times New Roman"/>
                <w:sz w:val="24"/>
                <w:szCs w:val="24"/>
              </w:rPr>
              <w:t>)</w:t>
            </w:r>
          </w:p>
        </w:tc>
        <w:tc>
          <w:tcPr>
            <w:tcW w:w="1174" w:type="dxa"/>
            <w:tcBorders>
              <w:top w:val="nil"/>
              <w:left w:val="nil"/>
              <w:bottom w:val="nil"/>
              <w:right w:val="nil"/>
            </w:tcBorders>
            <w:tcMar>
              <w:top w:w="0" w:type="dxa"/>
              <w:left w:w="108" w:type="dxa"/>
              <w:bottom w:w="0" w:type="dxa"/>
              <w:right w:w="108" w:type="dxa"/>
            </w:tcMar>
          </w:tcPr>
          <w:p w14:paraId="736EE755"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Embryo</w:t>
            </w:r>
          </w:p>
        </w:tc>
        <w:tc>
          <w:tcPr>
            <w:tcW w:w="1450" w:type="dxa"/>
            <w:tcBorders>
              <w:top w:val="nil"/>
              <w:left w:val="nil"/>
              <w:bottom w:val="nil"/>
              <w:right w:val="nil"/>
            </w:tcBorders>
            <w:tcMar>
              <w:top w:w="0" w:type="dxa"/>
              <w:left w:w="108" w:type="dxa"/>
              <w:bottom w:w="0" w:type="dxa"/>
              <w:right w:w="108" w:type="dxa"/>
            </w:tcMar>
          </w:tcPr>
          <w:p w14:paraId="00AD97E7"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1EA91B50"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980" w:type="dxa"/>
            <w:tcBorders>
              <w:top w:val="nil"/>
              <w:left w:val="nil"/>
              <w:bottom w:val="nil"/>
              <w:right w:val="nil"/>
            </w:tcBorders>
            <w:tcMar>
              <w:top w:w="0" w:type="dxa"/>
              <w:left w:w="108" w:type="dxa"/>
              <w:bottom w:w="0" w:type="dxa"/>
              <w:right w:w="108" w:type="dxa"/>
            </w:tcMar>
          </w:tcPr>
          <w:p w14:paraId="58898DD9"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(Velki et al., 2017)</w:t>
            </w:r>
          </w:p>
        </w:tc>
      </w:tr>
      <w:tr w:rsidR="002E79F6" w14:paraId="5FB5E767" w14:textId="77777777">
        <w:tc>
          <w:tcPr>
            <w:tcW w:w="2155" w:type="dxa"/>
            <w:tcBorders>
              <w:top w:val="nil"/>
              <w:left w:val="nil"/>
              <w:bottom w:val="nil"/>
              <w:right w:val="nil"/>
            </w:tcBorders>
            <w:tcMar>
              <w:top w:w="0" w:type="dxa"/>
              <w:left w:w="108" w:type="dxa"/>
              <w:bottom w:w="0" w:type="dxa"/>
              <w:right w:w="108" w:type="dxa"/>
            </w:tcMar>
          </w:tcPr>
          <w:p w14:paraId="7F2ACF86"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Fathead minnows (</w:t>
            </w:r>
            <w:proofErr w:type="spellStart"/>
            <w:r>
              <w:rPr>
                <w:rFonts w:ascii="Times New Roman" w:eastAsia="Times New Roman" w:hAnsi="Times New Roman" w:cs="Times New Roman"/>
                <w:i/>
                <w:sz w:val="24"/>
                <w:szCs w:val="24"/>
              </w:rPr>
              <w:t>Pimephales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promelas</w:t>
            </w:r>
            <w:proofErr w:type="spellEnd"/>
            <w:r>
              <w:rPr>
                <w:rFonts w:ascii="Times New Roman" w:eastAsia="Times New Roman" w:hAnsi="Times New Roman" w:cs="Times New Roman"/>
                <w:sz w:val="24"/>
                <w:szCs w:val="24"/>
              </w:rPr>
              <w:t>)</w:t>
            </w:r>
          </w:p>
        </w:tc>
        <w:tc>
          <w:tcPr>
            <w:tcW w:w="1174" w:type="dxa"/>
            <w:tcBorders>
              <w:top w:val="nil"/>
              <w:left w:val="nil"/>
              <w:bottom w:val="nil"/>
              <w:right w:val="nil"/>
            </w:tcBorders>
            <w:tcMar>
              <w:top w:w="0" w:type="dxa"/>
              <w:left w:w="108" w:type="dxa"/>
              <w:bottom w:w="0" w:type="dxa"/>
              <w:right w:w="108" w:type="dxa"/>
            </w:tcMar>
          </w:tcPr>
          <w:p w14:paraId="28684E2E"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Juvenile</w:t>
            </w:r>
          </w:p>
        </w:tc>
        <w:tc>
          <w:tcPr>
            <w:tcW w:w="1450" w:type="dxa"/>
            <w:tcBorders>
              <w:top w:val="nil"/>
              <w:left w:val="nil"/>
              <w:bottom w:val="nil"/>
              <w:right w:val="nil"/>
            </w:tcBorders>
            <w:tcMar>
              <w:top w:w="0" w:type="dxa"/>
              <w:left w:w="108" w:type="dxa"/>
              <w:bottom w:w="0" w:type="dxa"/>
              <w:right w:w="108" w:type="dxa"/>
            </w:tcMar>
          </w:tcPr>
          <w:p w14:paraId="448BEFFC"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47827601"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14.20</w:t>
            </w:r>
          </w:p>
        </w:tc>
        <w:tc>
          <w:tcPr>
            <w:tcW w:w="1980" w:type="dxa"/>
            <w:tcBorders>
              <w:top w:val="nil"/>
              <w:left w:val="nil"/>
              <w:bottom w:val="nil"/>
              <w:right w:val="nil"/>
            </w:tcBorders>
            <w:tcMar>
              <w:top w:w="0" w:type="dxa"/>
              <w:left w:w="108" w:type="dxa"/>
              <w:bottom w:w="0" w:type="dxa"/>
              <w:right w:w="108" w:type="dxa"/>
            </w:tcMar>
          </w:tcPr>
          <w:p w14:paraId="72F5EDEF"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(Call et al., 1987)</w:t>
            </w:r>
          </w:p>
        </w:tc>
      </w:tr>
      <w:tr w:rsidR="002E79F6" w14:paraId="16CFB76B" w14:textId="77777777">
        <w:tc>
          <w:tcPr>
            <w:tcW w:w="2155" w:type="dxa"/>
            <w:tcBorders>
              <w:top w:val="nil"/>
              <w:left w:val="nil"/>
              <w:bottom w:val="nil"/>
              <w:right w:val="nil"/>
            </w:tcBorders>
            <w:tcMar>
              <w:top w:w="0" w:type="dxa"/>
              <w:left w:w="108" w:type="dxa"/>
              <w:bottom w:w="0" w:type="dxa"/>
              <w:right w:w="108" w:type="dxa"/>
            </w:tcMar>
          </w:tcPr>
          <w:p w14:paraId="607B44BD"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Sheepshead Minnow </w:t>
            </w:r>
            <w:r>
              <w:rPr>
                <w:rFonts w:ascii="Times New Roman" w:eastAsia="Times New Roman" w:hAnsi="Times New Roman" w:cs="Times New Roman"/>
                <w:i/>
                <w:sz w:val="24"/>
                <w:szCs w:val="24"/>
              </w:rPr>
              <w:t>(</w:t>
            </w:r>
            <w:r>
              <w:rPr>
                <w:rFonts w:ascii="Times New Roman" w:eastAsia="Times New Roman" w:hAnsi="Times New Roman" w:cs="Times New Roman"/>
                <w:i/>
                <w:color w:val="222222"/>
                <w:sz w:val="24"/>
                <w:szCs w:val="24"/>
                <w:highlight w:val="white"/>
              </w:rPr>
              <w:t>Cyprinodon variegatus)</w:t>
            </w:r>
          </w:p>
        </w:tc>
        <w:tc>
          <w:tcPr>
            <w:tcW w:w="1174" w:type="dxa"/>
            <w:tcBorders>
              <w:top w:val="nil"/>
              <w:left w:val="nil"/>
              <w:bottom w:val="nil"/>
              <w:right w:val="nil"/>
            </w:tcBorders>
            <w:tcMar>
              <w:top w:w="0" w:type="dxa"/>
              <w:left w:w="108" w:type="dxa"/>
              <w:bottom w:w="0" w:type="dxa"/>
              <w:right w:w="108" w:type="dxa"/>
            </w:tcMar>
          </w:tcPr>
          <w:p w14:paraId="7408FD32"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nil"/>
              <w:left w:val="nil"/>
              <w:bottom w:val="nil"/>
              <w:right w:val="nil"/>
            </w:tcBorders>
            <w:tcMar>
              <w:top w:w="0" w:type="dxa"/>
              <w:left w:w="108" w:type="dxa"/>
              <w:bottom w:w="0" w:type="dxa"/>
              <w:right w:w="108" w:type="dxa"/>
            </w:tcMar>
          </w:tcPr>
          <w:p w14:paraId="17E64EA5"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7963BD92"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tc>
        <w:tc>
          <w:tcPr>
            <w:tcW w:w="1980" w:type="dxa"/>
            <w:tcBorders>
              <w:top w:val="nil"/>
              <w:left w:val="nil"/>
              <w:bottom w:val="nil"/>
              <w:right w:val="nil"/>
            </w:tcBorders>
            <w:tcMar>
              <w:top w:w="0" w:type="dxa"/>
              <w:left w:w="108" w:type="dxa"/>
              <w:bottom w:w="0" w:type="dxa"/>
              <w:right w:w="108" w:type="dxa"/>
            </w:tcMar>
          </w:tcPr>
          <w:p w14:paraId="026C7BA2"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(USEPA, 2004b)</w:t>
            </w:r>
          </w:p>
        </w:tc>
      </w:tr>
      <w:tr w:rsidR="002E79F6" w14:paraId="5E77F482" w14:textId="77777777">
        <w:tc>
          <w:tcPr>
            <w:tcW w:w="2155" w:type="dxa"/>
            <w:tcBorders>
              <w:top w:val="nil"/>
              <w:left w:val="nil"/>
              <w:bottom w:val="nil"/>
              <w:right w:val="nil"/>
            </w:tcBorders>
            <w:tcMar>
              <w:top w:w="0" w:type="dxa"/>
              <w:left w:w="108" w:type="dxa"/>
              <w:bottom w:w="0" w:type="dxa"/>
              <w:right w:w="108" w:type="dxa"/>
            </w:tcMar>
          </w:tcPr>
          <w:p w14:paraId="39BC34E1"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Cutthroat trout (</w:t>
            </w:r>
            <w:r>
              <w:rPr>
                <w:rFonts w:ascii="Times New Roman" w:eastAsia="Times New Roman" w:hAnsi="Times New Roman" w:cs="Times New Roman"/>
                <w:i/>
                <w:sz w:val="24"/>
                <w:szCs w:val="24"/>
              </w:rPr>
              <w:t>Oncorhynchus clarkii</w:t>
            </w:r>
            <w:r>
              <w:rPr>
                <w:rFonts w:ascii="Times New Roman" w:eastAsia="Times New Roman" w:hAnsi="Times New Roman" w:cs="Times New Roman"/>
                <w:sz w:val="24"/>
                <w:szCs w:val="24"/>
              </w:rPr>
              <w:t>)</w:t>
            </w:r>
          </w:p>
        </w:tc>
        <w:tc>
          <w:tcPr>
            <w:tcW w:w="1174" w:type="dxa"/>
            <w:tcBorders>
              <w:top w:val="nil"/>
              <w:left w:val="nil"/>
              <w:bottom w:val="nil"/>
              <w:right w:val="nil"/>
            </w:tcBorders>
            <w:tcMar>
              <w:top w:w="0" w:type="dxa"/>
              <w:left w:w="108" w:type="dxa"/>
              <w:bottom w:w="0" w:type="dxa"/>
              <w:right w:w="108" w:type="dxa"/>
            </w:tcMar>
          </w:tcPr>
          <w:p w14:paraId="04455E47"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nil"/>
              <w:left w:val="nil"/>
              <w:bottom w:val="nil"/>
              <w:right w:val="nil"/>
            </w:tcBorders>
            <w:tcMar>
              <w:top w:w="0" w:type="dxa"/>
              <w:left w:w="108" w:type="dxa"/>
              <w:bottom w:w="0" w:type="dxa"/>
              <w:right w:w="108" w:type="dxa"/>
            </w:tcMar>
          </w:tcPr>
          <w:p w14:paraId="743E88A8"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1E0D7E15"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980" w:type="dxa"/>
            <w:vMerge w:val="restart"/>
            <w:tcBorders>
              <w:top w:val="nil"/>
              <w:left w:val="nil"/>
              <w:bottom w:val="nil"/>
              <w:right w:val="nil"/>
            </w:tcBorders>
            <w:tcMar>
              <w:top w:w="0" w:type="dxa"/>
              <w:left w:w="108" w:type="dxa"/>
              <w:bottom w:w="0" w:type="dxa"/>
              <w:right w:w="108" w:type="dxa"/>
            </w:tcMar>
          </w:tcPr>
          <w:p w14:paraId="06AAB896"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(Johnson and Filey, 1980)</w:t>
            </w:r>
          </w:p>
        </w:tc>
      </w:tr>
      <w:tr w:rsidR="002E79F6" w14:paraId="1E5FF94B" w14:textId="77777777">
        <w:tc>
          <w:tcPr>
            <w:tcW w:w="2155" w:type="dxa"/>
            <w:tcBorders>
              <w:top w:val="nil"/>
              <w:left w:val="nil"/>
              <w:bottom w:val="nil"/>
              <w:right w:val="nil"/>
            </w:tcBorders>
            <w:tcMar>
              <w:top w:w="0" w:type="dxa"/>
              <w:left w:w="108" w:type="dxa"/>
              <w:bottom w:w="0" w:type="dxa"/>
              <w:right w:w="108" w:type="dxa"/>
            </w:tcMar>
          </w:tcPr>
          <w:p w14:paraId="3AEC0AE6"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Rainbow trout (</w:t>
            </w:r>
            <w:r>
              <w:rPr>
                <w:rFonts w:ascii="Times New Roman" w:eastAsia="Times New Roman" w:hAnsi="Times New Roman" w:cs="Times New Roman"/>
                <w:i/>
                <w:sz w:val="24"/>
                <w:szCs w:val="24"/>
              </w:rPr>
              <w:t>Oncorhynchus mykiss</w:t>
            </w:r>
            <w:r>
              <w:rPr>
                <w:rFonts w:ascii="Times New Roman" w:eastAsia="Times New Roman" w:hAnsi="Times New Roman" w:cs="Times New Roman"/>
                <w:sz w:val="24"/>
                <w:szCs w:val="24"/>
              </w:rPr>
              <w:t>)</w:t>
            </w:r>
          </w:p>
        </w:tc>
        <w:tc>
          <w:tcPr>
            <w:tcW w:w="1174" w:type="dxa"/>
            <w:tcBorders>
              <w:top w:val="nil"/>
              <w:left w:val="nil"/>
              <w:bottom w:val="nil"/>
              <w:right w:val="nil"/>
            </w:tcBorders>
            <w:tcMar>
              <w:top w:w="0" w:type="dxa"/>
              <w:left w:w="108" w:type="dxa"/>
              <w:bottom w:w="0" w:type="dxa"/>
              <w:right w:w="108" w:type="dxa"/>
            </w:tcMar>
          </w:tcPr>
          <w:p w14:paraId="0C6AF412"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nil"/>
              <w:left w:val="nil"/>
              <w:bottom w:val="nil"/>
              <w:right w:val="nil"/>
            </w:tcBorders>
            <w:tcMar>
              <w:top w:w="0" w:type="dxa"/>
              <w:left w:w="108" w:type="dxa"/>
              <w:bottom w:w="0" w:type="dxa"/>
              <w:right w:w="108" w:type="dxa"/>
            </w:tcMar>
          </w:tcPr>
          <w:p w14:paraId="7E221A32"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7D53F130"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980" w:type="dxa"/>
            <w:vMerge/>
            <w:tcBorders>
              <w:top w:val="nil"/>
              <w:left w:val="nil"/>
              <w:bottom w:val="nil"/>
              <w:right w:val="nil"/>
            </w:tcBorders>
            <w:tcMar>
              <w:top w:w="0" w:type="dxa"/>
              <w:left w:w="108" w:type="dxa"/>
              <w:bottom w:w="0" w:type="dxa"/>
              <w:right w:w="108" w:type="dxa"/>
            </w:tcMar>
          </w:tcPr>
          <w:p w14:paraId="1858B68D" w14:textId="77777777"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r>
      <w:tr w:rsidR="002E79F6" w14:paraId="249241A7" w14:textId="77777777">
        <w:tc>
          <w:tcPr>
            <w:tcW w:w="2155" w:type="dxa"/>
            <w:vMerge w:val="restart"/>
            <w:tcBorders>
              <w:top w:val="nil"/>
              <w:left w:val="nil"/>
              <w:bottom w:val="nil"/>
              <w:right w:val="nil"/>
            </w:tcBorders>
            <w:tcMar>
              <w:top w:w="0" w:type="dxa"/>
              <w:left w:w="108" w:type="dxa"/>
              <w:bottom w:w="0" w:type="dxa"/>
              <w:right w:w="108" w:type="dxa"/>
            </w:tcMar>
          </w:tcPr>
          <w:p w14:paraId="62EB8351"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Bluegill (</w:t>
            </w:r>
            <w:r>
              <w:rPr>
                <w:rFonts w:ascii="Times New Roman" w:eastAsia="Times New Roman" w:hAnsi="Times New Roman" w:cs="Times New Roman"/>
                <w:i/>
                <w:sz w:val="24"/>
                <w:szCs w:val="24"/>
              </w:rPr>
              <w:t>Lepomis macrochirus</w:t>
            </w:r>
            <w:r>
              <w:rPr>
                <w:rFonts w:ascii="Times New Roman" w:eastAsia="Times New Roman" w:hAnsi="Times New Roman" w:cs="Times New Roman"/>
                <w:sz w:val="24"/>
                <w:szCs w:val="24"/>
              </w:rPr>
              <w:t>)</w:t>
            </w:r>
          </w:p>
        </w:tc>
        <w:tc>
          <w:tcPr>
            <w:tcW w:w="1174" w:type="dxa"/>
            <w:vMerge w:val="restart"/>
            <w:tcBorders>
              <w:top w:val="nil"/>
              <w:left w:val="nil"/>
              <w:bottom w:val="nil"/>
              <w:right w:val="nil"/>
            </w:tcBorders>
            <w:tcMar>
              <w:top w:w="0" w:type="dxa"/>
              <w:left w:w="108" w:type="dxa"/>
              <w:bottom w:w="0" w:type="dxa"/>
              <w:right w:w="108" w:type="dxa"/>
            </w:tcMar>
          </w:tcPr>
          <w:p w14:paraId="0019A8CD"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vMerge w:val="restart"/>
            <w:tcBorders>
              <w:top w:val="nil"/>
              <w:left w:val="nil"/>
              <w:bottom w:val="nil"/>
              <w:right w:val="nil"/>
            </w:tcBorders>
            <w:tcMar>
              <w:top w:w="0" w:type="dxa"/>
              <w:left w:w="108" w:type="dxa"/>
              <w:bottom w:w="0" w:type="dxa"/>
              <w:right w:w="108" w:type="dxa"/>
            </w:tcMar>
          </w:tcPr>
          <w:p w14:paraId="736D62F0"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w:t>
            </w:r>
          </w:p>
        </w:tc>
        <w:tc>
          <w:tcPr>
            <w:tcW w:w="2439" w:type="dxa"/>
            <w:tcBorders>
              <w:top w:val="nil"/>
              <w:left w:val="nil"/>
              <w:bottom w:val="nil"/>
              <w:right w:val="nil"/>
            </w:tcBorders>
            <w:tcMar>
              <w:top w:w="0" w:type="dxa"/>
              <w:left w:w="108" w:type="dxa"/>
              <w:bottom w:w="0" w:type="dxa"/>
              <w:right w:w="108" w:type="dxa"/>
            </w:tcMar>
          </w:tcPr>
          <w:p w14:paraId="4679804F"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8.20</w:t>
            </w:r>
          </w:p>
        </w:tc>
        <w:tc>
          <w:tcPr>
            <w:tcW w:w="1980" w:type="dxa"/>
            <w:vMerge/>
            <w:tcBorders>
              <w:top w:val="nil"/>
              <w:left w:val="nil"/>
              <w:bottom w:val="nil"/>
              <w:right w:val="nil"/>
            </w:tcBorders>
            <w:tcMar>
              <w:top w:w="0" w:type="dxa"/>
              <w:left w:w="108" w:type="dxa"/>
              <w:bottom w:w="0" w:type="dxa"/>
              <w:right w:w="108" w:type="dxa"/>
            </w:tcMar>
          </w:tcPr>
          <w:p w14:paraId="3E3C2633" w14:textId="77777777"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r>
      <w:tr w:rsidR="002E79F6" w14:paraId="70678756" w14:textId="77777777">
        <w:tc>
          <w:tcPr>
            <w:tcW w:w="2155" w:type="dxa"/>
            <w:vMerge/>
            <w:tcBorders>
              <w:top w:val="nil"/>
              <w:left w:val="nil"/>
              <w:bottom w:val="nil"/>
              <w:right w:val="nil"/>
            </w:tcBorders>
            <w:tcMar>
              <w:top w:w="0" w:type="dxa"/>
              <w:left w:w="108" w:type="dxa"/>
              <w:bottom w:w="0" w:type="dxa"/>
              <w:right w:w="108" w:type="dxa"/>
            </w:tcMar>
          </w:tcPr>
          <w:p w14:paraId="19ED7651" w14:textId="77777777"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c>
          <w:tcPr>
            <w:tcW w:w="1174" w:type="dxa"/>
            <w:vMerge/>
            <w:tcBorders>
              <w:top w:val="nil"/>
              <w:left w:val="nil"/>
              <w:bottom w:val="nil"/>
              <w:right w:val="nil"/>
            </w:tcBorders>
            <w:tcMar>
              <w:top w:w="0" w:type="dxa"/>
              <w:left w:w="108" w:type="dxa"/>
              <w:bottom w:w="0" w:type="dxa"/>
              <w:right w:w="108" w:type="dxa"/>
            </w:tcMar>
          </w:tcPr>
          <w:p w14:paraId="45E0C250" w14:textId="77777777"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c>
          <w:tcPr>
            <w:tcW w:w="1450" w:type="dxa"/>
            <w:vMerge/>
            <w:tcBorders>
              <w:top w:val="nil"/>
              <w:left w:val="nil"/>
              <w:bottom w:val="nil"/>
              <w:right w:val="nil"/>
            </w:tcBorders>
            <w:tcMar>
              <w:top w:w="0" w:type="dxa"/>
              <w:left w:w="108" w:type="dxa"/>
              <w:bottom w:w="0" w:type="dxa"/>
              <w:right w:w="108" w:type="dxa"/>
            </w:tcMar>
          </w:tcPr>
          <w:p w14:paraId="5A8B5C70" w14:textId="77777777" w:rsidR="002E79F6" w:rsidRDefault="002E79F6">
            <w:pPr>
              <w:widowControl w:val="0"/>
              <w:spacing w:after="100" w:afterAutospacing="1" w:line="240" w:lineRule="auto"/>
              <w:jc w:val="left"/>
              <w:rPr>
                <w:rFonts w:ascii="Times New Roman" w:eastAsia="Times New Roman" w:hAnsi="Times New Roman" w:cs="Times New Roman"/>
                <w:sz w:val="24"/>
                <w:szCs w:val="24"/>
              </w:rPr>
            </w:pPr>
          </w:p>
        </w:tc>
        <w:tc>
          <w:tcPr>
            <w:tcW w:w="2439" w:type="dxa"/>
            <w:tcBorders>
              <w:top w:val="nil"/>
              <w:left w:val="nil"/>
              <w:bottom w:val="nil"/>
              <w:right w:val="nil"/>
            </w:tcBorders>
            <w:tcMar>
              <w:top w:w="0" w:type="dxa"/>
              <w:left w:w="108" w:type="dxa"/>
              <w:bottom w:w="0" w:type="dxa"/>
              <w:right w:w="108" w:type="dxa"/>
            </w:tcMar>
          </w:tcPr>
          <w:p w14:paraId="2F662BAD"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1980" w:type="dxa"/>
            <w:tcBorders>
              <w:top w:val="nil"/>
              <w:left w:val="nil"/>
              <w:bottom w:val="nil"/>
              <w:right w:val="nil"/>
            </w:tcBorders>
            <w:tcMar>
              <w:top w:w="0" w:type="dxa"/>
              <w:left w:w="108" w:type="dxa"/>
              <w:bottom w:w="0" w:type="dxa"/>
              <w:right w:w="108" w:type="dxa"/>
            </w:tcMar>
          </w:tcPr>
          <w:p w14:paraId="7DA65067"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(USEPA, 2004b)</w:t>
            </w:r>
          </w:p>
        </w:tc>
      </w:tr>
      <w:tr w:rsidR="002E79F6" w14:paraId="5C015BDD" w14:textId="77777777">
        <w:trPr>
          <w:trHeight w:val="90"/>
        </w:trPr>
        <w:tc>
          <w:tcPr>
            <w:tcW w:w="2155" w:type="dxa"/>
            <w:tcBorders>
              <w:top w:val="nil"/>
              <w:left w:val="nil"/>
              <w:bottom w:val="single" w:sz="4" w:space="0" w:color="000000"/>
              <w:right w:val="nil"/>
            </w:tcBorders>
            <w:tcMar>
              <w:top w:w="0" w:type="dxa"/>
              <w:left w:w="108" w:type="dxa"/>
              <w:bottom w:w="0" w:type="dxa"/>
              <w:right w:w="108" w:type="dxa"/>
            </w:tcMar>
          </w:tcPr>
          <w:p w14:paraId="4EBFDB43"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Lake trout (</w:t>
            </w:r>
            <w:r>
              <w:rPr>
                <w:rFonts w:ascii="Times New Roman" w:eastAsia="Times New Roman" w:hAnsi="Times New Roman" w:cs="Times New Roman"/>
                <w:i/>
                <w:sz w:val="24"/>
                <w:szCs w:val="24"/>
              </w:rPr>
              <w:t xml:space="preserve">Salvelinus </w:t>
            </w:r>
            <w:proofErr w:type="spellStart"/>
            <w:r>
              <w:rPr>
                <w:rFonts w:ascii="Times New Roman" w:eastAsia="Times New Roman" w:hAnsi="Times New Roman" w:cs="Times New Roman"/>
                <w:i/>
                <w:sz w:val="24"/>
                <w:szCs w:val="24"/>
              </w:rPr>
              <w:t>namaycush</w:t>
            </w:r>
            <w:proofErr w:type="spellEnd"/>
            <w:r>
              <w:rPr>
                <w:rFonts w:ascii="Times New Roman" w:eastAsia="Times New Roman" w:hAnsi="Times New Roman" w:cs="Times New Roman"/>
                <w:sz w:val="24"/>
                <w:szCs w:val="24"/>
              </w:rPr>
              <w:t>)</w:t>
            </w:r>
          </w:p>
        </w:tc>
        <w:tc>
          <w:tcPr>
            <w:tcW w:w="1174" w:type="dxa"/>
            <w:tcBorders>
              <w:top w:val="nil"/>
              <w:left w:val="nil"/>
              <w:bottom w:val="single" w:sz="4" w:space="0" w:color="000000"/>
              <w:right w:val="nil"/>
            </w:tcBorders>
            <w:tcMar>
              <w:top w:w="0" w:type="dxa"/>
              <w:left w:w="108" w:type="dxa"/>
              <w:bottom w:w="0" w:type="dxa"/>
              <w:right w:w="108" w:type="dxa"/>
            </w:tcMar>
          </w:tcPr>
          <w:p w14:paraId="314B7E45"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Adult</w:t>
            </w:r>
          </w:p>
        </w:tc>
        <w:tc>
          <w:tcPr>
            <w:tcW w:w="1450" w:type="dxa"/>
            <w:tcBorders>
              <w:top w:val="nil"/>
              <w:left w:val="nil"/>
              <w:bottom w:val="single" w:sz="4" w:space="0" w:color="000000"/>
              <w:right w:val="nil"/>
            </w:tcBorders>
            <w:tcMar>
              <w:top w:w="0" w:type="dxa"/>
              <w:left w:w="108" w:type="dxa"/>
              <w:bottom w:w="0" w:type="dxa"/>
              <w:right w:w="108" w:type="dxa"/>
            </w:tcMar>
          </w:tcPr>
          <w:p w14:paraId="3837EA3E"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439" w:type="dxa"/>
            <w:tcBorders>
              <w:top w:val="nil"/>
              <w:left w:val="nil"/>
              <w:bottom w:val="single" w:sz="4" w:space="0" w:color="000000"/>
              <w:right w:val="nil"/>
            </w:tcBorders>
            <w:tcMar>
              <w:top w:w="0" w:type="dxa"/>
              <w:left w:w="108" w:type="dxa"/>
              <w:bottom w:w="0" w:type="dxa"/>
              <w:right w:w="108" w:type="dxa"/>
            </w:tcMar>
          </w:tcPr>
          <w:p w14:paraId="542229CF"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980" w:type="dxa"/>
            <w:tcBorders>
              <w:top w:val="nil"/>
              <w:left w:val="nil"/>
              <w:bottom w:val="single" w:sz="4" w:space="0" w:color="000000"/>
              <w:right w:val="nil"/>
            </w:tcBorders>
            <w:tcMar>
              <w:top w:w="0" w:type="dxa"/>
              <w:left w:w="108" w:type="dxa"/>
              <w:bottom w:w="0" w:type="dxa"/>
              <w:right w:w="108" w:type="dxa"/>
            </w:tcMar>
          </w:tcPr>
          <w:p w14:paraId="3DAAC982" w14:textId="77777777" w:rsidR="002E79F6" w:rsidRDefault="0002194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(Johnson and Filey, 1980)</w:t>
            </w:r>
          </w:p>
        </w:tc>
      </w:tr>
    </w:tbl>
    <w:p w14:paraId="3B2E0CBF" w14:textId="77777777" w:rsidR="002E79F6" w:rsidRDefault="002E79F6">
      <w:pPr>
        <w:jc w:val="both"/>
        <w:rPr>
          <w:rFonts w:ascii="Times New Roman" w:eastAsia="Times New Roman" w:hAnsi="Times New Roman" w:cs="Times New Roman"/>
          <w:b/>
          <w:bCs/>
          <w:sz w:val="24"/>
          <w:szCs w:val="24"/>
        </w:rPr>
      </w:pPr>
    </w:p>
    <w:p w14:paraId="70ABBE98"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other studies also reported the same changes in fish behavior as they were introduced to Diuron as the toxic test solution. A study by </w:t>
      </w:r>
      <w:proofErr w:type="spellStart"/>
      <w:r>
        <w:rPr>
          <w:rFonts w:ascii="Times New Roman" w:eastAsia="Times New Roman" w:hAnsi="Times New Roman" w:cs="Times New Roman"/>
          <w:sz w:val="24"/>
          <w:szCs w:val="24"/>
        </w:rPr>
        <w:t>Saglio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Trijasse</w:t>
      </w:r>
      <w:proofErr w:type="spellEnd"/>
      <w:r>
        <w:rPr>
          <w:rFonts w:ascii="Times New Roman" w:eastAsia="Times New Roman" w:hAnsi="Times New Roman" w:cs="Times New Roman"/>
          <w:sz w:val="24"/>
          <w:szCs w:val="24"/>
        </w:rPr>
        <w:t xml:space="preserve"> (1999) reported behavioral responses in its model fish, goldfish, to Diuron. The study explained in detail the fish’s behavioral changes upon Diuron exposure in terms of decreased grouping behavior and increased surfacing activity shortly after the Diuron exposure. Also, treatments with Diuron showed a significant effect on the fish’s burst swimming and increased the number of mouth openings at the surface. The closest study related to Javanese medaka was conducted by </w:t>
      </w:r>
      <w:proofErr w:type="spellStart"/>
      <w:r>
        <w:rPr>
          <w:rFonts w:ascii="Times New Roman" w:eastAsia="Times New Roman" w:hAnsi="Times New Roman" w:cs="Times New Roman"/>
          <w:sz w:val="24"/>
          <w:szCs w:val="24"/>
        </w:rPr>
        <w:lastRenderedPageBreak/>
        <w:t>Mohamat</w:t>
      </w:r>
      <w:proofErr w:type="spellEnd"/>
      <w:r>
        <w:rPr>
          <w:rFonts w:ascii="Times New Roman" w:eastAsia="Times New Roman" w:hAnsi="Times New Roman" w:cs="Times New Roman"/>
          <w:sz w:val="24"/>
          <w:szCs w:val="24"/>
        </w:rPr>
        <w:t xml:space="preserve">-Yusuff et al. (2018), which showed vertical swimming movements in the studied exposed group in response to various copper </w:t>
      </w:r>
      <w:proofErr w:type="spellStart"/>
      <w:r>
        <w:rPr>
          <w:rFonts w:ascii="Times New Roman" w:eastAsia="Times New Roman" w:hAnsi="Times New Roman" w:cs="Times New Roman"/>
          <w:sz w:val="24"/>
          <w:szCs w:val="24"/>
        </w:rPr>
        <w:t>pyrithione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CuPT</w:t>
      </w:r>
      <w:proofErr w:type="spellEnd"/>
      <w:r>
        <w:rPr>
          <w:rFonts w:ascii="Times New Roman" w:eastAsia="Times New Roman" w:hAnsi="Times New Roman" w:cs="Times New Roman"/>
          <w:sz w:val="24"/>
          <w:szCs w:val="24"/>
        </w:rPr>
        <w:t>) concentrations. Abnormal behavior, corresponding to the increasing toxicant concentration, is a good indicator of stressors. These significant changes can be observed within 15 minutes of exposure to test toxicants, as Diamond et al. (1990) mentioned. Diamond et al. (1990), as the observations were on the increased erratic movements, increases in gill purges, and ventilatory frequency in fish. Besides, toxic responses of Japanese medaka (</w:t>
      </w:r>
      <w:proofErr w:type="spellStart"/>
      <w:r>
        <w:rPr>
          <w:rFonts w:ascii="Times New Roman" w:eastAsia="Times New Roman" w:hAnsi="Times New Roman" w:cs="Times New Roman"/>
          <w:i/>
          <w:iCs/>
          <w:sz w:val="24"/>
          <w:szCs w:val="24"/>
        </w:rPr>
        <w:t>Oryzias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latipes</w:t>
      </w:r>
      <w:proofErr w:type="spellEnd"/>
      <w:r>
        <w:rPr>
          <w:rFonts w:ascii="Times New Roman" w:eastAsia="Times New Roman" w:hAnsi="Times New Roman" w:cs="Times New Roman"/>
          <w:sz w:val="24"/>
          <w:szCs w:val="24"/>
        </w:rPr>
        <w:t>) on their behavior could be identified after 10-30 minutes of exposure, and they showed decreases in median swimming speed after the exposure (Fukuda et al., 2010). The escaping or avoidance behaviors are the first behavioral response after being in contact with the test solutions to escape from the contaminated site, which is also known as locomotory escape behavior (Gerhardt, 2007).</w:t>
      </w:r>
    </w:p>
    <w:p w14:paraId="07BBCACD"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study by Shinn et al. (2015) reported the same behavioral responses from mixed herbicide exposure on juvenile rainbow trout. Acute toxicity testing on other toxic chemicals, such as pesticides on </w:t>
      </w:r>
      <w:r>
        <w:rPr>
          <w:rFonts w:ascii="Times New Roman" w:eastAsia="Times New Roman" w:hAnsi="Times New Roman" w:cs="Times New Roman"/>
          <w:i/>
          <w:iCs/>
          <w:sz w:val="24"/>
          <w:szCs w:val="24"/>
        </w:rPr>
        <w:t xml:space="preserve">Oreochromis </w:t>
      </w:r>
      <w:proofErr w:type="spellStart"/>
      <w:r>
        <w:rPr>
          <w:rFonts w:ascii="Times New Roman" w:eastAsia="Times New Roman" w:hAnsi="Times New Roman" w:cs="Times New Roman"/>
          <w:i/>
          <w:iCs/>
          <w:sz w:val="24"/>
          <w:szCs w:val="24"/>
        </w:rPr>
        <w:t>mossambicus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Parithabhanu</w:t>
      </w:r>
      <w:proofErr w:type="spellEnd"/>
      <w:r>
        <w:rPr>
          <w:rFonts w:ascii="Times New Roman" w:eastAsia="Times New Roman" w:hAnsi="Times New Roman" w:cs="Times New Roman"/>
          <w:sz w:val="24"/>
          <w:szCs w:val="24"/>
        </w:rPr>
        <w:t xml:space="preserve">, 2013); a glyphosate-based herbicide, paper mill effluent on fish </w:t>
      </w:r>
      <w:r>
        <w:rPr>
          <w:rFonts w:ascii="Times New Roman" w:eastAsia="Times New Roman" w:hAnsi="Times New Roman" w:cs="Times New Roman"/>
          <w:i/>
          <w:iCs/>
          <w:sz w:val="24"/>
          <w:szCs w:val="24"/>
        </w:rPr>
        <w:t xml:space="preserve">Rasbora </w:t>
      </w:r>
      <w:proofErr w:type="spellStart"/>
      <w:r>
        <w:rPr>
          <w:rFonts w:ascii="Times New Roman" w:eastAsia="Times New Roman" w:hAnsi="Times New Roman" w:cs="Times New Roman"/>
          <w:i/>
          <w:iCs/>
          <w:sz w:val="24"/>
          <w:szCs w:val="24"/>
        </w:rPr>
        <w:t>daniconius</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(Pathan et al., 2009); and freshwater fish </w:t>
      </w:r>
      <w:r>
        <w:rPr>
          <w:rFonts w:ascii="Times New Roman" w:eastAsia="Times New Roman" w:hAnsi="Times New Roman" w:cs="Times New Roman"/>
          <w:i/>
          <w:iCs/>
          <w:sz w:val="24"/>
          <w:szCs w:val="24"/>
        </w:rPr>
        <w:t>Puntius stigma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Sarwade</w:t>
      </w:r>
      <w:proofErr w:type="spellEnd"/>
      <w:r>
        <w:rPr>
          <w:rFonts w:ascii="Times New Roman" w:eastAsia="Times New Roman" w:hAnsi="Times New Roman" w:cs="Times New Roman"/>
          <w:sz w:val="24"/>
          <w:szCs w:val="24"/>
        </w:rPr>
        <w:t>, 2015) also showed burst swimming reactions from the fishes studied. This behavior is a response to stressful conditions in the environment. According to Henry and Atchison (1984), this kind of behavior can be an indicator of sensitive exposure to toxicants. Generally, behavioral changes are the most sensitive indicators by fish towards potential toxic chemicals (Banaee et al., 2011).</w:t>
      </w:r>
    </w:p>
    <w:p w14:paraId="4A5FDE6F"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burst swimming behavior observed was an alarm response from the olfactory part of the brain as a perception released by deep epidermal cells from the injured members, the alarm pheromones. This unique social interaction of burst swimming behavior sends clear visual alarms to other members of a threat to survival (Pfeiffer, 1962; Domenici &amp; Hale, 2019). Fish species exhibit chemoreception through their olfactory signals, which prove their ability to detect and perceive chemical stimuli in their environments (</w:t>
      </w:r>
      <w:proofErr w:type="spellStart"/>
      <w:r>
        <w:rPr>
          <w:rFonts w:ascii="Times New Roman" w:eastAsia="Times New Roman" w:hAnsi="Times New Roman" w:cs="Times New Roman"/>
          <w:sz w:val="24"/>
          <w:szCs w:val="24"/>
        </w:rPr>
        <w:t>Kasumyan</w:t>
      </w:r>
      <w:proofErr w:type="spellEnd"/>
      <w:r>
        <w:rPr>
          <w:rFonts w:ascii="Times New Roman" w:eastAsia="Times New Roman" w:hAnsi="Times New Roman" w:cs="Times New Roman"/>
          <w:sz w:val="24"/>
          <w:szCs w:val="24"/>
        </w:rPr>
        <w:t>, 2004; Ueda, 2021). Also, the ability to recognize and distinguish conspecific individuals, species, and population identity, as other behavioral patterns such as schooling, defensive, and reproductive behavior are enabled by perceptions of the fishes’ olfactory system (</w:t>
      </w:r>
      <w:proofErr w:type="spellStart"/>
      <w:r>
        <w:rPr>
          <w:rFonts w:ascii="Times New Roman" w:eastAsia="Times New Roman" w:hAnsi="Times New Roman" w:cs="Times New Roman"/>
          <w:sz w:val="24"/>
          <w:szCs w:val="24"/>
        </w:rPr>
        <w:t>Malyukina</w:t>
      </w:r>
      <w:proofErr w:type="spellEnd"/>
      <w:r>
        <w:rPr>
          <w:rFonts w:ascii="Times New Roman" w:eastAsia="Times New Roman" w:hAnsi="Times New Roman" w:cs="Times New Roman"/>
          <w:sz w:val="24"/>
          <w:szCs w:val="24"/>
        </w:rPr>
        <w:t xml:space="preserve"> et al., 1969; Downing, 1985; Zhang et al., 2025). These behavioral impairments may reduce survival in natural populations by disrupting essential behaviors such as foraging and predator avoidance. However, further studies on chronic exposure and reproductive endpoints are warranted.</w:t>
      </w:r>
    </w:p>
    <w:p w14:paraId="5AE5187F"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median lethal concentration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was evaluated using a set of acute toxicity exposures of the Diuron herbicide on Javanese medaka (</w:t>
      </w:r>
      <w:r>
        <w:rPr>
          <w:rFonts w:ascii="Times New Roman" w:eastAsia="Times New Roman" w:hAnsi="Times New Roman" w:cs="Times New Roman"/>
          <w:i/>
          <w:iCs/>
          <w:sz w:val="24"/>
          <w:szCs w:val="24"/>
        </w:rPr>
        <w:t>O. javanicus</w:t>
      </w:r>
      <w:r>
        <w:rPr>
          <w:rFonts w:ascii="Times New Roman" w:eastAsia="Times New Roman" w:hAnsi="Times New Roman" w:cs="Times New Roman"/>
          <w:sz w:val="24"/>
          <w:szCs w:val="24"/>
        </w:rPr>
        <w:t>) adults. According to Ani et al. (2017), acute toxicity tests are the first step taken to determine the water quality requirements for fish. This study showed that adult Javanese medaka exposure to Diuron increased mortality at different exposure concentration levels. Severe physiological stress at the cellular level may be responsible for the death of the fish (Pathan et al., 2009). High levels of Diuron can pose a significant threat to aquatic organisms, as Diuron’s half-life hydrolysis is between its 1290th and 1490th day. The results agree with a report by Bernardes et al. (2015), which stated that fishes can be harmed by herbicide contamination in the aquatic ecosystem, as fishes are good bioindicators for environmental biomonitoring action.</w:t>
      </w:r>
    </w:p>
    <w:p w14:paraId="21E9A79D" w14:textId="77777777"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The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 of Diuron on the Javanese medaka, as reported in this study, is 5.90 mg/L, which is considered moderately toxic to fish based on the Wildlife Diuron Toxicity Category, as acute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values range between 1.0 mg/L and 10.0 mg/L. Additionally, the Washington State Department of Transportation’s (WSDOT) Roadside Vegetation Management Herbicide Fact Sheet (2017) stated that Diuron is classified as moderately to highly toxic to fish. The smaller the value of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recorded, the more toxic the herbicide is to the organism; however, the level of herbicide tolerance differs between mammals, birds, fish, and insects.</w:t>
      </w:r>
    </w:p>
    <w:p w14:paraId="1BD005F5"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study by </w:t>
      </w:r>
      <w:proofErr w:type="spellStart"/>
      <w:r>
        <w:rPr>
          <w:rFonts w:ascii="Times New Roman" w:eastAsia="Times New Roman" w:hAnsi="Times New Roman" w:cs="Times New Roman"/>
          <w:sz w:val="24"/>
          <w:szCs w:val="24"/>
        </w:rPr>
        <w:t>Lazhar</w:t>
      </w:r>
      <w:proofErr w:type="spellEnd"/>
      <w:r>
        <w:rPr>
          <w:rFonts w:ascii="Times New Roman" w:eastAsia="Times New Roman" w:hAnsi="Times New Roman" w:cs="Times New Roman"/>
          <w:sz w:val="24"/>
          <w:szCs w:val="24"/>
        </w:rPr>
        <w:t xml:space="preserve"> et al. (2012) showed that the median lethal concentration of Diuron towards marine fish (turbot </w:t>
      </w:r>
      <w:r>
        <w:rPr>
          <w:rFonts w:ascii="Times New Roman" w:eastAsia="Times New Roman" w:hAnsi="Times New Roman" w:cs="Times New Roman"/>
          <w:i/>
          <w:iCs/>
          <w:sz w:val="24"/>
          <w:szCs w:val="24"/>
        </w:rPr>
        <w:t>Psetta maxima</w:t>
      </w:r>
      <w:r>
        <w:rPr>
          <w:rFonts w:ascii="Times New Roman" w:eastAsia="Times New Roman" w:hAnsi="Times New Roman" w:cs="Times New Roman"/>
          <w:sz w:val="24"/>
          <w:szCs w:val="24"/>
        </w:rPr>
        <w:t>) larvae ranges between 10.076 mg/L and 7.826 mg/L in the 48h and 96h periods, respectively—the level is also categorized as moderately to highly toxic to fish. Velki et al. (2017) also recorded an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for Diuron contamination of the established model organism Zebrafish (</w:t>
      </w:r>
      <w:r>
        <w:rPr>
          <w:rFonts w:ascii="Times New Roman" w:eastAsia="Times New Roman" w:hAnsi="Times New Roman" w:cs="Times New Roman"/>
          <w:i/>
          <w:iCs/>
          <w:sz w:val="24"/>
          <w:szCs w:val="24"/>
        </w:rPr>
        <w:t>Danio reri</w:t>
      </w:r>
      <w:r>
        <w:rPr>
          <w:rFonts w:ascii="Times New Roman" w:eastAsia="Times New Roman" w:hAnsi="Times New Roman" w:cs="Times New Roman"/>
          <w:sz w:val="24"/>
          <w:szCs w:val="24"/>
        </w:rPr>
        <w:t>o) at the early stages of life of its larvae in a 96h experiment period. The reading was approximately 6.5 mg/L, defining Diuron as a moderately toxic chemical for fish. Furthermore, according to EXTOXNET (1996), Diuron is toxic to fish and aquatic invertebrates, as the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(48h) ranged from 4.3 mg/L to 42.0 mg/L for fish and 1.0 mg/L to 2.5 mg/L for aquatic invertebrates. Therefore, they concluded that Diuron is classified as moderately to highly toxic to both fish and aquatic invertebrates.</w:t>
      </w:r>
    </w:p>
    <w:p w14:paraId="16814C44" w14:textId="77777777"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Freshwater fish and fathead minnows 30 days old were used in a study by Call et al. (1987). This study evaluated the acute toxicity of Diuron in 24h, 48h, 96h, and 192h periods, and the results showed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values of 23.3 mg/L, 19.9 mg/L, 14.2 mg/L, and 7.7 mg/L, respectively. This study revealed that Diuron is slightly toxic to the larvae of this freshwater fish species. The early life stages of the fish are sensitive stages where they can easily detect toxic chemicals </w:t>
      </w:r>
      <w:r>
        <w:rPr>
          <w:rFonts w:ascii="Times New Roman" w:eastAsia="Times New Roman" w:hAnsi="Times New Roman"/>
          <w:sz w:val="24"/>
          <w:szCs w:val="24"/>
        </w:rPr>
        <w:lastRenderedPageBreak/>
        <w:t>in their environment. Also, the tolerable range of toxic pollutants may differ between fish species or even the life stages of conspecifics. Therefore, acute toxicity testing is important to evaluate the level of toxic chemical pollution in the environment and its effects on aquatic organisms. Other fish species with different median lethal concentrations (LC</w:t>
      </w:r>
      <w:r>
        <w:rPr>
          <w:rFonts w:ascii="Times New Roman" w:eastAsia="Times New Roman" w:hAnsi="Times New Roman"/>
          <w:sz w:val="24"/>
          <w:szCs w:val="24"/>
          <w:vertAlign w:val="subscript"/>
        </w:rPr>
        <w:t>50</w:t>
      </w:r>
      <w:r>
        <w:rPr>
          <w:rFonts w:ascii="Times New Roman" w:eastAsia="Times New Roman" w:hAnsi="Times New Roman"/>
          <w:sz w:val="24"/>
          <w:szCs w:val="24"/>
        </w:rPr>
        <w:t>) are summarized in Table 3. These fish species have LC</w:t>
      </w:r>
      <w:r>
        <w:rPr>
          <w:rFonts w:ascii="Times New Roman" w:eastAsia="Times New Roman" w:hAnsi="Times New Roman"/>
          <w:sz w:val="24"/>
          <w:szCs w:val="24"/>
          <w:vertAlign w:val="subscript"/>
        </w:rPr>
        <w:t>50</w:t>
      </w:r>
      <w:r>
        <w:rPr>
          <w:rFonts w:ascii="Times New Roman" w:eastAsia="Times New Roman" w:hAnsi="Times New Roman"/>
          <w:sz w:val="24"/>
          <w:szCs w:val="24"/>
        </w:rPr>
        <w:t xml:space="preserve"> values ranging between 2.7 mg/L and 16.0 mg/L, indicating that the level of Diuron toxicity is between moderately and highly toxic towards fish species.</w:t>
      </w:r>
    </w:p>
    <w:p w14:paraId="79579262"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obtained from the median lethal concentration result, which is the level of fish species’ sensitivity towards pollutants, is one of the important characteristics that must be evaluated for a fish species to be designated as an entrusted model organism. The recorded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can be compared with other established model organisms in ecotoxicology studies. The acute toxicity level of Diuron appears to be similar to linuron in ﬁsh (Marlatt &amp; Martyniuk, 2017). In juvenile and adult freshwater </w:t>
      </w:r>
      <w:proofErr w:type="spellStart"/>
      <w:r>
        <w:rPr>
          <w:rFonts w:ascii="Times New Roman" w:eastAsia="Times New Roman" w:hAnsi="Times New Roman" w:cs="Times New Roman"/>
          <w:sz w:val="24"/>
          <w:szCs w:val="24"/>
        </w:rPr>
        <w:t>teleosts</w:t>
      </w:r>
      <w:proofErr w:type="spellEnd"/>
      <w:r>
        <w:rPr>
          <w:rFonts w:ascii="Times New Roman" w:eastAsia="Times New Roman" w:hAnsi="Times New Roman" w:cs="Times New Roman"/>
          <w:sz w:val="24"/>
          <w:szCs w:val="24"/>
        </w:rPr>
        <w:t>, data collected from acute toxicity studies show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values ranging from 0.71 to 14.2 mg/L, with cutthroat trout being the most sensitive teleost species, followed by lake trout (</w:t>
      </w:r>
      <w:r>
        <w:rPr>
          <w:rFonts w:ascii="Times New Roman" w:eastAsia="Times New Roman" w:hAnsi="Times New Roman" w:cs="Times New Roman"/>
          <w:i/>
          <w:iCs/>
          <w:sz w:val="24"/>
          <w:szCs w:val="24"/>
        </w:rPr>
        <w:t xml:space="preserve">Salvelinus </w:t>
      </w:r>
      <w:proofErr w:type="spellStart"/>
      <w:r>
        <w:rPr>
          <w:rFonts w:ascii="Times New Roman" w:eastAsia="Times New Roman" w:hAnsi="Times New Roman" w:cs="Times New Roman"/>
          <w:i/>
          <w:iCs/>
          <w:sz w:val="24"/>
          <w:szCs w:val="24"/>
        </w:rPr>
        <w:t>namaycush</w:t>
      </w:r>
      <w:proofErr w:type="spellEnd"/>
      <w:r>
        <w:rPr>
          <w:rFonts w:ascii="Times New Roman" w:eastAsia="Times New Roman" w:hAnsi="Times New Roman" w:cs="Times New Roman"/>
          <w:sz w:val="24"/>
          <w:szCs w:val="24"/>
        </w:rPr>
        <w:t>), rainbow trout, coho salmon (</w:t>
      </w:r>
      <w:r>
        <w:rPr>
          <w:rFonts w:ascii="Times New Roman" w:eastAsia="Times New Roman" w:hAnsi="Times New Roman" w:cs="Times New Roman"/>
          <w:i/>
          <w:iCs/>
          <w:sz w:val="24"/>
          <w:szCs w:val="24"/>
        </w:rPr>
        <w:t>Oncorhynchus kisutch</w:t>
      </w:r>
      <w:r>
        <w:rPr>
          <w:rFonts w:ascii="Times New Roman" w:eastAsia="Times New Roman" w:hAnsi="Times New Roman" w:cs="Times New Roman"/>
          <w:sz w:val="24"/>
          <w:szCs w:val="24"/>
        </w:rPr>
        <w:t>), bluegill sunﬁsh (</w:t>
      </w:r>
      <w:r>
        <w:rPr>
          <w:rFonts w:ascii="Times New Roman" w:eastAsia="Times New Roman" w:hAnsi="Times New Roman" w:cs="Times New Roman"/>
          <w:i/>
          <w:iCs/>
          <w:sz w:val="24"/>
          <w:szCs w:val="24"/>
        </w:rPr>
        <w:t>Lepomis macrochirus</w:t>
      </w:r>
      <w:r>
        <w:rPr>
          <w:rFonts w:ascii="Times New Roman" w:eastAsia="Times New Roman" w:hAnsi="Times New Roman" w:cs="Times New Roman"/>
          <w:sz w:val="24"/>
          <w:szCs w:val="24"/>
        </w:rPr>
        <w:t xml:space="preserve">), and the least sensitive fish tested, fathead minnow (Call et al., 1987; Mayer &amp; </w:t>
      </w:r>
      <w:proofErr w:type="spellStart"/>
      <w:r>
        <w:rPr>
          <w:rFonts w:ascii="Times New Roman" w:eastAsia="Times New Roman" w:hAnsi="Times New Roman" w:cs="Times New Roman"/>
          <w:sz w:val="24"/>
          <w:szCs w:val="24"/>
        </w:rPr>
        <w:t>Ellersieck</w:t>
      </w:r>
      <w:proofErr w:type="spellEnd"/>
      <w:r>
        <w:rPr>
          <w:rFonts w:ascii="Times New Roman" w:eastAsia="Times New Roman" w:hAnsi="Times New Roman" w:cs="Times New Roman"/>
          <w:sz w:val="24"/>
          <w:szCs w:val="24"/>
        </w:rPr>
        <w:t>, 1986; Okamura et al., 2002; USEPA, 2004b).</w:t>
      </w:r>
    </w:p>
    <w:p w14:paraId="2F97B6F5" w14:textId="77777777" w:rsidR="002E79F6" w:rsidRDefault="00021946">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Environmental pollutants such as heavy metals, pesticides, and other organics may pose serious risks to many aquatic organisms. Scott and Sloman (2004) reviewed the effect of environmental pollutants on fish, as seen through complex fish behavior, and discussed the integration of behavioral and physiological indicators of toxicity. Based on the review, behavior links physiological functions with ecological processes that can affect fish populations. Therefore, acute toxicity testing and behavioral indicators were ideal for assessing the effects of aquatic pollutants in natural ecosystems.</w:t>
      </w:r>
    </w:p>
    <w:p w14:paraId="6A52AA7F" w14:textId="77777777" w:rsidR="002E79F6" w:rsidRDefault="000219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Conclusions</w:t>
      </w:r>
    </w:p>
    <w:p w14:paraId="0063ADA5" w14:textId="77777777" w:rsidR="002E79F6" w:rsidRDefault="0002194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According to the study's LC</w:t>
      </w:r>
      <w:r>
        <w:rPr>
          <w:rFonts w:ascii="Times New Roman" w:eastAsia="Times New Roman" w:hAnsi="Times New Roman" w:cs="Times New Roman"/>
          <w:bCs/>
          <w:sz w:val="24"/>
          <w:szCs w:val="24"/>
          <w:vertAlign w:val="subscript"/>
        </w:rPr>
        <w:t xml:space="preserve">50 </w:t>
      </w:r>
      <w:r>
        <w:rPr>
          <w:rFonts w:ascii="Times New Roman" w:eastAsia="Times New Roman" w:hAnsi="Times New Roman" w:cs="Times New Roman"/>
          <w:bCs/>
          <w:sz w:val="24"/>
          <w:szCs w:val="24"/>
        </w:rPr>
        <w:t>value, Diuron can be moderately harmful to aquatic organisms. However, when contamination accumulates at levels higher than acceptable exposure limits, there can be adverse short- and long-term effects. Additionally, the unique behavioral responses of aquatic creatures provide a quick and straightforward method for detecting toxicants in aquatic environments. The findings of this study suggest that the Javanese medaka (</w:t>
      </w:r>
      <w:r>
        <w:rPr>
          <w:rFonts w:ascii="Times New Roman" w:eastAsia="Times New Roman" w:hAnsi="Times New Roman" w:cs="Times New Roman"/>
          <w:bCs/>
          <w:i/>
          <w:iCs/>
          <w:sz w:val="24"/>
          <w:szCs w:val="24"/>
        </w:rPr>
        <w:t>O. javanicus</w:t>
      </w:r>
      <w:r>
        <w:rPr>
          <w:rFonts w:ascii="Times New Roman" w:eastAsia="Times New Roman" w:hAnsi="Times New Roman" w:cs="Times New Roman"/>
          <w:bCs/>
          <w:sz w:val="24"/>
          <w:szCs w:val="24"/>
        </w:rPr>
        <w:t xml:space="preserve">) may serve as a viable candidate for a bioassay organism. This fish species </w:t>
      </w:r>
      <w:r>
        <w:rPr>
          <w:rFonts w:ascii="Times New Roman" w:eastAsia="Times New Roman" w:hAnsi="Times New Roman" w:cs="Times New Roman"/>
          <w:bCs/>
          <w:sz w:val="24"/>
          <w:szCs w:val="24"/>
        </w:rPr>
        <w:lastRenderedPageBreak/>
        <w:t>exhibits several characteristics that make it particularly susceptible to toxins, especially Diuron. Its remarkable osmotic adaptability allows Javanese medaka to thrive in a wide range of salinity conditions, including freshwater, brackish water, and seawater. This versatility makes them ideal for biological testing when researching the impacts of pollutants in both freshwater and saltwater ecosystems. Furthermore, the Javanese medaka’s high local distribution and abundance render it well-suited for studying pollution effects in the tropical regions of Southeast Asia. Its sensitivity to environmental changes further qualifies it as an excellent bioindicator for monitoring aquatic ecosystems. By examining the behavioral, biochemical, and molecular responses of this species, researchers can effectively assess the toxicological effects of various pollutants.</w:t>
      </w:r>
    </w:p>
    <w:p w14:paraId="0B094ED0" w14:textId="77777777" w:rsidR="002E79F6" w:rsidRDefault="000219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Conflict of Interest </w:t>
      </w:r>
    </w:p>
    <w:p w14:paraId="7F213A0E" w14:textId="77777777" w:rsidR="002E79F6" w:rsidRDefault="0002194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authors declare that there is not any conflict of interests regarding the publication of this manuscript. In addition, the ethical issues, including plagiarism, informed consent, misconduct, data fabrication and/ or falsification, double publication and/or submission, and redundancy has been completely observed by the authors.</w:t>
      </w:r>
    </w:p>
    <w:p w14:paraId="38BD3804" w14:textId="77777777" w:rsidR="002E79F6" w:rsidRDefault="000219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Life Science Reporting </w:t>
      </w:r>
    </w:p>
    <w:p w14:paraId="4E1AD5A2" w14:textId="77777777" w:rsidR="002E79F6" w:rsidRDefault="0002194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iCs/>
          <w:sz w:val="24"/>
          <w:szCs w:val="24"/>
        </w:rPr>
        <w:t xml:space="preserve">The fish were sampled, handled, treated, and sacrificed according to the methods approved by the Institutional Animal Care and Use Committee, </w:t>
      </w:r>
      <w:proofErr w:type="spellStart"/>
      <w:r>
        <w:rPr>
          <w:rFonts w:ascii="Times New Roman" w:eastAsia="Times New Roman" w:hAnsi="Times New Roman" w:cs="Times New Roman"/>
          <w:iCs/>
          <w:sz w:val="24"/>
          <w:szCs w:val="24"/>
        </w:rPr>
        <w:t>Universiti</w:t>
      </w:r>
      <w:proofErr w:type="spellEnd"/>
      <w:r>
        <w:rPr>
          <w:rFonts w:ascii="Times New Roman" w:eastAsia="Times New Roman" w:hAnsi="Times New Roman" w:cs="Times New Roman"/>
          <w:iCs/>
          <w:sz w:val="24"/>
          <w:szCs w:val="24"/>
        </w:rPr>
        <w:t xml:space="preserve"> Putra Malaysia (AUP No.: R006/2016). All the experiments were conducted according to the guidelines and regulations mentioned.</w:t>
      </w:r>
    </w:p>
    <w:p w14:paraId="76827C11" w14:textId="77777777" w:rsidR="002E79F6" w:rsidRDefault="00021946">
      <w:pPr>
        <w:spacing w:line="360" w:lineRule="auto"/>
        <w:rPr>
          <w:rFonts w:ascii="Times New Roman" w:eastAsia="Times New Roman" w:hAnsi="Times New Roman" w:cs="Times New Roman"/>
          <w:sz w:val="24"/>
          <w:szCs w:val="24"/>
        </w:rPr>
      </w:pPr>
      <w:bookmarkStart w:id="1" w:name="_Hlk188655999"/>
      <w:r>
        <w:rPr>
          <w:rFonts w:ascii="Times New Roman" w:eastAsia="Times New Roman" w:hAnsi="Times New Roman" w:cs="Times New Roman"/>
          <w:b/>
          <w:sz w:val="24"/>
          <w:szCs w:val="24"/>
        </w:rPr>
        <w:t xml:space="preserve">References  </w:t>
      </w:r>
    </w:p>
    <w:p w14:paraId="06DE9EAD"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 Aziz, F. Z., Zulkifli, S. Z., </w:t>
      </w:r>
      <w:proofErr w:type="spellStart"/>
      <w:r>
        <w:rPr>
          <w:rFonts w:ascii="Times New Roman" w:eastAsia="Times New Roman" w:hAnsi="Times New Roman" w:cs="Times New Roman"/>
          <w:sz w:val="24"/>
          <w:szCs w:val="24"/>
        </w:rPr>
        <w:t>Mohamat</w:t>
      </w:r>
      <w:proofErr w:type="spellEnd"/>
      <w:r>
        <w:rPr>
          <w:rFonts w:ascii="Times New Roman" w:eastAsia="Times New Roman" w:hAnsi="Times New Roman" w:cs="Times New Roman"/>
          <w:sz w:val="24"/>
          <w:szCs w:val="24"/>
        </w:rPr>
        <w:t xml:space="preserve">-Yusuff, F., </w:t>
      </w:r>
      <w:proofErr w:type="spellStart"/>
      <w:r>
        <w:rPr>
          <w:rFonts w:ascii="Times New Roman" w:eastAsia="Times New Roman" w:hAnsi="Times New Roman" w:cs="Times New Roman"/>
          <w:sz w:val="24"/>
          <w:szCs w:val="24"/>
        </w:rPr>
        <w:t>Azmai</w:t>
      </w:r>
      <w:proofErr w:type="spellEnd"/>
      <w:r>
        <w:rPr>
          <w:rFonts w:ascii="Times New Roman" w:eastAsia="Times New Roman" w:hAnsi="Times New Roman" w:cs="Times New Roman"/>
          <w:sz w:val="24"/>
          <w:szCs w:val="24"/>
        </w:rPr>
        <w:t>, M. N. A., &amp; Ismail, A. (2017). A histological study on mercury-induced gonadal impairment in Javanese medaka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javanicus</w:t>
      </w:r>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Turk J Fish Aquat. Sci. </w:t>
      </w:r>
      <w:r>
        <w:rPr>
          <w:rFonts w:ascii="Times New Roman" w:eastAsia="Times New Roman" w:hAnsi="Times New Roman" w:cs="Times New Roman"/>
          <w:sz w:val="24"/>
          <w:szCs w:val="24"/>
        </w:rPr>
        <w:t>17(3), 621-627.</w:t>
      </w:r>
    </w:p>
    <w:p w14:paraId="257A0820" w14:textId="77777777" w:rsidR="002E79F6" w:rsidRDefault="00021946">
      <w:pPr>
        <w:spacing w:line="360" w:lineRule="auto"/>
        <w:ind w:left="720" w:hanging="720"/>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Ali, H. R., Arifin, M. M., Sheikh, M. A., </w:t>
      </w:r>
      <w:proofErr w:type="spellStart"/>
      <w:r>
        <w:rPr>
          <w:rFonts w:ascii="Times New Roman" w:eastAsia="Times New Roman" w:hAnsi="Times New Roman" w:cs="Times New Roman"/>
          <w:sz w:val="24"/>
          <w:szCs w:val="24"/>
        </w:rPr>
        <w:t>Shazili</w:t>
      </w:r>
      <w:proofErr w:type="spellEnd"/>
      <w:r>
        <w:rPr>
          <w:rFonts w:ascii="Times New Roman" w:eastAsia="Times New Roman" w:hAnsi="Times New Roman" w:cs="Times New Roman"/>
          <w:sz w:val="24"/>
          <w:szCs w:val="24"/>
        </w:rPr>
        <w:t>, N. A. M., Bakari, S. S., Bachok, Z. (2014) Contamination of Diuron in coastal waters around Malaysian Peninsular. </w:t>
      </w:r>
      <w:r>
        <w:rPr>
          <w:rFonts w:ascii="Times New Roman" w:eastAsia="Times New Roman" w:hAnsi="Times New Roman" w:cs="Times New Roman"/>
          <w:iCs/>
          <w:sz w:val="24"/>
          <w:szCs w:val="24"/>
        </w:rPr>
        <w:t xml:space="preserve">Mar </w:t>
      </w:r>
      <w:proofErr w:type="spellStart"/>
      <w:r>
        <w:rPr>
          <w:rFonts w:ascii="Times New Roman" w:eastAsia="Times New Roman" w:hAnsi="Times New Roman" w:cs="Times New Roman"/>
          <w:iCs/>
          <w:sz w:val="24"/>
          <w:szCs w:val="24"/>
        </w:rPr>
        <w:t>Pollut</w:t>
      </w:r>
      <w:proofErr w:type="spellEnd"/>
      <w:r>
        <w:rPr>
          <w:rFonts w:ascii="Times New Roman" w:eastAsia="Times New Roman" w:hAnsi="Times New Roman" w:cs="Times New Roman"/>
          <w:iCs/>
          <w:sz w:val="24"/>
          <w:szCs w:val="24"/>
        </w:rPr>
        <w:t xml:space="preserve"> Bull. 85, 287-291. </w:t>
      </w:r>
    </w:p>
    <w:p w14:paraId="55966CB8" w14:textId="77777777" w:rsidR="002E79F6" w:rsidRDefault="00021946">
      <w:pPr>
        <w:spacing w:line="360" w:lineRule="auto"/>
        <w:ind w:left="720" w:hanging="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Angel, J. R. J, Vinay, T. N., Raghavan, R., Thomas, D., Satheesha, A. R., Shekhar, M. S., Vijayan, K. K. (2019) First record of the Javanese </w:t>
      </w:r>
      <w:proofErr w:type="spellStart"/>
      <w:r>
        <w:rPr>
          <w:rFonts w:ascii="Times New Roman" w:eastAsia="Times New Roman" w:hAnsi="Times New Roman" w:cs="Times New Roman"/>
          <w:sz w:val="24"/>
          <w:szCs w:val="24"/>
        </w:rPr>
        <w:t>ricefish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javanicus</w:t>
      </w:r>
      <w:r>
        <w:rPr>
          <w:rFonts w:ascii="Times New Roman" w:eastAsia="Times New Roman" w:hAnsi="Times New Roman" w:cs="Times New Roman"/>
          <w:sz w:val="24"/>
          <w:szCs w:val="24"/>
        </w:rPr>
        <w:t xml:space="preserve"> (Bleeker, </w:t>
      </w:r>
      <w:r>
        <w:rPr>
          <w:rFonts w:ascii="Times New Roman" w:eastAsia="Times New Roman" w:hAnsi="Times New Roman" w:cs="Times New Roman"/>
          <w:sz w:val="24"/>
          <w:szCs w:val="24"/>
        </w:rPr>
        <w:lastRenderedPageBreak/>
        <w:t>1854) (</w:t>
      </w:r>
      <w:proofErr w:type="spellStart"/>
      <w:r>
        <w:rPr>
          <w:rFonts w:ascii="Times New Roman" w:eastAsia="Times New Roman" w:hAnsi="Times New Roman" w:cs="Times New Roman"/>
          <w:sz w:val="24"/>
          <w:szCs w:val="24"/>
        </w:rPr>
        <w:t>Beloniformes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Adrianichthyidae</w:t>
      </w:r>
      <w:proofErr w:type="spellEnd"/>
      <w:r>
        <w:rPr>
          <w:rFonts w:ascii="Times New Roman" w:eastAsia="Times New Roman" w:hAnsi="Times New Roman" w:cs="Times New Roman"/>
          <w:sz w:val="24"/>
          <w:szCs w:val="24"/>
        </w:rPr>
        <w:t>) in the natural waters of India.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J Appl Ichthyol.</w:t>
      </w:r>
      <w:r>
        <w:rPr>
          <w:rFonts w:ascii="Times New Roman" w:eastAsia="Times New Roman" w:hAnsi="Times New Roman" w:cs="Times New Roman"/>
          <w:i/>
          <w:iCs/>
          <w:sz w:val="24"/>
          <w:szCs w:val="24"/>
        </w:rPr>
        <w:t> </w:t>
      </w:r>
      <w:r>
        <w:rPr>
          <w:rFonts w:ascii="Times New Roman" w:eastAsia="Times New Roman" w:hAnsi="Times New Roman" w:cs="Times New Roman"/>
          <w:sz w:val="24"/>
          <w:szCs w:val="24"/>
        </w:rPr>
        <w:t xml:space="preserve">35(4), 1034-1038. </w:t>
      </w:r>
    </w:p>
    <w:p w14:paraId="06D5B86C"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Ani, L. C., </w:t>
      </w:r>
      <w:proofErr w:type="spellStart"/>
      <w:r>
        <w:rPr>
          <w:rFonts w:ascii="Times New Roman" w:eastAsia="Times New Roman" w:hAnsi="Times New Roman" w:cs="Times New Roman"/>
          <w:sz w:val="24"/>
          <w:szCs w:val="24"/>
        </w:rPr>
        <w:t>Nwamba</w:t>
      </w:r>
      <w:proofErr w:type="spellEnd"/>
      <w:r>
        <w:rPr>
          <w:rFonts w:ascii="Times New Roman" w:eastAsia="Times New Roman" w:hAnsi="Times New Roman" w:cs="Times New Roman"/>
          <w:sz w:val="24"/>
          <w:szCs w:val="24"/>
        </w:rPr>
        <w:t xml:space="preserve">, H. O., </w:t>
      </w:r>
      <w:proofErr w:type="spellStart"/>
      <w:r>
        <w:rPr>
          <w:rFonts w:ascii="Times New Roman" w:eastAsia="Times New Roman" w:hAnsi="Times New Roman" w:cs="Times New Roman"/>
          <w:sz w:val="24"/>
          <w:szCs w:val="24"/>
        </w:rPr>
        <w:t>Ejilibe</w:t>
      </w:r>
      <w:proofErr w:type="spellEnd"/>
      <w:r>
        <w:rPr>
          <w:rFonts w:ascii="Times New Roman" w:eastAsia="Times New Roman" w:hAnsi="Times New Roman" w:cs="Times New Roman"/>
          <w:sz w:val="24"/>
          <w:szCs w:val="24"/>
        </w:rPr>
        <w:t xml:space="preserve">, C. O., &amp; Nwani, C. D. (2017) Acute toxicity of glyphosate-based herbicide </w:t>
      </w:r>
      <w:proofErr w:type="spellStart"/>
      <w:r>
        <w:rPr>
          <w:rFonts w:ascii="Times New Roman" w:eastAsia="Times New Roman" w:hAnsi="Times New Roman" w:cs="Times New Roman"/>
          <w:sz w:val="24"/>
          <w:szCs w:val="24"/>
        </w:rPr>
        <w:t>glycot</w:t>
      </w:r>
      <w:proofErr w:type="spellEnd"/>
      <w:r>
        <w:rPr>
          <w:rFonts w:ascii="Times New Roman" w:eastAsia="Times New Roman" w:hAnsi="Times New Roman" w:cs="Times New Roman"/>
          <w:sz w:val="24"/>
          <w:szCs w:val="24"/>
        </w:rPr>
        <w:t xml:space="preserve"> on juvenile African cat fish </w:t>
      </w:r>
      <w:r>
        <w:rPr>
          <w:rFonts w:ascii="Times New Roman" w:eastAsia="Times New Roman" w:hAnsi="Times New Roman" w:cs="Times New Roman"/>
          <w:i/>
          <w:sz w:val="24"/>
          <w:szCs w:val="24"/>
        </w:rPr>
        <w:t xml:space="preserve">Clarias </w:t>
      </w:r>
      <w:proofErr w:type="spellStart"/>
      <w:r>
        <w:rPr>
          <w:rFonts w:ascii="Times New Roman" w:eastAsia="Times New Roman" w:hAnsi="Times New Roman" w:cs="Times New Roman"/>
          <w:i/>
          <w:sz w:val="24"/>
          <w:szCs w:val="24"/>
        </w:rPr>
        <w:t>gariepinus</w:t>
      </w:r>
      <w:proofErr w:type="spellEnd"/>
      <w:r>
        <w:rPr>
          <w:rFonts w:ascii="Times New Roman" w:eastAsia="Times New Roman" w:hAnsi="Times New Roman" w:cs="Times New Roman"/>
          <w:sz w:val="24"/>
          <w:szCs w:val="24"/>
        </w:rPr>
        <w:t xml:space="preserve"> (Burchell 1822). </w:t>
      </w:r>
      <w:r>
        <w:rPr>
          <w:rFonts w:ascii="Times New Roman" w:eastAsia="Times New Roman" w:hAnsi="Times New Roman" w:cs="Times New Roman"/>
          <w:iCs/>
          <w:sz w:val="24"/>
          <w:szCs w:val="24"/>
        </w:rPr>
        <w:t xml:space="preserve">J Fish Lives Vet </w:t>
      </w:r>
      <w:proofErr w:type="spellStart"/>
      <w:r>
        <w:rPr>
          <w:rFonts w:ascii="Times New Roman" w:eastAsia="Times New Roman" w:hAnsi="Times New Roman" w:cs="Times New Roman"/>
          <w:iCs/>
          <w:sz w:val="24"/>
          <w:szCs w:val="24"/>
        </w:rPr>
        <w:t>Scien</w:t>
      </w:r>
      <w:proofErr w:type="spellEnd"/>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5(3), 252. </w:t>
      </w:r>
    </w:p>
    <w:p w14:paraId="5010B816"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Banaee, M., Sureda, A., </w:t>
      </w:r>
      <w:proofErr w:type="spellStart"/>
      <w:r>
        <w:rPr>
          <w:rFonts w:ascii="Times New Roman" w:eastAsia="Times New Roman" w:hAnsi="Times New Roman" w:cs="Times New Roman"/>
          <w:sz w:val="24"/>
          <w:szCs w:val="24"/>
        </w:rPr>
        <w:t>Mirvaghefi</w:t>
      </w:r>
      <w:proofErr w:type="spellEnd"/>
      <w:r>
        <w:rPr>
          <w:rFonts w:ascii="Times New Roman" w:eastAsia="Times New Roman" w:hAnsi="Times New Roman" w:cs="Times New Roman"/>
          <w:sz w:val="24"/>
          <w:szCs w:val="24"/>
        </w:rPr>
        <w:t>, A. R., &amp; Ahmadi, K. (2011) Effects of diazinon on biochemical parameters of blood in rainbow trout (</w:t>
      </w:r>
      <w:r>
        <w:rPr>
          <w:rFonts w:ascii="Times New Roman" w:eastAsia="Times New Roman" w:hAnsi="Times New Roman" w:cs="Times New Roman"/>
          <w:i/>
          <w:sz w:val="24"/>
          <w:szCs w:val="24"/>
        </w:rPr>
        <w:t>Oncorhynchus mykiss</w:t>
      </w:r>
      <w:r>
        <w:rPr>
          <w:rFonts w:ascii="Times New Roman" w:eastAsia="Times New Roman" w:hAnsi="Times New Roman" w:cs="Times New Roman"/>
          <w:sz w:val="24"/>
          <w:szCs w:val="24"/>
        </w:rPr>
        <w:t>). </w:t>
      </w:r>
      <w:proofErr w:type="spellStart"/>
      <w:r>
        <w:rPr>
          <w:rFonts w:ascii="Times New Roman" w:eastAsia="Times New Roman" w:hAnsi="Times New Roman" w:cs="Times New Roman"/>
          <w:iCs/>
          <w:sz w:val="24"/>
          <w:szCs w:val="24"/>
        </w:rPr>
        <w:t>Pestic</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Biochem</w:t>
      </w:r>
      <w:proofErr w:type="spellEnd"/>
      <w:r>
        <w:rPr>
          <w:rFonts w:ascii="Times New Roman" w:eastAsia="Times New Roman" w:hAnsi="Times New Roman" w:cs="Times New Roman"/>
          <w:iCs/>
          <w:sz w:val="24"/>
          <w:szCs w:val="24"/>
        </w:rPr>
        <w:t xml:space="preserve"> Phys., 99</w:t>
      </w:r>
      <w:r>
        <w:rPr>
          <w:rFonts w:ascii="Times New Roman" w:eastAsia="Times New Roman" w:hAnsi="Times New Roman" w:cs="Times New Roman"/>
          <w:sz w:val="24"/>
          <w:szCs w:val="24"/>
        </w:rPr>
        <w:t xml:space="preserve">(1), 1-6. </w:t>
      </w:r>
    </w:p>
    <w:p w14:paraId="2C730E51"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Bashir, I., Lone, F. A., Bhat, R. A., Mir, S. A., Dar, Z. A., &amp; Dar, S.A. (2020). C</w:t>
      </w:r>
      <w:r>
        <w:rPr>
          <w:rFonts w:ascii="Times New Roman" w:eastAsia="Times New Roman" w:hAnsi="Times New Roman" w:cs="Times New Roman"/>
          <w:i/>
          <w:iCs/>
          <w:sz w:val="24"/>
          <w:szCs w:val="24"/>
        </w:rPr>
        <w:t>oncerns and threats of contamination on aquatic ecosystems. </w:t>
      </w:r>
      <w:r>
        <w:rPr>
          <w:rFonts w:ascii="Times New Roman" w:eastAsia="Times New Roman" w:hAnsi="Times New Roman" w:cs="Times New Roman"/>
          <w:iCs/>
          <w:sz w:val="24"/>
          <w:szCs w:val="24"/>
        </w:rPr>
        <w:t>Bioremediation and biotechnology: sustainable approaches to pollution degradation,</w:t>
      </w:r>
      <w:r>
        <w:rPr>
          <w:rFonts w:ascii="Times New Roman" w:eastAsia="Times New Roman" w:hAnsi="Times New Roman" w:cs="Times New Roman"/>
          <w:sz w:val="24"/>
          <w:szCs w:val="24"/>
        </w:rPr>
        <w:t xml:space="preserve"> 1-26.</w:t>
      </w:r>
    </w:p>
    <w:p w14:paraId="54F90999" w14:textId="77777777" w:rsidR="002E79F6" w:rsidRDefault="00021946">
      <w:pPr>
        <w:spacing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Behrens, D., Rouxel, J., </w:t>
      </w:r>
      <w:proofErr w:type="spellStart"/>
      <w:r>
        <w:rPr>
          <w:rFonts w:ascii="Times New Roman" w:eastAsia="Times New Roman" w:hAnsi="Times New Roman" w:cs="Times New Roman"/>
          <w:color w:val="222222"/>
          <w:sz w:val="24"/>
          <w:szCs w:val="24"/>
        </w:rPr>
        <w:t>Burgeot</w:t>
      </w:r>
      <w:proofErr w:type="spellEnd"/>
      <w:r>
        <w:rPr>
          <w:rFonts w:ascii="Times New Roman" w:eastAsia="Times New Roman" w:hAnsi="Times New Roman" w:cs="Times New Roman"/>
          <w:color w:val="222222"/>
          <w:sz w:val="24"/>
          <w:szCs w:val="24"/>
        </w:rPr>
        <w:t xml:space="preserve">, T., &amp; </w:t>
      </w:r>
      <w:proofErr w:type="spellStart"/>
      <w:r>
        <w:rPr>
          <w:rFonts w:ascii="Times New Roman" w:eastAsia="Times New Roman" w:hAnsi="Times New Roman" w:cs="Times New Roman"/>
          <w:color w:val="222222"/>
          <w:sz w:val="24"/>
          <w:szCs w:val="24"/>
        </w:rPr>
        <w:t>Akcha</w:t>
      </w:r>
      <w:proofErr w:type="spellEnd"/>
      <w:r>
        <w:rPr>
          <w:rFonts w:ascii="Times New Roman" w:eastAsia="Times New Roman" w:hAnsi="Times New Roman" w:cs="Times New Roman"/>
          <w:color w:val="222222"/>
          <w:sz w:val="24"/>
          <w:szCs w:val="24"/>
        </w:rPr>
        <w:t xml:space="preserve">, F. (2016). Comparative embryotoxicity and genotoxicity of the herbicide diuron and its metabolites in early life stages of </w:t>
      </w:r>
      <w:r>
        <w:rPr>
          <w:rFonts w:ascii="Times New Roman" w:eastAsia="Times New Roman" w:hAnsi="Times New Roman" w:cs="Times New Roman"/>
          <w:i/>
          <w:color w:val="222222"/>
          <w:sz w:val="24"/>
          <w:szCs w:val="24"/>
        </w:rPr>
        <w:t>Crassostrea gigas</w:t>
      </w:r>
      <w:r>
        <w:rPr>
          <w:rFonts w:ascii="Times New Roman" w:eastAsia="Times New Roman" w:hAnsi="Times New Roman" w:cs="Times New Roman"/>
          <w:color w:val="222222"/>
          <w:sz w:val="24"/>
          <w:szCs w:val="24"/>
        </w:rPr>
        <w:t>: Implication of reactive oxygen species production. </w:t>
      </w:r>
      <w:proofErr w:type="spellStart"/>
      <w:r>
        <w:rPr>
          <w:rFonts w:ascii="Times New Roman" w:eastAsia="Times New Roman" w:hAnsi="Times New Roman" w:cs="Times New Roman"/>
          <w:iCs/>
          <w:color w:val="222222"/>
          <w:sz w:val="24"/>
          <w:szCs w:val="24"/>
        </w:rPr>
        <w:t>Aquat</w:t>
      </w:r>
      <w:proofErr w:type="spellEnd"/>
      <w:r>
        <w:rPr>
          <w:rFonts w:ascii="Times New Roman" w:eastAsia="Times New Roman" w:hAnsi="Times New Roman" w:cs="Times New Roman"/>
          <w:iCs/>
          <w:color w:val="222222"/>
          <w:sz w:val="24"/>
          <w:szCs w:val="24"/>
        </w:rPr>
        <w:t xml:space="preserve"> </w:t>
      </w:r>
      <w:proofErr w:type="spellStart"/>
      <w:r>
        <w:rPr>
          <w:rFonts w:ascii="Times New Roman" w:eastAsia="Times New Roman" w:hAnsi="Times New Roman" w:cs="Times New Roman"/>
          <w:iCs/>
          <w:color w:val="222222"/>
          <w:sz w:val="24"/>
          <w:szCs w:val="24"/>
        </w:rPr>
        <w:t>Toxicol</w:t>
      </w:r>
      <w:proofErr w:type="spellEnd"/>
      <w:r>
        <w:rPr>
          <w:rFonts w:ascii="Times New Roman" w:eastAsia="Times New Roman" w:hAnsi="Times New Roman" w:cs="Times New Roman"/>
          <w:iCs/>
          <w:color w:val="222222"/>
          <w:sz w:val="24"/>
          <w:szCs w:val="24"/>
        </w:rPr>
        <w:t>. 175</w:t>
      </w:r>
      <w:r>
        <w:rPr>
          <w:rFonts w:ascii="Times New Roman" w:eastAsia="Times New Roman" w:hAnsi="Times New Roman" w:cs="Times New Roman"/>
          <w:color w:val="222222"/>
          <w:sz w:val="24"/>
          <w:szCs w:val="24"/>
        </w:rPr>
        <w:t xml:space="preserve">, 249-259. </w:t>
      </w:r>
    </w:p>
    <w:p w14:paraId="70F21A0E" w14:textId="77777777" w:rsidR="002E79F6" w:rsidRDefault="00021946">
      <w:pPr>
        <w:spacing w:line="360" w:lineRule="auto"/>
        <w:ind w:left="720" w:hanging="720"/>
        <w:jc w:val="both"/>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Bertram, M. G., Martin, J. M., McCallum, E. S., Alton, L. A, Brand, J. A., Brooks, B. W., &amp; Brodin, T. (2022). Frontiers in quantifying wildlife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responses to chemical pollution. Biol Rev. 97(4), 1346-1364. </w:t>
      </w:r>
    </w:p>
    <w:p w14:paraId="12DE855F"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Bhat, R. A., Beigh, B. A., Mir, S. A., Dar, S. A., </w:t>
      </w:r>
      <w:proofErr w:type="spellStart"/>
      <w:r>
        <w:rPr>
          <w:rFonts w:ascii="Times New Roman" w:eastAsia="Times New Roman" w:hAnsi="Times New Roman" w:cs="Times New Roman"/>
          <w:color w:val="222222"/>
          <w:sz w:val="24"/>
          <w:szCs w:val="24"/>
        </w:rPr>
        <w:t>Dervash</w:t>
      </w:r>
      <w:proofErr w:type="spellEnd"/>
      <w:r>
        <w:rPr>
          <w:rFonts w:ascii="Times New Roman" w:eastAsia="Times New Roman" w:hAnsi="Times New Roman" w:cs="Times New Roman"/>
          <w:color w:val="222222"/>
          <w:sz w:val="24"/>
          <w:szCs w:val="24"/>
        </w:rPr>
        <w:t xml:space="preserve">, M. A., Rashid, A., &amp; Lone, R. (2022). Biopesticide techniques to remediate pesticides in polluted ecosystems. In Research Anthology on Emerging Techniques in Environmental Remediation (pp. 336-356). IGI Global. </w:t>
      </w:r>
    </w:p>
    <w:p w14:paraId="7DAF51C5"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Call, D. J., Brooke, L. T., Kent, R. J., Knuth, M. L., Poirier, S. H., Huot, J. M., &amp; Lima, A. R. (1987). </w:t>
      </w:r>
      <w:proofErr w:type="spellStart"/>
      <w:r>
        <w:rPr>
          <w:rFonts w:ascii="Times New Roman" w:eastAsia="Times New Roman" w:hAnsi="Times New Roman" w:cs="Times New Roman"/>
          <w:color w:val="222222"/>
          <w:sz w:val="24"/>
          <w:szCs w:val="24"/>
        </w:rPr>
        <w:t>Bromacil</w:t>
      </w:r>
      <w:proofErr w:type="spellEnd"/>
      <w:r>
        <w:rPr>
          <w:rFonts w:ascii="Times New Roman" w:eastAsia="Times New Roman" w:hAnsi="Times New Roman" w:cs="Times New Roman"/>
          <w:color w:val="222222"/>
          <w:sz w:val="24"/>
          <w:szCs w:val="24"/>
        </w:rPr>
        <w:t xml:space="preserve"> and diuron herbicides: toxicity, uptake, and elimination in freshwater fish. </w:t>
      </w:r>
      <w:r>
        <w:rPr>
          <w:rFonts w:ascii="Times New Roman" w:eastAsia="Times New Roman" w:hAnsi="Times New Roman" w:cs="Times New Roman"/>
          <w:iCs/>
          <w:color w:val="222222"/>
          <w:sz w:val="24"/>
          <w:szCs w:val="24"/>
        </w:rPr>
        <w:t xml:space="preserve">Arch Environ </w:t>
      </w:r>
      <w:proofErr w:type="spellStart"/>
      <w:r>
        <w:rPr>
          <w:rFonts w:ascii="Times New Roman" w:eastAsia="Times New Roman" w:hAnsi="Times New Roman" w:cs="Times New Roman"/>
          <w:iCs/>
          <w:color w:val="222222"/>
          <w:sz w:val="24"/>
          <w:szCs w:val="24"/>
        </w:rPr>
        <w:t>Contam</w:t>
      </w:r>
      <w:proofErr w:type="spellEnd"/>
      <w:r>
        <w:rPr>
          <w:rFonts w:ascii="Times New Roman" w:eastAsia="Times New Roman" w:hAnsi="Times New Roman" w:cs="Times New Roman"/>
          <w:iCs/>
          <w:color w:val="222222"/>
          <w:sz w:val="24"/>
          <w:szCs w:val="24"/>
        </w:rPr>
        <w:t xml:space="preserve"> </w:t>
      </w:r>
      <w:proofErr w:type="spellStart"/>
      <w:r>
        <w:rPr>
          <w:rFonts w:ascii="Times New Roman" w:eastAsia="Times New Roman" w:hAnsi="Times New Roman" w:cs="Times New Roman"/>
          <w:iCs/>
          <w:color w:val="222222"/>
          <w:sz w:val="24"/>
          <w:szCs w:val="24"/>
        </w:rPr>
        <w:t>Toxicol</w:t>
      </w:r>
      <w:proofErr w:type="spellEnd"/>
      <w:r>
        <w:rPr>
          <w:rFonts w:ascii="Times New Roman" w:eastAsia="Times New Roman" w:hAnsi="Times New Roman" w:cs="Times New Roman"/>
          <w:iCs/>
          <w:color w:val="222222"/>
          <w:sz w:val="24"/>
          <w:szCs w:val="24"/>
        </w:rPr>
        <w:t>. 16,</w:t>
      </w:r>
      <w:r>
        <w:rPr>
          <w:rFonts w:ascii="Times New Roman" w:eastAsia="Times New Roman" w:hAnsi="Times New Roman" w:cs="Times New Roman"/>
          <w:color w:val="222222"/>
          <w:sz w:val="24"/>
          <w:szCs w:val="24"/>
        </w:rPr>
        <w:t xml:space="preserve"> 607-613. </w:t>
      </w:r>
    </w:p>
    <w:p w14:paraId="49E0DE9D"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CCREM. Canadian Water Quality Guidelines, Canadian Council of Resources and Environmental Ministry, Inland Waters Directorate, Environment Canada: Ottawa, ON, Canada. 1991. </w:t>
      </w:r>
    </w:p>
    <w:p w14:paraId="52C9042D"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 on Water Quality Criteria (CWQC). </w:t>
      </w:r>
      <w:proofErr w:type="spellStart"/>
      <w:r>
        <w:rPr>
          <w:rFonts w:ascii="Times New Roman" w:eastAsia="Times New Roman" w:hAnsi="Times New Roman" w:cs="Times New Roman"/>
          <w:sz w:val="24"/>
          <w:szCs w:val="24"/>
        </w:rPr>
        <w:t>Areport</w:t>
      </w:r>
      <w:proofErr w:type="spellEnd"/>
      <w:r>
        <w:rPr>
          <w:rFonts w:ascii="Times New Roman" w:eastAsia="Times New Roman" w:hAnsi="Times New Roman" w:cs="Times New Roman"/>
          <w:sz w:val="24"/>
          <w:szCs w:val="24"/>
        </w:rPr>
        <w:t xml:space="preserve"> of the committee on water Quality Criteria. Ecological Research Series, EPA-R3-1972, 73-003.</w:t>
      </w:r>
    </w:p>
    <w:p w14:paraId="04B215B5" w14:textId="77777777" w:rsidR="002E79F6" w:rsidRDefault="0002194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Das, T. K., Behera, B., Nath, C. P., Ghosh, S., Sen, S., Raj, R., &amp; Pramanik, B. (2024). Herbicides use in crop production: An analysis of cost-benefit, non-target toxicities and environmental risks. Crop Prot. 106691. </w:t>
      </w:r>
    </w:p>
    <w:p w14:paraId="3EF76EAF"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Di Landa, G., Parrella, L., </w:t>
      </w:r>
      <w:proofErr w:type="spellStart"/>
      <w:r>
        <w:rPr>
          <w:rFonts w:ascii="Times New Roman" w:eastAsia="Times New Roman" w:hAnsi="Times New Roman" w:cs="Times New Roman"/>
          <w:color w:val="222222"/>
          <w:sz w:val="24"/>
          <w:szCs w:val="24"/>
        </w:rPr>
        <w:t>Avagliano</w:t>
      </w:r>
      <w:proofErr w:type="spellEnd"/>
      <w:r>
        <w:rPr>
          <w:rFonts w:ascii="Times New Roman" w:eastAsia="Times New Roman" w:hAnsi="Times New Roman" w:cs="Times New Roman"/>
          <w:color w:val="222222"/>
          <w:sz w:val="24"/>
          <w:szCs w:val="24"/>
        </w:rPr>
        <w:t xml:space="preserve">, S., </w:t>
      </w:r>
      <w:proofErr w:type="spellStart"/>
      <w:r>
        <w:rPr>
          <w:rFonts w:ascii="Times New Roman" w:eastAsia="Times New Roman" w:hAnsi="Times New Roman" w:cs="Times New Roman"/>
          <w:color w:val="222222"/>
          <w:sz w:val="24"/>
          <w:szCs w:val="24"/>
        </w:rPr>
        <w:t>Ansanelli</w:t>
      </w:r>
      <w:proofErr w:type="spellEnd"/>
      <w:r>
        <w:rPr>
          <w:rFonts w:ascii="Times New Roman" w:eastAsia="Times New Roman" w:hAnsi="Times New Roman" w:cs="Times New Roman"/>
          <w:color w:val="222222"/>
          <w:sz w:val="24"/>
          <w:szCs w:val="24"/>
        </w:rPr>
        <w:t xml:space="preserve">, G., Maiello, E., &amp; </w:t>
      </w:r>
      <w:proofErr w:type="spellStart"/>
      <w:r>
        <w:rPr>
          <w:rFonts w:ascii="Times New Roman" w:eastAsia="Times New Roman" w:hAnsi="Times New Roman" w:cs="Times New Roman"/>
          <w:color w:val="222222"/>
          <w:sz w:val="24"/>
          <w:szCs w:val="24"/>
        </w:rPr>
        <w:t>Cremisini</w:t>
      </w:r>
      <w:proofErr w:type="spellEnd"/>
      <w:r>
        <w:rPr>
          <w:rFonts w:ascii="Times New Roman" w:eastAsia="Times New Roman" w:hAnsi="Times New Roman" w:cs="Times New Roman"/>
          <w:color w:val="222222"/>
          <w:sz w:val="24"/>
          <w:szCs w:val="24"/>
        </w:rPr>
        <w:t>, C. (2009). Assessment of the potential ecological risks posed by antifouling booster biocides to the marine ecosystem of the Gulf of Napoli (Italy). </w:t>
      </w:r>
      <w:r>
        <w:rPr>
          <w:rFonts w:ascii="Times New Roman" w:eastAsia="Times New Roman" w:hAnsi="Times New Roman" w:cs="Times New Roman"/>
          <w:iCs/>
          <w:color w:val="222222"/>
          <w:sz w:val="24"/>
          <w:szCs w:val="24"/>
        </w:rPr>
        <w:t xml:space="preserve">Water Air Soil </w:t>
      </w:r>
      <w:proofErr w:type="spellStart"/>
      <w:r>
        <w:rPr>
          <w:rFonts w:ascii="Times New Roman" w:eastAsia="Times New Roman" w:hAnsi="Times New Roman" w:cs="Times New Roman"/>
          <w:iCs/>
          <w:color w:val="222222"/>
          <w:sz w:val="24"/>
          <w:szCs w:val="24"/>
        </w:rPr>
        <w:t>Pollut</w:t>
      </w:r>
      <w:proofErr w:type="spellEnd"/>
      <w:r>
        <w:rPr>
          <w:rFonts w:ascii="Times New Roman" w:eastAsia="Times New Roman" w:hAnsi="Times New Roman" w:cs="Times New Roman"/>
          <w:iCs/>
          <w:color w:val="222222"/>
          <w:sz w:val="24"/>
          <w:szCs w:val="24"/>
        </w:rPr>
        <w:t>. 200</w:t>
      </w:r>
      <w:r>
        <w:rPr>
          <w:rFonts w:ascii="Times New Roman" w:eastAsia="Times New Roman" w:hAnsi="Times New Roman" w:cs="Times New Roman"/>
          <w:color w:val="222222"/>
          <w:sz w:val="24"/>
          <w:szCs w:val="24"/>
        </w:rPr>
        <w:t>(1-4), 305-321.</w:t>
      </w:r>
    </w:p>
    <w:p w14:paraId="355E16AD" w14:textId="77777777" w:rsidR="002E79F6" w:rsidRDefault="00021946">
      <w:pPr>
        <w:spacing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Diamond, J. M., Parson, M. J., &amp; Gruber, D. (1990). Rapid detection of sublethal toxicity using fish ventilatory behavior. </w:t>
      </w:r>
      <w:r>
        <w:rPr>
          <w:rFonts w:ascii="Times New Roman" w:eastAsia="Times New Roman" w:hAnsi="Times New Roman" w:cs="Times New Roman"/>
          <w:iCs/>
          <w:color w:val="222222"/>
          <w:sz w:val="24"/>
          <w:szCs w:val="24"/>
        </w:rPr>
        <w:t xml:space="preserve">Environ </w:t>
      </w:r>
      <w:proofErr w:type="spellStart"/>
      <w:r>
        <w:rPr>
          <w:rFonts w:ascii="Times New Roman" w:eastAsia="Times New Roman" w:hAnsi="Times New Roman" w:cs="Times New Roman"/>
          <w:iCs/>
          <w:color w:val="222222"/>
          <w:sz w:val="24"/>
          <w:szCs w:val="24"/>
        </w:rPr>
        <w:t>Toxicol</w:t>
      </w:r>
      <w:proofErr w:type="spellEnd"/>
      <w:r>
        <w:rPr>
          <w:rFonts w:ascii="Times New Roman" w:eastAsia="Times New Roman" w:hAnsi="Times New Roman" w:cs="Times New Roman"/>
          <w:iCs/>
          <w:color w:val="222222"/>
          <w:sz w:val="24"/>
          <w:szCs w:val="24"/>
        </w:rPr>
        <w:t xml:space="preserve"> Chem. 9</w:t>
      </w:r>
      <w:r>
        <w:rPr>
          <w:rFonts w:ascii="Times New Roman" w:eastAsia="Times New Roman" w:hAnsi="Times New Roman" w:cs="Times New Roman"/>
          <w:color w:val="222222"/>
          <w:sz w:val="24"/>
          <w:szCs w:val="24"/>
        </w:rPr>
        <w:t xml:space="preserve">(1), 3-11. </w:t>
      </w:r>
    </w:p>
    <w:p w14:paraId="7598C249"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Domenici, P., &amp; Hale, M. E. (2019). Escape responses of fish: a review of the diversity in motor control, kinematics and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J Exp Biol. 222(18), jeb166009. </w:t>
      </w:r>
    </w:p>
    <w:p w14:paraId="006269C1"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Døving</w:t>
      </w:r>
      <w:proofErr w:type="spellEnd"/>
      <w:r>
        <w:rPr>
          <w:rFonts w:ascii="Times New Roman" w:eastAsia="Times New Roman" w:hAnsi="Times New Roman" w:cs="Times New Roman"/>
          <w:color w:val="222222"/>
          <w:sz w:val="24"/>
          <w:szCs w:val="24"/>
        </w:rPr>
        <w:t xml:space="preserve">, K. B., Westerberg, H., &amp; Johnsen, P. B. (1985). Role of olfaction in the behavioral and neuronal responses of Atlantic salmon, </w:t>
      </w:r>
      <w:r>
        <w:rPr>
          <w:rFonts w:ascii="Times New Roman" w:eastAsia="Times New Roman" w:hAnsi="Times New Roman" w:cs="Times New Roman"/>
          <w:i/>
          <w:iCs/>
          <w:color w:val="222222"/>
          <w:sz w:val="24"/>
          <w:szCs w:val="24"/>
        </w:rPr>
        <w:t xml:space="preserve">Salmo </w:t>
      </w:r>
      <w:proofErr w:type="spellStart"/>
      <w:r>
        <w:rPr>
          <w:rFonts w:ascii="Times New Roman" w:eastAsia="Times New Roman" w:hAnsi="Times New Roman" w:cs="Times New Roman"/>
          <w:i/>
          <w:iCs/>
          <w:color w:val="222222"/>
          <w:sz w:val="24"/>
          <w:szCs w:val="24"/>
        </w:rPr>
        <w:t>salar</w:t>
      </w:r>
      <w:proofErr w:type="spellEnd"/>
      <w:r>
        <w:rPr>
          <w:rFonts w:ascii="Times New Roman" w:eastAsia="Times New Roman" w:hAnsi="Times New Roman" w:cs="Times New Roman"/>
          <w:color w:val="222222"/>
          <w:sz w:val="24"/>
          <w:szCs w:val="24"/>
        </w:rPr>
        <w:t>, to hydrographic stratification. </w:t>
      </w:r>
      <w:r>
        <w:rPr>
          <w:rFonts w:ascii="Times New Roman" w:eastAsia="Times New Roman" w:hAnsi="Times New Roman" w:cs="Times New Roman"/>
          <w:iCs/>
          <w:color w:val="222222"/>
          <w:sz w:val="24"/>
          <w:szCs w:val="24"/>
        </w:rPr>
        <w:t xml:space="preserve">Can J Fish </w:t>
      </w:r>
      <w:proofErr w:type="spellStart"/>
      <w:r>
        <w:rPr>
          <w:rFonts w:ascii="Times New Roman" w:eastAsia="Times New Roman" w:hAnsi="Times New Roman" w:cs="Times New Roman"/>
          <w:iCs/>
          <w:color w:val="222222"/>
          <w:sz w:val="24"/>
          <w:szCs w:val="24"/>
        </w:rPr>
        <w:t>Aquat</w:t>
      </w:r>
      <w:proofErr w:type="spellEnd"/>
      <w:r>
        <w:rPr>
          <w:rFonts w:ascii="Times New Roman" w:eastAsia="Times New Roman" w:hAnsi="Times New Roman" w:cs="Times New Roman"/>
          <w:iCs/>
          <w:color w:val="222222"/>
          <w:sz w:val="24"/>
          <w:szCs w:val="24"/>
        </w:rPr>
        <w:t xml:space="preserve"> Sci. 42(</w:t>
      </w:r>
      <w:r>
        <w:rPr>
          <w:rFonts w:ascii="Times New Roman" w:eastAsia="Times New Roman" w:hAnsi="Times New Roman" w:cs="Times New Roman"/>
          <w:color w:val="222222"/>
          <w:sz w:val="24"/>
          <w:szCs w:val="24"/>
        </w:rPr>
        <w:t xml:space="preserve">10), 1658-1667. </w:t>
      </w:r>
    </w:p>
    <w:p w14:paraId="5A7FAEB5"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DPR Pesticide Chemistry Database. Environmental Monitoring Branch, Department of Pesticide Regulation. (2003). </w:t>
      </w:r>
    </w:p>
    <w:p w14:paraId="6F5E4C4A"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EXTOXNET (1996). A Pesticide Information Project of Cooperative Extension Offices of Cornell University, Michigan State University, Oregon State University, and University of California at Davis. </w:t>
      </w:r>
    </w:p>
    <w:p w14:paraId="0FA1A8C0"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Finney, D. J (1997). Probit Analysis. Univ. Press, Cambridge, 333.</w:t>
      </w:r>
    </w:p>
    <w:p w14:paraId="47D37696"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Ford, A. T., </w:t>
      </w:r>
      <w:proofErr w:type="spellStart"/>
      <w:r>
        <w:rPr>
          <w:rFonts w:ascii="Times New Roman" w:hAnsi="Times New Roman" w:cs="Times New Roman"/>
          <w:sz w:val="24"/>
          <w:szCs w:val="24"/>
        </w:rPr>
        <w:t>Ågerstrand</w:t>
      </w:r>
      <w:proofErr w:type="spellEnd"/>
      <w:r>
        <w:rPr>
          <w:rFonts w:ascii="Times New Roman" w:hAnsi="Times New Roman" w:cs="Times New Roman"/>
          <w:sz w:val="24"/>
          <w:szCs w:val="24"/>
        </w:rPr>
        <w:t>, M., Brooks, B. W., Allen, J., Bertram, M. G., Brodin, T., &amp; Maack, G. (2021). The role of behavioral ecotoxicology in environmental protection. Enviro Sci Technol. 55(9), 5620-5628.</w:t>
      </w:r>
    </w:p>
    <w:p w14:paraId="1679321C"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Gerhardt, A. (2007). Aquatic behavioral ecotoxicology—prospects and limitations. </w:t>
      </w:r>
      <w:r>
        <w:rPr>
          <w:rFonts w:ascii="Times New Roman" w:eastAsia="Times New Roman" w:hAnsi="Times New Roman" w:cs="Times New Roman"/>
          <w:iCs/>
          <w:color w:val="222222"/>
          <w:sz w:val="24"/>
          <w:szCs w:val="24"/>
        </w:rPr>
        <w:t xml:space="preserve">Hum </w:t>
      </w:r>
      <w:proofErr w:type="spellStart"/>
      <w:r>
        <w:rPr>
          <w:rFonts w:ascii="Times New Roman" w:eastAsia="Times New Roman" w:hAnsi="Times New Roman" w:cs="Times New Roman"/>
          <w:iCs/>
          <w:color w:val="222222"/>
          <w:sz w:val="24"/>
          <w:szCs w:val="24"/>
        </w:rPr>
        <w:t>Ecol</w:t>
      </w:r>
      <w:proofErr w:type="spellEnd"/>
      <w:r>
        <w:rPr>
          <w:rFonts w:ascii="Times New Roman" w:eastAsia="Times New Roman" w:hAnsi="Times New Roman" w:cs="Times New Roman"/>
          <w:iCs/>
          <w:color w:val="222222"/>
          <w:sz w:val="24"/>
          <w:szCs w:val="24"/>
        </w:rPr>
        <w:t xml:space="preserve"> Risk Assess. 13</w:t>
      </w:r>
      <w:r>
        <w:rPr>
          <w:rFonts w:ascii="Times New Roman" w:eastAsia="Times New Roman" w:hAnsi="Times New Roman" w:cs="Times New Roman"/>
          <w:color w:val="222222"/>
          <w:sz w:val="24"/>
          <w:szCs w:val="24"/>
        </w:rPr>
        <w:t xml:space="preserve">(3), 481-491. </w:t>
      </w:r>
    </w:p>
    <w:p w14:paraId="428418F0"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Giacomazzi, S., &amp; Cochet, N. (2004). Environmental impact of diuron transformation: a review. </w:t>
      </w:r>
      <w:r>
        <w:rPr>
          <w:rFonts w:ascii="Times New Roman" w:eastAsia="Times New Roman" w:hAnsi="Times New Roman" w:cs="Times New Roman"/>
          <w:iCs/>
          <w:color w:val="222222"/>
          <w:sz w:val="24"/>
          <w:szCs w:val="24"/>
        </w:rPr>
        <w:t>Chemosphere, 56(</w:t>
      </w:r>
      <w:r>
        <w:rPr>
          <w:rFonts w:ascii="Times New Roman" w:eastAsia="Times New Roman" w:hAnsi="Times New Roman" w:cs="Times New Roman"/>
          <w:color w:val="222222"/>
          <w:sz w:val="24"/>
          <w:szCs w:val="24"/>
        </w:rPr>
        <w:t xml:space="preserve">11), 1021-1032. </w:t>
      </w:r>
    </w:p>
    <w:p w14:paraId="60BD94F0"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Graham, C., von </w:t>
      </w:r>
      <w:proofErr w:type="spellStart"/>
      <w:r>
        <w:rPr>
          <w:rFonts w:ascii="Times New Roman" w:eastAsia="SimSun" w:hAnsi="Times New Roman" w:cs="Times New Roman"/>
          <w:color w:val="222222"/>
          <w:sz w:val="24"/>
          <w:szCs w:val="24"/>
          <w:shd w:val="clear" w:color="auto" w:fill="FFFFFF"/>
        </w:rPr>
        <w:t>Keyserlingk</w:t>
      </w:r>
      <w:proofErr w:type="spellEnd"/>
      <w:r>
        <w:rPr>
          <w:rFonts w:ascii="Times New Roman" w:eastAsia="SimSun" w:hAnsi="Times New Roman" w:cs="Times New Roman"/>
          <w:color w:val="222222"/>
          <w:sz w:val="24"/>
          <w:szCs w:val="24"/>
          <w:shd w:val="clear" w:color="auto" w:fill="FFFFFF"/>
        </w:rPr>
        <w:t xml:space="preserve">, M. A., &amp; Franks, B. (2018). Free-choice exploration increases affiliative </w:t>
      </w:r>
      <w:proofErr w:type="spellStart"/>
      <w:r>
        <w:rPr>
          <w:rFonts w:ascii="Times New Roman" w:eastAsia="SimSun" w:hAnsi="Times New Roman" w:cs="Times New Roman"/>
          <w:color w:val="222222"/>
          <w:sz w:val="24"/>
          <w:szCs w:val="24"/>
          <w:shd w:val="clear" w:color="auto" w:fill="FFFFFF"/>
        </w:rPr>
        <w:t>behaviour</w:t>
      </w:r>
      <w:proofErr w:type="spellEnd"/>
      <w:r>
        <w:rPr>
          <w:rFonts w:ascii="Times New Roman" w:eastAsia="SimSun" w:hAnsi="Times New Roman" w:cs="Times New Roman"/>
          <w:color w:val="222222"/>
          <w:sz w:val="24"/>
          <w:szCs w:val="24"/>
          <w:shd w:val="clear" w:color="auto" w:fill="FFFFFF"/>
        </w:rPr>
        <w:t xml:space="preserve"> in zebrafish. Appl Anim Behav Sci. 203, 103-110. </w:t>
      </w:r>
    </w:p>
    <w:p w14:paraId="6407AEA6"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lastRenderedPageBreak/>
        <w:t xml:space="preserve">Hanapiah, M., Zulkifli, S. Z., Shahrun, M. S., </w:t>
      </w:r>
      <w:proofErr w:type="spellStart"/>
      <w:r>
        <w:rPr>
          <w:rFonts w:ascii="Times New Roman" w:eastAsia="Times New Roman" w:hAnsi="Times New Roman" w:cs="Times New Roman"/>
          <w:color w:val="222222"/>
          <w:sz w:val="24"/>
          <w:szCs w:val="24"/>
        </w:rPr>
        <w:t>Mohamat</w:t>
      </w:r>
      <w:proofErr w:type="spellEnd"/>
      <w:r>
        <w:rPr>
          <w:rFonts w:ascii="Times New Roman" w:eastAsia="Times New Roman" w:hAnsi="Times New Roman" w:cs="Times New Roman"/>
          <w:color w:val="222222"/>
          <w:sz w:val="24"/>
          <w:szCs w:val="24"/>
        </w:rPr>
        <w:t xml:space="preserve">-Yusuff, F., Ismail, A., </w:t>
      </w:r>
      <w:proofErr w:type="spellStart"/>
      <w:r>
        <w:rPr>
          <w:rFonts w:ascii="Times New Roman" w:eastAsia="Times New Roman" w:hAnsi="Times New Roman" w:cs="Times New Roman"/>
          <w:color w:val="222222"/>
          <w:sz w:val="24"/>
          <w:szCs w:val="24"/>
        </w:rPr>
        <w:t>Harino</w:t>
      </w:r>
      <w:proofErr w:type="spellEnd"/>
      <w:r>
        <w:rPr>
          <w:rFonts w:ascii="Times New Roman" w:eastAsia="Times New Roman" w:hAnsi="Times New Roman" w:cs="Times New Roman"/>
          <w:color w:val="222222"/>
          <w:sz w:val="24"/>
          <w:szCs w:val="24"/>
        </w:rPr>
        <w:t xml:space="preserve">, H., &amp; </w:t>
      </w:r>
      <w:proofErr w:type="spellStart"/>
      <w:r>
        <w:rPr>
          <w:rFonts w:ascii="Times New Roman" w:eastAsia="Times New Roman" w:hAnsi="Times New Roman" w:cs="Times New Roman"/>
          <w:color w:val="222222"/>
          <w:sz w:val="24"/>
          <w:szCs w:val="24"/>
        </w:rPr>
        <w:t>Inoe</w:t>
      </w:r>
      <w:proofErr w:type="spellEnd"/>
      <w:r>
        <w:rPr>
          <w:rFonts w:ascii="Times New Roman" w:eastAsia="Times New Roman" w:hAnsi="Times New Roman" w:cs="Times New Roman"/>
          <w:color w:val="222222"/>
          <w:sz w:val="24"/>
          <w:szCs w:val="24"/>
        </w:rPr>
        <w:t xml:space="preserve">, K. (2017). Concentration of antifoulant herbicides, Diuron in the vicinity of Port Klang, </w:t>
      </w:r>
      <w:r>
        <w:rPr>
          <w:rFonts w:ascii="Times New Roman" w:eastAsia="Times New Roman" w:hAnsi="Times New Roman" w:cs="Times New Roman"/>
          <w:sz w:val="24"/>
          <w:szCs w:val="24"/>
        </w:rPr>
        <w:t>Malaysia. </w:t>
      </w:r>
      <w:proofErr w:type="spellStart"/>
      <w:r>
        <w:rPr>
          <w:rFonts w:ascii="Times New Roman" w:eastAsia="Times New Roman" w:hAnsi="Times New Roman" w:cs="Times New Roman"/>
          <w:iCs/>
          <w:sz w:val="24"/>
          <w:szCs w:val="24"/>
        </w:rPr>
        <w:t>Isu-isu</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terkini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penyelidikan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saintifik</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sains</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marin</w:t>
      </w:r>
      <w:proofErr w:type="spellEnd"/>
      <w:r>
        <w:rPr>
          <w:rFonts w:ascii="Times New Roman" w:eastAsia="Times New Roman" w:hAnsi="Times New Roman" w:cs="Times New Roman"/>
          <w:iCs/>
          <w:sz w:val="24"/>
          <w:szCs w:val="24"/>
        </w:rPr>
        <w:t xml:space="preserve"> di Malaysia, 1</w:t>
      </w:r>
      <w:r>
        <w:rPr>
          <w:rFonts w:ascii="Times New Roman" w:eastAsia="Times New Roman" w:hAnsi="Times New Roman" w:cs="Times New Roman"/>
          <w:sz w:val="24"/>
          <w:szCs w:val="24"/>
        </w:rPr>
        <w:t>, 35-38.</w:t>
      </w:r>
    </w:p>
    <w:p w14:paraId="15C412FD"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Hart, W. B., Weston, R. F., &amp; Demann, J. G. (1948). An apparatus for oxygenating test solutions in which fish are used as test animals for evaluating toxicity. </w:t>
      </w:r>
      <w:r>
        <w:rPr>
          <w:rFonts w:ascii="Times New Roman" w:eastAsia="Times New Roman" w:hAnsi="Times New Roman" w:cs="Times New Roman"/>
          <w:iCs/>
          <w:color w:val="222222"/>
          <w:sz w:val="24"/>
          <w:szCs w:val="24"/>
        </w:rPr>
        <w:t>Trans Am Fish Soc. 75</w:t>
      </w:r>
      <w:r>
        <w:rPr>
          <w:rFonts w:ascii="Times New Roman" w:eastAsia="Times New Roman" w:hAnsi="Times New Roman" w:cs="Times New Roman"/>
          <w:color w:val="222222"/>
          <w:sz w:val="24"/>
          <w:szCs w:val="24"/>
        </w:rPr>
        <w:t xml:space="preserve">(1), 228-236. </w:t>
      </w:r>
    </w:p>
    <w:p w14:paraId="1E1930FB"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Henry, M.G., &amp; Atchison, G.J. (1986). Behavioral changes in social groups of bluegills exposed to copper. Trans Am Fish Soc. 115(4),590-595.</w:t>
      </w:r>
      <w:r>
        <w:rPr>
          <w:rFonts w:ascii="Times New Roman" w:eastAsia="Times New Roman" w:hAnsi="Times New Roman" w:cs="Times New Roman"/>
          <w:sz w:val="24"/>
          <w:szCs w:val="24"/>
        </w:rPr>
        <w:t xml:space="preserve"> </w:t>
      </w:r>
    </w:p>
    <w:p w14:paraId="4778C215"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IJC (1997) New and Revised Great Lakes Water Quality Objectives. Windsor, Ontario.</w:t>
      </w:r>
    </w:p>
    <w:p w14:paraId="7EBA829B"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Jacquin, L., Petitjean, Q., Côte, J., </w:t>
      </w:r>
      <w:proofErr w:type="spellStart"/>
      <w:r>
        <w:rPr>
          <w:rFonts w:ascii="Times New Roman" w:eastAsia="Times New Roman" w:hAnsi="Times New Roman" w:cs="Times New Roman"/>
          <w:color w:val="222222"/>
          <w:sz w:val="24"/>
          <w:szCs w:val="24"/>
        </w:rPr>
        <w:t>Laffaille</w:t>
      </w:r>
      <w:proofErr w:type="spellEnd"/>
      <w:r>
        <w:rPr>
          <w:rFonts w:ascii="Times New Roman" w:eastAsia="Times New Roman" w:hAnsi="Times New Roman" w:cs="Times New Roman"/>
          <w:color w:val="222222"/>
          <w:sz w:val="24"/>
          <w:szCs w:val="24"/>
        </w:rPr>
        <w:t xml:space="preserve">, P., &amp; Jean, S. (2020). Effects of pollution on fish behavior, personality, and cognition: some research perspectives. Front </w:t>
      </w:r>
      <w:proofErr w:type="spellStart"/>
      <w:r>
        <w:rPr>
          <w:rFonts w:ascii="Times New Roman" w:eastAsia="Times New Roman" w:hAnsi="Times New Roman" w:cs="Times New Roman"/>
          <w:color w:val="222222"/>
          <w:sz w:val="24"/>
          <w:szCs w:val="24"/>
        </w:rPr>
        <w:t>Ecol</w:t>
      </w:r>
      <w:proofErr w:type="spellEnd"/>
      <w:r>
        <w:rPr>
          <w:rFonts w:ascii="Times New Roman" w:eastAsia="Times New Roman" w:hAnsi="Times New Roman" w:cs="Times New Roman"/>
          <w:color w:val="222222"/>
          <w:sz w:val="24"/>
          <w:szCs w:val="24"/>
        </w:rPr>
        <w:t xml:space="preserve"> Evol, 86. </w:t>
      </w:r>
    </w:p>
    <w:p w14:paraId="5431727D" w14:textId="77777777" w:rsidR="002E79F6" w:rsidRDefault="00021946">
      <w:pPr>
        <w:spacing w:line="360" w:lineRule="auto"/>
        <w:ind w:left="720" w:hanging="720"/>
        <w:jc w:val="both"/>
        <w:rPr>
          <w:rFonts w:ascii="Times New Roman" w:eastAsia="Times New Roman" w:hAnsi="Times New Roman" w:cs="Times New Roman"/>
          <w:iCs/>
          <w:sz w:val="24"/>
          <w:szCs w:val="24"/>
        </w:rPr>
      </w:pPr>
      <w:r>
        <w:rPr>
          <w:rFonts w:ascii="Times New Roman" w:eastAsia="Times New Roman" w:hAnsi="Times New Roman" w:cs="Times New Roman"/>
          <w:color w:val="222222"/>
          <w:sz w:val="24"/>
          <w:szCs w:val="24"/>
        </w:rPr>
        <w:t>Johnson, W. W., &amp; Finley, M. T. (1980). </w:t>
      </w:r>
      <w:r>
        <w:rPr>
          <w:rFonts w:ascii="Times New Roman" w:eastAsia="Times New Roman" w:hAnsi="Times New Roman" w:cs="Times New Roman"/>
          <w:iCs/>
          <w:color w:val="222222"/>
          <w:sz w:val="24"/>
          <w:szCs w:val="24"/>
        </w:rPr>
        <w:t>Handbook of acute toxicity of chemicals to fish and aquatic invertebrates: Summaries of toxicity tests conducted at Columbia National Fisheries Research Laboratory, 1965-78 (Vol. 137). US Department of the Interior, Fish and Wildlife service.</w:t>
      </w:r>
    </w:p>
    <w:p w14:paraId="0801FAC2"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Kamarudin, N. A., Zulkifli, S. Z., Aziz, F. Z. A., &amp; Ismail, A. (2019). Histological alterations in liver and kidney of Javanese medaka (</w:t>
      </w:r>
      <w:proofErr w:type="spellStart"/>
      <w:r>
        <w:rPr>
          <w:rFonts w:ascii="Times New Roman" w:eastAsia="Times New Roman" w:hAnsi="Times New Roman" w:cs="Times New Roman"/>
          <w:i/>
          <w:iCs/>
          <w:color w:val="222222"/>
          <w:sz w:val="24"/>
          <w:szCs w:val="24"/>
        </w:rPr>
        <w:t>Oryzias</w:t>
      </w:r>
      <w:proofErr w:type="spellEnd"/>
      <w:r>
        <w:rPr>
          <w:rFonts w:ascii="Times New Roman" w:eastAsia="Times New Roman" w:hAnsi="Times New Roman" w:cs="Times New Roman"/>
          <w:i/>
          <w:iCs/>
          <w:color w:val="222222"/>
          <w:sz w:val="24"/>
          <w:szCs w:val="24"/>
        </w:rPr>
        <w:t xml:space="preserve"> javanicus</w:t>
      </w:r>
      <w:r>
        <w:rPr>
          <w:rFonts w:ascii="Times New Roman" w:eastAsia="Times New Roman" w:hAnsi="Times New Roman" w:cs="Times New Roman"/>
          <w:color w:val="222222"/>
          <w:sz w:val="24"/>
          <w:szCs w:val="24"/>
        </w:rPr>
        <w:t>, Bleeker 1854) exposed to sublethal concentration of herbicide Diuron. </w:t>
      </w:r>
      <w:proofErr w:type="spellStart"/>
      <w:r>
        <w:rPr>
          <w:rFonts w:ascii="Times New Roman" w:eastAsia="Times New Roman" w:hAnsi="Times New Roman" w:cs="Times New Roman"/>
          <w:iCs/>
          <w:color w:val="222222"/>
          <w:sz w:val="24"/>
          <w:szCs w:val="24"/>
        </w:rPr>
        <w:t>Pertanika</w:t>
      </w:r>
      <w:proofErr w:type="spellEnd"/>
      <w:r>
        <w:rPr>
          <w:rFonts w:ascii="Times New Roman" w:eastAsia="Times New Roman" w:hAnsi="Times New Roman" w:cs="Times New Roman"/>
          <w:iCs/>
          <w:color w:val="222222"/>
          <w:sz w:val="24"/>
          <w:szCs w:val="24"/>
        </w:rPr>
        <w:t xml:space="preserve"> J Sci Technol. 27</w:t>
      </w:r>
      <w:r>
        <w:rPr>
          <w:rFonts w:ascii="Times New Roman" w:eastAsia="Times New Roman" w:hAnsi="Times New Roman" w:cs="Times New Roman"/>
          <w:color w:val="222222"/>
          <w:sz w:val="24"/>
          <w:szCs w:val="24"/>
        </w:rPr>
        <w:t xml:space="preserve">(3), 1041-1050. </w:t>
      </w:r>
    </w:p>
    <w:p w14:paraId="4EFD93AE"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Kamarudin, N. A., Zulkifli, S. Z., </w:t>
      </w:r>
      <w:proofErr w:type="spellStart"/>
      <w:r>
        <w:rPr>
          <w:rFonts w:ascii="Times New Roman" w:eastAsia="Times New Roman" w:hAnsi="Times New Roman" w:cs="Times New Roman"/>
          <w:color w:val="222222"/>
          <w:sz w:val="24"/>
          <w:szCs w:val="24"/>
        </w:rPr>
        <w:t>Azmai</w:t>
      </w:r>
      <w:proofErr w:type="spellEnd"/>
      <w:r>
        <w:rPr>
          <w:rFonts w:ascii="Times New Roman" w:eastAsia="Times New Roman" w:hAnsi="Times New Roman" w:cs="Times New Roman"/>
          <w:color w:val="222222"/>
          <w:sz w:val="24"/>
          <w:szCs w:val="24"/>
        </w:rPr>
        <w:t xml:space="preserve">, M. N. A., Abdul Aziz, F. Z., &amp; Ismail, A. (2020). Herbicide diuron as endocrine disrupting chemicals (EDCs) through </w:t>
      </w:r>
      <w:proofErr w:type="spellStart"/>
      <w:r>
        <w:rPr>
          <w:rFonts w:ascii="Times New Roman" w:eastAsia="Times New Roman" w:hAnsi="Times New Roman" w:cs="Times New Roman"/>
          <w:color w:val="222222"/>
          <w:sz w:val="24"/>
          <w:szCs w:val="24"/>
        </w:rPr>
        <w:t>histopathalogical</w:t>
      </w:r>
      <w:proofErr w:type="spellEnd"/>
      <w:r>
        <w:rPr>
          <w:rFonts w:ascii="Times New Roman" w:eastAsia="Times New Roman" w:hAnsi="Times New Roman" w:cs="Times New Roman"/>
          <w:color w:val="222222"/>
          <w:sz w:val="24"/>
          <w:szCs w:val="24"/>
        </w:rPr>
        <w:t xml:space="preserve"> analysis in gonads of Javanese medaka (</w:t>
      </w:r>
      <w:proofErr w:type="spellStart"/>
      <w:r>
        <w:rPr>
          <w:rFonts w:ascii="Times New Roman" w:eastAsia="Times New Roman" w:hAnsi="Times New Roman" w:cs="Times New Roman"/>
          <w:i/>
          <w:color w:val="222222"/>
          <w:sz w:val="24"/>
          <w:szCs w:val="24"/>
        </w:rPr>
        <w:t>Oryzias</w:t>
      </w:r>
      <w:proofErr w:type="spellEnd"/>
      <w:r>
        <w:rPr>
          <w:rFonts w:ascii="Times New Roman" w:eastAsia="Times New Roman" w:hAnsi="Times New Roman" w:cs="Times New Roman"/>
          <w:i/>
          <w:color w:val="222222"/>
          <w:sz w:val="24"/>
          <w:szCs w:val="24"/>
        </w:rPr>
        <w:t xml:space="preserve"> javanicus</w:t>
      </w:r>
      <w:r>
        <w:rPr>
          <w:rFonts w:ascii="Times New Roman" w:eastAsia="Times New Roman" w:hAnsi="Times New Roman" w:cs="Times New Roman"/>
          <w:color w:val="222222"/>
          <w:sz w:val="24"/>
          <w:szCs w:val="24"/>
        </w:rPr>
        <w:t>, Bleeker 1854). </w:t>
      </w:r>
      <w:r>
        <w:rPr>
          <w:rFonts w:ascii="Times New Roman" w:eastAsia="Times New Roman" w:hAnsi="Times New Roman" w:cs="Times New Roman"/>
          <w:iCs/>
          <w:color w:val="222222"/>
          <w:sz w:val="24"/>
          <w:szCs w:val="24"/>
        </w:rPr>
        <w:t>Animals, 10</w:t>
      </w:r>
      <w:r>
        <w:rPr>
          <w:rFonts w:ascii="Times New Roman" w:eastAsia="Times New Roman" w:hAnsi="Times New Roman" w:cs="Times New Roman"/>
          <w:color w:val="222222"/>
          <w:sz w:val="24"/>
          <w:szCs w:val="24"/>
        </w:rPr>
        <w:t xml:space="preserve">(3), 525. </w:t>
      </w:r>
    </w:p>
    <w:p w14:paraId="711764AE"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Kaonga, C. C., Takeda, K., &amp; </w:t>
      </w:r>
      <w:proofErr w:type="spellStart"/>
      <w:r>
        <w:rPr>
          <w:rFonts w:ascii="Times New Roman" w:eastAsia="Times New Roman" w:hAnsi="Times New Roman" w:cs="Times New Roman"/>
          <w:color w:val="222222"/>
          <w:sz w:val="24"/>
          <w:szCs w:val="24"/>
        </w:rPr>
        <w:t>Sakugawa</w:t>
      </w:r>
      <w:proofErr w:type="spellEnd"/>
      <w:r>
        <w:rPr>
          <w:rFonts w:ascii="Times New Roman" w:eastAsia="Times New Roman" w:hAnsi="Times New Roman" w:cs="Times New Roman"/>
          <w:color w:val="222222"/>
          <w:sz w:val="24"/>
          <w:szCs w:val="24"/>
        </w:rPr>
        <w:t>, H. (2015). Antifouling agents and Fenitrothion contamination in seawater, sediment, plankton, fish and selected marine animals from the Seto Inland Sea, Japan. </w:t>
      </w:r>
      <w:r>
        <w:rPr>
          <w:rFonts w:ascii="Times New Roman" w:eastAsia="Times New Roman" w:hAnsi="Times New Roman" w:cs="Times New Roman"/>
          <w:iCs/>
          <w:color w:val="222222"/>
          <w:sz w:val="24"/>
          <w:szCs w:val="24"/>
        </w:rPr>
        <w:t>Geochem. J., 49(</w:t>
      </w:r>
      <w:r>
        <w:rPr>
          <w:rFonts w:ascii="Times New Roman" w:eastAsia="Times New Roman" w:hAnsi="Times New Roman" w:cs="Times New Roman"/>
          <w:color w:val="222222"/>
          <w:sz w:val="24"/>
          <w:szCs w:val="24"/>
        </w:rPr>
        <w:t xml:space="preserve">1), 23-37. </w:t>
      </w:r>
    </w:p>
    <w:p w14:paraId="297E6BB0" w14:textId="77777777" w:rsidR="002E79F6" w:rsidRDefault="00021946">
      <w:pPr>
        <w:spacing w:line="360" w:lineRule="auto"/>
        <w:ind w:left="720" w:hanging="720"/>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Kasumyan</w:t>
      </w:r>
      <w:proofErr w:type="spellEnd"/>
      <w:r>
        <w:rPr>
          <w:rFonts w:ascii="Times New Roman" w:eastAsia="Times New Roman" w:hAnsi="Times New Roman" w:cs="Times New Roman"/>
          <w:color w:val="222222"/>
          <w:sz w:val="24"/>
          <w:szCs w:val="24"/>
        </w:rPr>
        <w:t xml:space="preserve">, A. O., </w:t>
      </w:r>
      <w:proofErr w:type="spellStart"/>
      <w:r>
        <w:rPr>
          <w:rFonts w:ascii="Times New Roman" w:eastAsia="Times New Roman" w:hAnsi="Times New Roman" w:cs="Times New Roman"/>
          <w:color w:val="222222"/>
          <w:sz w:val="24"/>
          <w:szCs w:val="24"/>
        </w:rPr>
        <w:t>Malyukina</w:t>
      </w:r>
      <w:proofErr w:type="spellEnd"/>
      <w:r>
        <w:rPr>
          <w:rFonts w:ascii="Times New Roman" w:eastAsia="Times New Roman" w:hAnsi="Times New Roman" w:cs="Times New Roman"/>
          <w:color w:val="222222"/>
          <w:sz w:val="24"/>
          <w:szCs w:val="24"/>
        </w:rPr>
        <w:t xml:space="preserve">, G. A., </w:t>
      </w:r>
      <w:proofErr w:type="spellStart"/>
      <w:r>
        <w:rPr>
          <w:rFonts w:ascii="Times New Roman" w:eastAsia="Times New Roman" w:hAnsi="Times New Roman" w:cs="Times New Roman"/>
          <w:color w:val="222222"/>
          <w:sz w:val="24"/>
          <w:szCs w:val="24"/>
        </w:rPr>
        <w:t>Devitsina</w:t>
      </w:r>
      <w:proofErr w:type="spellEnd"/>
      <w:r>
        <w:rPr>
          <w:rFonts w:ascii="Times New Roman" w:eastAsia="Times New Roman" w:hAnsi="Times New Roman" w:cs="Times New Roman"/>
          <w:color w:val="222222"/>
          <w:sz w:val="24"/>
          <w:szCs w:val="24"/>
        </w:rPr>
        <w:t xml:space="preserve">, G. V., Marusov, E. A., Lebedeva, N. E., </w:t>
      </w:r>
      <w:proofErr w:type="spellStart"/>
      <w:r>
        <w:rPr>
          <w:rFonts w:ascii="Times New Roman" w:eastAsia="Times New Roman" w:hAnsi="Times New Roman" w:cs="Times New Roman"/>
          <w:color w:val="222222"/>
          <w:sz w:val="24"/>
          <w:szCs w:val="24"/>
        </w:rPr>
        <w:t>Chervova</w:t>
      </w:r>
      <w:proofErr w:type="spellEnd"/>
      <w:r>
        <w:rPr>
          <w:rFonts w:ascii="Times New Roman" w:eastAsia="Times New Roman" w:hAnsi="Times New Roman" w:cs="Times New Roman"/>
          <w:color w:val="222222"/>
          <w:sz w:val="24"/>
          <w:szCs w:val="24"/>
        </w:rPr>
        <w:t xml:space="preserve">, L. S., &amp; Golubev, A. V. (1999). Chemosensory systems in fishes: </w:t>
      </w:r>
      <w:r>
        <w:rPr>
          <w:rFonts w:ascii="Times New Roman" w:eastAsia="Times New Roman" w:hAnsi="Times New Roman" w:cs="Times New Roman"/>
          <w:color w:val="222222"/>
          <w:sz w:val="24"/>
          <w:szCs w:val="24"/>
        </w:rPr>
        <w:lastRenderedPageBreak/>
        <w:t xml:space="preserve">morphology, physiology, and role in </w:t>
      </w:r>
      <w:proofErr w:type="spellStart"/>
      <w:r>
        <w:rPr>
          <w:rFonts w:ascii="Times New Roman" w:eastAsia="Times New Roman" w:hAnsi="Times New Roman" w:cs="Times New Roman"/>
          <w:color w:val="222222"/>
          <w:sz w:val="24"/>
          <w:szCs w:val="24"/>
        </w:rPr>
        <w:t>behaviour</w:t>
      </w:r>
      <w:proofErr w:type="spellEnd"/>
      <w:r>
        <w:rPr>
          <w:rFonts w:ascii="Times New Roman" w:eastAsia="Times New Roman" w:hAnsi="Times New Roman" w:cs="Times New Roman"/>
          <w:color w:val="222222"/>
          <w:sz w:val="24"/>
          <w:szCs w:val="24"/>
        </w:rPr>
        <w:t>. Ichthyology: recent research advances, 117-144.</w:t>
      </w:r>
    </w:p>
    <w:p w14:paraId="71F5F7CE"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Kollman, W. S., &amp; Segawa, R. (1995). Interim report of the pesticide chemistry database. Environmental Hazards Assessment Program, State of California, Environmental Protection Agency, Department of Pesticide Regulation, Environmental Monitoring and Pest Management Branch.</w:t>
      </w:r>
    </w:p>
    <w:p w14:paraId="043094DF"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Lazhar</w:t>
      </w:r>
      <w:proofErr w:type="spellEnd"/>
      <w:r>
        <w:rPr>
          <w:rFonts w:ascii="Times New Roman" w:eastAsia="Times New Roman" w:hAnsi="Times New Roman" w:cs="Times New Roman"/>
          <w:color w:val="222222"/>
          <w:sz w:val="24"/>
          <w:szCs w:val="24"/>
        </w:rPr>
        <w:t xml:space="preserve">, M., Hela, T., Moncef, B., &amp; </w:t>
      </w:r>
      <w:proofErr w:type="spellStart"/>
      <w:r>
        <w:rPr>
          <w:rFonts w:ascii="Times New Roman" w:eastAsia="Times New Roman" w:hAnsi="Times New Roman" w:cs="Times New Roman"/>
          <w:color w:val="222222"/>
          <w:sz w:val="24"/>
          <w:szCs w:val="24"/>
        </w:rPr>
        <w:t>Néji</w:t>
      </w:r>
      <w:proofErr w:type="spellEnd"/>
      <w:r>
        <w:rPr>
          <w:rFonts w:ascii="Times New Roman" w:eastAsia="Times New Roman" w:hAnsi="Times New Roman" w:cs="Times New Roman"/>
          <w:color w:val="222222"/>
          <w:sz w:val="24"/>
          <w:szCs w:val="24"/>
        </w:rPr>
        <w:t xml:space="preserve">, A. (2012). Toxicity of three selected pesticides (Alachlor, Atrazine and Diuron) to the marine fish (turbot </w:t>
      </w:r>
      <w:r>
        <w:rPr>
          <w:rFonts w:ascii="Times New Roman" w:eastAsia="Times New Roman" w:hAnsi="Times New Roman" w:cs="Times New Roman"/>
          <w:i/>
          <w:iCs/>
          <w:color w:val="222222"/>
          <w:sz w:val="24"/>
          <w:szCs w:val="24"/>
        </w:rPr>
        <w:t>Psetta maxima</w:t>
      </w:r>
      <w:r>
        <w:rPr>
          <w:rFonts w:ascii="Times New Roman" w:eastAsia="Times New Roman" w:hAnsi="Times New Roman" w:cs="Times New Roman"/>
          <w:color w:val="222222"/>
          <w:sz w:val="24"/>
          <w:szCs w:val="24"/>
        </w:rPr>
        <w:t>). </w:t>
      </w:r>
      <w:proofErr w:type="spellStart"/>
      <w:r>
        <w:rPr>
          <w:rFonts w:ascii="Times New Roman" w:eastAsia="Times New Roman" w:hAnsi="Times New Roman" w:cs="Times New Roman"/>
          <w:iCs/>
          <w:color w:val="222222"/>
          <w:sz w:val="24"/>
          <w:szCs w:val="24"/>
        </w:rPr>
        <w:t>Afr</w:t>
      </w:r>
      <w:proofErr w:type="spellEnd"/>
      <w:r>
        <w:rPr>
          <w:rFonts w:ascii="Times New Roman" w:eastAsia="Times New Roman" w:hAnsi="Times New Roman" w:cs="Times New Roman"/>
          <w:iCs/>
          <w:color w:val="222222"/>
          <w:sz w:val="24"/>
          <w:szCs w:val="24"/>
        </w:rPr>
        <w:t xml:space="preserve"> J </w:t>
      </w:r>
      <w:proofErr w:type="spellStart"/>
      <w:r>
        <w:rPr>
          <w:rFonts w:ascii="Times New Roman" w:eastAsia="Times New Roman" w:hAnsi="Times New Roman" w:cs="Times New Roman"/>
          <w:iCs/>
          <w:color w:val="222222"/>
          <w:sz w:val="24"/>
          <w:szCs w:val="24"/>
        </w:rPr>
        <w:t>Biotechnol</w:t>
      </w:r>
      <w:proofErr w:type="spellEnd"/>
      <w:r>
        <w:rPr>
          <w:rFonts w:ascii="Times New Roman" w:eastAsia="Times New Roman" w:hAnsi="Times New Roman" w:cs="Times New Roman"/>
          <w:iCs/>
          <w:color w:val="222222"/>
          <w:sz w:val="24"/>
          <w:szCs w:val="24"/>
        </w:rPr>
        <w:t>. 11(</w:t>
      </w:r>
      <w:r>
        <w:rPr>
          <w:rFonts w:ascii="Times New Roman" w:eastAsia="Times New Roman" w:hAnsi="Times New Roman" w:cs="Times New Roman"/>
          <w:color w:val="222222"/>
          <w:sz w:val="24"/>
          <w:szCs w:val="24"/>
        </w:rPr>
        <w:t xml:space="preserve">51), 11321-11328. </w:t>
      </w:r>
    </w:p>
    <w:p w14:paraId="56CBEC60"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B. Y., Park, J. C., Kim, M. S., Choi, B. S., Kim, D. H., Lim, J. S., &amp; Lee, J. S. (2020). The genome of the Java medaka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javanicus</w:t>
      </w:r>
      <w:r>
        <w:rPr>
          <w:rFonts w:ascii="Times New Roman" w:eastAsia="Times New Roman" w:hAnsi="Times New Roman" w:cs="Times New Roman"/>
          <w:sz w:val="24"/>
          <w:szCs w:val="24"/>
        </w:rPr>
        <w:t>): Potential for its use in marine molecular ecotoxicology. </w:t>
      </w:r>
      <w:r>
        <w:rPr>
          <w:rFonts w:ascii="Times New Roman" w:eastAsia="Times New Roman" w:hAnsi="Times New Roman" w:cs="Times New Roman"/>
          <w:iCs/>
          <w:sz w:val="24"/>
          <w:szCs w:val="24"/>
        </w:rPr>
        <w:t>Mar Poll Bull. 154,</w:t>
      </w:r>
      <w:r>
        <w:rPr>
          <w:rFonts w:ascii="Times New Roman" w:eastAsia="Times New Roman" w:hAnsi="Times New Roman" w:cs="Times New Roman"/>
          <w:sz w:val="24"/>
          <w:szCs w:val="24"/>
        </w:rPr>
        <w:t xml:space="preserve"> 111118. </w:t>
      </w:r>
    </w:p>
    <w:p w14:paraId="68381602"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Magtoon</w:t>
      </w:r>
      <w:proofErr w:type="spellEnd"/>
      <w:r>
        <w:rPr>
          <w:rFonts w:ascii="Times New Roman" w:eastAsia="Times New Roman" w:hAnsi="Times New Roman" w:cs="Times New Roman"/>
          <w:sz w:val="24"/>
          <w:szCs w:val="24"/>
        </w:rPr>
        <w:t xml:space="preserve">, W., &amp; </w:t>
      </w:r>
      <w:proofErr w:type="spellStart"/>
      <w:r>
        <w:rPr>
          <w:rFonts w:ascii="Times New Roman" w:eastAsia="Times New Roman" w:hAnsi="Times New Roman" w:cs="Times New Roman"/>
          <w:sz w:val="24"/>
          <w:szCs w:val="24"/>
        </w:rPr>
        <w:t>Termvidchakorn</w:t>
      </w:r>
      <w:proofErr w:type="spellEnd"/>
      <w:r>
        <w:rPr>
          <w:rFonts w:ascii="Times New Roman" w:eastAsia="Times New Roman" w:hAnsi="Times New Roman" w:cs="Times New Roman"/>
          <w:sz w:val="24"/>
          <w:szCs w:val="24"/>
        </w:rPr>
        <w:t xml:space="preserve">, A. (2009). A revised taxonomic account of </w:t>
      </w:r>
      <w:proofErr w:type="spellStart"/>
      <w:r>
        <w:rPr>
          <w:rFonts w:ascii="Times New Roman" w:eastAsia="Times New Roman" w:hAnsi="Times New Roman" w:cs="Times New Roman"/>
          <w:sz w:val="24"/>
          <w:szCs w:val="24"/>
        </w:rPr>
        <w:t>ricefish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Oryzias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Beloniformes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Adrianichthyidae</w:t>
      </w:r>
      <w:proofErr w:type="spellEnd"/>
      <w:r>
        <w:rPr>
          <w:rFonts w:ascii="Times New Roman" w:eastAsia="Times New Roman" w:hAnsi="Times New Roman" w:cs="Times New Roman"/>
          <w:sz w:val="24"/>
          <w:szCs w:val="24"/>
        </w:rPr>
        <w:t>), in Thailand, Indonesia and Japan. </w:t>
      </w:r>
      <w:r>
        <w:rPr>
          <w:rFonts w:ascii="Times New Roman" w:eastAsia="Times New Roman" w:hAnsi="Times New Roman" w:cs="Times New Roman"/>
          <w:iCs/>
          <w:sz w:val="24"/>
          <w:szCs w:val="24"/>
        </w:rPr>
        <w:t>Trop. Nat. Hist. 9</w:t>
      </w:r>
      <w:r>
        <w:rPr>
          <w:rFonts w:ascii="Times New Roman" w:eastAsia="Times New Roman" w:hAnsi="Times New Roman" w:cs="Times New Roman"/>
          <w:sz w:val="24"/>
          <w:szCs w:val="24"/>
        </w:rPr>
        <w:t>(1), 35-68.</w:t>
      </w:r>
    </w:p>
    <w:p w14:paraId="4AB14396"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Malyukina</w:t>
      </w:r>
      <w:proofErr w:type="spellEnd"/>
      <w:r>
        <w:rPr>
          <w:rFonts w:ascii="Times New Roman" w:eastAsia="Times New Roman" w:hAnsi="Times New Roman" w:cs="Times New Roman"/>
          <w:sz w:val="24"/>
          <w:szCs w:val="24"/>
        </w:rPr>
        <w:t>, G. A., Dmitrieva, N. G., Marusov, E. A., &amp; Yurkevich, G. V. (1969). Olfaction and its role in fish behavior. Itogi Nauki, Series of Biology Zoology, 32-78.</w:t>
      </w:r>
    </w:p>
    <w:p w14:paraId="0D7AAACF"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Marlatt, V. L., Lo, B. P., </w:t>
      </w:r>
      <w:proofErr w:type="spellStart"/>
      <w:r>
        <w:rPr>
          <w:rFonts w:ascii="Times New Roman" w:eastAsia="Times New Roman" w:hAnsi="Times New Roman" w:cs="Times New Roman"/>
          <w:sz w:val="24"/>
          <w:szCs w:val="24"/>
        </w:rPr>
        <w:t>Ornostay</w:t>
      </w:r>
      <w:proofErr w:type="spellEnd"/>
      <w:r>
        <w:rPr>
          <w:rFonts w:ascii="Times New Roman" w:eastAsia="Times New Roman" w:hAnsi="Times New Roman" w:cs="Times New Roman"/>
          <w:sz w:val="24"/>
          <w:szCs w:val="24"/>
        </w:rPr>
        <w:t>, A., Hogan, N. S., Kennedy, C.J., Elphick, J. R., &amp; Martyniuk, C. J. (2013). The effects of the urea-based herbicide linuron on reproductive endpoints in the fathead minnow (</w:t>
      </w:r>
      <w:proofErr w:type="spellStart"/>
      <w:r>
        <w:rPr>
          <w:rFonts w:ascii="Times New Roman" w:eastAsia="Times New Roman" w:hAnsi="Times New Roman" w:cs="Times New Roman"/>
          <w:i/>
          <w:sz w:val="24"/>
          <w:szCs w:val="24"/>
        </w:rPr>
        <w:t>Pimephales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promelas</w:t>
      </w:r>
      <w:proofErr w:type="spellEnd"/>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 xml:space="preserve">Comp </w:t>
      </w:r>
      <w:proofErr w:type="spellStart"/>
      <w:r>
        <w:rPr>
          <w:rFonts w:ascii="Times New Roman" w:eastAsia="Times New Roman" w:hAnsi="Times New Roman" w:cs="Times New Roman"/>
          <w:iCs/>
          <w:sz w:val="24"/>
          <w:szCs w:val="24"/>
        </w:rPr>
        <w:t>Biochem</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Physiol</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CToxicol</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Pharmacol</w:t>
      </w:r>
      <w:proofErr w:type="spellEnd"/>
      <w:r>
        <w:rPr>
          <w:rFonts w:ascii="Times New Roman" w:eastAsia="Times New Roman" w:hAnsi="Times New Roman" w:cs="Times New Roman"/>
          <w:iCs/>
          <w:sz w:val="24"/>
          <w:szCs w:val="24"/>
        </w:rPr>
        <w:t>. 157(</w:t>
      </w:r>
      <w:r>
        <w:rPr>
          <w:rFonts w:ascii="Times New Roman" w:eastAsia="Times New Roman" w:hAnsi="Times New Roman" w:cs="Times New Roman"/>
          <w:sz w:val="24"/>
          <w:szCs w:val="24"/>
        </w:rPr>
        <w:t xml:space="preserve">1),24-32. </w:t>
      </w:r>
    </w:p>
    <w:p w14:paraId="35F78E75"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Mayer, F., </w:t>
      </w:r>
      <w:proofErr w:type="spellStart"/>
      <w:r>
        <w:rPr>
          <w:rFonts w:ascii="Times New Roman" w:eastAsia="Times New Roman" w:hAnsi="Times New Roman" w:cs="Times New Roman"/>
          <w:sz w:val="24"/>
          <w:szCs w:val="24"/>
        </w:rPr>
        <w:t>Ellersieck</w:t>
      </w:r>
      <w:proofErr w:type="spellEnd"/>
      <w:r>
        <w:rPr>
          <w:rFonts w:ascii="Times New Roman" w:eastAsia="Times New Roman" w:hAnsi="Times New Roman" w:cs="Times New Roman"/>
          <w:sz w:val="24"/>
          <w:szCs w:val="24"/>
        </w:rPr>
        <w:t xml:space="preserve">, M. (1986). Manual of Acute Toxicity: Interpretation and Data Base for 410 Chemicals and 66 Species of Freshwater Animals. United States Department of the Interior Fish and Wildlife Service, United States Environmental Protection Service, Washington DC., EPA MRID 40098001. </w:t>
      </w:r>
    </w:p>
    <w:p w14:paraId="7520EE60"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Mohamat</w:t>
      </w:r>
      <w:proofErr w:type="spellEnd"/>
      <w:r>
        <w:rPr>
          <w:rFonts w:ascii="Times New Roman" w:eastAsia="Times New Roman" w:hAnsi="Times New Roman" w:cs="Times New Roman"/>
          <w:sz w:val="24"/>
          <w:szCs w:val="24"/>
        </w:rPr>
        <w:t xml:space="preserve">-Yusuff, F., Sarah-Nabila, A. G., Zulkifli, S. Z., </w:t>
      </w:r>
      <w:proofErr w:type="spellStart"/>
      <w:r>
        <w:rPr>
          <w:rFonts w:ascii="Times New Roman" w:eastAsia="Times New Roman" w:hAnsi="Times New Roman" w:cs="Times New Roman"/>
          <w:sz w:val="24"/>
          <w:szCs w:val="24"/>
        </w:rPr>
        <w:t>Azmai</w:t>
      </w:r>
      <w:proofErr w:type="spellEnd"/>
      <w:r>
        <w:rPr>
          <w:rFonts w:ascii="Times New Roman" w:eastAsia="Times New Roman" w:hAnsi="Times New Roman" w:cs="Times New Roman"/>
          <w:sz w:val="24"/>
          <w:szCs w:val="24"/>
        </w:rPr>
        <w:t xml:space="preserve">, M. N. A., Ibrahim, W. N. W., Yusof, S., &amp; Ismail, A. (2018). Acute toxicity test of copper </w:t>
      </w:r>
      <w:proofErr w:type="spellStart"/>
      <w:r>
        <w:rPr>
          <w:rFonts w:ascii="Times New Roman" w:eastAsia="Times New Roman" w:hAnsi="Times New Roman" w:cs="Times New Roman"/>
          <w:sz w:val="24"/>
          <w:szCs w:val="24"/>
        </w:rPr>
        <w:t>pyrithione</w:t>
      </w:r>
      <w:proofErr w:type="spellEnd"/>
      <w:r>
        <w:rPr>
          <w:rFonts w:ascii="Times New Roman" w:eastAsia="Times New Roman" w:hAnsi="Times New Roman" w:cs="Times New Roman"/>
          <w:sz w:val="24"/>
          <w:szCs w:val="24"/>
        </w:rPr>
        <w:t xml:space="preserve"> on Javanese medaka and the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stress symptoms. </w:t>
      </w:r>
      <w:r>
        <w:rPr>
          <w:rFonts w:ascii="Times New Roman" w:eastAsia="Times New Roman" w:hAnsi="Times New Roman" w:cs="Times New Roman"/>
          <w:iCs/>
          <w:sz w:val="24"/>
          <w:szCs w:val="24"/>
        </w:rPr>
        <w:t>Mar. Poll Bull. 127,</w:t>
      </w:r>
      <w:r>
        <w:rPr>
          <w:rFonts w:ascii="Times New Roman" w:eastAsia="Times New Roman" w:hAnsi="Times New Roman" w:cs="Times New Roman"/>
          <w:sz w:val="24"/>
          <w:szCs w:val="24"/>
        </w:rPr>
        <w:t xml:space="preserve"> 150-153. </w:t>
      </w:r>
    </w:p>
    <w:p w14:paraId="0B65CAD8"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Muhamad, H., Ramli, M. I., Zakaria, Z., Sahid, I. (2013). The fate of Diuron in soil in a Malaysian oil palm plantation. J Oil Palm Res. 25(1), 149-158.</w:t>
      </w:r>
    </w:p>
    <w:p w14:paraId="5B237E95"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Mukhtar, A., Zulkifli, S. Z., </w:t>
      </w:r>
      <w:proofErr w:type="spellStart"/>
      <w:r>
        <w:rPr>
          <w:rFonts w:ascii="Times New Roman" w:eastAsia="Times New Roman" w:hAnsi="Times New Roman" w:cs="Times New Roman"/>
          <w:sz w:val="24"/>
          <w:szCs w:val="24"/>
        </w:rPr>
        <w:t>Mohamat</w:t>
      </w:r>
      <w:proofErr w:type="spellEnd"/>
      <w:r>
        <w:rPr>
          <w:rFonts w:ascii="Times New Roman" w:eastAsia="Times New Roman" w:hAnsi="Times New Roman" w:cs="Times New Roman"/>
          <w:sz w:val="24"/>
          <w:szCs w:val="24"/>
        </w:rPr>
        <w:t xml:space="preserve">-Yusuff, F., Harino, H., </w:t>
      </w:r>
      <w:proofErr w:type="spellStart"/>
      <w:r>
        <w:rPr>
          <w:rFonts w:ascii="Times New Roman" w:eastAsia="Times New Roman" w:hAnsi="Times New Roman" w:cs="Times New Roman"/>
          <w:sz w:val="24"/>
          <w:szCs w:val="24"/>
        </w:rPr>
        <w:t>Azmai</w:t>
      </w:r>
      <w:proofErr w:type="spellEnd"/>
      <w:r>
        <w:rPr>
          <w:rFonts w:ascii="Times New Roman" w:eastAsia="Times New Roman" w:hAnsi="Times New Roman" w:cs="Times New Roman"/>
          <w:sz w:val="24"/>
          <w:szCs w:val="24"/>
        </w:rPr>
        <w:t>, M. N. A., &amp; Ismail, A. (2020). Booster biocides levels in the major blood cockle (</w:t>
      </w:r>
      <w:proofErr w:type="spellStart"/>
      <w:r>
        <w:rPr>
          <w:rFonts w:ascii="Times New Roman" w:eastAsia="Times New Roman" w:hAnsi="Times New Roman" w:cs="Times New Roman"/>
          <w:i/>
          <w:iCs/>
          <w:sz w:val="24"/>
          <w:szCs w:val="24"/>
        </w:rPr>
        <w:t>Tegillarca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granosa</w:t>
      </w:r>
      <w:proofErr w:type="spellEnd"/>
      <w:r>
        <w:rPr>
          <w:rFonts w:ascii="Times New Roman" w:eastAsia="Times New Roman" w:hAnsi="Times New Roman" w:cs="Times New Roman"/>
          <w:sz w:val="24"/>
          <w:szCs w:val="24"/>
        </w:rPr>
        <w:t xml:space="preserve"> L., 1758) cultivation areas along the coastal area of Peninsular Malaysia. </w:t>
      </w:r>
      <w:r>
        <w:rPr>
          <w:rFonts w:ascii="Times New Roman" w:eastAsia="Times New Roman" w:hAnsi="Times New Roman" w:cs="Times New Roman"/>
          <w:iCs/>
          <w:sz w:val="24"/>
          <w:szCs w:val="24"/>
        </w:rPr>
        <w:t>Water, 12</w:t>
      </w:r>
      <w:r>
        <w:rPr>
          <w:rFonts w:ascii="Times New Roman" w:eastAsia="Times New Roman" w:hAnsi="Times New Roman" w:cs="Times New Roman"/>
          <w:sz w:val="24"/>
          <w:szCs w:val="24"/>
        </w:rPr>
        <w:t xml:space="preserve">(6), 1616. </w:t>
      </w:r>
    </w:p>
    <w:p w14:paraId="7BBC0A38"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NAS/NAE. Water Quality Criteria. US Government Printing Office, Washington DC, WQC 1972, EPA-R-R3-033.</w:t>
      </w:r>
    </w:p>
    <w:p w14:paraId="77E0FC5A"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Okamura, H. (2002). Photodegradation of the antifouling compounds </w:t>
      </w:r>
      <w:proofErr w:type="spellStart"/>
      <w:r>
        <w:rPr>
          <w:rFonts w:ascii="Times New Roman" w:eastAsia="Times New Roman" w:hAnsi="Times New Roman" w:cs="Times New Roman"/>
          <w:sz w:val="24"/>
          <w:szCs w:val="24"/>
        </w:rPr>
        <w:t>Irgarol</w:t>
      </w:r>
      <w:proofErr w:type="spellEnd"/>
      <w:r>
        <w:rPr>
          <w:rFonts w:ascii="Times New Roman" w:eastAsia="Times New Roman" w:hAnsi="Times New Roman" w:cs="Times New Roman"/>
          <w:sz w:val="24"/>
          <w:szCs w:val="24"/>
        </w:rPr>
        <w:t xml:space="preserve"> 1051 and Diuron released from a commercial antifouling paint. Chemosphere, 48(1), 43-50. </w:t>
      </w:r>
    </w:p>
    <w:p w14:paraId="0D3E0C33"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Parithabhanu</w:t>
      </w:r>
      <w:proofErr w:type="spellEnd"/>
      <w:r>
        <w:rPr>
          <w:rFonts w:ascii="Times New Roman" w:eastAsia="Times New Roman" w:hAnsi="Times New Roman" w:cs="Times New Roman"/>
          <w:sz w:val="24"/>
          <w:szCs w:val="24"/>
        </w:rPr>
        <w:t xml:space="preserve">, A. (2013). Pesticide toxicity and behavioral responses in the fish </w:t>
      </w:r>
      <w:proofErr w:type="spellStart"/>
      <w:r>
        <w:rPr>
          <w:rFonts w:ascii="Times New Roman" w:eastAsia="Times New Roman" w:hAnsi="Times New Roman" w:cs="Times New Roman"/>
          <w:i/>
          <w:iCs/>
          <w:sz w:val="24"/>
          <w:szCs w:val="24"/>
        </w:rPr>
        <w:t>Orechromis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mossambicus</w:t>
      </w:r>
      <w:proofErr w:type="spellEnd"/>
      <w:r>
        <w:rPr>
          <w:rFonts w:ascii="Times New Roman" w:eastAsia="Times New Roman" w:hAnsi="Times New Roman" w:cs="Times New Roman"/>
          <w:sz w:val="24"/>
          <w:szCs w:val="24"/>
        </w:rPr>
        <w:t xml:space="preserve">. Int. J. Fish. </w:t>
      </w:r>
      <w:proofErr w:type="spellStart"/>
      <w:r>
        <w:rPr>
          <w:rFonts w:ascii="Times New Roman" w:eastAsia="Times New Roman" w:hAnsi="Times New Roman" w:cs="Times New Roman"/>
          <w:sz w:val="24"/>
          <w:szCs w:val="24"/>
        </w:rPr>
        <w:t>Aquac</w:t>
      </w:r>
      <w:proofErr w:type="spellEnd"/>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(2), 161-164.</w:t>
      </w:r>
    </w:p>
    <w:p w14:paraId="2066AB9D"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Pathan, T. S., Sonawane, D. L., &amp; </w:t>
      </w:r>
      <w:proofErr w:type="spellStart"/>
      <w:r>
        <w:rPr>
          <w:rFonts w:ascii="Times New Roman" w:eastAsia="Times New Roman" w:hAnsi="Times New Roman" w:cs="Times New Roman"/>
          <w:sz w:val="24"/>
          <w:szCs w:val="24"/>
        </w:rPr>
        <w:t>Khillare</w:t>
      </w:r>
      <w:proofErr w:type="spellEnd"/>
      <w:r>
        <w:rPr>
          <w:rFonts w:ascii="Times New Roman" w:eastAsia="Times New Roman" w:hAnsi="Times New Roman" w:cs="Times New Roman"/>
          <w:sz w:val="24"/>
          <w:szCs w:val="24"/>
        </w:rPr>
        <w:t xml:space="preserve">, Y. K. (2009). Toxicity and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changes in freshwater fish </w:t>
      </w:r>
      <w:r>
        <w:rPr>
          <w:rFonts w:ascii="Times New Roman" w:eastAsia="Times New Roman" w:hAnsi="Times New Roman" w:cs="Times New Roman"/>
          <w:i/>
          <w:iCs/>
          <w:sz w:val="24"/>
          <w:szCs w:val="24"/>
        </w:rPr>
        <w:t xml:space="preserve">Rasbora </w:t>
      </w:r>
      <w:proofErr w:type="spellStart"/>
      <w:r>
        <w:rPr>
          <w:rFonts w:ascii="Times New Roman" w:eastAsia="Times New Roman" w:hAnsi="Times New Roman" w:cs="Times New Roman"/>
          <w:i/>
          <w:iCs/>
          <w:sz w:val="24"/>
          <w:szCs w:val="24"/>
        </w:rPr>
        <w:t>daniconius</w:t>
      </w:r>
      <w:proofErr w:type="spellEnd"/>
      <w:r>
        <w:rPr>
          <w:rFonts w:ascii="Times New Roman" w:eastAsia="Times New Roman" w:hAnsi="Times New Roman" w:cs="Times New Roman"/>
          <w:sz w:val="24"/>
          <w:szCs w:val="24"/>
        </w:rPr>
        <w:t xml:space="preserve"> exposed to paper mill effluent. </w:t>
      </w:r>
      <w:r>
        <w:rPr>
          <w:rFonts w:ascii="Times New Roman" w:eastAsia="Times New Roman" w:hAnsi="Times New Roman" w:cs="Times New Roman"/>
          <w:iCs/>
          <w:sz w:val="24"/>
          <w:szCs w:val="24"/>
        </w:rPr>
        <w:t>Bot Res J. 2</w:t>
      </w:r>
      <w:r>
        <w:rPr>
          <w:rFonts w:ascii="Times New Roman" w:eastAsia="Times New Roman" w:hAnsi="Times New Roman" w:cs="Times New Roman"/>
          <w:sz w:val="24"/>
          <w:szCs w:val="24"/>
        </w:rPr>
        <w:t>(4), 263-266.</w:t>
      </w:r>
    </w:p>
    <w:p w14:paraId="1DD26A86"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Pfeiffer, W. (1962). The fright reaction of fish. </w:t>
      </w:r>
      <w:r>
        <w:rPr>
          <w:rFonts w:ascii="Times New Roman" w:eastAsia="Times New Roman" w:hAnsi="Times New Roman" w:cs="Times New Roman"/>
          <w:iCs/>
          <w:sz w:val="24"/>
          <w:szCs w:val="24"/>
        </w:rPr>
        <w:t>Biol.</w:t>
      </w:r>
      <w:r>
        <w:rPr>
          <w:rFonts w:ascii="Times New Roman" w:eastAsia="Times New Roman" w:hAnsi="Times New Roman" w:cs="Times New Roman"/>
          <w:sz w:val="24"/>
          <w:szCs w:val="24"/>
        </w:rPr>
        <w:t xml:space="preserve"> 37, 495–511. </w:t>
      </w:r>
    </w:p>
    <w:p w14:paraId="2C4D4AE8"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Ramli, M. I., Zakaria, Z., Sahid, I., Ai, T. Y., &amp; Muhamad, H. (2012). Determination of Herbicide diuron levels in palm oil matrices using HPLC-UV. </w:t>
      </w:r>
      <w:r>
        <w:rPr>
          <w:rFonts w:ascii="Times New Roman" w:eastAsia="Times New Roman" w:hAnsi="Times New Roman" w:cs="Times New Roman"/>
          <w:iCs/>
          <w:sz w:val="24"/>
          <w:szCs w:val="24"/>
        </w:rPr>
        <w:t>Sains Malays. 41</w:t>
      </w:r>
      <w:r>
        <w:rPr>
          <w:rFonts w:ascii="Times New Roman" w:eastAsia="Times New Roman" w:hAnsi="Times New Roman" w:cs="Times New Roman"/>
          <w:sz w:val="24"/>
          <w:szCs w:val="24"/>
        </w:rPr>
        <w:t>(11), 1451-1459.</w:t>
      </w:r>
    </w:p>
    <w:p w14:paraId="2C3F70E9"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Rana, K., &amp; Gautam, P. (2022). Estimation of Median Lethal Concentration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Value and Its Confidence Interval for the Effect of Carbamate Pesticide (Methiocarb) on </w:t>
      </w:r>
      <w:r>
        <w:rPr>
          <w:rFonts w:ascii="Times New Roman" w:eastAsia="Times New Roman" w:hAnsi="Times New Roman" w:cs="Times New Roman"/>
          <w:i/>
          <w:iCs/>
          <w:sz w:val="24"/>
          <w:szCs w:val="24"/>
        </w:rPr>
        <w:t>Caenorhabditis elegans.</w:t>
      </w:r>
    </w:p>
    <w:p w14:paraId="18DB7130"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Roadside Vegetation Management Herbicide Fact Sheet. Washington State Department of Transportation. July 2017, 1-5.</w:t>
      </w:r>
    </w:p>
    <w:p w14:paraId="35921069"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Saglio</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Trijasse</w:t>
      </w:r>
      <w:proofErr w:type="spellEnd"/>
      <w:r>
        <w:rPr>
          <w:rFonts w:ascii="Times New Roman" w:eastAsia="Times New Roman" w:hAnsi="Times New Roman" w:cs="Times New Roman"/>
          <w:sz w:val="24"/>
          <w:szCs w:val="24"/>
        </w:rPr>
        <w:t>, S. (1998). Behavioral responses to atrazine and diuron in goldfish. </w:t>
      </w:r>
      <w:r>
        <w:rPr>
          <w:rFonts w:ascii="Times New Roman" w:eastAsia="Times New Roman" w:hAnsi="Times New Roman" w:cs="Times New Roman"/>
          <w:i/>
          <w:sz w:val="24"/>
          <w:szCs w:val="24"/>
        </w:rPr>
        <w:t xml:space="preserve">Arch. Environ. </w:t>
      </w:r>
      <w:proofErr w:type="spellStart"/>
      <w:r>
        <w:rPr>
          <w:rFonts w:ascii="Times New Roman" w:eastAsia="Times New Roman" w:hAnsi="Times New Roman" w:cs="Times New Roman"/>
          <w:i/>
          <w:sz w:val="24"/>
          <w:szCs w:val="24"/>
        </w:rPr>
        <w:t>Contam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Toxicol</w:t>
      </w:r>
      <w:proofErr w:type="spellEnd"/>
      <w:r>
        <w:rPr>
          <w:rFonts w:ascii="Times New Roman" w:eastAsia="Times New Roman" w:hAnsi="Times New Roman" w:cs="Times New Roman"/>
          <w:i/>
          <w:sz w:val="24"/>
          <w:szCs w:val="24"/>
        </w:rPr>
        <w:t>.</w:t>
      </w:r>
      <w:r>
        <w:rPr>
          <w:rFonts w:ascii="Times New Roman" w:eastAsia="Times New Roman" w:hAnsi="Times New Roman" w:cs="Times New Roman"/>
          <w:iCs/>
          <w:sz w:val="24"/>
          <w:szCs w:val="24"/>
        </w:rPr>
        <w:t> 35,</w:t>
      </w:r>
      <w:r>
        <w:rPr>
          <w:rFonts w:ascii="Times New Roman" w:eastAsia="Times New Roman" w:hAnsi="Times New Roman" w:cs="Times New Roman"/>
          <w:sz w:val="24"/>
          <w:szCs w:val="24"/>
        </w:rPr>
        <w:t xml:space="preserve"> 484-491.  </w:t>
      </w:r>
      <w:r>
        <w:rPr>
          <w:rFonts w:ascii="Times New Roman" w:eastAsia="Times New Roman" w:hAnsi="Times New Roman" w:cs="Times New Roman"/>
          <w:color w:val="0000FF"/>
          <w:sz w:val="24"/>
          <w:szCs w:val="24"/>
        </w:rPr>
        <w:t xml:space="preserve"> </w:t>
      </w:r>
    </w:p>
    <w:p w14:paraId="3F8C5B0B"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Sarwade</w:t>
      </w:r>
      <w:proofErr w:type="spellEnd"/>
      <w:r>
        <w:rPr>
          <w:rFonts w:ascii="Times New Roman" w:eastAsia="Times New Roman" w:hAnsi="Times New Roman" w:cs="Times New Roman"/>
          <w:sz w:val="24"/>
          <w:szCs w:val="24"/>
        </w:rPr>
        <w:t xml:space="preserve">, J. P. (2015). Toxicity And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Changes in Freshwater Fish </w:t>
      </w:r>
      <w:r>
        <w:rPr>
          <w:rFonts w:ascii="Times New Roman" w:eastAsia="Times New Roman" w:hAnsi="Times New Roman" w:cs="Times New Roman"/>
          <w:i/>
          <w:iCs/>
          <w:sz w:val="24"/>
          <w:szCs w:val="24"/>
        </w:rPr>
        <w:t xml:space="preserve">Puntius stigma </w:t>
      </w:r>
      <w:r>
        <w:rPr>
          <w:rFonts w:ascii="Times New Roman" w:eastAsia="Times New Roman" w:hAnsi="Times New Roman" w:cs="Times New Roman"/>
          <w:sz w:val="24"/>
          <w:szCs w:val="24"/>
        </w:rPr>
        <w:t>Exposed to Paper Mill Effluent. </w:t>
      </w:r>
      <w:r>
        <w:rPr>
          <w:rFonts w:ascii="Times New Roman" w:eastAsia="Times New Roman" w:hAnsi="Times New Roman" w:cs="Times New Roman"/>
          <w:iCs/>
          <w:sz w:val="24"/>
          <w:szCs w:val="24"/>
        </w:rPr>
        <w:t>Int J Innovations Biol Chem Sci. 6,</w:t>
      </w:r>
      <w:r>
        <w:rPr>
          <w:rFonts w:ascii="Times New Roman" w:eastAsia="Times New Roman" w:hAnsi="Times New Roman" w:cs="Times New Roman"/>
          <w:sz w:val="24"/>
          <w:szCs w:val="24"/>
        </w:rPr>
        <w:t xml:space="preserve"> 36-44. </w:t>
      </w:r>
    </w:p>
    <w:p w14:paraId="068D991B"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G. R., &amp; Sloman, K. A. (2004). The effects of environmental pollutants on complex fish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integrating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and physiological indicators of toxicity. </w:t>
      </w:r>
      <w:proofErr w:type="spellStart"/>
      <w:r>
        <w:rPr>
          <w:rFonts w:ascii="Times New Roman" w:eastAsia="Times New Roman" w:hAnsi="Times New Roman" w:cs="Times New Roman"/>
          <w:iCs/>
          <w:sz w:val="24"/>
          <w:szCs w:val="24"/>
        </w:rPr>
        <w:t>Aquat</w:t>
      </w:r>
      <w:proofErr w:type="spellEnd"/>
      <w:r>
        <w:rPr>
          <w:rFonts w:ascii="Times New Roman" w:eastAsia="Times New Roman" w:hAnsi="Times New Roman" w:cs="Times New Roman"/>
          <w:iCs/>
          <w:sz w:val="24"/>
          <w:szCs w:val="24"/>
        </w:rPr>
        <w:t>. </w:t>
      </w:r>
      <w:proofErr w:type="spellStart"/>
      <w:r>
        <w:rPr>
          <w:rFonts w:ascii="Times New Roman" w:eastAsia="Times New Roman" w:hAnsi="Times New Roman" w:cs="Times New Roman"/>
          <w:iCs/>
          <w:sz w:val="24"/>
          <w:szCs w:val="24"/>
        </w:rPr>
        <w:t>Toxicol</w:t>
      </w:r>
      <w:proofErr w:type="spellEnd"/>
      <w:r>
        <w:rPr>
          <w:rFonts w:ascii="Times New Roman" w:eastAsia="Times New Roman" w:hAnsi="Times New Roman" w:cs="Times New Roman"/>
          <w:iCs/>
          <w:sz w:val="24"/>
          <w:szCs w:val="24"/>
        </w:rPr>
        <w:t>. 68</w:t>
      </w:r>
      <w:r>
        <w:rPr>
          <w:rFonts w:ascii="Times New Roman" w:eastAsia="Times New Roman" w:hAnsi="Times New Roman" w:cs="Times New Roman"/>
          <w:sz w:val="24"/>
          <w:szCs w:val="24"/>
        </w:rPr>
        <w:t xml:space="preserve">(4), 369-392. </w:t>
      </w:r>
    </w:p>
    <w:p w14:paraId="013747B3"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Shahbazi </w:t>
      </w:r>
      <w:proofErr w:type="spellStart"/>
      <w:r>
        <w:rPr>
          <w:rFonts w:ascii="Times New Roman" w:eastAsia="Times New Roman" w:hAnsi="Times New Roman" w:cs="Times New Roman"/>
          <w:sz w:val="24"/>
          <w:szCs w:val="24"/>
        </w:rPr>
        <w:t>Naserabad</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Mirvaghefi</w:t>
      </w:r>
      <w:proofErr w:type="spellEnd"/>
      <w:r>
        <w:rPr>
          <w:rFonts w:ascii="Times New Roman" w:eastAsia="Times New Roman" w:hAnsi="Times New Roman" w:cs="Times New Roman"/>
          <w:sz w:val="24"/>
          <w:szCs w:val="24"/>
        </w:rPr>
        <w:t xml:space="preserve">, A., Gerami, M. H., &amp; Ghafari </w:t>
      </w:r>
      <w:proofErr w:type="spellStart"/>
      <w:r>
        <w:rPr>
          <w:rFonts w:ascii="Times New Roman" w:eastAsia="Times New Roman" w:hAnsi="Times New Roman" w:cs="Times New Roman"/>
          <w:sz w:val="24"/>
          <w:szCs w:val="24"/>
        </w:rPr>
        <w:t>Farsani</w:t>
      </w:r>
      <w:proofErr w:type="spellEnd"/>
      <w:r>
        <w:rPr>
          <w:rFonts w:ascii="Times New Roman" w:eastAsia="Times New Roman" w:hAnsi="Times New Roman" w:cs="Times New Roman"/>
          <w:sz w:val="24"/>
          <w:szCs w:val="24"/>
        </w:rPr>
        <w:t>, H. (2015). Acute toxicity and behavioral changes of the gold fish (</w:t>
      </w:r>
      <w:r>
        <w:rPr>
          <w:rFonts w:ascii="Times New Roman" w:eastAsia="Times New Roman" w:hAnsi="Times New Roman" w:cs="Times New Roman"/>
          <w:i/>
          <w:iCs/>
          <w:sz w:val="24"/>
          <w:szCs w:val="24"/>
        </w:rPr>
        <w:t>Carassius auratus</w:t>
      </w:r>
      <w:r>
        <w:rPr>
          <w:rFonts w:ascii="Times New Roman" w:eastAsia="Times New Roman" w:hAnsi="Times New Roman" w:cs="Times New Roman"/>
          <w:sz w:val="24"/>
          <w:szCs w:val="24"/>
        </w:rPr>
        <w:t xml:space="preserve">) exposed to malathion and </w:t>
      </w:r>
      <w:proofErr w:type="spellStart"/>
      <w:r>
        <w:rPr>
          <w:rFonts w:ascii="Times New Roman" w:eastAsia="Times New Roman" w:hAnsi="Times New Roman" w:cs="Times New Roman"/>
          <w:sz w:val="24"/>
          <w:szCs w:val="24"/>
        </w:rPr>
        <w:t>hinosan</w:t>
      </w:r>
      <w:proofErr w:type="spellEnd"/>
      <w:r>
        <w:rPr>
          <w:rFonts w:ascii="Times New Roman" w:eastAsia="Times New Roman" w:hAnsi="Times New Roman" w:cs="Times New Roman"/>
          <w:sz w:val="24"/>
          <w:szCs w:val="24"/>
        </w:rPr>
        <w:t>. </w:t>
      </w:r>
      <w:r>
        <w:rPr>
          <w:rFonts w:ascii="Times New Roman" w:eastAsia="Times New Roman" w:hAnsi="Times New Roman" w:cs="Times New Roman"/>
          <w:iCs/>
          <w:sz w:val="24"/>
          <w:szCs w:val="24"/>
        </w:rPr>
        <w:t xml:space="preserve">Iran J </w:t>
      </w:r>
      <w:proofErr w:type="spellStart"/>
      <w:r>
        <w:rPr>
          <w:rFonts w:ascii="Times New Roman" w:eastAsia="Times New Roman" w:hAnsi="Times New Roman" w:cs="Times New Roman"/>
          <w:iCs/>
          <w:sz w:val="24"/>
          <w:szCs w:val="24"/>
        </w:rPr>
        <w:t>Toxicol</w:t>
      </w:r>
      <w:proofErr w:type="spellEnd"/>
      <w:r>
        <w:rPr>
          <w:rFonts w:ascii="Times New Roman" w:eastAsia="Times New Roman" w:hAnsi="Times New Roman" w:cs="Times New Roman"/>
          <w:iCs/>
          <w:sz w:val="24"/>
          <w:szCs w:val="24"/>
        </w:rPr>
        <w:t>. 8(</w:t>
      </w:r>
      <w:r>
        <w:rPr>
          <w:rFonts w:ascii="Times New Roman" w:eastAsia="Times New Roman" w:hAnsi="Times New Roman" w:cs="Times New Roman"/>
          <w:sz w:val="24"/>
          <w:szCs w:val="24"/>
        </w:rPr>
        <w:t xml:space="preserve">27), 1203-1208. </w:t>
      </w:r>
    </w:p>
    <w:p w14:paraId="40C65BEB"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Sharma, M., Thakur, J., &amp; Verma, S. (2019).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responses in effect to chemical stress in fish: A review. Int J Fish </w:t>
      </w:r>
      <w:proofErr w:type="spellStart"/>
      <w:r>
        <w:rPr>
          <w:rFonts w:ascii="Times New Roman" w:eastAsia="Times New Roman" w:hAnsi="Times New Roman" w:cs="Times New Roman"/>
          <w:sz w:val="24"/>
          <w:szCs w:val="24"/>
        </w:rPr>
        <w:t>Aquat</w:t>
      </w:r>
      <w:proofErr w:type="spellEnd"/>
      <w:r>
        <w:rPr>
          <w:rFonts w:ascii="Times New Roman" w:eastAsia="Times New Roman" w:hAnsi="Times New Roman" w:cs="Times New Roman"/>
          <w:sz w:val="24"/>
          <w:szCs w:val="24"/>
        </w:rPr>
        <w:t xml:space="preserve"> Stud. 7(1), 1-5.</w:t>
      </w:r>
    </w:p>
    <w:p w14:paraId="14C12190"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Shinn, C., Santos, M. M., Lek, S., &amp; </w:t>
      </w:r>
      <w:proofErr w:type="spellStart"/>
      <w:r>
        <w:rPr>
          <w:rFonts w:ascii="Times New Roman" w:eastAsia="Times New Roman" w:hAnsi="Times New Roman" w:cs="Times New Roman"/>
          <w:sz w:val="24"/>
          <w:szCs w:val="24"/>
        </w:rPr>
        <w:t>Grenouillet</w:t>
      </w:r>
      <w:proofErr w:type="spellEnd"/>
      <w:r>
        <w:rPr>
          <w:rFonts w:ascii="Times New Roman" w:eastAsia="Times New Roman" w:hAnsi="Times New Roman" w:cs="Times New Roman"/>
          <w:sz w:val="24"/>
          <w:szCs w:val="24"/>
        </w:rPr>
        <w:t>, G. (2015). Behavioral response of juvenile rainbow trout exposed to an herbicide mixture. </w:t>
      </w:r>
      <w:proofErr w:type="spellStart"/>
      <w:r>
        <w:rPr>
          <w:rFonts w:ascii="Times New Roman" w:eastAsia="Times New Roman" w:hAnsi="Times New Roman" w:cs="Times New Roman"/>
          <w:sz w:val="24"/>
          <w:szCs w:val="24"/>
        </w:rPr>
        <w:t>Ecotoxicol</w:t>
      </w:r>
      <w:proofErr w:type="spellEnd"/>
      <w:r>
        <w:rPr>
          <w:rFonts w:ascii="Times New Roman" w:eastAsia="Times New Roman" w:hAnsi="Times New Roman" w:cs="Times New Roman"/>
          <w:sz w:val="24"/>
          <w:szCs w:val="24"/>
        </w:rPr>
        <w:t xml:space="preserve"> Environ Saf. 112, 15-21. </w:t>
      </w:r>
    </w:p>
    <w:p w14:paraId="5031526D"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Soni, R., &amp; Verma, S. K. (2018). Acute toxicity and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responses in </w:t>
      </w:r>
      <w:r>
        <w:rPr>
          <w:rFonts w:ascii="Times New Roman" w:eastAsia="Times New Roman" w:hAnsi="Times New Roman" w:cs="Times New Roman"/>
          <w:i/>
          <w:iCs/>
          <w:sz w:val="24"/>
          <w:szCs w:val="24"/>
        </w:rPr>
        <w:t xml:space="preserve">Clarias </w:t>
      </w:r>
      <w:proofErr w:type="spellStart"/>
      <w:r>
        <w:rPr>
          <w:rFonts w:ascii="Times New Roman" w:eastAsia="Times New Roman" w:hAnsi="Times New Roman" w:cs="Times New Roman"/>
          <w:i/>
          <w:iCs/>
          <w:sz w:val="24"/>
          <w:szCs w:val="24"/>
        </w:rPr>
        <w:t>batrachus</w:t>
      </w:r>
      <w:proofErr w:type="spellEnd"/>
      <w:r>
        <w:rPr>
          <w:rFonts w:ascii="Times New Roman" w:eastAsia="Times New Roman" w:hAnsi="Times New Roman" w:cs="Times New Roman"/>
          <w:sz w:val="24"/>
          <w:szCs w:val="24"/>
        </w:rPr>
        <w:t xml:space="preserve"> (Linnaeus) exposed to herbicide pretilachlor. </w:t>
      </w:r>
      <w:proofErr w:type="spellStart"/>
      <w:r>
        <w:rPr>
          <w:rFonts w:ascii="Times New Roman" w:eastAsia="Times New Roman" w:hAnsi="Times New Roman" w:cs="Times New Roman"/>
          <w:iCs/>
          <w:sz w:val="24"/>
          <w:szCs w:val="24"/>
        </w:rPr>
        <w:t>Heliyon</w:t>
      </w:r>
      <w:proofErr w:type="spellEnd"/>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(12). </w:t>
      </w:r>
    </w:p>
    <w:p w14:paraId="0F33F385" w14:textId="77777777" w:rsidR="002E79F6" w:rsidRDefault="00021946">
      <w:pPr>
        <w:spacing w:line="360" w:lineRule="auto"/>
        <w:ind w:left="720" w:hanging="720"/>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Sprague, J. B. (1971). Measurement of pollutant toxicity to fish—III: Sublethal effects and “safe” concentrations. Water Res. 5(6), 245-266.</w:t>
      </w:r>
    </w:p>
    <w:p w14:paraId="5711F993" w14:textId="77777777" w:rsidR="002E79F6" w:rsidRDefault="00021946">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Thanigaivel</w:t>
      </w:r>
      <w:proofErr w:type="spellEnd"/>
      <w:r>
        <w:rPr>
          <w:rFonts w:ascii="Times New Roman" w:eastAsia="Times New Roman" w:hAnsi="Times New Roman" w:cs="Times New Roman"/>
          <w:sz w:val="24"/>
          <w:szCs w:val="24"/>
        </w:rPr>
        <w:t xml:space="preserve">, S., Vickram, S., Dey, N., Jeyanthi, P., </w:t>
      </w:r>
      <w:proofErr w:type="spellStart"/>
      <w:r>
        <w:rPr>
          <w:rFonts w:ascii="Times New Roman" w:eastAsia="Times New Roman" w:hAnsi="Times New Roman" w:cs="Times New Roman"/>
          <w:sz w:val="24"/>
          <w:szCs w:val="24"/>
        </w:rPr>
        <w:t>Subbaiya</w:t>
      </w:r>
      <w:proofErr w:type="spellEnd"/>
      <w:r>
        <w:rPr>
          <w:rFonts w:ascii="Times New Roman" w:eastAsia="Times New Roman" w:hAnsi="Times New Roman" w:cs="Times New Roman"/>
          <w:sz w:val="24"/>
          <w:szCs w:val="24"/>
        </w:rPr>
        <w:t xml:space="preserve">, R., Kim, W., &amp; Karmegam, N. (2023). Ecological disturbances and abundance of anthropogenic pollutants in the aquatic ecosystem: Critical review of impact assessment on the aquatic animals. Chemosphere, 313, 137475. </w:t>
      </w:r>
    </w:p>
    <w:p w14:paraId="67A06872"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Ueda, H. (2021). Chemoreception in fishes. In Oxford Research Encyclopedia of Neuroscience. </w:t>
      </w:r>
    </w:p>
    <w:p w14:paraId="0FD3DAC6"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Uçar, A. (2024). LC</w:t>
      </w:r>
      <w:r>
        <w:rPr>
          <w:rFonts w:ascii="Times New Roman" w:eastAsia="Times New Roman" w:hAnsi="Times New Roman" w:cs="Times New Roman"/>
          <w:sz w:val="24"/>
          <w:szCs w:val="24"/>
          <w:vertAlign w:val="subscript"/>
        </w:rPr>
        <w:t>50</w:t>
      </w:r>
      <w:r>
        <w:rPr>
          <w:rFonts w:ascii="Times New Roman" w:eastAsia="Times New Roman" w:hAnsi="Times New Roman" w:cs="Times New Roman"/>
          <w:sz w:val="24"/>
          <w:szCs w:val="24"/>
        </w:rPr>
        <w:t xml:space="preserve"> Determination and Probit Analysis. In Aquatic Toxicology in Freshwater: The Multiple Biomarker Approach (pp. 95-105). Cham: Springer Nature Switzerland.</w:t>
      </w:r>
    </w:p>
    <w:p w14:paraId="4D7C8CFC"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USEPA Reregistration Eligibility Decision (RED) for Diuron (2003). United States Environmental Protection Agency, Office of Prevention, Pesticides, and Toxic Substances, Washington, DC.</w:t>
      </w:r>
    </w:p>
    <w:p w14:paraId="3E397C15"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Velki, M., Di Paolo, C., Nelles, J., Seiler, T. B., &amp; Hollert, H. (2017). Diuron and diazinon alter the behavior of zebrafish embryos and larvae in the absence of acute toxicity. Chemosphere, 180, 65-76. </w:t>
      </w:r>
    </w:p>
    <w:p w14:paraId="3E5A17FB"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Yusof, S., Ismail, A., Koito, T., Kinoshita, M., &amp; Inoue, K. (2012). Occurrence of two closely </w:t>
      </w:r>
      <w:r>
        <w:rPr>
          <w:rFonts w:ascii="Times New Roman" w:eastAsia="Times New Roman" w:hAnsi="Times New Roman" w:cs="Times New Roman"/>
          <w:color w:val="222222"/>
          <w:sz w:val="24"/>
          <w:szCs w:val="24"/>
        </w:rPr>
        <w:t xml:space="preserve">related </w:t>
      </w:r>
      <w:proofErr w:type="spellStart"/>
      <w:r>
        <w:rPr>
          <w:rFonts w:ascii="Times New Roman" w:eastAsia="Times New Roman" w:hAnsi="Times New Roman" w:cs="Times New Roman"/>
          <w:color w:val="222222"/>
          <w:sz w:val="24"/>
          <w:szCs w:val="24"/>
        </w:rPr>
        <w:t>ricefishes</w:t>
      </w:r>
      <w:proofErr w:type="spellEnd"/>
      <w:r>
        <w:rPr>
          <w:rFonts w:ascii="Times New Roman" w:eastAsia="Times New Roman" w:hAnsi="Times New Roman" w:cs="Times New Roman"/>
          <w:color w:val="222222"/>
          <w:sz w:val="24"/>
          <w:szCs w:val="24"/>
        </w:rPr>
        <w:t>, Javanese medaka (</w:t>
      </w:r>
      <w:proofErr w:type="spellStart"/>
      <w:r>
        <w:rPr>
          <w:rFonts w:ascii="Times New Roman" w:eastAsia="Times New Roman" w:hAnsi="Times New Roman" w:cs="Times New Roman"/>
          <w:i/>
          <w:color w:val="222222"/>
          <w:sz w:val="24"/>
          <w:szCs w:val="24"/>
        </w:rPr>
        <w:t>Oryzias</w:t>
      </w:r>
      <w:proofErr w:type="spellEnd"/>
      <w:r>
        <w:rPr>
          <w:rFonts w:ascii="Times New Roman" w:eastAsia="Times New Roman" w:hAnsi="Times New Roman" w:cs="Times New Roman"/>
          <w:i/>
          <w:color w:val="222222"/>
          <w:sz w:val="24"/>
          <w:szCs w:val="24"/>
        </w:rPr>
        <w:t xml:space="preserve"> javanicus</w:t>
      </w:r>
      <w:r>
        <w:rPr>
          <w:rFonts w:ascii="Times New Roman" w:eastAsia="Times New Roman" w:hAnsi="Times New Roman" w:cs="Times New Roman"/>
          <w:color w:val="222222"/>
          <w:sz w:val="24"/>
          <w:szCs w:val="24"/>
        </w:rPr>
        <w:t>) and Indian medaka (</w:t>
      </w:r>
      <w:r>
        <w:rPr>
          <w:rFonts w:ascii="Times New Roman" w:eastAsia="Times New Roman" w:hAnsi="Times New Roman" w:cs="Times New Roman"/>
          <w:i/>
          <w:color w:val="222222"/>
          <w:sz w:val="24"/>
          <w:szCs w:val="24"/>
        </w:rPr>
        <w:t xml:space="preserve">O. </w:t>
      </w:r>
      <w:proofErr w:type="spellStart"/>
      <w:r>
        <w:rPr>
          <w:rFonts w:ascii="Times New Roman" w:eastAsia="Times New Roman" w:hAnsi="Times New Roman" w:cs="Times New Roman"/>
          <w:i/>
          <w:color w:val="222222"/>
          <w:sz w:val="24"/>
          <w:szCs w:val="24"/>
        </w:rPr>
        <w:lastRenderedPageBreak/>
        <w:t>dancena</w:t>
      </w:r>
      <w:proofErr w:type="spellEnd"/>
      <w:r>
        <w:rPr>
          <w:rFonts w:ascii="Times New Roman" w:eastAsia="Times New Roman" w:hAnsi="Times New Roman" w:cs="Times New Roman"/>
          <w:color w:val="222222"/>
          <w:sz w:val="24"/>
          <w:szCs w:val="24"/>
        </w:rPr>
        <w:t>) at sites with different salinity in Peninsular Malaysia. </w:t>
      </w:r>
      <w:r>
        <w:rPr>
          <w:rFonts w:ascii="Times New Roman" w:eastAsia="Times New Roman" w:hAnsi="Times New Roman" w:cs="Times New Roman"/>
          <w:iCs/>
          <w:color w:val="222222"/>
          <w:sz w:val="24"/>
          <w:szCs w:val="24"/>
        </w:rPr>
        <w:t>Environ Biol Fishes. 93,</w:t>
      </w:r>
      <w:r>
        <w:rPr>
          <w:rFonts w:ascii="Times New Roman" w:eastAsia="Times New Roman" w:hAnsi="Times New Roman" w:cs="Times New Roman"/>
          <w:color w:val="222222"/>
          <w:sz w:val="24"/>
          <w:szCs w:val="24"/>
        </w:rPr>
        <w:t xml:space="preserve"> 43-49. </w:t>
      </w:r>
    </w:p>
    <w:p w14:paraId="2156D6AC" w14:textId="77777777" w:rsidR="002E79F6" w:rsidRDefault="00021946">
      <w:pPr>
        <w:spacing w:line="36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Yusof, S., Ismail, A., Rahman, F. (2013). Distribution and localities of Java medaka fish (</w:t>
      </w:r>
      <w:proofErr w:type="spellStart"/>
      <w:r>
        <w:rPr>
          <w:rFonts w:ascii="Times New Roman" w:eastAsia="Times New Roman" w:hAnsi="Times New Roman" w:cs="Times New Roman"/>
          <w:i/>
          <w:sz w:val="24"/>
          <w:szCs w:val="24"/>
        </w:rPr>
        <w:t>Oryzias</w:t>
      </w:r>
      <w:proofErr w:type="spellEnd"/>
      <w:r>
        <w:rPr>
          <w:rFonts w:ascii="Times New Roman" w:eastAsia="Times New Roman" w:hAnsi="Times New Roman" w:cs="Times New Roman"/>
          <w:i/>
          <w:sz w:val="24"/>
          <w:szCs w:val="24"/>
        </w:rPr>
        <w:t xml:space="preserve"> javanicus</w:t>
      </w:r>
      <w:r>
        <w:rPr>
          <w:rFonts w:ascii="Times New Roman" w:eastAsia="Times New Roman" w:hAnsi="Times New Roman" w:cs="Times New Roman"/>
          <w:sz w:val="24"/>
          <w:szCs w:val="24"/>
        </w:rPr>
        <w:t xml:space="preserve">) in Peninsular Malaysia. </w:t>
      </w:r>
      <w:r>
        <w:rPr>
          <w:rFonts w:ascii="Times New Roman" w:eastAsia="Times New Roman" w:hAnsi="Times New Roman" w:cs="Times New Roman"/>
          <w:iCs/>
          <w:color w:val="222222"/>
          <w:sz w:val="24"/>
          <w:szCs w:val="24"/>
        </w:rPr>
        <w:t>Malay Nat J. 65(</w:t>
      </w:r>
      <w:r>
        <w:rPr>
          <w:rFonts w:ascii="Times New Roman" w:eastAsia="Times New Roman" w:hAnsi="Times New Roman" w:cs="Times New Roman"/>
          <w:color w:val="222222"/>
          <w:sz w:val="24"/>
          <w:szCs w:val="24"/>
        </w:rPr>
        <w:t>2&amp;3), 38-46.</w:t>
      </w:r>
    </w:p>
    <w:p w14:paraId="1B7639D6" w14:textId="77777777" w:rsidR="002E79F6" w:rsidRDefault="00021946">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Zhang, K., Ye, Z., Qi, M., Cai, W., Saraiva, J. L., Wen, Y., &amp; Zhao, J. (2025). Water Quality Impact on Fish Behavior: A Review from an Aquaculture Perspective. Rev. </w:t>
      </w:r>
      <w:proofErr w:type="spellStart"/>
      <w:r>
        <w:rPr>
          <w:rFonts w:ascii="Times New Roman" w:eastAsia="Times New Roman" w:hAnsi="Times New Roman" w:cs="Times New Roman"/>
          <w:sz w:val="24"/>
          <w:szCs w:val="24"/>
        </w:rPr>
        <w:t>Aquac</w:t>
      </w:r>
      <w:proofErr w:type="spellEnd"/>
      <w:r>
        <w:rPr>
          <w:rFonts w:ascii="Times New Roman" w:eastAsia="Times New Roman" w:hAnsi="Times New Roman" w:cs="Times New Roman"/>
          <w:sz w:val="24"/>
          <w:szCs w:val="24"/>
        </w:rPr>
        <w:t xml:space="preserve">. 17(1), e12985. </w:t>
      </w:r>
    </w:p>
    <w:bookmarkEnd w:id="1"/>
    <w:p w14:paraId="219586CF" w14:textId="77777777" w:rsidR="002E79F6" w:rsidRDefault="002E79F6">
      <w:pPr>
        <w:spacing w:line="360" w:lineRule="auto"/>
        <w:jc w:val="both"/>
        <w:rPr>
          <w:rFonts w:ascii="Times New Roman" w:eastAsia="Times New Roman" w:hAnsi="Times New Roman" w:cs="Times New Roman"/>
          <w:color w:val="222222"/>
          <w:sz w:val="24"/>
          <w:szCs w:val="24"/>
        </w:rPr>
      </w:pPr>
    </w:p>
    <w:sectPr w:rsidR="002E79F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FE41" w14:textId="77777777" w:rsidR="00694FA0" w:rsidRDefault="00694FA0">
      <w:pPr>
        <w:spacing w:line="240" w:lineRule="auto"/>
      </w:pPr>
      <w:r>
        <w:separator/>
      </w:r>
    </w:p>
  </w:endnote>
  <w:endnote w:type="continuationSeparator" w:id="0">
    <w:p w14:paraId="013C47FF" w14:textId="77777777" w:rsidR="00694FA0" w:rsidRDefault="00694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039E" w14:textId="77777777" w:rsidR="00AB2FB1" w:rsidRDefault="00AB2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51005"/>
    </w:sdtPr>
    <w:sdtContent>
      <w:p w14:paraId="6A8056C5" w14:textId="77777777" w:rsidR="002E79F6" w:rsidRDefault="00021946">
        <w:pPr>
          <w:pStyle w:val="Footer"/>
          <w:jc w:val="center"/>
        </w:pPr>
        <w:r>
          <w:fldChar w:fldCharType="begin"/>
        </w:r>
        <w:r>
          <w:instrText xml:space="preserve"> PAGE   \* MERGEFORMAT </w:instrText>
        </w:r>
        <w:r>
          <w:fldChar w:fldCharType="separate"/>
        </w:r>
        <w:r w:rsidR="00D71AE1">
          <w:rPr>
            <w:noProof/>
          </w:rPr>
          <w:t>19</w:t>
        </w:r>
        <w:r>
          <w:fldChar w:fldCharType="end"/>
        </w:r>
      </w:p>
    </w:sdtContent>
  </w:sdt>
  <w:p w14:paraId="588DB562" w14:textId="77777777" w:rsidR="002E79F6" w:rsidRDefault="002E7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DEAF" w14:textId="77777777" w:rsidR="00AB2FB1" w:rsidRDefault="00AB2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C60B" w14:textId="77777777" w:rsidR="00694FA0" w:rsidRDefault="00694FA0">
      <w:pPr>
        <w:spacing w:after="0"/>
      </w:pPr>
      <w:r>
        <w:separator/>
      </w:r>
    </w:p>
  </w:footnote>
  <w:footnote w:type="continuationSeparator" w:id="0">
    <w:p w14:paraId="0736A0CC" w14:textId="77777777" w:rsidR="00694FA0" w:rsidRDefault="00694F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2480" w14:textId="77777777" w:rsidR="00AB2FB1" w:rsidRDefault="00000000">
    <w:pPr>
      <w:pStyle w:val="Header"/>
    </w:pPr>
    <w:r>
      <w:rPr>
        <w:noProof/>
      </w:rPr>
      <w:pict w14:anchorId="6EFFC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05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0306" w14:textId="77777777" w:rsidR="00AB2FB1" w:rsidRDefault="00000000">
    <w:pPr>
      <w:pStyle w:val="Header"/>
    </w:pPr>
    <w:r>
      <w:rPr>
        <w:noProof/>
      </w:rPr>
      <w:pict w14:anchorId="647E1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05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488B" w14:textId="77777777" w:rsidR="00AB2FB1" w:rsidRDefault="00000000">
    <w:pPr>
      <w:pStyle w:val="Header"/>
    </w:pPr>
    <w:r>
      <w:rPr>
        <w:noProof/>
      </w:rPr>
      <w:pict w14:anchorId="53925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05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77"/>
    <w:rsid w:val="00021946"/>
    <w:rsid w:val="000A35A1"/>
    <w:rsid w:val="000C5B06"/>
    <w:rsid w:val="000E2241"/>
    <w:rsid w:val="00114925"/>
    <w:rsid w:val="0013053A"/>
    <w:rsid w:val="00231411"/>
    <w:rsid w:val="00254D49"/>
    <w:rsid w:val="002944BC"/>
    <w:rsid w:val="002E6774"/>
    <w:rsid w:val="002E79F6"/>
    <w:rsid w:val="00302239"/>
    <w:rsid w:val="003045DA"/>
    <w:rsid w:val="00310A9C"/>
    <w:rsid w:val="00310FE5"/>
    <w:rsid w:val="003C41DF"/>
    <w:rsid w:val="00464BC4"/>
    <w:rsid w:val="00493477"/>
    <w:rsid w:val="004A57FB"/>
    <w:rsid w:val="004C406F"/>
    <w:rsid w:val="005049E3"/>
    <w:rsid w:val="00537672"/>
    <w:rsid w:val="00596656"/>
    <w:rsid w:val="005D5277"/>
    <w:rsid w:val="00625C55"/>
    <w:rsid w:val="0063465B"/>
    <w:rsid w:val="00694FA0"/>
    <w:rsid w:val="006C39C9"/>
    <w:rsid w:val="006E2B01"/>
    <w:rsid w:val="006E2B31"/>
    <w:rsid w:val="006F5931"/>
    <w:rsid w:val="00726A1A"/>
    <w:rsid w:val="00730917"/>
    <w:rsid w:val="00731AC7"/>
    <w:rsid w:val="0078216D"/>
    <w:rsid w:val="007A5EC4"/>
    <w:rsid w:val="007E0CB3"/>
    <w:rsid w:val="007F52C0"/>
    <w:rsid w:val="00841110"/>
    <w:rsid w:val="008453E9"/>
    <w:rsid w:val="0085556F"/>
    <w:rsid w:val="008D70E6"/>
    <w:rsid w:val="00902DF6"/>
    <w:rsid w:val="00911B3C"/>
    <w:rsid w:val="00992BD5"/>
    <w:rsid w:val="009C2C73"/>
    <w:rsid w:val="009E43A5"/>
    <w:rsid w:val="009E61CB"/>
    <w:rsid w:val="009E65D1"/>
    <w:rsid w:val="00A0117D"/>
    <w:rsid w:val="00A113AA"/>
    <w:rsid w:val="00A77177"/>
    <w:rsid w:val="00A85B1C"/>
    <w:rsid w:val="00A95BF9"/>
    <w:rsid w:val="00AB2FB1"/>
    <w:rsid w:val="00AC3F4B"/>
    <w:rsid w:val="00AD27F6"/>
    <w:rsid w:val="00AD7403"/>
    <w:rsid w:val="00AF3760"/>
    <w:rsid w:val="00B22F5F"/>
    <w:rsid w:val="00BE7ADC"/>
    <w:rsid w:val="00BF6767"/>
    <w:rsid w:val="00C0286C"/>
    <w:rsid w:val="00C31361"/>
    <w:rsid w:val="00C475A2"/>
    <w:rsid w:val="00C50B87"/>
    <w:rsid w:val="00C6382D"/>
    <w:rsid w:val="00C80229"/>
    <w:rsid w:val="00CC5199"/>
    <w:rsid w:val="00CD3FD1"/>
    <w:rsid w:val="00D01036"/>
    <w:rsid w:val="00D0785C"/>
    <w:rsid w:val="00D529D4"/>
    <w:rsid w:val="00D71AE1"/>
    <w:rsid w:val="00E20078"/>
    <w:rsid w:val="00EC1A11"/>
    <w:rsid w:val="00EC3DC7"/>
    <w:rsid w:val="00ED1ED5"/>
    <w:rsid w:val="00F07E83"/>
    <w:rsid w:val="00FA00F7"/>
    <w:rsid w:val="00FA1207"/>
    <w:rsid w:val="00FB18F1"/>
    <w:rsid w:val="00FB7330"/>
    <w:rsid w:val="02B20806"/>
    <w:rsid w:val="034157BA"/>
    <w:rsid w:val="03D32427"/>
    <w:rsid w:val="03F35D89"/>
    <w:rsid w:val="066D12F5"/>
    <w:rsid w:val="0A401337"/>
    <w:rsid w:val="10D53DBB"/>
    <w:rsid w:val="128657A5"/>
    <w:rsid w:val="15E759FE"/>
    <w:rsid w:val="17EA0ADA"/>
    <w:rsid w:val="18617D0D"/>
    <w:rsid w:val="18CF6F08"/>
    <w:rsid w:val="1BDD456E"/>
    <w:rsid w:val="1F02542E"/>
    <w:rsid w:val="21827716"/>
    <w:rsid w:val="21C35F1E"/>
    <w:rsid w:val="23552376"/>
    <w:rsid w:val="28190D59"/>
    <w:rsid w:val="2AF86F85"/>
    <w:rsid w:val="2E4F26BA"/>
    <w:rsid w:val="309E236E"/>
    <w:rsid w:val="30F9290E"/>
    <w:rsid w:val="33DC38A6"/>
    <w:rsid w:val="39E322BE"/>
    <w:rsid w:val="41305C04"/>
    <w:rsid w:val="446D0A87"/>
    <w:rsid w:val="46F459F4"/>
    <w:rsid w:val="55BD4A9D"/>
    <w:rsid w:val="5EC849E0"/>
    <w:rsid w:val="66DB09CF"/>
    <w:rsid w:val="673E39E2"/>
    <w:rsid w:val="6B47033A"/>
    <w:rsid w:val="6C2447AB"/>
    <w:rsid w:val="6D27051B"/>
    <w:rsid w:val="7605782D"/>
    <w:rsid w:val="76176F9D"/>
    <w:rsid w:val="7876351C"/>
    <w:rsid w:val="78B072EC"/>
    <w:rsid w:val="7ACF187D"/>
    <w:rsid w:val="7EF32EAB"/>
    <w:rsid w:val="7EF941AB"/>
    <w:rsid w:val="7F3F6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8BBE31"/>
  <w15:docId w15:val="{DB6514CE-EAEF-45B9-9A2D-4EA4FD6A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78" w:lineRule="auto"/>
    </w:pPr>
    <w:rPr>
      <w:rFonts w:ascii="Calibri" w:eastAsia="Calibri" w:hAnsi="Calibri" w:cs="Calibri"/>
    </w:rPr>
  </w:style>
  <w:style w:type="paragraph" w:styleId="Heading1">
    <w:name w:val="heading 1"/>
    <w:basedOn w:val="Normal"/>
    <w:next w:val="Normal"/>
    <w:qFormat/>
    <w:pPr>
      <w:spacing w:before="480"/>
      <w:outlineLvl w:val="0"/>
    </w:pPr>
    <w:rPr>
      <w:rFonts w:ascii="Times New Roman" w:eastAsia="Times New Roman" w:hAnsi="Times New Roman" w:cs="Times New Roman"/>
      <w:b/>
      <w:color w:val="345A8A"/>
      <w:sz w:val="32"/>
      <w:szCs w:val="32"/>
    </w:rPr>
  </w:style>
  <w:style w:type="paragraph" w:styleId="Heading2">
    <w:name w:val="heading 2"/>
    <w:basedOn w:val="Normal"/>
    <w:next w:val="Normal"/>
    <w:qFormat/>
    <w:pPr>
      <w:spacing w:before="200"/>
      <w:outlineLvl w:val="1"/>
    </w:pPr>
    <w:rPr>
      <w:rFonts w:ascii="Times New Roman" w:eastAsia="Times New Roman" w:hAnsi="Times New Roman" w:cs="Times New Roman"/>
      <w:b/>
      <w:color w:val="4F81BD"/>
      <w:sz w:val="26"/>
      <w:szCs w:val="26"/>
    </w:rPr>
  </w:style>
  <w:style w:type="paragraph" w:styleId="Heading3">
    <w:name w:val="heading 3"/>
    <w:basedOn w:val="Normal"/>
    <w:next w:val="Normal"/>
    <w:qFormat/>
    <w:pPr>
      <w:spacing w:before="200"/>
      <w:outlineLvl w:val="2"/>
    </w:pPr>
    <w:rPr>
      <w:rFonts w:ascii="Times New Roman" w:eastAsia="Times New Roman" w:hAnsi="Times New Roman" w:cs="Times New Roman"/>
      <w:b/>
      <w:color w:val="4F81BD"/>
      <w:sz w:val="24"/>
      <w:szCs w:val="24"/>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qFormat/>
    <w:rPr>
      <w:color w:val="0000FF"/>
      <w:u w:val="single"/>
    </w:rPr>
  </w:style>
  <w:style w:type="character" w:styleId="LineNumber">
    <w:name w:val="line number"/>
    <w:basedOn w:val="DefaultParagraphFont"/>
    <w:qFormat/>
  </w:style>
  <w:style w:type="paragraph" w:styleId="NormalWeb">
    <w:name w:val="Normal (Web)"/>
    <w:pPr>
      <w:spacing w:beforeAutospacing="1" w:afterAutospacing="1" w:line="278" w:lineRule="auto"/>
    </w:pPr>
    <w:rPr>
      <w:sz w:val="24"/>
      <w:szCs w:val="24"/>
      <w:lang w:eastAsia="zh-CN"/>
    </w:rPr>
  </w:style>
  <w:style w:type="paragraph" w:styleId="Subtitle">
    <w:name w:val="Subtitle"/>
    <w:basedOn w:val="Normal"/>
    <w:next w:val="Normal"/>
    <w:qFormat/>
    <w:rPr>
      <w:rFonts w:ascii="Times New Roman" w:eastAsia="Times New Roman" w:hAnsi="Times New Roman" w:cs="Times New Roman"/>
      <w:i/>
      <w:color w:val="4F81BD"/>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spacing w:after="300"/>
    </w:pPr>
    <w:rPr>
      <w:rFonts w:ascii="Times New Roman" w:eastAsia="Times New Roman" w:hAnsi="Times New Roman" w:cs="Times New Roman"/>
      <w:color w:val="17365D"/>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pPr>
      <w:jc w:val="both"/>
    </w:pPr>
    <w:rPr>
      <w:rFonts w:ascii="Palatino Linotype" w:eastAsia="Palatino Linotype" w:hAnsi="Palatino Linotype" w:cs="Palatino Linotype"/>
      <w:color w:val="000000"/>
    </w:rPr>
    <w:tblPr>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table" w:customStyle="1" w:styleId="Style11">
    <w:name w:val="_Style 11"/>
    <w:basedOn w:val="TableNormal1"/>
    <w:qFormat/>
    <w:pPr>
      <w:jc w:val="both"/>
    </w:pPr>
    <w:rPr>
      <w:rFonts w:ascii="Palatino Linotype" w:eastAsia="Palatino Linotype" w:hAnsi="Palatino Linotype" w:cs="Palatino Linotype"/>
      <w:color w:val="000000"/>
    </w:rPr>
    <w:tblPr>
      <w:tblCellMar>
        <w:left w:w="108" w:type="dxa"/>
        <w:right w:w="108"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Calibri" w:eastAsia="Calibri" w:hAnsi="Calibri" w:cs="Calibri"/>
    </w:rPr>
  </w:style>
  <w:style w:type="character" w:customStyle="1" w:styleId="FooterChar">
    <w:name w:val="Footer Char"/>
    <w:basedOn w:val="DefaultParagraphFont"/>
    <w:link w:val="Footer"/>
    <w:uiPriority w:val="99"/>
    <w:qFormat/>
    <w:rPr>
      <w:rFonts w:ascii="Calibri" w:eastAsia="Calibri" w:hAnsi="Calibri" w:cs="Calibri"/>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2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AppData\Roaming\Kingsoft\office6\backup\Book1.20240402104915550.et"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62091503267997E-2"/>
          <c:y val="0.15586769370185799"/>
          <c:w val="0.88723311546840999"/>
          <c:h val="0.68232895333031296"/>
        </c:manualLayout>
      </c:layout>
      <c:barChart>
        <c:barDir val="col"/>
        <c:grouping val="clustered"/>
        <c:varyColors val="0"/>
        <c:ser>
          <c:idx val="0"/>
          <c:order val="0"/>
          <c:tx>
            <c:strRef>
              <c:f>[Book1.20240402104915550.et]Sheet1!$C$6</c:f>
              <c:strCache>
                <c:ptCount val="1"/>
                <c:pt idx="0">
                  <c:v>Surfacing</c:v>
                </c:pt>
              </c:strCache>
            </c:strRef>
          </c:tx>
          <c:spPr>
            <a:pattFill prst="diagBrick">
              <a:fgClr>
                <a:schemeClr val="accent1"/>
              </a:fgClr>
              <a:bgClr>
                <a:schemeClr val="accent1">
                  <a:lumMod val="20000"/>
                  <a:lumOff val="80000"/>
                </a:schemeClr>
              </a:bgClr>
            </a:pattFill>
            <a:ln>
              <a:noFill/>
            </a:ln>
            <a:effectLst>
              <a:innerShdw blurRad="114300">
                <a:schemeClr val="accent1"/>
              </a:innerShdw>
            </a:effectLst>
          </c:spPr>
          <c:invertIfNegative val="0"/>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[Book1.20240402104915550.et]Sheet1!$D$6:$K$6</c:f>
              <c:numCache>
                <c:formatCode>General</c:formatCode>
                <c:ptCount val="8"/>
                <c:pt idx="0">
                  <c:v>0</c:v>
                </c:pt>
                <c:pt idx="1">
                  <c:v>0</c:v>
                </c:pt>
                <c:pt idx="2">
                  <c:v>0</c:v>
                </c:pt>
                <c:pt idx="3">
                  <c:v>0.33</c:v>
                </c:pt>
                <c:pt idx="4">
                  <c:v>0.4</c:v>
                </c:pt>
                <c:pt idx="5">
                  <c:v>0.53</c:v>
                </c:pt>
                <c:pt idx="6">
                  <c:v>1</c:v>
                </c:pt>
                <c:pt idx="7">
                  <c:v>1</c:v>
                </c:pt>
              </c:numCache>
            </c:numRef>
          </c:val>
          <c:extLst>
            <c:ext xmlns:c16="http://schemas.microsoft.com/office/drawing/2014/chart" uri="{C3380CC4-5D6E-409C-BE32-E72D297353CC}">
              <c16:uniqueId val="{00000000-7D23-495B-94B4-442365A9401C}"/>
            </c:ext>
          </c:extLst>
        </c:ser>
        <c:ser>
          <c:idx val="1"/>
          <c:order val="1"/>
          <c:tx>
            <c:strRef>
              <c:f>[Book1.20240402104915550.et]Sheet1!$C$7</c:f>
              <c:strCache>
                <c:ptCount val="1"/>
                <c:pt idx="0">
                  <c:v>Burst Swimming</c:v>
                </c:pt>
              </c:strCache>
            </c:strRef>
          </c:tx>
          <c:spPr>
            <a:pattFill prst="wdDnDiag">
              <a:fgClr>
                <a:schemeClr val="accent2"/>
              </a:fgClr>
              <a:bgClr>
                <a:schemeClr val="accent2">
                  <a:lumMod val="20000"/>
                  <a:lumOff val="80000"/>
                </a:schemeClr>
              </a:bgClr>
            </a:pattFill>
            <a:ln>
              <a:noFill/>
            </a:ln>
            <a:effectLst>
              <a:innerShdw blurRad="114300">
                <a:schemeClr val="accent2"/>
              </a:innerShdw>
            </a:effectLst>
          </c:spPr>
          <c:invertIfNegative val="0"/>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[Book1.20240402104915550.et]Sheet1!$D$7:$K$7</c:f>
              <c:numCache>
                <c:formatCode>General</c:formatCode>
                <c:ptCount val="8"/>
                <c:pt idx="0">
                  <c:v>0</c:v>
                </c:pt>
                <c:pt idx="1">
                  <c:v>0</c:v>
                </c:pt>
                <c:pt idx="2">
                  <c:v>0</c:v>
                </c:pt>
                <c:pt idx="3">
                  <c:v>0.27</c:v>
                </c:pt>
                <c:pt idx="4">
                  <c:v>0.3</c:v>
                </c:pt>
                <c:pt idx="5">
                  <c:v>0.56999999999999995</c:v>
                </c:pt>
                <c:pt idx="6">
                  <c:v>1</c:v>
                </c:pt>
                <c:pt idx="7">
                  <c:v>1</c:v>
                </c:pt>
              </c:numCache>
            </c:numRef>
          </c:val>
          <c:extLst>
            <c:ext xmlns:c16="http://schemas.microsoft.com/office/drawing/2014/chart" uri="{C3380CC4-5D6E-409C-BE32-E72D297353CC}">
              <c16:uniqueId val="{00000001-7D23-495B-94B4-442365A9401C}"/>
            </c:ext>
          </c:extLst>
        </c:ser>
        <c:ser>
          <c:idx val="2"/>
          <c:order val="2"/>
          <c:tx>
            <c:strRef>
              <c:f>[Book1.20240402104915550.et]Sheet1!$C$8</c:f>
              <c:strCache>
                <c:ptCount val="1"/>
                <c:pt idx="0">
                  <c:v>Coordination</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[Book1.20240402104915550.et]Sheet1!$D$8:$K$8</c:f>
              <c:numCache>
                <c:formatCode>General</c:formatCode>
                <c:ptCount val="8"/>
                <c:pt idx="0">
                  <c:v>0</c:v>
                </c:pt>
                <c:pt idx="1">
                  <c:v>0</c:v>
                </c:pt>
                <c:pt idx="2">
                  <c:v>0</c:v>
                </c:pt>
                <c:pt idx="3">
                  <c:v>0.3</c:v>
                </c:pt>
                <c:pt idx="4">
                  <c:v>0.37</c:v>
                </c:pt>
                <c:pt idx="5">
                  <c:v>0.67</c:v>
                </c:pt>
                <c:pt idx="6">
                  <c:v>1</c:v>
                </c:pt>
                <c:pt idx="7">
                  <c:v>1</c:v>
                </c:pt>
              </c:numCache>
            </c:numRef>
          </c:val>
          <c:extLst>
            <c:ext xmlns:c16="http://schemas.microsoft.com/office/drawing/2014/chart" uri="{C3380CC4-5D6E-409C-BE32-E72D297353CC}">
              <c16:uniqueId val="{00000002-7D23-495B-94B4-442365A9401C}"/>
            </c:ext>
          </c:extLst>
        </c:ser>
        <c:ser>
          <c:idx val="3"/>
          <c:order val="3"/>
          <c:tx>
            <c:strRef>
              <c:f>[Book1.20240402104915550.et]Sheet1!$C$9</c:f>
              <c:strCache>
                <c:ptCount val="1"/>
                <c:pt idx="0">
                  <c:v>Change in skin pigmentation</c:v>
                </c:pt>
              </c:strCache>
            </c:strRef>
          </c:tx>
          <c:spPr>
            <a:pattFill prst="dkVert">
              <a:fgClr>
                <a:schemeClr val="accent4"/>
              </a:fgClr>
              <a:bgClr>
                <a:schemeClr val="accent4">
                  <a:lumMod val="20000"/>
                  <a:lumOff val="80000"/>
                </a:schemeClr>
              </a:bgClr>
            </a:pattFill>
            <a:ln>
              <a:noFill/>
            </a:ln>
            <a:effectLst>
              <a:innerShdw blurRad="114300">
                <a:schemeClr val="accent4"/>
              </a:innerShdw>
            </a:effectLst>
          </c:spPr>
          <c:invertIfNegative val="0"/>
          <c:cat>
            <c:strRef>
              <c:f>[Book1.20240402104915550.et]Sheet1!$D$5:$K$5</c:f>
              <c:strCache>
                <c:ptCount val="8"/>
                <c:pt idx="0">
                  <c:v>Control</c:v>
                </c:pt>
                <c:pt idx="1">
                  <c:v>Control DMSO</c:v>
                </c:pt>
                <c:pt idx="2">
                  <c:v>1</c:v>
                </c:pt>
                <c:pt idx="3">
                  <c:v>5</c:v>
                </c:pt>
                <c:pt idx="4">
                  <c:v>7</c:v>
                </c:pt>
                <c:pt idx="5">
                  <c:v>10</c:v>
                </c:pt>
                <c:pt idx="6">
                  <c:v>15</c:v>
                </c:pt>
                <c:pt idx="7">
                  <c:v>20</c:v>
                </c:pt>
              </c:strCache>
            </c:strRef>
          </c:cat>
          <c:val>
            <c:numRef>
              <c:f>[Book1.20240402104915550.et]Sheet1!$D$9:$K$9</c:f>
              <c:numCache>
                <c:formatCode>General</c:formatCode>
                <c:ptCount val="8"/>
                <c:pt idx="0">
                  <c:v>0</c:v>
                </c:pt>
                <c:pt idx="1">
                  <c:v>0</c:v>
                </c:pt>
                <c:pt idx="2">
                  <c:v>0</c:v>
                </c:pt>
                <c:pt idx="3">
                  <c:v>0.13</c:v>
                </c:pt>
                <c:pt idx="4">
                  <c:v>0.17</c:v>
                </c:pt>
                <c:pt idx="5">
                  <c:v>0.56999999999999995</c:v>
                </c:pt>
                <c:pt idx="6">
                  <c:v>1</c:v>
                </c:pt>
                <c:pt idx="7">
                  <c:v>1</c:v>
                </c:pt>
              </c:numCache>
            </c:numRef>
          </c:val>
          <c:extLst>
            <c:ext xmlns:c16="http://schemas.microsoft.com/office/drawing/2014/chart" uri="{C3380CC4-5D6E-409C-BE32-E72D297353CC}">
              <c16:uniqueId val="{00000003-7D23-495B-94B4-442365A9401C}"/>
            </c:ext>
          </c:extLst>
        </c:ser>
        <c:dLbls>
          <c:showLegendKey val="0"/>
          <c:showVal val="0"/>
          <c:showCatName val="0"/>
          <c:showSerName val="0"/>
          <c:showPercent val="0"/>
          <c:showBubbleSize val="0"/>
        </c:dLbls>
        <c:gapWidth val="164"/>
        <c:overlap val="-22"/>
        <c:axId val="769915005"/>
        <c:axId val="656866423"/>
      </c:barChart>
      <c:catAx>
        <c:axId val="769915005"/>
        <c:scaling>
          <c:orientation val="minMax"/>
        </c:scaling>
        <c:delete val="0"/>
        <c:axPos val="b"/>
        <c:title>
          <c:tx>
            <c:rich>
              <a:bodyPr rot="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rPr>
                  <a:t>Diuron concentration (mg/L)</a:t>
                </a:r>
              </a:p>
            </c:rich>
          </c:tx>
          <c:overlay val="0"/>
          <c:spPr>
            <a:noFill/>
            <a:ln>
              <a:noFill/>
            </a:ln>
            <a:effectLst/>
          </c:spPr>
          <c:txPr>
            <a:bodyPr rot="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656866423"/>
        <c:crosses val="autoZero"/>
        <c:auto val="1"/>
        <c:lblAlgn val="ctr"/>
        <c:lblOffset val="100"/>
        <c:noMultiLvlLbl val="0"/>
      </c:catAx>
      <c:valAx>
        <c:axId val="656866423"/>
        <c:scaling>
          <c:orientation val="minMax"/>
          <c:max val="1"/>
        </c:scaling>
        <c:delete val="0"/>
        <c:axPos val="l"/>
        <c:title>
          <c:tx>
            <c:rich>
              <a:bodyPr rot="-540000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rPr>
                  <a:t>Bahavioural Score</a:t>
                </a:r>
              </a:p>
            </c:rich>
          </c:tx>
          <c:overlay val="0"/>
          <c:spPr>
            <a:noFill/>
            <a:ln>
              <a:noFill/>
            </a:ln>
            <a:effectLst/>
          </c:spPr>
          <c:txPr>
            <a:bodyPr rot="-5400000" spcFirstLastPara="0" vertOverflow="ellipsis" vert="horz" wrap="square" anchor="ctr" anchorCtr="1"/>
            <a:lstStyle/>
            <a:p>
              <a:pPr defTabSz="914400">
                <a:defRPr lang="en-US" sz="8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769915005"/>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3"/>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8.7908325184842095E-2"/>
          <c:y val="3.6248300860897101E-2"/>
          <c:w val="0.65860583603520195"/>
          <c:h val="6.6929133858267695E-2"/>
        </c:manualLayout>
      </c:layout>
      <c:overlay val="0"/>
      <c:spPr>
        <a:noFill/>
        <a:ln>
          <a:noFill/>
        </a:ln>
        <a:effectLst/>
      </c:spPr>
      <c:txPr>
        <a:bodyPr rot="0" spcFirstLastPara="0"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3738026c-c58c-4713-904b-0924210f72d7}"/>
      </c:ext>
    </c:extLst>
  </c:chart>
  <c:spPr>
    <a:solidFill>
      <a:schemeClr val="bg1"/>
    </a:solidFill>
    <a:ln w="9525" cap="flat" cmpd="sng" algn="ctr">
      <a:solidFill>
        <a:schemeClr val="tx1">
          <a:lumMod val="15000"/>
          <a:lumOff val="85000"/>
        </a:schemeClr>
      </a:solidFill>
      <a:round/>
    </a:ln>
    <a:effectLst/>
  </c:spPr>
  <c:txPr>
    <a:bodyPr/>
    <a:lstStyle/>
    <a:p>
      <a:pPr>
        <a:defRPr lang="en-US" sz="8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0.78878</cdr:x>
      <cdr:y>0.01359</cdr:y>
    </cdr:from>
    <cdr:to>
      <cdr:x>0.8415</cdr:x>
      <cdr:y>0.10535</cdr:y>
    </cdr:to>
    <cdr:sp macro="" textlink="">
      <cdr:nvSpPr>
        <cdr:cNvPr id="2" name="Rectangles 1"/>
        <cdr:cNvSpPr/>
      </cdr:nvSpPr>
      <cdr:spPr>
        <a:xfrm xmlns:a="http://schemas.openxmlformats.org/drawingml/2006/main">
          <a:off x="4598035" y="38101"/>
          <a:ext cx="307339" cy="25717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r>
            <a:rPr lang="en-US" sz="900" kern="1200">
              <a:solidFill>
                <a:sysClr val="windowText" lastClr="000000"/>
              </a:solidFill>
            </a:rPr>
            <a:t>a</a:t>
          </a:r>
        </a:p>
      </cdr:txBody>
    </cdr:sp>
  </cdr:relSizeAnchor>
  <cdr:relSizeAnchor xmlns:cdr="http://schemas.openxmlformats.org/drawingml/2006/chartDrawing">
    <cdr:from>
      <cdr:x>0.8988</cdr:x>
      <cdr:y>0.00974</cdr:y>
    </cdr:from>
    <cdr:to>
      <cdr:x>0.93747</cdr:x>
      <cdr:y>0.09017</cdr:y>
    </cdr:to>
    <cdr:sp macro="" textlink="">
      <cdr:nvSpPr>
        <cdr:cNvPr id="3" name="Rectangles 2"/>
        <cdr:cNvSpPr/>
      </cdr:nvSpPr>
      <cdr:spPr>
        <a:xfrm xmlns:a="http://schemas.openxmlformats.org/drawingml/2006/main">
          <a:off x="5239385" y="2730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a</a:t>
          </a:r>
        </a:p>
      </cdr:txBody>
    </cdr:sp>
  </cdr:relSizeAnchor>
  <cdr:relSizeAnchor xmlns:cdr="http://schemas.openxmlformats.org/drawingml/2006/chartDrawing">
    <cdr:from>
      <cdr:x>0.68769</cdr:x>
      <cdr:y>0.29384</cdr:y>
    </cdr:from>
    <cdr:to>
      <cdr:x>0.72636</cdr:x>
      <cdr:y>0.37426</cdr:y>
    </cdr:to>
    <cdr:sp macro="" textlink="">
      <cdr:nvSpPr>
        <cdr:cNvPr id="4" name="Rectangles 3"/>
        <cdr:cNvSpPr/>
      </cdr:nvSpPr>
      <cdr:spPr>
        <a:xfrm xmlns:a="http://schemas.openxmlformats.org/drawingml/2006/main">
          <a:off x="4008755" y="82359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b</a:t>
          </a:r>
        </a:p>
      </cdr:txBody>
    </cdr:sp>
  </cdr:relSizeAnchor>
  <cdr:relSizeAnchor xmlns:cdr="http://schemas.openxmlformats.org/drawingml/2006/chartDrawing">
    <cdr:from>
      <cdr:x>0.66634</cdr:x>
      <cdr:y>0.3609</cdr:y>
    </cdr:from>
    <cdr:to>
      <cdr:x>0.70501</cdr:x>
      <cdr:y>0.44132</cdr:y>
    </cdr:to>
    <cdr:sp macro="" textlink="">
      <cdr:nvSpPr>
        <cdr:cNvPr id="5" name="Rectangles 4"/>
        <cdr:cNvSpPr/>
      </cdr:nvSpPr>
      <cdr:spPr>
        <a:xfrm xmlns:a="http://schemas.openxmlformats.org/drawingml/2006/main">
          <a:off x="3884295" y="101155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c</a:t>
          </a:r>
        </a:p>
      </cdr:txBody>
    </cdr:sp>
  </cdr:relSizeAnchor>
  <cdr:relSizeAnchor xmlns:cdr="http://schemas.openxmlformats.org/drawingml/2006/chartDrawing">
    <cdr:from>
      <cdr:x>0.53388</cdr:x>
      <cdr:y>0.48233</cdr:y>
    </cdr:from>
    <cdr:to>
      <cdr:x>0.57255</cdr:x>
      <cdr:y>0.56275</cdr:y>
    </cdr:to>
    <cdr:sp macro="" textlink="">
      <cdr:nvSpPr>
        <cdr:cNvPr id="6" name="Rectangles 5"/>
        <cdr:cNvSpPr/>
      </cdr:nvSpPr>
      <cdr:spPr>
        <a:xfrm xmlns:a="http://schemas.openxmlformats.org/drawingml/2006/main">
          <a:off x="3112135" y="135191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a:t>
          </a:r>
        </a:p>
      </cdr:txBody>
    </cdr:sp>
  </cdr:relSizeAnchor>
  <cdr:relSizeAnchor xmlns:cdr="http://schemas.openxmlformats.org/drawingml/2006/chartDrawing">
    <cdr:from>
      <cdr:x>0.46155</cdr:x>
      <cdr:y>0.55483</cdr:y>
    </cdr:from>
    <cdr:to>
      <cdr:x>0.51895</cdr:x>
      <cdr:y>0.64159</cdr:y>
    </cdr:to>
    <cdr:sp macro="" textlink="">
      <cdr:nvSpPr>
        <cdr:cNvPr id="7" name="Rectangles 6"/>
        <cdr:cNvSpPr/>
      </cdr:nvSpPr>
      <cdr:spPr>
        <a:xfrm xmlns:a="http://schemas.openxmlformats.org/drawingml/2006/main">
          <a:off x="2690495" y="1555115"/>
          <a:ext cx="334645" cy="24320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dr:relSizeAnchor xmlns:cdr="http://schemas.openxmlformats.org/drawingml/2006/chartDrawing">
    <cdr:from>
      <cdr:x>0.71035</cdr:x>
      <cdr:y>0.36543</cdr:y>
    </cdr:from>
    <cdr:to>
      <cdr:x>0.74902</cdr:x>
      <cdr:y>0.44585</cdr:y>
    </cdr:to>
    <cdr:sp macro="" textlink="">
      <cdr:nvSpPr>
        <cdr:cNvPr id="8" name="Rectangles 7"/>
        <cdr:cNvSpPr/>
      </cdr:nvSpPr>
      <cdr:spPr>
        <a:xfrm xmlns:a="http://schemas.openxmlformats.org/drawingml/2006/main">
          <a:off x="4140835" y="102425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c</a:t>
          </a:r>
        </a:p>
      </cdr:txBody>
    </cdr:sp>
  </cdr:relSizeAnchor>
  <cdr:relSizeAnchor xmlns:cdr="http://schemas.openxmlformats.org/drawingml/2006/chartDrawing">
    <cdr:from>
      <cdr:x>0.64717</cdr:x>
      <cdr:y>0.39443</cdr:y>
    </cdr:from>
    <cdr:to>
      <cdr:x>0.68584</cdr:x>
      <cdr:y>0.47485</cdr:y>
    </cdr:to>
    <cdr:sp macro="" textlink="">
      <cdr:nvSpPr>
        <cdr:cNvPr id="9" name="Rectangles 8"/>
        <cdr:cNvSpPr/>
      </cdr:nvSpPr>
      <cdr:spPr>
        <a:xfrm xmlns:a="http://schemas.openxmlformats.org/drawingml/2006/main">
          <a:off x="3772535" y="1105535"/>
          <a:ext cx="22542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c</a:t>
          </a:r>
        </a:p>
      </cdr:txBody>
    </cdr:sp>
  </cdr:relSizeAnchor>
  <cdr:relSizeAnchor xmlns:cdr="http://schemas.openxmlformats.org/drawingml/2006/chartDrawing">
    <cdr:from>
      <cdr:x>0.5719</cdr:x>
      <cdr:y>0.50566</cdr:y>
    </cdr:from>
    <cdr:to>
      <cdr:x>0.63399</cdr:x>
      <cdr:y>0.6015</cdr:y>
    </cdr:to>
    <cdr:sp macro="" textlink="">
      <cdr:nvSpPr>
        <cdr:cNvPr id="10" name="Rectangles 9"/>
        <cdr:cNvSpPr/>
      </cdr:nvSpPr>
      <cdr:spPr>
        <a:xfrm xmlns:a="http://schemas.openxmlformats.org/drawingml/2006/main">
          <a:off x="3333750" y="1417320"/>
          <a:ext cx="361950" cy="26860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dr:relSizeAnchor xmlns:cdr="http://schemas.openxmlformats.org/drawingml/2006/chartDrawing">
    <cdr:from>
      <cdr:x>0.60185</cdr:x>
      <cdr:y>0.64159</cdr:y>
    </cdr:from>
    <cdr:to>
      <cdr:x>0.63399</cdr:x>
      <cdr:y>0.71772</cdr:y>
    </cdr:to>
    <cdr:sp macro="" textlink="">
      <cdr:nvSpPr>
        <cdr:cNvPr id="11" name="Rectangles 10"/>
        <cdr:cNvSpPr/>
      </cdr:nvSpPr>
      <cdr:spPr>
        <a:xfrm xmlns:a="http://schemas.openxmlformats.org/drawingml/2006/main">
          <a:off x="3508375" y="1798320"/>
          <a:ext cx="187325" cy="21336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f</a:t>
          </a:r>
        </a:p>
      </cdr:txBody>
    </cdr:sp>
  </cdr:relSizeAnchor>
  <cdr:relSizeAnchor xmlns:cdr="http://schemas.openxmlformats.org/drawingml/2006/chartDrawing">
    <cdr:from>
      <cdr:x>0.49031</cdr:x>
      <cdr:y>0.67059</cdr:y>
    </cdr:from>
    <cdr:to>
      <cdr:x>0.52244</cdr:x>
      <cdr:y>0.74671</cdr:y>
    </cdr:to>
    <cdr:sp macro="" textlink="">
      <cdr:nvSpPr>
        <cdr:cNvPr id="12" name="Rectangles 11"/>
        <cdr:cNvSpPr/>
      </cdr:nvSpPr>
      <cdr:spPr>
        <a:xfrm xmlns:a="http://schemas.openxmlformats.org/drawingml/2006/main">
          <a:off x="2858135" y="1879600"/>
          <a:ext cx="187325" cy="21336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f</a:t>
          </a:r>
        </a:p>
      </cdr:txBody>
    </cdr:sp>
  </cdr:relSizeAnchor>
  <cdr:relSizeAnchor xmlns:cdr="http://schemas.openxmlformats.org/drawingml/2006/chartDrawing">
    <cdr:from>
      <cdr:x>0.55218</cdr:x>
      <cdr:y>0.55845</cdr:y>
    </cdr:from>
    <cdr:to>
      <cdr:x>0.60784</cdr:x>
      <cdr:y>0.63888</cdr:y>
    </cdr:to>
    <cdr:sp macro="" textlink="">
      <cdr:nvSpPr>
        <cdr:cNvPr id="13" name="Rectangles 12"/>
        <cdr:cNvSpPr/>
      </cdr:nvSpPr>
      <cdr:spPr>
        <a:xfrm xmlns:a="http://schemas.openxmlformats.org/drawingml/2006/main">
          <a:off x="3218815" y="1565275"/>
          <a:ext cx="32448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dr:relSizeAnchor xmlns:cdr="http://schemas.openxmlformats.org/drawingml/2006/chartDrawing">
    <cdr:from>
      <cdr:x>0.44194</cdr:x>
      <cdr:y>0.57386</cdr:y>
    </cdr:from>
    <cdr:to>
      <cdr:x>0.4976</cdr:x>
      <cdr:y>0.65428</cdr:y>
    </cdr:to>
    <cdr:sp macro="" textlink="">
      <cdr:nvSpPr>
        <cdr:cNvPr id="14" name="Rectangles 13"/>
        <cdr:cNvSpPr/>
      </cdr:nvSpPr>
      <cdr:spPr>
        <a:xfrm xmlns:a="http://schemas.openxmlformats.org/drawingml/2006/main">
          <a:off x="2576195" y="1608455"/>
          <a:ext cx="32448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dr:relSizeAnchor xmlns:cdr="http://schemas.openxmlformats.org/drawingml/2006/chartDrawing">
    <cdr:from>
      <cdr:x>0.42059</cdr:x>
      <cdr:y>0.53217</cdr:y>
    </cdr:from>
    <cdr:to>
      <cdr:x>0.47625</cdr:x>
      <cdr:y>0.6126</cdr:y>
    </cdr:to>
    <cdr:sp macro="" textlink="">
      <cdr:nvSpPr>
        <cdr:cNvPr id="15" name="Rectangles 14"/>
        <cdr:cNvSpPr/>
      </cdr:nvSpPr>
      <cdr:spPr>
        <a:xfrm xmlns:a="http://schemas.openxmlformats.org/drawingml/2006/main">
          <a:off x="2451735" y="1491615"/>
          <a:ext cx="324485" cy="225425"/>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horz" wrap="none" lIns="45720" tIns="45720" rIns="45720" bIns="45720" anchor="t" anchorCtr="0">
          <a:norm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kern="1200">
              <a:solidFill>
                <a:sysClr val="windowText" lastClr="000000"/>
              </a:solidFill>
            </a:rPr>
            <a:t>de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3AE58EC-04FD-47BC-ACB0-07FFA60284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5246</Words>
  <Characters>32633</Characters>
  <Application>Microsoft Office Word</Application>
  <DocSecurity>0</DocSecurity>
  <Lines>1553</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Javed Pathan</cp:lastModifiedBy>
  <cp:revision>3</cp:revision>
  <dcterms:created xsi:type="dcterms:W3CDTF">2025-08-23T16:50:00Z</dcterms:created>
  <dcterms:modified xsi:type="dcterms:W3CDTF">2025-08-23T17:49:00Z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69FC84397DCB4AF7969F4AB211EFF8E9_13</vt:lpwstr>
  </property>
  <property fmtid="{D5CDD505-2E9C-101B-9397-08002B2CF9AE}" pid="4" name="GrammarlyDocumentId">
    <vt:lpwstr>2523910e-7268-4501-a777-d5e5fcd0facc</vt:lpwstr>
  </property>
</Properties>
</file>