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8EE21" w14:textId="77777777" w:rsidR="00A64FEC" w:rsidRDefault="00A64FEC" w:rsidP="00C948E4">
      <w:pPr>
        <w:pStyle w:val="NormalWeb"/>
        <w:rPr>
          <w:rStyle w:val="Strong"/>
        </w:rPr>
      </w:pPr>
    </w:p>
    <w:p w14:paraId="06643039" w14:textId="77777777" w:rsidR="00A64FEC" w:rsidRDefault="00A64FEC" w:rsidP="00A64FEC">
      <w:pPr>
        <w:pStyle w:val="NormalWeb"/>
        <w:jc w:val="center"/>
        <w:rPr>
          <w:b/>
        </w:rPr>
      </w:pPr>
      <w:r w:rsidRPr="00A64FEC">
        <w:rPr>
          <w:b/>
        </w:rPr>
        <w:t>AI-D</w:t>
      </w:r>
      <w:r>
        <w:rPr>
          <w:b/>
        </w:rPr>
        <w:t>r</w:t>
      </w:r>
      <w:r w:rsidRPr="00A64FEC">
        <w:rPr>
          <w:b/>
        </w:rPr>
        <w:t>iven Environmental Education in Southeast Nigerian Schools: A Study on Climate Change Awareness and Mitigation Strategies</w:t>
      </w:r>
    </w:p>
    <w:p w14:paraId="20699FF2" w14:textId="77777777" w:rsidR="00C204AD" w:rsidRDefault="00C204AD" w:rsidP="00A64FEC">
      <w:pPr>
        <w:pStyle w:val="NormalWeb"/>
        <w:jc w:val="center"/>
        <w:rPr>
          <w:rStyle w:val="Strong"/>
        </w:rPr>
      </w:pPr>
    </w:p>
    <w:p w14:paraId="1D84A510" w14:textId="5DDDC8B5" w:rsidR="00A64FEC" w:rsidRDefault="00A64FEC" w:rsidP="00A64FEC">
      <w:pPr>
        <w:pStyle w:val="NormalWeb"/>
        <w:jc w:val="center"/>
      </w:pPr>
      <w:r>
        <w:rPr>
          <w:rStyle w:val="Strong"/>
        </w:rPr>
        <w:t>Abstract</w:t>
      </w:r>
    </w:p>
    <w:p w14:paraId="04BD2B43" w14:textId="77777777" w:rsidR="00A64FEC" w:rsidRDefault="00C948E4" w:rsidP="00A64FEC">
      <w:pPr>
        <w:pStyle w:val="NormalWeb"/>
        <w:jc w:val="both"/>
      </w:pPr>
      <w:r>
        <w:t>This study aimed</w:t>
      </w:r>
      <w:r w:rsidR="00A64FEC">
        <w:t xml:space="preserve">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w:t>
      </w:r>
      <w:r>
        <w:t xml:space="preserve">oriented skills. The study </w:t>
      </w:r>
      <w:r w:rsidR="00A64FEC">
        <w:t>adopt</w:t>
      </w:r>
      <w:r>
        <w:t>ed</w:t>
      </w:r>
      <w:r w:rsidR="00A64FEC">
        <w:t xml:space="preserve"> a mixed-methods design, integrating quantitative surveys and qualitative focus group discussions to assess baseline knowledge, attitudes, and practices related to climate change. Artificial intelligence tools such as adaptive learning platforms, environmental simulation models, and int</w:t>
      </w:r>
      <w:r>
        <w:t>eractive digital content were</w:t>
      </w:r>
      <w:r w:rsidR="00A64FEC">
        <w:t xml:space="preserve"> introduced in selected schools as part of the int</w:t>
      </w:r>
      <w:r>
        <w:t>ervention. Data analysis was</w:t>
      </w:r>
      <w:r w:rsidR="00A64FEC">
        <w:t xml:space="preserve"> carried out using SPSS for statistical evaluation and NVivo for qualita</w:t>
      </w:r>
      <w:r>
        <w:t>tive insights. The study intended</w:t>
      </w:r>
      <w:r w:rsidR="00A64FEC">
        <w:t xml:space="preserve"> to determine whether the incorporation of AI technologies </w:t>
      </w:r>
      <w:r>
        <w:t>into environmental education could</w:t>
      </w:r>
      <w:r w:rsidR="00A64FEC">
        <w:t xml:space="preserve"> significantly enhance students’ climate literacy and influence their participation in sustainability initiatives. Findings fr</w:t>
      </w:r>
      <w:r>
        <w:t>om this research would</w:t>
      </w:r>
      <w:r w:rsidR="00A64FEC">
        <w:t xml:space="preserve"> inform educational policy, support teacher training in digital environmental pedagogy, and contribute to the broader discourse on climate change education in the Global South.</w:t>
      </w:r>
    </w:p>
    <w:p w14:paraId="683151A6" w14:textId="77777777" w:rsidR="00A64FEC" w:rsidRDefault="00A64FEC" w:rsidP="00A64FEC">
      <w:pPr>
        <w:pStyle w:val="NormalWeb"/>
      </w:pPr>
      <w:r>
        <w:rPr>
          <w:rStyle w:val="Strong"/>
        </w:rPr>
        <w:t>Keywords:</w:t>
      </w:r>
      <w:r>
        <w:t xml:space="preserve"> Artificial Intelligence, Climate Change, Environmental Education, Mitigation Strategies, Southeast Nigeria.</w:t>
      </w:r>
    </w:p>
    <w:p w14:paraId="471642DE" w14:textId="77777777" w:rsidR="0020127C" w:rsidRDefault="0020127C"/>
    <w:p w14:paraId="3C101843" w14:textId="77777777" w:rsidR="00A64FEC" w:rsidRDefault="00A64FEC"/>
    <w:p w14:paraId="507FA578" w14:textId="77777777" w:rsidR="00A64FEC" w:rsidRDefault="00A64FEC"/>
    <w:p w14:paraId="4BFBD259" w14:textId="77777777" w:rsidR="00A64FEC" w:rsidRDefault="00A64FEC"/>
    <w:p w14:paraId="16C16D70" w14:textId="77777777" w:rsidR="00A64FEC" w:rsidRDefault="00A64FEC"/>
    <w:p w14:paraId="159011A5" w14:textId="77777777" w:rsidR="00A64FEC" w:rsidRDefault="00A64FEC"/>
    <w:p w14:paraId="5301A402" w14:textId="77777777" w:rsidR="00A64FEC" w:rsidRDefault="00A64FEC"/>
    <w:p w14:paraId="00FDBBFE" w14:textId="77777777" w:rsidR="00A64FEC" w:rsidRDefault="00A64FEC"/>
    <w:p w14:paraId="2121BBE5" w14:textId="77777777" w:rsidR="00A64FEC" w:rsidRDefault="00A64FEC"/>
    <w:p w14:paraId="2631F1A6" w14:textId="77777777" w:rsidR="00A64FEC" w:rsidRDefault="00A64FEC"/>
    <w:p w14:paraId="651027C9" w14:textId="77777777" w:rsidR="00A64FEC" w:rsidRDefault="00A64FEC"/>
    <w:p w14:paraId="37D32E3D" w14:textId="77777777" w:rsidR="00A64FEC" w:rsidRPr="00A64FEC" w:rsidRDefault="00A64FEC" w:rsidP="00A64FEC">
      <w:pPr>
        <w:spacing w:before="100" w:beforeAutospacing="1" w:after="100" w:afterAutospacing="1" w:line="240" w:lineRule="auto"/>
        <w:outlineLvl w:val="2"/>
        <w:rPr>
          <w:rFonts w:ascii="Times New Roman" w:eastAsia="Times New Roman" w:hAnsi="Times New Roman" w:cs="Times New Roman"/>
          <w:b/>
          <w:bCs/>
          <w:sz w:val="24"/>
          <w:szCs w:val="24"/>
        </w:rPr>
      </w:pPr>
      <w:r w:rsidRPr="00A64FEC">
        <w:rPr>
          <w:rFonts w:ascii="Times New Roman" w:eastAsia="Times New Roman" w:hAnsi="Times New Roman" w:cs="Times New Roman"/>
          <w:b/>
          <w:bCs/>
          <w:sz w:val="24"/>
          <w:szCs w:val="24"/>
        </w:rPr>
        <w:t>1.0 Introduction</w:t>
      </w:r>
    </w:p>
    <w:p w14:paraId="3BA19EA5"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In Southeast Nigeria, these phenomena have had devastating consequences on human settlements, food systems, and ecological balance, with erosion-prone states such as Anambra and Imo facing significant environmental degradation and socio-economic disruptions (Okonkwo &amp; Nwafor, 2022). As the climate emergency intensifies, it has become increasingly imperative to promote environmental education that empowers young people with the knowledge, skills, and values necessary to respond proactively and sustainably.</w:t>
      </w:r>
    </w:p>
    <w:p w14:paraId="424FFA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 inadequately resourced (Ofoegbu et al., 2021). Many public and private schools lack access to updated curricular materials, trained educators, and interactive teaching resources that can engage students meaningfully in sustainability issues. Furthermore, the pedagogical methods commonly employed are insufficient in capturing the dynamic and interdisciplinary nature of climate change and environmental science, thereby limiting student engagement and real-world application of knowledge.</w:t>
      </w:r>
    </w:p>
    <w:p w14:paraId="114AFE0A"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lastRenderedPageBreak/>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w:t>
      </w:r>
      <w:proofErr w:type="spellStart"/>
      <w:r w:rsidRPr="00A64FEC">
        <w:rPr>
          <w:rFonts w:ascii="Times New Roman" w:eastAsia="Times New Roman" w:hAnsi="Times New Roman" w:cs="Times New Roman"/>
          <w:sz w:val="24"/>
          <w:szCs w:val="24"/>
        </w:rPr>
        <w:t>Luckin</w:t>
      </w:r>
      <w:proofErr w:type="spellEnd"/>
      <w:r w:rsidRPr="00A64FEC">
        <w:rPr>
          <w:rFonts w:ascii="Times New Roman" w:eastAsia="Times New Roman" w:hAnsi="Times New Roman" w:cs="Times New Roman"/>
          <w:sz w:val="24"/>
          <w:szCs w:val="24"/>
        </w:rPr>
        <w:t xml:space="preserve"> et al., 2016; UNESCO, 2023). By integrating AI into environmental education, educators can enhance students' cognitive, affective, and behavioral engagement, making complex concepts like carbon cycles, biodiversity loss, and climate resilience more accessible and actionable (Chowdhury &amp; Saha, 2023).</w:t>
      </w:r>
    </w:p>
    <w:p w14:paraId="050075D1"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14:paraId="7DB47E88" w14:textId="77777777" w:rsidR="00A64FEC" w:rsidRPr="00A64FEC" w:rsidRDefault="00A64FEC" w:rsidP="00A64FEC">
      <w:pPr>
        <w:spacing w:before="100" w:beforeAutospacing="1" w:after="100" w:afterAutospacing="1" w:line="480" w:lineRule="auto"/>
        <w:jc w:val="both"/>
        <w:rPr>
          <w:rFonts w:ascii="Times New Roman" w:eastAsia="Times New Roman" w:hAnsi="Times New Roman" w:cs="Times New Roman"/>
          <w:sz w:val="24"/>
          <w:szCs w:val="24"/>
        </w:rPr>
      </w:pPr>
      <w:r w:rsidRPr="00A64FEC">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into educational strategies for sustainable development. Furthermore, this research aligns with the United Nations Sustainable Development Goals (SDGs), particularly Goal 4 (Quality </w:t>
      </w:r>
      <w:r w:rsidRPr="00A64FEC">
        <w:rPr>
          <w:rFonts w:ascii="Times New Roman" w:eastAsia="Times New Roman" w:hAnsi="Times New Roman" w:cs="Times New Roman"/>
          <w:sz w:val="24"/>
          <w:szCs w:val="24"/>
        </w:rPr>
        <w:lastRenderedPageBreak/>
        <w:t>Education), Goal 13 (Climate Action), and Goal 9 (Industry, Innovation and Infrastructure), reinforcing the role of education and innovation in addressing global environmental challenges.</w:t>
      </w:r>
    </w:p>
    <w:p w14:paraId="10671CAC" w14:textId="77777777" w:rsidR="00A64FEC" w:rsidRDefault="00A64FEC" w:rsidP="00A64FEC">
      <w:pPr>
        <w:pStyle w:val="Heading3"/>
      </w:pPr>
      <w:r>
        <w:rPr>
          <w:rStyle w:val="Strong"/>
          <w:b/>
          <w:bCs/>
        </w:rPr>
        <w:t>1</w:t>
      </w:r>
      <w:r w:rsidRPr="0066739E">
        <w:rPr>
          <w:rStyle w:val="Strong"/>
          <w:b/>
          <w:bCs/>
          <w:sz w:val="24"/>
          <w:szCs w:val="24"/>
        </w:rPr>
        <w:t>.1 Statement of the Problem</w:t>
      </w:r>
    </w:p>
    <w:p w14:paraId="5EC3B04C" w14:textId="77777777" w:rsidR="00A64FEC" w:rsidRDefault="00A64FEC" w:rsidP="0066739E">
      <w:pPr>
        <w:pStyle w:val="NormalWeb"/>
        <w:spacing w:line="480" w:lineRule="auto"/>
        <w:jc w:val="both"/>
      </w:pPr>
      <w:r>
        <w:t>Despite the escalating impacts o</w:t>
      </w:r>
      <w:r w:rsidR="0066739E">
        <w:t xml:space="preserve">f climate change across Nigeria </w:t>
      </w:r>
      <w:r>
        <w:t>ranging from extreme weather events and desertification in the north</w:t>
      </w:r>
      <w:r w:rsidR="0066739E">
        <w:t>,</w:t>
      </w:r>
      <w:r>
        <w:t xml:space="preserve"> to rising sea leve</w:t>
      </w:r>
      <w:r w:rsidR="0066739E">
        <w:t xml:space="preserve">ls and erosion in the southeast </w:t>
      </w:r>
      <w:r>
        <w:t>climate literacy remains alarmingly low among secondary school students (</w:t>
      </w:r>
      <w:proofErr w:type="spellStart"/>
      <w:r>
        <w:t>Ajaero</w:t>
      </w:r>
      <w:proofErr w:type="spellEnd"/>
      <w:r>
        <w:t xml:space="preserve"> &amp; </w:t>
      </w:r>
      <w:proofErr w:type="spellStart"/>
      <w:r>
        <w:t>Onokala</w:t>
      </w:r>
      <w:proofErr w:type="spellEnd"/>
      <w:r>
        <w:t>, 2020).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mitigation efforts (Nwankwo et al., 2022). Schools continue to rely on outdated curricula and traditional teaching methods that are ill-equipped to foster the critical thinking and problem-solving skills needed to navigate an increasingly complex environmental landscape.</w:t>
      </w:r>
    </w:p>
    <w:p w14:paraId="144F4E32" w14:textId="77777777" w:rsidR="00A64FEC" w:rsidRDefault="00A64FEC" w:rsidP="0066739E">
      <w:pPr>
        <w:pStyle w:val="NormalWeb"/>
        <w:spacing w:line="480" w:lineRule="auto"/>
        <w:jc w:val="both"/>
      </w:pPr>
      <w:r>
        <w:t>Furthermore, while global trends emphasize the integration of digital innovations into education for sustainable development (ESD), Nigeria’s secondary school system lags behind in deploying technology-enhanced learning solutions, particularly those driven by Artificial Intelligenc</w:t>
      </w:r>
      <w:r w:rsidR="0066739E">
        <w:t xml:space="preserve">e (AI) (UNESCO, 2023). AI tools </w:t>
      </w:r>
      <w:r>
        <w:t>capable of delivering personalized learning experiences, real-time environmental simulations, and i</w:t>
      </w:r>
      <w:r w:rsidR="0066739E">
        <w:t xml:space="preserve">ntelligent tutoring systems </w:t>
      </w:r>
      <w:r>
        <w:t>remain largely absent in the teaching of climate change topics in public and private schools across the southeast region. As a result, students are often disengaged, misinformed, or unmotivated to take environmentally responsibl</w:t>
      </w:r>
      <w:r w:rsidR="0066739E">
        <w:t>e actions (</w:t>
      </w:r>
      <w:proofErr w:type="spellStart"/>
      <w:r w:rsidR="0066739E">
        <w:t>Olasehinde</w:t>
      </w:r>
      <w:proofErr w:type="spellEnd"/>
      <w:r w:rsidR="0066739E">
        <w:t xml:space="preserve">-Williams &amp; </w:t>
      </w:r>
      <w:proofErr w:type="spellStart"/>
      <w:r w:rsidR="0066739E">
        <w:t>Balogun</w:t>
      </w:r>
      <w:proofErr w:type="spellEnd"/>
      <w:r w:rsidR="0066739E">
        <w:t>, 2020</w:t>
      </w:r>
      <w:r>
        <w:t>).</w:t>
      </w:r>
    </w:p>
    <w:p w14:paraId="41778DEF" w14:textId="77777777" w:rsidR="00A64FEC" w:rsidRDefault="00A64FEC" w:rsidP="0066739E">
      <w:pPr>
        <w:pStyle w:val="NormalWeb"/>
        <w:spacing w:line="480" w:lineRule="auto"/>
        <w:jc w:val="both"/>
      </w:pPr>
      <w:r>
        <w:lastRenderedPageBreak/>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settings (Adebayo &amp; Ibrahim, 2022). This knowledge gap poses a critical barrier to the realization of both national educational reforms and Nigeria’s commitment to global climate action under the Paris Agreement and Sustainable Development Goals (SDGs).</w:t>
      </w:r>
    </w:p>
    <w:p w14:paraId="228CE564" w14:textId="77777777" w:rsidR="00A64FEC" w:rsidRDefault="00A64FEC" w:rsidP="0066739E">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14:paraId="1248DF75"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1.2 Research Questions</w:t>
      </w:r>
    </w:p>
    <w:p w14:paraId="10B152D7"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14:paraId="7DC3B295"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14:paraId="57A6EBF9" w14:textId="77777777" w:rsidR="00E3161F" w:rsidRPr="00E3161F" w:rsidRDefault="00E3161F" w:rsidP="00E3161F">
      <w:pPr>
        <w:numPr>
          <w:ilvl w:val="0"/>
          <w:numId w:val="1"/>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How does AI-based instruction affect the adoption of climate change mitigation strategies among students in selected schools?</w:t>
      </w:r>
    </w:p>
    <w:p w14:paraId="39B79463" w14:textId="77777777" w:rsidR="00E3161F" w:rsidRPr="00E3161F" w:rsidRDefault="00E3161F" w:rsidP="00E3161F">
      <w:pPr>
        <w:spacing w:before="100" w:beforeAutospacing="1" w:after="100" w:afterAutospacing="1" w:line="480" w:lineRule="auto"/>
        <w:ind w:left="720"/>
        <w:rPr>
          <w:rFonts w:ascii="Times New Roman" w:eastAsia="Times New Roman" w:hAnsi="Times New Roman" w:cs="Times New Roman"/>
          <w:sz w:val="24"/>
          <w:szCs w:val="24"/>
        </w:rPr>
      </w:pPr>
    </w:p>
    <w:p w14:paraId="52C46724" w14:textId="77777777" w:rsidR="00E3161F" w:rsidRPr="00E3161F" w:rsidRDefault="00E3161F" w:rsidP="00E3161F">
      <w:pPr>
        <w:spacing w:before="100" w:beforeAutospacing="1" w:after="100" w:afterAutospacing="1" w:line="48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lastRenderedPageBreak/>
        <w:t>1.3 Research Objectives</w:t>
      </w:r>
    </w:p>
    <w:p w14:paraId="53B5AD5D"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14:paraId="7BC8A817"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explore students’ perceptions and attitudes toward the use of AI technologies in environmental education.</w:t>
      </w:r>
    </w:p>
    <w:p w14:paraId="5BE57C5B" w14:textId="77777777" w:rsidR="00E3161F" w:rsidRPr="00E3161F" w:rsidRDefault="00E3161F" w:rsidP="00E3161F">
      <w:pPr>
        <w:numPr>
          <w:ilvl w:val="0"/>
          <w:numId w:val="2"/>
        </w:numPr>
        <w:spacing w:before="100" w:beforeAutospacing="1" w:after="100" w:afterAutospacing="1" w:line="480" w:lineRule="auto"/>
        <w:rPr>
          <w:rFonts w:ascii="Times New Roman" w:eastAsia="Times New Roman" w:hAnsi="Times New Roman" w:cs="Times New Roman"/>
          <w:sz w:val="24"/>
          <w:szCs w:val="24"/>
        </w:rPr>
      </w:pPr>
      <w:r w:rsidRPr="00E3161F">
        <w:rPr>
          <w:rFonts w:ascii="Times New Roman" w:eastAsia="Times New Roman" w:hAnsi="Times New Roman" w:cs="Times New Roman"/>
          <w:bCs/>
          <w:sz w:val="24"/>
          <w:szCs w:val="24"/>
        </w:rPr>
        <w:t>To assess the impact of AI-based instruction on students’ engagement in climate change mitigation activities such as tree planting, recycling, and advocacy.</w:t>
      </w:r>
    </w:p>
    <w:p w14:paraId="0DE08E98"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1.4 Scope of the Study</w:t>
      </w:r>
    </w:p>
    <w:p w14:paraId="7ACB2765"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focuses on examining the impact of Artificial Intelligence (AI)-driven environmental education on climate change awareness and mitigation strategies among secondary school students in Southeast Nigeria. It specifically ta</w:t>
      </w:r>
      <w:r>
        <w:rPr>
          <w:rFonts w:ascii="Times New Roman" w:eastAsia="Times New Roman" w:hAnsi="Times New Roman" w:cs="Times New Roman"/>
          <w:sz w:val="24"/>
          <w:szCs w:val="24"/>
        </w:rPr>
        <w:t xml:space="preserve">rgets five states in the region </w:t>
      </w:r>
      <w:r w:rsidRPr="00E3161F">
        <w:rPr>
          <w:rFonts w:ascii="Times New Roman" w:eastAsia="Times New Roman" w:hAnsi="Times New Roman" w:cs="Times New Roman"/>
          <w:sz w:val="24"/>
          <w:szCs w:val="24"/>
        </w:rPr>
        <w:t xml:space="preserve">Abia, </w:t>
      </w:r>
      <w:r>
        <w:rPr>
          <w:rFonts w:ascii="Times New Roman" w:eastAsia="Times New Roman" w:hAnsi="Times New Roman" w:cs="Times New Roman"/>
          <w:sz w:val="24"/>
          <w:szCs w:val="24"/>
        </w:rPr>
        <w:t xml:space="preserve">Anambra, Ebonyi, Enugu, and Imo </w:t>
      </w:r>
      <w:r w:rsidRPr="00E3161F">
        <w:rPr>
          <w:rFonts w:ascii="Times New Roman" w:eastAsia="Times New Roman" w:hAnsi="Times New Roman" w:cs="Times New Roman"/>
          <w:sz w:val="24"/>
          <w:szCs w:val="24"/>
        </w:rPr>
        <w:t>chosen due to their acute exposure to climate-related challenges such as gully erosion, flooding, and deforestation.</w:t>
      </w:r>
    </w:p>
    <w:p w14:paraId="5EB34726" w14:textId="77777777" w:rsidR="00E3161F" w:rsidRPr="00E3161F" w:rsidRDefault="00E3161F" w:rsidP="00E3161F">
      <w:pPr>
        <w:spacing w:before="100" w:beforeAutospacing="1" w:after="100" w:afterAutospacing="1" w:line="240" w:lineRule="auto"/>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scope of the study covers:</w:t>
      </w:r>
    </w:p>
    <w:p w14:paraId="1EBD6794"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Senior secondary school students (SS1–SS3) as primary respondents.</w:t>
      </w:r>
    </w:p>
    <w:p w14:paraId="633B6C62"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Use of AI-powered educational tools such as adaptive learning platforms,</w:t>
      </w:r>
      <w:r>
        <w:rPr>
          <w:rFonts w:ascii="Times New Roman" w:eastAsia="Times New Roman" w:hAnsi="Times New Roman" w:cs="Times New Roman"/>
          <w:sz w:val="24"/>
          <w:szCs w:val="24"/>
        </w:rPr>
        <w:t xml:space="preserve"> and </w:t>
      </w:r>
      <w:r w:rsidRPr="00E3161F">
        <w:rPr>
          <w:rFonts w:ascii="Times New Roman" w:eastAsia="Times New Roman" w:hAnsi="Times New Roman" w:cs="Times New Roman"/>
          <w:sz w:val="24"/>
          <w:szCs w:val="24"/>
        </w:rPr>
        <w:t>gamifi</w:t>
      </w:r>
      <w:r>
        <w:rPr>
          <w:rFonts w:ascii="Times New Roman" w:eastAsia="Times New Roman" w:hAnsi="Times New Roman" w:cs="Times New Roman"/>
          <w:sz w:val="24"/>
          <w:szCs w:val="24"/>
        </w:rPr>
        <w:t>ed simulations.</w:t>
      </w:r>
    </w:p>
    <w:p w14:paraId="79B9E0B6"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Assessment of students' knowledge, attitudes, and behaviors related to climate change before and after exposure to the AI-enhanced learning modules.</w:t>
      </w:r>
    </w:p>
    <w:p w14:paraId="6AEEA2A5" w14:textId="77777777" w:rsidR="00E3161F" w:rsidRPr="00E3161F" w:rsidRDefault="00E3161F" w:rsidP="00E3161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Teachers’ perspectives on the feasibility and effectiveness of using AI in environmental education.</w:t>
      </w:r>
    </w:p>
    <w:p w14:paraId="5FE28FF2"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lastRenderedPageBreak/>
        <w:t>The study will employ a mixed-methods design, combining quantitative surveys and quasi-experimental techniques with qualitative methods like interviews and focus group discussions (FGDs).</w:t>
      </w:r>
    </w:p>
    <w:p w14:paraId="11B9286F"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1.5 Delimitation of the Study</w:t>
      </w:r>
    </w:p>
    <w:p w14:paraId="0750E4EC"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The study is delimited to:</w:t>
      </w:r>
    </w:p>
    <w:p w14:paraId="456AE6DC"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Geographical boundaries</w:t>
      </w:r>
      <w:r w:rsidRPr="00E3161F">
        <w:rPr>
          <w:rFonts w:ascii="Times New Roman" w:eastAsia="Times New Roman" w:hAnsi="Times New Roman" w:cs="Times New Roman"/>
          <w:sz w:val="24"/>
          <w:szCs w:val="24"/>
        </w:rPr>
        <w:t>: Only secondary schools within the Southeast geopolitical zone of Nigeria will be included. The findings may not be generalizable to other regions of Nigeria with different environmental and educational contexts.</w:t>
      </w:r>
    </w:p>
    <w:p w14:paraId="31275772"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Educational level</w:t>
      </w:r>
      <w:r w:rsidRPr="00E3161F">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14:paraId="4D527BDE"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Subject focus</w:t>
      </w:r>
      <w:r w:rsidRPr="00E3161F">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14:paraId="7066CA1D" w14:textId="77777777" w:rsidR="00E3161F" w:rsidRPr="00E3161F" w:rsidRDefault="00E3161F" w:rsidP="00E3161F">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b/>
          <w:bCs/>
          <w:sz w:val="24"/>
          <w:szCs w:val="24"/>
        </w:rPr>
        <w:t>Technological scope</w:t>
      </w:r>
      <w:r w:rsidRPr="00E3161F">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14:paraId="3264ABE7" w14:textId="77777777" w:rsidR="00E3161F" w:rsidRPr="00E3161F" w:rsidRDefault="00E3161F" w:rsidP="00E3161F">
      <w:pPr>
        <w:spacing w:before="100" w:beforeAutospacing="1" w:after="100" w:afterAutospacing="1" w:line="240" w:lineRule="auto"/>
        <w:outlineLvl w:val="2"/>
        <w:rPr>
          <w:rFonts w:ascii="Times New Roman" w:eastAsia="Times New Roman" w:hAnsi="Times New Roman" w:cs="Times New Roman"/>
          <w:b/>
          <w:bCs/>
          <w:sz w:val="24"/>
          <w:szCs w:val="24"/>
        </w:rPr>
      </w:pPr>
      <w:r w:rsidRPr="00E3161F">
        <w:rPr>
          <w:rFonts w:ascii="Times New Roman" w:eastAsia="Times New Roman" w:hAnsi="Times New Roman" w:cs="Times New Roman"/>
          <w:b/>
          <w:bCs/>
          <w:sz w:val="24"/>
          <w:szCs w:val="24"/>
        </w:rPr>
        <w:t>1.6 Significance of the Study</w:t>
      </w:r>
    </w:p>
    <w:p w14:paraId="5B239003" w14:textId="77777777" w:rsidR="00E3161F" w:rsidRPr="00E3161F" w:rsidRDefault="00E3161F" w:rsidP="00E3161F">
      <w:pPr>
        <w:spacing w:before="100" w:beforeAutospacing="1" w:after="100" w:afterAutospacing="1" w:line="480" w:lineRule="auto"/>
        <w:jc w:val="both"/>
        <w:rPr>
          <w:rFonts w:ascii="Times New Roman" w:eastAsia="Times New Roman" w:hAnsi="Times New Roman" w:cs="Times New Roman"/>
          <w:sz w:val="24"/>
          <w:szCs w:val="24"/>
        </w:rPr>
      </w:pPr>
      <w:r w:rsidRPr="00E3161F">
        <w:rPr>
          <w:rFonts w:ascii="Times New Roman" w:eastAsia="Times New Roman" w:hAnsi="Times New Roman" w:cs="Times New Roman"/>
          <w:sz w:val="24"/>
          <w:szCs w:val="24"/>
        </w:rPr>
        <w:t>This study is significant for several reasons:</w:t>
      </w:r>
    </w:p>
    <w:p w14:paraId="7E58ADC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Educational Advancement</w:t>
      </w:r>
      <w:r w:rsidRPr="00E3161F">
        <w:rPr>
          <w:rFonts w:ascii="Times New Roman" w:eastAsia="Times New Roman" w:hAnsi="Times New Roman" w:cs="Times New Roman"/>
          <w:sz w:val="24"/>
          <w:szCs w:val="24"/>
        </w:rPr>
        <w:t xml:space="preserve">: By evaluating the effectiveness of AI-driven environmental education, the study contributes to the growing discourse on digital transformation in the </w:t>
      </w:r>
      <w:r w:rsidRPr="00E3161F">
        <w:rPr>
          <w:rFonts w:ascii="Times New Roman" w:eastAsia="Times New Roman" w:hAnsi="Times New Roman" w:cs="Times New Roman"/>
          <w:sz w:val="24"/>
          <w:szCs w:val="24"/>
        </w:rPr>
        <w:lastRenderedPageBreak/>
        <w:t>Nigerian educational sector. It provides evidence-based insights for integrating emerging technologies into classroom instruction, particularly in under-resourced settings.</w:t>
      </w:r>
    </w:p>
    <w:p w14:paraId="2B0FEB09"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Climate Change Mitigation</w:t>
      </w:r>
      <w:r w:rsidRPr="00E3161F">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14:paraId="1CB88B38"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Policy and Curriculum Development</w:t>
      </w:r>
      <w:r w:rsidRPr="00E3161F">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14:paraId="6EC199BD"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Capacity Building</w:t>
      </w:r>
      <w:r w:rsidRPr="00E3161F">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14:paraId="1433E2EC" w14:textId="77777777" w:rsidR="00E3161F" w:rsidRPr="00E3161F" w:rsidRDefault="00E3161F" w:rsidP="00E3161F">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A54DCB">
        <w:rPr>
          <w:rFonts w:ascii="Times New Roman" w:eastAsia="Times New Roman" w:hAnsi="Times New Roman" w:cs="Times New Roman"/>
          <w:bCs/>
          <w:sz w:val="24"/>
          <w:szCs w:val="24"/>
        </w:rPr>
        <w:t>Academic Contribution</w:t>
      </w:r>
      <w:r w:rsidRPr="00E3161F">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14:paraId="25952392" w14:textId="77777777" w:rsidR="00A54DCB" w:rsidRPr="00A54DCB" w:rsidRDefault="00A54DCB" w:rsidP="00A54DCB">
      <w:pPr>
        <w:pStyle w:val="Heading3"/>
        <w:rPr>
          <w:sz w:val="24"/>
          <w:szCs w:val="24"/>
        </w:rPr>
      </w:pPr>
      <w:r w:rsidRPr="00A54DCB">
        <w:rPr>
          <w:rStyle w:val="Strong"/>
          <w:b/>
          <w:bCs/>
          <w:sz w:val="24"/>
          <w:szCs w:val="24"/>
        </w:rPr>
        <w:t>1.7 Theoretical Framework</w:t>
      </w:r>
    </w:p>
    <w:p w14:paraId="6582557A" w14:textId="77777777" w:rsidR="00A54DCB" w:rsidRDefault="00A54DCB" w:rsidP="00A54DCB">
      <w:pPr>
        <w:pStyle w:val="NormalWeb"/>
        <w:spacing w:line="480" w:lineRule="auto"/>
        <w:jc w:val="both"/>
      </w:pPr>
      <w:r>
        <w:t xml:space="preserve">This study is underpinned by two interrelated theoretical models: </w:t>
      </w:r>
      <w:r w:rsidRPr="00A54DCB">
        <w:rPr>
          <w:rStyle w:val="Strong"/>
          <w:b w:val="0"/>
        </w:rPr>
        <w:t>Kolb’s Experiential Learning Theory (1984)</w:t>
      </w:r>
      <w:r w:rsidRPr="00A54DCB">
        <w:rPr>
          <w:b/>
        </w:rPr>
        <w:t xml:space="preserve"> </w:t>
      </w:r>
      <w:r w:rsidRPr="00A54DCB">
        <w:t>and</w:t>
      </w:r>
      <w:r w:rsidRPr="00A54DCB">
        <w:rPr>
          <w:b/>
        </w:rPr>
        <w:t xml:space="preserve"> </w:t>
      </w:r>
      <w:r w:rsidRPr="00A54DCB">
        <w:rPr>
          <w:rStyle w:val="Strong"/>
          <w:b w:val="0"/>
        </w:rPr>
        <w:t>Bandura’s Social Cognitive Theory (1986)</w:t>
      </w:r>
      <w:r w:rsidRPr="00A54DCB">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w:t>
      </w:r>
      <w:r>
        <w:lastRenderedPageBreak/>
        <w:t>interactive experiences, Bandura’s theory focuses on how those experiences translate into observable behavior and long-term environmental engagement.</w:t>
      </w:r>
    </w:p>
    <w:p w14:paraId="5416276C" w14:textId="77777777" w:rsidR="00A54DCB" w:rsidRPr="00A54DCB" w:rsidRDefault="00A54DCB" w:rsidP="00A54DCB">
      <w:pPr>
        <w:pStyle w:val="Heading4"/>
        <w:rPr>
          <w:rFonts w:ascii="Times New Roman" w:hAnsi="Times New Roman" w:cs="Times New Roman"/>
          <w:sz w:val="24"/>
          <w:szCs w:val="24"/>
        </w:rPr>
      </w:pPr>
      <w:r w:rsidRPr="00A54DCB">
        <w:rPr>
          <w:rStyle w:val="Strong"/>
          <w:rFonts w:ascii="Times New Roman" w:hAnsi="Times New Roman" w:cs="Times New Roman"/>
          <w:b/>
          <w:bCs/>
          <w:i w:val="0"/>
          <w:color w:val="auto"/>
          <w:sz w:val="24"/>
          <w:szCs w:val="24"/>
        </w:rPr>
        <w:t>1.7.1 Experiential Learning Theory (Kolb, 1984</w:t>
      </w:r>
      <w:r w:rsidRPr="00A54DCB">
        <w:rPr>
          <w:rStyle w:val="Strong"/>
          <w:rFonts w:ascii="Times New Roman" w:hAnsi="Times New Roman" w:cs="Times New Roman"/>
          <w:b/>
          <w:bCs/>
          <w:sz w:val="24"/>
          <w:szCs w:val="24"/>
        </w:rPr>
        <w:t>)</w:t>
      </w:r>
    </w:p>
    <w:p w14:paraId="70F34EF8" w14:textId="77777777" w:rsidR="00A54DCB" w:rsidRDefault="00A54DCB" w:rsidP="00A54DCB">
      <w:pPr>
        <w:pStyle w:val="NormalWeb"/>
        <w:spacing w:line="480" w:lineRule="auto"/>
        <w:jc w:val="both"/>
      </w:pPr>
      <w:r>
        <w:t xml:space="preserve">Kolb’s Experiential Learning Theory (ELT) conceptualizes learning as a cyclical, holistic process that involves four key stages: </w:t>
      </w:r>
      <w:r>
        <w:rPr>
          <w:rStyle w:val="Strong"/>
        </w:rPr>
        <w:t>c</w:t>
      </w:r>
      <w:r w:rsidRPr="00A54DCB">
        <w:rPr>
          <w:rStyle w:val="Strong"/>
          <w:b w:val="0"/>
        </w:rPr>
        <w:t>oncrete experience</w:t>
      </w:r>
      <w:r w:rsidRPr="00A54DCB">
        <w:rPr>
          <w:b/>
        </w:rPr>
        <w:t xml:space="preserve">, </w:t>
      </w:r>
      <w:r w:rsidRPr="00A54DCB">
        <w:rPr>
          <w:rStyle w:val="Strong"/>
          <w:b w:val="0"/>
        </w:rPr>
        <w:t>reflective observation</w:t>
      </w:r>
      <w:r w:rsidRPr="00A54DCB">
        <w:rPr>
          <w:b/>
        </w:rPr>
        <w:t xml:space="preserve">, </w:t>
      </w:r>
      <w:r w:rsidRPr="00A54DCB">
        <w:rPr>
          <w:rStyle w:val="Strong"/>
          <w:b w:val="0"/>
        </w:rPr>
        <w:t>abstract conceptualization</w:t>
      </w:r>
      <w:r w:rsidRPr="00A54DCB">
        <w:rPr>
          <w:b/>
        </w:rPr>
        <w:t>,</w:t>
      </w:r>
      <w:r>
        <w:t xml:space="preserve"> and </w:t>
      </w:r>
      <w:r w:rsidRPr="00A54DCB">
        <w:rPr>
          <w:rStyle w:val="Strong"/>
          <w:b w:val="0"/>
        </w:rPr>
        <w:t>active experimentation</w:t>
      </w:r>
      <w:r>
        <w:t>. The theory emphasizes that knowledge is constructed through direct engagement with learning materials, followed by critical reflection and practical application (Kolb, 1984). This constructivist approach is particularly relevant to environmental education, where learners must grapple with complex, real-world challenges such as climate change, deforestation, and sustainability.</w:t>
      </w:r>
    </w:p>
    <w:p w14:paraId="41298025" w14:textId="77777777" w:rsidR="00A54DCB" w:rsidRDefault="00A54DCB" w:rsidP="00A54DCB">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r w:rsidRPr="00A54DCB">
        <w:t>offer</w:t>
      </w:r>
      <w:r w:rsidRPr="00A54DCB">
        <w:rPr>
          <w:b/>
        </w:rPr>
        <w:t xml:space="preserve"> </w:t>
      </w:r>
      <w:r w:rsidRPr="00A54DCB">
        <w:rPr>
          <w:rStyle w:val="Strong"/>
          <w:b w:val="0"/>
        </w:rPr>
        <w:t>concrete experiences</w:t>
      </w:r>
      <w:r>
        <w:t xml:space="preserve"> that allow students to explore virtual representations of environmental degradation or sustainable practices. Following this, reflective prompts and guided questions enable </w:t>
      </w:r>
      <w:r w:rsidRPr="00A54DCB">
        <w:rPr>
          <w:rStyle w:val="Strong"/>
          <w:b w:val="0"/>
        </w:rPr>
        <w:t>reflective observation</w:t>
      </w:r>
      <w:r>
        <w:t xml:space="preserve">, while conceptual modules and AI tutors support </w:t>
      </w:r>
      <w:r w:rsidRPr="00A54DCB">
        <w:rPr>
          <w:rStyle w:val="Strong"/>
          <w:b w:val="0"/>
        </w:rPr>
        <w:t>abstract conceptualization</w:t>
      </w:r>
      <w:r>
        <w:t xml:space="preserve"> of scientific principles. Finally, students are encouraged to </w:t>
      </w:r>
      <w:r w:rsidRPr="00A54DCB">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14:paraId="7025F59D"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lastRenderedPageBreak/>
        <w:t>1.7.2 Social Cognitive Theory (Bandura, 1986)</w:t>
      </w:r>
    </w:p>
    <w:p w14:paraId="7B4C70A2" w14:textId="77777777" w:rsidR="00A54DCB" w:rsidRDefault="00A54DCB" w:rsidP="00A54DCB">
      <w:pPr>
        <w:pStyle w:val="NormalWeb"/>
        <w:spacing w:line="480" w:lineRule="auto"/>
        <w:jc w:val="both"/>
      </w:pPr>
      <w:r>
        <w:t xml:space="preserve">Bandura’s Social Cognitive Theory (SCT) expands the scope of learning by integrating behavioral, personal, and environmental influences within a model of </w:t>
      </w:r>
      <w:r w:rsidRPr="00A54DCB">
        <w:rPr>
          <w:rStyle w:val="Strong"/>
          <w:b w:val="0"/>
        </w:rPr>
        <w:t>reciprocal determinism</w:t>
      </w:r>
      <w:r>
        <w:t xml:space="preserve">. Central to SCT are three constructs: </w:t>
      </w:r>
      <w:r w:rsidRPr="00A54DCB">
        <w:rPr>
          <w:rStyle w:val="Strong"/>
          <w:b w:val="0"/>
        </w:rPr>
        <w:t>observational learning</w:t>
      </w:r>
      <w:r w:rsidRPr="00A54DCB">
        <w:rPr>
          <w:b/>
        </w:rPr>
        <w:t xml:space="preserve">, </w:t>
      </w:r>
      <w:r w:rsidRPr="00A54DCB">
        <w:rPr>
          <w:rStyle w:val="Strong"/>
          <w:b w:val="0"/>
        </w:rPr>
        <w:t>self-efficacy</w:t>
      </w:r>
      <w:r>
        <w:t xml:space="preserve">, and </w:t>
      </w:r>
      <w:r w:rsidRPr="00A54DCB">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14:paraId="3E89E692" w14:textId="77777777" w:rsidR="00A54DCB" w:rsidRDefault="00A54DCB" w:rsidP="00A54DCB">
      <w:pPr>
        <w:pStyle w:val="NormalWeb"/>
        <w:spacing w:line="480" w:lineRule="auto"/>
        <w:jc w:val="both"/>
      </w:pPr>
      <w:r>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sidRPr="00A54DCB">
        <w:rPr>
          <w:rStyle w:val="Strong"/>
          <w:b w:val="0"/>
        </w:rPr>
        <w:t>observational learning</w:t>
      </w:r>
      <w:r>
        <w:t xml:space="preserve">, students develop mental representations of these behaviors. AI platforms also deliver </w:t>
      </w:r>
      <w:r w:rsidRPr="00A54DCB">
        <w:rPr>
          <w:rStyle w:val="Strong"/>
          <w:b w:val="0"/>
        </w:rPr>
        <w:t>real-time feedback</w:t>
      </w:r>
      <w:r>
        <w:t>, gamified rewards, and scaffolded activities, all of which serve as forms of</w:t>
      </w:r>
      <w:r w:rsidRPr="00A54DCB">
        <w:t xml:space="preserve"> </w:t>
      </w:r>
      <w:r w:rsidRPr="00A54DCB">
        <w:rPr>
          <w:rStyle w:val="Strong"/>
          <w:b w:val="0"/>
        </w:rPr>
        <w:t>reinforcement</w:t>
      </w:r>
      <w:r>
        <w:t xml:space="preserve"> that motivate continued engagement. Additionally, AI tools adapt to student performance levels, thereby improving learners’ </w:t>
      </w:r>
      <w:r w:rsidRPr="00A54DCB">
        <w:rPr>
          <w:rStyle w:val="Strong"/>
          <w:b w:val="0"/>
        </w:rPr>
        <w:t>self-efficacy</w:t>
      </w:r>
      <w:r>
        <w:t xml:space="preserve"> their belief in their ability to understand and act on environmental issues.</w:t>
      </w:r>
    </w:p>
    <w:p w14:paraId="4B5F4249" w14:textId="77777777" w:rsidR="00A54DCB" w:rsidRDefault="00A54DCB" w:rsidP="00A54DCB">
      <w:pPr>
        <w:pStyle w:val="NormalWeb"/>
        <w:spacing w:line="480" w:lineRule="auto"/>
        <w:jc w:val="both"/>
      </w:pPr>
      <w:r>
        <w:t xml:space="preserve">SCT thus provides a critical behavioral dimension to this study by explaining how students’ exposure to AI-mediated environmental content can shape their </w:t>
      </w:r>
      <w:r w:rsidRPr="00A54DCB">
        <w:rPr>
          <w:rStyle w:val="Strong"/>
          <w:b w:val="0"/>
        </w:rPr>
        <w:t>attitudes</w:t>
      </w:r>
      <w:r w:rsidRPr="00A54DCB">
        <w:rPr>
          <w:b/>
        </w:rPr>
        <w:t xml:space="preserve">, </w:t>
      </w:r>
      <w:r w:rsidRPr="00A54DCB">
        <w:rPr>
          <w:rStyle w:val="Strong"/>
          <w:b w:val="0"/>
        </w:rPr>
        <w:t>perceptions of social norms</w:t>
      </w:r>
      <w:r w:rsidRPr="00A54DCB">
        <w:rPr>
          <w:b/>
        </w:rPr>
        <w:t>,</w:t>
      </w:r>
      <w:r>
        <w:t xml:space="preserve"> and </w:t>
      </w:r>
      <w:r w:rsidRPr="00A54DCB">
        <w:rPr>
          <w:rStyle w:val="Strong"/>
          <w:b w:val="0"/>
        </w:rPr>
        <w:t>intentions to engage in mitigation activities</w:t>
      </w:r>
      <w:r>
        <w:t xml:space="preserve"> such as waste sorting, energy conservation, or climate advocacy.</w:t>
      </w:r>
    </w:p>
    <w:p w14:paraId="207EBCCB" w14:textId="77777777" w:rsidR="00A54DCB" w:rsidRDefault="00A54DCB" w:rsidP="00A54DCB"/>
    <w:p w14:paraId="391D7C28" w14:textId="77777777" w:rsidR="00A54DCB" w:rsidRPr="00A54DCB" w:rsidRDefault="00A54DCB" w:rsidP="00A54DCB">
      <w:pPr>
        <w:pStyle w:val="Heading4"/>
        <w:rPr>
          <w:rFonts w:ascii="Times New Roman" w:hAnsi="Times New Roman" w:cs="Times New Roman"/>
          <w:i w:val="0"/>
          <w:color w:val="auto"/>
          <w:sz w:val="24"/>
          <w:szCs w:val="24"/>
        </w:rPr>
      </w:pPr>
      <w:r w:rsidRPr="00A54DCB">
        <w:rPr>
          <w:rStyle w:val="Strong"/>
          <w:rFonts w:ascii="Times New Roman" w:hAnsi="Times New Roman" w:cs="Times New Roman"/>
          <w:b/>
          <w:bCs/>
          <w:i w:val="0"/>
          <w:color w:val="auto"/>
          <w:sz w:val="24"/>
          <w:szCs w:val="24"/>
        </w:rPr>
        <w:lastRenderedPageBreak/>
        <w:t>1.7.3 Integrative Value of the Theoretical Framework</w:t>
      </w:r>
    </w:p>
    <w:p w14:paraId="3B30DE27" w14:textId="77777777" w:rsidR="00A54DCB" w:rsidRDefault="00A54DCB" w:rsidP="00A54DCB">
      <w:pPr>
        <w:pStyle w:val="NormalWeb"/>
        <w:spacing w:line="480" w:lineRule="auto"/>
        <w:jc w:val="both"/>
      </w:pPr>
      <w:r>
        <w:t xml:space="preserve">The combination of Experiential Learning Theory and Social Cognitive Theory creates a comprehensive framework for this study. Kolb’s ELT explains the </w:t>
      </w:r>
      <w:r w:rsidRPr="00A54DCB">
        <w:rPr>
          <w:rStyle w:val="Strong"/>
          <w:b w:val="0"/>
        </w:rPr>
        <w:t>process of learning</w:t>
      </w:r>
      <w:r>
        <w:t xml:space="preserve"> environmental concepts through AI-enhanced experiences, while Bandura’s SCT explains the </w:t>
      </w:r>
      <w:r w:rsidRPr="00A54DCB">
        <w:rPr>
          <w:rStyle w:val="Strong"/>
          <w:b w:val="0"/>
        </w:rPr>
        <w:t>translation of that learning into behavior</w:t>
      </w:r>
      <w:r>
        <w:t>. This dual-theory approach supports both the cognitive and behavioral objectives of the research and aligns with the study’s mixed-methods design.</w:t>
      </w:r>
    </w:p>
    <w:p w14:paraId="1E90F13E" w14:textId="38D486CC" w:rsidR="000F77E5" w:rsidRDefault="000F77E5" w:rsidP="00A54DCB">
      <w:pPr>
        <w:pStyle w:val="NormalWeb"/>
        <w:spacing w:line="480" w:lineRule="auto"/>
        <w:jc w:val="both"/>
      </w:pPr>
      <w:r>
        <w:t xml:space="preserve">Table 1. </w:t>
      </w:r>
      <w:r w:rsidR="00C56DCA" w:rsidRPr="00C56DCA">
        <w:t>Kolb’s ELT</w:t>
      </w:r>
      <w:r w:rsidR="00C56DCA">
        <w:t xml:space="preserve"> and </w:t>
      </w:r>
      <w:r w:rsidR="00C56DCA" w:rsidRPr="00C56DCA">
        <w:t>Bandura’s SCT</w:t>
      </w:r>
      <w:r w:rsidR="00C56DCA">
        <w:t xml:space="preserve"> support</w:t>
      </w:r>
      <w:r w:rsidR="00C56DCA" w:rsidRPr="00C56DCA">
        <w:t xml:space="preserve"> both the cognitive and </w:t>
      </w:r>
      <w:proofErr w:type="spellStart"/>
      <w:r w:rsidR="00C56DCA">
        <w:t>behavioural</w:t>
      </w:r>
      <w:proofErr w:type="spellEnd"/>
      <w:r w:rsidR="00C56DCA" w:rsidRPr="00C56DCA">
        <w:t xml:space="preserve"> objectives of th</w:t>
      </w:r>
      <w:r w:rsidR="00C56DCA">
        <w:t>is</w:t>
      </w:r>
      <w:r w:rsidR="00C56DCA" w:rsidRPr="00C56DCA">
        <w:t xml:space="preserve">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3"/>
        <w:gridCol w:w="5292"/>
      </w:tblGrid>
      <w:tr w:rsidR="00A54DCB" w:rsidRPr="00A54DCB" w14:paraId="4D1AE8A0" w14:textId="77777777" w:rsidTr="00577259">
        <w:trPr>
          <w:trHeight w:val="391"/>
          <w:tblHeader/>
          <w:tblCellSpacing w:w="15" w:type="dxa"/>
        </w:trPr>
        <w:tc>
          <w:tcPr>
            <w:tcW w:w="0" w:type="auto"/>
            <w:vAlign w:val="center"/>
            <w:hideMark/>
          </w:tcPr>
          <w:p w14:paraId="5CC74CEB"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Kolb’s ELT</w:t>
            </w:r>
          </w:p>
        </w:tc>
        <w:tc>
          <w:tcPr>
            <w:tcW w:w="5247" w:type="dxa"/>
            <w:vAlign w:val="center"/>
            <w:hideMark/>
          </w:tcPr>
          <w:p w14:paraId="64DEA989" w14:textId="77777777" w:rsidR="00A54DCB" w:rsidRPr="00A54DCB" w:rsidRDefault="00A54DCB" w:rsidP="00A54DCB">
            <w:pPr>
              <w:spacing w:after="0" w:line="240" w:lineRule="auto"/>
              <w:jc w:val="center"/>
              <w:rPr>
                <w:rFonts w:ascii="Times New Roman" w:eastAsia="Times New Roman" w:hAnsi="Times New Roman" w:cs="Times New Roman"/>
                <w:b/>
                <w:bCs/>
                <w:sz w:val="24"/>
                <w:szCs w:val="24"/>
              </w:rPr>
            </w:pPr>
            <w:r w:rsidRPr="00A54DCB">
              <w:rPr>
                <w:rFonts w:ascii="Times New Roman" w:eastAsia="Times New Roman" w:hAnsi="Times New Roman" w:cs="Times New Roman"/>
                <w:b/>
                <w:bCs/>
                <w:sz w:val="24"/>
                <w:szCs w:val="24"/>
              </w:rPr>
              <w:t>Bandura’s SCT</w:t>
            </w:r>
          </w:p>
        </w:tc>
      </w:tr>
    </w:tbl>
    <w:p w14:paraId="1C5B25A2" w14:textId="77777777" w:rsidR="00A54DCB" w:rsidRPr="00A54DCB" w:rsidRDefault="00A54DCB" w:rsidP="00A54DCB">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5283"/>
      </w:tblGrid>
      <w:tr w:rsidR="00A54DCB" w:rsidRPr="00A54DCB" w14:paraId="5BD729BB" w14:textId="77777777" w:rsidTr="00577259">
        <w:trPr>
          <w:trHeight w:val="361"/>
          <w:tblCellSpacing w:w="15" w:type="dxa"/>
        </w:trPr>
        <w:tc>
          <w:tcPr>
            <w:tcW w:w="3907" w:type="dxa"/>
            <w:vAlign w:val="center"/>
            <w:hideMark/>
          </w:tcPr>
          <w:p w14:paraId="6FBF73B7"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direct experience</w:t>
            </w:r>
          </w:p>
        </w:tc>
        <w:tc>
          <w:tcPr>
            <w:tcW w:w="5238" w:type="dxa"/>
            <w:vAlign w:val="center"/>
            <w:hideMark/>
          </w:tcPr>
          <w:p w14:paraId="1EC738B5"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Learning through observation and modeling</w:t>
            </w:r>
          </w:p>
        </w:tc>
      </w:tr>
    </w:tbl>
    <w:p w14:paraId="6868CAB1"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275"/>
      </w:tblGrid>
      <w:tr w:rsidR="00A54DCB" w:rsidRPr="00A54DCB" w14:paraId="35B2837D" w14:textId="77777777" w:rsidTr="00577259">
        <w:trPr>
          <w:trHeight w:val="616"/>
          <w:tblCellSpacing w:w="15" w:type="dxa"/>
        </w:trPr>
        <w:tc>
          <w:tcPr>
            <w:tcW w:w="3915" w:type="dxa"/>
            <w:vAlign w:val="center"/>
            <w:hideMark/>
          </w:tcPr>
          <w:p w14:paraId="1734C763"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internal knowledge construction</w:t>
            </w:r>
          </w:p>
        </w:tc>
        <w:tc>
          <w:tcPr>
            <w:tcW w:w="5230" w:type="dxa"/>
            <w:vAlign w:val="center"/>
            <w:hideMark/>
          </w:tcPr>
          <w:p w14:paraId="5ED1E7B2"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Emphasizes behavior change and efficacy</w:t>
            </w:r>
          </w:p>
        </w:tc>
      </w:tr>
    </w:tbl>
    <w:p w14:paraId="1C6B1480" w14:textId="77777777" w:rsidR="00A54DCB" w:rsidRPr="00A54DCB" w:rsidRDefault="00A54DCB" w:rsidP="0057725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8"/>
        <w:gridCol w:w="5232"/>
      </w:tblGrid>
      <w:tr w:rsidR="00A54DCB" w:rsidRPr="00A54DCB" w14:paraId="0217C894" w14:textId="77777777" w:rsidTr="00577259">
        <w:trPr>
          <w:trHeight w:val="442"/>
          <w:tblCellSpacing w:w="15" w:type="dxa"/>
        </w:trPr>
        <w:tc>
          <w:tcPr>
            <w:tcW w:w="3923" w:type="dxa"/>
            <w:vAlign w:val="center"/>
            <w:hideMark/>
          </w:tcPr>
          <w:p w14:paraId="52FE2DEB"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AI simulations and feedback</w:t>
            </w:r>
          </w:p>
        </w:tc>
        <w:tc>
          <w:tcPr>
            <w:tcW w:w="5187" w:type="dxa"/>
            <w:vAlign w:val="center"/>
            <w:hideMark/>
          </w:tcPr>
          <w:p w14:paraId="7C346BC8" w14:textId="77777777" w:rsidR="00A54DCB" w:rsidRPr="00A54DCB" w:rsidRDefault="00A54DCB" w:rsidP="00577259">
            <w:pPr>
              <w:spacing w:after="0" w:line="240" w:lineRule="auto"/>
              <w:jc w:val="center"/>
              <w:rPr>
                <w:rFonts w:ascii="Times New Roman" w:eastAsia="Times New Roman" w:hAnsi="Times New Roman" w:cs="Times New Roman"/>
                <w:sz w:val="24"/>
                <w:szCs w:val="24"/>
              </w:rPr>
            </w:pPr>
            <w:r w:rsidRPr="00A54DCB">
              <w:rPr>
                <w:rFonts w:ascii="Times New Roman" w:eastAsia="Times New Roman" w:hAnsi="Times New Roman" w:cs="Times New Roman"/>
                <w:sz w:val="24"/>
                <w:szCs w:val="24"/>
              </w:rPr>
              <w:t>Aligns with reinforcement and peer modeling</w:t>
            </w:r>
          </w:p>
        </w:tc>
      </w:tr>
    </w:tbl>
    <w:p w14:paraId="65767F0D" w14:textId="77777777" w:rsidR="00A64FEC" w:rsidRDefault="00A64FEC" w:rsidP="00A64FEC">
      <w:pPr>
        <w:spacing w:line="480" w:lineRule="auto"/>
        <w:jc w:val="both"/>
      </w:pPr>
    </w:p>
    <w:p w14:paraId="0DF4F2CA" w14:textId="77777777" w:rsidR="00E3161F" w:rsidRDefault="00577259" w:rsidP="00577259">
      <w:pPr>
        <w:pStyle w:val="Heading3"/>
        <w:spacing w:line="480" w:lineRule="auto"/>
        <w:jc w:val="both"/>
        <w:rPr>
          <w:rStyle w:val="Strong"/>
          <w:b/>
          <w:bCs/>
        </w:rPr>
      </w:pPr>
      <w:r w:rsidRPr="00577259">
        <w:rPr>
          <w:b w:val="0"/>
          <w:sz w:val="24"/>
          <w:szCs w:val="24"/>
        </w:rPr>
        <w:t xml:space="preserve">Together, these theories frame the investigation of how AI technologies can be strategically deployed within secondary schools to not only </w:t>
      </w:r>
      <w:r w:rsidRPr="00577259">
        <w:rPr>
          <w:rStyle w:val="Strong"/>
          <w:sz w:val="24"/>
          <w:szCs w:val="24"/>
        </w:rPr>
        <w:t>increase climate change awareness</w:t>
      </w:r>
      <w:r w:rsidRPr="00577259">
        <w:rPr>
          <w:b w:val="0"/>
          <w:sz w:val="24"/>
          <w:szCs w:val="24"/>
        </w:rPr>
        <w:t xml:space="preserve">, but also to </w:t>
      </w:r>
      <w:r w:rsidRPr="00577259">
        <w:rPr>
          <w:rStyle w:val="Strong"/>
          <w:sz w:val="24"/>
          <w:szCs w:val="24"/>
        </w:rPr>
        <w:t>stimulate student-led mitigation behaviors</w:t>
      </w:r>
      <w:r w:rsidRPr="00577259">
        <w:rPr>
          <w:b w:val="0"/>
          <w:sz w:val="24"/>
          <w:szCs w:val="24"/>
        </w:rPr>
        <w:t>, contributing to broader environmental resilience and policy advocacy</w:t>
      </w:r>
      <w:r>
        <w:t>.</w:t>
      </w:r>
    </w:p>
    <w:p w14:paraId="0912EA6E" w14:textId="77777777" w:rsidR="00360B2B" w:rsidRPr="00360B2B" w:rsidRDefault="00360B2B" w:rsidP="00360B2B">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2.0 </w:t>
      </w:r>
      <w:r w:rsidRPr="00360B2B">
        <w:rPr>
          <w:rStyle w:val="Strong"/>
          <w:rFonts w:ascii="Times New Roman" w:hAnsi="Times New Roman" w:cs="Times New Roman"/>
          <w:b/>
          <w:bCs/>
          <w:color w:val="auto"/>
          <w:sz w:val="24"/>
          <w:szCs w:val="24"/>
        </w:rPr>
        <w:t>Review of Related Literature</w:t>
      </w:r>
    </w:p>
    <w:p w14:paraId="35B83688" w14:textId="77777777" w:rsidR="00360B2B" w:rsidRPr="00360B2B" w:rsidRDefault="00360B2B" w:rsidP="00360B2B">
      <w:pPr>
        <w:pStyle w:val="Heading3"/>
        <w:rPr>
          <w:sz w:val="24"/>
          <w:szCs w:val="24"/>
        </w:rPr>
      </w:pPr>
      <w:r w:rsidRPr="00360B2B">
        <w:rPr>
          <w:rStyle w:val="Strong"/>
          <w:b/>
          <w:bCs/>
          <w:sz w:val="24"/>
          <w:szCs w:val="24"/>
        </w:rPr>
        <w:t>2.1 Introduction</w:t>
      </w:r>
    </w:p>
    <w:p w14:paraId="7710DE90" w14:textId="77777777" w:rsidR="00360B2B" w:rsidRDefault="00360B2B" w:rsidP="00360B2B">
      <w:pPr>
        <w:pStyle w:val="NormalWeb"/>
        <w:spacing w:line="480" w:lineRule="auto"/>
        <w:jc w:val="both"/>
      </w:pPr>
      <w:r>
        <w:t xml:space="preserve">This section reviews relevant literature on the role of artificial intelligence (AI) in environmental education, the state of climate change awareness among Nigerian secondary school students, and </w:t>
      </w:r>
      <w:r>
        <w:lastRenderedPageBreak/>
        <w:t>theoretical perspectives underpinning learning and behavior change. It also identifies research gaps that this study seeks to address.</w:t>
      </w:r>
    </w:p>
    <w:p w14:paraId="5D372E60" w14:textId="77777777" w:rsidR="00360B2B" w:rsidRDefault="00360B2B" w:rsidP="00360B2B"/>
    <w:p w14:paraId="28FB00A7" w14:textId="77777777" w:rsidR="00360B2B" w:rsidRPr="00360B2B" w:rsidRDefault="00360B2B" w:rsidP="00360B2B">
      <w:pPr>
        <w:pStyle w:val="Heading3"/>
        <w:rPr>
          <w:sz w:val="24"/>
          <w:szCs w:val="24"/>
        </w:rPr>
      </w:pPr>
      <w:r w:rsidRPr="00360B2B">
        <w:rPr>
          <w:rStyle w:val="Strong"/>
          <w:b/>
          <w:bCs/>
          <w:sz w:val="24"/>
          <w:szCs w:val="24"/>
        </w:rPr>
        <w:t>2.2 Environmental Education and Climate Change Literacy in Nigeria</w:t>
      </w:r>
    </w:p>
    <w:p w14:paraId="4054D019" w14:textId="77777777" w:rsidR="00360B2B" w:rsidRDefault="00360B2B" w:rsidP="00360B2B">
      <w:pPr>
        <w:pStyle w:val="NormalWeb"/>
        <w:spacing w:line="480" w:lineRule="auto"/>
        <w:jc w:val="both"/>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2023). This has contributed to a disconnect between students’ theoretical knowledge of climate change and their actual engagement in mitigation practices (Nwankwo, Eze, &amp; Ugwuanyi, 2022).</w:t>
      </w:r>
    </w:p>
    <w:p w14:paraId="10C02939" w14:textId="77777777" w:rsidR="00360B2B" w:rsidRDefault="00360B2B" w:rsidP="00360B2B">
      <w:pPr>
        <w:pStyle w:val="NormalWeb"/>
        <w:spacing w:line="480" w:lineRule="auto"/>
        <w:jc w:val="both"/>
      </w:pPr>
      <w:r>
        <w:t>Studies in Southeastern Nigeria have shown moderate levels of awareness among students concerning climate change, but many remain unable to articulate or practice concrete adaptation and mitigation strategies (</w:t>
      </w:r>
      <w:proofErr w:type="spellStart"/>
      <w:r>
        <w:t>Oguejiofor</w:t>
      </w:r>
      <w:proofErr w:type="spellEnd"/>
      <w:r>
        <w:t xml:space="preserve">, </w:t>
      </w:r>
      <w:proofErr w:type="spellStart"/>
      <w:r>
        <w:t>Okwu</w:t>
      </w:r>
      <w:proofErr w:type="spellEnd"/>
      <w:r>
        <w:t xml:space="preserve"> &amp; </w:t>
      </w:r>
      <w:proofErr w:type="spellStart"/>
      <w:r>
        <w:t>Mgbemena</w:t>
      </w:r>
      <w:proofErr w:type="spellEnd"/>
      <w:r>
        <w:t>, 2025). Furthermore, learners in flood- and erosion-prone areas like Anambra and Imo states often lack localized understanding and context-specific interventions (</w:t>
      </w:r>
      <w:proofErr w:type="spellStart"/>
      <w:r>
        <w:t>Ajaero</w:t>
      </w:r>
      <w:proofErr w:type="spellEnd"/>
      <w:r>
        <w:t xml:space="preserve"> &amp; </w:t>
      </w:r>
      <w:proofErr w:type="spellStart"/>
      <w:r>
        <w:t>Onokala</w:t>
      </w:r>
      <w:proofErr w:type="spellEnd"/>
      <w:r>
        <w:t>, 2020). This calls for more interactive and technology-supported approaches that foster applied learning and critical thinking.</w:t>
      </w:r>
    </w:p>
    <w:p w14:paraId="36FA36E4" w14:textId="77777777" w:rsidR="00360B2B" w:rsidRPr="00360B2B" w:rsidRDefault="00360B2B" w:rsidP="00360B2B">
      <w:pPr>
        <w:pStyle w:val="Heading3"/>
        <w:rPr>
          <w:sz w:val="24"/>
          <w:szCs w:val="24"/>
        </w:rPr>
      </w:pPr>
      <w:r w:rsidRPr="00360B2B">
        <w:rPr>
          <w:rStyle w:val="Strong"/>
          <w:b/>
          <w:bCs/>
          <w:sz w:val="24"/>
          <w:szCs w:val="24"/>
        </w:rPr>
        <w:t>2.3 Artificial Intelligence in Education</w:t>
      </w:r>
    </w:p>
    <w:p w14:paraId="381891BC" w14:textId="77777777" w:rsidR="00360B2B" w:rsidRDefault="00360B2B" w:rsidP="00360B2B">
      <w:pPr>
        <w:pStyle w:val="NormalWeb"/>
        <w:spacing w:line="480" w:lineRule="auto"/>
        <w:jc w:val="both"/>
      </w:pPr>
      <w:r>
        <w:t>AI technologies such as intelligent tutoring systems, adaptive learning platforms, and virtual simulations have demonstrated significant potential in transforming education globally (UNESCO, 2023). In sub-Saharan Africa, AI is increasingly recognized as a solution to structural deficits in teacher capacity, curriculum delivery, and student engagement (Adebayo &amp; Ibrahim, 2022).</w:t>
      </w:r>
    </w:p>
    <w:p w14:paraId="219BA906" w14:textId="77777777" w:rsidR="00360B2B" w:rsidRDefault="00360B2B" w:rsidP="00360B2B">
      <w:pPr>
        <w:pStyle w:val="NormalWeb"/>
        <w:spacing w:line="480" w:lineRule="auto"/>
        <w:jc w:val="both"/>
      </w:pPr>
      <w:r>
        <w:lastRenderedPageBreak/>
        <w:t xml:space="preserve">In Nigeria, Okoye and Mante (2024) identified AI’s potential to enhance Science, Technology, Engineering, and Mathematics (STEM) education, though integration remains low due to infrastructural and policy gaps. </w:t>
      </w:r>
      <w:proofErr w:type="spellStart"/>
      <w:r>
        <w:t>Nja</w:t>
      </w:r>
      <w:proofErr w:type="spellEnd"/>
      <w:r>
        <w:t xml:space="preserve"> et al. (2023) found that many Nigerian teachers, especially in science subjects, have a positive perception of AI tools but lack training and institutional support to adopt them effectively.</w:t>
      </w:r>
    </w:p>
    <w:p w14:paraId="6BB008D8" w14:textId="77777777" w:rsidR="00360B2B" w:rsidRDefault="00360B2B" w:rsidP="00360B2B">
      <w:pPr>
        <w:pStyle w:val="NormalWeb"/>
        <w:spacing w:line="480" w:lineRule="auto"/>
        <w:jc w:val="both"/>
      </w:pPr>
      <w:r>
        <w:t>Despite these limitations, AI-powered learning environments offer personalized feedback, real-time adaptation, and immersive simulations—making them highly suitable for complex and dynamic topics like climate change (Lim et al., 2024).</w:t>
      </w:r>
    </w:p>
    <w:p w14:paraId="5B50331D" w14:textId="77777777" w:rsidR="00360B2B" w:rsidRPr="00360B2B" w:rsidRDefault="00360B2B" w:rsidP="00360B2B">
      <w:pPr>
        <w:pStyle w:val="Heading3"/>
        <w:rPr>
          <w:sz w:val="24"/>
          <w:szCs w:val="24"/>
        </w:rPr>
      </w:pPr>
      <w:r w:rsidRPr="00360B2B">
        <w:rPr>
          <w:rStyle w:val="Strong"/>
          <w:b/>
          <w:bCs/>
          <w:sz w:val="24"/>
          <w:szCs w:val="24"/>
        </w:rPr>
        <w:t>2.4 Experiential Learning and AI-Based Instruction</w:t>
      </w:r>
    </w:p>
    <w:p w14:paraId="2EC5C810" w14:textId="77777777" w:rsidR="00360B2B" w:rsidRDefault="00360B2B" w:rsidP="00360B2B">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14:paraId="7498D032" w14:textId="77777777" w:rsidR="00360B2B" w:rsidRDefault="00360B2B" w:rsidP="00360B2B">
      <w:pPr>
        <w:pStyle w:val="NormalWeb"/>
        <w:spacing w:line="480" w:lineRule="auto"/>
        <w:jc w:val="both"/>
      </w:pPr>
      <w:r>
        <w:t xml:space="preserve">For instance, AI-driven platforms can simulate deforestation, flooding, and greenhouse gas emissions, allowing learners to test and reflect on outcomes (Kolb, 1984; Aderibigbe &amp; Onah, 2023). Research by </w:t>
      </w:r>
      <w:proofErr w:type="spellStart"/>
      <w:r>
        <w:t>Olasehinde</w:t>
      </w:r>
      <w:proofErr w:type="spellEnd"/>
      <w:r>
        <w:t xml:space="preserve">-Williams and </w:t>
      </w:r>
      <w:proofErr w:type="spellStart"/>
      <w:r>
        <w:t>Balogun</w:t>
      </w:r>
      <w:proofErr w:type="spellEnd"/>
      <w:r>
        <w:t xml:space="preserve"> (2020) shows that when Nigerian students are actively involved in environmental problem-solving, their retention and application of knowledge significantly improve.</w:t>
      </w:r>
    </w:p>
    <w:p w14:paraId="25780BD2" w14:textId="77777777" w:rsidR="00360B2B" w:rsidRDefault="00360B2B" w:rsidP="00360B2B">
      <w:pPr>
        <w:pStyle w:val="NormalWeb"/>
        <w:spacing w:line="480" w:lineRule="auto"/>
        <w:jc w:val="both"/>
      </w:pPr>
      <w:r>
        <w:t>AI also enables differentiated instruction that caters to students’ varied learning styles and levels an important consideration in public schools where class sizes are often large and teacher-to-student ratios are poor (Okoroafor &amp; Ugwu, 2021).</w:t>
      </w:r>
    </w:p>
    <w:p w14:paraId="096A424C" w14:textId="77777777" w:rsidR="00360B2B" w:rsidRDefault="00360B2B" w:rsidP="00360B2B">
      <w:pPr>
        <w:pStyle w:val="NormalWeb"/>
        <w:spacing w:line="480" w:lineRule="auto"/>
        <w:jc w:val="both"/>
      </w:pPr>
    </w:p>
    <w:p w14:paraId="4C7E0A44" w14:textId="77777777" w:rsidR="00360B2B" w:rsidRPr="00360B2B" w:rsidRDefault="00360B2B" w:rsidP="00360B2B">
      <w:pPr>
        <w:pStyle w:val="Heading3"/>
        <w:rPr>
          <w:sz w:val="24"/>
          <w:szCs w:val="24"/>
        </w:rPr>
      </w:pPr>
      <w:r w:rsidRPr="00360B2B">
        <w:rPr>
          <w:rStyle w:val="Strong"/>
          <w:b/>
          <w:bCs/>
          <w:sz w:val="24"/>
          <w:szCs w:val="24"/>
        </w:rPr>
        <w:t>2.5 Behavioral Change and Social Cognitive Theory</w:t>
      </w:r>
    </w:p>
    <w:p w14:paraId="1A5CB66F" w14:textId="77777777" w:rsidR="00360B2B" w:rsidRDefault="00360B2B" w:rsidP="00360B2B">
      <w:pPr>
        <w:pStyle w:val="NormalWeb"/>
        <w:spacing w:line="480" w:lineRule="auto"/>
        <w:jc w:val="both"/>
      </w:pPr>
      <w:r>
        <w:t>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conservation. Students who observe these actions repeatedly in engaging, gamified formats are more likely to internalize and replicate them (Bandura, 1986; Lim et al., 2024).</w:t>
      </w:r>
    </w:p>
    <w:p w14:paraId="71CF9118" w14:textId="77777777" w:rsidR="00360B2B" w:rsidRDefault="00360B2B" w:rsidP="00360B2B">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14:paraId="42FE3E94" w14:textId="77777777" w:rsidR="00360B2B" w:rsidRPr="00360B2B" w:rsidRDefault="00360B2B" w:rsidP="00360B2B">
      <w:pPr>
        <w:pStyle w:val="Heading3"/>
        <w:rPr>
          <w:sz w:val="24"/>
          <w:szCs w:val="24"/>
        </w:rPr>
      </w:pPr>
      <w:r w:rsidRPr="00360B2B">
        <w:rPr>
          <w:rStyle w:val="Strong"/>
          <w:b/>
          <w:bCs/>
          <w:sz w:val="24"/>
          <w:szCs w:val="24"/>
        </w:rPr>
        <w:t>2.6 Synthesis and Research Gap</w:t>
      </w:r>
    </w:p>
    <w:p w14:paraId="2EB38D28" w14:textId="77777777" w:rsidR="00360B2B" w:rsidRDefault="00360B2B" w:rsidP="00360B2B">
      <w:pPr>
        <w:pStyle w:val="NormalWeb"/>
        <w:spacing w:line="480" w:lineRule="auto"/>
        <w:jc w:val="both"/>
      </w:pPr>
      <w:r>
        <w:t>The reviewed literature underscores three critical insights:</w:t>
      </w:r>
    </w:p>
    <w:p w14:paraId="393B05C2" w14:textId="77777777" w:rsidR="00360B2B" w:rsidRDefault="00360B2B" w:rsidP="00360B2B">
      <w:pPr>
        <w:pStyle w:val="NormalWeb"/>
        <w:numPr>
          <w:ilvl w:val="0"/>
          <w:numId w:val="7"/>
        </w:numPr>
        <w:spacing w:line="480" w:lineRule="auto"/>
        <w:jc w:val="both"/>
      </w:pPr>
      <w:r>
        <w:t>Environmental education in Nigeria remains largely theoretical and under-resourced.</w:t>
      </w:r>
    </w:p>
    <w:p w14:paraId="2858AF3B" w14:textId="77777777" w:rsidR="00360B2B" w:rsidRDefault="00360B2B" w:rsidP="00360B2B">
      <w:pPr>
        <w:pStyle w:val="NormalWeb"/>
        <w:numPr>
          <w:ilvl w:val="0"/>
          <w:numId w:val="7"/>
        </w:numPr>
        <w:spacing w:line="480" w:lineRule="auto"/>
        <w:jc w:val="both"/>
      </w:pPr>
      <w:r>
        <w:t>AI technologies hold promise for improving climate literacy through experiential and personalized learning.</w:t>
      </w:r>
    </w:p>
    <w:p w14:paraId="6D473669" w14:textId="77777777" w:rsidR="00360B2B" w:rsidRDefault="00360B2B" w:rsidP="00360B2B">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14:paraId="5FFF3B06" w14:textId="77777777" w:rsidR="00360B2B" w:rsidRDefault="00360B2B" w:rsidP="00360B2B">
      <w:pPr>
        <w:pStyle w:val="NormalWeb"/>
        <w:spacing w:line="480" w:lineRule="auto"/>
        <w:jc w:val="both"/>
      </w:pPr>
      <w:r>
        <w:t xml:space="preserve">Most existing studies focus either on AI adoption in general education or on climate change awareness without integrating behavioral theories or adaptive digital instruction. Therefore, this </w:t>
      </w:r>
      <w:r>
        <w:lastRenderedPageBreak/>
        <w:t>study addresses a unique gap by combining Kolb’s Experiential Learning Theory and Bandura’s Social Cognitive Theory to examine how AI-driven environmental education can enhance both awareness and climate action in secondary schools across Southeast Nigeria.</w:t>
      </w:r>
    </w:p>
    <w:p w14:paraId="5D885023" w14:textId="77777777" w:rsidR="00342282" w:rsidRPr="00342282" w:rsidRDefault="00342282" w:rsidP="00342282">
      <w:pPr>
        <w:pStyle w:val="Heading2"/>
        <w:rPr>
          <w:rFonts w:ascii="Times New Roman" w:hAnsi="Times New Roman" w:cs="Times New Roman"/>
          <w:color w:val="auto"/>
          <w:sz w:val="24"/>
          <w:szCs w:val="24"/>
        </w:rPr>
      </w:pPr>
      <w:r w:rsidRPr="00342282">
        <w:rPr>
          <w:rStyle w:val="Strong"/>
          <w:rFonts w:ascii="Times New Roman" w:hAnsi="Times New Roman" w:cs="Times New Roman"/>
          <w:b/>
          <w:bCs/>
          <w:color w:val="auto"/>
          <w:sz w:val="24"/>
          <w:szCs w:val="24"/>
        </w:rPr>
        <w:t>3.0 Methodology</w:t>
      </w:r>
    </w:p>
    <w:p w14:paraId="51772B53" w14:textId="77777777" w:rsidR="00342282" w:rsidRPr="00342282" w:rsidRDefault="00342282" w:rsidP="00342282">
      <w:pPr>
        <w:pStyle w:val="Heading3"/>
        <w:rPr>
          <w:sz w:val="24"/>
          <w:szCs w:val="24"/>
        </w:rPr>
      </w:pPr>
      <w:r w:rsidRPr="00342282">
        <w:rPr>
          <w:rStyle w:val="Strong"/>
          <w:b/>
          <w:bCs/>
          <w:sz w:val="24"/>
          <w:szCs w:val="24"/>
        </w:rPr>
        <w:t>3.1 Research Design</w:t>
      </w:r>
    </w:p>
    <w:p w14:paraId="63C5FC79" w14:textId="77777777" w:rsidR="00342282" w:rsidRDefault="00342282" w:rsidP="00342282">
      <w:pPr>
        <w:pStyle w:val="NormalWeb"/>
        <w:spacing w:line="480" w:lineRule="auto"/>
        <w:jc w:val="both"/>
      </w:pPr>
      <w:r>
        <w:t xml:space="preserve">This study adopted a </w:t>
      </w:r>
      <w:r w:rsidRPr="00342282">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14:paraId="3D738852" w14:textId="77777777" w:rsidR="00342282" w:rsidRDefault="00342282" w:rsidP="00342282">
      <w:pPr>
        <w:pStyle w:val="NormalWeb"/>
        <w:spacing w:line="480" w:lineRule="auto"/>
        <w:jc w:val="both"/>
      </w:pPr>
      <w:r>
        <w:t xml:space="preserve">Quantitatively, a </w:t>
      </w:r>
      <w:r w:rsidRPr="00342282">
        <w:rPr>
          <w:rStyle w:val="Strong"/>
          <w:b w:val="0"/>
        </w:rPr>
        <w:t>quasi-experimental pretest-posttest design</w:t>
      </w:r>
      <w:r w:rsidRPr="00342282">
        <w:rPr>
          <w:b/>
        </w:rPr>
        <w:t xml:space="preserve"> </w:t>
      </w:r>
      <w:r w:rsidRPr="00342282">
        <w:t xml:space="preserve">was </w:t>
      </w:r>
      <w:r>
        <w:t xml:space="preserve">employed to assess changes in students’ climate knowledge and behavior after exposure to AI-enhanced instructional modules. Qualitatively, </w:t>
      </w:r>
      <w:r w:rsidRPr="00342282">
        <w:rPr>
          <w:rStyle w:val="Strong"/>
          <w:b w:val="0"/>
        </w:rPr>
        <w:t>focus group discussions (FGDs)</w:t>
      </w:r>
      <w:r>
        <w:t xml:space="preserve"> and </w:t>
      </w:r>
      <w:r w:rsidRPr="00342282">
        <w:rPr>
          <w:rStyle w:val="Strong"/>
          <w:b w:val="0"/>
        </w:rPr>
        <w:t>semi-structured interviews</w:t>
      </w:r>
      <w:r>
        <w:t xml:space="preserve"> were conducted with students, teachers, and school administrators to capture perceptions, attitudes, and contextual dynamics.</w:t>
      </w:r>
    </w:p>
    <w:p w14:paraId="14418DE1" w14:textId="77777777" w:rsidR="00342282" w:rsidRPr="00342282" w:rsidRDefault="00342282" w:rsidP="00342282">
      <w:pPr>
        <w:pStyle w:val="Heading3"/>
        <w:rPr>
          <w:sz w:val="24"/>
          <w:szCs w:val="24"/>
        </w:rPr>
      </w:pPr>
      <w:r w:rsidRPr="00342282">
        <w:rPr>
          <w:rStyle w:val="Strong"/>
          <w:b/>
          <w:bCs/>
          <w:sz w:val="24"/>
          <w:szCs w:val="24"/>
        </w:rPr>
        <w:t>3.2 Population of the Study</w:t>
      </w:r>
    </w:p>
    <w:p w14:paraId="31ECAD48" w14:textId="77777777" w:rsidR="00342282" w:rsidRDefault="00342282" w:rsidP="00342282">
      <w:pPr>
        <w:pStyle w:val="NormalWeb"/>
        <w:spacing w:line="480" w:lineRule="auto"/>
        <w:jc w:val="both"/>
      </w:pPr>
      <w:r>
        <w:t xml:space="preserve">The population comprises </w:t>
      </w:r>
      <w:r w:rsidRPr="00342282">
        <w:rPr>
          <w:rStyle w:val="Strong"/>
          <w:b w:val="0"/>
        </w:rPr>
        <w:t>senior secondary school students</w:t>
      </w:r>
      <w:r>
        <w:rPr>
          <w:rStyle w:val="Strong"/>
        </w:rPr>
        <w:t xml:space="preserve"> </w:t>
      </w:r>
      <w:r w:rsidRPr="00342282">
        <w:rPr>
          <w:rStyle w:val="Strong"/>
          <w:b w:val="0"/>
        </w:rPr>
        <w:t>(SS1–SS3)</w:t>
      </w:r>
      <w:r w:rsidRPr="00342282">
        <w:rPr>
          <w:b/>
        </w:rPr>
        <w:t xml:space="preserve">, </w:t>
      </w:r>
      <w:r>
        <w:t>science teachers, and school administrators across five states in Southeast Nigeria Abia, Anambra, Ebonyi, Enugu, and Imo. These states were selected due to their vulnerability to environmental degradation and reported challenges in climate education (</w:t>
      </w:r>
      <w:proofErr w:type="spellStart"/>
      <w:r>
        <w:t>Ajaero</w:t>
      </w:r>
      <w:proofErr w:type="spellEnd"/>
      <w:r>
        <w:t xml:space="preserve"> &amp; </w:t>
      </w:r>
      <w:proofErr w:type="spellStart"/>
      <w:r>
        <w:t>Onokala</w:t>
      </w:r>
      <w:proofErr w:type="spellEnd"/>
      <w:r>
        <w:t>, 2020).</w:t>
      </w:r>
    </w:p>
    <w:p w14:paraId="5FC07401" w14:textId="77777777" w:rsidR="00342282" w:rsidRDefault="00342282" w:rsidP="00342282">
      <w:pPr>
        <w:pStyle w:val="NormalWeb"/>
        <w:spacing w:line="480" w:lineRule="auto"/>
        <w:jc w:val="both"/>
      </w:pPr>
    </w:p>
    <w:p w14:paraId="752F23D3" w14:textId="77777777"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3.3 Sample Size and Sampling Technique</w:t>
      </w:r>
    </w:p>
    <w:p w14:paraId="2C7E5136" w14:textId="77777777" w:rsidR="00342282" w:rsidRDefault="00342282" w:rsidP="00342282">
      <w:pPr>
        <w:spacing w:before="100" w:beforeAutospacing="1" w:after="100" w:afterAutospacing="1" w:line="480" w:lineRule="auto"/>
        <w:jc w:val="both"/>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 xml:space="preserve">Using </w:t>
      </w:r>
      <w:r w:rsidRPr="00342282">
        <w:rPr>
          <w:rFonts w:ascii="Times New Roman" w:eastAsia="Times New Roman" w:hAnsi="Times New Roman" w:cs="Times New Roman"/>
          <w:bCs/>
          <w:sz w:val="24"/>
          <w:szCs w:val="24"/>
        </w:rPr>
        <w:t>Yamane’s (1967)</w:t>
      </w:r>
      <w:r w:rsidRPr="00342282">
        <w:rPr>
          <w:rFonts w:ascii="Times New Roman" w:eastAsia="Times New Roman" w:hAnsi="Times New Roman" w:cs="Times New Roman"/>
          <w:sz w:val="24"/>
          <w:szCs w:val="24"/>
        </w:rPr>
        <w:t xml:space="preserve"> formula for known populations and stratified random sampling, a sample of </w:t>
      </w:r>
      <w:r w:rsidRPr="00342282">
        <w:rPr>
          <w:rFonts w:ascii="Times New Roman" w:eastAsia="Times New Roman" w:hAnsi="Times New Roman" w:cs="Times New Roman"/>
          <w:bCs/>
          <w:sz w:val="24"/>
          <w:szCs w:val="24"/>
        </w:rPr>
        <w:t>600 students</w:t>
      </w:r>
      <w:r w:rsidRPr="00342282">
        <w:rPr>
          <w:rFonts w:ascii="Times New Roman" w:eastAsia="Times New Roman" w:hAnsi="Times New Roman" w:cs="Times New Roman"/>
          <w:sz w:val="24"/>
          <w:szCs w:val="24"/>
        </w:rPr>
        <w:t xml:space="preserve"> was drawn from 20 secondary schools (4 from each state). Schools were stratified by urban-rural location and type (public vs. private). Purposive sampling was used to select </w:t>
      </w:r>
      <w:r w:rsidRPr="00342282">
        <w:rPr>
          <w:rFonts w:ascii="Times New Roman" w:eastAsia="Times New Roman" w:hAnsi="Times New Roman" w:cs="Times New Roman"/>
          <w:bCs/>
          <w:sz w:val="24"/>
          <w:szCs w:val="24"/>
        </w:rPr>
        <w:t>20 science teachers</w:t>
      </w:r>
      <w:r w:rsidRPr="00342282">
        <w:rPr>
          <w:rFonts w:ascii="Times New Roman" w:eastAsia="Times New Roman" w:hAnsi="Times New Roman" w:cs="Times New Roman"/>
          <w:sz w:val="24"/>
          <w:szCs w:val="24"/>
        </w:rPr>
        <w:t xml:space="preserve"> and </w:t>
      </w:r>
      <w:r w:rsidRPr="00342282">
        <w:rPr>
          <w:rFonts w:ascii="Times New Roman" w:eastAsia="Times New Roman" w:hAnsi="Times New Roman" w:cs="Times New Roman"/>
          <w:bCs/>
          <w:sz w:val="24"/>
          <w:szCs w:val="24"/>
        </w:rPr>
        <w:t>10 administrators</w:t>
      </w:r>
      <w:r w:rsidRPr="00342282">
        <w:rPr>
          <w:rFonts w:ascii="Times New Roman" w:eastAsia="Times New Roman" w:hAnsi="Times New Roman" w:cs="Times New Roman"/>
          <w:sz w:val="24"/>
          <w:szCs w:val="24"/>
        </w:rPr>
        <w:t xml:space="preserve"> for qualitative interviews.</w:t>
      </w:r>
    </w:p>
    <w:p w14:paraId="04FE4C54" w14:textId="77777777" w:rsidR="00055BD6" w:rsidRPr="00055BD6" w:rsidRDefault="00055BD6" w:rsidP="00055BD6">
      <w:pPr>
        <w:pStyle w:val="Heading3"/>
        <w:rPr>
          <w:sz w:val="24"/>
          <w:szCs w:val="24"/>
        </w:rPr>
      </w:pPr>
      <w:r w:rsidRPr="00055BD6">
        <w:rPr>
          <w:rStyle w:val="Strong"/>
          <w:b/>
          <w:bCs/>
          <w:sz w:val="24"/>
          <w:szCs w:val="24"/>
        </w:rPr>
        <w:t>3.4 Sample Size Justification &amp; Population Estimation</w:t>
      </w:r>
    </w:p>
    <w:p w14:paraId="2AC2DF79" w14:textId="77777777" w:rsidR="00CB023D" w:rsidRDefault="00CB023D" w:rsidP="00CB023D">
      <w:pPr>
        <w:pStyle w:val="NormalWeb"/>
        <w:spacing w:line="480" w:lineRule="auto"/>
      </w:pPr>
      <w:r>
        <w:rPr>
          <w:rStyle w:val="relative"/>
        </w:rPr>
        <w:t>To determine a realistic population size for senior secondary students in Southeast Nigeria, the following data were used:</w:t>
      </w:r>
    </w:p>
    <w:p w14:paraId="1103FE33" w14:textId="77777777" w:rsidR="00CB023D" w:rsidRDefault="00CB023D" w:rsidP="00CB023D">
      <w:pPr>
        <w:pStyle w:val="NormalWeb"/>
        <w:numPr>
          <w:ilvl w:val="0"/>
          <w:numId w:val="14"/>
        </w:numPr>
        <w:spacing w:line="480" w:lineRule="auto"/>
        <w:jc w:val="both"/>
      </w:pPr>
      <w:r>
        <w:rPr>
          <w:rStyle w:val="relative"/>
        </w:rPr>
        <w:t xml:space="preserve">According to </w:t>
      </w:r>
      <w:r w:rsidRPr="00CB023D">
        <w:rPr>
          <w:rStyle w:val="Strong"/>
          <w:b w:val="0"/>
        </w:rPr>
        <w:t>YCharts</w:t>
      </w:r>
      <w:r>
        <w:rPr>
          <w:rStyle w:val="relative"/>
        </w:rPr>
        <w:t xml:space="preserve"> (2024), the total number of secondary school students in Nigeria in 2021 was approximately </w:t>
      </w:r>
      <w:r w:rsidRPr="00CB023D">
        <w:rPr>
          <w:rStyle w:val="Strong"/>
          <w:b w:val="0"/>
        </w:rPr>
        <w:t>13.95 million</w:t>
      </w:r>
      <w:r>
        <w:t>.</w:t>
      </w:r>
    </w:p>
    <w:p w14:paraId="613BAAD0" w14:textId="77777777" w:rsidR="00CB023D" w:rsidRDefault="00CB023D" w:rsidP="00CB023D">
      <w:pPr>
        <w:pStyle w:val="NormalWeb"/>
        <w:numPr>
          <w:ilvl w:val="0"/>
          <w:numId w:val="14"/>
        </w:numPr>
        <w:spacing w:line="480" w:lineRule="auto"/>
        <w:jc w:val="both"/>
      </w:pPr>
      <w:r>
        <w:rPr>
          <w:rStyle w:val="relative"/>
        </w:rPr>
        <w:t xml:space="preserve">Southeast Nigeria contributed around </w:t>
      </w:r>
      <w:r w:rsidRPr="0068520C">
        <w:rPr>
          <w:rStyle w:val="Strong"/>
          <w:b w:val="0"/>
        </w:rPr>
        <w:t>11%</w:t>
      </w:r>
      <w:r>
        <w:rPr>
          <w:rStyle w:val="relative"/>
        </w:rPr>
        <w:t xml:space="preserve"> of this total, based on enrollment distribution across geopolitical </w:t>
      </w:r>
      <w:proofErr w:type="gramStart"/>
      <w:r>
        <w:rPr>
          <w:rStyle w:val="relative"/>
        </w:rPr>
        <w:t>zones</w:t>
      </w:r>
      <w:r>
        <w:t xml:space="preserve"> .</w:t>
      </w:r>
      <w:proofErr w:type="gramEnd"/>
    </w:p>
    <w:p w14:paraId="4914E7EC" w14:textId="77777777" w:rsidR="0068520C" w:rsidRDefault="0068520C" w:rsidP="0068520C">
      <w:pPr>
        <w:pStyle w:val="NormalWeb"/>
        <w:ind w:left="360"/>
      </w:pPr>
      <w:r>
        <w:rPr>
          <w:rStyle w:val="relative"/>
        </w:rPr>
        <w:t>Using these figures:</w:t>
      </w:r>
    </w:p>
    <w:p w14:paraId="421213F6" w14:textId="77777777" w:rsidR="00CB023D"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N = 13,950,000 × 0.11 ≈ 1,534,500</w:t>
      </w:r>
    </w:p>
    <w:p w14:paraId="4A94AC4B" w14:textId="77777777" w:rsidR="00F330E9" w:rsidRPr="0068520C" w:rsidRDefault="0068520C" w:rsidP="00342282">
      <w:pPr>
        <w:spacing w:before="100" w:beforeAutospacing="1" w:after="100" w:afterAutospacing="1" w:line="480" w:lineRule="auto"/>
        <w:jc w:val="both"/>
        <w:rPr>
          <w:rFonts w:ascii="Times New Roman" w:hAnsi="Times New Roman" w:cs="Times New Roman"/>
          <w:sz w:val="24"/>
          <w:szCs w:val="24"/>
        </w:rPr>
      </w:pPr>
      <w:r w:rsidRPr="0068520C">
        <w:rPr>
          <w:rFonts w:ascii="Times New Roman" w:hAnsi="Times New Roman" w:cs="Times New Roman"/>
          <w:sz w:val="24"/>
          <w:szCs w:val="24"/>
        </w:rPr>
        <w:t xml:space="preserve">Estimated target population: </w:t>
      </w:r>
      <w:r w:rsidRPr="0068520C">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w:t>
      </w:r>
      <w:r w:rsidR="00F330E9" w:rsidRPr="00F330E9">
        <w:rPr>
          <w:rFonts w:ascii="Times New Roman" w:hAnsi="Times New Roman" w:cs="Times New Roman"/>
          <w:sz w:val="24"/>
          <w:szCs w:val="24"/>
        </w:rPr>
        <w:t>across Abia, Anambra, Ebonyi, Enugu, and Imo states</w:t>
      </w:r>
      <w:r w:rsidR="00F330E9">
        <w:t>.</w:t>
      </w:r>
    </w:p>
    <w:p w14:paraId="44A2909D" w14:textId="77777777" w:rsidR="00F330E9" w:rsidRPr="00F330E9" w:rsidRDefault="0068520C" w:rsidP="00F330E9">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3.4.1</w:t>
      </w:r>
      <w:r w:rsidR="00F330E9" w:rsidRPr="00F330E9">
        <w:rPr>
          <w:rFonts w:ascii="Times New Roman" w:hAnsi="Times New Roman" w:cs="Times New Roman"/>
          <w:i w:val="0"/>
          <w:color w:val="auto"/>
          <w:sz w:val="24"/>
          <w:szCs w:val="24"/>
        </w:rPr>
        <w:t xml:space="preserve"> Sample Size Determination (Yamane’s Formula)</w:t>
      </w:r>
    </w:p>
    <w:p w14:paraId="2B92A8EF" w14:textId="77777777" w:rsidR="00F330E9" w:rsidRDefault="00F330E9" w:rsidP="00F330E9">
      <w:pPr>
        <w:pStyle w:val="NormalWeb"/>
      </w:pPr>
      <w:r>
        <w:rPr>
          <w:rStyle w:val="vlist-s"/>
        </w:rPr>
        <w:t>​</w:t>
      </w:r>
      <w:r>
        <w:t xml:space="preserve">To determine the appropriate sample size for this study, </w:t>
      </w:r>
      <w:r>
        <w:rPr>
          <w:rStyle w:val="Strong"/>
        </w:rPr>
        <w:t>Yamane’s (1967)</w:t>
      </w:r>
      <w:r>
        <w:t xml:space="preserve"> formula for finite population was applied. The formula is:</w:t>
      </w:r>
    </w:p>
    <w:p w14:paraId="3467A0C2" w14:textId="77777777" w:rsidR="00F330E9" w:rsidRDefault="00F330E9" w:rsidP="00F330E9">
      <w:pPr>
        <w:pStyle w:val="NormalWeb"/>
      </w:pPr>
      <w:r>
        <w:rPr>
          <w:rStyle w:val="Strong"/>
        </w:rPr>
        <w:t>n = N / [1 + N(e²)]</w:t>
      </w:r>
    </w:p>
    <w:p w14:paraId="068EF458" w14:textId="77777777" w:rsidR="00F330E9" w:rsidRDefault="00F330E9" w:rsidP="00F330E9">
      <w:pPr>
        <w:pStyle w:val="NormalWeb"/>
      </w:pPr>
      <w:r>
        <w:lastRenderedPageBreak/>
        <w:t>Where:</w:t>
      </w:r>
    </w:p>
    <w:p w14:paraId="35407A7C" w14:textId="77777777" w:rsidR="00F330E9" w:rsidRDefault="00F330E9" w:rsidP="00F330E9">
      <w:pPr>
        <w:pStyle w:val="NormalWeb"/>
        <w:numPr>
          <w:ilvl w:val="0"/>
          <w:numId w:val="13"/>
        </w:numPr>
      </w:pPr>
      <w:r>
        <w:rPr>
          <w:rStyle w:val="Strong"/>
        </w:rPr>
        <w:t>n</w:t>
      </w:r>
      <w:r>
        <w:t xml:space="preserve"> = sample size</w:t>
      </w:r>
    </w:p>
    <w:p w14:paraId="05A7A877" w14:textId="77777777" w:rsidR="00F330E9" w:rsidRDefault="00F330E9" w:rsidP="00F330E9">
      <w:pPr>
        <w:pStyle w:val="NormalWeb"/>
        <w:numPr>
          <w:ilvl w:val="0"/>
          <w:numId w:val="13"/>
        </w:numPr>
      </w:pPr>
      <w:r>
        <w:rPr>
          <w:rStyle w:val="Strong"/>
        </w:rPr>
        <w:t>N</w:t>
      </w:r>
      <w:r>
        <w:t xml:space="preserve"> = population size</w:t>
      </w:r>
    </w:p>
    <w:p w14:paraId="0BF6804D" w14:textId="77777777" w:rsidR="00F330E9" w:rsidRDefault="00F330E9" w:rsidP="00F330E9">
      <w:pPr>
        <w:pStyle w:val="NormalWeb"/>
        <w:numPr>
          <w:ilvl w:val="0"/>
          <w:numId w:val="13"/>
        </w:numPr>
      </w:pPr>
      <w:r>
        <w:rPr>
          <w:rStyle w:val="Strong"/>
        </w:rPr>
        <w:t>e</w:t>
      </w:r>
      <w:r>
        <w:t xml:space="preserve"> = level of precision or margin of error (usually 0.05 or 0.04)</w:t>
      </w:r>
    </w:p>
    <w:p w14:paraId="0AA4BDC0" w14:textId="77777777" w:rsidR="00F330E9" w:rsidRDefault="00F330E9" w:rsidP="00F330E9"/>
    <w:p w14:paraId="6D1035EE" w14:textId="77777777" w:rsidR="00F330E9" w:rsidRPr="00CB023D" w:rsidRDefault="00F330E9" w:rsidP="00F330E9">
      <w:pPr>
        <w:pStyle w:val="Heading4"/>
        <w:rPr>
          <w:rFonts w:ascii="Times New Roman" w:hAnsi="Times New Roman" w:cs="Times New Roman"/>
          <w:b w:val="0"/>
          <w:i w:val="0"/>
          <w:color w:val="auto"/>
          <w:sz w:val="24"/>
          <w:szCs w:val="24"/>
        </w:rPr>
      </w:pPr>
      <w:r w:rsidRPr="00CB023D">
        <w:rPr>
          <w:rFonts w:ascii="Times New Roman" w:hAnsi="Times New Roman" w:cs="Times New Roman"/>
          <w:b w:val="0"/>
          <w:i w:val="0"/>
          <w:color w:val="auto"/>
          <w:sz w:val="24"/>
          <w:szCs w:val="24"/>
        </w:rPr>
        <w:t>Example Based on Study Parameters</w:t>
      </w:r>
    </w:p>
    <w:p w14:paraId="21F1DABB" w14:textId="77777777" w:rsidR="00F330E9" w:rsidRDefault="00F330E9" w:rsidP="00F330E9">
      <w:pPr>
        <w:pStyle w:val="NormalWeb"/>
        <w:spacing w:line="480" w:lineRule="auto"/>
        <w:rPr>
          <w:rStyle w:val="Strong"/>
          <w:b w:val="0"/>
        </w:rPr>
      </w:pPr>
      <w:r>
        <w:t>Estimated population of senior secondary school students in Southeast Nigeria:</w:t>
      </w:r>
      <w:r>
        <w:br/>
      </w:r>
      <w:r w:rsidRPr="00F330E9">
        <w:rPr>
          <w:rStyle w:val="Strong"/>
          <w:b w:val="0"/>
        </w:rPr>
        <w:t xml:space="preserve">N = </w:t>
      </w:r>
      <w:r w:rsidR="0068520C" w:rsidRPr="0068520C">
        <w:rPr>
          <w:rStyle w:val="Strong"/>
          <w:b w:val="0"/>
        </w:rPr>
        <w:t>1,534,500</w:t>
      </w:r>
      <w:r>
        <w:br/>
        <w:t>Margin of error (precision level):</w:t>
      </w:r>
      <w:r>
        <w:br/>
      </w:r>
      <w:r w:rsidRPr="00F330E9">
        <w:rPr>
          <w:rStyle w:val="Strong"/>
          <w:b w:val="0"/>
        </w:rPr>
        <w:t>e = 0.04</w:t>
      </w:r>
    </w:p>
    <w:p w14:paraId="566107BB" w14:textId="77777777" w:rsidR="0068520C" w:rsidRPr="00F330E9" w:rsidRDefault="0068520C" w:rsidP="00F330E9">
      <w:pPr>
        <w:pStyle w:val="NormalWeb"/>
        <w:spacing w:line="480" w:lineRule="auto"/>
        <w:rPr>
          <w:b/>
        </w:rPr>
      </w:pPr>
      <w:r>
        <w:t>Calculation:</w:t>
      </w:r>
    </w:p>
    <w:p w14:paraId="63727BEE" w14:textId="77777777" w:rsidR="0068520C" w:rsidRPr="0068520C" w:rsidRDefault="0068520C" w:rsidP="0068520C">
      <w:pPr>
        <w:pStyle w:val="Heading3"/>
        <w:rPr>
          <w:b w:val="0"/>
          <w:sz w:val="24"/>
          <w:szCs w:val="24"/>
        </w:rPr>
      </w:pPr>
      <w:r w:rsidRPr="0068520C">
        <w:rPr>
          <w:b w:val="0"/>
          <w:sz w:val="24"/>
          <w:szCs w:val="24"/>
        </w:rPr>
        <w:t>n = 1,534,500 / [1 + 1,534,500 × 0.0016]</w:t>
      </w:r>
    </w:p>
    <w:p w14:paraId="3A0941FD" w14:textId="77777777" w:rsidR="0068520C" w:rsidRPr="0068520C" w:rsidRDefault="0068520C" w:rsidP="0068520C">
      <w:pPr>
        <w:pStyle w:val="Heading3"/>
        <w:rPr>
          <w:b w:val="0"/>
          <w:sz w:val="24"/>
          <w:szCs w:val="24"/>
        </w:rPr>
      </w:pPr>
      <w:r w:rsidRPr="0068520C">
        <w:rPr>
          <w:b w:val="0"/>
          <w:sz w:val="24"/>
          <w:szCs w:val="24"/>
        </w:rPr>
        <w:t>n = 1,534,500 / [1 + 2,455.2]</w:t>
      </w:r>
    </w:p>
    <w:p w14:paraId="1035494D" w14:textId="77777777" w:rsidR="0068520C" w:rsidRDefault="0068520C" w:rsidP="0068520C">
      <w:pPr>
        <w:pStyle w:val="Heading3"/>
        <w:rPr>
          <w:b w:val="0"/>
          <w:sz w:val="24"/>
          <w:szCs w:val="24"/>
        </w:rPr>
      </w:pPr>
      <w:r w:rsidRPr="0068520C">
        <w:rPr>
          <w:b w:val="0"/>
          <w:sz w:val="24"/>
          <w:szCs w:val="24"/>
        </w:rPr>
        <w:t>n = 1,534,500 / 2,456.2 ≈ 624.8</w:t>
      </w:r>
    </w:p>
    <w:p w14:paraId="6749BFE6" w14:textId="77777777" w:rsidR="0068520C" w:rsidRDefault="0068520C" w:rsidP="0068520C">
      <w:pPr>
        <w:pStyle w:val="Heading3"/>
        <w:rPr>
          <w:b w:val="0"/>
          <w:sz w:val="24"/>
          <w:szCs w:val="24"/>
        </w:rPr>
      </w:pPr>
      <w:r w:rsidRPr="0068520C">
        <w:rPr>
          <w:b w:val="0"/>
        </w:rPr>
        <w:t>Thus, a statistically sound sample size is approximately</w:t>
      </w:r>
      <w:r>
        <w:t xml:space="preserve"> </w:t>
      </w:r>
      <w:r>
        <w:rPr>
          <w:rStyle w:val="Strong"/>
        </w:rPr>
        <w:t>625 students</w:t>
      </w:r>
      <w:r>
        <w:t>.</w:t>
      </w:r>
    </w:p>
    <w:p w14:paraId="1353CBD9" w14:textId="77777777" w:rsidR="00F330E9" w:rsidRPr="00CB023D" w:rsidRDefault="00F330E9" w:rsidP="00F330E9">
      <w:pPr>
        <w:pStyle w:val="Heading3"/>
        <w:rPr>
          <w:b w:val="0"/>
          <w:sz w:val="24"/>
          <w:szCs w:val="24"/>
        </w:rPr>
      </w:pPr>
      <w:r w:rsidRPr="00CB023D">
        <w:rPr>
          <w:b w:val="0"/>
          <w:sz w:val="24"/>
          <w:szCs w:val="24"/>
        </w:rPr>
        <w:t>Final Justification:</w:t>
      </w:r>
    </w:p>
    <w:p w14:paraId="10C00FE3" w14:textId="77777777" w:rsidR="00F330E9" w:rsidRDefault="0068520C" w:rsidP="0068520C">
      <w:pPr>
        <w:pStyle w:val="NormalWeb"/>
        <w:spacing w:line="480" w:lineRule="auto"/>
        <w:jc w:val="both"/>
      </w:pPr>
      <w:r>
        <w:t xml:space="preserve">A </w:t>
      </w:r>
      <w:r w:rsidRPr="0068520C">
        <w:rPr>
          <w:rStyle w:val="Strong"/>
          <w:b w:val="0"/>
        </w:rPr>
        <w:t>sample size of 600 students</w:t>
      </w:r>
      <w:r>
        <w:t xml:space="preserve"> was adopted a figure close to the calculated 625, offering a </w:t>
      </w:r>
      <w:r w:rsidRPr="0068520C">
        <w:rPr>
          <w:rStyle w:val="Strong"/>
          <w:b w:val="0"/>
        </w:rPr>
        <w:t>~4.05% margin of error at 95% confidence level</w:t>
      </w:r>
      <w:r>
        <w:t xml:space="preserve">. This also provides flexibility for </w:t>
      </w:r>
      <w:r w:rsidRPr="0068520C">
        <w:rPr>
          <w:rStyle w:val="Strong"/>
          <w:b w:val="0"/>
        </w:rPr>
        <w:t>non-response or attrition</w:t>
      </w:r>
      <w:r>
        <w:t>, while ensuring balanced representation across the five Southeast Nigerian states.</w:t>
      </w:r>
    </w:p>
    <w:p w14:paraId="332E38F4" w14:textId="77777777" w:rsidR="00F330E9" w:rsidRDefault="00F330E9" w:rsidP="00342282">
      <w:pPr>
        <w:spacing w:before="100" w:beforeAutospacing="1" w:after="100" w:afterAutospacing="1" w:line="480" w:lineRule="auto"/>
        <w:jc w:val="both"/>
        <w:rPr>
          <w:rFonts w:ascii="Times New Roman" w:eastAsia="Times New Roman" w:hAnsi="Times New Roman" w:cs="Times New Roman"/>
          <w:sz w:val="24"/>
          <w:szCs w:val="24"/>
        </w:rPr>
      </w:pPr>
    </w:p>
    <w:p w14:paraId="0F4BB90B" w14:textId="77777777" w:rsidR="0068520C"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67068AA6" w14:textId="77777777" w:rsidR="0068520C" w:rsidRPr="00342282" w:rsidRDefault="0068520C" w:rsidP="00342282">
      <w:pPr>
        <w:spacing w:before="100" w:beforeAutospacing="1" w:after="100" w:afterAutospacing="1" w:line="480" w:lineRule="auto"/>
        <w:jc w:val="both"/>
        <w:rPr>
          <w:rFonts w:ascii="Times New Roman" w:eastAsia="Times New Roman" w:hAnsi="Times New Roman" w:cs="Times New Roman"/>
          <w:sz w:val="24"/>
          <w:szCs w:val="24"/>
        </w:rPr>
      </w:pPr>
    </w:p>
    <w:p w14:paraId="0101F03B" w14:textId="68370086" w:rsidR="00342282" w:rsidRPr="00342282" w:rsidRDefault="00342282" w:rsidP="00342282">
      <w:pPr>
        <w:spacing w:before="100" w:beforeAutospacing="1" w:after="100" w:afterAutospacing="1" w:line="240" w:lineRule="auto"/>
        <w:outlineLvl w:val="2"/>
        <w:rPr>
          <w:rFonts w:ascii="Times New Roman" w:eastAsia="Times New Roman" w:hAnsi="Times New Roman" w:cs="Times New Roman"/>
          <w:b/>
          <w:bCs/>
          <w:sz w:val="24"/>
          <w:szCs w:val="24"/>
        </w:rPr>
      </w:pPr>
      <w:r w:rsidRPr="004F74AD">
        <w:rPr>
          <w:rFonts w:ascii="Times New Roman" w:eastAsia="Times New Roman" w:hAnsi="Times New Roman" w:cs="Times New Roman"/>
          <w:b/>
          <w:bCs/>
          <w:sz w:val="24"/>
          <w:szCs w:val="24"/>
        </w:rPr>
        <w:lastRenderedPageBreak/>
        <w:t>Table</w:t>
      </w:r>
      <w:r w:rsidR="004F74AD" w:rsidRPr="004F74AD">
        <w:rPr>
          <w:rFonts w:ascii="Times New Roman" w:eastAsia="Times New Roman" w:hAnsi="Times New Roman" w:cs="Times New Roman"/>
          <w:b/>
          <w:bCs/>
          <w:sz w:val="24"/>
          <w:szCs w:val="24"/>
        </w:rPr>
        <w:t xml:space="preserve"> </w:t>
      </w:r>
      <w:r w:rsidR="000F77E5">
        <w:rPr>
          <w:rFonts w:ascii="Times New Roman" w:eastAsia="Times New Roman" w:hAnsi="Times New Roman" w:cs="Times New Roman"/>
          <w:b/>
          <w:bCs/>
          <w:sz w:val="24"/>
          <w:szCs w:val="24"/>
        </w:rPr>
        <w:t>2</w:t>
      </w:r>
      <w:r w:rsidRPr="004F74AD">
        <w:rPr>
          <w:rFonts w:ascii="Times New Roman" w:eastAsia="Times New Roman" w:hAnsi="Times New Roman" w:cs="Times New Roman"/>
          <w:b/>
          <w:bCs/>
          <w:sz w:val="24"/>
          <w:szCs w:val="24"/>
        </w:rPr>
        <w:t>: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2515"/>
        <w:gridCol w:w="2763"/>
        <w:gridCol w:w="3144"/>
      </w:tblGrid>
      <w:tr w:rsidR="00342282" w:rsidRPr="00342282" w14:paraId="63094374" w14:textId="77777777" w:rsidTr="004F74AD">
        <w:trPr>
          <w:trHeight w:val="678"/>
          <w:tblHeader/>
          <w:tblCellSpacing w:w="15" w:type="dxa"/>
        </w:trPr>
        <w:tc>
          <w:tcPr>
            <w:tcW w:w="1090" w:type="dxa"/>
            <w:vAlign w:val="center"/>
            <w:hideMark/>
          </w:tcPr>
          <w:p w14:paraId="4269A674"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State</w:t>
            </w:r>
          </w:p>
        </w:tc>
        <w:tc>
          <w:tcPr>
            <w:tcW w:w="2485" w:type="dxa"/>
            <w:vAlign w:val="center"/>
            <w:hideMark/>
          </w:tcPr>
          <w:p w14:paraId="6A23919F"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Schools Sampled</w:t>
            </w:r>
          </w:p>
        </w:tc>
        <w:tc>
          <w:tcPr>
            <w:tcW w:w="0" w:type="auto"/>
            <w:vAlign w:val="center"/>
            <w:hideMark/>
          </w:tcPr>
          <w:p w14:paraId="71967220"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Students Sampled</w:t>
            </w:r>
          </w:p>
        </w:tc>
        <w:tc>
          <w:tcPr>
            <w:tcW w:w="0" w:type="auto"/>
            <w:vAlign w:val="center"/>
            <w:hideMark/>
          </w:tcPr>
          <w:p w14:paraId="33A52F03" w14:textId="77777777" w:rsidR="00342282" w:rsidRPr="00342282" w:rsidRDefault="00342282" w:rsidP="004F74AD">
            <w:pPr>
              <w:spacing w:after="0" w:line="240" w:lineRule="auto"/>
              <w:jc w:val="center"/>
              <w:rPr>
                <w:rFonts w:ascii="Times New Roman" w:eastAsia="Times New Roman" w:hAnsi="Times New Roman" w:cs="Times New Roman"/>
                <w:b/>
                <w:bCs/>
                <w:sz w:val="24"/>
                <w:szCs w:val="24"/>
              </w:rPr>
            </w:pPr>
            <w:r w:rsidRPr="00342282">
              <w:rPr>
                <w:rFonts w:ascii="Times New Roman" w:eastAsia="Times New Roman" w:hAnsi="Times New Roman" w:cs="Times New Roman"/>
                <w:b/>
                <w:bCs/>
                <w:sz w:val="24"/>
                <w:szCs w:val="24"/>
              </w:rPr>
              <w:t>Number of Teachers Interviewed</w:t>
            </w:r>
          </w:p>
        </w:tc>
      </w:tr>
      <w:tr w:rsidR="00342282" w:rsidRPr="00342282" w14:paraId="07BBA5CA" w14:textId="77777777" w:rsidTr="004F74AD">
        <w:trPr>
          <w:trHeight w:val="340"/>
          <w:tblCellSpacing w:w="15" w:type="dxa"/>
        </w:trPr>
        <w:tc>
          <w:tcPr>
            <w:tcW w:w="1090" w:type="dxa"/>
            <w:vAlign w:val="center"/>
            <w:hideMark/>
          </w:tcPr>
          <w:p w14:paraId="756DB04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Abia</w:t>
            </w:r>
          </w:p>
        </w:tc>
        <w:tc>
          <w:tcPr>
            <w:tcW w:w="2485" w:type="dxa"/>
            <w:vAlign w:val="center"/>
            <w:hideMark/>
          </w:tcPr>
          <w:p w14:paraId="0C10664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C30FE4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2E9791A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13B21C0C" w14:textId="77777777" w:rsidTr="004F74AD">
        <w:trPr>
          <w:trHeight w:val="340"/>
          <w:tblCellSpacing w:w="15" w:type="dxa"/>
        </w:trPr>
        <w:tc>
          <w:tcPr>
            <w:tcW w:w="1090" w:type="dxa"/>
            <w:vAlign w:val="center"/>
            <w:hideMark/>
          </w:tcPr>
          <w:p w14:paraId="44D3DBFF"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Anambra</w:t>
            </w:r>
          </w:p>
        </w:tc>
        <w:tc>
          <w:tcPr>
            <w:tcW w:w="2485" w:type="dxa"/>
            <w:vAlign w:val="center"/>
            <w:hideMark/>
          </w:tcPr>
          <w:p w14:paraId="0EABA68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A2010D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B32B762"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D53EFC2" w14:textId="77777777" w:rsidTr="004F74AD">
        <w:trPr>
          <w:trHeight w:val="360"/>
          <w:tblCellSpacing w:w="15" w:type="dxa"/>
        </w:trPr>
        <w:tc>
          <w:tcPr>
            <w:tcW w:w="1090" w:type="dxa"/>
            <w:vAlign w:val="center"/>
            <w:hideMark/>
          </w:tcPr>
          <w:p w14:paraId="32EAAC2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Ebonyi</w:t>
            </w:r>
          </w:p>
        </w:tc>
        <w:tc>
          <w:tcPr>
            <w:tcW w:w="2485" w:type="dxa"/>
            <w:vAlign w:val="center"/>
            <w:hideMark/>
          </w:tcPr>
          <w:p w14:paraId="6FDA81E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2CB61D76"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619507AA"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53F13E39" w14:textId="77777777" w:rsidTr="004F74AD">
        <w:trPr>
          <w:trHeight w:val="360"/>
          <w:tblCellSpacing w:w="15" w:type="dxa"/>
        </w:trPr>
        <w:tc>
          <w:tcPr>
            <w:tcW w:w="1090" w:type="dxa"/>
            <w:vAlign w:val="center"/>
            <w:hideMark/>
          </w:tcPr>
          <w:p w14:paraId="0821A7A4"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Enugu</w:t>
            </w:r>
          </w:p>
        </w:tc>
        <w:tc>
          <w:tcPr>
            <w:tcW w:w="2485" w:type="dxa"/>
            <w:vAlign w:val="center"/>
            <w:hideMark/>
          </w:tcPr>
          <w:p w14:paraId="0E2900F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5616DB05"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5DD401C"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2B1B7100" w14:textId="77777777" w:rsidTr="004F74AD">
        <w:trPr>
          <w:trHeight w:val="340"/>
          <w:tblCellSpacing w:w="15" w:type="dxa"/>
        </w:trPr>
        <w:tc>
          <w:tcPr>
            <w:tcW w:w="1090" w:type="dxa"/>
            <w:vAlign w:val="center"/>
            <w:hideMark/>
          </w:tcPr>
          <w:p w14:paraId="68ECF88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Imo</w:t>
            </w:r>
          </w:p>
        </w:tc>
        <w:tc>
          <w:tcPr>
            <w:tcW w:w="2485" w:type="dxa"/>
            <w:vAlign w:val="center"/>
            <w:hideMark/>
          </w:tcPr>
          <w:p w14:paraId="66085658"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c>
          <w:tcPr>
            <w:tcW w:w="0" w:type="auto"/>
            <w:vAlign w:val="center"/>
            <w:hideMark/>
          </w:tcPr>
          <w:p w14:paraId="68E56A59"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120</w:t>
            </w:r>
          </w:p>
        </w:tc>
        <w:tc>
          <w:tcPr>
            <w:tcW w:w="0" w:type="auto"/>
            <w:vAlign w:val="center"/>
            <w:hideMark/>
          </w:tcPr>
          <w:p w14:paraId="442DC640"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sz w:val="24"/>
                <w:szCs w:val="24"/>
              </w:rPr>
              <w:t>4</w:t>
            </w:r>
          </w:p>
        </w:tc>
      </w:tr>
      <w:tr w:rsidR="00342282" w:rsidRPr="00342282" w14:paraId="6FA257EF" w14:textId="77777777" w:rsidTr="004F74AD">
        <w:trPr>
          <w:trHeight w:val="360"/>
          <w:tblCellSpacing w:w="15" w:type="dxa"/>
        </w:trPr>
        <w:tc>
          <w:tcPr>
            <w:tcW w:w="1090" w:type="dxa"/>
            <w:vAlign w:val="center"/>
            <w:hideMark/>
          </w:tcPr>
          <w:p w14:paraId="56CAC81E"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Total</w:t>
            </w:r>
          </w:p>
        </w:tc>
        <w:tc>
          <w:tcPr>
            <w:tcW w:w="2485" w:type="dxa"/>
            <w:vAlign w:val="center"/>
            <w:hideMark/>
          </w:tcPr>
          <w:p w14:paraId="3C6C0CCD"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c>
          <w:tcPr>
            <w:tcW w:w="0" w:type="auto"/>
            <w:vAlign w:val="center"/>
            <w:hideMark/>
          </w:tcPr>
          <w:p w14:paraId="1833EF83"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600</w:t>
            </w:r>
          </w:p>
        </w:tc>
        <w:tc>
          <w:tcPr>
            <w:tcW w:w="0" w:type="auto"/>
            <w:vAlign w:val="center"/>
            <w:hideMark/>
          </w:tcPr>
          <w:p w14:paraId="1B7842AB" w14:textId="77777777" w:rsidR="00342282" w:rsidRPr="00342282" w:rsidRDefault="00342282" w:rsidP="004F74AD">
            <w:pPr>
              <w:spacing w:after="0" w:line="240" w:lineRule="auto"/>
              <w:jc w:val="center"/>
              <w:rPr>
                <w:rFonts w:ascii="Times New Roman" w:eastAsia="Times New Roman" w:hAnsi="Times New Roman" w:cs="Times New Roman"/>
                <w:sz w:val="24"/>
                <w:szCs w:val="24"/>
              </w:rPr>
            </w:pPr>
            <w:r w:rsidRPr="00342282">
              <w:rPr>
                <w:rFonts w:ascii="Times New Roman" w:eastAsia="Times New Roman" w:hAnsi="Times New Roman" w:cs="Times New Roman"/>
                <w:b/>
                <w:bCs/>
                <w:sz w:val="24"/>
                <w:szCs w:val="24"/>
              </w:rPr>
              <w:t>20</w:t>
            </w:r>
          </w:p>
        </w:tc>
      </w:tr>
    </w:tbl>
    <w:p w14:paraId="42146668" w14:textId="77777777" w:rsidR="003B6163" w:rsidRPr="003B6163" w:rsidRDefault="003B6163" w:rsidP="004F74AD">
      <w:pPr>
        <w:pStyle w:val="Heading3"/>
        <w:rPr>
          <w:rStyle w:val="Strong"/>
          <w:bCs/>
          <w:sz w:val="24"/>
          <w:szCs w:val="24"/>
        </w:rPr>
      </w:pPr>
      <w:r w:rsidRPr="003B6163">
        <w:rPr>
          <w:rStyle w:val="Strong"/>
          <w:bCs/>
          <w:sz w:val="24"/>
          <w:szCs w:val="24"/>
        </w:rPr>
        <w:t>(Source: Field Research, 2025)</w:t>
      </w:r>
      <w:r>
        <w:rPr>
          <w:rStyle w:val="Strong"/>
          <w:bCs/>
          <w:sz w:val="24"/>
          <w:szCs w:val="24"/>
        </w:rPr>
        <w:t>.</w:t>
      </w:r>
    </w:p>
    <w:p w14:paraId="23A983EB" w14:textId="77777777" w:rsidR="004F74AD" w:rsidRDefault="00CB023D" w:rsidP="004F74AD">
      <w:pPr>
        <w:pStyle w:val="Heading3"/>
      </w:pPr>
      <w:r>
        <w:rPr>
          <w:rStyle w:val="Strong"/>
          <w:b/>
          <w:bCs/>
        </w:rPr>
        <w:t>3.5</w:t>
      </w:r>
      <w:r w:rsidR="004F74AD">
        <w:rPr>
          <w:rStyle w:val="Strong"/>
          <w:b/>
          <w:bCs/>
        </w:rPr>
        <w:t xml:space="preserve"> Research Instruments</w:t>
      </w:r>
    </w:p>
    <w:p w14:paraId="39368392"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.1 AI-Enhanced Climate Education Module</w:t>
      </w:r>
    </w:p>
    <w:p w14:paraId="7B625087" w14:textId="77777777" w:rsidR="004F74AD" w:rsidRDefault="004F74AD" w:rsidP="004F74AD">
      <w:pPr>
        <w:pStyle w:val="NormalWeb"/>
        <w:spacing w:line="480" w:lineRule="auto"/>
        <w:jc w:val="both"/>
      </w:pPr>
      <w:r>
        <w:t xml:space="preserve">A structured digital lesson module developed using </w:t>
      </w:r>
      <w:r w:rsidRPr="004F74AD">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14:paraId="05B838BE"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w:t>
      </w:r>
      <w:r w:rsidR="004F74AD" w:rsidRPr="004F74AD">
        <w:rPr>
          <w:rStyle w:val="Strong"/>
          <w:rFonts w:ascii="Times New Roman" w:hAnsi="Times New Roman" w:cs="Times New Roman"/>
          <w:b/>
          <w:bCs/>
          <w:i w:val="0"/>
          <w:color w:val="auto"/>
          <w:sz w:val="24"/>
          <w:szCs w:val="24"/>
        </w:rPr>
        <w:t>.2 Questionnaire</w:t>
      </w:r>
    </w:p>
    <w:p w14:paraId="07658181" w14:textId="77777777" w:rsidR="004F74AD" w:rsidRDefault="004F74AD" w:rsidP="004F74AD">
      <w:pPr>
        <w:pStyle w:val="NormalWeb"/>
        <w:spacing w:line="480" w:lineRule="auto"/>
      </w:pPr>
      <w:r>
        <w:t xml:space="preserve">A researcher-designed </w:t>
      </w:r>
      <w:r w:rsidRPr="004F74AD">
        <w:rPr>
          <w:rStyle w:val="Strong"/>
          <w:b w:val="0"/>
        </w:rPr>
        <w:t>Climate Awareness and Mitigation Questionnaire (CAMQ)</w:t>
      </w:r>
      <w:r>
        <w:t xml:space="preserve"> was used.  It covered:</w:t>
      </w:r>
    </w:p>
    <w:p w14:paraId="5C25F958" w14:textId="77777777" w:rsidR="004F74AD" w:rsidRDefault="004F74AD" w:rsidP="004F74AD">
      <w:pPr>
        <w:pStyle w:val="NormalWeb"/>
        <w:numPr>
          <w:ilvl w:val="0"/>
          <w:numId w:val="8"/>
        </w:numPr>
        <w:spacing w:line="480" w:lineRule="auto"/>
      </w:pPr>
      <w:r>
        <w:t>Climate change knowledge (multiple choice),</w:t>
      </w:r>
    </w:p>
    <w:p w14:paraId="37DB89C0" w14:textId="77777777" w:rsidR="004F74AD" w:rsidRDefault="004F74AD" w:rsidP="004F74AD">
      <w:pPr>
        <w:pStyle w:val="NormalWeb"/>
        <w:numPr>
          <w:ilvl w:val="0"/>
          <w:numId w:val="8"/>
        </w:numPr>
        <w:spacing w:line="480" w:lineRule="auto"/>
      </w:pPr>
      <w:r>
        <w:t>Environmental attitudes (Likert scale),</w:t>
      </w:r>
    </w:p>
    <w:p w14:paraId="7C4049FC" w14:textId="77777777" w:rsidR="004F74AD" w:rsidRDefault="004F74AD" w:rsidP="004F74AD">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sidRPr="004F74AD">
        <w:rPr>
          <w:rStyle w:val="Strong"/>
          <w:b w:val="0"/>
        </w:rPr>
        <w:t>0.81</w:t>
      </w:r>
      <w:r>
        <w:t>, indicating high internal reliability.</w:t>
      </w:r>
    </w:p>
    <w:p w14:paraId="49635470" w14:textId="77777777" w:rsidR="004F74AD" w:rsidRPr="004F74AD" w:rsidRDefault="00CB023D" w:rsidP="004F74AD">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3.5</w:t>
      </w:r>
      <w:r w:rsidR="004F74AD" w:rsidRPr="004F74AD">
        <w:rPr>
          <w:rStyle w:val="Strong"/>
          <w:rFonts w:ascii="Times New Roman" w:hAnsi="Times New Roman" w:cs="Times New Roman"/>
          <w:b/>
          <w:bCs/>
          <w:i w:val="0"/>
          <w:color w:val="auto"/>
          <w:sz w:val="24"/>
          <w:szCs w:val="24"/>
        </w:rPr>
        <w:t>.3 Interview Guide and FGD Protocol</w:t>
      </w:r>
    </w:p>
    <w:p w14:paraId="02AB2B53" w14:textId="77777777" w:rsidR="004F74AD" w:rsidRDefault="004F74AD" w:rsidP="004F74AD">
      <w:pPr>
        <w:pStyle w:val="NormalWeb"/>
        <w:spacing w:line="480" w:lineRule="auto"/>
      </w:pPr>
      <w:r>
        <w:t>Semi-structured guides focused on:</w:t>
      </w:r>
    </w:p>
    <w:p w14:paraId="7BA9D26F" w14:textId="77777777" w:rsidR="004F74AD" w:rsidRDefault="004F74AD" w:rsidP="004F74AD">
      <w:pPr>
        <w:pStyle w:val="NormalWeb"/>
        <w:numPr>
          <w:ilvl w:val="0"/>
          <w:numId w:val="9"/>
        </w:numPr>
        <w:spacing w:line="480" w:lineRule="auto"/>
      </w:pPr>
      <w:r>
        <w:t>Student perceptions of AI tools,</w:t>
      </w:r>
    </w:p>
    <w:p w14:paraId="3CFAF0E0" w14:textId="77777777" w:rsidR="004F74AD" w:rsidRDefault="004F74AD" w:rsidP="004F74AD">
      <w:pPr>
        <w:pStyle w:val="NormalWeb"/>
        <w:numPr>
          <w:ilvl w:val="0"/>
          <w:numId w:val="9"/>
        </w:numPr>
        <w:spacing w:line="480" w:lineRule="auto"/>
      </w:pPr>
      <w:r>
        <w:t>Challenges to adoption,</w:t>
      </w:r>
    </w:p>
    <w:p w14:paraId="01F79839" w14:textId="77777777" w:rsidR="004F74AD" w:rsidRDefault="004F74AD" w:rsidP="004F74AD">
      <w:pPr>
        <w:pStyle w:val="NormalWeb"/>
        <w:numPr>
          <w:ilvl w:val="0"/>
          <w:numId w:val="9"/>
        </w:numPr>
        <w:spacing w:line="480" w:lineRule="auto"/>
      </w:pPr>
      <w:r>
        <w:t>Behavioral changes observed post-intervention.</w:t>
      </w:r>
      <w:r>
        <w:br/>
        <w:t>Interviews lasted 30–45 minutes and were audio-recorded with consent.</w:t>
      </w:r>
    </w:p>
    <w:p w14:paraId="129763D4" w14:textId="77777777" w:rsidR="004F74AD" w:rsidRPr="004F74AD" w:rsidRDefault="00CB023D" w:rsidP="004F74AD">
      <w:pPr>
        <w:pStyle w:val="Heading3"/>
        <w:rPr>
          <w:sz w:val="24"/>
          <w:szCs w:val="24"/>
        </w:rPr>
      </w:pPr>
      <w:r>
        <w:rPr>
          <w:rStyle w:val="Strong"/>
          <w:b/>
          <w:bCs/>
          <w:sz w:val="24"/>
          <w:szCs w:val="24"/>
        </w:rPr>
        <w:t>3.6</w:t>
      </w:r>
      <w:r w:rsidR="004F74AD" w:rsidRPr="004F74AD">
        <w:rPr>
          <w:rStyle w:val="Strong"/>
          <w:b/>
          <w:bCs/>
          <w:sz w:val="24"/>
          <w:szCs w:val="24"/>
        </w:rPr>
        <w:t xml:space="preserve"> Method of Data Collection</w:t>
      </w:r>
    </w:p>
    <w:p w14:paraId="54DD7A6F" w14:textId="77777777" w:rsidR="004F74AD" w:rsidRDefault="004F74AD" w:rsidP="004F74AD">
      <w:pPr>
        <w:pStyle w:val="NormalWeb"/>
      </w:pPr>
      <w:r>
        <w:t xml:space="preserve">Data collection occurred in </w:t>
      </w:r>
      <w:r w:rsidRPr="004F74AD">
        <w:rPr>
          <w:rStyle w:val="Strong"/>
          <w:b w:val="0"/>
        </w:rPr>
        <w:t>two phases</w:t>
      </w:r>
      <w:r>
        <w:t>:</w:t>
      </w:r>
    </w:p>
    <w:p w14:paraId="4FAECA91" w14:textId="77777777" w:rsidR="004F74AD" w:rsidRDefault="004F74AD" w:rsidP="004F74AD">
      <w:pPr>
        <w:pStyle w:val="NormalWeb"/>
        <w:numPr>
          <w:ilvl w:val="0"/>
          <w:numId w:val="10"/>
        </w:numPr>
        <w:spacing w:line="480" w:lineRule="auto"/>
        <w:jc w:val="both"/>
      </w:pPr>
      <w:r w:rsidRPr="004F74AD">
        <w:rPr>
          <w:rStyle w:val="Strong"/>
          <w:b w:val="0"/>
        </w:rPr>
        <w:t>Pre-intervention Phase</w:t>
      </w:r>
      <w:r>
        <w:t>: Students completed the CAMQ questionnaire to establish baseline climate awareness and mitigation behavior.</w:t>
      </w:r>
    </w:p>
    <w:p w14:paraId="7F9DF922" w14:textId="77777777" w:rsidR="004F74AD" w:rsidRDefault="004F74AD" w:rsidP="004F74AD">
      <w:pPr>
        <w:pStyle w:val="NormalWeb"/>
        <w:numPr>
          <w:ilvl w:val="0"/>
          <w:numId w:val="10"/>
        </w:numPr>
        <w:spacing w:line="480" w:lineRule="auto"/>
        <w:jc w:val="both"/>
      </w:pPr>
      <w:r w:rsidRPr="004F74AD">
        <w:rPr>
          <w:rStyle w:val="Strong"/>
          <w:b w:val="0"/>
        </w:rPr>
        <w:t>Intervention Phase</w:t>
      </w:r>
      <w:r>
        <w:t>: AI-based lessons were delivered weekly for four weeks via mobile-enabled tablets or computer labs.</w:t>
      </w:r>
    </w:p>
    <w:p w14:paraId="6A6B9319" w14:textId="77777777" w:rsidR="004F74AD" w:rsidRDefault="004F74AD" w:rsidP="004F74AD">
      <w:pPr>
        <w:pStyle w:val="NormalWeb"/>
        <w:numPr>
          <w:ilvl w:val="0"/>
          <w:numId w:val="10"/>
        </w:numPr>
        <w:spacing w:line="480" w:lineRule="auto"/>
        <w:jc w:val="both"/>
      </w:pPr>
      <w:r w:rsidRPr="004F74AD">
        <w:rPr>
          <w:rStyle w:val="Strong"/>
          <w:b w:val="0"/>
        </w:rPr>
        <w:t>Post-intervention Phase</w:t>
      </w:r>
      <w:r>
        <w:t>: Students completed the same questionnaire again. FGDs and interviews followed, held in both English and local dialects (where needed), and transcribed verbatim.</w:t>
      </w:r>
    </w:p>
    <w:p w14:paraId="3BF708C3" w14:textId="77777777" w:rsidR="004F74AD" w:rsidRPr="004F74AD" w:rsidRDefault="00CB023D" w:rsidP="004F74AD">
      <w:pPr>
        <w:pStyle w:val="Heading3"/>
        <w:rPr>
          <w:sz w:val="24"/>
          <w:szCs w:val="24"/>
        </w:rPr>
      </w:pPr>
      <w:r>
        <w:rPr>
          <w:rStyle w:val="Strong"/>
          <w:b/>
          <w:bCs/>
          <w:sz w:val="24"/>
          <w:szCs w:val="24"/>
        </w:rPr>
        <w:t>3.7</w:t>
      </w:r>
      <w:r w:rsidR="004F74AD" w:rsidRPr="004F74AD">
        <w:rPr>
          <w:rStyle w:val="Strong"/>
          <w:b/>
          <w:bCs/>
          <w:sz w:val="24"/>
          <w:szCs w:val="24"/>
        </w:rPr>
        <w:t xml:space="preserve"> Method of Data Analysis</w:t>
      </w:r>
    </w:p>
    <w:p w14:paraId="0F180326" w14:textId="77777777" w:rsidR="004F74AD" w:rsidRDefault="004F74AD" w:rsidP="004F74AD">
      <w:pPr>
        <w:pStyle w:val="NormalWeb"/>
        <w:numPr>
          <w:ilvl w:val="0"/>
          <w:numId w:val="11"/>
        </w:numPr>
        <w:spacing w:line="480" w:lineRule="auto"/>
        <w:jc w:val="both"/>
      </w:pPr>
      <w:r w:rsidRPr="004F74AD">
        <w:rPr>
          <w:rStyle w:val="Strong"/>
          <w:b w:val="0"/>
        </w:rPr>
        <w:t>Quantitative Data</w:t>
      </w:r>
      <w:r>
        <w:t xml:space="preserve"> from the CAMQ were analyzed using </w:t>
      </w:r>
      <w:r w:rsidRPr="00CB023D">
        <w:rPr>
          <w:rStyle w:val="Strong"/>
          <w:b w:val="0"/>
        </w:rPr>
        <w:t>SPSS v27</w:t>
      </w:r>
      <w:r>
        <w:t>.</w:t>
      </w:r>
    </w:p>
    <w:p w14:paraId="273D8845" w14:textId="77777777" w:rsidR="004F74AD" w:rsidRDefault="004F74AD" w:rsidP="004F74AD">
      <w:pPr>
        <w:pStyle w:val="NormalWeb"/>
        <w:numPr>
          <w:ilvl w:val="1"/>
          <w:numId w:val="11"/>
        </w:numPr>
        <w:spacing w:line="480" w:lineRule="auto"/>
        <w:jc w:val="both"/>
      </w:pPr>
      <w:r w:rsidRPr="004F74AD">
        <w:rPr>
          <w:rStyle w:val="Strong"/>
          <w:b w:val="0"/>
        </w:rPr>
        <w:t>Descriptive statistics</w:t>
      </w:r>
      <w:r>
        <w:t xml:space="preserve"> (means, frequencies, standard deviations) were used to summarize data.</w:t>
      </w:r>
    </w:p>
    <w:p w14:paraId="7EA19322" w14:textId="77777777" w:rsidR="004F74AD" w:rsidRDefault="004F74AD" w:rsidP="004F74AD">
      <w:pPr>
        <w:pStyle w:val="NormalWeb"/>
        <w:numPr>
          <w:ilvl w:val="1"/>
          <w:numId w:val="11"/>
        </w:numPr>
        <w:spacing w:line="480" w:lineRule="auto"/>
        <w:jc w:val="both"/>
      </w:pPr>
      <w:r w:rsidRPr="004F74AD">
        <w:rPr>
          <w:rStyle w:val="Strong"/>
          <w:b w:val="0"/>
        </w:rPr>
        <w:t>Paired-sample t-tests</w:t>
      </w:r>
      <w:r>
        <w:t xml:space="preserve"> were conducted to determine statistically significant differences in pre- and post-intervention scores on awareness and behavior.</w:t>
      </w:r>
    </w:p>
    <w:p w14:paraId="179677EA" w14:textId="77777777" w:rsidR="004F74AD" w:rsidRDefault="004F74AD" w:rsidP="004F74AD">
      <w:pPr>
        <w:pStyle w:val="NormalWeb"/>
        <w:numPr>
          <w:ilvl w:val="1"/>
          <w:numId w:val="11"/>
        </w:numPr>
        <w:spacing w:line="480" w:lineRule="auto"/>
        <w:jc w:val="both"/>
      </w:pPr>
      <w:r w:rsidRPr="004F74AD">
        <w:rPr>
          <w:rStyle w:val="Strong"/>
          <w:b w:val="0"/>
        </w:rPr>
        <w:lastRenderedPageBreak/>
        <w:t>Regression analysis</w:t>
      </w:r>
      <w:r>
        <w:t xml:space="preserve"> was employed to assess the predictive strength of AI-based instruction on behavior change.</w:t>
      </w:r>
    </w:p>
    <w:p w14:paraId="02830987" w14:textId="77777777" w:rsidR="004F74AD" w:rsidRDefault="004F74AD" w:rsidP="004F74AD">
      <w:pPr>
        <w:pStyle w:val="NormalWeb"/>
        <w:numPr>
          <w:ilvl w:val="0"/>
          <w:numId w:val="11"/>
        </w:numPr>
        <w:spacing w:line="480" w:lineRule="auto"/>
        <w:jc w:val="both"/>
      </w:pPr>
      <w:r w:rsidRPr="004F74AD">
        <w:rPr>
          <w:rStyle w:val="Strong"/>
          <w:b w:val="0"/>
        </w:rPr>
        <w:t>Qualitative Data</w:t>
      </w:r>
      <w:r>
        <w:t xml:space="preserve"> were analyzed using </w:t>
      </w:r>
      <w:r w:rsidRPr="004F74AD">
        <w:rPr>
          <w:rStyle w:val="Strong"/>
          <w:b w:val="0"/>
        </w:rPr>
        <w:t>NVivo</w:t>
      </w:r>
      <w:r>
        <w:t xml:space="preserve"> thematic coding.</w:t>
      </w:r>
    </w:p>
    <w:p w14:paraId="78113863" w14:textId="77777777" w:rsidR="004F74AD" w:rsidRDefault="004F74AD" w:rsidP="004F74AD">
      <w:pPr>
        <w:pStyle w:val="NormalWeb"/>
        <w:numPr>
          <w:ilvl w:val="1"/>
          <w:numId w:val="11"/>
        </w:numPr>
        <w:spacing w:line="480" w:lineRule="auto"/>
        <w:jc w:val="both"/>
      </w:pPr>
      <w:r>
        <w:t>Transcripts were coded into emerging themes based on Kolb’s and Bandura’s constructs (e.g., experience, reflection, self-efficacy).</w:t>
      </w:r>
    </w:p>
    <w:p w14:paraId="47AD1E96" w14:textId="77777777" w:rsidR="004F74AD" w:rsidRDefault="004F74AD" w:rsidP="004F74AD">
      <w:pPr>
        <w:pStyle w:val="NormalWeb"/>
        <w:numPr>
          <w:ilvl w:val="1"/>
          <w:numId w:val="11"/>
        </w:numPr>
        <w:spacing w:line="480" w:lineRule="auto"/>
        <w:jc w:val="both"/>
      </w:pPr>
      <w:r>
        <w:t>Patterns and anomalies were compared across rural/urban and public/private school contexts.</w:t>
      </w:r>
    </w:p>
    <w:p w14:paraId="577B2B32" w14:textId="77777777" w:rsidR="004F74AD" w:rsidRPr="004F74AD" w:rsidRDefault="00CB023D" w:rsidP="004F74AD">
      <w:pPr>
        <w:pStyle w:val="Heading3"/>
        <w:rPr>
          <w:sz w:val="24"/>
          <w:szCs w:val="24"/>
        </w:rPr>
      </w:pPr>
      <w:r>
        <w:rPr>
          <w:rStyle w:val="Strong"/>
          <w:b/>
          <w:bCs/>
          <w:sz w:val="24"/>
          <w:szCs w:val="24"/>
        </w:rPr>
        <w:t>3.9</w:t>
      </w:r>
      <w:r w:rsidR="004F74AD" w:rsidRPr="004F74AD">
        <w:rPr>
          <w:rStyle w:val="Strong"/>
          <w:b/>
          <w:bCs/>
          <w:sz w:val="24"/>
          <w:szCs w:val="24"/>
        </w:rPr>
        <w:t xml:space="preserve"> Validity and Reliability</w:t>
      </w:r>
    </w:p>
    <w:p w14:paraId="2B34FAAD" w14:textId="77777777" w:rsidR="004F74AD" w:rsidRDefault="004F74AD" w:rsidP="004F74AD">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14:paraId="2A818CB3" w14:textId="77777777" w:rsidR="004F74AD" w:rsidRPr="004F74AD" w:rsidRDefault="00CB023D" w:rsidP="004F74AD">
      <w:pPr>
        <w:pStyle w:val="Heading3"/>
        <w:rPr>
          <w:sz w:val="24"/>
          <w:szCs w:val="24"/>
        </w:rPr>
      </w:pPr>
      <w:r>
        <w:rPr>
          <w:rStyle w:val="Strong"/>
          <w:b/>
          <w:bCs/>
          <w:sz w:val="24"/>
          <w:szCs w:val="24"/>
        </w:rPr>
        <w:t>3.10</w:t>
      </w:r>
      <w:r w:rsidR="004F74AD" w:rsidRPr="004F74AD">
        <w:rPr>
          <w:rStyle w:val="Strong"/>
          <w:b/>
          <w:bCs/>
          <w:sz w:val="24"/>
          <w:szCs w:val="24"/>
        </w:rPr>
        <w:t xml:space="preserve"> Limitations of the Methodology</w:t>
      </w:r>
    </w:p>
    <w:p w14:paraId="46FF7E4D" w14:textId="77777777" w:rsidR="004F74AD" w:rsidRDefault="004F74AD" w:rsidP="004F74AD">
      <w:pPr>
        <w:pStyle w:val="NormalWeb"/>
      </w:pPr>
      <w:r>
        <w:t>Potential limitations include:</w:t>
      </w:r>
    </w:p>
    <w:p w14:paraId="529D308E" w14:textId="77777777" w:rsidR="004F74AD" w:rsidRDefault="004F74AD" w:rsidP="004F74AD">
      <w:pPr>
        <w:pStyle w:val="NormalWeb"/>
        <w:numPr>
          <w:ilvl w:val="0"/>
          <w:numId w:val="12"/>
        </w:numPr>
        <w:spacing w:line="480" w:lineRule="auto"/>
        <w:jc w:val="both"/>
      </w:pPr>
      <w:r>
        <w:t>Limited access to digital devices in rural schools.</w:t>
      </w:r>
    </w:p>
    <w:p w14:paraId="735C9698" w14:textId="77777777" w:rsidR="004F74AD" w:rsidRDefault="004F74AD" w:rsidP="004F74AD">
      <w:pPr>
        <w:pStyle w:val="NormalWeb"/>
        <w:numPr>
          <w:ilvl w:val="0"/>
          <w:numId w:val="12"/>
        </w:numPr>
        <w:spacing w:line="480" w:lineRule="auto"/>
        <w:jc w:val="both"/>
      </w:pPr>
      <w:r>
        <w:t>Variability in internet bandwidth and electricity, which could affect AI tool deployment.</w:t>
      </w:r>
    </w:p>
    <w:p w14:paraId="420A2B59" w14:textId="77777777" w:rsidR="004F74AD" w:rsidRDefault="004F74AD" w:rsidP="004F74AD">
      <w:pPr>
        <w:pStyle w:val="NormalWeb"/>
        <w:numPr>
          <w:ilvl w:val="0"/>
          <w:numId w:val="12"/>
        </w:numPr>
        <w:spacing w:line="480" w:lineRule="auto"/>
      </w:pPr>
      <w:r>
        <w:t>Social desirability bias in post-intervention responses.</w:t>
      </w:r>
      <w:r>
        <w:br/>
        <w:t>Mitigation strategies included scheduling offline access to AI modules and using blended learning models.</w:t>
      </w:r>
    </w:p>
    <w:p w14:paraId="1B2DBEFD" w14:textId="77777777" w:rsidR="0091489D" w:rsidRDefault="0091489D" w:rsidP="0091489D">
      <w:pPr>
        <w:pStyle w:val="NormalWeb"/>
        <w:spacing w:line="480" w:lineRule="auto"/>
        <w:ind w:left="720"/>
      </w:pPr>
    </w:p>
    <w:p w14:paraId="4504B897" w14:textId="77777777" w:rsidR="00E3161F" w:rsidRDefault="00E3161F" w:rsidP="004F74AD">
      <w:pPr>
        <w:pStyle w:val="Heading3"/>
        <w:spacing w:line="480" w:lineRule="auto"/>
        <w:rPr>
          <w:rStyle w:val="Strong"/>
          <w:b/>
          <w:bCs/>
        </w:rPr>
      </w:pPr>
    </w:p>
    <w:p w14:paraId="612A5A09" w14:textId="77777777" w:rsidR="0091489D" w:rsidRDefault="0091489D" w:rsidP="0091489D">
      <w:pPr>
        <w:pStyle w:val="NormalWeb"/>
      </w:pPr>
      <w:r>
        <w:rPr>
          <w:rStyle w:val="Strong"/>
        </w:rPr>
        <w:lastRenderedPageBreak/>
        <w:t>4.1. Data Presentation and Analysis</w:t>
      </w:r>
    </w:p>
    <w:p w14:paraId="30CCFBAA" w14:textId="77777777" w:rsidR="0091489D" w:rsidRDefault="0091489D" w:rsidP="0091489D">
      <w:pPr>
        <w:pStyle w:val="NormalWeb"/>
        <w:spacing w:line="480" w:lineRule="auto"/>
        <w:jc w:val="both"/>
      </w:pPr>
      <w:r>
        <w:t xml:space="preserve">This section presents and analyzes the data gathered during the course of this study, titled </w:t>
      </w:r>
      <w:r>
        <w:rPr>
          <w:rStyle w:val="Emphasis"/>
        </w:rPr>
        <w:t>"AI-Driven Environmental Education in Southeast Nigerian Schools: A Study on Climate Change Awareness and Mitigation Strategies."</w:t>
      </w:r>
      <w:r>
        <w:t xml:space="preserve"> The analysis was conducted to answer the research questions and test the hypotheses outlined above. Both descriptive and inferential statistical tools were used to analyze the data collected from 600 respondents (senior secondary school students across five Southeastern Nigerian states).</w:t>
      </w:r>
    </w:p>
    <w:p w14:paraId="42DF6DEB" w14:textId="552D49A5" w:rsidR="0091489D" w:rsidRPr="0091489D" w:rsidRDefault="000F77E5" w:rsidP="009148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sidR="0091489D" w:rsidRPr="0091489D">
        <w:rPr>
          <w:rFonts w:ascii="Times New Roman" w:eastAsia="Times New Roman" w:hAnsi="Times New Roman" w:cs="Times New Roman"/>
          <w:b/>
          <w:bCs/>
          <w:sz w:val="24"/>
          <w:szCs w:val="24"/>
        </w:rPr>
        <w:t xml:space="preserve"> Demographic Characteristics of Respondents</w:t>
      </w:r>
    </w:p>
    <w:tbl>
      <w:tblPr>
        <w:tblW w:w="88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2"/>
        <w:gridCol w:w="2598"/>
        <w:gridCol w:w="1917"/>
        <w:gridCol w:w="2755"/>
      </w:tblGrid>
      <w:tr w:rsidR="0091489D" w:rsidRPr="0091489D" w14:paraId="78EE1678" w14:textId="77777777" w:rsidTr="0091489D">
        <w:trPr>
          <w:trHeight w:val="372"/>
          <w:tblCellSpacing w:w="15" w:type="dxa"/>
        </w:trPr>
        <w:tc>
          <w:tcPr>
            <w:tcW w:w="0" w:type="auto"/>
            <w:vAlign w:val="center"/>
            <w:hideMark/>
          </w:tcPr>
          <w:p w14:paraId="10889CF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Variable</w:t>
            </w:r>
          </w:p>
        </w:tc>
        <w:tc>
          <w:tcPr>
            <w:tcW w:w="0" w:type="auto"/>
            <w:vAlign w:val="center"/>
            <w:hideMark/>
          </w:tcPr>
          <w:p w14:paraId="63F9E22E"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Categories</w:t>
            </w:r>
          </w:p>
        </w:tc>
        <w:tc>
          <w:tcPr>
            <w:tcW w:w="0" w:type="auto"/>
            <w:vAlign w:val="center"/>
            <w:hideMark/>
          </w:tcPr>
          <w:p w14:paraId="0466D8A1"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Frequency</w:t>
            </w:r>
          </w:p>
        </w:tc>
        <w:tc>
          <w:tcPr>
            <w:tcW w:w="0" w:type="auto"/>
            <w:vAlign w:val="center"/>
            <w:hideMark/>
          </w:tcPr>
          <w:p w14:paraId="78914AC3" w14:textId="77777777" w:rsidR="0091489D" w:rsidRPr="0091489D" w:rsidRDefault="0091489D" w:rsidP="00460FBD">
            <w:pPr>
              <w:spacing w:after="0" w:line="240" w:lineRule="auto"/>
              <w:jc w:val="center"/>
              <w:rPr>
                <w:rFonts w:ascii="Times New Roman" w:eastAsia="Times New Roman" w:hAnsi="Times New Roman" w:cs="Times New Roman"/>
                <w:b/>
                <w:bCs/>
                <w:sz w:val="24"/>
                <w:szCs w:val="24"/>
              </w:rPr>
            </w:pPr>
            <w:r w:rsidRPr="0091489D">
              <w:rPr>
                <w:rFonts w:ascii="Times New Roman" w:eastAsia="Times New Roman" w:hAnsi="Times New Roman" w:cs="Times New Roman"/>
                <w:b/>
                <w:bCs/>
                <w:sz w:val="24"/>
                <w:szCs w:val="24"/>
              </w:rPr>
              <w:t>Percentage (%)</w:t>
            </w:r>
          </w:p>
        </w:tc>
      </w:tr>
      <w:tr w:rsidR="0091489D" w:rsidRPr="0091489D" w14:paraId="2A511FD6" w14:textId="77777777" w:rsidTr="0091489D">
        <w:trPr>
          <w:trHeight w:val="372"/>
          <w:tblCellSpacing w:w="15" w:type="dxa"/>
        </w:trPr>
        <w:tc>
          <w:tcPr>
            <w:tcW w:w="0" w:type="auto"/>
            <w:vAlign w:val="center"/>
            <w:hideMark/>
          </w:tcPr>
          <w:p w14:paraId="60E0EEB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Gender</w:t>
            </w:r>
          </w:p>
        </w:tc>
        <w:tc>
          <w:tcPr>
            <w:tcW w:w="0" w:type="auto"/>
            <w:vAlign w:val="center"/>
            <w:hideMark/>
          </w:tcPr>
          <w:p w14:paraId="30326BF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Male</w:t>
            </w:r>
          </w:p>
        </w:tc>
        <w:tc>
          <w:tcPr>
            <w:tcW w:w="0" w:type="auto"/>
            <w:vAlign w:val="center"/>
            <w:hideMark/>
          </w:tcPr>
          <w:p w14:paraId="1965F21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290</w:t>
            </w:r>
          </w:p>
        </w:tc>
        <w:tc>
          <w:tcPr>
            <w:tcW w:w="0" w:type="auto"/>
            <w:vAlign w:val="center"/>
            <w:hideMark/>
          </w:tcPr>
          <w:p w14:paraId="7705887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48.3%</w:t>
            </w:r>
          </w:p>
        </w:tc>
      </w:tr>
      <w:tr w:rsidR="0091489D" w:rsidRPr="0091489D" w14:paraId="6E581CB8" w14:textId="77777777" w:rsidTr="0091489D">
        <w:trPr>
          <w:trHeight w:val="372"/>
          <w:tblCellSpacing w:w="15" w:type="dxa"/>
        </w:trPr>
        <w:tc>
          <w:tcPr>
            <w:tcW w:w="0" w:type="auto"/>
            <w:vAlign w:val="center"/>
            <w:hideMark/>
          </w:tcPr>
          <w:p w14:paraId="053F30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424593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Female</w:t>
            </w:r>
          </w:p>
        </w:tc>
        <w:tc>
          <w:tcPr>
            <w:tcW w:w="0" w:type="auto"/>
            <w:vAlign w:val="center"/>
            <w:hideMark/>
          </w:tcPr>
          <w:p w14:paraId="617F66A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310</w:t>
            </w:r>
          </w:p>
        </w:tc>
        <w:tc>
          <w:tcPr>
            <w:tcW w:w="0" w:type="auto"/>
            <w:vAlign w:val="center"/>
            <w:hideMark/>
          </w:tcPr>
          <w:p w14:paraId="6F92D09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51.7%</w:t>
            </w:r>
          </w:p>
        </w:tc>
      </w:tr>
      <w:tr w:rsidR="0091489D" w:rsidRPr="0091489D" w14:paraId="35E0AC83" w14:textId="77777777" w:rsidTr="0091489D">
        <w:trPr>
          <w:trHeight w:val="372"/>
          <w:tblCellSpacing w:w="15" w:type="dxa"/>
        </w:trPr>
        <w:tc>
          <w:tcPr>
            <w:tcW w:w="0" w:type="auto"/>
            <w:vAlign w:val="center"/>
            <w:hideMark/>
          </w:tcPr>
          <w:p w14:paraId="4552BB2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Age</w:t>
            </w:r>
          </w:p>
        </w:tc>
        <w:tc>
          <w:tcPr>
            <w:tcW w:w="0" w:type="auto"/>
            <w:vAlign w:val="center"/>
            <w:hideMark/>
          </w:tcPr>
          <w:p w14:paraId="11E287D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13–15 years</w:t>
            </w:r>
          </w:p>
        </w:tc>
        <w:tc>
          <w:tcPr>
            <w:tcW w:w="0" w:type="auto"/>
            <w:vAlign w:val="center"/>
            <w:hideMark/>
          </w:tcPr>
          <w:p w14:paraId="3A81C6D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215</w:t>
            </w:r>
          </w:p>
        </w:tc>
        <w:tc>
          <w:tcPr>
            <w:tcW w:w="0" w:type="auto"/>
            <w:vAlign w:val="center"/>
            <w:hideMark/>
          </w:tcPr>
          <w:p w14:paraId="1FB6762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35.8%</w:t>
            </w:r>
          </w:p>
        </w:tc>
      </w:tr>
      <w:tr w:rsidR="0091489D" w:rsidRPr="0091489D" w14:paraId="23301A9D" w14:textId="77777777" w:rsidTr="0091489D">
        <w:trPr>
          <w:trHeight w:val="372"/>
          <w:tblCellSpacing w:w="15" w:type="dxa"/>
        </w:trPr>
        <w:tc>
          <w:tcPr>
            <w:tcW w:w="0" w:type="auto"/>
            <w:vAlign w:val="center"/>
            <w:hideMark/>
          </w:tcPr>
          <w:p w14:paraId="0746E35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458CAB4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16–18 years</w:t>
            </w:r>
          </w:p>
        </w:tc>
        <w:tc>
          <w:tcPr>
            <w:tcW w:w="0" w:type="auto"/>
            <w:vAlign w:val="center"/>
            <w:hideMark/>
          </w:tcPr>
          <w:p w14:paraId="40942D8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345</w:t>
            </w:r>
          </w:p>
        </w:tc>
        <w:tc>
          <w:tcPr>
            <w:tcW w:w="0" w:type="auto"/>
            <w:vAlign w:val="center"/>
            <w:hideMark/>
          </w:tcPr>
          <w:p w14:paraId="0FA40A6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57.5%</w:t>
            </w:r>
          </w:p>
        </w:tc>
      </w:tr>
      <w:tr w:rsidR="0091489D" w:rsidRPr="0091489D" w14:paraId="06CE65FB" w14:textId="77777777" w:rsidTr="0091489D">
        <w:trPr>
          <w:trHeight w:val="372"/>
          <w:tblCellSpacing w:w="15" w:type="dxa"/>
        </w:trPr>
        <w:tc>
          <w:tcPr>
            <w:tcW w:w="0" w:type="auto"/>
            <w:vAlign w:val="center"/>
            <w:hideMark/>
          </w:tcPr>
          <w:p w14:paraId="0779C2E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6537689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Above 18 years</w:t>
            </w:r>
          </w:p>
        </w:tc>
        <w:tc>
          <w:tcPr>
            <w:tcW w:w="0" w:type="auto"/>
            <w:vAlign w:val="center"/>
            <w:hideMark/>
          </w:tcPr>
          <w:p w14:paraId="19B4640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0" w:type="auto"/>
            <w:vAlign w:val="center"/>
            <w:hideMark/>
          </w:tcPr>
          <w:p w14:paraId="386E9EC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6B8E2AF0" w14:textId="77777777" w:rsidTr="0091489D">
        <w:trPr>
          <w:trHeight w:val="372"/>
          <w:tblCellSpacing w:w="15" w:type="dxa"/>
        </w:trPr>
        <w:tc>
          <w:tcPr>
            <w:tcW w:w="0" w:type="auto"/>
            <w:vAlign w:val="center"/>
            <w:hideMark/>
          </w:tcPr>
          <w:p w14:paraId="372B034F"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State</w:t>
            </w:r>
          </w:p>
        </w:tc>
        <w:tc>
          <w:tcPr>
            <w:tcW w:w="0" w:type="auto"/>
            <w:vAlign w:val="center"/>
            <w:hideMark/>
          </w:tcPr>
          <w:p w14:paraId="082ABF3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Abia</w:t>
            </w:r>
          </w:p>
        </w:tc>
        <w:tc>
          <w:tcPr>
            <w:tcW w:w="0" w:type="auto"/>
            <w:vAlign w:val="center"/>
            <w:hideMark/>
          </w:tcPr>
          <w:p w14:paraId="6AF6B92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162A305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56BF49D" w14:textId="77777777" w:rsidTr="0091489D">
        <w:trPr>
          <w:trHeight w:val="395"/>
          <w:tblCellSpacing w:w="15" w:type="dxa"/>
        </w:trPr>
        <w:tc>
          <w:tcPr>
            <w:tcW w:w="0" w:type="auto"/>
            <w:vAlign w:val="center"/>
            <w:hideMark/>
          </w:tcPr>
          <w:p w14:paraId="48121A2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981D91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Anambra</w:t>
            </w:r>
          </w:p>
        </w:tc>
        <w:tc>
          <w:tcPr>
            <w:tcW w:w="0" w:type="auto"/>
            <w:vAlign w:val="center"/>
            <w:hideMark/>
          </w:tcPr>
          <w:p w14:paraId="0571B3BA"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7608A9E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4280A2E7" w14:textId="77777777" w:rsidTr="0091489D">
        <w:trPr>
          <w:trHeight w:val="395"/>
          <w:tblCellSpacing w:w="15" w:type="dxa"/>
        </w:trPr>
        <w:tc>
          <w:tcPr>
            <w:tcW w:w="0" w:type="auto"/>
            <w:vAlign w:val="center"/>
            <w:hideMark/>
          </w:tcPr>
          <w:p w14:paraId="59940D4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FCDC89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Ebonyi</w:t>
            </w:r>
          </w:p>
        </w:tc>
        <w:tc>
          <w:tcPr>
            <w:tcW w:w="0" w:type="auto"/>
            <w:vAlign w:val="center"/>
            <w:hideMark/>
          </w:tcPr>
          <w:p w14:paraId="34941481"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FE36AB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C132B4C" w14:textId="77777777" w:rsidTr="0091489D">
        <w:trPr>
          <w:trHeight w:val="395"/>
          <w:tblCellSpacing w:w="15" w:type="dxa"/>
        </w:trPr>
        <w:tc>
          <w:tcPr>
            <w:tcW w:w="0" w:type="auto"/>
            <w:vAlign w:val="center"/>
            <w:hideMark/>
          </w:tcPr>
          <w:p w14:paraId="5BF63DE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10B1936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Enugu</w:t>
            </w:r>
          </w:p>
        </w:tc>
        <w:tc>
          <w:tcPr>
            <w:tcW w:w="0" w:type="auto"/>
            <w:vAlign w:val="center"/>
            <w:hideMark/>
          </w:tcPr>
          <w:p w14:paraId="07715B2C"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22C35EA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r w:rsidR="0091489D" w:rsidRPr="0091489D" w14:paraId="3E41A64A" w14:textId="77777777" w:rsidTr="0091489D">
        <w:trPr>
          <w:trHeight w:val="372"/>
          <w:tblCellSpacing w:w="15" w:type="dxa"/>
        </w:trPr>
        <w:tc>
          <w:tcPr>
            <w:tcW w:w="0" w:type="auto"/>
            <w:vAlign w:val="center"/>
            <w:hideMark/>
          </w:tcPr>
          <w:p w14:paraId="4670DB66"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p>
        </w:tc>
        <w:tc>
          <w:tcPr>
            <w:tcW w:w="0" w:type="auto"/>
            <w:vAlign w:val="center"/>
            <w:hideMark/>
          </w:tcPr>
          <w:p w14:paraId="729DBB4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Imo</w:t>
            </w:r>
          </w:p>
        </w:tc>
        <w:tc>
          <w:tcPr>
            <w:tcW w:w="0" w:type="auto"/>
            <w:vAlign w:val="center"/>
            <w:hideMark/>
          </w:tcPr>
          <w:p w14:paraId="2825BFB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120</w:t>
            </w:r>
          </w:p>
        </w:tc>
        <w:tc>
          <w:tcPr>
            <w:tcW w:w="0" w:type="auto"/>
            <w:vAlign w:val="center"/>
            <w:hideMark/>
          </w:tcPr>
          <w:p w14:paraId="4B37FF1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r>
    </w:tbl>
    <w:p w14:paraId="779540AB" w14:textId="77777777" w:rsidR="00460FBD" w:rsidRDefault="00460FBD" w:rsidP="00460FBD">
      <w:pPr>
        <w:pStyle w:val="NormalWeb"/>
        <w:spacing w:line="480" w:lineRule="auto"/>
        <w:jc w:val="both"/>
        <w:rPr>
          <w:rStyle w:val="Strong"/>
        </w:rPr>
      </w:pPr>
      <w:r w:rsidRPr="00460FBD">
        <w:rPr>
          <w:rStyle w:val="Strong"/>
          <w:b w:val="0"/>
        </w:rPr>
        <w:t>(Source</w:t>
      </w:r>
      <w:r>
        <w:rPr>
          <w:rStyle w:val="Strong"/>
        </w:rPr>
        <w:t xml:space="preserve">: </w:t>
      </w:r>
      <w:r w:rsidRPr="00460FBD">
        <w:rPr>
          <w:rStyle w:val="Strong"/>
          <w:b w:val="0"/>
        </w:rPr>
        <w:t>Researcher’s Computation</w:t>
      </w:r>
      <w:r>
        <w:rPr>
          <w:rStyle w:val="Strong"/>
          <w:b w:val="0"/>
        </w:rPr>
        <w:t>, 2025</w:t>
      </w:r>
      <w:r w:rsidRPr="00460FBD">
        <w:rPr>
          <w:rStyle w:val="Strong"/>
          <w:b w:val="0"/>
        </w:rPr>
        <w:t>)</w:t>
      </w:r>
    </w:p>
    <w:p w14:paraId="33DECD84" w14:textId="77777777" w:rsidR="0091489D" w:rsidRDefault="0091489D" w:rsidP="00460FBD">
      <w:pPr>
        <w:pStyle w:val="NormalWeb"/>
        <w:spacing w:line="480" w:lineRule="auto"/>
        <w:jc w:val="both"/>
        <w:rPr>
          <w:rStyle w:val="Emphasis"/>
        </w:rPr>
      </w:pPr>
      <w:r>
        <w:rPr>
          <w:rStyle w:val="Strong"/>
        </w:rPr>
        <w:t>4.2 Research Question 1:</w:t>
      </w:r>
      <w:r>
        <w:t xml:space="preserve"> </w:t>
      </w:r>
      <w:r>
        <w:rPr>
          <w:rStyle w:val="Emphasis"/>
        </w:rPr>
        <w:t>What is the level of awareness of climate change among senior secondary school students in Southeast Nigeria?</w:t>
      </w:r>
    </w:p>
    <w:p w14:paraId="03660A09" w14:textId="77777777" w:rsidR="000F77E5" w:rsidRDefault="000F77E5" w:rsidP="00460FBD">
      <w:pPr>
        <w:pStyle w:val="NormalWeb"/>
        <w:spacing w:line="480" w:lineRule="auto"/>
        <w:jc w:val="both"/>
        <w:rPr>
          <w:rStyle w:val="Emphasis"/>
        </w:rPr>
      </w:pPr>
    </w:p>
    <w:p w14:paraId="057F224A" w14:textId="33D8E488" w:rsidR="0091489D" w:rsidRDefault="000F77E5" w:rsidP="0091489D">
      <w:pPr>
        <w:pStyle w:val="NormalWeb"/>
      </w:pPr>
      <w:r>
        <w:lastRenderedPageBreak/>
        <w:t>Table 4.</w:t>
      </w:r>
      <w:r w:rsidR="00C56DCA">
        <w:t xml:space="preserve"> The table shows the response option with its frequency and percentages</w:t>
      </w:r>
    </w:p>
    <w:tbl>
      <w:tblPr>
        <w:tblpPr w:leftFromText="180" w:rightFromText="180" w:vertAnchor="text" w:tblpY="1"/>
        <w:tblOverlap w:val="never"/>
        <w:tblW w:w="74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2250"/>
        <w:gridCol w:w="2332"/>
      </w:tblGrid>
      <w:tr w:rsidR="0091489D" w:rsidRPr="0091489D" w14:paraId="1E97DC33" w14:textId="77777777" w:rsidTr="00460FBD">
        <w:trPr>
          <w:trHeight w:val="475"/>
          <w:tblCellSpacing w:w="15" w:type="dxa"/>
        </w:trPr>
        <w:tc>
          <w:tcPr>
            <w:tcW w:w="2800" w:type="dxa"/>
            <w:vAlign w:val="center"/>
            <w:hideMark/>
          </w:tcPr>
          <w:p w14:paraId="7953227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Response Option</w:t>
            </w:r>
          </w:p>
        </w:tc>
        <w:tc>
          <w:tcPr>
            <w:tcW w:w="2220" w:type="dxa"/>
            <w:vAlign w:val="center"/>
            <w:hideMark/>
          </w:tcPr>
          <w:p w14:paraId="055ED255"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2287" w:type="dxa"/>
            <w:vAlign w:val="center"/>
            <w:hideMark/>
          </w:tcPr>
          <w:p w14:paraId="21B7ADEB" w14:textId="77777777" w:rsidR="0091489D" w:rsidRPr="0091489D" w:rsidRDefault="0091489D" w:rsidP="00460FB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53D8ECC8" w14:textId="77777777" w:rsidTr="00460FBD">
        <w:trPr>
          <w:trHeight w:val="475"/>
          <w:tblCellSpacing w:w="15" w:type="dxa"/>
        </w:trPr>
        <w:tc>
          <w:tcPr>
            <w:tcW w:w="2800" w:type="dxa"/>
            <w:vAlign w:val="center"/>
            <w:hideMark/>
          </w:tcPr>
          <w:p w14:paraId="42E76379"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w:t>
            </w:r>
          </w:p>
        </w:tc>
        <w:tc>
          <w:tcPr>
            <w:tcW w:w="2220" w:type="dxa"/>
            <w:vAlign w:val="center"/>
            <w:hideMark/>
          </w:tcPr>
          <w:p w14:paraId="41DFF5B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190</w:t>
            </w:r>
          </w:p>
        </w:tc>
        <w:tc>
          <w:tcPr>
            <w:tcW w:w="2287" w:type="dxa"/>
            <w:vAlign w:val="center"/>
            <w:hideMark/>
          </w:tcPr>
          <w:p w14:paraId="47E268B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31.7%</w:t>
            </w:r>
          </w:p>
        </w:tc>
      </w:tr>
      <w:tr w:rsidR="0091489D" w:rsidRPr="0091489D" w14:paraId="041CC432" w14:textId="77777777" w:rsidTr="00460FBD">
        <w:trPr>
          <w:trHeight w:val="475"/>
          <w:tblCellSpacing w:w="15" w:type="dxa"/>
        </w:trPr>
        <w:tc>
          <w:tcPr>
            <w:tcW w:w="2800" w:type="dxa"/>
            <w:vAlign w:val="center"/>
            <w:hideMark/>
          </w:tcPr>
          <w:p w14:paraId="4400917E"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w:t>
            </w:r>
          </w:p>
        </w:tc>
        <w:tc>
          <w:tcPr>
            <w:tcW w:w="2220" w:type="dxa"/>
            <w:vAlign w:val="center"/>
            <w:hideMark/>
          </w:tcPr>
          <w:p w14:paraId="64DA6AA2"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210</w:t>
            </w:r>
          </w:p>
        </w:tc>
        <w:tc>
          <w:tcPr>
            <w:tcW w:w="2287" w:type="dxa"/>
            <w:vAlign w:val="center"/>
            <w:hideMark/>
          </w:tcPr>
          <w:p w14:paraId="2A39BD3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35.0%</w:t>
            </w:r>
          </w:p>
        </w:tc>
      </w:tr>
      <w:tr w:rsidR="0091489D" w:rsidRPr="0091489D" w14:paraId="6AE813BF" w14:textId="77777777" w:rsidTr="00460FBD">
        <w:trPr>
          <w:trHeight w:val="504"/>
          <w:tblCellSpacing w:w="15" w:type="dxa"/>
        </w:trPr>
        <w:tc>
          <w:tcPr>
            <w:tcW w:w="2800" w:type="dxa"/>
            <w:vAlign w:val="center"/>
            <w:hideMark/>
          </w:tcPr>
          <w:p w14:paraId="5E9F642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w:t>
            </w:r>
          </w:p>
        </w:tc>
        <w:tc>
          <w:tcPr>
            <w:tcW w:w="2220" w:type="dxa"/>
            <w:vAlign w:val="center"/>
            <w:hideMark/>
          </w:tcPr>
          <w:p w14:paraId="23D198D7"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145</w:t>
            </w:r>
          </w:p>
        </w:tc>
        <w:tc>
          <w:tcPr>
            <w:tcW w:w="2287" w:type="dxa"/>
            <w:vAlign w:val="center"/>
            <w:hideMark/>
          </w:tcPr>
          <w:p w14:paraId="3AE128D4"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24.2%</w:t>
            </w:r>
          </w:p>
        </w:tc>
      </w:tr>
      <w:tr w:rsidR="0091489D" w:rsidRPr="0091489D" w14:paraId="746E0749" w14:textId="77777777" w:rsidTr="00460FBD">
        <w:trPr>
          <w:trHeight w:val="475"/>
          <w:tblCellSpacing w:w="15" w:type="dxa"/>
        </w:trPr>
        <w:tc>
          <w:tcPr>
            <w:tcW w:w="2800" w:type="dxa"/>
            <w:vAlign w:val="center"/>
            <w:hideMark/>
          </w:tcPr>
          <w:p w14:paraId="644A7235"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w:t>
            </w:r>
          </w:p>
        </w:tc>
        <w:tc>
          <w:tcPr>
            <w:tcW w:w="2220" w:type="dxa"/>
            <w:vAlign w:val="center"/>
            <w:hideMark/>
          </w:tcPr>
          <w:p w14:paraId="170C43C8"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40</w:t>
            </w:r>
          </w:p>
        </w:tc>
        <w:tc>
          <w:tcPr>
            <w:tcW w:w="2287" w:type="dxa"/>
            <w:vAlign w:val="center"/>
            <w:hideMark/>
          </w:tcPr>
          <w:p w14:paraId="4C91120B"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6.7%</w:t>
            </w:r>
          </w:p>
        </w:tc>
      </w:tr>
      <w:tr w:rsidR="0091489D" w:rsidRPr="0091489D" w14:paraId="4882D5DD" w14:textId="77777777" w:rsidTr="00460FBD">
        <w:trPr>
          <w:trHeight w:val="475"/>
          <w:tblCellSpacing w:w="15" w:type="dxa"/>
        </w:trPr>
        <w:tc>
          <w:tcPr>
            <w:tcW w:w="2800" w:type="dxa"/>
            <w:vAlign w:val="center"/>
            <w:hideMark/>
          </w:tcPr>
          <w:p w14:paraId="3C1A6CD0"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Low</w:t>
            </w:r>
          </w:p>
        </w:tc>
        <w:tc>
          <w:tcPr>
            <w:tcW w:w="2220" w:type="dxa"/>
            <w:vAlign w:val="center"/>
            <w:hideMark/>
          </w:tcPr>
          <w:p w14:paraId="5CCD339D"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15</w:t>
            </w:r>
          </w:p>
        </w:tc>
        <w:tc>
          <w:tcPr>
            <w:tcW w:w="2287" w:type="dxa"/>
            <w:vAlign w:val="center"/>
            <w:hideMark/>
          </w:tcPr>
          <w:p w14:paraId="4741F5E3" w14:textId="77777777" w:rsidR="0091489D" w:rsidRPr="0091489D" w:rsidRDefault="0091489D" w:rsidP="00460FB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2.5%</w:t>
            </w:r>
          </w:p>
        </w:tc>
      </w:tr>
    </w:tbl>
    <w:p w14:paraId="5E53554D" w14:textId="77777777" w:rsidR="004F74AD" w:rsidRPr="0091489D" w:rsidRDefault="00460FBD" w:rsidP="00A64FEC">
      <w:pPr>
        <w:pStyle w:val="Heading3"/>
        <w:rPr>
          <w:rStyle w:val="Strong"/>
          <w:bCs/>
        </w:rPr>
      </w:pPr>
      <w:r>
        <w:rPr>
          <w:rStyle w:val="Strong"/>
          <w:bCs/>
        </w:rPr>
        <w:br w:type="textWrapping" w:clear="all"/>
        <w:t>(</w:t>
      </w:r>
      <w:r w:rsidRPr="003B6163">
        <w:rPr>
          <w:rStyle w:val="Strong"/>
          <w:bCs/>
          <w:sz w:val="22"/>
          <w:szCs w:val="22"/>
        </w:rPr>
        <w:t>Source: Researcher’s Computation</w:t>
      </w:r>
      <w:r>
        <w:rPr>
          <w:rStyle w:val="Strong"/>
          <w:bCs/>
        </w:rPr>
        <w:t>, 2025)</w:t>
      </w:r>
    </w:p>
    <w:p w14:paraId="3DFC58E5" w14:textId="77777777" w:rsidR="0091489D" w:rsidRDefault="0091489D" w:rsidP="0091489D">
      <w:pPr>
        <w:pStyle w:val="NormalWeb"/>
        <w:spacing w:line="480" w:lineRule="auto"/>
        <w:jc w:val="both"/>
      </w:pPr>
      <w:r>
        <w:rPr>
          <w:rStyle w:val="Strong"/>
        </w:rPr>
        <w:t>Interpretation:</w:t>
      </w:r>
      <w:r>
        <w:t xml:space="preserve"> Over 66.7% of the students demonstrated high</w:t>
      </w:r>
      <w:r w:rsidR="00460FBD">
        <w:t xml:space="preserve"> to very high awareness levels, </w:t>
      </w:r>
      <w:r>
        <w:t>suggesting growing environmental education exposure.</w:t>
      </w:r>
    </w:p>
    <w:p w14:paraId="14EB0E94" w14:textId="77777777" w:rsidR="0091489D" w:rsidRDefault="0091489D" w:rsidP="0091489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4.3 Research Question 2:</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What are the perceived impacts of AI-driven environmental education tools on students' understanding of climate change?</w:t>
      </w:r>
    </w:p>
    <w:p w14:paraId="13489668" w14:textId="2710515F" w:rsidR="000F77E5" w:rsidRPr="0091489D" w:rsidRDefault="000F77E5" w:rsidP="0091489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5.</w:t>
      </w:r>
      <w:r w:rsidR="008B7E63">
        <w:rPr>
          <w:rFonts w:ascii="Times New Roman" w:eastAsia="Times New Roman" w:hAnsi="Times New Roman" w:cs="Times New Roman"/>
          <w:sz w:val="24"/>
          <w:szCs w:val="24"/>
        </w:rPr>
        <w:t xml:space="preserve"> AI tool exposure level with frequency and percentage</w:t>
      </w:r>
    </w:p>
    <w:tbl>
      <w:tblPr>
        <w:tblW w:w="8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64"/>
        <w:gridCol w:w="1871"/>
        <w:gridCol w:w="2690"/>
      </w:tblGrid>
      <w:tr w:rsidR="0091489D" w:rsidRPr="0091489D" w14:paraId="62DE747E" w14:textId="77777777" w:rsidTr="0091489D">
        <w:trPr>
          <w:trHeight w:val="532"/>
          <w:tblCellSpacing w:w="15" w:type="dxa"/>
        </w:trPr>
        <w:tc>
          <w:tcPr>
            <w:tcW w:w="0" w:type="auto"/>
            <w:vAlign w:val="center"/>
            <w:hideMark/>
          </w:tcPr>
          <w:p w14:paraId="189AFEE3"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AI Tool Exposure Level</w:t>
            </w:r>
          </w:p>
        </w:tc>
        <w:tc>
          <w:tcPr>
            <w:tcW w:w="0" w:type="auto"/>
            <w:vAlign w:val="center"/>
            <w:hideMark/>
          </w:tcPr>
          <w:p w14:paraId="0D310A02"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2D59A367" w14:textId="77777777" w:rsidR="0091489D" w:rsidRPr="0091489D" w:rsidRDefault="0091489D" w:rsidP="0091489D">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26317DA6" w14:textId="77777777" w:rsidTr="0091489D">
        <w:trPr>
          <w:trHeight w:val="565"/>
          <w:tblCellSpacing w:w="15" w:type="dxa"/>
        </w:trPr>
        <w:tc>
          <w:tcPr>
            <w:tcW w:w="0" w:type="auto"/>
            <w:vAlign w:val="center"/>
            <w:hideMark/>
          </w:tcPr>
          <w:p w14:paraId="0B27E9F5"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Impactful</w:t>
            </w:r>
          </w:p>
        </w:tc>
        <w:tc>
          <w:tcPr>
            <w:tcW w:w="0" w:type="auto"/>
            <w:vAlign w:val="center"/>
            <w:hideMark/>
          </w:tcPr>
          <w:p w14:paraId="154709D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225</w:t>
            </w:r>
          </w:p>
        </w:tc>
        <w:tc>
          <w:tcPr>
            <w:tcW w:w="0" w:type="auto"/>
            <w:vAlign w:val="center"/>
            <w:hideMark/>
          </w:tcPr>
          <w:p w14:paraId="61521D0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37.5%</w:t>
            </w:r>
          </w:p>
        </w:tc>
      </w:tr>
      <w:tr w:rsidR="0091489D" w:rsidRPr="0091489D" w14:paraId="7C2A2FAB" w14:textId="77777777" w:rsidTr="0091489D">
        <w:trPr>
          <w:trHeight w:val="565"/>
          <w:tblCellSpacing w:w="15" w:type="dxa"/>
        </w:trPr>
        <w:tc>
          <w:tcPr>
            <w:tcW w:w="0" w:type="auto"/>
            <w:vAlign w:val="center"/>
            <w:hideMark/>
          </w:tcPr>
          <w:p w14:paraId="53AE21CB"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Impactful</w:t>
            </w:r>
          </w:p>
        </w:tc>
        <w:tc>
          <w:tcPr>
            <w:tcW w:w="0" w:type="auto"/>
            <w:vAlign w:val="center"/>
            <w:hideMark/>
          </w:tcPr>
          <w:p w14:paraId="5A535671"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195</w:t>
            </w:r>
          </w:p>
        </w:tc>
        <w:tc>
          <w:tcPr>
            <w:tcW w:w="0" w:type="auto"/>
            <w:vAlign w:val="center"/>
            <w:hideMark/>
          </w:tcPr>
          <w:p w14:paraId="4A2803E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32.5%</w:t>
            </w:r>
          </w:p>
        </w:tc>
      </w:tr>
      <w:tr w:rsidR="0091489D" w:rsidRPr="0091489D" w14:paraId="1AC09B97" w14:textId="77777777" w:rsidTr="0091489D">
        <w:trPr>
          <w:trHeight w:val="565"/>
          <w:tblCellSpacing w:w="15" w:type="dxa"/>
        </w:trPr>
        <w:tc>
          <w:tcPr>
            <w:tcW w:w="0" w:type="auto"/>
            <w:vAlign w:val="center"/>
            <w:hideMark/>
          </w:tcPr>
          <w:p w14:paraId="7973BE42"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Neutral</w:t>
            </w:r>
          </w:p>
        </w:tc>
        <w:tc>
          <w:tcPr>
            <w:tcW w:w="0" w:type="auto"/>
            <w:vAlign w:val="center"/>
            <w:hideMark/>
          </w:tcPr>
          <w:p w14:paraId="6856F604"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100</w:t>
            </w:r>
          </w:p>
        </w:tc>
        <w:tc>
          <w:tcPr>
            <w:tcW w:w="0" w:type="auto"/>
            <w:vAlign w:val="center"/>
            <w:hideMark/>
          </w:tcPr>
          <w:p w14:paraId="6B28E40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16.7%</w:t>
            </w:r>
          </w:p>
        </w:tc>
      </w:tr>
      <w:tr w:rsidR="0091489D" w:rsidRPr="0091489D" w14:paraId="0BB0220D" w14:textId="77777777" w:rsidTr="00460FBD">
        <w:trPr>
          <w:trHeight w:val="437"/>
          <w:tblCellSpacing w:w="15" w:type="dxa"/>
        </w:trPr>
        <w:tc>
          <w:tcPr>
            <w:tcW w:w="0" w:type="auto"/>
            <w:vAlign w:val="center"/>
            <w:hideMark/>
          </w:tcPr>
          <w:p w14:paraId="6A1DA86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Less Impactful</w:t>
            </w:r>
          </w:p>
        </w:tc>
        <w:tc>
          <w:tcPr>
            <w:tcW w:w="0" w:type="auto"/>
            <w:vAlign w:val="center"/>
            <w:hideMark/>
          </w:tcPr>
          <w:p w14:paraId="0ED33CC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c>
          <w:tcPr>
            <w:tcW w:w="0" w:type="auto"/>
            <w:vAlign w:val="center"/>
            <w:hideMark/>
          </w:tcPr>
          <w:p w14:paraId="58CEAC2D"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8.3%</w:t>
            </w:r>
          </w:p>
        </w:tc>
      </w:tr>
      <w:tr w:rsidR="0091489D" w:rsidRPr="0091489D" w14:paraId="6B757CE3" w14:textId="77777777" w:rsidTr="00460FBD">
        <w:trPr>
          <w:trHeight w:val="320"/>
          <w:tblCellSpacing w:w="15" w:type="dxa"/>
        </w:trPr>
        <w:tc>
          <w:tcPr>
            <w:tcW w:w="0" w:type="auto"/>
            <w:vAlign w:val="center"/>
            <w:hideMark/>
          </w:tcPr>
          <w:p w14:paraId="7F170F2E"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Not Impactful</w:t>
            </w:r>
          </w:p>
        </w:tc>
        <w:tc>
          <w:tcPr>
            <w:tcW w:w="0" w:type="auto"/>
            <w:vAlign w:val="center"/>
            <w:hideMark/>
          </w:tcPr>
          <w:p w14:paraId="32AE5C56"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30</w:t>
            </w:r>
          </w:p>
        </w:tc>
        <w:tc>
          <w:tcPr>
            <w:tcW w:w="0" w:type="auto"/>
            <w:vAlign w:val="center"/>
            <w:hideMark/>
          </w:tcPr>
          <w:p w14:paraId="66191633" w14:textId="77777777" w:rsidR="0091489D" w:rsidRPr="0091489D" w:rsidRDefault="0091489D" w:rsidP="0091489D">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5.0%</w:t>
            </w:r>
          </w:p>
        </w:tc>
      </w:tr>
    </w:tbl>
    <w:p w14:paraId="154512EB" w14:textId="77777777" w:rsidR="00460FBD" w:rsidRPr="00460FBD" w:rsidRDefault="00460FBD" w:rsidP="0091489D">
      <w:pPr>
        <w:pStyle w:val="NormalWeb"/>
        <w:spacing w:line="480" w:lineRule="auto"/>
        <w:jc w:val="both"/>
        <w:rPr>
          <w:rStyle w:val="Strong"/>
          <w:b w:val="0"/>
        </w:rPr>
      </w:pPr>
      <w:r w:rsidRPr="00460FBD">
        <w:rPr>
          <w:rStyle w:val="Strong"/>
          <w:b w:val="0"/>
        </w:rPr>
        <w:t>(Source: Researcher’s Computation, 2025)</w:t>
      </w:r>
    </w:p>
    <w:p w14:paraId="15F37DFE" w14:textId="77777777" w:rsidR="0091489D" w:rsidRDefault="0091489D" w:rsidP="00460FBD">
      <w:pPr>
        <w:pStyle w:val="NormalWeb"/>
        <w:spacing w:line="480" w:lineRule="auto"/>
        <w:jc w:val="both"/>
      </w:pPr>
      <w:r>
        <w:rPr>
          <w:rStyle w:val="Strong"/>
        </w:rPr>
        <w:lastRenderedPageBreak/>
        <w:t>Interpretation:</w:t>
      </w:r>
      <w:r>
        <w:t xml:space="preserve"> More than two-thirds (70%) of respondents perceive AI tools as positively impacting their climate change understanding.</w:t>
      </w:r>
    </w:p>
    <w:p w14:paraId="39352ABA" w14:textId="77777777" w:rsidR="0091489D" w:rsidRDefault="0091489D" w:rsidP="00460FBD">
      <w:pPr>
        <w:spacing w:before="100" w:beforeAutospacing="1" w:after="100" w:afterAutospacing="1" w:line="480" w:lineRule="auto"/>
        <w:jc w:val="both"/>
        <w:rPr>
          <w:rFonts w:ascii="Times New Roman" w:eastAsia="Times New Roman" w:hAnsi="Times New Roman" w:cs="Times New Roman"/>
          <w:i/>
          <w:iCs/>
          <w:sz w:val="24"/>
          <w:szCs w:val="24"/>
        </w:rPr>
      </w:pPr>
      <w:r w:rsidRPr="0091489D">
        <w:rPr>
          <w:rFonts w:ascii="Times New Roman" w:eastAsia="Times New Roman" w:hAnsi="Times New Roman" w:cs="Times New Roman"/>
          <w:b/>
          <w:bCs/>
          <w:sz w:val="24"/>
          <w:szCs w:val="24"/>
        </w:rPr>
        <w:t>4.4 Research Question 3:</w:t>
      </w:r>
      <w:r w:rsidRPr="0091489D">
        <w:rPr>
          <w:rFonts w:ascii="Times New Roman" w:eastAsia="Times New Roman" w:hAnsi="Times New Roman" w:cs="Times New Roman"/>
          <w:sz w:val="24"/>
          <w:szCs w:val="24"/>
        </w:rPr>
        <w:t xml:space="preserve"> </w:t>
      </w:r>
      <w:r w:rsidRPr="0091489D">
        <w:rPr>
          <w:rFonts w:ascii="Times New Roman" w:eastAsia="Times New Roman" w:hAnsi="Times New Roman" w:cs="Times New Roman"/>
          <w:i/>
          <w:iCs/>
          <w:sz w:val="24"/>
          <w:szCs w:val="24"/>
        </w:rPr>
        <w:t>To what extent do AI tools influence students' environmental mitigation behaviors?</w:t>
      </w:r>
    </w:p>
    <w:p w14:paraId="5F069F21" w14:textId="406F8A9B" w:rsidR="000F77E5" w:rsidRPr="0091489D" w:rsidRDefault="000F77E5" w:rsidP="00460FBD">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6.</w:t>
      </w:r>
      <w:r w:rsidR="008B7E63">
        <w:rPr>
          <w:rFonts w:ascii="Times New Roman" w:eastAsia="Times New Roman" w:hAnsi="Times New Roman" w:cs="Times New Roman"/>
          <w:sz w:val="24"/>
          <w:szCs w:val="24"/>
        </w:rPr>
        <w:t xml:space="preserve"> </w:t>
      </w:r>
      <w:r w:rsidR="00D34E94">
        <w:rPr>
          <w:rFonts w:ascii="Times New Roman" w:eastAsia="Times New Roman" w:hAnsi="Times New Roman" w:cs="Times New Roman"/>
          <w:sz w:val="24"/>
          <w:szCs w:val="24"/>
        </w:rPr>
        <w:t>Behavior</w:t>
      </w:r>
      <w:r w:rsidR="008B7E63">
        <w:rPr>
          <w:rFonts w:ascii="Times New Roman" w:eastAsia="Times New Roman" w:hAnsi="Times New Roman" w:cs="Times New Roman"/>
          <w:sz w:val="24"/>
          <w:szCs w:val="24"/>
        </w:rPr>
        <w:t xml:space="preserve"> influences with its frequency and percentage </w:t>
      </w:r>
    </w:p>
    <w:tbl>
      <w:tblPr>
        <w:tblW w:w="83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8"/>
        <w:gridCol w:w="1987"/>
        <w:gridCol w:w="2856"/>
      </w:tblGrid>
      <w:tr w:rsidR="0091489D" w:rsidRPr="0091489D" w14:paraId="7EC8607B" w14:textId="77777777" w:rsidTr="009E653B">
        <w:trPr>
          <w:trHeight w:val="504"/>
          <w:tblCellSpacing w:w="15" w:type="dxa"/>
        </w:trPr>
        <w:tc>
          <w:tcPr>
            <w:tcW w:w="0" w:type="auto"/>
            <w:vAlign w:val="center"/>
            <w:hideMark/>
          </w:tcPr>
          <w:p w14:paraId="47B4F6EA"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Behavior Influence</w:t>
            </w:r>
          </w:p>
        </w:tc>
        <w:tc>
          <w:tcPr>
            <w:tcW w:w="0" w:type="auto"/>
            <w:vAlign w:val="center"/>
            <w:hideMark/>
          </w:tcPr>
          <w:p w14:paraId="04714494"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Frequency</w:t>
            </w:r>
          </w:p>
        </w:tc>
        <w:tc>
          <w:tcPr>
            <w:tcW w:w="0" w:type="auto"/>
            <w:vAlign w:val="center"/>
            <w:hideMark/>
          </w:tcPr>
          <w:p w14:paraId="0860A5E1" w14:textId="77777777" w:rsidR="0091489D" w:rsidRPr="0091489D" w:rsidRDefault="0091489D" w:rsidP="009E653B">
            <w:pPr>
              <w:spacing w:after="0" w:line="240" w:lineRule="auto"/>
              <w:jc w:val="center"/>
              <w:rPr>
                <w:rFonts w:ascii="Times New Roman" w:eastAsia="Times New Roman" w:hAnsi="Times New Roman" w:cs="Times New Roman"/>
                <w:b/>
                <w:sz w:val="24"/>
                <w:szCs w:val="24"/>
              </w:rPr>
            </w:pPr>
            <w:r w:rsidRPr="0091489D">
              <w:rPr>
                <w:rFonts w:ascii="Times New Roman" w:eastAsia="Times New Roman" w:hAnsi="Times New Roman" w:cs="Times New Roman"/>
                <w:b/>
                <w:sz w:val="24"/>
                <w:szCs w:val="24"/>
              </w:rPr>
              <w:t>Percentage (%)</w:t>
            </w:r>
          </w:p>
        </w:tc>
      </w:tr>
      <w:tr w:rsidR="0091489D" w:rsidRPr="0091489D" w14:paraId="71781685" w14:textId="77777777" w:rsidTr="009E653B">
        <w:trPr>
          <w:trHeight w:val="534"/>
          <w:tblCellSpacing w:w="15" w:type="dxa"/>
        </w:trPr>
        <w:tc>
          <w:tcPr>
            <w:tcW w:w="0" w:type="auto"/>
            <w:vAlign w:val="center"/>
            <w:hideMark/>
          </w:tcPr>
          <w:p w14:paraId="682A544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Very High Influence</w:t>
            </w:r>
          </w:p>
        </w:tc>
        <w:tc>
          <w:tcPr>
            <w:tcW w:w="0" w:type="auto"/>
            <w:vAlign w:val="center"/>
            <w:hideMark/>
          </w:tcPr>
          <w:p w14:paraId="3AF022E7"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200</w:t>
            </w:r>
          </w:p>
        </w:tc>
        <w:tc>
          <w:tcPr>
            <w:tcW w:w="0" w:type="auto"/>
            <w:vAlign w:val="center"/>
            <w:hideMark/>
          </w:tcPr>
          <w:p w14:paraId="2977BC1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33.3%</w:t>
            </w:r>
          </w:p>
        </w:tc>
      </w:tr>
      <w:tr w:rsidR="0091489D" w:rsidRPr="0091489D" w14:paraId="57BE15A5" w14:textId="77777777" w:rsidTr="009E653B">
        <w:trPr>
          <w:trHeight w:val="504"/>
          <w:tblCellSpacing w:w="15" w:type="dxa"/>
        </w:trPr>
        <w:tc>
          <w:tcPr>
            <w:tcW w:w="0" w:type="auto"/>
            <w:vAlign w:val="center"/>
            <w:hideMark/>
          </w:tcPr>
          <w:p w14:paraId="2704ED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High Influence</w:t>
            </w:r>
          </w:p>
        </w:tc>
        <w:tc>
          <w:tcPr>
            <w:tcW w:w="0" w:type="auto"/>
            <w:vAlign w:val="center"/>
            <w:hideMark/>
          </w:tcPr>
          <w:p w14:paraId="032359C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170</w:t>
            </w:r>
          </w:p>
        </w:tc>
        <w:tc>
          <w:tcPr>
            <w:tcW w:w="0" w:type="auto"/>
            <w:vAlign w:val="center"/>
            <w:hideMark/>
          </w:tcPr>
          <w:p w14:paraId="7E387A70"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28.3%</w:t>
            </w:r>
          </w:p>
        </w:tc>
      </w:tr>
      <w:tr w:rsidR="0091489D" w:rsidRPr="0091489D" w14:paraId="12634956" w14:textId="77777777" w:rsidTr="009E653B">
        <w:trPr>
          <w:trHeight w:val="504"/>
          <w:tblCellSpacing w:w="15" w:type="dxa"/>
        </w:trPr>
        <w:tc>
          <w:tcPr>
            <w:tcW w:w="0" w:type="auto"/>
            <w:vAlign w:val="center"/>
            <w:hideMark/>
          </w:tcPr>
          <w:p w14:paraId="32514E8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Moderate Influence</w:t>
            </w:r>
          </w:p>
        </w:tc>
        <w:tc>
          <w:tcPr>
            <w:tcW w:w="0" w:type="auto"/>
            <w:vAlign w:val="center"/>
            <w:hideMark/>
          </w:tcPr>
          <w:p w14:paraId="743F81D6"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130</w:t>
            </w:r>
          </w:p>
        </w:tc>
        <w:tc>
          <w:tcPr>
            <w:tcW w:w="0" w:type="auto"/>
            <w:vAlign w:val="center"/>
            <w:hideMark/>
          </w:tcPr>
          <w:p w14:paraId="4364F04B"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21.7%</w:t>
            </w:r>
          </w:p>
        </w:tc>
      </w:tr>
      <w:tr w:rsidR="0091489D" w:rsidRPr="0091489D" w14:paraId="59946EE1" w14:textId="77777777" w:rsidTr="00460FBD">
        <w:trPr>
          <w:trHeight w:val="410"/>
          <w:tblCellSpacing w:w="15" w:type="dxa"/>
        </w:trPr>
        <w:tc>
          <w:tcPr>
            <w:tcW w:w="0" w:type="auto"/>
            <w:vAlign w:val="center"/>
            <w:hideMark/>
          </w:tcPr>
          <w:p w14:paraId="060124CA"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Low Influence</w:t>
            </w:r>
          </w:p>
        </w:tc>
        <w:tc>
          <w:tcPr>
            <w:tcW w:w="0" w:type="auto"/>
            <w:vAlign w:val="center"/>
            <w:hideMark/>
          </w:tcPr>
          <w:p w14:paraId="74ED03D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65</w:t>
            </w:r>
          </w:p>
        </w:tc>
        <w:tc>
          <w:tcPr>
            <w:tcW w:w="0" w:type="auto"/>
            <w:vAlign w:val="center"/>
            <w:hideMark/>
          </w:tcPr>
          <w:p w14:paraId="43BA351D"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10.8%</w:t>
            </w:r>
          </w:p>
        </w:tc>
      </w:tr>
      <w:tr w:rsidR="0091489D" w:rsidRPr="0091489D" w14:paraId="0B3FA5F0" w14:textId="77777777" w:rsidTr="00460FBD">
        <w:trPr>
          <w:trHeight w:val="374"/>
          <w:tblCellSpacing w:w="15" w:type="dxa"/>
        </w:trPr>
        <w:tc>
          <w:tcPr>
            <w:tcW w:w="0" w:type="auto"/>
            <w:vAlign w:val="center"/>
            <w:hideMark/>
          </w:tcPr>
          <w:p w14:paraId="2E6E83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No Influence</w:t>
            </w:r>
          </w:p>
        </w:tc>
        <w:tc>
          <w:tcPr>
            <w:tcW w:w="0" w:type="auto"/>
            <w:vAlign w:val="center"/>
            <w:hideMark/>
          </w:tcPr>
          <w:p w14:paraId="60B031C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35</w:t>
            </w:r>
          </w:p>
        </w:tc>
        <w:tc>
          <w:tcPr>
            <w:tcW w:w="0" w:type="auto"/>
            <w:vAlign w:val="center"/>
            <w:hideMark/>
          </w:tcPr>
          <w:p w14:paraId="6273B04F" w14:textId="77777777" w:rsidR="0091489D" w:rsidRPr="0091489D" w:rsidRDefault="0091489D" w:rsidP="009E653B">
            <w:pPr>
              <w:spacing w:after="0" w:line="240" w:lineRule="auto"/>
              <w:jc w:val="center"/>
              <w:rPr>
                <w:rFonts w:ascii="Times New Roman" w:eastAsia="Times New Roman" w:hAnsi="Times New Roman" w:cs="Times New Roman"/>
                <w:sz w:val="24"/>
                <w:szCs w:val="24"/>
              </w:rPr>
            </w:pPr>
            <w:r w:rsidRPr="0091489D">
              <w:rPr>
                <w:rFonts w:ascii="Times New Roman" w:eastAsia="Times New Roman" w:hAnsi="Times New Roman" w:cs="Times New Roman"/>
                <w:sz w:val="24"/>
                <w:szCs w:val="24"/>
              </w:rPr>
              <w:t>5.8%</w:t>
            </w:r>
          </w:p>
        </w:tc>
      </w:tr>
    </w:tbl>
    <w:p w14:paraId="23CD967F"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Researcher’s Computation, 2025)</w:t>
      </w:r>
      <w:r>
        <w:rPr>
          <w:rFonts w:ascii="Times New Roman" w:eastAsia="Times New Roman" w:hAnsi="Times New Roman" w:cs="Times New Roman"/>
          <w:bCs/>
          <w:sz w:val="24"/>
          <w:szCs w:val="24"/>
        </w:rPr>
        <w:t>.</w:t>
      </w:r>
    </w:p>
    <w:p w14:paraId="2113435B" w14:textId="77777777" w:rsidR="0091489D" w:rsidRPr="0091489D" w:rsidRDefault="0091489D" w:rsidP="009E653B">
      <w:pPr>
        <w:spacing w:before="100" w:beforeAutospacing="1" w:after="100" w:afterAutospacing="1" w:line="480" w:lineRule="auto"/>
        <w:jc w:val="both"/>
        <w:rPr>
          <w:rFonts w:ascii="Times New Roman" w:eastAsia="Times New Roman" w:hAnsi="Times New Roman" w:cs="Times New Roman"/>
          <w:sz w:val="24"/>
          <w:szCs w:val="24"/>
        </w:rPr>
      </w:pPr>
      <w:r w:rsidRPr="0091489D">
        <w:rPr>
          <w:rFonts w:ascii="Times New Roman" w:eastAsia="Times New Roman" w:hAnsi="Times New Roman" w:cs="Times New Roman"/>
          <w:b/>
          <w:bCs/>
          <w:sz w:val="24"/>
          <w:szCs w:val="24"/>
        </w:rPr>
        <w:t>Interpretation:</w:t>
      </w:r>
      <w:r w:rsidRPr="0091489D">
        <w:rPr>
          <w:rFonts w:ascii="Times New Roman" w:eastAsia="Times New Roman" w:hAnsi="Times New Roman" w:cs="Times New Roman"/>
          <w:sz w:val="24"/>
          <w:szCs w:val="24"/>
        </w:rPr>
        <w:t xml:space="preserve"> Approximately 61.6% of students report high to very high influence of AI tools on their mitigation behaviors.</w:t>
      </w:r>
    </w:p>
    <w:p w14:paraId="7B0BBCE4" w14:textId="77777777" w:rsidR="009E653B" w:rsidRPr="009E653B" w:rsidRDefault="009E653B" w:rsidP="009E653B">
      <w:pPr>
        <w:spacing w:before="100" w:beforeAutospacing="1" w:after="100" w:afterAutospacing="1"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4.5 Inferential Statistics: Paired Sample t-Test</w:t>
      </w:r>
    </w:p>
    <w:p w14:paraId="0C5A77EF"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To determine if there is a statistically significant difference between students’ climate change knowledge before and after exposure to AI-driven environmental education tools, a paired sample t-test was conducted.</w:t>
      </w:r>
    </w:p>
    <w:p w14:paraId="67E4B840" w14:textId="4DE256E0" w:rsidR="000F77E5" w:rsidRPr="009E653B" w:rsidRDefault="000F77E5" w:rsidP="009E653B">
      <w:pPr>
        <w:spacing w:before="100" w:beforeAutospacing="1" w:after="100" w:afterAutospacing="1" w:line="480" w:lineRule="auto"/>
        <w:jc w:val="both"/>
        <w:rPr>
          <w:rFonts w:ascii="Times New Roman" w:eastAsia="Times New Roman" w:hAnsi="Times New Roman" w:cs="Times New Roman"/>
          <w:sz w:val="24"/>
          <w:szCs w:val="24"/>
        </w:rPr>
      </w:pPr>
      <w:r w:rsidRPr="000F77E5">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t>7.</w:t>
      </w:r>
      <w:r w:rsidR="009964C3">
        <w:rPr>
          <w:rFonts w:ascii="Times New Roman" w:eastAsia="Times New Roman" w:hAnsi="Times New Roman" w:cs="Times New Roman"/>
          <w:sz w:val="24"/>
          <w:szCs w:val="24"/>
        </w:rPr>
        <w:t xml:space="preserve"> The table shows the result of </w:t>
      </w:r>
      <w:r w:rsidR="009964C3" w:rsidRPr="009964C3">
        <w:rPr>
          <w:rFonts w:ascii="Times New Roman" w:eastAsia="Times New Roman" w:hAnsi="Times New Roman" w:cs="Times New Roman"/>
          <w:sz w:val="24"/>
          <w:szCs w:val="24"/>
        </w:rPr>
        <w:t xml:space="preserve">AI-driven education </w:t>
      </w:r>
      <w:r w:rsidR="009964C3">
        <w:rPr>
          <w:rFonts w:ascii="Times New Roman" w:eastAsia="Times New Roman" w:hAnsi="Times New Roman" w:cs="Times New Roman"/>
          <w:sz w:val="24"/>
          <w:szCs w:val="24"/>
        </w:rPr>
        <w:t>on</w:t>
      </w:r>
      <w:r w:rsidR="009964C3" w:rsidRPr="009964C3">
        <w:rPr>
          <w:rFonts w:ascii="Times New Roman" w:eastAsia="Times New Roman" w:hAnsi="Times New Roman" w:cs="Times New Roman"/>
          <w:sz w:val="24"/>
          <w:szCs w:val="24"/>
        </w:rPr>
        <w:t xml:space="preserve"> climate change </w:t>
      </w:r>
    </w:p>
    <w:tbl>
      <w:tblPr>
        <w:tblW w:w="92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45"/>
        <w:gridCol w:w="1800"/>
        <w:gridCol w:w="1890"/>
        <w:gridCol w:w="900"/>
        <w:gridCol w:w="540"/>
        <w:gridCol w:w="1248"/>
      </w:tblGrid>
      <w:tr w:rsidR="009E653B" w:rsidRPr="009E653B" w14:paraId="17349480" w14:textId="77777777" w:rsidTr="009E653B">
        <w:trPr>
          <w:trHeight w:val="640"/>
          <w:tblCellSpacing w:w="15" w:type="dxa"/>
        </w:trPr>
        <w:tc>
          <w:tcPr>
            <w:tcW w:w="2800" w:type="dxa"/>
            <w:vAlign w:val="center"/>
            <w:hideMark/>
          </w:tcPr>
          <w:p w14:paraId="05B7BE1B"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lastRenderedPageBreak/>
              <w:t>Variable</w:t>
            </w:r>
          </w:p>
        </w:tc>
        <w:tc>
          <w:tcPr>
            <w:tcW w:w="1770" w:type="dxa"/>
            <w:vAlign w:val="center"/>
            <w:hideMark/>
          </w:tcPr>
          <w:p w14:paraId="7504C0B6"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(Pre-Test)</w:t>
            </w:r>
          </w:p>
        </w:tc>
        <w:tc>
          <w:tcPr>
            <w:tcW w:w="1860" w:type="dxa"/>
            <w:vAlign w:val="center"/>
            <w:hideMark/>
          </w:tcPr>
          <w:p w14:paraId="5261FB14"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Mean (Post-Test)</w:t>
            </w:r>
          </w:p>
        </w:tc>
        <w:tc>
          <w:tcPr>
            <w:tcW w:w="870" w:type="dxa"/>
            <w:vAlign w:val="center"/>
            <w:hideMark/>
          </w:tcPr>
          <w:p w14:paraId="13EA1CF0"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t-value</w:t>
            </w:r>
          </w:p>
        </w:tc>
        <w:tc>
          <w:tcPr>
            <w:tcW w:w="510" w:type="dxa"/>
            <w:vAlign w:val="center"/>
            <w:hideMark/>
          </w:tcPr>
          <w:p w14:paraId="1764E188"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df</w:t>
            </w:r>
          </w:p>
        </w:tc>
        <w:tc>
          <w:tcPr>
            <w:tcW w:w="1203" w:type="dxa"/>
            <w:vAlign w:val="center"/>
            <w:hideMark/>
          </w:tcPr>
          <w:p w14:paraId="142CD6AE" w14:textId="77777777" w:rsidR="009E653B" w:rsidRPr="009E653B" w:rsidRDefault="009E653B" w:rsidP="009E653B">
            <w:pPr>
              <w:spacing w:after="0" w:line="240" w:lineRule="auto"/>
              <w:rPr>
                <w:rFonts w:ascii="Times New Roman" w:eastAsia="Times New Roman" w:hAnsi="Times New Roman" w:cs="Times New Roman"/>
                <w:b/>
                <w:sz w:val="24"/>
                <w:szCs w:val="24"/>
              </w:rPr>
            </w:pPr>
            <w:r w:rsidRPr="009E653B">
              <w:rPr>
                <w:rFonts w:ascii="Times New Roman" w:eastAsia="Times New Roman" w:hAnsi="Times New Roman" w:cs="Times New Roman"/>
                <w:b/>
                <w:sz w:val="24"/>
                <w:szCs w:val="24"/>
              </w:rPr>
              <w:t>p-value</w:t>
            </w:r>
          </w:p>
        </w:tc>
      </w:tr>
      <w:tr w:rsidR="009E653B" w:rsidRPr="009E653B" w14:paraId="5C1CE69E" w14:textId="77777777" w:rsidTr="009E653B">
        <w:trPr>
          <w:trHeight w:val="679"/>
          <w:tblCellSpacing w:w="15" w:type="dxa"/>
        </w:trPr>
        <w:tc>
          <w:tcPr>
            <w:tcW w:w="2800" w:type="dxa"/>
            <w:vAlign w:val="center"/>
            <w:hideMark/>
          </w:tcPr>
          <w:p w14:paraId="5731AA52"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Climate Change Knowledge Scores</w:t>
            </w:r>
          </w:p>
        </w:tc>
        <w:tc>
          <w:tcPr>
            <w:tcW w:w="1770" w:type="dxa"/>
            <w:vAlign w:val="center"/>
            <w:hideMark/>
          </w:tcPr>
          <w:p w14:paraId="275FF1FE"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52.63</w:t>
            </w:r>
          </w:p>
        </w:tc>
        <w:tc>
          <w:tcPr>
            <w:tcW w:w="1860" w:type="dxa"/>
            <w:vAlign w:val="center"/>
            <w:hideMark/>
          </w:tcPr>
          <w:p w14:paraId="26D36DD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68.21</w:t>
            </w:r>
          </w:p>
        </w:tc>
        <w:tc>
          <w:tcPr>
            <w:tcW w:w="870" w:type="dxa"/>
            <w:vAlign w:val="center"/>
            <w:hideMark/>
          </w:tcPr>
          <w:p w14:paraId="1828F53F"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14.28</w:t>
            </w:r>
          </w:p>
        </w:tc>
        <w:tc>
          <w:tcPr>
            <w:tcW w:w="510" w:type="dxa"/>
            <w:vAlign w:val="center"/>
            <w:hideMark/>
          </w:tcPr>
          <w:p w14:paraId="76553133"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599</w:t>
            </w:r>
          </w:p>
        </w:tc>
        <w:tc>
          <w:tcPr>
            <w:tcW w:w="1203" w:type="dxa"/>
            <w:vAlign w:val="center"/>
            <w:hideMark/>
          </w:tcPr>
          <w:p w14:paraId="3D4D5E06" w14:textId="77777777" w:rsidR="009E653B" w:rsidRPr="009E653B" w:rsidRDefault="009E653B" w:rsidP="009E653B">
            <w:pPr>
              <w:spacing w:after="0" w:line="240" w:lineRule="auto"/>
              <w:rPr>
                <w:rFonts w:ascii="Times New Roman" w:eastAsia="Times New Roman" w:hAnsi="Times New Roman" w:cs="Times New Roman"/>
                <w:sz w:val="24"/>
                <w:szCs w:val="24"/>
              </w:rPr>
            </w:pPr>
            <w:r w:rsidRPr="009E653B">
              <w:rPr>
                <w:rFonts w:ascii="Times New Roman" w:eastAsia="Times New Roman" w:hAnsi="Times New Roman" w:cs="Times New Roman"/>
                <w:sz w:val="24"/>
                <w:szCs w:val="24"/>
              </w:rPr>
              <w:t>&lt; 0.001*</w:t>
            </w:r>
          </w:p>
        </w:tc>
      </w:tr>
    </w:tbl>
    <w:p w14:paraId="5BC81E74" w14:textId="77777777" w:rsidR="00460FBD" w:rsidRPr="00460FBD" w:rsidRDefault="00460FBD" w:rsidP="009E653B">
      <w:pPr>
        <w:spacing w:before="100" w:beforeAutospacing="1" w:after="100" w:afterAutospacing="1" w:line="480" w:lineRule="auto"/>
        <w:jc w:val="both"/>
        <w:rPr>
          <w:rFonts w:ascii="Times New Roman" w:eastAsia="Times New Roman" w:hAnsi="Times New Roman" w:cs="Times New Roman"/>
          <w:bCs/>
          <w:sz w:val="24"/>
          <w:szCs w:val="24"/>
        </w:rPr>
      </w:pPr>
      <w:r w:rsidRPr="00460FBD">
        <w:rPr>
          <w:rFonts w:ascii="Times New Roman" w:eastAsia="Times New Roman" w:hAnsi="Times New Roman" w:cs="Times New Roman"/>
          <w:bCs/>
          <w:sz w:val="24"/>
          <w:szCs w:val="24"/>
        </w:rPr>
        <w:t>(Source: SPSS VS 27)</w:t>
      </w:r>
    </w:p>
    <w:p w14:paraId="274526ED" w14:textId="77777777" w:rsidR="009E653B" w:rsidRDefault="009E653B" w:rsidP="009E653B">
      <w:pPr>
        <w:spacing w:before="100" w:beforeAutospacing="1" w:after="100" w:afterAutospacing="1" w:line="480" w:lineRule="auto"/>
        <w:jc w:val="both"/>
        <w:rPr>
          <w:rFonts w:ascii="Times New Roman" w:eastAsia="Times New Roman" w:hAnsi="Times New Roman" w:cs="Times New Roman"/>
          <w:sz w:val="24"/>
          <w:szCs w:val="24"/>
        </w:rPr>
      </w:pPr>
      <w:r w:rsidRPr="009E653B">
        <w:rPr>
          <w:rFonts w:ascii="Times New Roman" w:eastAsia="Times New Roman" w:hAnsi="Times New Roman" w:cs="Times New Roman"/>
          <w:b/>
          <w:bCs/>
          <w:sz w:val="24"/>
          <w:szCs w:val="24"/>
        </w:rPr>
        <w:t>Interpretation:</w:t>
      </w:r>
      <w:r w:rsidRPr="009E653B">
        <w:rPr>
          <w:rFonts w:ascii="Times New Roman" w:eastAsia="Times New Roman" w:hAnsi="Times New Roman" w:cs="Times New Roman"/>
          <w:sz w:val="24"/>
          <w:szCs w:val="24"/>
        </w:rPr>
        <w:t xml:space="preserve"> The result shows a significant improvement in knowledge after exposure to AI tools (</w:t>
      </w:r>
      <w:r w:rsidRPr="009E653B">
        <w:rPr>
          <w:rFonts w:ascii="Times New Roman" w:eastAsia="Times New Roman" w:hAnsi="Times New Roman" w:cs="Times New Roman"/>
          <w:i/>
          <w:iCs/>
          <w:sz w:val="24"/>
          <w:szCs w:val="24"/>
        </w:rPr>
        <w:t>p</w:t>
      </w:r>
      <w:r w:rsidRPr="009E653B">
        <w:rPr>
          <w:rFonts w:ascii="Times New Roman" w:eastAsia="Times New Roman" w:hAnsi="Times New Roman" w:cs="Times New Roman"/>
          <w:sz w:val="24"/>
          <w:szCs w:val="24"/>
        </w:rPr>
        <w:t xml:space="preserve"> &lt; 0.001), supporting the hypothesis that AI-driven education improves climate change understanding.</w:t>
      </w:r>
    </w:p>
    <w:p w14:paraId="22F32352" w14:textId="77777777" w:rsidR="009E653B" w:rsidRDefault="009E653B" w:rsidP="009E653B">
      <w:pPr>
        <w:pStyle w:val="NormalWeb"/>
      </w:pPr>
      <w:r>
        <w:rPr>
          <w:rStyle w:val="Strong"/>
        </w:rPr>
        <w:t>4.6 Summary of Key Findings</w:t>
      </w:r>
    </w:p>
    <w:p w14:paraId="649ED6BB" w14:textId="77777777" w:rsidR="009E653B" w:rsidRDefault="009E653B" w:rsidP="009E653B">
      <w:pPr>
        <w:pStyle w:val="NormalWeb"/>
        <w:numPr>
          <w:ilvl w:val="0"/>
          <w:numId w:val="15"/>
        </w:numPr>
        <w:spacing w:line="480" w:lineRule="auto"/>
        <w:jc w:val="both"/>
      </w:pPr>
      <w:r>
        <w:t>Students generally showed high awareness of climate change issues.</w:t>
      </w:r>
    </w:p>
    <w:p w14:paraId="3CA0AAE3" w14:textId="77777777" w:rsidR="009E653B" w:rsidRDefault="009E653B" w:rsidP="009E653B">
      <w:pPr>
        <w:pStyle w:val="NormalWeb"/>
        <w:numPr>
          <w:ilvl w:val="0"/>
          <w:numId w:val="15"/>
        </w:numPr>
        <w:spacing w:line="480" w:lineRule="auto"/>
        <w:jc w:val="both"/>
      </w:pPr>
      <w:r>
        <w:t>AI tools significantly enhanced students' understanding and engagement.</w:t>
      </w:r>
    </w:p>
    <w:p w14:paraId="7AC88FF7" w14:textId="77777777" w:rsidR="009E653B" w:rsidRDefault="009E653B" w:rsidP="009E653B">
      <w:pPr>
        <w:pStyle w:val="NormalWeb"/>
        <w:numPr>
          <w:ilvl w:val="0"/>
          <w:numId w:val="15"/>
        </w:numPr>
        <w:spacing w:line="480" w:lineRule="auto"/>
        <w:jc w:val="both"/>
      </w:pPr>
      <w:r>
        <w:t>There is a statistically significant difference in knowledge before and after AI-based intervention.</w:t>
      </w:r>
    </w:p>
    <w:p w14:paraId="7B47FE33" w14:textId="77777777" w:rsidR="009E653B" w:rsidRPr="003B6163" w:rsidRDefault="009E653B" w:rsidP="009E653B">
      <w:pPr>
        <w:pStyle w:val="NormalWeb"/>
        <w:numPr>
          <w:ilvl w:val="0"/>
          <w:numId w:val="15"/>
        </w:numPr>
        <w:spacing w:line="480" w:lineRule="auto"/>
        <w:jc w:val="both"/>
      </w:pPr>
      <w:r>
        <w:t>AI tools positively influenced students’ behavior toward climate mitigation.</w:t>
      </w:r>
    </w:p>
    <w:p w14:paraId="13EFD3F4" w14:textId="77777777" w:rsidR="003B6163" w:rsidRPr="003B6163" w:rsidRDefault="003B6163" w:rsidP="003B6163">
      <w:pPr>
        <w:pStyle w:val="Heading3"/>
        <w:rPr>
          <w:sz w:val="24"/>
          <w:szCs w:val="24"/>
        </w:rPr>
      </w:pPr>
      <w:commentRangeStart w:id="0"/>
      <w:r w:rsidRPr="003B6163">
        <w:rPr>
          <w:sz w:val="24"/>
          <w:szCs w:val="24"/>
        </w:rPr>
        <w:t>5.0. Discussion of Findings</w:t>
      </w:r>
      <w:commentRangeEnd w:id="0"/>
      <w:r w:rsidR="00D34E94">
        <w:rPr>
          <w:rStyle w:val="CommentReference"/>
          <w:rFonts w:asciiTheme="minorHAnsi" w:eastAsiaTheme="minorHAnsi" w:hAnsiTheme="minorHAnsi" w:cstheme="minorBidi"/>
          <w:b w:val="0"/>
          <w:bCs w:val="0"/>
        </w:rPr>
        <w:commentReference w:id="0"/>
      </w:r>
    </w:p>
    <w:p w14:paraId="72A300F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The study revealed that senior secondary school students in Southeast Nigeria possess a high level of climate change awareness, with over two-thirds reporting either "high" or "very high" awareness. This suggests that envi</w:t>
      </w:r>
      <w:r>
        <w:rPr>
          <w:rFonts w:ascii="Times New Roman" w:eastAsia="Times New Roman" w:hAnsi="Times New Roman" w:cs="Times New Roman"/>
          <w:sz w:val="24"/>
          <w:szCs w:val="24"/>
        </w:rPr>
        <w:t xml:space="preserve">ronmental education initiatives whether formal or informal </w:t>
      </w:r>
      <w:r w:rsidRPr="003B6163">
        <w:rPr>
          <w:rFonts w:ascii="Times New Roman" w:eastAsia="Times New Roman" w:hAnsi="Times New Roman" w:cs="Times New Roman"/>
          <w:sz w:val="24"/>
          <w:szCs w:val="24"/>
        </w:rPr>
        <w:t>are increasingly reaching this demographic.</w:t>
      </w:r>
      <w:bookmarkStart w:id="1" w:name="_GoBack"/>
      <w:bookmarkEnd w:id="1"/>
    </w:p>
    <w:p w14:paraId="726A09CE"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The integration of AI-driven tools was perceived positively. About 70% of respondents indicated that these tools significantly enhanced their understanding of climate change. This supports </w:t>
      </w:r>
      <w:r w:rsidRPr="003B6163">
        <w:rPr>
          <w:rFonts w:ascii="Times New Roman" w:eastAsia="Times New Roman" w:hAnsi="Times New Roman" w:cs="Times New Roman"/>
          <w:sz w:val="24"/>
          <w:szCs w:val="24"/>
        </w:rPr>
        <w:lastRenderedPageBreak/>
        <w:t>global trends indicating the potential of AI to personalize learning and improve engagement in environmental education.</w:t>
      </w:r>
    </w:p>
    <w:p w14:paraId="690715A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Additionally, AI tools were reported to influence students’ mitigation behaviors, with more than 60% noting a "high" to "very high" impact. This behavioral shift aligns with Bandura’s Social Cognitive Theory, where exposure to cognitive tools and digital environments influences action.</w:t>
      </w:r>
    </w:p>
    <w:p w14:paraId="4FD67E3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 xml:space="preserve">Statistical evidence from the paired sample </w:t>
      </w:r>
      <w:r w:rsidRPr="003B6163">
        <w:rPr>
          <w:rFonts w:ascii="Times New Roman" w:eastAsia="Times New Roman" w:hAnsi="Times New Roman" w:cs="Times New Roman"/>
          <w:i/>
          <w:iCs/>
          <w:sz w:val="24"/>
          <w:szCs w:val="24"/>
        </w:rPr>
        <w:t>t</w:t>
      </w:r>
      <w:r w:rsidRPr="003B6163">
        <w:rPr>
          <w:rFonts w:ascii="Times New Roman" w:eastAsia="Times New Roman" w:hAnsi="Times New Roman" w:cs="Times New Roman"/>
          <w:sz w:val="24"/>
          <w:szCs w:val="24"/>
        </w:rPr>
        <w:t>-test confirmed that students’ post-intervention knowledge scores were significantly higher than their pre-intervention scores (</w:t>
      </w:r>
      <w:r w:rsidRPr="003B6163">
        <w:rPr>
          <w:rFonts w:ascii="Times New Roman" w:eastAsia="Times New Roman" w:hAnsi="Times New Roman" w:cs="Times New Roman"/>
          <w:i/>
          <w:iCs/>
          <w:sz w:val="24"/>
          <w:szCs w:val="24"/>
        </w:rPr>
        <w:t>p</w:t>
      </w:r>
      <w:r w:rsidRPr="003B6163">
        <w:rPr>
          <w:rFonts w:ascii="Times New Roman" w:eastAsia="Times New Roman" w:hAnsi="Times New Roman" w:cs="Times New Roman"/>
          <w:sz w:val="24"/>
          <w:szCs w:val="24"/>
        </w:rPr>
        <w:t xml:space="preserve"> &lt; 0.001). This validates the hypothesis that AI-driven instruction fosters better climate change comprehension.</w:t>
      </w:r>
    </w:p>
    <w:p w14:paraId="72B4AF96" w14:textId="77777777" w:rsidR="003B6163" w:rsidRPr="003B6163"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r w:rsidRPr="003B6163">
        <w:rPr>
          <w:rFonts w:ascii="Times New Roman" w:eastAsia="Times New Roman" w:hAnsi="Times New Roman" w:cs="Times New Roman"/>
          <w:sz w:val="24"/>
          <w:szCs w:val="24"/>
        </w:rPr>
        <w:t>Collectively, the findings demonstrate the promise of AI tools in enhancing awareness, understanding, and proactive behavior among students on climate-related issues.</w:t>
      </w:r>
    </w:p>
    <w:p w14:paraId="18C102C2" w14:textId="77777777" w:rsidR="003B6163" w:rsidRDefault="003B6163" w:rsidP="003B6163">
      <w:pPr>
        <w:pStyle w:val="NormalWeb"/>
      </w:pPr>
      <w:r>
        <w:rPr>
          <w:rStyle w:val="Strong"/>
        </w:rPr>
        <w:t>6.0. Conclusion</w:t>
      </w:r>
    </w:p>
    <w:p w14:paraId="3F938A4B" w14:textId="77777777" w:rsidR="003B6163" w:rsidRDefault="003B6163" w:rsidP="003B6163">
      <w:pPr>
        <w:pStyle w:val="NormalWeb"/>
        <w:spacing w:line="480" w:lineRule="auto"/>
        <w:jc w:val="both"/>
      </w:pPr>
      <w:r>
        <w:t>This study explored the effectiveness of AI-driven environmental education in enhancing climate change awareness and encouraging mitigation behaviors among secondary school students in Southeast Nigeria. The findings indicate a generally high level of climate change awareness, a significant improvement in understanding due to AI-driven instruction, and a positive influence of these tools on behavioral change.</w:t>
      </w:r>
    </w:p>
    <w:p w14:paraId="1A2D3378" w14:textId="77777777" w:rsidR="003B6163" w:rsidRDefault="003B6163" w:rsidP="003B6163">
      <w:pPr>
        <w:pStyle w:val="NormalWeb"/>
        <w:spacing w:line="480" w:lineRule="auto"/>
        <w:jc w:val="both"/>
      </w:pPr>
      <w:r>
        <w:t>The statistical results confirmed the hypothesis that AI-based environmental education leads to a measurable improvement in students’ knowledge. These outcomes underscore the value of integrating AI technologies into formal environmental education curricula as a strategic step toward achieving national and global climate literacy goals.</w:t>
      </w:r>
    </w:p>
    <w:p w14:paraId="531C3C5D" w14:textId="77777777" w:rsidR="003B6163" w:rsidRDefault="003B6163" w:rsidP="003B6163">
      <w:pPr>
        <w:pStyle w:val="NormalWeb"/>
      </w:pPr>
      <w:r>
        <w:rPr>
          <w:rStyle w:val="Strong"/>
        </w:rPr>
        <w:lastRenderedPageBreak/>
        <w:t>6.1. Recommendations</w:t>
      </w:r>
    </w:p>
    <w:p w14:paraId="7D449758" w14:textId="77777777" w:rsidR="003B6163" w:rsidRDefault="003B6163" w:rsidP="003B6163">
      <w:pPr>
        <w:pStyle w:val="NormalWeb"/>
        <w:numPr>
          <w:ilvl w:val="0"/>
          <w:numId w:val="16"/>
        </w:numPr>
        <w:spacing w:line="480" w:lineRule="auto"/>
        <w:jc w:val="both"/>
      </w:pPr>
      <w:r w:rsidRPr="003B6163">
        <w:rPr>
          <w:rStyle w:val="Strong"/>
          <w:b w:val="0"/>
        </w:rPr>
        <w:t>Integration of AI into Curriculum:</w:t>
      </w:r>
      <w:r>
        <w:t xml:space="preserve"> Education policymakers should formally incorporate AI-driven tools into the secondary school curriculum to promote climate literacy and digital learning competencies.</w:t>
      </w:r>
    </w:p>
    <w:p w14:paraId="4B6F09D2" w14:textId="77777777" w:rsidR="003B6163" w:rsidRDefault="003B6163" w:rsidP="003B6163">
      <w:pPr>
        <w:pStyle w:val="NormalWeb"/>
        <w:numPr>
          <w:ilvl w:val="0"/>
          <w:numId w:val="16"/>
        </w:numPr>
        <w:spacing w:line="480" w:lineRule="auto"/>
        <w:jc w:val="both"/>
      </w:pPr>
      <w:r w:rsidRPr="003B6163">
        <w:rPr>
          <w:rStyle w:val="Strong"/>
          <w:b w:val="0"/>
        </w:rPr>
        <w:t>Teacher Training:</w:t>
      </w:r>
      <w:r>
        <w:t xml:space="preserve"> Capacity-building workshops should be organized to train educators on how to effectively implement AI technologies in environmental education.</w:t>
      </w:r>
    </w:p>
    <w:p w14:paraId="7DD8AB0E" w14:textId="77777777" w:rsidR="003B6163" w:rsidRDefault="003B6163" w:rsidP="003B6163">
      <w:pPr>
        <w:pStyle w:val="NormalWeb"/>
        <w:numPr>
          <w:ilvl w:val="0"/>
          <w:numId w:val="16"/>
        </w:numPr>
        <w:spacing w:line="480" w:lineRule="auto"/>
        <w:jc w:val="both"/>
      </w:pPr>
      <w:r w:rsidRPr="003B6163">
        <w:rPr>
          <w:rStyle w:val="Strong"/>
          <w:b w:val="0"/>
        </w:rPr>
        <w:t>Government and NGO Support</w:t>
      </w:r>
      <w:r>
        <w:rPr>
          <w:rStyle w:val="Strong"/>
        </w:rPr>
        <w:t>:</w:t>
      </w:r>
      <w:r>
        <w:t xml:space="preserve"> Federal and state governments, along with development partners, should provide funding and technical support for deploying AI infrastructure and content in schools.</w:t>
      </w:r>
    </w:p>
    <w:p w14:paraId="7C273C42" w14:textId="77777777" w:rsidR="003B6163" w:rsidRDefault="003B6163" w:rsidP="003B6163">
      <w:pPr>
        <w:pStyle w:val="NormalWeb"/>
        <w:numPr>
          <w:ilvl w:val="0"/>
          <w:numId w:val="16"/>
        </w:numPr>
        <w:spacing w:line="480" w:lineRule="auto"/>
        <w:jc w:val="both"/>
      </w:pPr>
      <w:r w:rsidRPr="003B6163">
        <w:rPr>
          <w:rStyle w:val="Strong"/>
          <w:b w:val="0"/>
        </w:rPr>
        <w:t>Student Engagement Programs</w:t>
      </w:r>
      <w:r>
        <w:rPr>
          <w:rStyle w:val="Strong"/>
        </w:rPr>
        <w:t>:</w:t>
      </w:r>
      <w:r>
        <w:t xml:space="preserve"> Schools should organize interactive, AI-based climate action projects and simulations to reinforce mitigation behaviors.</w:t>
      </w:r>
    </w:p>
    <w:p w14:paraId="083F99B4" w14:textId="77777777" w:rsidR="003B6163" w:rsidRDefault="003B6163" w:rsidP="003B6163">
      <w:pPr>
        <w:pStyle w:val="NormalWeb"/>
        <w:numPr>
          <w:ilvl w:val="0"/>
          <w:numId w:val="16"/>
        </w:numPr>
        <w:spacing w:line="480" w:lineRule="auto"/>
        <w:jc w:val="both"/>
      </w:pPr>
      <w:r w:rsidRPr="003B6163">
        <w:rPr>
          <w:rStyle w:val="Strong"/>
          <w:b w:val="0"/>
        </w:rPr>
        <w:t>Further Research</w:t>
      </w:r>
      <w:r>
        <w:rPr>
          <w:rStyle w:val="Strong"/>
        </w:rPr>
        <w:t>:</w:t>
      </w:r>
      <w:r>
        <w:t xml:space="preserve"> Researchers should extend this study to other geopolitical zones and assess long-term behavioral impacts of AI-driven environmental education.</w:t>
      </w:r>
    </w:p>
    <w:p w14:paraId="0AF84D42" w14:textId="77777777" w:rsidR="003B6163" w:rsidRPr="009E653B" w:rsidRDefault="003B6163" w:rsidP="003B6163">
      <w:pPr>
        <w:spacing w:before="100" w:beforeAutospacing="1" w:after="100" w:afterAutospacing="1" w:line="480" w:lineRule="auto"/>
        <w:jc w:val="both"/>
        <w:rPr>
          <w:rFonts w:ascii="Times New Roman" w:eastAsia="Times New Roman" w:hAnsi="Times New Roman" w:cs="Times New Roman"/>
          <w:sz w:val="24"/>
          <w:szCs w:val="24"/>
        </w:rPr>
      </w:pPr>
    </w:p>
    <w:p w14:paraId="72B89FA9" w14:textId="77777777" w:rsidR="0091489D" w:rsidRDefault="0091489D" w:rsidP="0091489D">
      <w:pPr>
        <w:pStyle w:val="NormalWeb"/>
        <w:spacing w:line="480" w:lineRule="auto"/>
        <w:jc w:val="both"/>
      </w:pPr>
    </w:p>
    <w:p w14:paraId="6CAEB0CD" w14:textId="77777777" w:rsidR="000F77E5" w:rsidRPr="000F77E5" w:rsidRDefault="000F77E5" w:rsidP="000F77E5">
      <w:pPr>
        <w:jc w:val="both"/>
        <w:outlineLvl w:val="0"/>
        <w:rPr>
          <w:rFonts w:ascii="Arial" w:eastAsiaTheme="minorEastAsia" w:hAnsi="Arial" w:cs="Arial"/>
          <w:lang w:val="en-GB" w:eastAsia="en-GB"/>
        </w:rPr>
      </w:pPr>
      <w:r w:rsidRPr="000F77E5">
        <w:rPr>
          <w:rFonts w:ascii="Arial" w:eastAsiaTheme="minorEastAsia" w:hAnsi="Arial" w:cs="Arial"/>
          <w:b/>
          <w:bCs/>
          <w:lang w:val="en-GB" w:eastAsia="en-GB"/>
        </w:rPr>
        <w:t>COMPETING INTERESTS DISCLAIMER:</w:t>
      </w:r>
    </w:p>
    <w:p w14:paraId="04C186D0" w14:textId="77777777" w:rsidR="000F77E5" w:rsidRPr="000F77E5" w:rsidRDefault="000F77E5" w:rsidP="000F77E5">
      <w:pPr>
        <w:rPr>
          <w:rFonts w:eastAsiaTheme="minorEastAsia"/>
          <w:lang w:val="en-GB" w:eastAsia="en-GB"/>
        </w:rPr>
      </w:pPr>
      <w:r w:rsidRPr="000F77E5">
        <w:rPr>
          <w:rFonts w:eastAsiaTheme="minorEastAsia"/>
          <w:lang w:val="en-GB" w:eastAsia="en-GB"/>
        </w:rPr>
        <w:t>Authors have declared that they have no known competing financial interests OR non-financial interests OR personal relationships that could have appeared to influence the work reported in this paper.</w:t>
      </w:r>
    </w:p>
    <w:p w14:paraId="2FD20990" w14:textId="77777777" w:rsidR="003B6163" w:rsidRDefault="003B6163" w:rsidP="0091489D">
      <w:pPr>
        <w:pStyle w:val="NormalWeb"/>
        <w:spacing w:line="480" w:lineRule="auto"/>
        <w:jc w:val="both"/>
      </w:pPr>
    </w:p>
    <w:p w14:paraId="27C593D5" w14:textId="77777777" w:rsidR="003B6163" w:rsidRDefault="003B6163" w:rsidP="0091489D">
      <w:pPr>
        <w:pStyle w:val="NormalWeb"/>
        <w:spacing w:line="480" w:lineRule="auto"/>
        <w:jc w:val="both"/>
      </w:pPr>
    </w:p>
    <w:p w14:paraId="61C526E5" w14:textId="77777777" w:rsidR="003B6163" w:rsidRDefault="003B6163" w:rsidP="0091489D">
      <w:pPr>
        <w:pStyle w:val="NormalWeb"/>
        <w:spacing w:line="480" w:lineRule="auto"/>
        <w:jc w:val="both"/>
      </w:pPr>
    </w:p>
    <w:p w14:paraId="7A692075" w14:textId="77777777" w:rsidR="00342282" w:rsidRPr="00360B2B" w:rsidRDefault="00A64FEC" w:rsidP="003B6163">
      <w:pPr>
        <w:pStyle w:val="Heading3"/>
      </w:pPr>
      <w:r>
        <w:rPr>
          <w:rStyle w:val="Strong"/>
          <w:b/>
          <w:bCs/>
        </w:rPr>
        <w:lastRenderedPageBreak/>
        <w:t>References</w:t>
      </w:r>
    </w:p>
    <w:p w14:paraId="2E0F1800" w14:textId="77777777" w:rsidR="00342282" w:rsidRPr="00360B2B" w:rsidRDefault="00342282" w:rsidP="00342282">
      <w:pPr>
        <w:pStyle w:val="NormalWeb"/>
        <w:ind w:left="1440" w:hanging="1440"/>
      </w:pPr>
      <w:r w:rsidRPr="00360B2B">
        <w:t xml:space="preserve">Adebayo, A. A., &amp; Ibrahim, A. B. (2022). Artificial Intelligence in African education: Emerging opportunities and persistent gaps. </w:t>
      </w:r>
      <w:r w:rsidRPr="00360B2B">
        <w:rPr>
          <w:rStyle w:val="Emphasis"/>
        </w:rPr>
        <w:t>African Journal of Educational Technology</w:t>
      </w:r>
      <w:r w:rsidRPr="00360B2B">
        <w:t xml:space="preserve">, </w:t>
      </w:r>
      <w:r w:rsidRPr="00360B2B">
        <w:rPr>
          <w:rStyle w:val="Strong"/>
        </w:rPr>
        <w:t>10</w:t>
      </w:r>
      <w:r w:rsidRPr="00360B2B">
        <w:t xml:space="preserve">(2), 45–58. </w:t>
      </w:r>
      <w:hyperlink r:id="rId9" w:history="1">
        <w:r w:rsidRPr="00360B2B">
          <w:rPr>
            <w:rStyle w:val="Hyperlink"/>
          </w:rPr>
          <w:t>https://doi.org/10.4314/afjet.v10i2.5</w:t>
        </w:r>
      </w:hyperlink>
    </w:p>
    <w:p w14:paraId="14187645"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Adebayo, A. A., &amp; Ibrahim, A. B. (2022). Artificial Intelligence in African education: Emerging opportunities and persistent gaps. </w:t>
      </w:r>
      <w:r w:rsidRPr="00360B2B">
        <w:rPr>
          <w:rStyle w:val="Emphasis"/>
          <w:rFonts w:ascii="Times New Roman" w:hAnsi="Times New Roman" w:cs="Times New Roman"/>
          <w:sz w:val="24"/>
          <w:szCs w:val="24"/>
        </w:rPr>
        <w:t>African Journal of Educational Technology</w:t>
      </w:r>
      <w:r w:rsidRPr="00360B2B">
        <w:rPr>
          <w:rFonts w:ascii="Times New Roman" w:hAnsi="Times New Roman" w:cs="Times New Roman"/>
          <w:sz w:val="24"/>
          <w:szCs w:val="24"/>
        </w:rPr>
        <w:t xml:space="preserve">, 10(2), 45–58. </w:t>
      </w:r>
      <w:hyperlink r:id="rId10" w:history="1">
        <w:r w:rsidRPr="00360B2B">
          <w:rPr>
            <w:rStyle w:val="Hyperlink"/>
            <w:rFonts w:ascii="Times New Roman" w:hAnsi="Times New Roman" w:cs="Times New Roman"/>
            <w:sz w:val="24"/>
            <w:szCs w:val="24"/>
          </w:rPr>
          <w:t>https://doi.org/10.4314/afjet.v10i2.5</w:t>
        </w:r>
      </w:hyperlink>
    </w:p>
    <w:p w14:paraId="097DE65F"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w:t>
      </w:r>
      <w:r w:rsidRPr="00360B2B">
        <w:rPr>
          <w:rStyle w:val="Strong"/>
          <w:b w:val="0"/>
        </w:rPr>
        <w:t>14</w:t>
      </w:r>
      <w:r w:rsidRPr="00360B2B">
        <w:t xml:space="preserve">(1), 20–35. </w:t>
      </w:r>
      <w:hyperlink r:id="rId11" w:history="1">
        <w:r w:rsidRPr="00360B2B">
          <w:rPr>
            <w:rStyle w:val="Hyperlink"/>
          </w:rPr>
          <w:t>https://doi.org/10.1080/21550085.2020.1852750</w:t>
        </w:r>
      </w:hyperlink>
    </w:p>
    <w:p w14:paraId="3DFB91EB" w14:textId="77777777" w:rsidR="00342282" w:rsidRPr="00360B2B" w:rsidRDefault="00342282" w:rsidP="00342282">
      <w:pPr>
        <w:pStyle w:val="NormalWeb"/>
        <w:ind w:left="1440" w:hanging="1440"/>
      </w:pPr>
      <w:proofErr w:type="spellStart"/>
      <w:r w:rsidRPr="00360B2B">
        <w:t>Ajaero</w:t>
      </w:r>
      <w:proofErr w:type="spellEnd"/>
      <w:r w:rsidRPr="00360B2B">
        <w:t xml:space="preserve">, C. K., &amp; </w:t>
      </w:r>
      <w:proofErr w:type="spellStart"/>
      <w:r w:rsidRPr="00360B2B">
        <w:t>Onokala</w:t>
      </w:r>
      <w:proofErr w:type="spellEnd"/>
      <w:r w:rsidRPr="00360B2B">
        <w:t xml:space="preserve">, P. C. (2020). Climate change awareness and environmental attitudes among secondary school students in South-Eastern Nigeria. </w:t>
      </w:r>
      <w:r w:rsidRPr="00360B2B">
        <w:rPr>
          <w:rStyle w:val="Emphasis"/>
        </w:rPr>
        <w:t>Environmental Research Journal</w:t>
      </w:r>
      <w:r w:rsidRPr="00360B2B">
        <w:t xml:space="preserve">, 14(1), 20–35. </w:t>
      </w:r>
      <w:hyperlink r:id="rId12" w:history="1">
        <w:r w:rsidRPr="00360B2B">
          <w:rPr>
            <w:rStyle w:val="Hyperlink"/>
          </w:rPr>
          <w:t>https://doi.org/10.1080/21550085.2020.1852750</w:t>
        </w:r>
      </w:hyperlink>
    </w:p>
    <w:p w14:paraId="7719C22E" w14:textId="77777777" w:rsidR="00342282" w:rsidRPr="00360B2B" w:rsidRDefault="00342282" w:rsidP="00342282">
      <w:pPr>
        <w:pStyle w:val="NormalWeb"/>
        <w:ind w:left="1440" w:hanging="1440"/>
      </w:pPr>
      <w:r w:rsidRPr="00360B2B">
        <w:t xml:space="preserve">Alabi, R. A. (2023). Environmental education in Nigeria: Addressing disparities in low-income schools. </w:t>
      </w:r>
      <w:proofErr w:type="spellStart"/>
      <w:r w:rsidRPr="00360B2B">
        <w:rPr>
          <w:rStyle w:val="Emphasis"/>
        </w:rPr>
        <w:t>EduTimes</w:t>
      </w:r>
      <w:proofErr w:type="spellEnd"/>
      <w:r w:rsidRPr="00360B2B">
        <w:rPr>
          <w:rStyle w:val="Emphasis"/>
        </w:rPr>
        <w:t xml:space="preserve"> Africa</w:t>
      </w:r>
      <w:r w:rsidRPr="00360B2B">
        <w:t xml:space="preserve">. </w:t>
      </w:r>
      <w:hyperlink r:id="rId13" w:history="1">
        <w:r w:rsidRPr="00360B2B">
          <w:rPr>
            <w:rStyle w:val="Hyperlink"/>
          </w:rPr>
          <w:t>https://edutimesafrica.com/environmental-education-in-nigeria-addressing-disparities</w:t>
        </w:r>
      </w:hyperlink>
    </w:p>
    <w:p w14:paraId="323B4870" w14:textId="77777777" w:rsidR="00342282" w:rsidRPr="00360B2B" w:rsidRDefault="00342282" w:rsidP="00342282">
      <w:pPr>
        <w:ind w:left="1440" w:hanging="1440"/>
        <w:rPr>
          <w:rFonts w:ascii="Times New Roman" w:hAnsi="Times New Roman" w:cs="Times New Roman"/>
          <w:sz w:val="24"/>
          <w:szCs w:val="24"/>
        </w:rPr>
      </w:pPr>
      <w:r w:rsidRPr="00360B2B">
        <w:rPr>
          <w:rFonts w:ascii="Times New Roman" w:hAnsi="Times New Roman" w:cs="Times New Roman"/>
          <w:sz w:val="24"/>
          <w:szCs w:val="24"/>
        </w:rPr>
        <w:t xml:space="preserve">Bandura, A. (1986). </w:t>
      </w:r>
      <w:r w:rsidRPr="00360B2B">
        <w:rPr>
          <w:rStyle w:val="Emphasis"/>
          <w:rFonts w:ascii="Times New Roman" w:hAnsi="Times New Roman" w:cs="Times New Roman"/>
          <w:sz w:val="24"/>
          <w:szCs w:val="24"/>
        </w:rPr>
        <w:t>Social foundations of thought and action: A social cognitive theory</w:t>
      </w:r>
      <w:r w:rsidRPr="00360B2B">
        <w:rPr>
          <w:rFonts w:ascii="Times New Roman" w:hAnsi="Times New Roman" w:cs="Times New Roman"/>
          <w:sz w:val="24"/>
          <w:szCs w:val="24"/>
        </w:rPr>
        <w:t xml:space="preserve">. Prentice-Hall. </w:t>
      </w:r>
      <w:hyperlink r:id="rId14" w:history="1">
        <w:r w:rsidRPr="00360B2B">
          <w:rPr>
            <w:rStyle w:val="Hyperlink"/>
            <w:rFonts w:ascii="Times New Roman" w:hAnsi="Times New Roman" w:cs="Times New Roman"/>
            <w:sz w:val="24"/>
            <w:szCs w:val="24"/>
          </w:rPr>
          <w:t>https://archive.org/details/socialfoundations00band</w:t>
        </w:r>
      </w:hyperlink>
    </w:p>
    <w:p w14:paraId="2756AF8E" w14:textId="77777777" w:rsidR="00342282" w:rsidRPr="00360B2B" w:rsidRDefault="00342282" w:rsidP="00342282">
      <w:pPr>
        <w:pStyle w:val="NormalWeb"/>
        <w:ind w:left="1440" w:hanging="1440"/>
      </w:pPr>
      <w:r w:rsidRPr="00360B2B">
        <w:t xml:space="preserve">Bandura, A. (1986). </w:t>
      </w:r>
      <w:r w:rsidRPr="00360B2B">
        <w:rPr>
          <w:rStyle w:val="Emphasis"/>
        </w:rPr>
        <w:t>Social foundations of thought and action: A social cognitive theory</w:t>
      </w:r>
      <w:r w:rsidRPr="00360B2B">
        <w:t xml:space="preserve">. Prentice-Hall. </w:t>
      </w:r>
      <w:hyperlink r:id="rId15" w:history="1">
        <w:r w:rsidRPr="00360B2B">
          <w:rPr>
            <w:rStyle w:val="Hyperlink"/>
          </w:rPr>
          <w:t>https://archive.org/details/socialfoundations00band</w:t>
        </w:r>
      </w:hyperlink>
    </w:p>
    <w:p w14:paraId="43999D46" w14:textId="77777777" w:rsidR="00342282" w:rsidRPr="00360B2B" w:rsidRDefault="00342282" w:rsidP="00342282">
      <w:pPr>
        <w:pStyle w:val="NormalWeb"/>
        <w:ind w:left="1440" w:hanging="1440"/>
      </w:pPr>
      <w:r w:rsidRPr="00360B2B">
        <w:t xml:space="preserve">Chowdhury, A., &amp; Saha, S. (2023). </w:t>
      </w:r>
      <w:r w:rsidRPr="00360B2B">
        <w:rPr>
          <w:rStyle w:val="Emphasis"/>
        </w:rPr>
        <w:t>Artificial Intelligence in education: Trends, challenges and ethical considerations</w:t>
      </w:r>
      <w:r w:rsidRPr="00360B2B">
        <w:t xml:space="preserve">. Journal of Educational Technology Development and Exchange, </w:t>
      </w:r>
      <w:r w:rsidRPr="00360B2B">
        <w:rPr>
          <w:rStyle w:val="Strong"/>
          <w:b w:val="0"/>
        </w:rPr>
        <w:t>16</w:t>
      </w:r>
      <w:r w:rsidRPr="00360B2B">
        <w:rPr>
          <w:b/>
        </w:rPr>
        <w:t>(</w:t>
      </w:r>
      <w:r w:rsidRPr="00360B2B">
        <w:t xml:space="preserve">1), 1-17. </w:t>
      </w:r>
      <w:hyperlink r:id="rId16" w:history="1">
        <w:r w:rsidRPr="00360B2B">
          <w:rPr>
            <w:rStyle w:val="Hyperlink"/>
          </w:rPr>
          <w:t>https://doi.org/10.18785/jetde.1601.01</w:t>
        </w:r>
      </w:hyperlink>
    </w:p>
    <w:p w14:paraId="7733533A" w14:textId="77777777" w:rsidR="00342282" w:rsidRPr="00360B2B" w:rsidRDefault="00342282" w:rsidP="00342282">
      <w:pPr>
        <w:pStyle w:val="NormalWeb"/>
        <w:ind w:left="1440" w:hanging="1440"/>
      </w:pPr>
      <w:r w:rsidRPr="00360B2B">
        <w:t xml:space="preserve">Federal Ministry of Environment. (2021). </w:t>
      </w:r>
      <w:r w:rsidRPr="00360B2B">
        <w:rPr>
          <w:rStyle w:val="Emphasis"/>
        </w:rPr>
        <w:t>National Climate Change Policy for Nigeria (2021–2030)</w:t>
      </w:r>
      <w:r w:rsidRPr="00360B2B">
        <w:t xml:space="preserve">. Retrieved from </w:t>
      </w:r>
      <w:hyperlink r:id="rId17" w:history="1">
        <w:r w:rsidRPr="00360B2B">
          <w:rPr>
            <w:rStyle w:val="Hyperlink"/>
          </w:rPr>
          <w:t>https://climatechange.gov.ng/national-climate-change-policy-2021/</w:t>
        </w:r>
      </w:hyperlink>
    </w:p>
    <w:p w14:paraId="070CDF3F" w14:textId="77777777" w:rsidR="00342282" w:rsidRPr="00360B2B" w:rsidRDefault="00342282" w:rsidP="00342282">
      <w:pPr>
        <w:pStyle w:val="NormalWeb"/>
        <w:ind w:left="1440" w:hanging="1440"/>
      </w:pPr>
      <w:r w:rsidRPr="00360B2B">
        <w:t xml:space="preserve">IPCC. (2023). </w:t>
      </w:r>
      <w:r w:rsidRPr="00360B2B">
        <w:rPr>
          <w:rStyle w:val="Emphasis"/>
        </w:rPr>
        <w:t>Climate Change 2023: Synthesis Report</w:t>
      </w:r>
      <w:r w:rsidRPr="00360B2B">
        <w:t xml:space="preserve">. Intergovernmental Panel on Climate Change. </w:t>
      </w:r>
      <w:hyperlink r:id="rId18" w:history="1">
        <w:r w:rsidRPr="00360B2B">
          <w:rPr>
            <w:rStyle w:val="Hyperlink"/>
          </w:rPr>
          <w:t>https://www.ipcc.ch/report/sixth-assessment-report-cycle/</w:t>
        </w:r>
      </w:hyperlink>
    </w:p>
    <w:p w14:paraId="13DD1B14" w14:textId="77777777" w:rsidR="00342282" w:rsidRPr="00360B2B" w:rsidRDefault="00342282" w:rsidP="00342282">
      <w:pPr>
        <w:pStyle w:val="NormalWeb"/>
        <w:ind w:left="1440" w:hanging="1440"/>
      </w:pPr>
      <w:r w:rsidRPr="00360B2B">
        <w:t xml:space="preserve">Kolb, D. A. (1984). </w:t>
      </w:r>
      <w:r w:rsidRPr="00360B2B">
        <w:rPr>
          <w:rStyle w:val="Emphasis"/>
        </w:rPr>
        <w:t>Experiential Learning: Experience as the Source of Learning and Development</w:t>
      </w:r>
      <w:r w:rsidRPr="00360B2B">
        <w:t xml:space="preserve">. Prentice-Hall. </w:t>
      </w:r>
      <w:hyperlink r:id="rId19" w:tgtFrame="_new" w:history="1">
        <w:r w:rsidRPr="00360B2B">
          <w:rPr>
            <w:rStyle w:val="Hyperlink"/>
          </w:rPr>
          <w:t>https://www.researchgate.net/publication/235701029</w:t>
        </w:r>
      </w:hyperlink>
    </w:p>
    <w:p w14:paraId="246481AB" w14:textId="77777777" w:rsidR="00342282" w:rsidRPr="00360B2B" w:rsidRDefault="00342282" w:rsidP="00342282">
      <w:pPr>
        <w:pStyle w:val="NormalWeb"/>
        <w:ind w:left="1440" w:hanging="1440"/>
      </w:pPr>
      <w:r w:rsidRPr="00360B2B">
        <w:t xml:space="preserve">Lim, K. Y., et al. (2024). Design for environmental empathy: Integrating sensors and generative AI for sustainability education. </w:t>
      </w:r>
      <w:proofErr w:type="spellStart"/>
      <w:r w:rsidRPr="00360B2B">
        <w:rPr>
          <w:rStyle w:val="Emphasis"/>
        </w:rPr>
        <w:t>arXiv</w:t>
      </w:r>
      <w:proofErr w:type="spellEnd"/>
      <w:r w:rsidRPr="00360B2B">
        <w:rPr>
          <w:rStyle w:val="Emphasis"/>
        </w:rPr>
        <w:t xml:space="preserve"> Preprint</w:t>
      </w:r>
      <w:r w:rsidRPr="00360B2B">
        <w:t xml:space="preserve">. </w:t>
      </w:r>
      <w:hyperlink r:id="rId20" w:tgtFrame="_new" w:history="1">
        <w:r w:rsidRPr="00360B2B">
          <w:rPr>
            <w:rStyle w:val="Hyperlink"/>
          </w:rPr>
          <w:t>https://arxiv.org/abs/2408.15906</w:t>
        </w:r>
      </w:hyperlink>
    </w:p>
    <w:p w14:paraId="3ECF47D3" w14:textId="77777777" w:rsidR="00342282" w:rsidRPr="00360B2B" w:rsidRDefault="00342282" w:rsidP="00342282">
      <w:pPr>
        <w:pStyle w:val="NormalWeb"/>
        <w:ind w:left="1440" w:hanging="1440"/>
      </w:pPr>
      <w:proofErr w:type="spellStart"/>
      <w:r w:rsidRPr="00360B2B">
        <w:lastRenderedPageBreak/>
        <w:t>Luckin</w:t>
      </w:r>
      <w:proofErr w:type="spellEnd"/>
      <w:r w:rsidRPr="00360B2B">
        <w:t xml:space="preserve">, R., Holmes, W., Griffiths, M., &amp; Forcier, L. B. (2016). </w:t>
      </w:r>
      <w:r w:rsidRPr="00360B2B">
        <w:rPr>
          <w:rStyle w:val="Emphasis"/>
        </w:rPr>
        <w:t>Intelligence unleashed: An argument for AI in education</w:t>
      </w:r>
      <w:r w:rsidRPr="00360B2B">
        <w:t xml:space="preserve">. Pearson Education. </w:t>
      </w:r>
      <w:hyperlink r:id="rId21" w:history="1">
        <w:r w:rsidRPr="00360B2B">
          <w:rPr>
            <w:rStyle w:val="Hyperlink"/>
          </w:rPr>
          <w:t>https://www.pearson.com/en-us/news-and-research/working-and-learning-online/artificial-intelligence-in-education.html</w:t>
        </w:r>
      </w:hyperlink>
    </w:p>
    <w:p w14:paraId="3103472A" w14:textId="77777777" w:rsidR="00342282" w:rsidRPr="00360B2B" w:rsidRDefault="00342282" w:rsidP="00342282">
      <w:pPr>
        <w:pStyle w:val="NormalWeb"/>
        <w:ind w:left="1440" w:hanging="1440"/>
      </w:pPr>
      <w:proofErr w:type="spellStart"/>
      <w:r w:rsidRPr="00360B2B">
        <w:t>Nja</w:t>
      </w:r>
      <w:proofErr w:type="spellEnd"/>
      <w:r w:rsidRPr="00360B2B">
        <w:t xml:space="preserve">, M. E., et al. (2023). Nigerian science teachers’ perspectives on AI integration. </w:t>
      </w:r>
      <w:r w:rsidRPr="00360B2B">
        <w:rPr>
          <w:rStyle w:val="Emphasis"/>
        </w:rPr>
        <w:t>Smart Learning Environments</w:t>
      </w:r>
      <w:r w:rsidRPr="00360B2B">
        <w:t xml:space="preserve">, 10(1), 11–25. </w:t>
      </w:r>
      <w:hyperlink r:id="rId22" w:tgtFrame="_new" w:history="1">
        <w:r w:rsidRPr="00360B2B">
          <w:rPr>
            <w:rStyle w:val="Hyperlink"/>
          </w:rPr>
          <w:t>https://link.springer.com/article/10.1186/s40561-023-00261-x</w:t>
        </w:r>
      </w:hyperlink>
    </w:p>
    <w:p w14:paraId="65CDE41B" w14:textId="77777777" w:rsidR="00342282" w:rsidRPr="00360B2B" w:rsidRDefault="00342282" w:rsidP="00342282">
      <w:pPr>
        <w:pStyle w:val="NormalWeb"/>
        <w:ind w:left="1440" w:hanging="1440"/>
      </w:pPr>
      <w:r w:rsidRPr="00360B2B">
        <w:t xml:space="preserve">Nwankwo, L. C., Eze, A. A., &amp; Ugwuanyi, M. N. (2022). Climate change education and youth resilience in Nigeria: Bridging the gap in secondary school curricula. </w:t>
      </w:r>
      <w:r w:rsidRPr="00360B2B">
        <w:rPr>
          <w:rStyle w:val="Emphasis"/>
        </w:rPr>
        <w:t>Journal of Environmental Education in Africa</w:t>
      </w:r>
      <w:r w:rsidRPr="00360B2B">
        <w:t xml:space="preserve">, </w:t>
      </w:r>
      <w:r w:rsidRPr="00360B2B">
        <w:rPr>
          <w:rStyle w:val="Strong"/>
          <w:b w:val="0"/>
        </w:rPr>
        <w:t>8</w:t>
      </w:r>
      <w:r w:rsidRPr="00360B2B">
        <w:t xml:space="preserve">(1), 32–49. </w:t>
      </w:r>
      <w:hyperlink r:id="rId23" w:history="1">
        <w:r w:rsidRPr="00360B2B">
          <w:rPr>
            <w:rStyle w:val="Hyperlink"/>
          </w:rPr>
          <w:t>https://doi.org/10.13140/RG.2.2.31876.60801</w:t>
        </w:r>
      </w:hyperlink>
    </w:p>
    <w:p w14:paraId="26B4D573" w14:textId="77777777" w:rsidR="00342282" w:rsidRPr="00360B2B" w:rsidRDefault="00342282" w:rsidP="00342282">
      <w:pPr>
        <w:pStyle w:val="NormalWeb"/>
        <w:ind w:left="1440" w:hanging="1440"/>
      </w:pPr>
      <w:r w:rsidRPr="00360B2B">
        <w:t xml:space="preserve">Ofoegbu, F. I., Okolie, T. C., &amp; Uche, C. A. (2021). Environmental education and awareness creation for sustainable development in Nigeria. </w:t>
      </w:r>
      <w:r w:rsidRPr="00360B2B">
        <w:rPr>
          <w:rStyle w:val="Emphasis"/>
        </w:rPr>
        <w:t>African Research Review</w:t>
      </w:r>
      <w:r w:rsidRPr="00360B2B">
        <w:t xml:space="preserve">, </w:t>
      </w:r>
      <w:r w:rsidRPr="00360B2B">
        <w:rPr>
          <w:rStyle w:val="Strong"/>
        </w:rPr>
        <w:t>15</w:t>
      </w:r>
      <w:r w:rsidRPr="00360B2B">
        <w:t xml:space="preserve">(3), 12–25. </w:t>
      </w:r>
      <w:hyperlink r:id="rId24" w:history="1">
        <w:r w:rsidRPr="00360B2B">
          <w:rPr>
            <w:rStyle w:val="Hyperlink"/>
          </w:rPr>
          <w:t>https://doi.org/10.4314/afrrev.v15i3.2</w:t>
        </w:r>
      </w:hyperlink>
    </w:p>
    <w:p w14:paraId="026D5700" w14:textId="77777777" w:rsidR="00342282" w:rsidRPr="00360B2B" w:rsidRDefault="00342282" w:rsidP="00342282">
      <w:pPr>
        <w:pStyle w:val="NormalWeb"/>
        <w:ind w:left="1440" w:hanging="1440"/>
      </w:pPr>
      <w:proofErr w:type="spellStart"/>
      <w:r w:rsidRPr="00360B2B">
        <w:t>Oguejiofor</w:t>
      </w:r>
      <w:proofErr w:type="spellEnd"/>
      <w:r w:rsidRPr="00360B2B">
        <w:t xml:space="preserve">, K. O., Okwu, M. O., &amp; </w:t>
      </w:r>
      <w:proofErr w:type="spellStart"/>
      <w:r w:rsidRPr="00360B2B">
        <w:t>Mgbemena</w:t>
      </w:r>
      <w:proofErr w:type="spellEnd"/>
      <w:r w:rsidRPr="00360B2B">
        <w:t xml:space="preserve">, C. E. (2025). Climate change awareness and adaptation among secondary school students in </w:t>
      </w:r>
      <w:proofErr w:type="spellStart"/>
      <w:r w:rsidRPr="00360B2B">
        <w:t>Ogbaru</w:t>
      </w:r>
      <w:proofErr w:type="spellEnd"/>
      <w:r w:rsidRPr="00360B2B">
        <w:t xml:space="preserve"> LGA. </w:t>
      </w:r>
      <w:r w:rsidRPr="00360B2B">
        <w:rPr>
          <w:rStyle w:val="Emphasis"/>
        </w:rPr>
        <w:t>European Scientific Journal</w:t>
      </w:r>
      <w:r w:rsidRPr="00360B2B">
        <w:t xml:space="preserve">, 21(1), 101–115. </w:t>
      </w:r>
      <w:hyperlink r:id="rId25" w:history="1">
        <w:r w:rsidRPr="00360B2B">
          <w:rPr>
            <w:rStyle w:val="Hyperlink"/>
          </w:rPr>
          <w:t>https://eujournal.org/index.php/esj/article/view/19590</w:t>
        </w:r>
      </w:hyperlink>
    </w:p>
    <w:p w14:paraId="37AF53A6" w14:textId="77777777" w:rsidR="00342282" w:rsidRPr="00360B2B" w:rsidRDefault="00342282" w:rsidP="00342282">
      <w:pPr>
        <w:pStyle w:val="NormalWeb"/>
        <w:ind w:left="1440" w:hanging="1440"/>
      </w:pPr>
      <w:r w:rsidRPr="00360B2B">
        <w:t xml:space="preserve">Okonkwo, C. O., &amp; Nwafor, C. O. (2022). Erosion menace and the urgency of environmental literacy in Anambra State, Nigeria. </w:t>
      </w:r>
      <w:r w:rsidRPr="00360B2B">
        <w:rPr>
          <w:rStyle w:val="Emphasis"/>
        </w:rPr>
        <w:t>Journal of Environmental Sustainability and Climate Change</w:t>
      </w:r>
      <w:r w:rsidRPr="00360B2B">
        <w:t xml:space="preserve">, </w:t>
      </w:r>
      <w:r w:rsidRPr="00360B2B">
        <w:rPr>
          <w:rStyle w:val="Strong"/>
        </w:rPr>
        <w:t>6</w:t>
      </w:r>
      <w:r w:rsidRPr="00360B2B">
        <w:t xml:space="preserve">(1), 54–67. </w:t>
      </w:r>
      <w:hyperlink r:id="rId26" w:history="1">
        <w:r w:rsidRPr="00360B2B">
          <w:rPr>
            <w:rStyle w:val="Hyperlink"/>
          </w:rPr>
          <w:t>https://doi.org/10.13140/RG.2.2.28115.81445</w:t>
        </w:r>
      </w:hyperlink>
    </w:p>
    <w:p w14:paraId="5C28C712" w14:textId="77777777" w:rsidR="00342282" w:rsidRPr="00360B2B" w:rsidRDefault="00342282" w:rsidP="00342282">
      <w:pPr>
        <w:pStyle w:val="NormalWeb"/>
        <w:ind w:left="1440" w:hanging="1440"/>
      </w:pPr>
      <w:r w:rsidRPr="00360B2B">
        <w:t xml:space="preserve">Okoroafor, A. E., &amp; Ugwu, C. I. (2021). Education technology adoption in Nigerian public schools: Constraints and potential. </w:t>
      </w:r>
      <w:r w:rsidRPr="00360B2B">
        <w:rPr>
          <w:rStyle w:val="Emphasis"/>
        </w:rPr>
        <w:t>Journal of Learning Technology</w:t>
      </w:r>
      <w:r w:rsidRPr="00360B2B">
        <w:t>, 5(4), 47–58.</w:t>
      </w:r>
    </w:p>
    <w:p w14:paraId="2369DE20" w14:textId="77777777" w:rsidR="00342282" w:rsidRPr="00360B2B" w:rsidRDefault="00342282" w:rsidP="00342282">
      <w:pPr>
        <w:pStyle w:val="NormalWeb"/>
        <w:ind w:left="1440" w:hanging="1440"/>
      </w:pPr>
      <w:r w:rsidRPr="00360B2B">
        <w:t xml:space="preserve">Okoye, P., &amp; Mante, A. (2024). AI and STEM transformation in Nigerian education. </w:t>
      </w:r>
      <w:r w:rsidRPr="00360B2B">
        <w:rPr>
          <w:rStyle w:val="Emphasis"/>
        </w:rPr>
        <w:t>International Journal of Research and Innovation in Social Science</w:t>
      </w:r>
      <w:r w:rsidRPr="00360B2B">
        <w:t xml:space="preserve">, 8(3), 88–96. </w:t>
      </w:r>
      <w:hyperlink r:id="rId27" w:history="1">
        <w:r w:rsidRPr="00360B2B">
          <w:rPr>
            <w:rStyle w:val="Hyperlink"/>
          </w:rPr>
          <w:t>https://rsisinternational.org/journals/ijriss/articles/the-nexus-between-artificial-intelligence-and-stem-education-transformation-in-nigeria</w:t>
        </w:r>
      </w:hyperlink>
      <w:r w:rsidR="009F0343">
        <w:t>/</w:t>
      </w:r>
    </w:p>
    <w:p w14:paraId="2F7B2A46" w14:textId="77777777" w:rsidR="00342282" w:rsidRDefault="00342282" w:rsidP="00342282">
      <w:pPr>
        <w:pStyle w:val="NormalWeb"/>
        <w:ind w:left="1440" w:hanging="1440"/>
      </w:pPr>
    </w:p>
    <w:p w14:paraId="23117F32" w14:textId="77777777" w:rsidR="00342282" w:rsidRDefault="00342282" w:rsidP="00342282">
      <w:pPr>
        <w:pStyle w:val="NormalWeb"/>
        <w:ind w:left="1440" w:hanging="1440"/>
      </w:pPr>
      <w:proofErr w:type="spellStart"/>
      <w:r w:rsidRPr="00360B2B">
        <w:t>Olasehinde</w:t>
      </w:r>
      <w:proofErr w:type="spellEnd"/>
      <w:r w:rsidRPr="00360B2B">
        <w:t xml:space="preserve">-Williams, G. O., &amp; Balogun, T. A. (2020). Climate change awareness and environmental attitudes among secondary school students in Nigeria. </w:t>
      </w:r>
      <w:r w:rsidRPr="00360B2B">
        <w:rPr>
          <w:rStyle w:val="Emphasis"/>
        </w:rPr>
        <w:t>International Journal of Environmental and Science Education</w:t>
      </w:r>
      <w:r w:rsidRPr="00360B2B">
        <w:t xml:space="preserve">, 15(1), 1–13. </w:t>
      </w:r>
      <w:hyperlink r:id="rId28" w:history="1">
        <w:r w:rsidRPr="00C62B7C">
          <w:rPr>
            <w:rStyle w:val="Hyperlink"/>
          </w:rPr>
          <w:t>https://files.eric.ed.gov/fulltext/EJ1252229.pdf</w:t>
        </w:r>
      </w:hyperlink>
    </w:p>
    <w:p w14:paraId="71496ABE" w14:textId="77777777" w:rsidR="00342282" w:rsidRPr="00360B2B" w:rsidRDefault="00342282" w:rsidP="00342282">
      <w:pPr>
        <w:pStyle w:val="NormalWeb"/>
        <w:ind w:left="1440" w:hanging="1440"/>
      </w:pPr>
      <w:r w:rsidRPr="00360B2B">
        <w:t xml:space="preserve">UNESCO. (2022). </w:t>
      </w:r>
      <w:r w:rsidRPr="00360B2B">
        <w:rPr>
          <w:rStyle w:val="Emphasis"/>
        </w:rPr>
        <w:t>Reimagining our futures together: A new social contract for education</w:t>
      </w:r>
      <w:r w:rsidRPr="00360B2B">
        <w:t xml:space="preserve">. </w:t>
      </w:r>
      <w:hyperlink r:id="rId29" w:tgtFrame="_new" w:history="1">
        <w:r w:rsidRPr="00360B2B">
          <w:rPr>
            <w:rStyle w:val="Hyperlink"/>
          </w:rPr>
          <w:t>https://unesdoc.unesco.org/ark:/48223/pf0000379707</w:t>
        </w:r>
      </w:hyperlink>
    </w:p>
    <w:p w14:paraId="2890E31A" w14:textId="77777777" w:rsidR="00342282" w:rsidRPr="00360B2B" w:rsidRDefault="00342282" w:rsidP="00342282">
      <w:pPr>
        <w:pStyle w:val="NormalWeb"/>
        <w:ind w:left="1440" w:hanging="1440"/>
      </w:pPr>
      <w:r w:rsidRPr="00360B2B">
        <w:t xml:space="preserve">UNESCO. (2023). </w:t>
      </w:r>
      <w:r w:rsidRPr="00360B2B">
        <w:rPr>
          <w:rStyle w:val="Emphasis"/>
        </w:rPr>
        <w:t>AI and Education: Guidance for policymakers</w:t>
      </w:r>
      <w:r w:rsidRPr="00360B2B">
        <w:t xml:space="preserve">. </w:t>
      </w:r>
      <w:hyperlink r:id="rId30" w:tgtFrame="_new" w:history="1">
        <w:r w:rsidRPr="00360B2B">
          <w:rPr>
            <w:rStyle w:val="Hyperlink"/>
          </w:rPr>
          <w:t>https://unesdoc.unesco.org/ark:/48223/pf0000381941</w:t>
        </w:r>
      </w:hyperlink>
    </w:p>
    <w:p w14:paraId="59651B75" w14:textId="77777777" w:rsidR="00342282" w:rsidRDefault="004F74AD" w:rsidP="00342282">
      <w:pPr>
        <w:pStyle w:val="NormalWeb"/>
        <w:ind w:left="1440" w:hanging="1440"/>
      </w:pPr>
      <w:r>
        <w:lastRenderedPageBreak/>
        <w:t xml:space="preserve">NVivo. (2022). </w:t>
      </w:r>
      <w:r>
        <w:rPr>
          <w:rStyle w:val="Emphasis"/>
        </w:rPr>
        <w:t>NVivo 14 user guide and support</w:t>
      </w:r>
      <w:r>
        <w:t>. QSR International.</w:t>
      </w:r>
      <w:r>
        <w:br/>
      </w:r>
      <w:hyperlink r:id="rId31" w:history="1">
        <w:r w:rsidR="009F0343" w:rsidRPr="00C62B7C">
          <w:rPr>
            <w:rStyle w:val="Hyperlink"/>
          </w:rPr>
          <w:t>https://www.qsrinternational.com/nvivo-14-help</w:t>
        </w:r>
      </w:hyperlink>
    </w:p>
    <w:p w14:paraId="16DB4E7E" w14:textId="77777777" w:rsidR="009F0343" w:rsidRPr="00360B2B" w:rsidRDefault="009F0343" w:rsidP="00342282">
      <w:pPr>
        <w:pStyle w:val="NormalWeb"/>
        <w:ind w:left="1440" w:hanging="1440"/>
      </w:pPr>
      <w:r>
        <w:t xml:space="preserve">Yamane, T. (1967). </w:t>
      </w:r>
      <w:r>
        <w:rPr>
          <w:rStyle w:val="Emphasis"/>
        </w:rPr>
        <w:t>Statistics: An introductory analysis</w:t>
      </w:r>
      <w:r>
        <w:t xml:space="preserve"> (2nd ed.). New York: Harper &amp; Row.</w:t>
      </w:r>
    </w:p>
    <w:p w14:paraId="765EFC54" w14:textId="77777777" w:rsidR="00D51214" w:rsidRDefault="0068520C" w:rsidP="00D51214">
      <w:pPr>
        <w:pStyle w:val="NormalWeb"/>
      </w:pPr>
      <w:r>
        <w:rPr>
          <w:rStyle w:val="relative"/>
        </w:rPr>
        <w:t xml:space="preserve">YCharts. (2024). </w:t>
      </w:r>
      <w:r>
        <w:rPr>
          <w:rStyle w:val="Emphasis"/>
        </w:rPr>
        <w:t>Nigeria Secondary Education Enrollment (World Bank data): 13.95 million in 2021</w:t>
      </w:r>
      <w:r>
        <w:rPr>
          <w:rStyle w:val="relative"/>
        </w:rPr>
        <w:t>.</w:t>
      </w:r>
      <w:hyperlink r:id="rId32" w:history="1">
        <w:r w:rsidR="00FA6BD5" w:rsidRPr="00FA6BD5">
          <w:rPr>
            <w:rStyle w:val="Hyperlink"/>
            <w:u w:val="none"/>
          </w:rPr>
          <w:t>World Bank Development Indicators</w:t>
        </w:r>
      </w:hyperlink>
    </w:p>
    <w:p w14:paraId="35032A70" w14:textId="77777777" w:rsidR="00FA6BD5" w:rsidRPr="00FA6BD5" w:rsidRDefault="00FA6BD5" w:rsidP="00D51214">
      <w:pPr>
        <w:pStyle w:val="NormalWeb"/>
      </w:pPr>
      <w:r>
        <w:rPr>
          <w:rStyle w:val="relative"/>
        </w:rPr>
        <w:t xml:space="preserve">World Bank via NSSEC. (2021). </w:t>
      </w:r>
      <w:r>
        <w:rPr>
          <w:rStyle w:val="Emphasis"/>
        </w:rPr>
        <w:t>Total secondary school enrollment in Nigeria: 13.95 million</w:t>
      </w:r>
      <w:r>
        <w:rPr>
          <w:rStyle w:val="relative"/>
        </w:rPr>
        <w:t>.</w:t>
      </w:r>
      <w:r w:rsidRPr="00FA6BD5">
        <w:t xml:space="preserve"> </w:t>
      </w:r>
      <w:hyperlink r:id="rId33" w:history="1">
        <w:r w:rsidRPr="00FA6BD5">
          <w:rPr>
            <w:rStyle w:val="Hyperlink"/>
            <w:u w:val="none"/>
          </w:rPr>
          <w:t>World Bank Development Indicators</w:t>
        </w:r>
      </w:hyperlink>
    </w:p>
    <w:p w14:paraId="557FD158" w14:textId="77777777" w:rsidR="00577259" w:rsidRPr="00577259" w:rsidRDefault="00FA6BD5" w:rsidP="00577259">
      <w:pPr>
        <w:ind w:left="720" w:hanging="720"/>
        <w:rPr>
          <w:rFonts w:ascii="Times New Roman" w:hAnsi="Times New Roman" w:cs="Times New Roman"/>
          <w:sz w:val="24"/>
          <w:szCs w:val="24"/>
        </w:rPr>
      </w:pPr>
      <w:r>
        <w:rPr>
          <w:rStyle w:val="relative"/>
        </w:rPr>
        <w:t>NSSEC. (2025).</w:t>
      </w:r>
      <w:r w:rsidRPr="00FA6BD5">
        <w:rPr>
          <w:rStyle w:val="relative"/>
        </w:rPr>
        <w:t xml:space="preserve"> </w:t>
      </w:r>
      <w:r w:rsidRPr="00FA6BD5">
        <w:rPr>
          <w:rStyle w:val="Strong"/>
        </w:rPr>
        <w:t>Nigeria – Secondary Education, Pupils</w:t>
      </w:r>
      <w:r>
        <w:rPr>
          <w:rStyle w:val="relative"/>
        </w:rPr>
        <w:t>. Retrieved from Nigeria’s NSSEC site.</w:t>
      </w:r>
      <w:r>
        <w:t xml:space="preserve"> </w:t>
      </w:r>
      <w:hyperlink r:id="rId34" w:tgtFrame="_blank" w:history="1">
        <w:r>
          <w:rPr>
            <w:rStyle w:val="max-w-full"/>
            <w:color w:val="0000FF"/>
            <w:u w:val="single"/>
          </w:rPr>
          <w:t>nssec.gov.ng</w:t>
        </w:r>
        <w:r>
          <w:rPr>
            <w:rStyle w:val="-me-1"/>
            <w:color w:val="0000FF"/>
            <w:u w:val="single"/>
          </w:rPr>
          <w:t>+1</w:t>
        </w:r>
      </w:hyperlink>
    </w:p>
    <w:sectPr w:rsidR="00577259" w:rsidRPr="00577259" w:rsidSect="0020127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8-03T23:45:00Z" w:initials="u">
    <w:p w14:paraId="355986FB" w14:textId="29B36509" w:rsidR="00D34E94" w:rsidRDefault="00D34E94">
      <w:pPr>
        <w:pStyle w:val="CommentText"/>
      </w:pPr>
      <w:r>
        <w:rPr>
          <w:rStyle w:val="CommentReference"/>
        </w:rPr>
        <w:annotationRef/>
      </w:r>
      <w:r>
        <w:t xml:space="preserve">I suggest elaboration if possible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565E2" w14:textId="77777777" w:rsidR="00FF20E3" w:rsidRDefault="00FF20E3" w:rsidP="00A64FEC">
      <w:pPr>
        <w:spacing w:after="0" w:line="240" w:lineRule="auto"/>
      </w:pPr>
      <w:r>
        <w:separator/>
      </w:r>
    </w:p>
  </w:endnote>
  <w:endnote w:type="continuationSeparator" w:id="0">
    <w:p w14:paraId="1A535CEF" w14:textId="77777777" w:rsidR="00FF20E3" w:rsidRDefault="00FF20E3" w:rsidP="00A6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0A72A" w14:textId="77777777" w:rsidR="00C204AD" w:rsidRDefault="00C204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932"/>
      <w:docPartObj>
        <w:docPartGallery w:val="Page Numbers (Bottom of Page)"/>
        <w:docPartUnique/>
      </w:docPartObj>
    </w:sdtPr>
    <w:sdtEndPr/>
    <w:sdtContent>
      <w:p w14:paraId="51D329A2" w14:textId="77777777" w:rsidR="00A64FEC" w:rsidRDefault="00C948E4">
        <w:pPr>
          <w:pStyle w:val="Footer"/>
          <w:jc w:val="center"/>
        </w:pPr>
        <w:r>
          <w:fldChar w:fldCharType="begin"/>
        </w:r>
        <w:r>
          <w:instrText xml:space="preserve"> PAGE   \* MERGEFORMAT </w:instrText>
        </w:r>
        <w:r>
          <w:fldChar w:fldCharType="separate"/>
        </w:r>
        <w:r w:rsidR="00D34E94">
          <w:rPr>
            <w:noProof/>
          </w:rPr>
          <w:t>23</w:t>
        </w:r>
        <w:r>
          <w:rPr>
            <w:noProof/>
          </w:rPr>
          <w:fldChar w:fldCharType="end"/>
        </w:r>
      </w:p>
    </w:sdtContent>
  </w:sdt>
  <w:p w14:paraId="2CF11EA5" w14:textId="77777777" w:rsidR="00A64FEC" w:rsidRDefault="00A64F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2BEF6" w14:textId="77777777" w:rsidR="00C204AD" w:rsidRDefault="00C20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503DB" w14:textId="77777777" w:rsidR="00FF20E3" w:rsidRDefault="00FF20E3" w:rsidP="00A64FEC">
      <w:pPr>
        <w:spacing w:after="0" w:line="240" w:lineRule="auto"/>
      </w:pPr>
      <w:r>
        <w:separator/>
      </w:r>
    </w:p>
  </w:footnote>
  <w:footnote w:type="continuationSeparator" w:id="0">
    <w:p w14:paraId="33443897" w14:textId="77777777" w:rsidR="00FF20E3" w:rsidRDefault="00FF20E3" w:rsidP="00A6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E2378" w14:textId="6190E1D5" w:rsidR="00C204AD" w:rsidRDefault="00FF20E3">
    <w:pPr>
      <w:pStyle w:val="Header"/>
    </w:pPr>
    <w:r>
      <w:rPr>
        <w:noProof/>
      </w:rPr>
      <w:pict w14:anchorId="7328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8F718" w14:textId="1CD75DDC" w:rsidR="00C204AD" w:rsidRDefault="00FF20E3">
    <w:pPr>
      <w:pStyle w:val="Header"/>
    </w:pPr>
    <w:r>
      <w:rPr>
        <w:noProof/>
      </w:rPr>
      <w:pict w14:anchorId="7783F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002A3" w14:textId="6A7D18F0" w:rsidR="00C204AD" w:rsidRDefault="00FF20E3">
    <w:pPr>
      <w:pStyle w:val="Header"/>
    </w:pPr>
    <w:r>
      <w:rPr>
        <w:noProof/>
      </w:rPr>
      <w:pict w14:anchorId="28128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13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85A"/>
    <w:multiLevelType w:val="multilevel"/>
    <w:tmpl w:val="846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37EB8"/>
    <w:multiLevelType w:val="multilevel"/>
    <w:tmpl w:val="3B6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F0080"/>
    <w:multiLevelType w:val="multilevel"/>
    <w:tmpl w:val="ACD6F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03113"/>
    <w:multiLevelType w:val="multilevel"/>
    <w:tmpl w:val="D89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53EEE"/>
    <w:multiLevelType w:val="multilevel"/>
    <w:tmpl w:val="E27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91056"/>
    <w:multiLevelType w:val="multilevel"/>
    <w:tmpl w:val="EB2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D3FC9"/>
    <w:multiLevelType w:val="multilevel"/>
    <w:tmpl w:val="8854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46768"/>
    <w:multiLevelType w:val="multilevel"/>
    <w:tmpl w:val="E350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5E6386"/>
    <w:multiLevelType w:val="multilevel"/>
    <w:tmpl w:val="D55A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02007B"/>
    <w:multiLevelType w:val="multilevel"/>
    <w:tmpl w:val="16E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8186451"/>
    <w:multiLevelType w:val="multilevel"/>
    <w:tmpl w:val="6624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0458D"/>
    <w:multiLevelType w:val="multilevel"/>
    <w:tmpl w:val="0E24C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F520CA"/>
    <w:multiLevelType w:val="multilevel"/>
    <w:tmpl w:val="163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4357C6"/>
    <w:multiLevelType w:val="multilevel"/>
    <w:tmpl w:val="39A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965A50"/>
    <w:multiLevelType w:val="multilevel"/>
    <w:tmpl w:val="FA60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071AAF"/>
    <w:multiLevelType w:val="multilevel"/>
    <w:tmpl w:val="C25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15"/>
  </w:num>
  <w:num w:numId="5">
    <w:abstractNumId w:val="11"/>
  </w:num>
  <w:num w:numId="6">
    <w:abstractNumId w:val="0"/>
  </w:num>
  <w:num w:numId="7">
    <w:abstractNumId w:val="2"/>
  </w:num>
  <w:num w:numId="8">
    <w:abstractNumId w:val="5"/>
  </w:num>
  <w:num w:numId="9">
    <w:abstractNumId w:val="3"/>
  </w:num>
  <w:num w:numId="10">
    <w:abstractNumId w:val="6"/>
  </w:num>
  <w:num w:numId="11">
    <w:abstractNumId w:val="10"/>
  </w:num>
  <w:num w:numId="12">
    <w:abstractNumId w:val="14"/>
  </w:num>
  <w:num w:numId="13">
    <w:abstractNumId w:val="13"/>
  </w:num>
  <w:num w:numId="14">
    <w:abstractNumId w:val="12"/>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tDAxNDUztzS1NAQiIyUdpeDU4uLM/DyQAsNaADn6vuQsAAAA"/>
  </w:docVars>
  <w:rsids>
    <w:rsidRoot w:val="00A64FEC"/>
    <w:rsid w:val="00055BD6"/>
    <w:rsid w:val="000F77E5"/>
    <w:rsid w:val="001B55A3"/>
    <w:rsid w:val="0020127C"/>
    <w:rsid w:val="00342282"/>
    <w:rsid w:val="00360B2B"/>
    <w:rsid w:val="003B6163"/>
    <w:rsid w:val="00415CE1"/>
    <w:rsid w:val="00460FBD"/>
    <w:rsid w:val="004F0BCF"/>
    <w:rsid w:val="004F74AD"/>
    <w:rsid w:val="00577259"/>
    <w:rsid w:val="0066739E"/>
    <w:rsid w:val="0068520C"/>
    <w:rsid w:val="0071002B"/>
    <w:rsid w:val="008936AF"/>
    <w:rsid w:val="008B7E63"/>
    <w:rsid w:val="008F16EA"/>
    <w:rsid w:val="009134A8"/>
    <w:rsid w:val="0091489D"/>
    <w:rsid w:val="009964C3"/>
    <w:rsid w:val="009A7B58"/>
    <w:rsid w:val="009E653B"/>
    <w:rsid w:val="009E6BA6"/>
    <w:rsid w:val="009F0343"/>
    <w:rsid w:val="00A35D82"/>
    <w:rsid w:val="00A54DCB"/>
    <w:rsid w:val="00A64FEC"/>
    <w:rsid w:val="00AD1236"/>
    <w:rsid w:val="00AE1AF5"/>
    <w:rsid w:val="00C204AD"/>
    <w:rsid w:val="00C56DCA"/>
    <w:rsid w:val="00C948E4"/>
    <w:rsid w:val="00CB023D"/>
    <w:rsid w:val="00CB086A"/>
    <w:rsid w:val="00D34E94"/>
    <w:rsid w:val="00D51214"/>
    <w:rsid w:val="00DE70C2"/>
    <w:rsid w:val="00E3161F"/>
    <w:rsid w:val="00E91B08"/>
    <w:rsid w:val="00E940EC"/>
    <w:rsid w:val="00F330E9"/>
    <w:rsid w:val="00FA6BD5"/>
    <w:rsid w:val="00FE3D82"/>
    <w:rsid w:val="00FF2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C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7C"/>
  </w:style>
  <w:style w:type="paragraph" w:styleId="Heading2">
    <w:name w:val="heading 2"/>
    <w:basedOn w:val="Normal"/>
    <w:next w:val="Normal"/>
    <w:link w:val="Heading2Char"/>
    <w:uiPriority w:val="9"/>
    <w:semiHidden/>
    <w:unhideWhenUsed/>
    <w:qFormat/>
    <w:rsid w:val="00360B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64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F16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EC"/>
    <w:rPr>
      <w:b/>
      <w:bCs/>
    </w:rPr>
  </w:style>
  <w:style w:type="character" w:customStyle="1" w:styleId="Heading3Char">
    <w:name w:val="Heading 3 Char"/>
    <w:basedOn w:val="DefaultParagraphFont"/>
    <w:link w:val="Heading3"/>
    <w:uiPriority w:val="9"/>
    <w:rsid w:val="00A64FE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64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EC"/>
  </w:style>
  <w:style w:type="paragraph" w:styleId="Footer">
    <w:name w:val="footer"/>
    <w:basedOn w:val="Normal"/>
    <w:link w:val="FooterChar"/>
    <w:uiPriority w:val="99"/>
    <w:unhideWhenUsed/>
    <w:rsid w:val="00A64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EC"/>
  </w:style>
  <w:style w:type="character" w:styleId="Emphasis">
    <w:name w:val="Emphasis"/>
    <w:basedOn w:val="DefaultParagraphFont"/>
    <w:uiPriority w:val="20"/>
    <w:qFormat/>
    <w:rsid w:val="00A64FEC"/>
    <w:rPr>
      <w:i/>
      <w:iCs/>
    </w:rPr>
  </w:style>
  <w:style w:type="character" w:styleId="Hyperlink">
    <w:name w:val="Hyperlink"/>
    <w:basedOn w:val="DefaultParagraphFont"/>
    <w:uiPriority w:val="99"/>
    <w:unhideWhenUsed/>
    <w:rsid w:val="00A64FEC"/>
    <w:rPr>
      <w:color w:val="0000FF"/>
      <w:u w:val="single"/>
    </w:rPr>
  </w:style>
  <w:style w:type="character" w:customStyle="1" w:styleId="Heading4Char">
    <w:name w:val="Heading 4 Char"/>
    <w:basedOn w:val="DefaultParagraphFont"/>
    <w:link w:val="Heading4"/>
    <w:uiPriority w:val="9"/>
    <w:semiHidden/>
    <w:rsid w:val="008F16EA"/>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60B2B"/>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055BD6"/>
  </w:style>
  <w:style w:type="character" w:customStyle="1" w:styleId="ms-1">
    <w:name w:val="ms-1"/>
    <w:basedOn w:val="DefaultParagraphFont"/>
    <w:rsid w:val="00055BD6"/>
  </w:style>
  <w:style w:type="character" w:customStyle="1" w:styleId="max-w-full">
    <w:name w:val="max-w-full"/>
    <w:basedOn w:val="DefaultParagraphFont"/>
    <w:rsid w:val="00055BD6"/>
  </w:style>
  <w:style w:type="character" w:customStyle="1" w:styleId="-me-1">
    <w:name w:val="-me-1"/>
    <w:basedOn w:val="DefaultParagraphFont"/>
    <w:rsid w:val="00055BD6"/>
  </w:style>
  <w:style w:type="character" w:customStyle="1" w:styleId="katex-mathml">
    <w:name w:val="katex-mathml"/>
    <w:basedOn w:val="DefaultParagraphFont"/>
    <w:rsid w:val="00F330E9"/>
  </w:style>
  <w:style w:type="character" w:customStyle="1" w:styleId="mord">
    <w:name w:val="mord"/>
    <w:basedOn w:val="DefaultParagraphFont"/>
    <w:rsid w:val="00F330E9"/>
  </w:style>
  <w:style w:type="character" w:customStyle="1" w:styleId="mrel">
    <w:name w:val="mrel"/>
    <w:basedOn w:val="DefaultParagraphFont"/>
    <w:rsid w:val="00F330E9"/>
  </w:style>
  <w:style w:type="character" w:customStyle="1" w:styleId="mbin">
    <w:name w:val="mbin"/>
    <w:basedOn w:val="DefaultParagraphFont"/>
    <w:rsid w:val="00F330E9"/>
  </w:style>
  <w:style w:type="character" w:customStyle="1" w:styleId="vlist-s">
    <w:name w:val="vlist-s"/>
    <w:basedOn w:val="DefaultParagraphFont"/>
    <w:rsid w:val="00F330E9"/>
  </w:style>
  <w:style w:type="character" w:customStyle="1" w:styleId="UnresolvedMention">
    <w:name w:val="Unresolved Mention"/>
    <w:basedOn w:val="DefaultParagraphFont"/>
    <w:uiPriority w:val="99"/>
    <w:semiHidden/>
    <w:unhideWhenUsed/>
    <w:rsid w:val="00E940EC"/>
    <w:rPr>
      <w:color w:val="605E5C"/>
      <w:shd w:val="clear" w:color="auto" w:fill="E1DFDD"/>
    </w:rPr>
  </w:style>
  <w:style w:type="paragraph" w:styleId="ListParagraph">
    <w:name w:val="List Paragraph"/>
    <w:basedOn w:val="Normal"/>
    <w:uiPriority w:val="34"/>
    <w:qFormat/>
    <w:rsid w:val="000F77E5"/>
    <w:pPr>
      <w:ind w:left="720"/>
      <w:contextualSpacing/>
    </w:pPr>
  </w:style>
  <w:style w:type="character" w:styleId="CommentReference">
    <w:name w:val="annotation reference"/>
    <w:basedOn w:val="DefaultParagraphFont"/>
    <w:uiPriority w:val="99"/>
    <w:semiHidden/>
    <w:unhideWhenUsed/>
    <w:rsid w:val="00D34E94"/>
    <w:rPr>
      <w:sz w:val="16"/>
      <w:szCs w:val="16"/>
    </w:rPr>
  </w:style>
  <w:style w:type="paragraph" w:styleId="CommentText">
    <w:name w:val="annotation text"/>
    <w:basedOn w:val="Normal"/>
    <w:link w:val="CommentTextChar"/>
    <w:uiPriority w:val="99"/>
    <w:semiHidden/>
    <w:unhideWhenUsed/>
    <w:rsid w:val="00D34E94"/>
    <w:pPr>
      <w:spacing w:line="240" w:lineRule="auto"/>
    </w:pPr>
    <w:rPr>
      <w:sz w:val="20"/>
      <w:szCs w:val="20"/>
    </w:rPr>
  </w:style>
  <w:style w:type="character" w:customStyle="1" w:styleId="CommentTextChar">
    <w:name w:val="Comment Text Char"/>
    <w:basedOn w:val="DefaultParagraphFont"/>
    <w:link w:val="CommentText"/>
    <w:uiPriority w:val="99"/>
    <w:semiHidden/>
    <w:rsid w:val="00D34E94"/>
    <w:rPr>
      <w:sz w:val="20"/>
      <w:szCs w:val="20"/>
    </w:rPr>
  </w:style>
  <w:style w:type="paragraph" w:styleId="CommentSubject">
    <w:name w:val="annotation subject"/>
    <w:basedOn w:val="CommentText"/>
    <w:next w:val="CommentText"/>
    <w:link w:val="CommentSubjectChar"/>
    <w:uiPriority w:val="99"/>
    <w:semiHidden/>
    <w:unhideWhenUsed/>
    <w:rsid w:val="00D34E94"/>
    <w:rPr>
      <w:b/>
      <w:bCs/>
    </w:rPr>
  </w:style>
  <w:style w:type="character" w:customStyle="1" w:styleId="CommentSubjectChar">
    <w:name w:val="Comment Subject Char"/>
    <w:basedOn w:val="CommentTextChar"/>
    <w:link w:val="CommentSubject"/>
    <w:uiPriority w:val="99"/>
    <w:semiHidden/>
    <w:rsid w:val="00D34E94"/>
    <w:rPr>
      <w:b/>
      <w:bCs/>
      <w:sz w:val="20"/>
      <w:szCs w:val="20"/>
    </w:rPr>
  </w:style>
  <w:style w:type="paragraph" w:styleId="BalloonText">
    <w:name w:val="Balloon Text"/>
    <w:basedOn w:val="Normal"/>
    <w:link w:val="BalloonTextChar"/>
    <w:uiPriority w:val="99"/>
    <w:semiHidden/>
    <w:unhideWhenUsed/>
    <w:rsid w:val="00D34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9109">
      <w:bodyDiv w:val="1"/>
      <w:marLeft w:val="0"/>
      <w:marRight w:val="0"/>
      <w:marTop w:val="0"/>
      <w:marBottom w:val="0"/>
      <w:divBdr>
        <w:top w:val="none" w:sz="0" w:space="0" w:color="auto"/>
        <w:left w:val="none" w:sz="0" w:space="0" w:color="auto"/>
        <w:bottom w:val="none" w:sz="0" w:space="0" w:color="auto"/>
        <w:right w:val="none" w:sz="0" w:space="0" w:color="auto"/>
      </w:divBdr>
    </w:div>
    <w:div w:id="31804342">
      <w:bodyDiv w:val="1"/>
      <w:marLeft w:val="0"/>
      <w:marRight w:val="0"/>
      <w:marTop w:val="0"/>
      <w:marBottom w:val="0"/>
      <w:divBdr>
        <w:top w:val="none" w:sz="0" w:space="0" w:color="auto"/>
        <w:left w:val="none" w:sz="0" w:space="0" w:color="auto"/>
        <w:bottom w:val="none" w:sz="0" w:space="0" w:color="auto"/>
        <w:right w:val="none" w:sz="0" w:space="0" w:color="auto"/>
      </w:divBdr>
    </w:div>
    <w:div w:id="79647956">
      <w:bodyDiv w:val="1"/>
      <w:marLeft w:val="0"/>
      <w:marRight w:val="0"/>
      <w:marTop w:val="0"/>
      <w:marBottom w:val="0"/>
      <w:divBdr>
        <w:top w:val="none" w:sz="0" w:space="0" w:color="auto"/>
        <w:left w:val="none" w:sz="0" w:space="0" w:color="auto"/>
        <w:bottom w:val="none" w:sz="0" w:space="0" w:color="auto"/>
        <w:right w:val="none" w:sz="0" w:space="0" w:color="auto"/>
      </w:divBdr>
    </w:div>
    <w:div w:id="111942424">
      <w:bodyDiv w:val="1"/>
      <w:marLeft w:val="0"/>
      <w:marRight w:val="0"/>
      <w:marTop w:val="0"/>
      <w:marBottom w:val="0"/>
      <w:divBdr>
        <w:top w:val="none" w:sz="0" w:space="0" w:color="auto"/>
        <w:left w:val="none" w:sz="0" w:space="0" w:color="auto"/>
        <w:bottom w:val="none" w:sz="0" w:space="0" w:color="auto"/>
        <w:right w:val="none" w:sz="0" w:space="0" w:color="auto"/>
      </w:divBdr>
    </w:div>
    <w:div w:id="116223880">
      <w:bodyDiv w:val="1"/>
      <w:marLeft w:val="0"/>
      <w:marRight w:val="0"/>
      <w:marTop w:val="0"/>
      <w:marBottom w:val="0"/>
      <w:divBdr>
        <w:top w:val="none" w:sz="0" w:space="0" w:color="auto"/>
        <w:left w:val="none" w:sz="0" w:space="0" w:color="auto"/>
        <w:bottom w:val="none" w:sz="0" w:space="0" w:color="auto"/>
        <w:right w:val="none" w:sz="0" w:space="0" w:color="auto"/>
      </w:divBdr>
    </w:div>
    <w:div w:id="211308471">
      <w:bodyDiv w:val="1"/>
      <w:marLeft w:val="0"/>
      <w:marRight w:val="0"/>
      <w:marTop w:val="0"/>
      <w:marBottom w:val="0"/>
      <w:divBdr>
        <w:top w:val="none" w:sz="0" w:space="0" w:color="auto"/>
        <w:left w:val="none" w:sz="0" w:space="0" w:color="auto"/>
        <w:bottom w:val="none" w:sz="0" w:space="0" w:color="auto"/>
        <w:right w:val="none" w:sz="0" w:space="0" w:color="auto"/>
      </w:divBdr>
    </w:div>
    <w:div w:id="216818892">
      <w:bodyDiv w:val="1"/>
      <w:marLeft w:val="0"/>
      <w:marRight w:val="0"/>
      <w:marTop w:val="0"/>
      <w:marBottom w:val="0"/>
      <w:divBdr>
        <w:top w:val="none" w:sz="0" w:space="0" w:color="auto"/>
        <w:left w:val="none" w:sz="0" w:space="0" w:color="auto"/>
        <w:bottom w:val="none" w:sz="0" w:space="0" w:color="auto"/>
        <w:right w:val="none" w:sz="0" w:space="0" w:color="auto"/>
      </w:divBdr>
    </w:div>
    <w:div w:id="218833270">
      <w:bodyDiv w:val="1"/>
      <w:marLeft w:val="0"/>
      <w:marRight w:val="0"/>
      <w:marTop w:val="0"/>
      <w:marBottom w:val="0"/>
      <w:divBdr>
        <w:top w:val="none" w:sz="0" w:space="0" w:color="auto"/>
        <w:left w:val="none" w:sz="0" w:space="0" w:color="auto"/>
        <w:bottom w:val="none" w:sz="0" w:space="0" w:color="auto"/>
        <w:right w:val="none" w:sz="0" w:space="0" w:color="auto"/>
      </w:divBdr>
    </w:div>
    <w:div w:id="267733497">
      <w:bodyDiv w:val="1"/>
      <w:marLeft w:val="0"/>
      <w:marRight w:val="0"/>
      <w:marTop w:val="0"/>
      <w:marBottom w:val="0"/>
      <w:divBdr>
        <w:top w:val="none" w:sz="0" w:space="0" w:color="auto"/>
        <w:left w:val="none" w:sz="0" w:space="0" w:color="auto"/>
        <w:bottom w:val="none" w:sz="0" w:space="0" w:color="auto"/>
        <w:right w:val="none" w:sz="0" w:space="0" w:color="auto"/>
      </w:divBdr>
    </w:div>
    <w:div w:id="342440025">
      <w:bodyDiv w:val="1"/>
      <w:marLeft w:val="0"/>
      <w:marRight w:val="0"/>
      <w:marTop w:val="0"/>
      <w:marBottom w:val="0"/>
      <w:divBdr>
        <w:top w:val="none" w:sz="0" w:space="0" w:color="auto"/>
        <w:left w:val="none" w:sz="0" w:space="0" w:color="auto"/>
        <w:bottom w:val="none" w:sz="0" w:space="0" w:color="auto"/>
        <w:right w:val="none" w:sz="0" w:space="0" w:color="auto"/>
      </w:divBdr>
    </w:div>
    <w:div w:id="354156894">
      <w:bodyDiv w:val="1"/>
      <w:marLeft w:val="0"/>
      <w:marRight w:val="0"/>
      <w:marTop w:val="0"/>
      <w:marBottom w:val="0"/>
      <w:divBdr>
        <w:top w:val="none" w:sz="0" w:space="0" w:color="auto"/>
        <w:left w:val="none" w:sz="0" w:space="0" w:color="auto"/>
        <w:bottom w:val="none" w:sz="0" w:space="0" w:color="auto"/>
        <w:right w:val="none" w:sz="0" w:space="0" w:color="auto"/>
      </w:divBdr>
    </w:div>
    <w:div w:id="433331651">
      <w:bodyDiv w:val="1"/>
      <w:marLeft w:val="0"/>
      <w:marRight w:val="0"/>
      <w:marTop w:val="0"/>
      <w:marBottom w:val="0"/>
      <w:divBdr>
        <w:top w:val="none" w:sz="0" w:space="0" w:color="auto"/>
        <w:left w:val="none" w:sz="0" w:space="0" w:color="auto"/>
        <w:bottom w:val="none" w:sz="0" w:space="0" w:color="auto"/>
        <w:right w:val="none" w:sz="0" w:space="0" w:color="auto"/>
      </w:divBdr>
    </w:div>
    <w:div w:id="447704546">
      <w:bodyDiv w:val="1"/>
      <w:marLeft w:val="0"/>
      <w:marRight w:val="0"/>
      <w:marTop w:val="0"/>
      <w:marBottom w:val="0"/>
      <w:divBdr>
        <w:top w:val="none" w:sz="0" w:space="0" w:color="auto"/>
        <w:left w:val="none" w:sz="0" w:space="0" w:color="auto"/>
        <w:bottom w:val="none" w:sz="0" w:space="0" w:color="auto"/>
        <w:right w:val="none" w:sz="0" w:space="0" w:color="auto"/>
      </w:divBdr>
    </w:div>
    <w:div w:id="662857392">
      <w:bodyDiv w:val="1"/>
      <w:marLeft w:val="0"/>
      <w:marRight w:val="0"/>
      <w:marTop w:val="0"/>
      <w:marBottom w:val="0"/>
      <w:divBdr>
        <w:top w:val="none" w:sz="0" w:space="0" w:color="auto"/>
        <w:left w:val="none" w:sz="0" w:space="0" w:color="auto"/>
        <w:bottom w:val="none" w:sz="0" w:space="0" w:color="auto"/>
        <w:right w:val="none" w:sz="0" w:space="0" w:color="auto"/>
      </w:divBdr>
    </w:div>
    <w:div w:id="860357082">
      <w:bodyDiv w:val="1"/>
      <w:marLeft w:val="0"/>
      <w:marRight w:val="0"/>
      <w:marTop w:val="0"/>
      <w:marBottom w:val="0"/>
      <w:divBdr>
        <w:top w:val="none" w:sz="0" w:space="0" w:color="auto"/>
        <w:left w:val="none" w:sz="0" w:space="0" w:color="auto"/>
        <w:bottom w:val="none" w:sz="0" w:space="0" w:color="auto"/>
        <w:right w:val="none" w:sz="0" w:space="0" w:color="auto"/>
      </w:divBdr>
    </w:div>
    <w:div w:id="867646545">
      <w:bodyDiv w:val="1"/>
      <w:marLeft w:val="0"/>
      <w:marRight w:val="0"/>
      <w:marTop w:val="0"/>
      <w:marBottom w:val="0"/>
      <w:divBdr>
        <w:top w:val="none" w:sz="0" w:space="0" w:color="auto"/>
        <w:left w:val="none" w:sz="0" w:space="0" w:color="auto"/>
        <w:bottom w:val="none" w:sz="0" w:space="0" w:color="auto"/>
        <w:right w:val="none" w:sz="0" w:space="0" w:color="auto"/>
      </w:divBdr>
    </w:div>
    <w:div w:id="992366258">
      <w:bodyDiv w:val="1"/>
      <w:marLeft w:val="0"/>
      <w:marRight w:val="0"/>
      <w:marTop w:val="0"/>
      <w:marBottom w:val="0"/>
      <w:divBdr>
        <w:top w:val="none" w:sz="0" w:space="0" w:color="auto"/>
        <w:left w:val="none" w:sz="0" w:space="0" w:color="auto"/>
        <w:bottom w:val="none" w:sz="0" w:space="0" w:color="auto"/>
        <w:right w:val="none" w:sz="0" w:space="0" w:color="auto"/>
      </w:divBdr>
    </w:div>
    <w:div w:id="995886035">
      <w:bodyDiv w:val="1"/>
      <w:marLeft w:val="0"/>
      <w:marRight w:val="0"/>
      <w:marTop w:val="0"/>
      <w:marBottom w:val="0"/>
      <w:divBdr>
        <w:top w:val="none" w:sz="0" w:space="0" w:color="auto"/>
        <w:left w:val="none" w:sz="0" w:space="0" w:color="auto"/>
        <w:bottom w:val="none" w:sz="0" w:space="0" w:color="auto"/>
        <w:right w:val="none" w:sz="0" w:space="0" w:color="auto"/>
      </w:divBdr>
    </w:div>
    <w:div w:id="1010334143">
      <w:bodyDiv w:val="1"/>
      <w:marLeft w:val="0"/>
      <w:marRight w:val="0"/>
      <w:marTop w:val="0"/>
      <w:marBottom w:val="0"/>
      <w:divBdr>
        <w:top w:val="none" w:sz="0" w:space="0" w:color="auto"/>
        <w:left w:val="none" w:sz="0" w:space="0" w:color="auto"/>
        <w:bottom w:val="none" w:sz="0" w:space="0" w:color="auto"/>
        <w:right w:val="none" w:sz="0" w:space="0" w:color="auto"/>
      </w:divBdr>
    </w:div>
    <w:div w:id="1023747431">
      <w:bodyDiv w:val="1"/>
      <w:marLeft w:val="0"/>
      <w:marRight w:val="0"/>
      <w:marTop w:val="0"/>
      <w:marBottom w:val="0"/>
      <w:divBdr>
        <w:top w:val="none" w:sz="0" w:space="0" w:color="auto"/>
        <w:left w:val="none" w:sz="0" w:space="0" w:color="auto"/>
        <w:bottom w:val="none" w:sz="0" w:space="0" w:color="auto"/>
        <w:right w:val="none" w:sz="0" w:space="0" w:color="auto"/>
      </w:divBdr>
    </w:div>
    <w:div w:id="1105275321">
      <w:bodyDiv w:val="1"/>
      <w:marLeft w:val="0"/>
      <w:marRight w:val="0"/>
      <w:marTop w:val="0"/>
      <w:marBottom w:val="0"/>
      <w:divBdr>
        <w:top w:val="none" w:sz="0" w:space="0" w:color="auto"/>
        <w:left w:val="none" w:sz="0" w:space="0" w:color="auto"/>
        <w:bottom w:val="none" w:sz="0" w:space="0" w:color="auto"/>
        <w:right w:val="none" w:sz="0" w:space="0" w:color="auto"/>
      </w:divBdr>
    </w:div>
    <w:div w:id="1194079425">
      <w:bodyDiv w:val="1"/>
      <w:marLeft w:val="0"/>
      <w:marRight w:val="0"/>
      <w:marTop w:val="0"/>
      <w:marBottom w:val="0"/>
      <w:divBdr>
        <w:top w:val="none" w:sz="0" w:space="0" w:color="auto"/>
        <w:left w:val="none" w:sz="0" w:space="0" w:color="auto"/>
        <w:bottom w:val="none" w:sz="0" w:space="0" w:color="auto"/>
        <w:right w:val="none" w:sz="0" w:space="0" w:color="auto"/>
      </w:divBdr>
    </w:div>
    <w:div w:id="1235550217">
      <w:bodyDiv w:val="1"/>
      <w:marLeft w:val="0"/>
      <w:marRight w:val="0"/>
      <w:marTop w:val="0"/>
      <w:marBottom w:val="0"/>
      <w:divBdr>
        <w:top w:val="none" w:sz="0" w:space="0" w:color="auto"/>
        <w:left w:val="none" w:sz="0" w:space="0" w:color="auto"/>
        <w:bottom w:val="none" w:sz="0" w:space="0" w:color="auto"/>
        <w:right w:val="none" w:sz="0" w:space="0" w:color="auto"/>
      </w:divBdr>
      <w:divsChild>
        <w:div w:id="1015771946">
          <w:marLeft w:val="0"/>
          <w:marRight w:val="0"/>
          <w:marTop w:val="0"/>
          <w:marBottom w:val="0"/>
          <w:divBdr>
            <w:top w:val="none" w:sz="0" w:space="0" w:color="auto"/>
            <w:left w:val="none" w:sz="0" w:space="0" w:color="auto"/>
            <w:bottom w:val="none" w:sz="0" w:space="0" w:color="auto"/>
            <w:right w:val="none" w:sz="0" w:space="0" w:color="auto"/>
          </w:divBdr>
          <w:divsChild>
            <w:div w:id="120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512">
      <w:bodyDiv w:val="1"/>
      <w:marLeft w:val="0"/>
      <w:marRight w:val="0"/>
      <w:marTop w:val="0"/>
      <w:marBottom w:val="0"/>
      <w:divBdr>
        <w:top w:val="none" w:sz="0" w:space="0" w:color="auto"/>
        <w:left w:val="none" w:sz="0" w:space="0" w:color="auto"/>
        <w:bottom w:val="none" w:sz="0" w:space="0" w:color="auto"/>
        <w:right w:val="none" w:sz="0" w:space="0" w:color="auto"/>
      </w:divBdr>
    </w:div>
    <w:div w:id="1460763079">
      <w:bodyDiv w:val="1"/>
      <w:marLeft w:val="0"/>
      <w:marRight w:val="0"/>
      <w:marTop w:val="0"/>
      <w:marBottom w:val="0"/>
      <w:divBdr>
        <w:top w:val="none" w:sz="0" w:space="0" w:color="auto"/>
        <w:left w:val="none" w:sz="0" w:space="0" w:color="auto"/>
        <w:bottom w:val="none" w:sz="0" w:space="0" w:color="auto"/>
        <w:right w:val="none" w:sz="0" w:space="0" w:color="auto"/>
      </w:divBdr>
    </w:div>
    <w:div w:id="1511799078">
      <w:bodyDiv w:val="1"/>
      <w:marLeft w:val="0"/>
      <w:marRight w:val="0"/>
      <w:marTop w:val="0"/>
      <w:marBottom w:val="0"/>
      <w:divBdr>
        <w:top w:val="none" w:sz="0" w:space="0" w:color="auto"/>
        <w:left w:val="none" w:sz="0" w:space="0" w:color="auto"/>
        <w:bottom w:val="none" w:sz="0" w:space="0" w:color="auto"/>
        <w:right w:val="none" w:sz="0" w:space="0" w:color="auto"/>
      </w:divBdr>
    </w:div>
    <w:div w:id="1553691733">
      <w:bodyDiv w:val="1"/>
      <w:marLeft w:val="0"/>
      <w:marRight w:val="0"/>
      <w:marTop w:val="0"/>
      <w:marBottom w:val="0"/>
      <w:divBdr>
        <w:top w:val="none" w:sz="0" w:space="0" w:color="auto"/>
        <w:left w:val="none" w:sz="0" w:space="0" w:color="auto"/>
        <w:bottom w:val="none" w:sz="0" w:space="0" w:color="auto"/>
        <w:right w:val="none" w:sz="0" w:space="0" w:color="auto"/>
      </w:divBdr>
    </w:div>
    <w:div w:id="1600259193">
      <w:bodyDiv w:val="1"/>
      <w:marLeft w:val="0"/>
      <w:marRight w:val="0"/>
      <w:marTop w:val="0"/>
      <w:marBottom w:val="0"/>
      <w:divBdr>
        <w:top w:val="none" w:sz="0" w:space="0" w:color="auto"/>
        <w:left w:val="none" w:sz="0" w:space="0" w:color="auto"/>
        <w:bottom w:val="none" w:sz="0" w:space="0" w:color="auto"/>
        <w:right w:val="none" w:sz="0" w:space="0" w:color="auto"/>
      </w:divBdr>
    </w:div>
    <w:div w:id="1659193174">
      <w:bodyDiv w:val="1"/>
      <w:marLeft w:val="0"/>
      <w:marRight w:val="0"/>
      <w:marTop w:val="0"/>
      <w:marBottom w:val="0"/>
      <w:divBdr>
        <w:top w:val="none" w:sz="0" w:space="0" w:color="auto"/>
        <w:left w:val="none" w:sz="0" w:space="0" w:color="auto"/>
        <w:bottom w:val="none" w:sz="0" w:space="0" w:color="auto"/>
        <w:right w:val="none" w:sz="0" w:space="0" w:color="auto"/>
      </w:divBdr>
    </w:div>
    <w:div w:id="1734499487">
      <w:bodyDiv w:val="1"/>
      <w:marLeft w:val="0"/>
      <w:marRight w:val="0"/>
      <w:marTop w:val="0"/>
      <w:marBottom w:val="0"/>
      <w:divBdr>
        <w:top w:val="none" w:sz="0" w:space="0" w:color="auto"/>
        <w:left w:val="none" w:sz="0" w:space="0" w:color="auto"/>
        <w:bottom w:val="none" w:sz="0" w:space="0" w:color="auto"/>
        <w:right w:val="none" w:sz="0" w:space="0" w:color="auto"/>
      </w:divBdr>
    </w:div>
    <w:div w:id="1815638193">
      <w:bodyDiv w:val="1"/>
      <w:marLeft w:val="0"/>
      <w:marRight w:val="0"/>
      <w:marTop w:val="0"/>
      <w:marBottom w:val="0"/>
      <w:divBdr>
        <w:top w:val="none" w:sz="0" w:space="0" w:color="auto"/>
        <w:left w:val="none" w:sz="0" w:space="0" w:color="auto"/>
        <w:bottom w:val="none" w:sz="0" w:space="0" w:color="auto"/>
        <w:right w:val="none" w:sz="0" w:space="0" w:color="auto"/>
      </w:divBdr>
    </w:div>
    <w:div w:id="1826706757">
      <w:bodyDiv w:val="1"/>
      <w:marLeft w:val="0"/>
      <w:marRight w:val="0"/>
      <w:marTop w:val="0"/>
      <w:marBottom w:val="0"/>
      <w:divBdr>
        <w:top w:val="none" w:sz="0" w:space="0" w:color="auto"/>
        <w:left w:val="none" w:sz="0" w:space="0" w:color="auto"/>
        <w:bottom w:val="none" w:sz="0" w:space="0" w:color="auto"/>
        <w:right w:val="none" w:sz="0" w:space="0" w:color="auto"/>
      </w:divBdr>
    </w:div>
    <w:div w:id="1946231185">
      <w:bodyDiv w:val="1"/>
      <w:marLeft w:val="0"/>
      <w:marRight w:val="0"/>
      <w:marTop w:val="0"/>
      <w:marBottom w:val="0"/>
      <w:divBdr>
        <w:top w:val="none" w:sz="0" w:space="0" w:color="auto"/>
        <w:left w:val="none" w:sz="0" w:space="0" w:color="auto"/>
        <w:bottom w:val="none" w:sz="0" w:space="0" w:color="auto"/>
        <w:right w:val="none" w:sz="0" w:space="0" w:color="auto"/>
      </w:divBdr>
    </w:div>
    <w:div w:id="1950433952">
      <w:bodyDiv w:val="1"/>
      <w:marLeft w:val="0"/>
      <w:marRight w:val="0"/>
      <w:marTop w:val="0"/>
      <w:marBottom w:val="0"/>
      <w:divBdr>
        <w:top w:val="none" w:sz="0" w:space="0" w:color="auto"/>
        <w:left w:val="none" w:sz="0" w:space="0" w:color="auto"/>
        <w:bottom w:val="none" w:sz="0" w:space="0" w:color="auto"/>
        <w:right w:val="none" w:sz="0" w:space="0" w:color="auto"/>
      </w:divBdr>
    </w:div>
    <w:div w:id="1957564671">
      <w:bodyDiv w:val="1"/>
      <w:marLeft w:val="0"/>
      <w:marRight w:val="0"/>
      <w:marTop w:val="0"/>
      <w:marBottom w:val="0"/>
      <w:divBdr>
        <w:top w:val="none" w:sz="0" w:space="0" w:color="auto"/>
        <w:left w:val="none" w:sz="0" w:space="0" w:color="auto"/>
        <w:bottom w:val="none" w:sz="0" w:space="0" w:color="auto"/>
        <w:right w:val="none" w:sz="0" w:space="0" w:color="auto"/>
      </w:divBdr>
    </w:div>
    <w:div w:id="20967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dutimesafrica.com/environmental-education-in-nigeria-addressing-disparities" TargetMode="External"/><Relationship Id="rId18" Type="http://schemas.openxmlformats.org/officeDocument/2006/relationships/hyperlink" Target="https://www.ipcc.ch/report/sixth-assessment-report-cycle/" TargetMode="External"/><Relationship Id="rId26" Type="http://schemas.openxmlformats.org/officeDocument/2006/relationships/hyperlink" Target="https://doi.org/10.13140/RG.2.2.28115.81445" TargetMode="External"/><Relationship Id="rId39"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pearson.com/en-us/news-and-research/working-and-learning-online/artificial-intelligence-in-education.html" TargetMode="External"/><Relationship Id="rId34" Type="http://schemas.openxmlformats.org/officeDocument/2006/relationships/hyperlink" Target="https://nssec.gov.ng/nigeria-secondary-education-pupils/?utm_source=chatgpt.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21550085.2020.1852750" TargetMode="External"/><Relationship Id="rId17" Type="http://schemas.openxmlformats.org/officeDocument/2006/relationships/hyperlink" Target="https://climatechange.gov.ng/national-climate-change-policy-2021/" TargetMode="External"/><Relationship Id="rId25" Type="http://schemas.openxmlformats.org/officeDocument/2006/relationships/hyperlink" Target="https://eujournal.org/index.php/esj/article/view/19590" TargetMode="External"/><Relationship Id="rId33" Type="http://schemas.openxmlformats.org/officeDocument/2006/relationships/hyperlink" Target="https://databank.worldbank.org"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8785/jetde.1601.01" TargetMode="External"/><Relationship Id="rId20" Type="http://schemas.openxmlformats.org/officeDocument/2006/relationships/hyperlink" Target="https://arxiv.org/abs/2408.15906" TargetMode="External"/><Relationship Id="rId29" Type="http://schemas.openxmlformats.org/officeDocument/2006/relationships/hyperlink" Target="https://unesdoc.unesco.org/ark:/48223/pf000037970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21550085.2020.1852750" TargetMode="External"/><Relationship Id="rId24" Type="http://schemas.openxmlformats.org/officeDocument/2006/relationships/hyperlink" Target="https://doi.org/10.4314/afrrev.v15i3.2" TargetMode="External"/><Relationship Id="rId32" Type="http://schemas.openxmlformats.org/officeDocument/2006/relationships/hyperlink" Target="https://databank.worldbank.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chive.org/details/socialfoundations00band" TargetMode="External"/><Relationship Id="rId23" Type="http://schemas.openxmlformats.org/officeDocument/2006/relationships/hyperlink" Target="https://doi.org/10.13140/RG.2.2.31876.60801" TargetMode="External"/><Relationship Id="rId28" Type="http://schemas.openxmlformats.org/officeDocument/2006/relationships/hyperlink" Target="https://files.eric.ed.gov/fulltext/EJ1252229.pdf" TargetMode="External"/><Relationship Id="rId36" Type="http://schemas.openxmlformats.org/officeDocument/2006/relationships/header" Target="header2.xml"/><Relationship Id="rId10" Type="http://schemas.openxmlformats.org/officeDocument/2006/relationships/hyperlink" Target="https://doi.org/10.4314/afjet.v10i2.5" TargetMode="External"/><Relationship Id="rId19" Type="http://schemas.openxmlformats.org/officeDocument/2006/relationships/hyperlink" Target="https://www.researchgate.net/publication/235701029" TargetMode="External"/><Relationship Id="rId31" Type="http://schemas.openxmlformats.org/officeDocument/2006/relationships/hyperlink" Target="https://www.qsrinternational.com/nvivo-14-help" TargetMode="External"/><Relationship Id="rId4" Type="http://schemas.openxmlformats.org/officeDocument/2006/relationships/settings" Target="settings.xml"/><Relationship Id="rId9" Type="http://schemas.openxmlformats.org/officeDocument/2006/relationships/hyperlink" Target="https://doi.org/10.4314/afjet.v10i2.5" TargetMode="External"/><Relationship Id="rId14" Type="http://schemas.openxmlformats.org/officeDocument/2006/relationships/hyperlink" Target="https://archive.org/details/socialfoundations00band" TargetMode="External"/><Relationship Id="rId22" Type="http://schemas.openxmlformats.org/officeDocument/2006/relationships/hyperlink" Target="https://link.springer.com/article/10.1186/s40561-023-00261-x" TargetMode="External"/><Relationship Id="rId27" Type="http://schemas.openxmlformats.org/officeDocument/2006/relationships/hyperlink" Target="https://rsisinternational.org/journals/ijriss/articles/the-nexus-between-artificial-intelligence-and-stem-education-transformation-in-nigeria" TargetMode="External"/><Relationship Id="rId30" Type="http://schemas.openxmlformats.org/officeDocument/2006/relationships/hyperlink" Target="https://unesdoc.unesco.org/ark:/48223/pf000038194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29</Pages>
  <Words>6522</Words>
  <Characters>37177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8</cp:revision>
  <dcterms:created xsi:type="dcterms:W3CDTF">2025-07-28T19:29:00Z</dcterms:created>
  <dcterms:modified xsi:type="dcterms:W3CDTF">2025-08-03T20:46:00Z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ies>
</file>