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676A" w14:textId="49B1C242" w:rsidR="004D69B7" w:rsidRPr="004D69B7" w:rsidRDefault="004D69B7" w:rsidP="000501F0">
      <w:pPr>
        <w:spacing w:line="240" w:lineRule="auto"/>
        <w:jc w:val="both"/>
        <w:rPr>
          <w:rFonts w:ascii="Times New Roman" w:hAnsi="Times New Roman" w:cs="Times New Roman"/>
          <w:b/>
          <w:sz w:val="20"/>
          <w:szCs w:val="20"/>
          <w:u w:val="single"/>
          <w:lang w:val="en-US"/>
        </w:rPr>
      </w:pPr>
      <w:r w:rsidRPr="004D69B7">
        <w:rPr>
          <w:rFonts w:ascii="Times New Roman" w:hAnsi="Times New Roman" w:cs="Times New Roman"/>
          <w:b/>
          <w:sz w:val="20"/>
          <w:szCs w:val="20"/>
          <w:u w:val="single"/>
          <w:lang w:val="en-US"/>
        </w:rPr>
        <w:t>Review Article</w:t>
      </w:r>
    </w:p>
    <w:p w14:paraId="60B1E575" w14:textId="77777777" w:rsidR="006E61D1" w:rsidRDefault="006E61D1" w:rsidP="000501F0">
      <w:pPr>
        <w:spacing w:line="240" w:lineRule="auto"/>
        <w:jc w:val="both"/>
        <w:rPr>
          <w:rFonts w:ascii="Times New Roman" w:hAnsi="Times New Roman" w:cs="Times New Roman"/>
          <w:b/>
          <w:sz w:val="20"/>
          <w:szCs w:val="20"/>
          <w:lang w:val="en-US"/>
        </w:rPr>
      </w:pPr>
    </w:p>
    <w:p w14:paraId="1F2B58C7" w14:textId="30379DEA" w:rsidR="00E1671D" w:rsidRDefault="009C55EE" w:rsidP="000501F0">
      <w:pPr>
        <w:spacing w:line="240" w:lineRule="auto"/>
        <w:jc w:val="both"/>
        <w:rPr>
          <w:rFonts w:ascii="Times New Roman" w:hAnsi="Times New Roman" w:cs="Times New Roman"/>
          <w:b/>
          <w:sz w:val="20"/>
          <w:szCs w:val="20"/>
          <w:lang w:val="en-US"/>
        </w:rPr>
      </w:pPr>
      <w:r w:rsidRPr="000501F0">
        <w:rPr>
          <w:rFonts w:ascii="Times New Roman" w:hAnsi="Times New Roman" w:cs="Times New Roman"/>
          <w:b/>
          <w:sz w:val="20"/>
          <w:szCs w:val="20"/>
          <w:lang w:val="en-US"/>
        </w:rPr>
        <w:t>The Role of Urban Green Infrastructure in Supporting Pollinator Biodiversity and Community Well-being in Ghana</w:t>
      </w:r>
      <w:r w:rsidR="00293FD3" w:rsidRPr="000501F0">
        <w:rPr>
          <w:rFonts w:ascii="Times New Roman" w:hAnsi="Times New Roman" w:cs="Times New Roman"/>
          <w:b/>
          <w:sz w:val="20"/>
          <w:szCs w:val="20"/>
          <w:lang w:val="en-US"/>
        </w:rPr>
        <w:t>ian Megacities</w:t>
      </w:r>
    </w:p>
    <w:p w14:paraId="71435E4E" w14:textId="3A58CE44" w:rsidR="00D369DF" w:rsidRPr="00C2633A" w:rsidRDefault="00C2633A" w:rsidP="00C2633A">
      <w:pPr>
        <w:spacing w:line="240" w:lineRule="auto"/>
        <w:rPr>
          <w:rFonts w:ascii="Times New Roman" w:hAnsi="Times New Roman" w:cs="Times New Roman"/>
          <w:b/>
          <w:bCs/>
          <w:color w:val="FF0000"/>
          <w:sz w:val="20"/>
          <w:szCs w:val="20"/>
        </w:rPr>
      </w:pPr>
      <w:r w:rsidRPr="00C2633A">
        <w:rPr>
          <w:rFonts w:ascii="Times New Roman" w:hAnsi="Times New Roman" w:cs="Times New Roman"/>
          <w:b/>
          <w:bCs/>
          <w:color w:val="FF0000"/>
          <w:sz w:val="20"/>
          <w:szCs w:val="20"/>
        </w:rPr>
        <w:t>The Importance of Urban Green Infrastructure in Promoting Pollinator Biodiversity and Enhancing Community Well-being in Ghanaian Megacities</w:t>
      </w:r>
    </w:p>
    <w:p w14:paraId="7B59AAB8" w14:textId="77777777" w:rsidR="00A80FAD" w:rsidRDefault="00A80FAD" w:rsidP="000501F0">
      <w:pPr>
        <w:spacing w:line="240" w:lineRule="auto"/>
        <w:jc w:val="both"/>
        <w:rPr>
          <w:rFonts w:ascii="Times New Roman" w:hAnsi="Times New Roman" w:cs="Times New Roman"/>
          <w:b/>
          <w:sz w:val="20"/>
          <w:szCs w:val="20"/>
          <w:lang w:val="en-US"/>
        </w:rPr>
      </w:pPr>
    </w:p>
    <w:p w14:paraId="56B237B5" w14:textId="3633C6AD" w:rsidR="00F85714" w:rsidRDefault="00F85714" w:rsidP="000501F0">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ABSTRACT</w:t>
      </w:r>
    </w:p>
    <w:p w14:paraId="0E0FEE01" w14:textId="77777777" w:rsidR="0017240C" w:rsidRPr="0017240C" w:rsidRDefault="00F7623B" w:rsidP="0017240C">
      <w:pPr>
        <w:pStyle w:val="ds-markdown-paragraph"/>
        <w:shd w:val="clear" w:color="auto" w:fill="FFFFFF"/>
        <w:spacing w:before="240" w:beforeAutospacing="0" w:after="240" w:afterAutospacing="0"/>
        <w:jc w:val="both"/>
        <w:rPr>
          <w:color w:val="0F1115"/>
          <w:sz w:val="20"/>
          <w:szCs w:val="20"/>
        </w:rPr>
      </w:pPr>
      <w:r>
        <w:rPr>
          <w:color w:val="0F1115"/>
          <w:sz w:val="20"/>
          <w:szCs w:val="20"/>
        </w:rPr>
        <w:t xml:space="preserve">Urbanization presents significant threats to biodiversity and ecosystem services, with pollinator decline and reduced community well-being becoming critical issues in rapidly expanding cities. This paper explores the role of urban green infrastructure in supporting pollinator biodiversity and improving community well-being in Ghanaian megacities, specifically Accra and Kumasi. By conducting a systematic review of literature from 2009 to 2025, </w:t>
      </w:r>
      <w:r w:rsidR="00C04BE8">
        <w:rPr>
          <w:color w:val="0F1115"/>
          <w:sz w:val="20"/>
          <w:szCs w:val="20"/>
        </w:rPr>
        <w:t>this review</w:t>
      </w:r>
      <w:r>
        <w:rPr>
          <w:color w:val="0F1115"/>
          <w:sz w:val="20"/>
          <w:szCs w:val="20"/>
        </w:rPr>
        <w:t xml:space="preserve"> combines evidence from both global and local contexts to assess how urban green spaces like parks, gardens, street trees, and other green areas contribute to ecological and social resilience. The results show that urban green infrastructure provides vital habitats, floral resources, and ecological links for pollinators, while also offering considerable benefits to human health, social cohesion, cultural identity, and climate resilience. Nonetheless, the paper highlights challenges such as unequal access, ornamental landscaping, fragmented governance, and insufficient policy integration. It concludes with recommendations for context-sensitive planning of urban green infrastructure that emphasizes native species, adaptive management, fair distribution, and community participation to promote pollinator conservation and human well-being equally in Ghana’s cities.</w:t>
      </w:r>
      <w:bookmarkStart w:id="0" w:name="_GoBack"/>
      <w:bookmarkEnd w:id="0"/>
    </w:p>
    <w:p w14:paraId="142A4846" w14:textId="77777777" w:rsidR="0017240C" w:rsidRPr="0017240C" w:rsidRDefault="0017240C" w:rsidP="0017240C">
      <w:pPr>
        <w:pStyle w:val="ds-markdown-paragraph"/>
        <w:shd w:val="clear" w:color="auto" w:fill="FFFFFF"/>
        <w:spacing w:before="240" w:beforeAutospacing="0" w:after="240" w:afterAutospacing="0"/>
        <w:rPr>
          <w:color w:val="0F1115"/>
          <w:sz w:val="20"/>
          <w:szCs w:val="20"/>
        </w:rPr>
      </w:pPr>
      <w:r w:rsidRPr="0017240C">
        <w:rPr>
          <w:rStyle w:val="Strong"/>
          <w:color w:val="0F1115"/>
          <w:sz w:val="20"/>
          <w:szCs w:val="20"/>
        </w:rPr>
        <w:t>Keywords:</w:t>
      </w:r>
      <w:r w:rsidRPr="0017240C">
        <w:rPr>
          <w:color w:val="0F1115"/>
          <w:sz w:val="20"/>
          <w:szCs w:val="20"/>
        </w:rPr>
        <w:t> Urban Green Infrastructure, Pollinator Biodiversit</w:t>
      </w:r>
      <w:r>
        <w:rPr>
          <w:color w:val="0F1115"/>
          <w:sz w:val="20"/>
          <w:szCs w:val="20"/>
        </w:rPr>
        <w:t xml:space="preserve">y, Community Well-being, </w:t>
      </w:r>
      <w:r w:rsidR="009951DF">
        <w:rPr>
          <w:color w:val="0F1115"/>
          <w:sz w:val="20"/>
          <w:szCs w:val="20"/>
        </w:rPr>
        <w:t>Ghanaian</w:t>
      </w:r>
      <w:r>
        <w:rPr>
          <w:color w:val="0F1115"/>
          <w:sz w:val="20"/>
          <w:szCs w:val="20"/>
        </w:rPr>
        <w:t xml:space="preserve"> Cities</w:t>
      </w:r>
    </w:p>
    <w:p w14:paraId="352369D7" w14:textId="77777777" w:rsidR="00F85714" w:rsidRDefault="00F85714" w:rsidP="000501F0">
      <w:pPr>
        <w:spacing w:line="240" w:lineRule="auto"/>
        <w:jc w:val="both"/>
        <w:rPr>
          <w:rFonts w:ascii="Times New Roman" w:hAnsi="Times New Roman" w:cs="Times New Roman"/>
          <w:b/>
          <w:sz w:val="20"/>
          <w:szCs w:val="20"/>
          <w:lang w:val="en-US"/>
        </w:rPr>
      </w:pPr>
    </w:p>
    <w:p w14:paraId="2AA030BA" w14:textId="77777777" w:rsidR="00CB06F0" w:rsidRDefault="00CB06F0" w:rsidP="000501F0">
      <w:pPr>
        <w:spacing w:line="240" w:lineRule="auto"/>
        <w:jc w:val="both"/>
        <w:rPr>
          <w:rFonts w:ascii="Times New Roman" w:hAnsi="Times New Roman" w:cs="Times New Roman"/>
          <w:b/>
          <w:sz w:val="20"/>
          <w:szCs w:val="20"/>
          <w:lang w:val="en-US"/>
        </w:rPr>
      </w:pPr>
    </w:p>
    <w:p w14:paraId="5E7A1E52" w14:textId="77777777" w:rsidR="00CB06F0" w:rsidRDefault="00CB06F0" w:rsidP="000501F0">
      <w:pPr>
        <w:spacing w:line="240" w:lineRule="auto"/>
        <w:jc w:val="both"/>
        <w:rPr>
          <w:rFonts w:ascii="Times New Roman" w:hAnsi="Times New Roman" w:cs="Times New Roman"/>
          <w:b/>
          <w:sz w:val="20"/>
          <w:szCs w:val="20"/>
          <w:lang w:val="en-US"/>
        </w:rPr>
      </w:pPr>
    </w:p>
    <w:p w14:paraId="0DEA05F6" w14:textId="77777777" w:rsidR="00CB06F0" w:rsidRDefault="00CB06F0" w:rsidP="000501F0">
      <w:pPr>
        <w:spacing w:line="240" w:lineRule="auto"/>
        <w:jc w:val="both"/>
        <w:rPr>
          <w:rFonts w:ascii="Times New Roman" w:hAnsi="Times New Roman" w:cs="Times New Roman"/>
          <w:b/>
          <w:sz w:val="20"/>
          <w:szCs w:val="20"/>
          <w:lang w:val="en-US"/>
        </w:rPr>
      </w:pPr>
    </w:p>
    <w:p w14:paraId="65F35D7F" w14:textId="77777777" w:rsidR="00CB06F0" w:rsidRDefault="00CB06F0" w:rsidP="000501F0">
      <w:pPr>
        <w:spacing w:line="240" w:lineRule="auto"/>
        <w:jc w:val="both"/>
        <w:rPr>
          <w:rFonts w:ascii="Times New Roman" w:hAnsi="Times New Roman" w:cs="Times New Roman"/>
          <w:b/>
          <w:sz w:val="20"/>
          <w:szCs w:val="20"/>
          <w:lang w:val="en-US"/>
        </w:rPr>
      </w:pPr>
    </w:p>
    <w:p w14:paraId="4456B4A4" w14:textId="77777777" w:rsidR="00CB06F0" w:rsidRDefault="00CB06F0" w:rsidP="000501F0">
      <w:pPr>
        <w:spacing w:line="240" w:lineRule="auto"/>
        <w:jc w:val="both"/>
        <w:rPr>
          <w:rFonts w:ascii="Times New Roman" w:hAnsi="Times New Roman" w:cs="Times New Roman"/>
          <w:b/>
          <w:sz w:val="20"/>
          <w:szCs w:val="20"/>
          <w:lang w:val="en-US"/>
        </w:rPr>
      </w:pPr>
    </w:p>
    <w:p w14:paraId="4D5CD9CF" w14:textId="77777777" w:rsidR="00CB06F0" w:rsidRDefault="00CB06F0" w:rsidP="000501F0">
      <w:pPr>
        <w:spacing w:line="240" w:lineRule="auto"/>
        <w:jc w:val="both"/>
        <w:rPr>
          <w:rFonts w:ascii="Times New Roman" w:hAnsi="Times New Roman" w:cs="Times New Roman"/>
          <w:b/>
          <w:sz w:val="20"/>
          <w:szCs w:val="20"/>
          <w:lang w:val="en-US"/>
        </w:rPr>
      </w:pPr>
    </w:p>
    <w:p w14:paraId="7E1CB90E" w14:textId="77777777" w:rsidR="00CB06F0" w:rsidRDefault="00CB06F0" w:rsidP="000501F0">
      <w:pPr>
        <w:spacing w:line="240" w:lineRule="auto"/>
        <w:jc w:val="both"/>
        <w:rPr>
          <w:rFonts w:ascii="Times New Roman" w:hAnsi="Times New Roman" w:cs="Times New Roman"/>
          <w:b/>
          <w:sz w:val="20"/>
          <w:szCs w:val="20"/>
          <w:lang w:val="en-US"/>
        </w:rPr>
      </w:pPr>
    </w:p>
    <w:p w14:paraId="2EF44CA4" w14:textId="77777777" w:rsidR="00CB06F0" w:rsidRDefault="00CB06F0" w:rsidP="000501F0">
      <w:pPr>
        <w:spacing w:line="240" w:lineRule="auto"/>
        <w:jc w:val="both"/>
        <w:rPr>
          <w:rFonts w:ascii="Times New Roman" w:hAnsi="Times New Roman" w:cs="Times New Roman"/>
          <w:b/>
          <w:sz w:val="20"/>
          <w:szCs w:val="20"/>
          <w:lang w:val="en-US"/>
        </w:rPr>
      </w:pPr>
    </w:p>
    <w:p w14:paraId="6D2D0179" w14:textId="77777777" w:rsidR="00CB06F0" w:rsidRDefault="00CB06F0" w:rsidP="000501F0">
      <w:pPr>
        <w:spacing w:line="240" w:lineRule="auto"/>
        <w:jc w:val="both"/>
        <w:rPr>
          <w:rFonts w:ascii="Times New Roman" w:hAnsi="Times New Roman" w:cs="Times New Roman"/>
          <w:b/>
          <w:sz w:val="20"/>
          <w:szCs w:val="20"/>
          <w:lang w:val="en-US"/>
        </w:rPr>
      </w:pPr>
    </w:p>
    <w:p w14:paraId="729E6D40" w14:textId="77777777" w:rsidR="00CB06F0" w:rsidRDefault="00CB06F0" w:rsidP="000501F0">
      <w:pPr>
        <w:spacing w:line="240" w:lineRule="auto"/>
        <w:jc w:val="both"/>
        <w:rPr>
          <w:rFonts w:ascii="Times New Roman" w:hAnsi="Times New Roman" w:cs="Times New Roman"/>
          <w:b/>
          <w:sz w:val="20"/>
          <w:szCs w:val="20"/>
          <w:lang w:val="en-US"/>
        </w:rPr>
      </w:pPr>
    </w:p>
    <w:p w14:paraId="42D2187A" w14:textId="77777777" w:rsidR="00CB06F0" w:rsidRDefault="00CB06F0" w:rsidP="000501F0">
      <w:pPr>
        <w:spacing w:line="240" w:lineRule="auto"/>
        <w:jc w:val="both"/>
        <w:rPr>
          <w:rFonts w:ascii="Times New Roman" w:hAnsi="Times New Roman" w:cs="Times New Roman"/>
          <w:b/>
          <w:sz w:val="20"/>
          <w:szCs w:val="20"/>
          <w:lang w:val="en-US"/>
        </w:rPr>
      </w:pPr>
    </w:p>
    <w:p w14:paraId="1101CD46" w14:textId="77777777" w:rsidR="00CB06F0" w:rsidRDefault="00CB06F0" w:rsidP="000501F0">
      <w:pPr>
        <w:spacing w:line="240" w:lineRule="auto"/>
        <w:jc w:val="both"/>
        <w:rPr>
          <w:rFonts w:ascii="Times New Roman" w:hAnsi="Times New Roman" w:cs="Times New Roman"/>
          <w:b/>
          <w:sz w:val="20"/>
          <w:szCs w:val="20"/>
          <w:lang w:val="en-US"/>
        </w:rPr>
      </w:pPr>
    </w:p>
    <w:p w14:paraId="0D2CBED0" w14:textId="77777777" w:rsidR="00CB06F0" w:rsidRDefault="00CB06F0" w:rsidP="000501F0">
      <w:pPr>
        <w:spacing w:line="240" w:lineRule="auto"/>
        <w:jc w:val="both"/>
        <w:rPr>
          <w:rFonts w:ascii="Times New Roman" w:hAnsi="Times New Roman" w:cs="Times New Roman"/>
          <w:b/>
          <w:sz w:val="20"/>
          <w:szCs w:val="20"/>
          <w:lang w:val="en-US"/>
        </w:rPr>
      </w:pPr>
    </w:p>
    <w:p w14:paraId="08A0F6E0" w14:textId="77777777" w:rsidR="00CB06F0" w:rsidRDefault="00CB06F0" w:rsidP="000501F0">
      <w:pPr>
        <w:spacing w:line="240" w:lineRule="auto"/>
        <w:jc w:val="both"/>
        <w:rPr>
          <w:rFonts w:ascii="Times New Roman" w:hAnsi="Times New Roman" w:cs="Times New Roman"/>
          <w:b/>
          <w:sz w:val="20"/>
          <w:szCs w:val="20"/>
          <w:lang w:val="en-US"/>
        </w:rPr>
      </w:pPr>
    </w:p>
    <w:p w14:paraId="222BA387" w14:textId="77777777" w:rsidR="004B5D22" w:rsidRDefault="004B5D22" w:rsidP="000501F0">
      <w:pPr>
        <w:spacing w:line="240" w:lineRule="auto"/>
        <w:jc w:val="both"/>
        <w:rPr>
          <w:rFonts w:ascii="Times New Roman" w:hAnsi="Times New Roman" w:cs="Times New Roman"/>
          <w:b/>
          <w:sz w:val="20"/>
          <w:szCs w:val="20"/>
          <w:lang w:val="en-US"/>
        </w:rPr>
      </w:pPr>
    </w:p>
    <w:p w14:paraId="7F2D35B3" w14:textId="77777777" w:rsidR="004258E5" w:rsidRPr="00742B08" w:rsidRDefault="004258E5" w:rsidP="000501F0">
      <w:pPr>
        <w:spacing w:line="240" w:lineRule="auto"/>
        <w:jc w:val="both"/>
        <w:rPr>
          <w:rFonts w:ascii="Times New Roman" w:hAnsi="Times New Roman" w:cs="Times New Roman"/>
          <w:b/>
          <w:sz w:val="20"/>
          <w:szCs w:val="20"/>
          <w:lang w:val="en-US"/>
        </w:rPr>
      </w:pPr>
    </w:p>
    <w:p w14:paraId="0472150F" w14:textId="77777777" w:rsidR="00293FD3" w:rsidRPr="000501F0" w:rsidRDefault="00B27DD3" w:rsidP="000501F0">
      <w:pPr>
        <w:pStyle w:val="ListParagraph"/>
        <w:numPr>
          <w:ilvl w:val="0"/>
          <w:numId w:val="1"/>
        </w:numPr>
        <w:spacing w:line="240" w:lineRule="auto"/>
        <w:jc w:val="both"/>
        <w:rPr>
          <w:rFonts w:ascii="Times New Roman" w:hAnsi="Times New Roman" w:cs="Times New Roman"/>
          <w:b/>
          <w:sz w:val="20"/>
          <w:szCs w:val="20"/>
          <w:lang w:val="en-US"/>
        </w:rPr>
      </w:pPr>
      <w:r w:rsidRPr="000501F0">
        <w:rPr>
          <w:rFonts w:ascii="Times New Roman" w:hAnsi="Times New Roman" w:cs="Times New Roman"/>
          <w:b/>
          <w:sz w:val="20"/>
          <w:szCs w:val="20"/>
          <w:lang w:val="en-US"/>
        </w:rPr>
        <w:lastRenderedPageBreak/>
        <w:t>INTRODUCTION</w:t>
      </w:r>
    </w:p>
    <w:p w14:paraId="279E8BD6" w14:textId="77777777" w:rsidR="006976CF" w:rsidRPr="006976CF" w:rsidRDefault="006976CF" w:rsidP="006976CF">
      <w:pPr>
        <w:pStyle w:val="NormalWeb"/>
        <w:jc w:val="both"/>
        <w:rPr>
          <w:sz w:val="20"/>
          <w:szCs w:val="20"/>
        </w:rPr>
      </w:pPr>
      <w:r w:rsidRPr="006976CF">
        <w:rPr>
          <w:sz w:val="20"/>
          <w:szCs w:val="20"/>
        </w:rPr>
        <w:t xml:space="preserve">Urbanization alters ecosystems globally. City expansion </w:t>
      </w:r>
      <w:r w:rsidR="00655B39">
        <w:rPr>
          <w:sz w:val="20"/>
          <w:szCs w:val="20"/>
        </w:rPr>
        <w:t>isolates</w:t>
      </w:r>
      <w:r w:rsidRPr="006976CF">
        <w:rPr>
          <w:sz w:val="20"/>
          <w:szCs w:val="20"/>
        </w:rPr>
        <w:t xml:space="preserve"> habitat, disturbs ecosystem networks, and threatens basic services</w:t>
      </w:r>
      <w:r w:rsidR="0017240C">
        <w:rPr>
          <w:sz w:val="20"/>
          <w:szCs w:val="20"/>
        </w:rPr>
        <w:t>,</w:t>
      </w:r>
      <w:r w:rsidRPr="006976CF">
        <w:rPr>
          <w:sz w:val="20"/>
          <w:szCs w:val="20"/>
        </w:rPr>
        <w:t xml:space="preserve"> including pollination (Liang et al., 2023). Urban populations face risks of biodiversity erosion and </w:t>
      </w:r>
      <w:r>
        <w:rPr>
          <w:sz w:val="20"/>
          <w:szCs w:val="20"/>
        </w:rPr>
        <w:t>environmental</w:t>
      </w:r>
      <w:r w:rsidRPr="006976CF">
        <w:rPr>
          <w:sz w:val="20"/>
          <w:szCs w:val="20"/>
        </w:rPr>
        <w:t xml:space="preserve"> degradation (Díaz et al., 2019). Global pollinator populations decline through </w:t>
      </w:r>
      <w:r>
        <w:rPr>
          <w:sz w:val="20"/>
          <w:szCs w:val="20"/>
        </w:rPr>
        <w:t xml:space="preserve">the </w:t>
      </w:r>
      <w:r w:rsidRPr="006976CF">
        <w:rPr>
          <w:sz w:val="20"/>
          <w:szCs w:val="20"/>
        </w:rPr>
        <w:t>conversion of lands, pesticides, alien species, and climate change, threatening food supply and ecosystem fu</w:t>
      </w:r>
      <w:r>
        <w:rPr>
          <w:sz w:val="20"/>
          <w:szCs w:val="20"/>
        </w:rPr>
        <w:t xml:space="preserve">nctioning (Potts et al., 2010). </w:t>
      </w:r>
      <w:r w:rsidRPr="006976CF">
        <w:rPr>
          <w:sz w:val="20"/>
          <w:szCs w:val="20"/>
        </w:rPr>
        <w:t xml:space="preserve">Urban green infrastructure, </w:t>
      </w:r>
      <w:r w:rsidR="00F7623B">
        <w:rPr>
          <w:sz w:val="20"/>
          <w:szCs w:val="20"/>
        </w:rPr>
        <w:t>including green roofs, trees, gardens, roadsides, and parks, is crucial in balancing</w:t>
      </w:r>
      <w:r w:rsidRPr="006976CF">
        <w:rPr>
          <w:sz w:val="20"/>
          <w:szCs w:val="20"/>
        </w:rPr>
        <w:t xml:space="preserve"> urbanization, biodiversity protection, and human health (Cook et al., 2024). Scientific evidence suggests that green space diversity provides important pollinator habitat, enhances </w:t>
      </w:r>
      <w:r>
        <w:rPr>
          <w:sz w:val="20"/>
          <w:szCs w:val="20"/>
        </w:rPr>
        <w:t>ecological</w:t>
      </w:r>
      <w:r w:rsidRPr="006976CF">
        <w:rPr>
          <w:sz w:val="20"/>
          <w:szCs w:val="20"/>
        </w:rPr>
        <w:t xml:space="preserve"> interaction, and builds stress resiliency to environmental perturbations (Silva et al., 2024). Exposure to the sites also enhances mental health, facilitates social interaction, and raises physical activity levels, subsequently impacting the well-being of society (Jabbar et al., 2021).</w:t>
      </w:r>
    </w:p>
    <w:p w14:paraId="08674ABE" w14:textId="77777777" w:rsidR="006976CF" w:rsidRPr="006976CF" w:rsidRDefault="006976CF" w:rsidP="006976CF">
      <w:pPr>
        <w:pStyle w:val="NormalWeb"/>
        <w:jc w:val="both"/>
        <w:rPr>
          <w:sz w:val="20"/>
          <w:szCs w:val="20"/>
        </w:rPr>
      </w:pPr>
      <w:r w:rsidRPr="006976CF">
        <w:rPr>
          <w:sz w:val="20"/>
          <w:szCs w:val="20"/>
        </w:rPr>
        <w:t xml:space="preserve">Sub-Saharan cities are experiencing fast urbanization without appropriate </w:t>
      </w:r>
      <w:r>
        <w:rPr>
          <w:sz w:val="20"/>
          <w:szCs w:val="20"/>
        </w:rPr>
        <w:t>ecological</w:t>
      </w:r>
      <w:r w:rsidRPr="006976CF">
        <w:rPr>
          <w:sz w:val="20"/>
          <w:szCs w:val="20"/>
        </w:rPr>
        <w:t xml:space="preserve"> planning (Ayeni, 2025). The expansion puts pollinator biodiversity and fundamental ecosystem services to feed humanity at risk. Crops that </w:t>
      </w:r>
      <w:r w:rsidR="00F7623B">
        <w:rPr>
          <w:sz w:val="20"/>
          <w:szCs w:val="20"/>
        </w:rPr>
        <w:t xml:space="preserve">rely on pollination for their growth are of paramount importance for dietary diversity, and the loss of pollinators can be detrimental to household nutrition and </w:t>
      </w:r>
      <w:r w:rsidRPr="006976CF">
        <w:rPr>
          <w:sz w:val="20"/>
          <w:szCs w:val="20"/>
        </w:rPr>
        <w:t>resilience (Mulungu et al., 2023). Very little research has been done on urban pollinators, yet research has shown that cities, gardens, fragmenting forests, and altered green areas can accommodate remarkable pollinator diversity if they are managed effectively (Brom et al., 2022).</w:t>
      </w:r>
    </w:p>
    <w:p w14:paraId="7DAAFEC3" w14:textId="77777777" w:rsidR="00293FD3" w:rsidRPr="000501F0" w:rsidRDefault="006976CF" w:rsidP="006976CF">
      <w:pPr>
        <w:pStyle w:val="NormalWeb"/>
        <w:jc w:val="both"/>
        <w:rPr>
          <w:sz w:val="20"/>
          <w:szCs w:val="20"/>
        </w:rPr>
      </w:pPr>
      <w:r w:rsidRPr="006976CF">
        <w:rPr>
          <w:sz w:val="20"/>
          <w:szCs w:val="20"/>
        </w:rPr>
        <w:t xml:space="preserve">Urbanization of Ghana's cities has reduced green areas, impacting pollinator habitats and ecosystem services. Nevertheless, </w:t>
      </w:r>
      <w:r w:rsidR="00F7623B">
        <w:rPr>
          <w:sz w:val="20"/>
          <w:szCs w:val="20"/>
        </w:rPr>
        <w:t>Boakye et al.</w:t>
      </w:r>
      <w:r w:rsidR="00F7623B" w:rsidRPr="006976CF">
        <w:rPr>
          <w:sz w:val="20"/>
          <w:szCs w:val="20"/>
        </w:rPr>
        <w:t xml:space="preserve"> </w:t>
      </w:r>
      <w:r w:rsidR="00F7623B">
        <w:rPr>
          <w:sz w:val="20"/>
          <w:szCs w:val="20"/>
        </w:rPr>
        <w:t>(</w:t>
      </w:r>
      <w:r w:rsidR="00F7623B" w:rsidRPr="006976CF">
        <w:rPr>
          <w:sz w:val="20"/>
          <w:szCs w:val="20"/>
        </w:rPr>
        <w:t>2024)</w:t>
      </w:r>
      <w:r w:rsidRPr="006976CF">
        <w:rPr>
          <w:sz w:val="20"/>
          <w:szCs w:val="20"/>
        </w:rPr>
        <w:t xml:space="preserve"> </w:t>
      </w:r>
      <w:r w:rsidR="00F7623B">
        <w:rPr>
          <w:sz w:val="20"/>
          <w:szCs w:val="20"/>
        </w:rPr>
        <w:t>indicate</w:t>
      </w:r>
      <w:r w:rsidRPr="006976CF">
        <w:rPr>
          <w:sz w:val="20"/>
          <w:szCs w:val="20"/>
        </w:rPr>
        <w:t xml:space="preserve"> that incidental green blocks and modified landscapes accommodate flower-visiting ins</w:t>
      </w:r>
      <w:r w:rsidR="00F7623B">
        <w:rPr>
          <w:sz w:val="20"/>
          <w:szCs w:val="20"/>
        </w:rPr>
        <w:t>ects and benefit urban citizens</w:t>
      </w:r>
      <w:r w:rsidRPr="006976CF">
        <w:rPr>
          <w:sz w:val="20"/>
          <w:szCs w:val="20"/>
        </w:rPr>
        <w:t xml:space="preserve">. </w:t>
      </w:r>
      <w:r>
        <w:rPr>
          <w:sz w:val="20"/>
          <w:szCs w:val="20"/>
        </w:rPr>
        <w:t>Residents</w:t>
      </w:r>
      <w:r w:rsidRPr="006976CF">
        <w:rPr>
          <w:sz w:val="20"/>
          <w:szCs w:val="20"/>
        </w:rPr>
        <w:t xml:space="preserve"> access these sites for recreational purposes, climate regulation, and cultural services, underscoring biodiversity's interconnection with human well-being (Dietzel et al., 2023). Notwithstanding that, research linking urban green infrastructure to pollinator biodiversity and community well-being in Ghana is sparse. This paper assesses the contribution of urban green infrastructure to pollinator biodiversity and community well-being in Ghana's cities.</w:t>
      </w:r>
    </w:p>
    <w:p w14:paraId="23FC7155" w14:textId="77777777" w:rsidR="00A52DF4" w:rsidRPr="000501F0" w:rsidRDefault="00B27DD3" w:rsidP="000501F0">
      <w:pPr>
        <w:pStyle w:val="NormalWeb"/>
        <w:numPr>
          <w:ilvl w:val="0"/>
          <w:numId w:val="1"/>
        </w:numPr>
        <w:jc w:val="both"/>
        <w:rPr>
          <w:b/>
          <w:sz w:val="20"/>
          <w:szCs w:val="20"/>
        </w:rPr>
      </w:pPr>
      <w:r w:rsidRPr="000501F0">
        <w:rPr>
          <w:b/>
          <w:sz w:val="20"/>
          <w:szCs w:val="20"/>
        </w:rPr>
        <w:t>LITERATURE REVIEW</w:t>
      </w:r>
    </w:p>
    <w:p w14:paraId="26949256" w14:textId="77777777" w:rsidR="00887ED0" w:rsidRPr="000501F0" w:rsidRDefault="00876DAD" w:rsidP="000501F0">
      <w:pPr>
        <w:pStyle w:val="NormalWeb"/>
        <w:numPr>
          <w:ilvl w:val="1"/>
          <w:numId w:val="1"/>
        </w:numPr>
        <w:jc w:val="both"/>
        <w:rPr>
          <w:b/>
          <w:sz w:val="20"/>
          <w:szCs w:val="20"/>
        </w:rPr>
      </w:pPr>
      <w:r w:rsidRPr="000501F0">
        <w:rPr>
          <w:b/>
          <w:sz w:val="20"/>
          <w:szCs w:val="20"/>
        </w:rPr>
        <w:t>Over</w:t>
      </w:r>
      <w:r w:rsidR="00887ED0" w:rsidRPr="000501F0">
        <w:rPr>
          <w:b/>
          <w:sz w:val="20"/>
          <w:szCs w:val="20"/>
        </w:rPr>
        <w:t xml:space="preserve">view of </w:t>
      </w:r>
      <w:r w:rsidR="00A52DF4" w:rsidRPr="000501F0">
        <w:rPr>
          <w:b/>
          <w:sz w:val="20"/>
          <w:szCs w:val="20"/>
        </w:rPr>
        <w:t>Urban Green Infrastructure</w:t>
      </w:r>
    </w:p>
    <w:p w14:paraId="2CBEB985" w14:textId="77777777" w:rsidR="00887ED0" w:rsidRDefault="00907052" w:rsidP="00907052">
      <w:pPr>
        <w:pStyle w:val="NormalWeb"/>
        <w:jc w:val="both"/>
        <w:rPr>
          <w:sz w:val="20"/>
          <w:szCs w:val="20"/>
        </w:rPr>
      </w:pPr>
      <w:r w:rsidRPr="00907052">
        <w:rPr>
          <w:sz w:val="20"/>
          <w:szCs w:val="20"/>
        </w:rPr>
        <w:t>Urban green infrastructure is deliberately designed sets of natural and engineered green and blue sites of cities that provide biodiversity, social, and economic value. It consists of green roofs, trees, urban forests, gardens, wetlands, and bioswales that are in connected systems (Wang et al., 2024). The concept has evolved from standalone green amenities to connected solutions managing urban growth with biodiversity and hu</w:t>
      </w:r>
      <w:r w:rsidR="00830699">
        <w:rPr>
          <w:sz w:val="20"/>
          <w:szCs w:val="20"/>
        </w:rPr>
        <w:t xml:space="preserve">man health (Cook et al., 2024). </w:t>
      </w:r>
      <w:r w:rsidRPr="00907052">
        <w:rPr>
          <w:sz w:val="20"/>
          <w:szCs w:val="20"/>
        </w:rPr>
        <w:t xml:space="preserve">Urban green infrastructure is appreciated for its multipurpose nature, providing services such as purification of </w:t>
      </w:r>
      <w:r w:rsidR="00787F28">
        <w:rPr>
          <w:sz w:val="20"/>
          <w:szCs w:val="20"/>
        </w:rPr>
        <w:t>air</w:t>
      </w:r>
      <w:r w:rsidRPr="00907052">
        <w:rPr>
          <w:sz w:val="20"/>
          <w:szCs w:val="20"/>
        </w:rPr>
        <w:t>, regulation of climate, and stormwater control, as well as habitat provision, pollination, urban farming, and cultural value connected to recreation and health (Isola et al., 2024; Hanna et al., 2024). Small, maintained green sites with indigenous vegetation and varied species can increase biodiversity</w:t>
      </w:r>
      <w:r w:rsidR="00DA6454">
        <w:rPr>
          <w:sz w:val="20"/>
          <w:szCs w:val="20"/>
        </w:rPr>
        <w:t>, including pollinating insects</w:t>
      </w:r>
      <w:r w:rsidRPr="00907052">
        <w:rPr>
          <w:sz w:val="20"/>
          <w:szCs w:val="20"/>
        </w:rPr>
        <w:t xml:space="preserve">, and thus urban green infrastructure is important in </w:t>
      </w:r>
      <w:r w:rsidR="00830699">
        <w:rPr>
          <w:sz w:val="20"/>
          <w:szCs w:val="20"/>
        </w:rPr>
        <w:t>megacities with sparse habitat</w:t>
      </w:r>
      <w:r w:rsidR="00DA6454">
        <w:rPr>
          <w:sz w:val="20"/>
          <w:szCs w:val="20"/>
        </w:rPr>
        <w:t xml:space="preserve"> </w:t>
      </w:r>
      <w:r w:rsidR="00DA6454" w:rsidRPr="00907052">
        <w:rPr>
          <w:sz w:val="20"/>
          <w:szCs w:val="20"/>
        </w:rPr>
        <w:t>(Süle et al., 2025)</w:t>
      </w:r>
      <w:r w:rsidR="00830699">
        <w:rPr>
          <w:sz w:val="20"/>
          <w:szCs w:val="20"/>
        </w:rPr>
        <w:t xml:space="preserve">. </w:t>
      </w:r>
      <w:r w:rsidRPr="00907052">
        <w:rPr>
          <w:sz w:val="20"/>
          <w:szCs w:val="20"/>
        </w:rPr>
        <w:t>Urban green infrastructure is of increasing interest in sub-Saharan Africa in spite of the problems it is going through. Urbanization has reduced green space for the public, and decentralized government hinders planning (</w:t>
      </w:r>
      <w:proofErr w:type="spellStart"/>
      <w:r w:rsidRPr="00907052">
        <w:rPr>
          <w:sz w:val="20"/>
          <w:szCs w:val="20"/>
        </w:rPr>
        <w:t>Puplampu</w:t>
      </w:r>
      <w:proofErr w:type="spellEnd"/>
      <w:r w:rsidRPr="00907052">
        <w:rPr>
          <w:sz w:val="20"/>
          <w:szCs w:val="20"/>
        </w:rPr>
        <w:t xml:space="preserve"> &amp; </w:t>
      </w:r>
      <w:proofErr w:type="spellStart"/>
      <w:r w:rsidRPr="00907052">
        <w:rPr>
          <w:sz w:val="20"/>
          <w:szCs w:val="20"/>
        </w:rPr>
        <w:t>Boafo</w:t>
      </w:r>
      <w:proofErr w:type="spellEnd"/>
      <w:r w:rsidRPr="00907052">
        <w:rPr>
          <w:sz w:val="20"/>
          <w:szCs w:val="20"/>
        </w:rPr>
        <w:t>, 2021). Accra in Ghana shows declining green space per capita from conversion for residential purposes, to the disadvantage of ecosystem services (</w:t>
      </w:r>
      <w:proofErr w:type="spellStart"/>
      <w:r w:rsidRPr="00907052">
        <w:rPr>
          <w:sz w:val="20"/>
          <w:szCs w:val="20"/>
        </w:rPr>
        <w:t>Puplampu</w:t>
      </w:r>
      <w:proofErr w:type="spellEnd"/>
      <w:r w:rsidRPr="00907052">
        <w:rPr>
          <w:sz w:val="20"/>
          <w:szCs w:val="20"/>
        </w:rPr>
        <w:t xml:space="preserve"> &amp; </w:t>
      </w:r>
      <w:proofErr w:type="spellStart"/>
      <w:r w:rsidRPr="00907052">
        <w:rPr>
          <w:sz w:val="20"/>
          <w:szCs w:val="20"/>
        </w:rPr>
        <w:t>Boafo</w:t>
      </w:r>
      <w:proofErr w:type="spellEnd"/>
      <w:r w:rsidRPr="00907052">
        <w:rPr>
          <w:sz w:val="20"/>
          <w:szCs w:val="20"/>
        </w:rPr>
        <w:t>, 2021). But resilience is evident; home gardens and local projects in cities show citizens taking adaptation steps by having small-scale green infrastructure that is beneficial for biodiversity a</w:t>
      </w:r>
      <w:r w:rsidR="00830699">
        <w:rPr>
          <w:sz w:val="20"/>
          <w:szCs w:val="20"/>
        </w:rPr>
        <w:t>nd well-being (</w:t>
      </w:r>
      <w:proofErr w:type="spellStart"/>
      <w:r w:rsidR="00830699">
        <w:rPr>
          <w:sz w:val="20"/>
          <w:szCs w:val="20"/>
        </w:rPr>
        <w:t>Akanbang</w:t>
      </w:r>
      <w:proofErr w:type="spellEnd"/>
      <w:r w:rsidR="00830699">
        <w:rPr>
          <w:sz w:val="20"/>
          <w:szCs w:val="20"/>
        </w:rPr>
        <w:t xml:space="preserve">, 2024). </w:t>
      </w:r>
      <w:r w:rsidRPr="00907052">
        <w:rPr>
          <w:sz w:val="20"/>
          <w:szCs w:val="20"/>
        </w:rPr>
        <w:t xml:space="preserve">Research puts equity at the forefront of urban green infrastructure. Global research shows its benefit to health, yet </w:t>
      </w:r>
      <w:r>
        <w:rPr>
          <w:sz w:val="20"/>
          <w:szCs w:val="20"/>
        </w:rPr>
        <w:t xml:space="preserve">the </w:t>
      </w:r>
      <w:r w:rsidRPr="00907052">
        <w:rPr>
          <w:sz w:val="20"/>
          <w:szCs w:val="20"/>
        </w:rPr>
        <w:t>availability of quality green space is sporadic, and social and spatial inequities are revealed (Cook et al., 2024). In the megacities of Ghana, wealthier wards enjoy more green space, while poor wards are more densely populated with limited green space (</w:t>
      </w:r>
      <w:proofErr w:type="spellStart"/>
      <w:r w:rsidRPr="00907052">
        <w:rPr>
          <w:sz w:val="20"/>
          <w:szCs w:val="20"/>
        </w:rPr>
        <w:t>Puplampu</w:t>
      </w:r>
      <w:proofErr w:type="spellEnd"/>
      <w:r w:rsidRPr="00907052">
        <w:rPr>
          <w:sz w:val="20"/>
          <w:szCs w:val="20"/>
        </w:rPr>
        <w:t xml:space="preserve"> &amp; </w:t>
      </w:r>
      <w:proofErr w:type="spellStart"/>
      <w:r w:rsidRPr="00907052">
        <w:rPr>
          <w:sz w:val="20"/>
          <w:szCs w:val="20"/>
        </w:rPr>
        <w:t>Boafo</w:t>
      </w:r>
      <w:proofErr w:type="spellEnd"/>
      <w:r w:rsidRPr="00907052">
        <w:rPr>
          <w:sz w:val="20"/>
          <w:szCs w:val="20"/>
        </w:rPr>
        <w:t>, 2021). Rectifying these inequities necessitates planning that balances social equity with ecological interest.</w:t>
      </w:r>
    </w:p>
    <w:p w14:paraId="2BDFF9B6" w14:textId="77777777" w:rsidR="00DA6454" w:rsidRDefault="00DA6454" w:rsidP="00907052">
      <w:pPr>
        <w:pStyle w:val="NormalWeb"/>
        <w:jc w:val="both"/>
        <w:rPr>
          <w:sz w:val="20"/>
          <w:szCs w:val="20"/>
        </w:rPr>
      </w:pPr>
    </w:p>
    <w:p w14:paraId="4A7B7F27" w14:textId="77777777" w:rsidR="00DA6454" w:rsidRPr="000501F0" w:rsidRDefault="00DA6454" w:rsidP="00907052">
      <w:pPr>
        <w:pStyle w:val="NormalWeb"/>
        <w:jc w:val="both"/>
        <w:rPr>
          <w:sz w:val="20"/>
          <w:szCs w:val="20"/>
        </w:rPr>
      </w:pPr>
    </w:p>
    <w:p w14:paraId="7EC9D24E" w14:textId="77777777" w:rsidR="00A52DF4" w:rsidRPr="000501F0" w:rsidRDefault="00787F28" w:rsidP="000501F0">
      <w:pPr>
        <w:pStyle w:val="NormalWeb"/>
        <w:numPr>
          <w:ilvl w:val="1"/>
          <w:numId w:val="1"/>
        </w:numPr>
        <w:jc w:val="both"/>
        <w:rPr>
          <w:b/>
          <w:sz w:val="20"/>
          <w:szCs w:val="20"/>
        </w:rPr>
      </w:pPr>
      <w:r>
        <w:rPr>
          <w:b/>
          <w:sz w:val="20"/>
          <w:szCs w:val="20"/>
        </w:rPr>
        <w:lastRenderedPageBreak/>
        <w:t>Overview</w:t>
      </w:r>
      <w:r w:rsidR="00A52DF4" w:rsidRPr="000501F0">
        <w:rPr>
          <w:b/>
          <w:sz w:val="20"/>
          <w:szCs w:val="20"/>
        </w:rPr>
        <w:t xml:space="preserve"> of Pollinator Biodiversity</w:t>
      </w:r>
    </w:p>
    <w:p w14:paraId="1F96040E" w14:textId="77777777" w:rsidR="00907052" w:rsidRPr="00907052" w:rsidRDefault="00787F28" w:rsidP="00907052">
      <w:pPr>
        <w:pStyle w:val="NormalWeb"/>
        <w:jc w:val="both"/>
        <w:rPr>
          <w:sz w:val="20"/>
          <w:szCs w:val="20"/>
        </w:rPr>
      </w:pPr>
      <w:r>
        <w:rPr>
          <w:sz w:val="20"/>
          <w:szCs w:val="20"/>
        </w:rPr>
        <w:t>Pollinators</w:t>
      </w:r>
      <w:r w:rsidR="00907052" w:rsidRPr="00907052">
        <w:rPr>
          <w:sz w:val="20"/>
          <w:szCs w:val="20"/>
        </w:rPr>
        <w:t xml:space="preserve"> such as birds, butterflies, and bees are essential to ecosystems and food supply. They contribute to reproducing almost 90% of wild flowering crops and more than 75% of principal crops (IPBES, 2016). Their contribution is pivotal to food supply, genetic variety, and the sustainability of ecosystems. Yet, pollinators are experiencing severe declines as a result of habitat destruction, pesticides, climate change, alien invaders, and urbanization (Potts et al., 2021). Urban cities, often considered biodiversity perils, can be refugia for certain pollinators if cities are planned with lush green sites (Hal</w:t>
      </w:r>
      <w:r w:rsidR="00830699">
        <w:rPr>
          <w:sz w:val="20"/>
          <w:szCs w:val="20"/>
        </w:rPr>
        <w:t xml:space="preserve">l et al., 2017; </w:t>
      </w:r>
      <w:proofErr w:type="spellStart"/>
      <w:r w:rsidR="00830699">
        <w:rPr>
          <w:sz w:val="20"/>
          <w:szCs w:val="20"/>
        </w:rPr>
        <w:t>Baldock</w:t>
      </w:r>
      <w:proofErr w:type="spellEnd"/>
      <w:r w:rsidR="00830699">
        <w:rPr>
          <w:sz w:val="20"/>
          <w:szCs w:val="20"/>
        </w:rPr>
        <w:t xml:space="preserve">, 2020). </w:t>
      </w:r>
      <w:r w:rsidR="00907052" w:rsidRPr="00907052">
        <w:rPr>
          <w:sz w:val="20"/>
          <w:szCs w:val="20"/>
        </w:rPr>
        <w:t>Evidence shows that cities can support lush pollinator assemblages. Research in Europe and North America documents that cities actually support higher wild bee diversity by virtue of diversified habitat and year-round flowers (</w:t>
      </w:r>
      <w:proofErr w:type="spellStart"/>
      <w:r w:rsidR="00907052" w:rsidRPr="00907052">
        <w:rPr>
          <w:sz w:val="20"/>
          <w:szCs w:val="20"/>
        </w:rPr>
        <w:t>Baldock</w:t>
      </w:r>
      <w:proofErr w:type="spellEnd"/>
      <w:r w:rsidR="00907052" w:rsidRPr="00907052">
        <w:rPr>
          <w:sz w:val="20"/>
          <w:szCs w:val="20"/>
        </w:rPr>
        <w:t>, 2020; Hall et al., 2017). However, urban populations almost always consist of generalist species, and specialists are at higher risk of extinction with potential for homogenization of pollinator biodiversity in c</w:t>
      </w:r>
      <w:r w:rsidR="00830699">
        <w:rPr>
          <w:sz w:val="20"/>
          <w:szCs w:val="20"/>
        </w:rPr>
        <w:t xml:space="preserve">ities (Threlfall et al., 2017). </w:t>
      </w:r>
      <w:r w:rsidR="00907052" w:rsidRPr="00907052">
        <w:rPr>
          <w:sz w:val="20"/>
          <w:szCs w:val="20"/>
        </w:rPr>
        <w:t>For sub-Saharan Africa, pollinator studies are limited but emphasize their economic and ecological significance. Local bees are important for non-timber plants and highly prized crops like cocoa, mango, and cashew (Kasina et al., 2009). However, tropical pollinators in tropical Africa are threatened by deforestation, climate change, and urbanization. Urban pollinator studies in Africa lag behind those of the advanced world, thus establishing vast knowledge gaps to be bridged for green infrastructure planning and management of cities.</w:t>
      </w:r>
    </w:p>
    <w:p w14:paraId="59266187" w14:textId="77777777" w:rsidR="00887ED0" w:rsidRPr="000501F0" w:rsidRDefault="00907052" w:rsidP="00907052">
      <w:pPr>
        <w:pStyle w:val="NormalWeb"/>
        <w:jc w:val="both"/>
        <w:rPr>
          <w:sz w:val="20"/>
          <w:szCs w:val="20"/>
        </w:rPr>
      </w:pPr>
      <w:r w:rsidRPr="00907052">
        <w:rPr>
          <w:sz w:val="20"/>
          <w:szCs w:val="20"/>
        </w:rPr>
        <w:t>For Ghana, pollinators are crucial for livelihoods and biodiversity. Cocoa is dependent upon insect pollinators, primarily midges, while tomatoes, okra, and peppers are pollinated by bees (</w:t>
      </w:r>
      <w:proofErr w:type="spellStart"/>
      <w:r w:rsidRPr="00907052">
        <w:rPr>
          <w:sz w:val="20"/>
          <w:szCs w:val="20"/>
        </w:rPr>
        <w:t>Kwapong</w:t>
      </w:r>
      <w:proofErr w:type="spellEnd"/>
      <w:r w:rsidRPr="00907052">
        <w:rPr>
          <w:sz w:val="20"/>
          <w:szCs w:val="20"/>
        </w:rPr>
        <w:t xml:space="preserve"> et al., 2010). While little is known in Ghana from research concerning urban pollinator biodiversity, even that research is limited to rural components. Therefore, little is known at the moment concerning how Accra and Kumasi's urban green </w:t>
      </w:r>
      <w:r w:rsidR="00563A55">
        <w:rPr>
          <w:sz w:val="20"/>
          <w:szCs w:val="20"/>
        </w:rPr>
        <w:t>spaces</w:t>
      </w:r>
      <w:r w:rsidRPr="00907052">
        <w:rPr>
          <w:sz w:val="20"/>
          <w:szCs w:val="20"/>
        </w:rPr>
        <w:t xml:space="preserve"> </w:t>
      </w:r>
      <w:r w:rsidR="00563A55">
        <w:rPr>
          <w:sz w:val="20"/>
          <w:szCs w:val="20"/>
        </w:rPr>
        <w:t>support</w:t>
      </w:r>
      <w:r w:rsidRPr="00907052">
        <w:rPr>
          <w:sz w:val="20"/>
          <w:szCs w:val="20"/>
        </w:rPr>
        <w:t xml:space="preserve"> pollinators. Habitat destruction has been directly contributed to by urbanization and has resulted in more surfaces becoming impervious, directly threatening habitat (</w:t>
      </w:r>
      <w:proofErr w:type="spellStart"/>
      <w:r w:rsidRPr="00907052">
        <w:rPr>
          <w:sz w:val="20"/>
          <w:szCs w:val="20"/>
        </w:rPr>
        <w:t>Puplampu</w:t>
      </w:r>
      <w:proofErr w:type="spellEnd"/>
      <w:r w:rsidRPr="00907052">
        <w:rPr>
          <w:sz w:val="20"/>
          <w:szCs w:val="20"/>
        </w:rPr>
        <w:t xml:space="preserve"> &amp;</w:t>
      </w:r>
      <w:r w:rsidR="00830699">
        <w:rPr>
          <w:sz w:val="20"/>
          <w:szCs w:val="20"/>
        </w:rPr>
        <w:t xml:space="preserve"> </w:t>
      </w:r>
      <w:proofErr w:type="spellStart"/>
      <w:r w:rsidR="00830699">
        <w:rPr>
          <w:sz w:val="20"/>
          <w:szCs w:val="20"/>
        </w:rPr>
        <w:t>Boafo</w:t>
      </w:r>
      <w:proofErr w:type="spellEnd"/>
      <w:r w:rsidR="00830699">
        <w:rPr>
          <w:sz w:val="20"/>
          <w:szCs w:val="20"/>
        </w:rPr>
        <w:t xml:space="preserve">, 2021). </w:t>
      </w:r>
      <w:r w:rsidRPr="00907052">
        <w:rPr>
          <w:sz w:val="20"/>
          <w:szCs w:val="20"/>
        </w:rPr>
        <w:t>Cities hold potential to be pollinator conservation frontiers under appropriate management (</w:t>
      </w:r>
      <w:proofErr w:type="spellStart"/>
      <w:r w:rsidRPr="00907052">
        <w:rPr>
          <w:sz w:val="20"/>
          <w:szCs w:val="20"/>
        </w:rPr>
        <w:t>Baldock</w:t>
      </w:r>
      <w:proofErr w:type="spellEnd"/>
      <w:r w:rsidRPr="00907052">
        <w:rPr>
          <w:sz w:val="20"/>
          <w:szCs w:val="20"/>
        </w:rPr>
        <w:t xml:space="preserve">, 2020). However, in Ghana's megacities, the integration of pollinator-friendly activities into cities' green areas has yet to gain traction. It is just as much the problem as it is the solution for </w:t>
      </w:r>
      <w:proofErr w:type="spellStart"/>
      <w:r w:rsidRPr="00907052">
        <w:rPr>
          <w:sz w:val="20"/>
          <w:szCs w:val="20"/>
        </w:rPr>
        <w:t>multicentred</w:t>
      </w:r>
      <w:proofErr w:type="spellEnd"/>
      <w:r w:rsidRPr="00907052">
        <w:rPr>
          <w:sz w:val="20"/>
          <w:szCs w:val="20"/>
        </w:rPr>
        <w:t xml:space="preserve"> green belts that boost biodiversity and human well-being. More policy and research </w:t>
      </w:r>
      <w:r w:rsidR="00787F28">
        <w:rPr>
          <w:sz w:val="20"/>
          <w:szCs w:val="20"/>
        </w:rPr>
        <w:t>are</w:t>
      </w:r>
      <w:r w:rsidRPr="00907052">
        <w:rPr>
          <w:sz w:val="20"/>
          <w:szCs w:val="20"/>
        </w:rPr>
        <w:t xml:space="preserve"> needed on Ghana's urban pollinators for sustainable cities.</w:t>
      </w:r>
    </w:p>
    <w:p w14:paraId="30786D15" w14:textId="77777777" w:rsidR="00A52DF4" w:rsidRPr="000501F0" w:rsidRDefault="00A52DF4" w:rsidP="000501F0">
      <w:pPr>
        <w:pStyle w:val="NormalWeb"/>
        <w:numPr>
          <w:ilvl w:val="1"/>
          <w:numId w:val="1"/>
        </w:numPr>
        <w:jc w:val="both"/>
        <w:rPr>
          <w:b/>
          <w:sz w:val="20"/>
          <w:szCs w:val="20"/>
        </w:rPr>
      </w:pPr>
      <w:r w:rsidRPr="000501F0">
        <w:rPr>
          <w:b/>
          <w:sz w:val="20"/>
          <w:szCs w:val="20"/>
        </w:rPr>
        <w:t>The Role of Urban Green Infrastructure in Pollinator Biodiversity</w:t>
      </w:r>
    </w:p>
    <w:p w14:paraId="16FD8DD5" w14:textId="77777777" w:rsidR="00887ED0" w:rsidRPr="000501F0" w:rsidRDefault="00887ED0" w:rsidP="000501F0">
      <w:pPr>
        <w:pStyle w:val="NormalWeb"/>
        <w:jc w:val="both"/>
        <w:rPr>
          <w:sz w:val="20"/>
          <w:szCs w:val="20"/>
        </w:rPr>
      </w:pPr>
      <w:r w:rsidRPr="000501F0">
        <w:rPr>
          <w:sz w:val="20"/>
          <w:szCs w:val="20"/>
        </w:rPr>
        <w:t>Urban green infrastructure plays a critical role in conserving pollinators within cities by providing habitat, food resources, and ecological connectivity. Recent scholarship emphasizes that the type, quality, and spatial configuration of green spaces significantly influence pollinator diversity and abundance</w:t>
      </w:r>
      <w:r w:rsidR="00B5152B" w:rsidRPr="000501F0">
        <w:rPr>
          <w:sz w:val="20"/>
          <w:szCs w:val="20"/>
        </w:rPr>
        <w:t xml:space="preserve"> (Daniels et al., 2020)</w:t>
      </w:r>
      <w:r w:rsidRPr="000501F0">
        <w:rPr>
          <w:sz w:val="20"/>
          <w:szCs w:val="20"/>
        </w:rPr>
        <w:t xml:space="preserve">. </w:t>
      </w:r>
      <w:r w:rsidR="00DC508D" w:rsidRPr="000501F0">
        <w:rPr>
          <w:sz w:val="20"/>
          <w:szCs w:val="20"/>
        </w:rPr>
        <w:t>Figure 1 shows</w:t>
      </w:r>
      <w:r w:rsidRPr="000501F0">
        <w:rPr>
          <w:sz w:val="20"/>
          <w:szCs w:val="20"/>
        </w:rPr>
        <w:t xml:space="preserve"> the role of urban green infrastructure in supporting pollinators under four interrelated sub-themes: </w:t>
      </w:r>
      <w:r w:rsidRPr="000501F0">
        <w:rPr>
          <w:rStyle w:val="Strong"/>
          <w:b w:val="0"/>
          <w:sz w:val="20"/>
          <w:szCs w:val="20"/>
        </w:rPr>
        <w:t>habitat provision</w:t>
      </w:r>
      <w:r w:rsidRPr="000501F0">
        <w:rPr>
          <w:b/>
          <w:sz w:val="20"/>
          <w:szCs w:val="20"/>
        </w:rPr>
        <w:t xml:space="preserve">, </w:t>
      </w:r>
      <w:r w:rsidRPr="000501F0">
        <w:rPr>
          <w:rStyle w:val="Strong"/>
          <w:b w:val="0"/>
          <w:sz w:val="20"/>
          <w:szCs w:val="20"/>
        </w:rPr>
        <w:t>floral resource availability</w:t>
      </w:r>
      <w:r w:rsidRPr="000501F0">
        <w:rPr>
          <w:b/>
          <w:sz w:val="20"/>
          <w:szCs w:val="20"/>
        </w:rPr>
        <w:t xml:space="preserve">, </w:t>
      </w:r>
      <w:r w:rsidRPr="000501F0">
        <w:rPr>
          <w:rStyle w:val="Strong"/>
          <w:b w:val="0"/>
          <w:sz w:val="20"/>
          <w:szCs w:val="20"/>
        </w:rPr>
        <w:t>landscape connectivity</w:t>
      </w:r>
      <w:r w:rsidRPr="000501F0">
        <w:rPr>
          <w:b/>
          <w:sz w:val="20"/>
          <w:szCs w:val="20"/>
        </w:rPr>
        <w:t xml:space="preserve">, </w:t>
      </w:r>
      <w:r w:rsidRPr="000501F0">
        <w:rPr>
          <w:sz w:val="20"/>
          <w:szCs w:val="20"/>
        </w:rPr>
        <w:t>and</w:t>
      </w:r>
      <w:r w:rsidRPr="000501F0">
        <w:rPr>
          <w:b/>
          <w:sz w:val="20"/>
          <w:szCs w:val="20"/>
        </w:rPr>
        <w:t xml:space="preserve"> </w:t>
      </w:r>
      <w:r w:rsidRPr="000501F0">
        <w:rPr>
          <w:rStyle w:val="Strong"/>
          <w:b w:val="0"/>
          <w:sz w:val="20"/>
          <w:szCs w:val="20"/>
        </w:rPr>
        <w:t>management practices</w:t>
      </w:r>
      <w:r w:rsidRPr="000501F0">
        <w:rPr>
          <w:sz w:val="20"/>
          <w:szCs w:val="20"/>
        </w:rPr>
        <w:t>.</w:t>
      </w:r>
    </w:p>
    <w:p w14:paraId="1836D7A2" w14:textId="77777777" w:rsidR="00DC508D" w:rsidRPr="000501F0" w:rsidRDefault="00ED1708" w:rsidP="000501F0">
      <w:pPr>
        <w:pStyle w:val="NormalWeb"/>
        <w:jc w:val="both"/>
        <w:rPr>
          <w:sz w:val="20"/>
          <w:szCs w:val="20"/>
        </w:rPr>
      </w:pPr>
      <w:r w:rsidRPr="000501F0">
        <w:rPr>
          <w:noProof/>
          <w:sz w:val="20"/>
          <w:szCs w:val="20"/>
        </w:rPr>
        <w:lastRenderedPageBreak/>
        <w:drawing>
          <wp:inline distT="0" distB="0" distL="0" distR="0" wp14:anchorId="75E8C50D" wp14:editId="7DDC7E3A">
            <wp:extent cx="5370897" cy="3301466"/>
            <wp:effectExtent l="0" t="38100" r="0" b="5143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FB1E9F" w14:textId="77777777" w:rsidR="00802F25" w:rsidRPr="000501F0" w:rsidRDefault="00802F25" w:rsidP="000501F0">
      <w:pPr>
        <w:spacing w:before="100" w:beforeAutospacing="1" w:after="100" w:afterAutospacing="1" w:line="240" w:lineRule="auto"/>
        <w:jc w:val="center"/>
        <w:outlineLvl w:val="2"/>
        <w:rPr>
          <w:rFonts w:ascii="Times New Roman" w:hAnsi="Times New Roman" w:cs="Times New Roman"/>
          <w:b/>
          <w:sz w:val="20"/>
          <w:szCs w:val="20"/>
        </w:rPr>
      </w:pPr>
      <w:r w:rsidRPr="000501F0">
        <w:rPr>
          <w:rFonts w:ascii="Times New Roman" w:eastAsia="Times New Roman" w:hAnsi="Times New Roman" w:cs="Times New Roman"/>
          <w:b/>
          <w:bCs/>
          <w:sz w:val="20"/>
          <w:szCs w:val="20"/>
          <w:lang w:val="en-US"/>
        </w:rPr>
        <w:t xml:space="preserve">Figure 1: </w:t>
      </w:r>
      <w:r w:rsidRPr="000501F0">
        <w:rPr>
          <w:rFonts w:ascii="Times New Roman" w:hAnsi="Times New Roman" w:cs="Times New Roman"/>
          <w:b/>
          <w:sz w:val="20"/>
          <w:szCs w:val="20"/>
        </w:rPr>
        <w:t>Role of Urban Green Infrastructure in Pollinator Biodiversity</w:t>
      </w:r>
    </w:p>
    <w:p w14:paraId="5ED27926" w14:textId="77777777" w:rsidR="00A14485" w:rsidRPr="000501F0" w:rsidRDefault="00A14485" w:rsidP="000501F0">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hAnsi="Times New Roman" w:cs="Times New Roman"/>
          <w:b/>
          <w:sz w:val="20"/>
          <w:szCs w:val="20"/>
        </w:rPr>
        <w:t>Source: Authors’ Construct</w:t>
      </w:r>
    </w:p>
    <w:p w14:paraId="4B7E9A45"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i/>
          <w:sz w:val="20"/>
          <w:szCs w:val="20"/>
          <w:lang w:val="en-US"/>
        </w:rPr>
        <w:t>Habitat Provision</w:t>
      </w:r>
      <w:r w:rsidR="00ED1708" w:rsidRPr="000501F0">
        <w:rPr>
          <w:rFonts w:ascii="Times New Roman" w:eastAsia="Times New Roman" w:hAnsi="Times New Roman" w:cs="Times New Roman"/>
          <w:b/>
          <w:bCs/>
          <w:i/>
          <w:sz w:val="20"/>
          <w:szCs w:val="20"/>
          <w:lang w:val="en-US"/>
        </w:rPr>
        <w:t>:</w:t>
      </w:r>
      <w:r w:rsidR="00ED1708" w:rsidRPr="000501F0">
        <w:rPr>
          <w:rFonts w:ascii="Times New Roman" w:eastAsia="Times New Roman" w:hAnsi="Times New Roman" w:cs="Times New Roman"/>
          <w:b/>
          <w:bCs/>
          <w:sz w:val="20"/>
          <w:szCs w:val="20"/>
          <w:lang w:val="en-US"/>
        </w:rPr>
        <w:t xml:space="preserve"> </w:t>
      </w:r>
      <w:r w:rsidRPr="000501F0">
        <w:rPr>
          <w:rFonts w:ascii="Times New Roman" w:eastAsia="Times New Roman" w:hAnsi="Times New Roman" w:cs="Times New Roman"/>
          <w:sz w:val="20"/>
          <w:szCs w:val="20"/>
          <w:lang w:val="en-US"/>
        </w:rPr>
        <w:t>Urban green infrastructure provides essential nesting and roosting habitats for pollinators, compensating for habitat loss caused by urban expansion</w:t>
      </w:r>
      <w:r w:rsidR="008738A5" w:rsidRPr="000501F0">
        <w:rPr>
          <w:rFonts w:ascii="Times New Roman" w:eastAsia="Times New Roman" w:hAnsi="Times New Roman" w:cs="Times New Roman"/>
          <w:sz w:val="20"/>
          <w:szCs w:val="20"/>
          <w:lang w:val="en-US"/>
        </w:rPr>
        <w:t xml:space="preserve"> (Russo &amp; Cirella, 2024)</w:t>
      </w:r>
      <w:r w:rsidRPr="000501F0">
        <w:rPr>
          <w:rFonts w:ascii="Times New Roman" w:eastAsia="Times New Roman" w:hAnsi="Times New Roman" w:cs="Times New Roman"/>
          <w:sz w:val="20"/>
          <w:szCs w:val="20"/>
          <w:lang w:val="en-US"/>
        </w:rPr>
        <w:t>. Green spaces such as parks, urban forests, roadside verges, and vacant lots support both cavity-nesting bees (e.g., in hollow stems and walls) and ground-nesting species (e.g., in bare soil patches) (</w:t>
      </w:r>
      <w:proofErr w:type="spellStart"/>
      <w:r w:rsidRPr="000501F0">
        <w:rPr>
          <w:rFonts w:ascii="Times New Roman" w:eastAsia="Times New Roman" w:hAnsi="Times New Roman" w:cs="Times New Roman"/>
          <w:sz w:val="20"/>
          <w:szCs w:val="20"/>
          <w:lang w:val="en-US"/>
        </w:rPr>
        <w:t>Fortel</w:t>
      </w:r>
      <w:proofErr w:type="spellEnd"/>
      <w:r w:rsidRPr="000501F0">
        <w:rPr>
          <w:rFonts w:ascii="Times New Roman" w:eastAsia="Times New Roman" w:hAnsi="Times New Roman" w:cs="Times New Roman"/>
          <w:sz w:val="20"/>
          <w:szCs w:val="20"/>
          <w:lang w:val="en-US"/>
        </w:rPr>
        <w:t xml:space="preserve"> et al., 2014). Research in European cities shows that even small habitat features like deadwood, hedge rows, or unmanaged patches substantially increase bee and butterfly diversity (</w:t>
      </w:r>
      <w:proofErr w:type="spellStart"/>
      <w:r w:rsidRPr="000501F0">
        <w:rPr>
          <w:rFonts w:ascii="Times New Roman" w:eastAsia="Times New Roman" w:hAnsi="Times New Roman" w:cs="Times New Roman"/>
          <w:sz w:val="20"/>
          <w:szCs w:val="20"/>
          <w:lang w:val="en-US"/>
        </w:rPr>
        <w:t>Baldock</w:t>
      </w:r>
      <w:proofErr w:type="spellEnd"/>
      <w:r w:rsidRPr="000501F0">
        <w:rPr>
          <w:rFonts w:ascii="Times New Roman" w:eastAsia="Times New Roman" w:hAnsi="Times New Roman" w:cs="Times New Roman"/>
          <w:sz w:val="20"/>
          <w:szCs w:val="20"/>
          <w:lang w:val="en-US"/>
        </w:rPr>
        <w:t xml:space="preserve"> et al.</w:t>
      </w:r>
      <w:r w:rsidR="009B1634" w:rsidRPr="000501F0">
        <w:rPr>
          <w:rFonts w:ascii="Times New Roman" w:eastAsia="Times New Roman" w:hAnsi="Times New Roman" w:cs="Times New Roman"/>
          <w:sz w:val="20"/>
          <w:szCs w:val="20"/>
          <w:lang w:val="en-US"/>
        </w:rPr>
        <w:t xml:space="preserve">, 2019). Importantly, gardens, </w:t>
      </w:r>
      <w:r w:rsidRPr="000501F0">
        <w:rPr>
          <w:rFonts w:ascii="Times New Roman" w:eastAsia="Times New Roman" w:hAnsi="Times New Roman" w:cs="Times New Roman"/>
          <w:sz w:val="20"/>
          <w:szCs w:val="20"/>
          <w:lang w:val="en-US"/>
        </w:rPr>
        <w:t xml:space="preserve">whether </w:t>
      </w:r>
      <w:r w:rsidR="009B1634" w:rsidRPr="000501F0">
        <w:rPr>
          <w:rFonts w:ascii="Times New Roman" w:eastAsia="Times New Roman" w:hAnsi="Times New Roman" w:cs="Times New Roman"/>
          <w:sz w:val="20"/>
          <w:szCs w:val="20"/>
          <w:lang w:val="en-US"/>
        </w:rPr>
        <w:t xml:space="preserve">domestic or community-managed, </w:t>
      </w:r>
      <w:r w:rsidRPr="000501F0">
        <w:rPr>
          <w:rFonts w:ascii="Times New Roman" w:eastAsia="Times New Roman" w:hAnsi="Times New Roman" w:cs="Times New Roman"/>
          <w:sz w:val="20"/>
          <w:szCs w:val="20"/>
          <w:lang w:val="en-US"/>
        </w:rPr>
        <w:t>often emerge as “hotspots” of pollinator diversity, hosting more species than larger but more intensively managed public parks (</w:t>
      </w:r>
      <w:proofErr w:type="spellStart"/>
      <w:r w:rsidRPr="000501F0">
        <w:rPr>
          <w:rFonts w:ascii="Times New Roman" w:eastAsia="Times New Roman" w:hAnsi="Times New Roman" w:cs="Times New Roman"/>
          <w:sz w:val="20"/>
          <w:szCs w:val="20"/>
          <w:lang w:val="en-US"/>
        </w:rPr>
        <w:t>Baldock</w:t>
      </w:r>
      <w:proofErr w:type="spellEnd"/>
      <w:r w:rsidRPr="000501F0">
        <w:rPr>
          <w:rFonts w:ascii="Times New Roman" w:eastAsia="Times New Roman" w:hAnsi="Times New Roman" w:cs="Times New Roman"/>
          <w:sz w:val="20"/>
          <w:szCs w:val="20"/>
          <w:lang w:val="en-US"/>
        </w:rPr>
        <w:t xml:space="preserve"> et </w:t>
      </w:r>
      <w:r w:rsidR="00ED1708" w:rsidRPr="000501F0">
        <w:rPr>
          <w:rFonts w:ascii="Times New Roman" w:eastAsia="Times New Roman" w:hAnsi="Times New Roman" w:cs="Times New Roman"/>
          <w:sz w:val="20"/>
          <w:szCs w:val="20"/>
          <w:lang w:val="en-US"/>
        </w:rPr>
        <w:t xml:space="preserve">al., 2019). </w:t>
      </w:r>
      <w:r w:rsidRPr="000501F0">
        <w:rPr>
          <w:rFonts w:ascii="Times New Roman" w:eastAsia="Times New Roman" w:hAnsi="Times New Roman" w:cs="Times New Roman"/>
          <w:sz w:val="20"/>
          <w:szCs w:val="20"/>
          <w:lang w:val="en-US"/>
        </w:rPr>
        <w:t>In Ghana, where urban expansion frequently reduces formal green cover, home gardens and informal vegetated plots provide crucial microhabitats for pollinators (</w:t>
      </w:r>
      <w:proofErr w:type="spellStart"/>
      <w:r w:rsidRPr="000501F0">
        <w:rPr>
          <w:rFonts w:ascii="Times New Roman" w:eastAsia="Times New Roman" w:hAnsi="Times New Roman" w:cs="Times New Roman"/>
          <w:sz w:val="20"/>
          <w:szCs w:val="20"/>
          <w:lang w:val="en-US"/>
        </w:rPr>
        <w:t>Akanbang</w:t>
      </w:r>
      <w:proofErr w:type="spellEnd"/>
      <w:r w:rsidRPr="000501F0">
        <w:rPr>
          <w:rFonts w:ascii="Times New Roman" w:eastAsia="Times New Roman" w:hAnsi="Times New Roman" w:cs="Times New Roman"/>
          <w:sz w:val="20"/>
          <w:szCs w:val="20"/>
          <w:lang w:val="en-US"/>
        </w:rPr>
        <w:t>, 2024). These localized habitats not only sustain insect diversity but also connect ecological functions with household needs such as shade, food, and medicine, making them multifunctional spaces that align with local cultural practices</w:t>
      </w:r>
      <w:r w:rsidR="008738A5" w:rsidRPr="000501F0">
        <w:rPr>
          <w:rFonts w:ascii="Times New Roman" w:eastAsia="Times New Roman" w:hAnsi="Times New Roman" w:cs="Times New Roman"/>
          <w:sz w:val="20"/>
          <w:szCs w:val="20"/>
          <w:lang w:val="en-US"/>
        </w:rPr>
        <w:t xml:space="preserve"> (</w:t>
      </w:r>
      <w:proofErr w:type="spellStart"/>
      <w:r w:rsidR="008738A5" w:rsidRPr="000501F0">
        <w:rPr>
          <w:rFonts w:ascii="Times New Roman" w:eastAsia="Times New Roman" w:hAnsi="Times New Roman" w:cs="Times New Roman"/>
          <w:sz w:val="20"/>
          <w:szCs w:val="20"/>
          <w:lang w:val="en-US"/>
        </w:rPr>
        <w:t>Abuaku</w:t>
      </w:r>
      <w:proofErr w:type="spellEnd"/>
      <w:r w:rsidR="008738A5" w:rsidRPr="000501F0">
        <w:rPr>
          <w:rFonts w:ascii="Times New Roman" w:eastAsia="Times New Roman" w:hAnsi="Times New Roman" w:cs="Times New Roman"/>
          <w:sz w:val="20"/>
          <w:szCs w:val="20"/>
          <w:lang w:val="en-US"/>
        </w:rPr>
        <w:t>, 2020)</w:t>
      </w:r>
      <w:r w:rsidRPr="000501F0">
        <w:rPr>
          <w:rFonts w:ascii="Times New Roman" w:eastAsia="Times New Roman" w:hAnsi="Times New Roman" w:cs="Times New Roman"/>
          <w:sz w:val="20"/>
          <w:szCs w:val="20"/>
          <w:lang w:val="en-US"/>
        </w:rPr>
        <w:t>. Thus, while large-scale urban green infrastructure is limited in cities such as Accra and Kumasi, small-scale habitat provision through gardens and roadside vegetation plays a disproportionately important role in sustaining pollinator biodiversity</w:t>
      </w:r>
      <w:r w:rsidR="008738A5" w:rsidRPr="000501F0">
        <w:rPr>
          <w:rFonts w:ascii="Times New Roman" w:eastAsia="Times New Roman" w:hAnsi="Times New Roman" w:cs="Times New Roman"/>
          <w:sz w:val="20"/>
          <w:szCs w:val="20"/>
          <w:lang w:val="en-US"/>
        </w:rPr>
        <w:t xml:space="preserve"> (Murphy &amp; Crone, 2021)</w:t>
      </w:r>
      <w:r w:rsidRPr="000501F0">
        <w:rPr>
          <w:rFonts w:ascii="Times New Roman" w:eastAsia="Times New Roman" w:hAnsi="Times New Roman" w:cs="Times New Roman"/>
          <w:sz w:val="20"/>
          <w:szCs w:val="20"/>
          <w:lang w:val="en-US"/>
        </w:rPr>
        <w:t>.</w:t>
      </w:r>
    </w:p>
    <w:p w14:paraId="52F11F62"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i/>
          <w:sz w:val="20"/>
          <w:szCs w:val="20"/>
          <w:lang w:val="en-US"/>
        </w:rPr>
      </w:pPr>
      <w:r w:rsidRPr="000501F0">
        <w:rPr>
          <w:rFonts w:ascii="Times New Roman" w:eastAsia="Times New Roman" w:hAnsi="Times New Roman" w:cs="Times New Roman"/>
          <w:b/>
          <w:bCs/>
          <w:i/>
          <w:sz w:val="20"/>
          <w:szCs w:val="20"/>
          <w:lang w:val="en-US"/>
        </w:rPr>
        <w:t>Floral Resource Availability</w:t>
      </w:r>
      <w:r w:rsidR="00ED1708" w:rsidRPr="000501F0">
        <w:rPr>
          <w:rFonts w:ascii="Times New Roman" w:eastAsia="Times New Roman" w:hAnsi="Times New Roman" w:cs="Times New Roman"/>
          <w:b/>
          <w:bCs/>
          <w:i/>
          <w:sz w:val="20"/>
          <w:szCs w:val="20"/>
          <w:lang w:val="en-US"/>
        </w:rPr>
        <w:t xml:space="preserve">: </w:t>
      </w:r>
      <w:r w:rsidRPr="000501F0">
        <w:rPr>
          <w:rFonts w:ascii="Times New Roman" w:eastAsia="Times New Roman" w:hAnsi="Times New Roman" w:cs="Times New Roman"/>
          <w:sz w:val="20"/>
          <w:szCs w:val="20"/>
          <w:lang w:val="en-US"/>
        </w:rPr>
        <w:t>Pollinators depend on continuous and diverse floral resources for nectar and pollen, and urban green infrastructure can meet this need if well designed. Research indicates that species richness and abundance of pollinators are positively correlated with plant diversity and flowering continuity throughout the seasons (Geslin et al., 2016). Harrison and Winfree (2015) further note that native plantings and structurally diverse vegetation enhance pollinator foraging opportunities more effectively than ornamental or exotic plantings. Cities can therefore act as refuges by providing a mosaic of floral resources, even when surrounding rural landsca</w:t>
      </w:r>
      <w:r w:rsidR="00ED1708" w:rsidRPr="000501F0">
        <w:rPr>
          <w:rFonts w:ascii="Times New Roman" w:eastAsia="Times New Roman" w:hAnsi="Times New Roman" w:cs="Times New Roman"/>
          <w:sz w:val="20"/>
          <w:szCs w:val="20"/>
          <w:lang w:val="en-US"/>
        </w:rPr>
        <w:t xml:space="preserve">pes are degraded or simplified. </w:t>
      </w:r>
      <w:r w:rsidRPr="000501F0">
        <w:rPr>
          <w:rFonts w:ascii="Times New Roman" w:eastAsia="Times New Roman" w:hAnsi="Times New Roman" w:cs="Times New Roman"/>
          <w:sz w:val="20"/>
          <w:szCs w:val="20"/>
          <w:lang w:val="en-US"/>
        </w:rPr>
        <w:t>In the Ghanaian context, the availability of floral resources is tied to both agricultural and urban practices. Cocoa, tomatoes, peppers, an</w:t>
      </w:r>
      <w:r w:rsidR="008738A5" w:rsidRPr="000501F0">
        <w:rPr>
          <w:rFonts w:ascii="Times New Roman" w:eastAsia="Times New Roman" w:hAnsi="Times New Roman" w:cs="Times New Roman"/>
          <w:sz w:val="20"/>
          <w:szCs w:val="20"/>
          <w:lang w:val="en-US"/>
        </w:rPr>
        <w:t xml:space="preserve">d okra, </w:t>
      </w:r>
      <w:r w:rsidRPr="000501F0">
        <w:rPr>
          <w:rFonts w:ascii="Times New Roman" w:eastAsia="Times New Roman" w:hAnsi="Times New Roman" w:cs="Times New Roman"/>
          <w:sz w:val="20"/>
          <w:szCs w:val="20"/>
          <w:lang w:val="en-US"/>
        </w:rPr>
        <w:t xml:space="preserve">crops </w:t>
      </w:r>
      <w:r w:rsidR="00B5152B" w:rsidRPr="000501F0">
        <w:rPr>
          <w:rFonts w:ascii="Times New Roman" w:eastAsia="Times New Roman" w:hAnsi="Times New Roman" w:cs="Times New Roman"/>
          <w:sz w:val="20"/>
          <w:szCs w:val="20"/>
          <w:lang w:val="en-US"/>
        </w:rPr>
        <w:t xml:space="preserve">reliant on insect pollination, </w:t>
      </w:r>
      <w:r w:rsidRPr="000501F0">
        <w:rPr>
          <w:rFonts w:ascii="Times New Roman" w:eastAsia="Times New Roman" w:hAnsi="Times New Roman" w:cs="Times New Roman"/>
          <w:sz w:val="20"/>
          <w:szCs w:val="20"/>
          <w:lang w:val="en-US"/>
        </w:rPr>
        <w:t>benefit from diverse flowering species within urban gardens and peri-urban farms (</w:t>
      </w:r>
      <w:proofErr w:type="spellStart"/>
      <w:r w:rsidRPr="000501F0">
        <w:rPr>
          <w:rFonts w:ascii="Times New Roman" w:eastAsia="Times New Roman" w:hAnsi="Times New Roman" w:cs="Times New Roman"/>
          <w:sz w:val="20"/>
          <w:szCs w:val="20"/>
          <w:lang w:val="en-US"/>
        </w:rPr>
        <w:t>Kwapong</w:t>
      </w:r>
      <w:proofErr w:type="spellEnd"/>
      <w:r w:rsidRPr="000501F0">
        <w:rPr>
          <w:rFonts w:ascii="Times New Roman" w:eastAsia="Times New Roman" w:hAnsi="Times New Roman" w:cs="Times New Roman"/>
          <w:sz w:val="20"/>
          <w:szCs w:val="20"/>
          <w:lang w:val="en-US"/>
        </w:rPr>
        <w:t xml:space="preserve"> et al., 2010). However, the increasing dominance of impervious surfaces in Ghanaian megacities reduces spontaneous flowering plants, while urban landscaping often favors ornamental species that are less useful to pollinators</w:t>
      </w:r>
      <w:r w:rsidR="00B5152B" w:rsidRPr="000501F0">
        <w:rPr>
          <w:rFonts w:ascii="Times New Roman" w:eastAsia="Times New Roman" w:hAnsi="Times New Roman" w:cs="Times New Roman"/>
          <w:sz w:val="20"/>
          <w:szCs w:val="20"/>
          <w:lang w:val="en-US"/>
        </w:rPr>
        <w:t xml:space="preserve"> (</w:t>
      </w:r>
      <w:proofErr w:type="spellStart"/>
      <w:r w:rsidR="00B5152B" w:rsidRPr="000501F0">
        <w:rPr>
          <w:rFonts w:ascii="Times New Roman" w:eastAsia="Times New Roman" w:hAnsi="Times New Roman" w:cs="Times New Roman"/>
          <w:sz w:val="20"/>
          <w:szCs w:val="20"/>
          <w:lang w:val="en-US"/>
        </w:rPr>
        <w:t>Gajbhiye</w:t>
      </w:r>
      <w:proofErr w:type="spellEnd"/>
      <w:r w:rsidR="00B5152B" w:rsidRPr="000501F0">
        <w:rPr>
          <w:rFonts w:ascii="Times New Roman" w:eastAsia="Times New Roman" w:hAnsi="Times New Roman" w:cs="Times New Roman"/>
          <w:sz w:val="20"/>
          <w:szCs w:val="20"/>
          <w:lang w:val="en-US"/>
        </w:rPr>
        <w:t>, 2025)</w:t>
      </w:r>
      <w:r w:rsidRPr="000501F0">
        <w:rPr>
          <w:rFonts w:ascii="Times New Roman" w:eastAsia="Times New Roman" w:hAnsi="Times New Roman" w:cs="Times New Roman"/>
          <w:sz w:val="20"/>
          <w:szCs w:val="20"/>
          <w:lang w:val="en-US"/>
        </w:rPr>
        <w:t>. Integrating native flowering plants into street trees, urban parks, and home gardens could significantly enhance foraging opportunities for pollinators in cities like Accra and Kumasi, where ecological pressures are intensifying</w:t>
      </w:r>
      <w:r w:rsidR="00B5152B" w:rsidRPr="000501F0">
        <w:rPr>
          <w:rFonts w:ascii="Times New Roman" w:eastAsia="Times New Roman" w:hAnsi="Times New Roman" w:cs="Times New Roman"/>
          <w:sz w:val="20"/>
          <w:szCs w:val="20"/>
          <w:lang w:val="en-US"/>
        </w:rPr>
        <w:t xml:space="preserve"> (</w:t>
      </w:r>
      <w:r w:rsidR="00B5152B" w:rsidRPr="000501F0">
        <w:rPr>
          <w:rFonts w:ascii="Times New Roman" w:hAnsi="Times New Roman" w:cs="Times New Roman"/>
          <w:sz w:val="20"/>
          <w:szCs w:val="20"/>
        </w:rPr>
        <w:t>Pollinator Partnership, 2023)</w:t>
      </w:r>
      <w:r w:rsidRPr="000501F0">
        <w:rPr>
          <w:rFonts w:ascii="Times New Roman" w:eastAsia="Times New Roman" w:hAnsi="Times New Roman" w:cs="Times New Roman"/>
          <w:sz w:val="20"/>
          <w:szCs w:val="20"/>
          <w:lang w:val="en-US"/>
        </w:rPr>
        <w:t>.</w:t>
      </w:r>
    </w:p>
    <w:p w14:paraId="074DD609"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i/>
          <w:sz w:val="20"/>
          <w:szCs w:val="20"/>
          <w:lang w:val="en-US"/>
        </w:rPr>
        <w:lastRenderedPageBreak/>
        <w:t>Landscape Connectivity</w:t>
      </w:r>
      <w:r w:rsidR="00ED1708" w:rsidRPr="000501F0">
        <w:rPr>
          <w:rFonts w:ascii="Times New Roman" w:eastAsia="Times New Roman" w:hAnsi="Times New Roman" w:cs="Times New Roman"/>
          <w:b/>
          <w:bCs/>
          <w:i/>
          <w:sz w:val="20"/>
          <w:szCs w:val="20"/>
          <w:lang w:val="en-US"/>
        </w:rPr>
        <w:t>:</w:t>
      </w:r>
      <w:r w:rsidR="00ED1708" w:rsidRPr="000501F0">
        <w:rPr>
          <w:rFonts w:ascii="Times New Roman" w:eastAsia="Times New Roman" w:hAnsi="Times New Roman" w:cs="Times New Roman"/>
          <w:b/>
          <w:bCs/>
          <w:sz w:val="20"/>
          <w:szCs w:val="20"/>
          <w:lang w:val="en-US"/>
        </w:rPr>
        <w:t xml:space="preserve"> </w:t>
      </w:r>
      <w:r w:rsidRPr="000501F0">
        <w:rPr>
          <w:rFonts w:ascii="Times New Roman" w:eastAsia="Times New Roman" w:hAnsi="Times New Roman" w:cs="Times New Roman"/>
          <w:sz w:val="20"/>
          <w:szCs w:val="20"/>
          <w:lang w:val="en-US"/>
        </w:rPr>
        <w:t>Habitat fragmentation is a critical driver of pollinator decline, and urban green infrastructure plays a key role in maintaining ecological connectivity across fragmented cityscapes. Green corridors, networks of street trees, green roofs, and stepping-stone gardens facilitate pollinator movement and gene flow, reducing isolation of populations (Hall et al., 2017). Goddard et al. (2010) stress that scaling up from individual gardens to connected networks of urban green infrastructure enhances overall biodiversity resilience. Cities that intentionally plan connected ecological networks often sustain more robust pollinator assemblages compared to those with is</w:t>
      </w:r>
      <w:r w:rsidR="009B1634" w:rsidRPr="000501F0">
        <w:rPr>
          <w:rFonts w:ascii="Times New Roman" w:eastAsia="Times New Roman" w:hAnsi="Times New Roman" w:cs="Times New Roman"/>
          <w:sz w:val="20"/>
          <w:szCs w:val="20"/>
          <w:lang w:val="en-US"/>
        </w:rPr>
        <w:t xml:space="preserve">olated, scattered green spaces. </w:t>
      </w:r>
      <w:r w:rsidRPr="000501F0">
        <w:rPr>
          <w:rFonts w:ascii="Times New Roman" w:eastAsia="Times New Roman" w:hAnsi="Times New Roman" w:cs="Times New Roman"/>
          <w:sz w:val="20"/>
          <w:szCs w:val="20"/>
          <w:lang w:val="en-US"/>
        </w:rPr>
        <w:t>In Ghanaian megacities, rapid and often uncoordinated land conversion disrupts ecological connectivity, as vegetated areas are replaced by built-up infrastructure (</w:t>
      </w:r>
      <w:proofErr w:type="spellStart"/>
      <w:r w:rsidRPr="000501F0">
        <w:rPr>
          <w:rFonts w:ascii="Times New Roman" w:eastAsia="Times New Roman" w:hAnsi="Times New Roman" w:cs="Times New Roman"/>
          <w:sz w:val="20"/>
          <w:szCs w:val="20"/>
          <w:lang w:val="en-US"/>
        </w:rPr>
        <w:t>Puplampu</w:t>
      </w:r>
      <w:proofErr w:type="spellEnd"/>
      <w:r w:rsidRPr="000501F0">
        <w:rPr>
          <w:rFonts w:ascii="Times New Roman" w:eastAsia="Times New Roman" w:hAnsi="Times New Roman" w:cs="Times New Roman"/>
          <w:sz w:val="20"/>
          <w:szCs w:val="20"/>
          <w:lang w:val="en-US"/>
        </w:rPr>
        <w:t xml:space="preserve"> &amp; </w:t>
      </w:r>
      <w:proofErr w:type="spellStart"/>
      <w:r w:rsidRPr="000501F0">
        <w:rPr>
          <w:rFonts w:ascii="Times New Roman" w:eastAsia="Times New Roman" w:hAnsi="Times New Roman" w:cs="Times New Roman"/>
          <w:sz w:val="20"/>
          <w:szCs w:val="20"/>
          <w:lang w:val="en-US"/>
        </w:rPr>
        <w:t>Boafo</w:t>
      </w:r>
      <w:proofErr w:type="spellEnd"/>
      <w:r w:rsidRPr="000501F0">
        <w:rPr>
          <w:rFonts w:ascii="Times New Roman" w:eastAsia="Times New Roman" w:hAnsi="Times New Roman" w:cs="Times New Roman"/>
          <w:sz w:val="20"/>
          <w:szCs w:val="20"/>
          <w:lang w:val="en-US"/>
        </w:rPr>
        <w:t>, 2021). The lack of ecological corridors in city planning exacerbates pollinator vulnerability</w:t>
      </w:r>
      <w:r w:rsidR="00C760A1" w:rsidRPr="000501F0">
        <w:rPr>
          <w:rFonts w:ascii="Times New Roman" w:eastAsia="Times New Roman" w:hAnsi="Times New Roman" w:cs="Times New Roman"/>
          <w:sz w:val="20"/>
          <w:szCs w:val="20"/>
          <w:lang w:val="en-US"/>
        </w:rPr>
        <w:t xml:space="preserve"> (</w:t>
      </w:r>
      <w:r w:rsidR="00C760A1" w:rsidRPr="000501F0">
        <w:rPr>
          <w:rFonts w:ascii="Times New Roman" w:hAnsi="Times New Roman" w:cs="Times New Roman"/>
          <w:sz w:val="20"/>
          <w:szCs w:val="20"/>
        </w:rPr>
        <w:t>Biodiversity Ireland, 2024)</w:t>
      </w:r>
      <w:r w:rsidRPr="000501F0">
        <w:rPr>
          <w:rFonts w:ascii="Times New Roman" w:eastAsia="Times New Roman" w:hAnsi="Times New Roman" w:cs="Times New Roman"/>
          <w:sz w:val="20"/>
          <w:szCs w:val="20"/>
          <w:lang w:val="en-US"/>
        </w:rPr>
        <w:t>. However, street tree planting initiatives, community green corridors, and integrated landscaping in housing developments present opportunities to reintroduce connectivity into fragmented urban landscapes</w:t>
      </w:r>
      <w:r w:rsidR="00C760A1" w:rsidRPr="000501F0">
        <w:rPr>
          <w:rFonts w:ascii="Times New Roman" w:eastAsia="Times New Roman" w:hAnsi="Times New Roman" w:cs="Times New Roman"/>
          <w:sz w:val="20"/>
          <w:szCs w:val="20"/>
          <w:lang w:val="en-US"/>
        </w:rPr>
        <w:t xml:space="preserve"> (Dave et al., 2021)</w:t>
      </w:r>
      <w:r w:rsidRPr="000501F0">
        <w:rPr>
          <w:rFonts w:ascii="Times New Roman" w:eastAsia="Times New Roman" w:hAnsi="Times New Roman" w:cs="Times New Roman"/>
          <w:sz w:val="20"/>
          <w:szCs w:val="20"/>
          <w:lang w:val="en-US"/>
        </w:rPr>
        <w:t>. Enhancing such networks would not only benefit pollinators but also contribute to broader urban ecosystem services such as cooling, stormwater management, and cultural identity</w:t>
      </w:r>
      <w:r w:rsidR="00C760A1" w:rsidRPr="000501F0">
        <w:rPr>
          <w:rFonts w:ascii="Times New Roman" w:eastAsia="Times New Roman" w:hAnsi="Times New Roman" w:cs="Times New Roman"/>
          <w:sz w:val="20"/>
          <w:szCs w:val="20"/>
          <w:lang w:val="en-US"/>
        </w:rPr>
        <w:t xml:space="preserve"> (Hosek, 2019)</w:t>
      </w:r>
      <w:r w:rsidRPr="000501F0">
        <w:rPr>
          <w:rFonts w:ascii="Times New Roman" w:eastAsia="Times New Roman" w:hAnsi="Times New Roman" w:cs="Times New Roman"/>
          <w:sz w:val="20"/>
          <w:szCs w:val="20"/>
          <w:lang w:val="en-US"/>
        </w:rPr>
        <w:t>.</w:t>
      </w:r>
    </w:p>
    <w:p w14:paraId="5018CC2B" w14:textId="77777777" w:rsidR="00887ED0" w:rsidRPr="000501F0" w:rsidRDefault="00887ED0" w:rsidP="000501F0">
      <w:pPr>
        <w:spacing w:before="100" w:beforeAutospacing="1" w:after="100" w:afterAutospacing="1" w:line="240" w:lineRule="auto"/>
        <w:jc w:val="both"/>
        <w:outlineLvl w:val="2"/>
        <w:rPr>
          <w:rFonts w:ascii="Times New Roman" w:eastAsia="Times New Roman" w:hAnsi="Times New Roman" w:cs="Times New Roman"/>
          <w:b/>
          <w:bCs/>
          <w:i/>
          <w:sz w:val="20"/>
          <w:szCs w:val="20"/>
          <w:lang w:val="en-US"/>
        </w:rPr>
      </w:pPr>
      <w:r w:rsidRPr="000501F0">
        <w:rPr>
          <w:rFonts w:ascii="Times New Roman" w:eastAsia="Times New Roman" w:hAnsi="Times New Roman" w:cs="Times New Roman"/>
          <w:b/>
          <w:bCs/>
          <w:i/>
          <w:sz w:val="20"/>
          <w:szCs w:val="20"/>
          <w:lang w:val="en-US"/>
        </w:rPr>
        <w:t>Management Practices</w:t>
      </w:r>
      <w:r w:rsidR="00ED1708" w:rsidRPr="000501F0">
        <w:rPr>
          <w:rFonts w:ascii="Times New Roman" w:eastAsia="Times New Roman" w:hAnsi="Times New Roman" w:cs="Times New Roman"/>
          <w:b/>
          <w:bCs/>
          <w:i/>
          <w:sz w:val="20"/>
          <w:szCs w:val="20"/>
          <w:lang w:val="en-US"/>
        </w:rPr>
        <w:t xml:space="preserve">: </w:t>
      </w:r>
      <w:r w:rsidRPr="000501F0">
        <w:rPr>
          <w:rFonts w:ascii="Times New Roman" w:eastAsia="Times New Roman" w:hAnsi="Times New Roman" w:cs="Times New Roman"/>
          <w:sz w:val="20"/>
          <w:szCs w:val="20"/>
          <w:lang w:val="en-US"/>
        </w:rPr>
        <w:t>The ecological value of urban green infrastructure is strongly influenced by how it is managed. Practices such as reduced mowing, pesticide-free management, and planting of pollinator-friendly species significantly increase pollinator diversity and abundance (Süle et al., 2025). Con</w:t>
      </w:r>
      <w:r w:rsidR="009B1634" w:rsidRPr="000501F0">
        <w:rPr>
          <w:rFonts w:ascii="Times New Roman" w:eastAsia="Times New Roman" w:hAnsi="Times New Roman" w:cs="Times New Roman"/>
          <w:sz w:val="20"/>
          <w:szCs w:val="20"/>
          <w:lang w:val="en-US"/>
        </w:rPr>
        <w:t xml:space="preserve">versely, intensive management, </w:t>
      </w:r>
      <w:r w:rsidRPr="000501F0">
        <w:rPr>
          <w:rFonts w:ascii="Times New Roman" w:eastAsia="Times New Roman" w:hAnsi="Times New Roman" w:cs="Times New Roman"/>
          <w:sz w:val="20"/>
          <w:szCs w:val="20"/>
          <w:lang w:val="en-US"/>
        </w:rPr>
        <w:t xml:space="preserve">frequent mowing, use of herbicides, and preference for monocultural ornamental plantings </w:t>
      </w:r>
      <w:r w:rsidR="00FD533D" w:rsidRPr="000501F0">
        <w:rPr>
          <w:rFonts w:ascii="Times New Roman" w:eastAsia="Times New Roman" w:hAnsi="Times New Roman" w:cs="Times New Roman"/>
          <w:sz w:val="20"/>
          <w:szCs w:val="20"/>
          <w:lang w:val="en-US"/>
        </w:rPr>
        <w:t>reduce</w:t>
      </w:r>
      <w:r w:rsidRPr="000501F0">
        <w:rPr>
          <w:rFonts w:ascii="Times New Roman" w:eastAsia="Times New Roman" w:hAnsi="Times New Roman" w:cs="Times New Roman"/>
          <w:sz w:val="20"/>
          <w:szCs w:val="20"/>
          <w:lang w:val="en-US"/>
        </w:rPr>
        <w:t xml:space="preserve"> habitat heterogeneity and food resources, making green spaces less valuable to pollinators (</w:t>
      </w:r>
      <w:proofErr w:type="spellStart"/>
      <w:r w:rsidRPr="000501F0">
        <w:rPr>
          <w:rFonts w:ascii="Times New Roman" w:eastAsia="Times New Roman" w:hAnsi="Times New Roman" w:cs="Times New Roman"/>
          <w:sz w:val="20"/>
          <w:szCs w:val="20"/>
          <w:lang w:val="en-US"/>
        </w:rPr>
        <w:t>Fortel</w:t>
      </w:r>
      <w:proofErr w:type="spellEnd"/>
      <w:r w:rsidRPr="000501F0">
        <w:rPr>
          <w:rFonts w:ascii="Times New Roman" w:eastAsia="Times New Roman" w:hAnsi="Times New Roman" w:cs="Times New Roman"/>
          <w:sz w:val="20"/>
          <w:szCs w:val="20"/>
          <w:lang w:val="en-US"/>
        </w:rPr>
        <w:t xml:space="preserve"> et al., 2014). In Europe, adaptive management strategies such as “wildflower meadows” in urban parks have proven effective in re</w:t>
      </w:r>
      <w:r w:rsidR="00ED1708" w:rsidRPr="000501F0">
        <w:rPr>
          <w:rFonts w:ascii="Times New Roman" w:eastAsia="Times New Roman" w:hAnsi="Times New Roman" w:cs="Times New Roman"/>
          <w:sz w:val="20"/>
          <w:szCs w:val="20"/>
          <w:lang w:val="en-US"/>
        </w:rPr>
        <w:t>storing pollinator populations</w:t>
      </w:r>
      <w:r w:rsidR="004C03BA" w:rsidRPr="000501F0">
        <w:rPr>
          <w:rFonts w:ascii="Times New Roman" w:eastAsia="Times New Roman" w:hAnsi="Times New Roman" w:cs="Times New Roman"/>
          <w:sz w:val="20"/>
          <w:szCs w:val="20"/>
          <w:lang w:val="en-US"/>
        </w:rPr>
        <w:t xml:space="preserve"> (Poole et al., 2024)</w:t>
      </w:r>
      <w:r w:rsidR="00ED1708" w:rsidRPr="000501F0">
        <w:rPr>
          <w:rFonts w:ascii="Times New Roman" w:eastAsia="Times New Roman" w:hAnsi="Times New Roman" w:cs="Times New Roman"/>
          <w:sz w:val="20"/>
          <w:szCs w:val="20"/>
          <w:lang w:val="en-US"/>
        </w:rPr>
        <w:t xml:space="preserve">. </w:t>
      </w:r>
      <w:r w:rsidRPr="000501F0">
        <w:rPr>
          <w:rFonts w:ascii="Times New Roman" w:eastAsia="Times New Roman" w:hAnsi="Times New Roman" w:cs="Times New Roman"/>
          <w:sz w:val="20"/>
          <w:szCs w:val="20"/>
          <w:lang w:val="en-US"/>
        </w:rPr>
        <w:t>In Ghanaian megacities, however, maintenance of green spaces often prioritizes aesthetics and urban orderliness over biodiversity outcomes. Parks and road medians are frequently mown short or planted with exotic ornamental plants, reducing their ecological value</w:t>
      </w:r>
      <w:r w:rsidR="004C03BA" w:rsidRPr="000501F0">
        <w:rPr>
          <w:rFonts w:ascii="Times New Roman" w:eastAsia="Times New Roman" w:hAnsi="Times New Roman" w:cs="Times New Roman"/>
          <w:sz w:val="20"/>
          <w:szCs w:val="20"/>
          <w:lang w:val="en-US"/>
        </w:rPr>
        <w:t xml:space="preserve"> (Owusu et al., 2025)</w:t>
      </w:r>
      <w:r w:rsidRPr="000501F0">
        <w:rPr>
          <w:rFonts w:ascii="Times New Roman" w:eastAsia="Times New Roman" w:hAnsi="Times New Roman" w:cs="Times New Roman"/>
          <w:sz w:val="20"/>
          <w:szCs w:val="20"/>
          <w:lang w:val="en-US"/>
        </w:rPr>
        <w:t>. Moreover, limited institutional resources and fragmented governance hinder consistent biodiversity-friendly management</w:t>
      </w:r>
      <w:r w:rsidR="004C03BA" w:rsidRPr="000501F0">
        <w:rPr>
          <w:rFonts w:ascii="Times New Roman" w:eastAsia="Times New Roman" w:hAnsi="Times New Roman" w:cs="Times New Roman"/>
          <w:sz w:val="20"/>
          <w:szCs w:val="20"/>
          <w:lang w:val="en-US"/>
        </w:rPr>
        <w:t xml:space="preserve"> (</w:t>
      </w:r>
      <w:r w:rsidR="004C03BA" w:rsidRPr="000501F0">
        <w:rPr>
          <w:rFonts w:ascii="Times New Roman" w:hAnsi="Times New Roman" w:cs="Times New Roman"/>
          <w:sz w:val="20"/>
          <w:szCs w:val="20"/>
        </w:rPr>
        <w:t>Institute for European Environmental Policy, 2023)</w:t>
      </w:r>
      <w:r w:rsidRPr="000501F0">
        <w:rPr>
          <w:rFonts w:ascii="Times New Roman" w:eastAsia="Times New Roman" w:hAnsi="Times New Roman" w:cs="Times New Roman"/>
          <w:sz w:val="20"/>
          <w:szCs w:val="20"/>
          <w:lang w:val="en-US"/>
        </w:rPr>
        <w:t>. Community-led initiatives, such as neighborhood gardening, pollinator-friendly schools, and integration of traditional ecological knowledge into management, could provide contextually relevant pathways for improving the pollinator-supporting potential of Ghana’s urban green infrastructure</w:t>
      </w:r>
      <w:r w:rsidR="004C03BA" w:rsidRPr="000501F0">
        <w:rPr>
          <w:rFonts w:ascii="Times New Roman" w:eastAsia="Times New Roman" w:hAnsi="Times New Roman" w:cs="Times New Roman"/>
          <w:sz w:val="20"/>
          <w:szCs w:val="20"/>
          <w:lang w:val="en-US"/>
        </w:rPr>
        <w:t xml:space="preserve"> (</w:t>
      </w:r>
      <w:proofErr w:type="spellStart"/>
      <w:r w:rsidR="004C03BA" w:rsidRPr="000501F0">
        <w:rPr>
          <w:rFonts w:ascii="Times New Roman" w:hAnsi="Times New Roman" w:cs="Times New Roman"/>
          <w:sz w:val="20"/>
          <w:szCs w:val="20"/>
        </w:rPr>
        <w:t>Gagakuma</w:t>
      </w:r>
      <w:proofErr w:type="spellEnd"/>
      <w:r w:rsidR="004C03BA" w:rsidRPr="000501F0">
        <w:rPr>
          <w:rFonts w:ascii="Times New Roman" w:hAnsi="Times New Roman" w:cs="Times New Roman"/>
          <w:sz w:val="20"/>
          <w:szCs w:val="20"/>
        </w:rPr>
        <w:t xml:space="preserve"> et al., 2025)</w:t>
      </w:r>
      <w:r w:rsidRPr="000501F0">
        <w:rPr>
          <w:rFonts w:ascii="Times New Roman" w:eastAsia="Times New Roman" w:hAnsi="Times New Roman" w:cs="Times New Roman"/>
          <w:sz w:val="20"/>
          <w:szCs w:val="20"/>
          <w:lang w:val="en-US"/>
        </w:rPr>
        <w:t>.</w:t>
      </w:r>
    </w:p>
    <w:p w14:paraId="625D7099" w14:textId="77777777" w:rsidR="00A52DF4" w:rsidRPr="000501F0" w:rsidRDefault="00A52DF4" w:rsidP="000501F0">
      <w:pPr>
        <w:pStyle w:val="NormalWeb"/>
        <w:numPr>
          <w:ilvl w:val="1"/>
          <w:numId w:val="1"/>
        </w:numPr>
        <w:jc w:val="both"/>
        <w:rPr>
          <w:b/>
          <w:sz w:val="20"/>
          <w:szCs w:val="20"/>
        </w:rPr>
      </w:pPr>
      <w:r w:rsidRPr="000501F0">
        <w:rPr>
          <w:b/>
          <w:sz w:val="20"/>
          <w:szCs w:val="20"/>
        </w:rPr>
        <w:t>The Role of Urban Green Infrastructure in Community Well-being</w:t>
      </w:r>
    </w:p>
    <w:p w14:paraId="35B59BC3" w14:textId="77777777" w:rsidR="00887ED0" w:rsidRPr="000501F0" w:rsidRDefault="00013CA4" w:rsidP="000501F0">
      <w:pPr>
        <w:pStyle w:val="NormalWeb"/>
        <w:jc w:val="both"/>
        <w:rPr>
          <w:sz w:val="20"/>
          <w:szCs w:val="20"/>
        </w:rPr>
      </w:pPr>
      <w:r w:rsidRPr="000501F0">
        <w:rPr>
          <w:sz w:val="20"/>
          <w:szCs w:val="20"/>
        </w:rPr>
        <w:t>Urban green infrastructure (UGI) provides multiple ecosystem services that extend beyond ecological functions to directly influence human well-being. In rapidly urbanizing megacities such as Accra and Kumasi, these benefits are critical in addressing the complex interplay of health, social, cultural, and environmental challenges</w:t>
      </w:r>
      <w:r w:rsidR="00DC508D" w:rsidRPr="000501F0">
        <w:rPr>
          <w:sz w:val="20"/>
          <w:szCs w:val="20"/>
        </w:rPr>
        <w:t>, as indicated in Figure 2</w:t>
      </w:r>
      <w:r w:rsidRPr="000501F0">
        <w:rPr>
          <w:sz w:val="20"/>
          <w:szCs w:val="20"/>
        </w:rPr>
        <w:t>.</w:t>
      </w:r>
    </w:p>
    <w:p w14:paraId="13255D30" w14:textId="77777777" w:rsidR="00DC508D" w:rsidRPr="000501F0" w:rsidRDefault="00DC508D" w:rsidP="000501F0">
      <w:pPr>
        <w:pStyle w:val="NormalWeb"/>
        <w:jc w:val="both"/>
        <w:rPr>
          <w:sz w:val="20"/>
          <w:szCs w:val="20"/>
        </w:rPr>
      </w:pPr>
      <w:r w:rsidRPr="000501F0">
        <w:rPr>
          <w:noProof/>
          <w:sz w:val="20"/>
          <w:szCs w:val="20"/>
        </w:rPr>
        <w:lastRenderedPageBreak/>
        <w:drawing>
          <wp:inline distT="0" distB="0" distL="0" distR="0" wp14:anchorId="0EE376AD" wp14:editId="474C8B36">
            <wp:extent cx="5727032" cy="4667885"/>
            <wp:effectExtent l="0" t="5715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74A9A5" w14:textId="77777777" w:rsidR="00DC508D" w:rsidRPr="000501F0" w:rsidRDefault="00DC508D" w:rsidP="000501F0">
      <w:pPr>
        <w:spacing w:line="240" w:lineRule="auto"/>
        <w:jc w:val="center"/>
        <w:rPr>
          <w:rFonts w:ascii="Times New Roman" w:hAnsi="Times New Roman" w:cs="Times New Roman"/>
          <w:b/>
          <w:sz w:val="20"/>
          <w:szCs w:val="20"/>
        </w:rPr>
      </w:pPr>
      <w:r w:rsidRPr="000501F0">
        <w:rPr>
          <w:rFonts w:ascii="Times New Roman" w:hAnsi="Times New Roman" w:cs="Times New Roman"/>
          <w:b/>
          <w:sz w:val="20"/>
          <w:szCs w:val="20"/>
        </w:rPr>
        <w:t>Figure 2: Role of Urban Green Infrastructure in Community Well-being</w:t>
      </w:r>
    </w:p>
    <w:p w14:paraId="659CE30D" w14:textId="77777777" w:rsidR="00DC508D" w:rsidRPr="000501F0" w:rsidRDefault="00DC508D" w:rsidP="000501F0">
      <w:pPr>
        <w:spacing w:line="240" w:lineRule="auto"/>
        <w:jc w:val="center"/>
        <w:rPr>
          <w:rFonts w:ascii="Times New Roman" w:hAnsi="Times New Roman" w:cs="Times New Roman"/>
          <w:sz w:val="20"/>
          <w:szCs w:val="20"/>
        </w:rPr>
      </w:pPr>
      <w:r w:rsidRPr="000501F0">
        <w:rPr>
          <w:rFonts w:ascii="Times New Roman" w:hAnsi="Times New Roman" w:cs="Times New Roman"/>
          <w:sz w:val="20"/>
          <w:szCs w:val="20"/>
        </w:rPr>
        <w:t>Source: Authors</w:t>
      </w:r>
      <w:r w:rsidR="00FD533D" w:rsidRPr="000501F0">
        <w:rPr>
          <w:rFonts w:ascii="Times New Roman" w:hAnsi="Times New Roman" w:cs="Times New Roman"/>
          <w:sz w:val="20"/>
          <w:szCs w:val="20"/>
        </w:rPr>
        <w:t>’ Construct</w:t>
      </w:r>
    </w:p>
    <w:p w14:paraId="4EBF47D5" w14:textId="77777777" w:rsidR="00013CA4" w:rsidRPr="000501F0" w:rsidRDefault="00065E2B" w:rsidP="000501F0">
      <w:pPr>
        <w:spacing w:line="240" w:lineRule="auto"/>
        <w:jc w:val="both"/>
        <w:rPr>
          <w:rFonts w:ascii="Times New Roman" w:hAnsi="Times New Roman" w:cs="Times New Roman"/>
          <w:b/>
          <w:sz w:val="20"/>
          <w:szCs w:val="20"/>
          <w:lang w:val="en-US"/>
        </w:rPr>
      </w:pPr>
      <w:r>
        <w:rPr>
          <w:rFonts w:ascii="Times New Roman" w:hAnsi="Times New Roman" w:cs="Times New Roman"/>
          <w:b/>
          <w:i/>
          <w:sz w:val="20"/>
          <w:szCs w:val="20"/>
        </w:rPr>
        <w:t xml:space="preserve">Physical Health and Active Living: </w:t>
      </w:r>
      <w:r w:rsidRPr="00065E2B">
        <w:rPr>
          <w:rFonts w:ascii="Times New Roman" w:hAnsi="Times New Roman" w:cs="Times New Roman"/>
          <w:sz w:val="20"/>
          <w:szCs w:val="20"/>
        </w:rPr>
        <w:t>Urban green infrastructure plays a vital role in promoting physical health by providing opportunities for active living (World Economic Forum, 2025). Parks, tree-lined streets, and recreational green spaces create environments that encourage walking, jogging, cycling, and other physical activities, which help reduce the rates of non-communicable diseases such as obesity, hypertension, and cardiovascular problems (Twohig-Bennett &amp; Jones, 2018). These green areas also improve air quality, as vegetation acts as a natural filter for pollutants, lowering the incidence of respiratory illnesses (Kabisch et al., 2017). Furthermore, the presence of trees and greenery helps reduce exposure to excessive heat by mitigating the urban heat island effect. This is especially important in tropical megacities like Accra, where high temperatures, combined with limited shade and poor ventilation in densely populated areas, increase the risk of heat-related illnesses (Owusu et al., 2025). Vulnerable groups such as the elderly, children, and outdoor workers rely heavily on these cooling benefits (</w:t>
      </w:r>
      <w:proofErr w:type="spellStart"/>
      <w:r w:rsidRPr="00065E2B">
        <w:rPr>
          <w:rFonts w:ascii="Times New Roman" w:hAnsi="Times New Roman" w:cs="Times New Roman"/>
          <w:sz w:val="20"/>
          <w:szCs w:val="20"/>
        </w:rPr>
        <w:t>MyDailyNewsOnline</w:t>
      </w:r>
      <w:proofErr w:type="spellEnd"/>
      <w:r w:rsidRPr="00065E2B">
        <w:rPr>
          <w:rFonts w:ascii="Times New Roman" w:hAnsi="Times New Roman" w:cs="Times New Roman"/>
          <w:sz w:val="20"/>
          <w:szCs w:val="20"/>
        </w:rPr>
        <w:t>, 2025). By offering shaded and cooler environments, urban green spaces serve as preventive health infrastructure that can decrease hospital visits and healthcare costs (</w:t>
      </w:r>
      <w:proofErr w:type="spellStart"/>
      <w:r w:rsidRPr="00065E2B">
        <w:rPr>
          <w:rFonts w:ascii="Times New Roman" w:hAnsi="Times New Roman" w:cs="Times New Roman"/>
          <w:sz w:val="20"/>
          <w:szCs w:val="20"/>
        </w:rPr>
        <w:t>GhanaWeb</w:t>
      </w:r>
      <w:proofErr w:type="spellEnd"/>
      <w:r w:rsidRPr="00065E2B">
        <w:rPr>
          <w:rFonts w:ascii="Times New Roman" w:hAnsi="Times New Roman" w:cs="Times New Roman"/>
          <w:sz w:val="20"/>
          <w:szCs w:val="20"/>
        </w:rPr>
        <w:t>, 2025).</w:t>
      </w:r>
    </w:p>
    <w:p w14:paraId="1B33959E" w14:textId="77777777" w:rsidR="00013CA4" w:rsidRPr="000501F0" w:rsidRDefault="00013CA4" w:rsidP="000501F0">
      <w:pPr>
        <w:spacing w:line="240" w:lineRule="auto"/>
        <w:jc w:val="both"/>
        <w:rPr>
          <w:rFonts w:ascii="Times New Roman" w:hAnsi="Times New Roman" w:cs="Times New Roman"/>
          <w:b/>
          <w:i/>
          <w:sz w:val="20"/>
          <w:szCs w:val="20"/>
        </w:rPr>
      </w:pPr>
      <w:r w:rsidRPr="000501F0">
        <w:rPr>
          <w:rFonts w:ascii="Times New Roman" w:hAnsi="Times New Roman" w:cs="Times New Roman"/>
          <w:b/>
          <w:i/>
          <w:sz w:val="20"/>
          <w:szCs w:val="20"/>
        </w:rPr>
        <w:t>Mental Health and Psychological Restoration</w:t>
      </w:r>
      <w:r w:rsidR="00DC508D" w:rsidRPr="000501F0">
        <w:rPr>
          <w:rFonts w:ascii="Times New Roman" w:hAnsi="Times New Roman" w:cs="Times New Roman"/>
          <w:b/>
          <w:i/>
          <w:sz w:val="20"/>
          <w:szCs w:val="20"/>
        </w:rPr>
        <w:t xml:space="preserve">: </w:t>
      </w:r>
      <w:r w:rsidRPr="000501F0">
        <w:rPr>
          <w:rFonts w:ascii="Times New Roman" w:hAnsi="Times New Roman" w:cs="Times New Roman"/>
          <w:sz w:val="20"/>
          <w:szCs w:val="20"/>
        </w:rPr>
        <w:t>The role of urban green infrastructure in supporting mental health is increasingly recognized in global scholarship</w:t>
      </w:r>
      <w:r w:rsidR="001F6801" w:rsidRPr="000501F0">
        <w:rPr>
          <w:rFonts w:ascii="Times New Roman" w:hAnsi="Times New Roman" w:cs="Times New Roman"/>
          <w:sz w:val="20"/>
          <w:szCs w:val="20"/>
        </w:rPr>
        <w:t xml:space="preserve"> (Sustainability Directory, 2025)</w:t>
      </w:r>
      <w:r w:rsidRPr="000501F0">
        <w:rPr>
          <w:rFonts w:ascii="Times New Roman" w:hAnsi="Times New Roman" w:cs="Times New Roman"/>
          <w:sz w:val="20"/>
          <w:szCs w:val="20"/>
        </w:rPr>
        <w:t>. Natural environments provide restorative experiences that lower stress, reduce anxiety, and enhance psychological well-being</w:t>
      </w:r>
      <w:r w:rsidR="001F6801" w:rsidRPr="000501F0">
        <w:rPr>
          <w:rFonts w:ascii="Times New Roman" w:hAnsi="Times New Roman" w:cs="Times New Roman"/>
          <w:sz w:val="20"/>
          <w:szCs w:val="20"/>
        </w:rPr>
        <w:t xml:space="preserve"> (Lam, 2025)</w:t>
      </w:r>
      <w:r w:rsidRPr="000501F0">
        <w:rPr>
          <w:rFonts w:ascii="Times New Roman" w:hAnsi="Times New Roman" w:cs="Times New Roman"/>
          <w:sz w:val="20"/>
          <w:szCs w:val="20"/>
        </w:rPr>
        <w:t>. Theoretical perspectives such as Attention Restoration Theory suggest that time spent in green spaces helps restore depleted cognitive resources, while Stress Recovery Theory emphasizes the calming effects of natural scenery (</w:t>
      </w:r>
      <w:proofErr w:type="spellStart"/>
      <w:r w:rsidRPr="000501F0">
        <w:rPr>
          <w:rFonts w:ascii="Times New Roman" w:hAnsi="Times New Roman" w:cs="Times New Roman"/>
          <w:sz w:val="20"/>
          <w:szCs w:val="20"/>
        </w:rPr>
        <w:t>Markevych</w:t>
      </w:r>
      <w:proofErr w:type="spellEnd"/>
      <w:r w:rsidRPr="000501F0">
        <w:rPr>
          <w:rFonts w:ascii="Times New Roman" w:hAnsi="Times New Roman" w:cs="Times New Roman"/>
          <w:sz w:val="20"/>
          <w:szCs w:val="20"/>
        </w:rPr>
        <w:t xml:space="preserve"> et al., 2017).</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 xml:space="preserve">Empirical studies confirm that regular exposure to urban greenery reduces symptoms of </w:t>
      </w:r>
      <w:r w:rsidRPr="000501F0">
        <w:rPr>
          <w:rFonts w:ascii="Times New Roman" w:hAnsi="Times New Roman" w:cs="Times New Roman"/>
          <w:sz w:val="20"/>
          <w:szCs w:val="20"/>
        </w:rPr>
        <w:lastRenderedPageBreak/>
        <w:t>depression, improves mood, and enhances overall life satisfaction (White et al., 2019). For residents of Ghanaian megacities, where urban environments are often characterized by congestion, noise, and poor housing conditions, access to green environments offers a critical avenue for mental restoration</w:t>
      </w:r>
      <w:r w:rsidR="001F6801" w:rsidRPr="000501F0">
        <w:rPr>
          <w:rFonts w:ascii="Times New Roman" w:hAnsi="Times New Roman" w:cs="Times New Roman"/>
          <w:sz w:val="20"/>
          <w:szCs w:val="20"/>
        </w:rPr>
        <w:t xml:space="preserve"> (</w:t>
      </w:r>
      <w:proofErr w:type="spellStart"/>
      <w:r w:rsidR="001F6801" w:rsidRPr="000501F0">
        <w:rPr>
          <w:rFonts w:ascii="Times New Roman" w:hAnsi="Times New Roman" w:cs="Times New Roman"/>
          <w:sz w:val="20"/>
          <w:szCs w:val="20"/>
        </w:rPr>
        <w:t>Amegah</w:t>
      </w:r>
      <w:proofErr w:type="spellEnd"/>
      <w:r w:rsidR="001F6801" w:rsidRPr="000501F0">
        <w:rPr>
          <w:rFonts w:ascii="Times New Roman" w:hAnsi="Times New Roman" w:cs="Times New Roman"/>
          <w:sz w:val="20"/>
          <w:szCs w:val="20"/>
        </w:rPr>
        <w:t xml:space="preserve"> et al., 2023)</w:t>
      </w:r>
      <w:r w:rsidRPr="000501F0">
        <w:rPr>
          <w:rFonts w:ascii="Times New Roman" w:hAnsi="Times New Roman" w:cs="Times New Roman"/>
          <w:sz w:val="20"/>
          <w:szCs w:val="20"/>
        </w:rPr>
        <w:t xml:space="preserve">. This is particularly important given that mental health issues in Ghana remain </w:t>
      </w:r>
      <w:r w:rsidR="009B1634" w:rsidRPr="000501F0">
        <w:rPr>
          <w:rFonts w:ascii="Times New Roman" w:hAnsi="Times New Roman" w:cs="Times New Roman"/>
          <w:sz w:val="20"/>
          <w:szCs w:val="20"/>
        </w:rPr>
        <w:t>underdiagnosed</w:t>
      </w:r>
      <w:r w:rsidRPr="000501F0">
        <w:rPr>
          <w:rFonts w:ascii="Times New Roman" w:hAnsi="Times New Roman" w:cs="Times New Roman"/>
          <w:sz w:val="20"/>
          <w:szCs w:val="20"/>
        </w:rPr>
        <w:t xml:space="preserve"> and stigmatized, and formal support systems are under-resourced. Thus, urban green infrastructure represents an informal but highly effective strategy for promoting psychological health in dense urban environments</w:t>
      </w:r>
      <w:r w:rsidR="001F6801" w:rsidRPr="000501F0">
        <w:rPr>
          <w:rFonts w:ascii="Times New Roman" w:hAnsi="Times New Roman" w:cs="Times New Roman"/>
          <w:sz w:val="20"/>
          <w:szCs w:val="20"/>
        </w:rPr>
        <w:t xml:space="preserve"> (Boakye et al., 2025)</w:t>
      </w:r>
      <w:r w:rsidRPr="000501F0">
        <w:rPr>
          <w:rFonts w:ascii="Times New Roman" w:hAnsi="Times New Roman" w:cs="Times New Roman"/>
          <w:sz w:val="20"/>
          <w:szCs w:val="20"/>
        </w:rPr>
        <w:t>.</w:t>
      </w:r>
    </w:p>
    <w:p w14:paraId="24FF7CB5" w14:textId="77777777" w:rsidR="00013CA4" w:rsidRPr="000501F0" w:rsidRDefault="00013CA4" w:rsidP="000501F0">
      <w:pPr>
        <w:spacing w:line="240" w:lineRule="auto"/>
        <w:jc w:val="both"/>
        <w:rPr>
          <w:rFonts w:ascii="Times New Roman" w:hAnsi="Times New Roman" w:cs="Times New Roman"/>
          <w:b/>
          <w:sz w:val="20"/>
          <w:szCs w:val="20"/>
        </w:rPr>
      </w:pPr>
      <w:r w:rsidRPr="000501F0">
        <w:rPr>
          <w:rFonts w:ascii="Times New Roman" w:hAnsi="Times New Roman" w:cs="Times New Roman"/>
          <w:b/>
          <w:i/>
          <w:sz w:val="20"/>
          <w:szCs w:val="20"/>
        </w:rPr>
        <w:t>Social Cohesion and Community Interaction</w:t>
      </w:r>
      <w:r w:rsidR="00DC508D" w:rsidRPr="000501F0">
        <w:rPr>
          <w:rFonts w:ascii="Times New Roman" w:hAnsi="Times New Roman" w:cs="Times New Roman"/>
          <w:b/>
          <w:i/>
          <w:sz w:val="20"/>
          <w:szCs w:val="20"/>
        </w:rPr>
        <w:t>:</w:t>
      </w:r>
      <w:r w:rsidR="00DC508D" w:rsidRPr="000501F0">
        <w:rPr>
          <w:rFonts w:ascii="Times New Roman" w:hAnsi="Times New Roman" w:cs="Times New Roman"/>
          <w:b/>
          <w:sz w:val="20"/>
          <w:szCs w:val="20"/>
        </w:rPr>
        <w:t xml:space="preserve"> </w:t>
      </w:r>
      <w:r w:rsidRPr="000501F0">
        <w:rPr>
          <w:rFonts w:ascii="Times New Roman" w:hAnsi="Times New Roman" w:cs="Times New Roman"/>
          <w:sz w:val="20"/>
          <w:szCs w:val="20"/>
        </w:rPr>
        <w:t xml:space="preserve">Urban green spaces play a vital role in strengthening social ties and fostering a sense of community. Parks, gardens, and communal open spaces serve as platforms for interaction, where people of different age groups, socio-economic classes, and cultural backgrounds come together. Such interactions build trust, foster inclusiveness, and promote civic engagement (Jennings &amp; </w:t>
      </w:r>
      <w:proofErr w:type="spellStart"/>
      <w:r w:rsidRPr="000501F0">
        <w:rPr>
          <w:rFonts w:ascii="Times New Roman" w:hAnsi="Times New Roman" w:cs="Times New Roman"/>
          <w:sz w:val="20"/>
          <w:szCs w:val="20"/>
        </w:rPr>
        <w:t>Bamkole</w:t>
      </w:r>
      <w:proofErr w:type="spellEnd"/>
      <w:r w:rsidRPr="000501F0">
        <w:rPr>
          <w:rFonts w:ascii="Times New Roman" w:hAnsi="Times New Roman" w:cs="Times New Roman"/>
          <w:sz w:val="20"/>
          <w:szCs w:val="20"/>
        </w:rPr>
        <w:t>, 2019).</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In megacities such as Accra and Kumasi, where rapid urbanization has intensified socio-economic inequalities and weakened community networks, urban green infrastructure can serve as a unifying force</w:t>
      </w:r>
      <w:r w:rsidR="004807C1" w:rsidRPr="000501F0">
        <w:rPr>
          <w:rFonts w:ascii="Times New Roman" w:hAnsi="Times New Roman" w:cs="Times New Roman"/>
          <w:sz w:val="20"/>
          <w:szCs w:val="20"/>
        </w:rPr>
        <w:t xml:space="preserve"> (Sarpong et al., 2025). C</w:t>
      </w:r>
      <w:r w:rsidRPr="000501F0">
        <w:rPr>
          <w:rFonts w:ascii="Times New Roman" w:hAnsi="Times New Roman" w:cs="Times New Roman"/>
          <w:sz w:val="20"/>
          <w:szCs w:val="20"/>
        </w:rPr>
        <w:t>ommunity gardens not only provide food but also act as spaces for social collaboration, knowledge exchange, and intergenerational bonding</w:t>
      </w:r>
      <w:r w:rsidR="004807C1" w:rsidRPr="000501F0">
        <w:rPr>
          <w:rFonts w:ascii="Times New Roman" w:hAnsi="Times New Roman" w:cs="Times New Roman"/>
          <w:sz w:val="20"/>
          <w:szCs w:val="20"/>
        </w:rPr>
        <w:t xml:space="preserve"> (</w:t>
      </w:r>
      <w:proofErr w:type="spellStart"/>
      <w:r w:rsidR="004807C1" w:rsidRPr="000501F0">
        <w:rPr>
          <w:rFonts w:ascii="Times New Roman" w:hAnsi="Times New Roman" w:cs="Times New Roman"/>
          <w:sz w:val="20"/>
          <w:szCs w:val="20"/>
        </w:rPr>
        <w:t>Gagakuma</w:t>
      </w:r>
      <w:proofErr w:type="spellEnd"/>
      <w:r w:rsidR="004807C1" w:rsidRPr="000501F0">
        <w:rPr>
          <w:rFonts w:ascii="Times New Roman" w:hAnsi="Times New Roman" w:cs="Times New Roman"/>
          <w:sz w:val="20"/>
          <w:szCs w:val="20"/>
        </w:rPr>
        <w:t xml:space="preserve"> et al., 2025)</w:t>
      </w:r>
      <w:r w:rsidRPr="000501F0">
        <w:rPr>
          <w:rFonts w:ascii="Times New Roman" w:hAnsi="Times New Roman" w:cs="Times New Roman"/>
          <w:sz w:val="20"/>
          <w:szCs w:val="20"/>
        </w:rPr>
        <w:t>. Recreational parks also promote integration across ethnic and cultural groups, which is vital in diverse urban settings. By enhancing opportunities for social connection, green spaces contribute to reducing social fragmentation and strengthening urban resilience</w:t>
      </w:r>
      <w:r w:rsidR="004807C1" w:rsidRPr="000501F0">
        <w:rPr>
          <w:rFonts w:ascii="Times New Roman" w:hAnsi="Times New Roman" w:cs="Times New Roman"/>
          <w:sz w:val="20"/>
          <w:szCs w:val="20"/>
        </w:rPr>
        <w:t xml:space="preserve"> (Yeboah et al., 2025)</w:t>
      </w:r>
      <w:r w:rsidRPr="000501F0">
        <w:rPr>
          <w:rFonts w:ascii="Times New Roman" w:hAnsi="Times New Roman" w:cs="Times New Roman"/>
          <w:sz w:val="20"/>
          <w:szCs w:val="20"/>
        </w:rPr>
        <w:t>.</w:t>
      </w:r>
    </w:p>
    <w:p w14:paraId="785FE8F8" w14:textId="77777777" w:rsidR="00013CA4" w:rsidRPr="000501F0" w:rsidRDefault="00013CA4" w:rsidP="000501F0">
      <w:pPr>
        <w:spacing w:line="240" w:lineRule="auto"/>
        <w:jc w:val="both"/>
        <w:rPr>
          <w:rFonts w:ascii="Times New Roman" w:hAnsi="Times New Roman" w:cs="Times New Roman"/>
          <w:b/>
          <w:sz w:val="20"/>
          <w:szCs w:val="20"/>
        </w:rPr>
      </w:pPr>
      <w:r w:rsidRPr="000501F0">
        <w:rPr>
          <w:rFonts w:ascii="Times New Roman" w:hAnsi="Times New Roman" w:cs="Times New Roman"/>
          <w:b/>
          <w:i/>
          <w:sz w:val="20"/>
          <w:szCs w:val="20"/>
        </w:rPr>
        <w:t>Cultural and Aesthetic Value</w:t>
      </w:r>
      <w:r w:rsidR="00DC508D" w:rsidRPr="000501F0">
        <w:rPr>
          <w:rFonts w:ascii="Times New Roman" w:hAnsi="Times New Roman" w:cs="Times New Roman"/>
          <w:b/>
          <w:i/>
          <w:sz w:val="20"/>
          <w:szCs w:val="20"/>
        </w:rPr>
        <w:t>:</w:t>
      </w:r>
      <w:r w:rsidR="00DC508D" w:rsidRPr="000501F0">
        <w:rPr>
          <w:rFonts w:ascii="Times New Roman" w:hAnsi="Times New Roman" w:cs="Times New Roman"/>
          <w:b/>
          <w:sz w:val="20"/>
          <w:szCs w:val="20"/>
        </w:rPr>
        <w:t xml:space="preserve"> </w:t>
      </w:r>
      <w:r w:rsidRPr="000501F0">
        <w:rPr>
          <w:rFonts w:ascii="Times New Roman" w:hAnsi="Times New Roman" w:cs="Times New Roman"/>
          <w:sz w:val="20"/>
          <w:szCs w:val="20"/>
        </w:rPr>
        <w:t>Beyond physical and psychological benefits, urban green infrastructure carries deep cultural and aesthetic value</w:t>
      </w:r>
      <w:r w:rsidR="009D1B7C" w:rsidRPr="000501F0">
        <w:rPr>
          <w:rFonts w:ascii="Times New Roman" w:hAnsi="Times New Roman" w:cs="Times New Roman"/>
          <w:sz w:val="20"/>
          <w:szCs w:val="20"/>
        </w:rPr>
        <w:t xml:space="preserve"> (Shackleton et al., 2018). Amoako &amp; Frimpong Boamah (2017</w:t>
      </w:r>
      <w:r w:rsidRPr="000501F0">
        <w:rPr>
          <w:rFonts w:ascii="Times New Roman" w:hAnsi="Times New Roman" w:cs="Times New Roman"/>
          <w:sz w:val="20"/>
          <w:szCs w:val="20"/>
        </w:rPr>
        <w:t xml:space="preserve">) </w:t>
      </w:r>
      <w:r w:rsidR="009D1B7C" w:rsidRPr="000501F0">
        <w:rPr>
          <w:rFonts w:ascii="Times New Roman" w:hAnsi="Times New Roman" w:cs="Times New Roman"/>
          <w:sz w:val="20"/>
          <w:szCs w:val="20"/>
        </w:rPr>
        <w:t>emphasize</w:t>
      </w:r>
      <w:r w:rsidRPr="000501F0">
        <w:rPr>
          <w:rFonts w:ascii="Times New Roman" w:hAnsi="Times New Roman" w:cs="Times New Roman"/>
          <w:sz w:val="20"/>
          <w:szCs w:val="20"/>
        </w:rPr>
        <w:t xml:space="preserve"> that green spaces enrich urban life by providing beauty, tranquility, and inspiration. In Ghana, green landscapes also embody cultural heritage, with sacred groves, community forests, and symbolic trees serving as repositories of traditional ecological knowledge and spiritual meaning (Shackleton et al., 2018).</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Integrating such culturally significant landscapes into modern urban planning ensures continuity between traditional heritage and contemporary development</w:t>
      </w:r>
      <w:r w:rsidR="009D1B7C" w:rsidRPr="000501F0">
        <w:rPr>
          <w:rFonts w:ascii="Times New Roman" w:hAnsi="Times New Roman" w:cs="Times New Roman"/>
          <w:sz w:val="20"/>
          <w:szCs w:val="20"/>
        </w:rPr>
        <w:t xml:space="preserve"> (</w:t>
      </w:r>
      <w:proofErr w:type="spellStart"/>
      <w:r w:rsidR="009D1B7C" w:rsidRPr="000501F0">
        <w:rPr>
          <w:rFonts w:ascii="Times New Roman" w:hAnsi="Times New Roman" w:cs="Times New Roman"/>
          <w:sz w:val="20"/>
          <w:szCs w:val="20"/>
        </w:rPr>
        <w:t>Hollmen</w:t>
      </w:r>
      <w:proofErr w:type="spellEnd"/>
      <w:r w:rsidR="009D1B7C" w:rsidRPr="000501F0">
        <w:rPr>
          <w:rFonts w:ascii="Times New Roman" w:hAnsi="Times New Roman" w:cs="Times New Roman"/>
          <w:sz w:val="20"/>
          <w:szCs w:val="20"/>
        </w:rPr>
        <w:t xml:space="preserve"> et al., 2025)</w:t>
      </w:r>
      <w:r w:rsidRPr="000501F0">
        <w:rPr>
          <w:rFonts w:ascii="Times New Roman" w:hAnsi="Times New Roman" w:cs="Times New Roman"/>
          <w:sz w:val="20"/>
          <w:szCs w:val="20"/>
        </w:rPr>
        <w:t xml:space="preserve">. Furthermore, </w:t>
      </w:r>
      <w:r w:rsidR="001F6801" w:rsidRPr="000501F0">
        <w:rPr>
          <w:rFonts w:ascii="Times New Roman" w:hAnsi="Times New Roman" w:cs="Times New Roman"/>
          <w:sz w:val="20"/>
          <w:szCs w:val="20"/>
        </w:rPr>
        <w:t>according</w:t>
      </w:r>
      <w:r w:rsidR="009D1B7C" w:rsidRPr="000501F0">
        <w:rPr>
          <w:rFonts w:ascii="Times New Roman" w:hAnsi="Times New Roman" w:cs="Times New Roman"/>
          <w:sz w:val="20"/>
          <w:szCs w:val="20"/>
        </w:rPr>
        <w:t xml:space="preserve"> to </w:t>
      </w:r>
      <w:proofErr w:type="spellStart"/>
      <w:r w:rsidR="009D1B7C" w:rsidRPr="000501F0">
        <w:rPr>
          <w:rFonts w:ascii="Times New Roman" w:hAnsi="Times New Roman" w:cs="Times New Roman"/>
          <w:sz w:val="20"/>
          <w:szCs w:val="20"/>
        </w:rPr>
        <w:t>Gagakuma</w:t>
      </w:r>
      <w:proofErr w:type="spellEnd"/>
      <w:r w:rsidR="009D1B7C" w:rsidRPr="000501F0">
        <w:rPr>
          <w:rFonts w:ascii="Times New Roman" w:hAnsi="Times New Roman" w:cs="Times New Roman"/>
          <w:sz w:val="20"/>
          <w:szCs w:val="20"/>
        </w:rPr>
        <w:t xml:space="preserve"> et al. (2025), </w:t>
      </w:r>
      <w:r w:rsidRPr="000501F0">
        <w:rPr>
          <w:rFonts w:ascii="Times New Roman" w:hAnsi="Times New Roman" w:cs="Times New Roman"/>
          <w:sz w:val="20"/>
          <w:szCs w:val="20"/>
        </w:rPr>
        <w:t>aesthetically pleasing green environments improve the livability of cities, enhance property values, and attract tourism and investment. In Accra and Kumasi, where concrete expansion often erases cultural landscapes, protecting and revitalizing culturally significant green spaces ensures that urban development does not come at the expense of identity and heritage.</w:t>
      </w:r>
    </w:p>
    <w:p w14:paraId="12795B4C" w14:textId="77777777" w:rsidR="00013CA4" w:rsidRPr="000501F0" w:rsidRDefault="00013CA4" w:rsidP="000501F0">
      <w:pPr>
        <w:spacing w:line="240" w:lineRule="auto"/>
        <w:jc w:val="both"/>
        <w:rPr>
          <w:rFonts w:ascii="Times New Roman" w:hAnsi="Times New Roman" w:cs="Times New Roman"/>
          <w:sz w:val="20"/>
          <w:szCs w:val="20"/>
        </w:rPr>
      </w:pPr>
      <w:r w:rsidRPr="000501F0">
        <w:rPr>
          <w:rFonts w:ascii="Times New Roman" w:hAnsi="Times New Roman" w:cs="Times New Roman"/>
          <w:b/>
          <w:i/>
          <w:sz w:val="20"/>
          <w:szCs w:val="20"/>
        </w:rPr>
        <w:t>Climate Resilience and Environmental Justice</w:t>
      </w:r>
      <w:r w:rsidR="00DC508D" w:rsidRPr="000501F0">
        <w:rPr>
          <w:rFonts w:ascii="Times New Roman" w:hAnsi="Times New Roman" w:cs="Times New Roman"/>
          <w:b/>
          <w:i/>
          <w:sz w:val="20"/>
          <w:szCs w:val="20"/>
        </w:rPr>
        <w:t>:</w:t>
      </w:r>
      <w:r w:rsidR="00DC508D" w:rsidRPr="000501F0">
        <w:rPr>
          <w:rFonts w:ascii="Times New Roman" w:hAnsi="Times New Roman" w:cs="Times New Roman"/>
          <w:b/>
          <w:sz w:val="20"/>
          <w:szCs w:val="20"/>
        </w:rPr>
        <w:t xml:space="preserve"> </w:t>
      </w:r>
      <w:r w:rsidRPr="000501F0">
        <w:rPr>
          <w:rFonts w:ascii="Times New Roman" w:hAnsi="Times New Roman" w:cs="Times New Roman"/>
          <w:sz w:val="20"/>
          <w:szCs w:val="20"/>
        </w:rPr>
        <w:t>Urban green infrastructure strengthens community resilience by providing ecosystem services that buffer against climate change impacts</w:t>
      </w:r>
      <w:r w:rsidR="00E038C1" w:rsidRPr="000501F0">
        <w:rPr>
          <w:rFonts w:ascii="Times New Roman" w:hAnsi="Times New Roman" w:cs="Times New Roman"/>
          <w:sz w:val="20"/>
          <w:szCs w:val="20"/>
        </w:rPr>
        <w:t xml:space="preserve"> (</w:t>
      </w:r>
      <w:proofErr w:type="spellStart"/>
      <w:r w:rsidR="00E038C1" w:rsidRPr="000501F0">
        <w:rPr>
          <w:rFonts w:ascii="Times New Roman" w:hAnsi="Times New Roman" w:cs="Times New Roman"/>
          <w:sz w:val="20"/>
          <w:szCs w:val="20"/>
        </w:rPr>
        <w:t>Ashinze</w:t>
      </w:r>
      <w:proofErr w:type="spellEnd"/>
      <w:r w:rsidR="00E038C1" w:rsidRPr="000501F0">
        <w:rPr>
          <w:rFonts w:ascii="Times New Roman" w:hAnsi="Times New Roman" w:cs="Times New Roman"/>
          <w:sz w:val="20"/>
          <w:szCs w:val="20"/>
        </w:rPr>
        <w:t xml:space="preserve"> et al., 2024)</w:t>
      </w:r>
      <w:r w:rsidRPr="000501F0">
        <w:rPr>
          <w:rFonts w:ascii="Times New Roman" w:hAnsi="Times New Roman" w:cs="Times New Roman"/>
          <w:sz w:val="20"/>
          <w:szCs w:val="20"/>
        </w:rPr>
        <w:t>. Vegetated areas absorb stormwater, reducing the severity of urban flooding, which is a persistent challenge in Accra during the rainy season. Trees and vegetation also sequester carbon, regulate urban temperatures, and provide habitats that sustain local ecological balance (</w:t>
      </w:r>
      <w:proofErr w:type="spellStart"/>
      <w:r w:rsidRPr="000501F0">
        <w:rPr>
          <w:rFonts w:ascii="Times New Roman" w:hAnsi="Times New Roman" w:cs="Times New Roman"/>
          <w:sz w:val="20"/>
          <w:szCs w:val="20"/>
        </w:rPr>
        <w:t>Frantzeskaki</w:t>
      </w:r>
      <w:proofErr w:type="spellEnd"/>
      <w:r w:rsidRPr="000501F0">
        <w:rPr>
          <w:rFonts w:ascii="Times New Roman" w:hAnsi="Times New Roman" w:cs="Times New Roman"/>
          <w:sz w:val="20"/>
          <w:szCs w:val="20"/>
        </w:rPr>
        <w:t xml:space="preserve"> et al., 2019). These climate regulation services are indispensable in African megacities, where inadequate infrastructure often leaves communities vulnerable to climate-related hazards.</w:t>
      </w:r>
      <w:r w:rsidR="009B1634" w:rsidRPr="000501F0">
        <w:rPr>
          <w:rFonts w:ascii="Times New Roman" w:hAnsi="Times New Roman" w:cs="Times New Roman"/>
          <w:sz w:val="20"/>
          <w:szCs w:val="20"/>
        </w:rPr>
        <w:t xml:space="preserve"> </w:t>
      </w:r>
      <w:r w:rsidRPr="000501F0">
        <w:rPr>
          <w:rFonts w:ascii="Times New Roman" w:hAnsi="Times New Roman" w:cs="Times New Roman"/>
          <w:sz w:val="20"/>
          <w:szCs w:val="20"/>
        </w:rPr>
        <w:t>However, access to the benefits of urban green infrastructure is rarely equal</w:t>
      </w:r>
      <w:r w:rsidR="00E038C1" w:rsidRPr="000501F0">
        <w:rPr>
          <w:rFonts w:ascii="Times New Roman" w:hAnsi="Times New Roman" w:cs="Times New Roman"/>
          <w:sz w:val="20"/>
          <w:szCs w:val="20"/>
        </w:rPr>
        <w:t xml:space="preserve"> (</w:t>
      </w:r>
      <w:proofErr w:type="spellStart"/>
      <w:r w:rsidR="00E038C1" w:rsidRPr="000501F0">
        <w:rPr>
          <w:rFonts w:ascii="Times New Roman" w:hAnsi="Times New Roman" w:cs="Times New Roman"/>
          <w:sz w:val="20"/>
          <w:szCs w:val="20"/>
        </w:rPr>
        <w:t>Anguelovski</w:t>
      </w:r>
      <w:proofErr w:type="spellEnd"/>
      <w:r w:rsidR="00E038C1" w:rsidRPr="000501F0">
        <w:rPr>
          <w:rFonts w:ascii="Times New Roman" w:hAnsi="Times New Roman" w:cs="Times New Roman"/>
          <w:sz w:val="20"/>
          <w:szCs w:val="20"/>
        </w:rPr>
        <w:t xml:space="preserve"> et al.</w:t>
      </w:r>
      <w:r w:rsidR="009D1B7C" w:rsidRPr="000501F0">
        <w:rPr>
          <w:rFonts w:ascii="Times New Roman" w:hAnsi="Times New Roman" w:cs="Times New Roman"/>
          <w:sz w:val="20"/>
          <w:szCs w:val="20"/>
        </w:rPr>
        <w:t>, 2018)</w:t>
      </w:r>
      <w:r w:rsidRPr="000501F0">
        <w:rPr>
          <w:rFonts w:ascii="Times New Roman" w:hAnsi="Times New Roman" w:cs="Times New Roman"/>
          <w:sz w:val="20"/>
          <w:szCs w:val="20"/>
        </w:rPr>
        <w:t xml:space="preserve">. </w:t>
      </w:r>
      <w:proofErr w:type="spellStart"/>
      <w:r w:rsidRPr="000501F0">
        <w:rPr>
          <w:rFonts w:ascii="Times New Roman" w:hAnsi="Times New Roman" w:cs="Times New Roman"/>
          <w:sz w:val="20"/>
          <w:szCs w:val="20"/>
        </w:rPr>
        <w:t>Rigolon</w:t>
      </w:r>
      <w:proofErr w:type="spellEnd"/>
      <w:r w:rsidRPr="000501F0">
        <w:rPr>
          <w:rFonts w:ascii="Times New Roman" w:hAnsi="Times New Roman" w:cs="Times New Roman"/>
          <w:sz w:val="20"/>
          <w:szCs w:val="20"/>
        </w:rPr>
        <w:t xml:space="preserve"> et al. (2021) highlight that marginalized populations often reside in informal settlements with limited or no green space provision. This reality resonates in Accra and Kumasi, where informal neighborhoods frequently lack parks, playgrounds, and tree cover, while affluent neighborhoods enjoy better access to greenery. Such inequalities reinforce environmental injustice, as the populations most vulnerable to climate risks are also those most deprived of protective green spaces. Addressing this imbalance requires deliberate policies that prioritize </w:t>
      </w:r>
      <w:r w:rsidR="00E22933" w:rsidRPr="000501F0">
        <w:rPr>
          <w:rFonts w:ascii="Times New Roman" w:hAnsi="Times New Roman" w:cs="Times New Roman"/>
          <w:sz w:val="20"/>
          <w:szCs w:val="20"/>
        </w:rPr>
        <w:t xml:space="preserve">the </w:t>
      </w:r>
      <w:r w:rsidRPr="000501F0">
        <w:rPr>
          <w:rFonts w:ascii="Times New Roman" w:hAnsi="Times New Roman" w:cs="Times New Roman"/>
          <w:sz w:val="20"/>
          <w:szCs w:val="20"/>
        </w:rPr>
        <w:t>equitable distribution of urban green infrastructure, ensuring that well-being benefits are shared across all social groups</w:t>
      </w:r>
      <w:r w:rsidR="009D1B7C" w:rsidRPr="000501F0">
        <w:rPr>
          <w:rFonts w:ascii="Times New Roman" w:hAnsi="Times New Roman" w:cs="Times New Roman"/>
          <w:sz w:val="20"/>
          <w:szCs w:val="20"/>
        </w:rPr>
        <w:t xml:space="preserve"> (Kabisch &amp; Haase, 2014)</w:t>
      </w:r>
      <w:r w:rsidRPr="000501F0">
        <w:rPr>
          <w:rFonts w:ascii="Times New Roman" w:hAnsi="Times New Roman" w:cs="Times New Roman"/>
          <w:sz w:val="20"/>
          <w:szCs w:val="20"/>
        </w:rPr>
        <w:t>.</w:t>
      </w:r>
    </w:p>
    <w:p w14:paraId="54B026FC" w14:textId="77777777" w:rsidR="00E22933" w:rsidRPr="000501F0" w:rsidRDefault="00802F25" w:rsidP="000501F0">
      <w:pPr>
        <w:pStyle w:val="ListParagraph"/>
        <w:numPr>
          <w:ilvl w:val="0"/>
          <w:numId w:val="1"/>
        </w:numPr>
        <w:spacing w:line="240" w:lineRule="auto"/>
        <w:jc w:val="both"/>
        <w:rPr>
          <w:rFonts w:ascii="Times New Roman" w:hAnsi="Times New Roman" w:cs="Times New Roman"/>
          <w:b/>
          <w:sz w:val="20"/>
          <w:szCs w:val="20"/>
        </w:rPr>
      </w:pPr>
      <w:r w:rsidRPr="000501F0">
        <w:rPr>
          <w:rFonts w:ascii="Times New Roman" w:hAnsi="Times New Roman" w:cs="Times New Roman"/>
          <w:b/>
          <w:sz w:val="20"/>
          <w:szCs w:val="20"/>
        </w:rPr>
        <w:t>METHODOLOGY</w:t>
      </w:r>
    </w:p>
    <w:p w14:paraId="04D46A1E" w14:textId="77777777" w:rsidR="00E22933" w:rsidRPr="000501F0" w:rsidRDefault="00E22933" w:rsidP="000501F0">
      <w:pPr>
        <w:spacing w:line="240" w:lineRule="auto"/>
        <w:jc w:val="both"/>
        <w:rPr>
          <w:rFonts w:ascii="Times New Roman" w:hAnsi="Times New Roman" w:cs="Times New Roman"/>
          <w:sz w:val="20"/>
          <w:szCs w:val="20"/>
          <w:lang w:val="en-US"/>
        </w:rPr>
      </w:pPr>
      <w:r w:rsidRPr="000501F0">
        <w:rPr>
          <w:rFonts w:ascii="Times New Roman" w:hAnsi="Times New Roman" w:cs="Times New Roman"/>
          <w:sz w:val="20"/>
          <w:szCs w:val="20"/>
          <w:lang w:val="en-US"/>
        </w:rPr>
        <w:t xml:space="preserve">This paper applied a systematic review approach to </w:t>
      </w:r>
      <w:r w:rsidRPr="000501F0">
        <w:rPr>
          <w:rFonts w:ascii="Times New Roman" w:hAnsi="Times New Roman" w:cs="Times New Roman"/>
          <w:sz w:val="20"/>
          <w:szCs w:val="20"/>
        </w:rPr>
        <w:t>assess the role of urban green infrastructure in supporting pollinator biodiversity and community well-being in Ghanaian cities</w:t>
      </w:r>
      <w:r w:rsidRPr="000501F0">
        <w:rPr>
          <w:rFonts w:ascii="Times New Roman" w:hAnsi="Times New Roman" w:cs="Times New Roman"/>
          <w:sz w:val="20"/>
          <w:szCs w:val="20"/>
          <w:lang w:val="en-US"/>
        </w:rPr>
        <w:t xml:space="preserve">. The systematic review approach was employed due to its strength in accumulating existing knowledge from various sources based on an explicit and reproducible protocol. The review aimed to determine the key </w:t>
      </w:r>
      <w:r w:rsidRPr="000501F0">
        <w:rPr>
          <w:rFonts w:ascii="Times New Roman" w:hAnsi="Times New Roman" w:cs="Times New Roman"/>
          <w:sz w:val="20"/>
          <w:szCs w:val="20"/>
        </w:rPr>
        <w:t>role of urban green infrastructure on pollinator biodiversity and community well-being</w:t>
      </w:r>
      <w:r w:rsidRPr="000501F0">
        <w:rPr>
          <w:rFonts w:ascii="Times New Roman" w:hAnsi="Times New Roman" w:cs="Times New Roman"/>
          <w:sz w:val="20"/>
          <w:szCs w:val="20"/>
          <w:lang w:val="en-US"/>
        </w:rPr>
        <w:t>.</w:t>
      </w:r>
    </w:p>
    <w:p w14:paraId="63F7A8D5" w14:textId="77777777" w:rsidR="00E22933" w:rsidRPr="000501F0" w:rsidRDefault="00E22933" w:rsidP="000501F0">
      <w:pPr>
        <w:spacing w:line="240" w:lineRule="auto"/>
        <w:jc w:val="both"/>
        <w:rPr>
          <w:rFonts w:ascii="Times New Roman" w:hAnsi="Times New Roman" w:cs="Times New Roman"/>
          <w:sz w:val="20"/>
          <w:szCs w:val="20"/>
          <w:lang w:val="en-US"/>
        </w:rPr>
      </w:pPr>
      <w:r w:rsidRPr="000501F0">
        <w:rPr>
          <w:rFonts w:ascii="Times New Roman" w:hAnsi="Times New Roman" w:cs="Times New Roman"/>
          <w:sz w:val="20"/>
          <w:szCs w:val="20"/>
          <w:lang w:val="en-US"/>
        </w:rPr>
        <w:t>In an attempt to obtain pertinent literature, an extensive search was carried out on major academic databases, such as Scopus, Web of Science, ScienceDirect, PubMed, and Google Scholar, as indicated in Figure 3. The research strategy utilized the application of the following keywords: "</w:t>
      </w:r>
      <w:r w:rsidRPr="000501F0">
        <w:rPr>
          <w:rFonts w:ascii="Times New Roman" w:hAnsi="Times New Roman" w:cs="Times New Roman"/>
          <w:sz w:val="20"/>
          <w:szCs w:val="20"/>
        </w:rPr>
        <w:t>urban green infrastructure</w:t>
      </w:r>
      <w:r w:rsidRPr="000501F0">
        <w:rPr>
          <w:rFonts w:ascii="Times New Roman" w:hAnsi="Times New Roman" w:cs="Times New Roman"/>
          <w:sz w:val="20"/>
          <w:szCs w:val="20"/>
          <w:lang w:val="en-US"/>
        </w:rPr>
        <w:t>," "roles," "</w:t>
      </w:r>
      <w:r w:rsidRPr="000501F0">
        <w:rPr>
          <w:rFonts w:ascii="Times New Roman" w:hAnsi="Times New Roman" w:cs="Times New Roman"/>
          <w:sz w:val="20"/>
          <w:szCs w:val="20"/>
        </w:rPr>
        <w:t>pollinator biodiversity</w:t>
      </w:r>
      <w:r w:rsidRPr="000501F0">
        <w:rPr>
          <w:rFonts w:ascii="Times New Roman" w:hAnsi="Times New Roman" w:cs="Times New Roman"/>
          <w:sz w:val="20"/>
          <w:szCs w:val="20"/>
          <w:lang w:val="en-US"/>
        </w:rPr>
        <w:t>," and "</w:t>
      </w:r>
      <w:r w:rsidRPr="000501F0">
        <w:rPr>
          <w:rFonts w:ascii="Times New Roman" w:hAnsi="Times New Roman" w:cs="Times New Roman"/>
          <w:sz w:val="20"/>
          <w:szCs w:val="20"/>
        </w:rPr>
        <w:t>community well-being</w:t>
      </w:r>
      <w:r w:rsidRPr="000501F0">
        <w:rPr>
          <w:rFonts w:ascii="Times New Roman" w:hAnsi="Times New Roman" w:cs="Times New Roman"/>
          <w:sz w:val="20"/>
          <w:szCs w:val="20"/>
          <w:lang w:val="en-US"/>
        </w:rPr>
        <w:t xml:space="preserve">." The application of Boolean operators was utilized to enhance the search parameters' specificity. Only English-language articles were included, and the search was limited to publications from 2009 to 2025 to encompass both older and newer perspectives. The selection criteria for the studies targeted research that had investigated </w:t>
      </w:r>
      <w:r w:rsidRPr="000501F0">
        <w:rPr>
          <w:rFonts w:ascii="Times New Roman" w:hAnsi="Times New Roman" w:cs="Times New Roman"/>
          <w:sz w:val="20"/>
          <w:szCs w:val="20"/>
        </w:rPr>
        <w:t>the role of urban green infrastructure in supporting pollinator biodiversity and community well-being</w:t>
      </w:r>
      <w:r w:rsidRPr="000501F0">
        <w:rPr>
          <w:rFonts w:ascii="Times New Roman" w:hAnsi="Times New Roman" w:cs="Times New Roman"/>
          <w:sz w:val="20"/>
          <w:szCs w:val="20"/>
          <w:lang w:val="en-US"/>
        </w:rPr>
        <w:t xml:space="preserve">. </w:t>
      </w:r>
      <w:r w:rsidRPr="000501F0">
        <w:rPr>
          <w:rFonts w:ascii="Times New Roman" w:hAnsi="Times New Roman" w:cs="Times New Roman"/>
          <w:sz w:val="20"/>
          <w:szCs w:val="20"/>
          <w:lang w:val="en-US"/>
        </w:rPr>
        <w:lastRenderedPageBreak/>
        <w:t>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2F14EC77" w14:textId="77777777" w:rsidR="00E22933" w:rsidRPr="000501F0" w:rsidRDefault="00E22933" w:rsidP="000501F0">
      <w:pPr>
        <w:spacing w:line="240" w:lineRule="auto"/>
        <w:jc w:val="both"/>
        <w:rPr>
          <w:rFonts w:ascii="Times New Roman" w:hAnsi="Times New Roman" w:cs="Times New Roman"/>
          <w:sz w:val="20"/>
          <w:szCs w:val="20"/>
        </w:rPr>
      </w:pPr>
      <w:r w:rsidRPr="000501F0">
        <w:rPr>
          <w:rFonts w:ascii="Times New Roman" w:hAnsi="Times New Roman" w:cs="Times New Roman"/>
          <w:sz w:val="20"/>
          <w:szCs w:val="20"/>
          <w:lang w:val="en-US"/>
        </w:rPr>
        <w:t xml:space="preserve">Following the identification of qualifying studies, data were extracted with the assistance of a structured coding scheme. This included the recording of details about each study's author(s), publication year, research objectives, methodology, key findings, and its applicability to the Ghanaian or African green infrastructure experience. This was followed by a thematic synthesis of the data that was extracted. The findings were always classified under two broad dimensions: first, the </w:t>
      </w:r>
      <w:r w:rsidRPr="000501F0">
        <w:rPr>
          <w:rFonts w:ascii="Times New Roman" w:hAnsi="Times New Roman" w:cs="Times New Roman"/>
          <w:sz w:val="20"/>
          <w:szCs w:val="20"/>
        </w:rPr>
        <w:t>the role of urban green infrastructure in supporting pollinator biodiversity</w:t>
      </w:r>
      <w:r w:rsidRPr="000501F0">
        <w:rPr>
          <w:rFonts w:ascii="Times New Roman" w:hAnsi="Times New Roman" w:cs="Times New Roman"/>
          <w:sz w:val="20"/>
          <w:szCs w:val="20"/>
          <w:lang w:val="en-US"/>
        </w:rPr>
        <w:t>, i</w:t>
      </w:r>
      <w:r w:rsidR="00FD533D" w:rsidRPr="000501F0">
        <w:rPr>
          <w:rFonts w:ascii="Times New Roman" w:hAnsi="Times New Roman" w:cs="Times New Roman"/>
          <w:sz w:val="20"/>
          <w:szCs w:val="20"/>
          <w:lang w:val="en-US"/>
        </w:rPr>
        <w:t xml:space="preserve">ncluding </w:t>
      </w:r>
      <w:r w:rsidR="00FD533D" w:rsidRPr="000501F0">
        <w:rPr>
          <w:rFonts w:ascii="Times New Roman" w:eastAsia="Times New Roman" w:hAnsi="Times New Roman" w:cs="Times New Roman"/>
          <w:bCs/>
          <w:sz w:val="20"/>
          <w:szCs w:val="20"/>
          <w:lang w:val="en-US"/>
        </w:rPr>
        <w:t>Habitat Provision</w:t>
      </w:r>
      <w:r w:rsidR="00FD533D" w:rsidRPr="000501F0">
        <w:rPr>
          <w:rFonts w:ascii="Times New Roman" w:hAnsi="Times New Roman" w:cs="Times New Roman"/>
          <w:sz w:val="20"/>
          <w:szCs w:val="20"/>
        </w:rPr>
        <w:t xml:space="preserve">, </w:t>
      </w:r>
      <w:r w:rsidR="00FD533D" w:rsidRPr="000501F0">
        <w:rPr>
          <w:rFonts w:ascii="Times New Roman" w:eastAsia="Times New Roman" w:hAnsi="Times New Roman" w:cs="Times New Roman"/>
          <w:bCs/>
          <w:sz w:val="20"/>
          <w:szCs w:val="20"/>
          <w:lang w:val="en-US"/>
        </w:rPr>
        <w:t>Floral Resource Availability</w:t>
      </w:r>
      <w:r w:rsidR="00FD533D" w:rsidRPr="000501F0">
        <w:rPr>
          <w:rFonts w:ascii="Times New Roman" w:hAnsi="Times New Roman" w:cs="Times New Roman"/>
          <w:sz w:val="20"/>
          <w:szCs w:val="20"/>
        </w:rPr>
        <w:t xml:space="preserve">, </w:t>
      </w:r>
      <w:r w:rsidR="00FD533D" w:rsidRPr="000501F0">
        <w:rPr>
          <w:rFonts w:ascii="Times New Roman" w:eastAsia="Times New Roman" w:hAnsi="Times New Roman" w:cs="Times New Roman"/>
          <w:bCs/>
          <w:sz w:val="20"/>
          <w:szCs w:val="20"/>
          <w:lang w:val="en-US"/>
        </w:rPr>
        <w:t>Landscape Connectivity</w:t>
      </w:r>
      <w:r w:rsidR="00FD533D" w:rsidRPr="000501F0">
        <w:rPr>
          <w:rFonts w:ascii="Times New Roman" w:hAnsi="Times New Roman" w:cs="Times New Roman"/>
          <w:sz w:val="20"/>
          <w:szCs w:val="20"/>
        </w:rPr>
        <w:t xml:space="preserve">, and </w:t>
      </w:r>
      <w:r w:rsidR="00FD533D" w:rsidRPr="000501F0">
        <w:rPr>
          <w:rFonts w:ascii="Times New Roman" w:eastAsia="Times New Roman" w:hAnsi="Times New Roman" w:cs="Times New Roman"/>
          <w:bCs/>
          <w:sz w:val="20"/>
          <w:szCs w:val="20"/>
          <w:lang w:val="en-US"/>
        </w:rPr>
        <w:t>Management Practices</w:t>
      </w:r>
      <w:r w:rsidRPr="000501F0">
        <w:rPr>
          <w:rFonts w:ascii="Times New Roman" w:hAnsi="Times New Roman" w:cs="Times New Roman"/>
          <w:sz w:val="20"/>
          <w:szCs w:val="20"/>
          <w:lang w:val="en-US"/>
        </w:rPr>
        <w:t xml:space="preserve">; and second, </w:t>
      </w:r>
      <w:r w:rsidRPr="000501F0">
        <w:rPr>
          <w:rFonts w:ascii="Times New Roman" w:hAnsi="Times New Roman" w:cs="Times New Roman"/>
          <w:sz w:val="20"/>
          <w:szCs w:val="20"/>
        </w:rPr>
        <w:t>the role of urban green infrastructure in supporting pollinator biodiversity and community well-being</w:t>
      </w:r>
      <w:r w:rsidRPr="000501F0">
        <w:rPr>
          <w:rFonts w:ascii="Times New Roman" w:hAnsi="Times New Roman" w:cs="Times New Roman"/>
          <w:sz w:val="20"/>
          <w:szCs w:val="20"/>
          <w:lang w:val="en-US"/>
        </w:rPr>
        <w:t xml:space="preserve">, including </w:t>
      </w:r>
      <w:r w:rsidR="00FD533D" w:rsidRPr="000501F0">
        <w:rPr>
          <w:rFonts w:ascii="Times New Roman" w:hAnsi="Times New Roman" w:cs="Times New Roman"/>
          <w:sz w:val="20"/>
          <w:szCs w:val="20"/>
        </w:rPr>
        <w:t>Physical Health and Active Living, Mental Health and Psychological Restoration, Social Cohesion and Community Interaction, Cultural and Aesthetic Value and Climate Resilience and Environmental Justice</w:t>
      </w:r>
      <w:r w:rsidRPr="000501F0">
        <w:rPr>
          <w:rFonts w:ascii="Times New Roman" w:hAnsi="Times New Roman" w:cs="Times New Roman"/>
          <w:sz w:val="20"/>
          <w:szCs w:val="20"/>
          <w:lang w:val="en-US"/>
        </w:rPr>
        <w:t>.</w:t>
      </w:r>
    </w:p>
    <w:p w14:paraId="50C05916" w14:textId="77777777" w:rsidR="00E22933" w:rsidRPr="000501F0" w:rsidRDefault="00E22933" w:rsidP="000501F0">
      <w:pPr>
        <w:spacing w:line="240" w:lineRule="auto"/>
        <w:jc w:val="both"/>
        <w:rPr>
          <w:rFonts w:ascii="Times New Roman" w:hAnsi="Times New Roman" w:cs="Times New Roman"/>
          <w:sz w:val="20"/>
          <w:szCs w:val="20"/>
          <w:lang w:val="en-US"/>
        </w:rPr>
      </w:pPr>
      <w:r w:rsidRPr="000501F0">
        <w:rPr>
          <w:rFonts w:ascii="Times New Roman" w:hAnsi="Times New Roman" w:cs="Times New Roman"/>
          <w:sz w:val="20"/>
          <w:szCs w:val="20"/>
          <w:lang w:val="en-US"/>
        </w:rPr>
        <w:t xml:space="preserve">Although the systematic review approach guarantees some degree of </w:t>
      </w:r>
      <w:proofErr w:type="spellStart"/>
      <w:r w:rsidRPr="000501F0">
        <w:rPr>
          <w:rFonts w:ascii="Times New Roman" w:hAnsi="Times New Roman" w:cs="Times New Roman"/>
          <w:sz w:val="20"/>
          <w:szCs w:val="20"/>
          <w:lang w:val="en-US"/>
        </w:rPr>
        <w:t>academicity</w:t>
      </w:r>
      <w:proofErr w:type="spellEnd"/>
      <w:r w:rsidRPr="000501F0">
        <w:rPr>
          <w:rFonts w:ascii="Times New Roman" w:hAnsi="Times New Roman" w:cs="Times New Roman"/>
          <w:sz w:val="20"/>
          <w:szCs w:val="20"/>
          <w:lang w:val="en-US"/>
        </w:rPr>
        <w:t xml:space="preserve"> and comprehensiveness, some limitations were realized. Most notably, there was the risk of publication bias as a result of the restriction of grey literature and non-English sources. Secondly, even though there is increased interest in green infrastructure in Ghana, studies specific to Ghana remain scarce. This gap highlights the necessity for more localized studies exploring the intricate link between green infrastructure</w:t>
      </w:r>
      <w:r w:rsidR="00335335" w:rsidRPr="000501F0">
        <w:rPr>
          <w:rFonts w:ascii="Times New Roman" w:hAnsi="Times New Roman" w:cs="Times New Roman"/>
          <w:sz w:val="20"/>
          <w:szCs w:val="20"/>
          <w:lang w:val="en-US"/>
        </w:rPr>
        <w:t xml:space="preserve">, </w:t>
      </w:r>
      <w:r w:rsidR="00335335" w:rsidRPr="000501F0">
        <w:rPr>
          <w:rFonts w:ascii="Times New Roman" w:hAnsi="Times New Roman" w:cs="Times New Roman"/>
          <w:sz w:val="20"/>
          <w:szCs w:val="20"/>
        </w:rPr>
        <w:t>pollinator biodiversity,</w:t>
      </w:r>
      <w:r w:rsidRPr="000501F0">
        <w:rPr>
          <w:rFonts w:ascii="Times New Roman" w:hAnsi="Times New Roman" w:cs="Times New Roman"/>
          <w:sz w:val="20"/>
          <w:szCs w:val="20"/>
          <w:lang w:val="en-US"/>
        </w:rPr>
        <w:t xml:space="preserve"> and </w:t>
      </w:r>
      <w:r w:rsidR="00335335" w:rsidRPr="000501F0">
        <w:rPr>
          <w:rFonts w:ascii="Times New Roman" w:hAnsi="Times New Roman" w:cs="Times New Roman"/>
          <w:sz w:val="20"/>
          <w:szCs w:val="20"/>
        </w:rPr>
        <w:t>community well-being</w:t>
      </w:r>
      <w:r w:rsidR="00335335" w:rsidRPr="000501F0">
        <w:rPr>
          <w:rFonts w:ascii="Times New Roman" w:hAnsi="Times New Roman" w:cs="Times New Roman"/>
          <w:sz w:val="20"/>
          <w:szCs w:val="20"/>
          <w:lang w:val="en-US"/>
        </w:rPr>
        <w:t xml:space="preserve"> in Ghanaian Cities</w:t>
      </w:r>
      <w:r w:rsidRPr="000501F0">
        <w:rPr>
          <w:rFonts w:ascii="Times New Roman" w:hAnsi="Times New Roman" w:cs="Times New Roman"/>
          <w:sz w:val="20"/>
          <w:szCs w:val="20"/>
          <w:lang w:val="en-US"/>
        </w:rPr>
        <w:t xml:space="preserve">. Yet the 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w:t>
      </w:r>
      <w:r w:rsidR="00335335" w:rsidRPr="000501F0">
        <w:rPr>
          <w:rFonts w:ascii="Times New Roman" w:hAnsi="Times New Roman" w:cs="Times New Roman"/>
          <w:sz w:val="20"/>
          <w:szCs w:val="20"/>
          <w:lang w:val="en-US"/>
        </w:rPr>
        <w:t>green infrastructure</w:t>
      </w:r>
      <w:r w:rsidRPr="000501F0">
        <w:rPr>
          <w:rFonts w:ascii="Times New Roman" w:hAnsi="Times New Roman" w:cs="Times New Roman"/>
          <w:sz w:val="20"/>
          <w:szCs w:val="20"/>
          <w:lang w:val="en-US"/>
        </w:rPr>
        <w:t xml:space="preserve"> initiatives. </w:t>
      </w:r>
    </w:p>
    <w:p w14:paraId="7E26823F" w14:textId="77777777" w:rsidR="00E22933" w:rsidRPr="000501F0" w:rsidRDefault="00E22933" w:rsidP="000501F0">
      <w:pPr>
        <w:spacing w:line="240" w:lineRule="auto"/>
        <w:jc w:val="both"/>
        <w:rPr>
          <w:rFonts w:ascii="Times New Roman" w:hAnsi="Times New Roman" w:cs="Times New Roman"/>
          <w:sz w:val="20"/>
          <w:szCs w:val="20"/>
        </w:rPr>
      </w:pPr>
      <w:r w:rsidRPr="000501F0">
        <w:rPr>
          <w:rFonts w:ascii="Times New Roman" w:hAnsi="Times New Roman" w:cs="Times New Roman"/>
          <w:noProof/>
          <w:sz w:val="20"/>
          <w:szCs w:val="20"/>
          <w:lang w:val="en-US"/>
        </w:rPr>
        <w:lastRenderedPageBreak/>
        <w:drawing>
          <wp:inline distT="0" distB="0" distL="0" distR="0" wp14:anchorId="5E857194" wp14:editId="4063283C">
            <wp:extent cx="5992238" cy="5807412"/>
            <wp:effectExtent l="0" t="38100" r="0" b="222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65FA240" w14:textId="77777777" w:rsidR="00E22933" w:rsidRPr="000501F0" w:rsidRDefault="00E22933" w:rsidP="000501F0">
      <w:pPr>
        <w:spacing w:line="240" w:lineRule="auto"/>
        <w:jc w:val="center"/>
        <w:rPr>
          <w:rStyle w:val="Strong"/>
          <w:rFonts w:ascii="Times New Roman" w:hAnsi="Times New Roman" w:cs="Times New Roman"/>
          <w:sz w:val="20"/>
          <w:szCs w:val="20"/>
        </w:rPr>
      </w:pPr>
      <w:r w:rsidRPr="000501F0">
        <w:rPr>
          <w:rStyle w:val="Strong"/>
          <w:rFonts w:ascii="Times New Roman" w:hAnsi="Times New Roman" w:cs="Times New Roman"/>
          <w:sz w:val="20"/>
          <w:szCs w:val="20"/>
        </w:rPr>
        <w:t>Figure 3: PRISMA Flow Diagram</w:t>
      </w:r>
    </w:p>
    <w:p w14:paraId="3DE0325D" w14:textId="77777777" w:rsidR="00E22933" w:rsidRPr="000501F0" w:rsidRDefault="00E22933" w:rsidP="000501F0">
      <w:pPr>
        <w:spacing w:line="240" w:lineRule="auto"/>
        <w:jc w:val="center"/>
        <w:rPr>
          <w:rStyle w:val="Strong"/>
          <w:rFonts w:ascii="Times New Roman" w:hAnsi="Times New Roman" w:cs="Times New Roman"/>
          <w:b w:val="0"/>
          <w:sz w:val="20"/>
          <w:szCs w:val="20"/>
        </w:rPr>
      </w:pPr>
      <w:r w:rsidRPr="000501F0">
        <w:rPr>
          <w:rStyle w:val="Strong"/>
          <w:rFonts w:ascii="Times New Roman" w:hAnsi="Times New Roman" w:cs="Times New Roman"/>
          <w:b w:val="0"/>
          <w:sz w:val="20"/>
          <w:szCs w:val="20"/>
        </w:rPr>
        <w:t>Source: Authors’ construct</w:t>
      </w:r>
    </w:p>
    <w:p w14:paraId="5CF8EDB4" w14:textId="77777777" w:rsidR="002901FC" w:rsidRPr="000501F0" w:rsidRDefault="00E22933" w:rsidP="000501F0">
      <w:pPr>
        <w:pStyle w:val="ListParagraph"/>
        <w:numPr>
          <w:ilvl w:val="1"/>
          <w:numId w:val="1"/>
        </w:numPr>
        <w:spacing w:line="240" w:lineRule="auto"/>
        <w:jc w:val="both"/>
        <w:rPr>
          <w:rFonts w:ascii="Times New Roman" w:hAnsi="Times New Roman" w:cs="Times New Roman"/>
          <w:b/>
          <w:bCs/>
          <w:sz w:val="20"/>
          <w:szCs w:val="20"/>
        </w:rPr>
      </w:pPr>
      <w:r w:rsidRPr="000501F0">
        <w:rPr>
          <w:rStyle w:val="Strong"/>
          <w:rFonts w:ascii="Times New Roman" w:hAnsi="Times New Roman" w:cs="Times New Roman"/>
          <w:sz w:val="20"/>
          <w:szCs w:val="20"/>
        </w:rPr>
        <w:t>Contextual Focus on Ghana</w:t>
      </w:r>
    </w:p>
    <w:p w14:paraId="54C3FD03" w14:textId="77777777" w:rsidR="00421092" w:rsidRPr="00421092" w:rsidRDefault="00421092" w:rsidP="00421092">
      <w:pPr>
        <w:pStyle w:val="NormalWeb"/>
        <w:jc w:val="both"/>
        <w:rPr>
          <w:sz w:val="20"/>
          <w:szCs w:val="20"/>
        </w:rPr>
      </w:pPr>
      <w:r w:rsidRPr="00421092">
        <w:rPr>
          <w:sz w:val="20"/>
          <w:szCs w:val="20"/>
        </w:rPr>
        <w:t>Ghana offers the ideal context for the investigation of the impact of urban green infrastructure upon pollinator biodiversity and the health of adjacent populations. Ghana is itself one of the fastest urbanizing nations of Sub-Saharan Africa, and its own urban populations, especially Accra and Kumasi, are growing at a rapid pace (</w:t>
      </w:r>
      <w:proofErr w:type="spellStart"/>
      <w:r w:rsidRPr="00421092">
        <w:rPr>
          <w:sz w:val="20"/>
          <w:szCs w:val="20"/>
        </w:rPr>
        <w:t>Cobbinah</w:t>
      </w:r>
      <w:proofErr w:type="spellEnd"/>
      <w:r w:rsidRPr="00421092">
        <w:rPr>
          <w:sz w:val="20"/>
          <w:szCs w:val="20"/>
        </w:rPr>
        <w:t xml:space="preserve"> et al., 2015). The Ghana Statistical Service (2021) records that over half of all citizens live in the cities, and growth is envisaged to persist. Under spatial pressure consequently being placed by that urbanization, green space is reduced by habitat fragmentation.</w:t>
      </w:r>
    </w:p>
    <w:p w14:paraId="7DCE4822" w14:textId="77777777" w:rsidR="002022F6" w:rsidRPr="000501F0" w:rsidRDefault="00421092" w:rsidP="00421092">
      <w:pPr>
        <w:pStyle w:val="NormalWeb"/>
        <w:jc w:val="both"/>
        <w:rPr>
          <w:sz w:val="20"/>
          <w:szCs w:val="20"/>
        </w:rPr>
      </w:pPr>
      <w:r w:rsidRPr="00421092">
        <w:rPr>
          <w:sz w:val="20"/>
          <w:szCs w:val="20"/>
        </w:rPr>
        <w:t>Fig</w:t>
      </w:r>
      <w:r w:rsidR="007D7900">
        <w:rPr>
          <w:sz w:val="20"/>
          <w:szCs w:val="20"/>
        </w:rPr>
        <w:t>ure</w:t>
      </w:r>
      <w:r w:rsidRPr="00421092">
        <w:rPr>
          <w:sz w:val="20"/>
          <w:szCs w:val="20"/>
        </w:rPr>
        <w:t xml:space="preserve"> 4 reveals the conflict between urbanization and environmental protection in Accra, the capital, and Kumasi, called the "Garden City." Urban expansion in Accra has resulted in the destruction of wetlands, green belts, and green </w:t>
      </w:r>
      <w:r w:rsidRPr="00421092">
        <w:rPr>
          <w:sz w:val="20"/>
          <w:szCs w:val="20"/>
        </w:rPr>
        <w:lastRenderedPageBreak/>
        <w:t>covers, declining its capacity to accommodate flooding, heat waves, and air pollution. Unbridled development in Kumasi has reduced tree covers and green belts, compromising ecological resilience (</w:t>
      </w:r>
      <w:proofErr w:type="spellStart"/>
      <w:r w:rsidRPr="00421092">
        <w:rPr>
          <w:sz w:val="20"/>
          <w:szCs w:val="20"/>
        </w:rPr>
        <w:t>Cobbinah</w:t>
      </w:r>
      <w:proofErr w:type="spellEnd"/>
      <w:r w:rsidRPr="00421092">
        <w:rPr>
          <w:sz w:val="20"/>
          <w:szCs w:val="20"/>
        </w:rPr>
        <w:t xml:space="preserve"> et al., 2015). Deforestation of green infrastructure in such megacities undermines their ecological sustainability and the health of their inhabitants.</w:t>
      </w:r>
    </w:p>
    <w:p w14:paraId="6DB23DB4" w14:textId="77777777" w:rsidR="002022F6" w:rsidRPr="000501F0" w:rsidRDefault="002022F6" w:rsidP="000501F0">
      <w:pPr>
        <w:spacing w:line="240" w:lineRule="auto"/>
        <w:jc w:val="center"/>
        <w:rPr>
          <w:rFonts w:ascii="Times New Roman" w:hAnsi="Times New Roman" w:cs="Times New Roman"/>
          <w:sz w:val="20"/>
          <w:szCs w:val="20"/>
          <w:lang w:val="en-US"/>
        </w:rPr>
      </w:pPr>
      <w:r w:rsidRPr="000501F0">
        <w:rPr>
          <w:rFonts w:ascii="Times New Roman" w:hAnsi="Times New Roman" w:cs="Times New Roman"/>
          <w:noProof/>
          <w:sz w:val="20"/>
          <w:szCs w:val="20"/>
          <w:lang w:val="en-US"/>
        </w:rPr>
        <w:drawing>
          <wp:inline distT="0" distB="0" distL="0" distR="0" wp14:anchorId="370B6E19" wp14:editId="4C8B88ED">
            <wp:extent cx="4600876" cy="5077460"/>
            <wp:effectExtent l="0" t="0" r="9525" b="8890"/>
            <wp:docPr id="17758685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8554" name="Picture 1775868554"/>
                    <pic:cNvPicPr/>
                  </pic:nvPicPr>
                  <pic:blipFill>
                    <a:blip r:embed="rId22">
                      <a:extLst>
                        <a:ext uri="{28A0092B-C50C-407E-A947-70E740481C1C}">
                          <a14:useLocalDpi xmlns:a14="http://schemas.microsoft.com/office/drawing/2010/main" val="0"/>
                        </a:ext>
                      </a:extLst>
                    </a:blip>
                    <a:stretch>
                      <a:fillRect/>
                    </a:stretch>
                  </pic:blipFill>
                  <pic:spPr>
                    <a:xfrm>
                      <a:off x="0" y="0"/>
                      <a:ext cx="4719174" cy="5208012"/>
                    </a:xfrm>
                    <a:prstGeom prst="rect">
                      <a:avLst/>
                    </a:prstGeom>
                  </pic:spPr>
                </pic:pic>
              </a:graphicData>
            </a:graphic>
          </wp:inline>
        </w:drawing>
      </w:r>
    </w:p>
    <w:p w14:paraId="69F61E3F" w14:textId="77777777" w:rsidR="002022F6" w:rsidRPr="000501F0" w:rsidRDefault="002022F6" w:rsidP="000501F0">
      <w:pPr>
        <w:spacing w:line="240" w:lineRule="auto"/>
        <w:jc w:val="center"/>
        <w:rPr>
          <w:rFonts w:ascii="Times New Roman" w:hAnsi="Times New Roman" w:cs="Times New Roman"/>
          <w:b/>
          <w:sz w:val="20"/>
          <w:szCs w:val="20"/>
          <w:lang w:val="en-US"/>
        </w:rPr>
      </w:pPr>
      <w:r w:rsidRPr="000501F0">
        <w:rPr>
          <w:rFonts w:ascii="Times New Roman" w:hAnsi="Times New Roman" w:cs="Times New Roman"/>
          <w:b/>
          <w:bCs/>
          <w:sz w:val="20"/>
          <w:szCs w:val="20"/>
          <w:lang w:val="en-US"/>
        </w:rPr>
        <w:t>Figure 4:</w:t>
      </w:r>
      <w:r w:rsidRPr="000501F0">
        <w:rPr>
          <w:rFonts w:ascii="Times New Roman" w:hAnsi="Times New Roman" w:cs="Times New Roman"/>
          <w:b/>
          <w:sz w:val="20"/>
          <w:szCs w:val="20"/>
          <w:lang w:val="en-US"/>
        </w:rPr>
        <w:t xml:space="preserve"> Map of the Study Area</w:t>
      </w:r>
    </w:p>
    <w:p w14:paraId="21F33A78" w14:textId="77777777" w:rsidR="002022F6" w:rsidRPr="000501F0" w:rsidRDefault="002022F6" w:rsidP="000501F0">
      <w:pPr>
        <w:spacing w:line="240" w:lineRule="auto"/>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0B16D06F" w14:textId="77777777" w:rsidR="002022F6" w:rsidRPr="000501F0" w:rsidRDefault="00FF361C" w:rsidP="000501F0">
      <w:pPr>
        <w:pStyle w:val="NormalWeb"/>
        <w:jc w:val="both"/>
        <w:rPr>
          <w:sz w:val="20"/>
          <w:szCs w:val="20"/>
        </w:rPr>
      </w:pPr>
      <w:r w:rsidRPr="000501F0">
        <w:rPr>
          <w:sz w:val="20"/>
          <w:szCs w:val="20"/>
        </w:rPr>
        <w:t>Ghana’s cities also provide a unique opportunity to examine the intersection between green infrastructure, biodiversity, and human well-being in the African context. Pollinator species, including bees, butterflies, and birds, play a vital role in supporting urban food production and ecological balance, yet their habitats are increasingly threatened by urban expansion and environmental degradation</w:t>
      </w:r>
      <w:r w:rsidR="00E038C1" w:rsidRPr="000501F0">
        <w:rPr>
          <w:sz w:val="20"/>
          <w:szCs w:val="20"/>
        </w:rPr>
        <w:t xml:space="preserve"> (</w:t>
      </w:r>
      <w:proofErr w:type="spellStart"/>
      <w:r w:rsidR="00E038C1" w:rsidRPr="000501F0">
        <w:rPr>
          <w:sz w:val="20"/>
          <w:szCs w:val="20"/>
        </w:rPr>
        <w:t>Kwapong</w:t>
      </w:r>
      <w:proofErr w:type="spellEnd"/>
      <w:r w:rsidR="00E038C1" w:rsidRPr="000501F0">
        <w:rPr>
          <w:sz w:val="20"/>
          <w:szCs w:val="20"/>
        </w:rPr>
        <w:t xml:space="preserve"> et al., 2010)</w:t>
      </w:r>
      <w:r w:rsidRPr="000501F0">
        <w:rPr>
          <w:sz w:val="20"/>
          <w:szCs w:val="20"/>
        </w:rPr>
        <w:t xml:space="preserve">. At the same time, communities in Accra and Kumasi face challenges of public health, social cohesion, and vulnerability to climate change impacts such as heatwaves and flooding. These challenges highlight the dual importance of urban green infrastructure: safeguarding biodiversity while enhancing </w:t>
      </w:r>
      <w:r w:rsidR="009E7FDB" w:rsidRPr="000501F0">
        <w:rPr>
          <w:sz w:val="20"/>
          <w:szCs w:val="20"/>
        </w:rPr>
        <w:t xml:space="preserve">the </w:t>
      </w:r>
      <w:r w:rsidRPr="000501F0">
        <w:rPr>
          <w:sz w:val="20"/>
          <w:szCs w:val="20"/>
        </w:rPr>
        <w:t>quality of life for urban residents</w:t>
      </w:r>
      <w:r w:rsidR="00E038C1" w:rsidRPr="000501F0">
        <w:rPr>
          <w:sz w:val="20"/>
          <w:szCs w:val="20"/>
        </w:rPr>
        <w:t xml:space="preserve"> (Herath &amp; Bai, 2024)</w:t>
      </w:r>
      <w:r w:rsidR="000501F0" w:rsidRPr="000501F0">
        <w:rPr>
          <w:sz w:val="20"/>
          <w:szCs w:val="20"/>
        </w:rPr>
        <w:t xml:space="preserve">. </w:t>
      </w:r>
      <w:r w:rsidRPr="000501F0">
        <w:rPr>
          <w:sz w:val="20"/>
          <w:szCs w:val="20"/>
        </w:rPr>
        <w:t xml:space="preserve">Focusing on Ghana also enables this study to address the gap in African scholarship on urban green infrastructure. While much of the existing literature on green infrastructure, pollinators, and well-being originates from Europe, North America, and Asia, fewer studies have examined these issues in Sub-Saharan African cities. By situating the research in Accra and Kumasi, this study contributes to a contextualized understanding of how green infrastructure functions within rapidly </w:t>
      </w:r>
      <w:r w:rsidRPr="000501F0">
        <w:rPr>
          <w:sz w:val="20"/>
          <w:szCs w:val="20"/>
        </w:rPr>
        <w:lastRenderedPageBreak/>
        <w:t>urbanizing African megacities, offering insights that are locally relevant while also adding to the global discourse on sustainable urban development.</w:t>
      </w:r>
    </w:p>
    <w:p w14:paraId="0546E6B4" w14:textId="77777777" w:rsidR="002022F6" w:rsidRPr="000501F0" w:rsidRDefault="00BC4D77" w:rsidP="000501F0">
      <w:pPr>
        <w:pStyle w:val="NormalWeb"/>
        <w:numPr>
          <w:ilvl w:val="0"/>
          <w:numId w:val="1"/>
        </w:numPr>
        <w:jc w:val="both"/>
        <w:rPr>
          <w:b/>
          <w:sz w:val="20"/>
          <w:szCs w:val="20"/>
        </w:rPr>
      </w:pPr>
      <w:r w:rsidRPr="000501F0">
        <w:rPr>
          <w:b/>
          <w:sz w:val="20"/>
          <w:szCs w:val="20"/>
        </w:rPr>
        <w:t>RESULTS AND ANALYSIS</w:t>
      </w:r>
    </w:p>
    <w:p w14:paraId="0C0D3999" w14:textId="77777777" w:rsidR="000501F0" w:rsidRPr="004B16FF" w:rsidRDefault="000501F0" w:rsidP="000501F0">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val="en-US"/>
        </w:rPr>
      </w:pPr>
      <w:r w:rsidRPr="000501F0">
        <w:rPr>
          <w:rFonts w:ascii="Times New Roman" w:eastAsia="Times New Roman" w:hAnsi="Times New Roman" w:cs="Times New Roman"/>
          <w:b/>
          <w:bCs/>
          <w:kern w:val="36"/>
          <w:sz w:val="20"/>
          <w:szCs w:val="20"/>
          <w:lang w:val="en-US"/>
        </w:rPr>
        <w:t>4.1 The Role of Urban Green Infrastructure in Pollinator Biodiversity</w:t>
      </w:r>
    </w:p>
    <w:p w14:paraId="72674A8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0501F0">
        <w:rPr>
          <w:rFonts w:ascii="Times New Roman" w:hAnsi="Times New Roman" w:cs="Times New Roman"/>
          <w:sz w:val="20"/>
          <w:szCs w:val="20"/>
        </w:rPr>
        <w:t>Urban green infrastructure is increasingly recognized as essential for sustaining pollinator populations in cities. Green spaces provide critical habitats, floral resources, ecological connectivity, and opportunities for adaptive management. With global concerns about pollinator decline (Potts et al., 2010; IPBES, 2016; Potts et al., 2021), urban environments offer both challenges and opportunities. In Ghanaian cities such as Accra and Kumasi, rapid urbanization has led to significant habitat loss, yet small-scale interventions like home gardens, roadside vegetation, and community-managed green spaces play a disproportionately important role in maintaining poll</w:t>
      </w:r>
      <w:r w:rsidR="007D7900">
        <w:rPr>
          <w:rFonts w:ascii="Times New Roman" w:hAnsi="Times New Roman" w:cs="Times New Roman"/>
          <w:sz w:val="20"/>
          <w:szCs w:val="20"/>
        </w:rPr>
        <w:t>inator diversity. Tables 1, 2, 3, and 4</w:t>
      </w:r>
      <w:r w:rsidRPr="000501F0">
        <w:rPr>
          <w:rFonts w:ascii="Times New Roman" w:hAnsi="Times New Roman" w:cs="Times New Roman"/>
          <w:sz w:val="20"/>
          <w:szCs w:val="20"/>
        </w:rPr>
        <w:t xml:space="preserve"> hig</w:t>
      </w:r>
      <w:r w:rsidR="007D7900">
        <w:rPr>
          <w:rFonts w:ascii="Times New Roman" w:hAnsi="Times New Roman" w:cs="Times New Roman"/>
          <w:sz w:val="20"/>
          <w:szCs w:val="20"/>
        </w:rPr>
        <w:t>hlight</w:t>
      </w:r>
      <w:r w:rsidRPr="000501F0">
        <w:rPr>
          <w:rFonts w:ascii="Times New Roman" w:hAnsi="Times New Roman" w:cs="Times New Roman"/>
          <w:sz w:val="20"/>
          <w:szCs w:val="20"/>
        </w:rPr>
        <w:t xml:space="preserve"> four interconnected sub-themes</w:t>
      </w:r>
      <w:r w:rsidRPr="000501F0">
        <w:rPr>
          <w:rFonts w:ascii="Times New Roman" w:hAnsi="Times New Roman" w:cs="Times New Roman"/>
          <w:b/>
          <w:sz w:val="20"/>
          <w:szCs w:val="20"/>
        </w:rPr>
        <w:t xml:space="preserve">: </w:t>
      </w:r>
      <w:r w:rsidRPr="000501F0">
        <w:rPr>
          <w:rStyle w:val="Strong"/>
          <w:rFonts w:ascii="Times New Roman" w:hAnsi="Times New Roman" w:cs="Times New Roman"/>
          <w:b w:val="0"/>
          <w:sz w:val="20"/>
          <w:szCs w:val="20"/>
        </w:rPr>
        <w:t>habitat provision, floral resource availability, landscape connectivity, and management practices</w:t>
      </w:r>
      <w:r w:rsidRPr="000501F0">
        <w:rPr>
          <w:rFonts w:ascii="Times New Roman" w:hAnsi="Times New Roman" w:cs="Times New Roman"/>
          <w:sz w:val="20"/>
          <w:szCs w:val="20"/>
        </w:rPr>
        <w:t>, each of which contributes to pollinator conservation in urban areas.</w:t>
      </w:r>
    </w:p>
    <w:p w14:paraId="7FA2A309"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1: Habitat Provision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2"/>
        <w:gridCol w:w="2014"/>
        <w:gridCol w:w="1901"/>
        <w:gridCol w:w="2261"/>
        <w:gridCol w:w="2072"/>
      </w:tblGrid>
      <w:tr w:rsidR="000501F0" w:rsidRPr="004B16FF" w14:paraId="4A3882A1" w14:textId="77777777" w:rsidTr="00CF2BC0">
        <w:trPr>
          <w:tblHeader/>
          <w:tblCellSpacing w:w="15" w:type="dxa"/>
        </w:trPr>
        <w:tc>
          <w:tcPr>
            <w:tcW w:w="0" w:type="auto"/>
            <w:tcBorders>
              <w:top w:val="single" w:sz="4" w:space="0" w:color="auto"/>
              <w:bottom w:val="single" w:sz="4" w:space="0" w:color="auto"/>
            </w:tcBorders>
            <w:vAlign w:val="center"/>
            <w:hideMark/>
          </w:tcPr>
          <w:p w14:paraId="1D557E7E" w14:textId="77777777" w:rsidR="000501F0" w:rsidRPr="004B16FF" w:rsidRDefault="000501F0" w:rsidP="000501F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73E262BD"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4EF2EAFD"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582DCF57"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707817DE"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668DB517" w14:textId="77777777" w:rsidTr="00907052">
        <w:trPr>
          <w:tblCellSpacing w:w="15" w:type="dxa"/>
        </w:trPr>
        <w:tc>
          <w:tcPr>
            <w:tcW w:w="0" w:type="auto"/>
            <w:vAlign w:val="center"/>
            <w:hideMark/>
          </w:tcPr>
          <w:p w14:paraId="74F83260"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Fortel</w:t>
            </w:r>
            <w:proofErr w:type="spellEnd"/>
            <w:r w:rsidRPr="004B16FF">
              <w:rPr>
                <w:rFonts w:ascii="Times New Roman" w:eastAsia="Times New Roman" w:hAnsi="Times New Roman" w:cs="Times New Roman"/>
                <w:sz w:val="20"/>
                <w:szCs w:val="20"/>
                <w:lang w:val="en-US"/>
              </w:rPr>
              <w:t xml:space="preserve"> et al. (2014)</w:t>
            </w:r>
          </w:p>
        </w:tc>
        <w:tc>
          <w:tcPr>
            <w:tcW w:w="0" w:type="auto"/>
            <w:vAlign w:val="center"/>
            <w:hideMark/>
          </w:tcPr>
          <w:p w14:paraId="70B18F8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wild bee community changes along an urbanization gradient.</w:t>
            </w:r>
          </w:p>
        </w:tc>
        <w:tc>
          <w:tcPr>
            <w:tcW w:w="0" w:type="auto"/>
            <w:vAlign w:val="center"/>
            <w:hideMark/>
          </w:tcPr>
          <w:p w14:paraId="66DCE5A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Field surveys in France.</w:t>
            </w:r>
          </w:p>
        </w:tc>
        <w:tc>
          <w:tcPr>
            <w:tcW w:w="0" w:type="auto"/>
            <w:vAlign w:val="center"/>
            <w:hideMark/>
          </w:tcPr>
          <w:p w14:paraId="4363BC0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decreasing bee abundance but increasing species diversity; nesting guilds respond differently.</w:t>
            </w:r>
          </w:p>
        </w:tc>
        <w:tc>
          <w:tcPr>
            <w:tcW w:w="0" w:type="auto"/>
            <w:vAlign w:val="center"/>
            <w:hideMark/>
          </w:tcPr>
          <w:p w14:paraId="6431D38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how urbanization impacts pollinator habitats.</w:t>
            </w:r>
          </w:p>
        </w:tc>
      </w:tr>
      <w:tr w:rsidR="000501F0" w:rsidRPr="004B16FF" w14:paraId="543B830A" w14:textId="77777777" w:rsidTr="00907052">
        <w:trPr>
          <w:tblCellSpacing w:w="15" w:type="dxa"/>
        </w:trPr>
        <w:tc>
          <w:tcPr>
            <w:tcW w:w="0" w:type="auto"/>
            <w:vAlign w:val="center"/>
            <w:hideMark/>
          </w:tcPr>
          <w:p w14:paraId="656930A2"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Baldock</w:t>
            </w:r>
            <w:proofErr w:type="spellEnd"/>
            <w:r w:rsidRPr="004B16FF">
              <w:rPr>
                <w:rFonts w:ascii="Times New Roman" w:eastAsia="Times New Roman" w:hAnsi="Times New Roman" w:cs="Times New Roman"/>
                <w:sz w:val="20"/>
                <w:szCs w:val="20"/>
                <w:lang w:val="en-US"/>
              </w:rPr>
              <w:t xml:space="preserve"> et al. (2019)</w:t>
            </w:r>
          </w:p>
        </w:tc>
        <w:tc>
          <w:tcPr>
            <w:tcW w:w="0" w:type="auto"/>
            <w:vAlign w:val="center"/>
            <w:hideMark/>
          </w:tcPr>
          <w:p w14:paraId="0F7BABA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identify urban pollinator hotspots and conservation opportunities.</w:t>
            </w:r>
          </w:p>
        </w:tc>
        <w:tc>
          <w:tcPr>
            <w:tcW w:w="0" w:type="auto"/>
            <w:vAlign w:val="center"/>
            <w:hideMark/>
          </w:tcPr>
          <w:p w14:paraId="1675796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Systems approach with empirical surveys in European cities.</w:t>
            </w:r>
          </w:p>
        </w:tc>
        <w:tc>
          <w:tcPr>
            <w:tcW w:w="0" w:type="auto"/>
            <w:vAlign w:val="center"/>
            <w:hideMark/>
          </w:tcPr>
          <w:p w14:paraId="33BFBD7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Small features (deadwood, hedgerows, gardens) increase bee and butterfly diversity.</w:t>
            </w:r>
          </w:p>
        </w:tc>
        <w:tc>
          <w:tcPr>
            <w:tcW w:w="0" w:type="auto"/>
            <w:vAlign w:val="center"/>
            <w:hideMark/>
          </w:tcPr>
          <w:p w14:paraId="5DD5200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Demonstrates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importance of small-scale habitats.</w:t>
            </w:r>
          </w:p>
        </w:tc>
      </w:tr>
      <w:tr w:rsidR="000501F0" w:rsidRPr="004B16FF" w14:paraId="10F6DF09" w14:textId="77777777" w:rsidTr="00907052">
        <w:trPr>
          <w:tblCellSpacing w:w="15" w:type="dxa"/>
        </w:trPr>
        <w:tc>
          <w:tcPr>
            <w:tcW w:w="0" w:type="auto"/>
            <w:vAlign w:val="center"/>
            <w:hideMark/>
          </w:tcPr>
          <w:p w14:paraId="0A1EFB31"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Baldock</w:t>
            </w:r>
            <w:proofErr w:type="spellEnd"/>
            <w:r w:rsidRPr="004B16FF">
              <w:rPr>
                <w:rFonts w:ascii="Times New Roman" w:eastAsia="Times New Roman" w:hAnsi="Times New Roman" w:cs="Times New Roman"/>
                <w:sz w:val="20"/>
                <w:szCs w:val="20"/>
                <w:lang w:val="en-US"/>
              </w:rPr>
              <w:t xml:space="preserve"> (2020)</w:t>
            </w:r>
          </w:p>
        </w:tc>
        <w:tc>
          <w:tcPr>
            <w:tcW w:w="0" w:type="auto"/>
            <w:vAlign w:val="center"/>
            <w:hideMark/>
          </w:tcPr>
          <w:p w14:paraId="6197312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examine opportunities and threats for pollinator conservation in cities.</w:t>
            </w:r>
          </w:p>
        </w:tc>
        <w:tc>
          <w:tcPr>
            <w:tcW w:w="0" w:type="auto"/>
            <w:vAlign w:val="center"/>
            <w:hideMark/>
          </w:tcPr>
          <w:p w14:paraId="0044D73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 paper.</w:t>
            </w:r>
          </w:p>
        </w:tc>
        <w:tc>
          <w:tcPr>
            <w:tcW w:w="0" w:type="auto"/>
            <w:vAlign w:val="center"/>
            <w:hideMark/>
          </w:tcPr>
          <w:p w14:paraId="6C0242F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gardens often host more species than intensively managed parks.</w:t>
            </w:r>
          </w:p>
        </w:tc>
        <w:tc>
          <w:tcPr>
            <w:tcW w:w="0" w:type="auto"/>
            <w:vAlign w:val="center"/>
            <w:hideMark/>
          </w:tcPr>
          <w:p w14:paraId="2DCF9E4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prioritization of gardens in planning.</w:t>
            </w:r>
          </w:p>
        </w:tc>
      </w:tr>
      <w:tr w:rsidR="000501F0" w:rsidRPr="004B16FF" w14:paraId="48C81DA5" w14:textId="77777777" w:rsidTr="00907052">
        <w:trPr>
          <w:tblCellSpacing w:w="15" w:type="dxa"/>
        </w:trPr>
        <w:tc>
          <w:tcPr>
            <w:tcW w:w="0" w:type="auto"/>
            <w:vAlign w:val="center"/>
            <w:hideMark/>
          </w:tcPr>
          <w:p w14:paraId="69D71151"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Murphy &amp; Crone (2021)</w:t>
            </w:r>
          </w:p>
        </w:tc>
        <w:tc>
          <w:tcPr>
            <w:tcW w:w="0" w:type="auto"/>
            <w:vAlign w:val="center"/>
            <w:hideMark/>
          </w:tcPr>
          <w:p w14:paraId="7AC0415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promote pollinator gardens as biodiversity-supporting landscapes.</w:t>
            </w:r>
          </w:p>
        </w:tc>
        <w:tc>
          <w:tcPr>
            <w:tcW w:w="0" w:type="auto"/>
            <w:vAlign w:val="center"/>
            <w:hideMark/>
          </w:tcPr>
          <w:p w14:paraId="3C979C8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Policy/design review.</w:t>
            </w:r>
          </w:p>
        </w:tc>
        <w:tc>
          <w:tcPr>
            <w:tcW w:w="0" w:type="auto"/>
            <w:vAlign w:val="center"/>
            <w:hideMark/>
          </w:tcPr>
          <w:p w14:paraId="1F5D56B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Showed small-scale gardens can sustain diverse pollinators.</w:t>
            </w:r>
          </w:p>
        </w:tc>
        <w:tc>
          <w:tcPr>
            <w:tcW w:w="0" w:type="auto"/>
            <w:vAlign w:val="center"/>
            <w:hideMark/>
          </w:tcPr>
          <w:p w14:paraId="5AD56D1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Offers practical guidance for habitat design.</w:t>
            </w:r>
          </w:p>
        </w:tc>
      </w:tr>
      <w:tr w:rsidR="000501F0" w:rsidRPr="004B16FF" w14:paraId="2C740E37" w14:textId="77777777" w:rsidTr="00907052">
        <w:trPr>
          <w:tblCellSpacing w:w="15" w:type="dxa"/>
        </w:trPr>
        <w:tc>
          <w:tcPr>
            <w:tcW w:w="0" w:type="auto"/>
            <w:vAlign w:val="center"/>
            <w:hideMark/>
          </w:tcPr>
          <w:p w14:paraId="4026258C"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Abuaku</w:t>
            </w:r>
            <w:proofErr w:type="spellEnd"/>
            <w:r w:rsidRPr="004B16FF">
              <w:rPr>
                <w:rFonts w:ascii="Times New Roman" w:eastAsia="Times New Roman" w:hAnsi="Times New Roman" w:cs="Times New Roman"/>
                <w:sz w:val="20"/>
                <w:szCs w:val="20"/>
                <w:lang w:val="en-US"/>
              </w:rPr>
              <w:t xml:space="preserve"> (2020)</w:t>
            </w:r>
          </w:p>
        </w:tc>
        <w:tc>
          <w:tcPr>
            <w:tcW w:w="0" w:type="auto"/>
            <w:vAlign w:val="center"/>
            <w:hideMark/>
          </w:tcPr>
          <w:p w14:paraId="127B473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urban green infrastructure projects in Accra.</w:t>
            </w:r>
          </w:p>
        </w:tc>
        <w:tc>
          <w:tcPr>
            <w:tcW w:w="0" w:type="auto"/>
            <w:vAlign w:val="center"/>
            <w:hideMark/>
          </w:tcPr>
          <w:p w14:paraId="1E67331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Project documentation analysis.</w:t>
            </w:r>
          </w:p>
        </w:tc>
        <w:tc>
          <w:tcPr>
            <w:tcW w:w="0" w:type="auto"/>
            <w:vAlign w:val="center"/>
            <w:hideMark/>
          </w:tcPr>
          <w:p w14:paraId="7820B33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Identified localized habitats in informal settlements as crucial for pollinators.</w:t>
            </w:r>
          </w:p>
        </w:tc>
        <w:tc>
          <w:tcPr>
            <w:tcW w:w="0" w:type="auto"/>
            <w:vAlign w:val="center"/>
            <w:hideMark/>
          </w:tcPr>
          <w:p w14:paraId="1988B42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Links habitat provision to socio-cultural needs in Ghana.</w:t>
            </w:r>
          </w:p>
        </w:tc>
      </w:tr>
      <w:tr w:rsidR="000501F0" w:rsidRPr="004B16FF" w14:paraId="5EF30E94" w14:textId="77777777" w:rsidTr="00907052">
        <w:trPr>
          <w:tblCellSpacing w:w="15" w:type="dxa"/>
        </w:trPr>
        <w:tc>
          <w:tcPr>
            <w:tcW w:w="0" w:type="auto"/>
            <w:vAlign w:val="center"/>
            <w:hideMark/>
          </w:tcPr>
          <w:p w14:paraId="7B5229D8"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Russo &amp; Cirella (2024)</w:t>
            </w:r>
          </w:p>
        </w:tc>
        <w:tc>
          <w:tcPr>
            <w:tcW w:w="0" w:type="auto"/>
            <w:vAlign w:val="center"/>
            <w:hideMark/>
          </w:tcPr>
          <w:p w14:paraId="1A1C49D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pollinator habitat provisioning in cities.</w:t>
            </w:r>
          </w:p>
        </w:tc>
        <w:tc>
          <w:tcPr>
            <w:tcW w:w="0" w:type="auto"/>
            <w:vAlign w:val="center"/>
            <w:hideMark/>
          </w:tcPr>
          <w:p w14:paraId="4A48A4A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Literature review.</w:t>
            </w:r>
          </w:p>
        </w:tc>
        <w:tc>
          <w:tcPr>
            <w:tcW w:w="0" w:type="auto"/>
            <w:vAlign w:val="center"/>
            <w:hideMark/>
          </w:tcPr>
          <w:p w14:paraId="5FE075D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provides critical nesting and roosting habitats.</w:t>
            </w:r>
          </w:p>
        </w:tc>
        <w:tc>
          <w:tcPr>
            <w:tcW w:w="0" w:type="auto"/>
            <w:vAlign w:val="center"/>
            <w:hideMark/>
          </w:tcPr>
          <w:p w14:paraId="4115087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global evidence for habitat design.</w:t>
            </w:r>
          </w:p>
        </w:tc>
      </w:tr>
      <w:tr w:rsidR="000501F0" w:rsidRPr="004B16FF" w14:paraId="3AE59F5D" w14:textId="77777777" w:rsidTr="00CF2BC0">
        <w:trPr>
          <w:tblCellSpacing w:w="15" w:type="dxa"/>
        </w:trPr>
        <w:tc>
          <w:tcPr>
            <w:tcW w:w="0" w:type="auto"/>
            <w:tcBorders>
              <w:bottom w:val="single" w:sz="4" w:space="0" w:color="auto"/>
            </w:tcBorders>
            <w:vAlign w:val="center"/>
            <w:hideMark/>
          </w:tcPr>
          <w:p w14:paraId="2D8330F0" w14:textId="77777777" w:rsidR="000501F0" w:rsidRPr="004B16FF" w:rsidRDefault="000501F0" w:rsidP="000501F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Akanbang</w:t>
            </w:r>
            <w:proofErr w:type="spellEnd"/>
            <w:r w:rsidRPr="004B16FF">
              <w:rPr>
                <w:rFonts w:ascii="Times New Roman" w:eastAsia="Times New Roman" w:hAnsi="Times New Roman" w:cs="Times New Roman"/>
                <w:sz w:val="20"/>
                <w:szCs w:val="20"/>
                <w:lang w:val="en-US"/>
              </w:rPr>
              <w:t xml:space="preserve"> et al. (2024)</w:t>
            </w:r>
          </w:p>
        </w:tc>
        <w:tc>
          <w:tcPr>
            <w:tcW w:w="0" w:type="auto"/>
            <w:tcBorders>
              <w:bottom w:val="single" w:sz="4" w:space="0" w:color="auto"/>
            </w:tcBorders>
            <w:vAlign w:val="center"/>
            <w:hideMark/>
          </w:tcPr>
          <w:p w14:paraId="1CF9339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explore residents’ perspectives on home gardens in </w:t>
            </w:r>
            <w:proofErr w:type="spellStart"/>
            <w:r w:rsidRPr="004B16FF">
              <w:rPr>
                <w:rFonts w:ascii="Times New Roman" w:eastAsia="Times New Roman" w:hAnsi="Times New Roman" w:cs="Times New Roman"/>
                <w:sz w:val="20"/>
                <w:szCs w:val="20"/>
                <w:lang w:val="en-US"/>
              </w:rPr>
              <w:t>Wa</w:t>
            </w:r>
            <w:proofErr w:type="spellEnd"/>
            <w:r w:rsidRPr="004B16FF">
              <w:rPr>
                <w:rFonts w:ascii="Times New Roman" w:eastAsia="Times New Roman" w:hAnsi="Times New Roman" w:cs="Times New Roman"/>
                <w:sz w:val="20"/>
                <w:szCs w:val="20"/>
                <w:lang w:val="en-US"/>
              </w:rPr>
              <w:t>, Ghana.</w:t>
            </w:r>
          </w:p>
        </w:tc>
        <w:tc>
          <w:tcPr>
            <w:tcW w:w="0" w:type="auto"/>
            <w:tcBorders>
              <w:bottom w:val="single" w:sz="4" w:space="0" w:color="auto"/>
            </w:tcBorders>
            <w:vAlign w:val="center"/>
            <w:hideMark/>
          </w:tcPr>
          <w:p w14:paraId="1F3DF25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Interviews and case study.</w:t>
            </w:r>
          </w:p>
        </w:tc>
        <w:tc>
          <w:tcPr>
            <w:tcW w:w="0" w:type="auto"/>
            <w:tcBorders>
              <w:bottom w:val="single" w:sz="4" w:space="0" w:color="auto"/>
            </w:tcBorders>
            <w:vAlign w:val="center"/>
            <w:hideMark/>
          </w:tcPr>
          <w:p w14:paraId="2687BBF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Home gardens sustain pollinators while meeting household needs.</w:t>
            </w:r>
          </w:p>
        </w:tc>
        <w:tc>
          <w:tcPr>
            <w:tcW w:w="0" w:type="auto"/>
            <w:tcBorders>
              <w:bottom w:val="single" w:sz="4" w:space="0" w:color="auto"/>
            </w:tcBorders>
            <w:vAlign w:val="center"/>
            <w:hideMark/>
          </w:tcPr>
          <w:p w14:paraId="4041E47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Demonstrates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multifunctionality of habitat provision.</w:t>
            </w:r>
          </w:p>
        </w:tc>
      </w:tr>
    </w:tbl>
    <w:p w14:paraId="161F843C"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5220B648" w14:textId="77777777" w:rsidR="000501F0" w:rsidRPr="000501F0" w:rsidRDefault="000501F0" w:rsidP="00CF2BC0">
      <w:pPr>
        <w:jc w:val="both"/>
        <w:rPr>
          <w:rFonts w:ascii="Times New Roman" w:hAnsi="Times New Roman" w:cs="Times New Roman"/>
          <w:sz w:val="20"/>
          <w:szCs w:val="20"/>
          <w:lang w:val="en-US"/>
        </w:rPr>
      </w:pPr>
      <w:r w:rsidRPr="000501F0">
        <w:rPr>
          <w:rFonts w:ascii="Times New Roman" w:hAnsi="Times New Roman" w:cs="Times New Roman"/>
          <w:sz w:val="20"/>
          <w:szCs w:val="20"/>
        </w:rPr>
        <w:t xml:space="preserve">Several studies confirm that urban green infrastructure provides essential nesting and roosting habitats for pollinators. </w:t>
      </w:r>
      <w:proofErr w:type="spellStart"/>
      <w:r w:rsidRPr="000501F0">
        <w:rPr>
          <w:rFonts w:ascii="Times New Roman" w:hAnsi="Times New Roman" w:cs="Times New Roman"/>
          <w:sz w:val="20"/>
          <w:szCs w:val="20"/>
        </w:rPr>
        <w:t>Fortel</w:t>
      </w:r>
      <w:proofErr w:type="spellEnd"/>
      <w:r w:rsidRPr="000501F0">
        <w:rPr>
          <w:rFonts w:ascii="Times New Roman" w:hAnsi="Times New Roman" w:cs="Times New Roman"/>
          <w:sz w:val="20"/>
          <w:szCs w:val="20"/>
        </w:rPr>
        <w:t xml:space="preserve"> et al. (2014) demonstrate along an urbanization gradient in France that while bee abundance declined, species diversity actually increased, suggesting that certain guilds adapt to urban habitats. This is confirmed by Baldock et al. (2019), who show that small habitat features such as hedgerows, deadwood, and unmanaged patches significantly increase diversity, making even small urban spaces ecologically valuable. Comparisons between regions highlight interesting contrasts. In Europe, gardens emerge as pollinator “hotspots” (Baldock, 2020), while in Ghana, </w:t>
      </w:r>
      <w:proofErr w:type="spellStart"/>
      <w:r w:rsidRPr="000501F0">
        <w:rPr>
          <w:rFonts w:ascii="Times New Roman" w:hAnsi="Times New Roman" w:cs="Times New Roman"/>
          <w:sz w:val="20"/>
          <w:szCs w:val="20"/>
        </w:rPr>
        <w:t>Akanbang</w:t>
      </w:r>
      <w:proofErr w:type="spellEnd"/>
      <w:r w:rsidRPr="000501F0">
        <w:rPr>
          <w:rFonts w:ascii="Times New Roman" w:hAnsi="Times New Roman" w:cs="Times New Roman"/>
          <w:sz w:val="20"/>
          <w:szCs w:val="20"/>
        </w:rPr>
        <w:t xml:space="preserve"> </w:t>
      </w:r>
      <w:r w:rsidRPr="000501F0">
        <w:rPr>
          <w:rFonts w:ascii="Times New Roman" w:hAnsi="Times New Roman" w:cs="Times New Roman"/>
          <w:sz w:val="20"/>
          <w:szCs w:val="20"/>
        </w:rPr>
        <w:lastRenderedPageBreak/>
        <w:t xml:space="preserve">et al. (2024) and </w:t>
      </w:r>
      <w:proofErr w:type="spellStart"/>
      <w:r w:rsidRPr="000501F0">
        <w:rPr>
          <w:rFonts w:ascii="Times New Roman" w:hAnsi="Times New Roman" w:cs="Times New Roman"/>
          <w:sz w:val="20"/>
          <w:szCs w:val="20"/>
        </w:rPr>
        <w:t>Abuaku</w:t>
      </w:r>
      <w:proofErr w:type="spellEnd"/>
      <w:r w:rsidRPr="000501F0">
        <w:rPr>
          <w:rFonts w:ascii="Times New Roman" w:hAnsi="Times New Roman" w:cs="Times New Roman"/>
          <w:sz w:val="20"/>
          <w:szCs w:val="20"/>
        </w:rPr>
        <w:t xml:space="preserve"> (2020) show that home gardens and informal green plots sustain pollinators while simultaneously meeting household needs (shade, food, medicine). This multifunctionality contrasts with the European context, where gardens are typically valued for biodiversity or aesthetics alone. An important argument arises here: while Murphy &amp; Crone (2021) emphasize intentional pollinator garden design in North America, Ghanaian cases (</w:t>
      </w:r>
      <w:proofErr w:type="spellStart"/>
      <w:r w:rsidRPr="000501F0">
        <w:rPr>
          <w:rFonts w:ascii="Times New Roman" w:hAnsi="Times New Roman" w:cs="Times New Roman"/>
          <w:sz w:val="20"/>
          <w:szCs w:val="20"/>
        </w:rPr>
        <w:t>Abuaku</w:t>
      </w:r>
      <w:proofErr w:type="spellEnd"/>
      <w:r w:rsidRPr="000501F0">
        <w:rPr>
          <w:rFonts w:ascii="Times New Roman" w:hAnsi="Times New Roman" w:cs="Times New Roman"/>
          <w:sz w:val="20"/>
          <w:szCs w:val="20"/>
        </w:rPr>
        <w:t xml:space="preserve">, 2020; </w:t>
      </w:r>
      <w:proofErr w:type="spellStart"/>
      <w:r w:rsidRPr="000501F0">
        <w:rPr>
          <w:rFonts w:ascii="Times New Roman" w:hAnsi="Times New Roman" w:cs="Times New Roman"/>
          <w:sz w:val="20"/>
          <w:szCs w:val="20"/>
        </w:rPr>
        <w:t>Akanbang</w:t>
      </w:r>
      <w:proofErr w:type="spellEnd"/>
      <w:r w:rsidRPr="000501F0">
        <w:rPr>
          <w:rFonts w:ascii="Times New Roman" w:hAnsi="Times New Roman" w:cs="Times New Roman"/>
          <w:sz w:val="20"/>
          <w:szCs w:val="20"/>
        </w:rPr>
        <w:t xml:space="preserve"> et al., 2024) show that even informal, multifunctional gardens can sustain pollinators. This suggests that biodiversity policies in Sub-Saharan Africa should not only replicate European approaches but also integrate cultural and livelihood dimensions.</w:t>
      </w:r>
    </w:p>
    <w:p w14:paraId="4BFDC2BF"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2: Floral Resource Availability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1896"/>
        <w:gridCol w:w="1621"/>
        <w:gridCol w:w="2535"/>
        <w:gridCol w:w="2002"/>
      </w:tblGrid>
      <w:tr w:rsidR="000501F0" w:rsidRPr="004B16FF" w14:paraId="1184ABB2" w14:textId="77777777" w:rsidTr="00CF2BC0">
        <w:trPr>
          <w:tblHeader/>
          <w:tblCellSpacing w:w="15" w:type="dxa"/>
        </w:trPr>
        <w:tc>
          <w:tcPr>
            <w:tcW w:w="0" w:type="auto"/>
            <w:tcBorders>
              <w:top w:val="single" w:sz="4" w:space="0" w:color="auto"/>
              <w:bottom w:val="single" w:sz="4" w:space="0" w:color="auto"/>
            </w:tcBorders>
            <w:vAlign w:val="center"/>
            <w:hideMark/>
          </w:tcPr>
          <w:p w14:paraId="6124E403"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5F4C43FE"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0BD95F9D"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2D35B293"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00106F2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667BAC46" w14:textId="77777777" w:rsidTr="00907052">
        <w:trPr>
          <w:tblCellSpacing w:w="15" w:type="dxa"/>
        </w:trPr>
        <w:tc>
          <w:tcPr>
            <w:tcW w:w="0" w:type="auto"/>
            <w:vAlign w:val="center"/>
            <w:hideMark/>
          </w:tcPr>
          <w:p w14:paraId="29BB898F"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Kwapong</w:t>
            </w:r>
            <w:proofErr w:type="spellEnd"/>
            <w:r w:rsidRPr="004B16FF">
              <w:rPr>
                <w:rFonts w:ascii="Times New Roman" w:eastAsia="Times New Roman" w:hAnsi="Times New Roman" w:cs="Times New Roman"/>
                <w:sz w:val="20"/>
                <w:szCs w:val="20"/>
                <w:lang w:val="en-US"/>
              </w:rPr>
              <w:t xml:space="preserve"> et al. (2010)</w:t>
            </w:r>
          </w:p>
        </w:tc>
        <w:tc>
          <w:tcPr>
            <w:tcW w:w="0" w:type="auto"/>
            <w:vAlign w:val="center"/>
            <w:hideMark/>
          </w:tcPr>
          <w:p w14:paraId="1A98F56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conserve pollination services for agriculture in Ghana.</w:t>
            </w:r>
          </w:p>
        </w:tc>
        <w:tc>
          <w:tcPr>
            <w:tcW w:w="0" w:type="auto"/>
            <w:vAlign w:val="center"/>
            <w:hideMark/>
          </w:tcPr>
          <w:p w14:paraId="790C535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Case study on pollinator conservation.</w:t>
            </w:r>
          </w:p>
        </w:tc>
        <w:tc>
          <w:tcPr>
            <w:tcW w:w="0" w:type="auto"/>
            <w:vAlign w:val="center"/>
            <w:hideMark/>
          </w:tcPr>
          <w:p w14:paraId="68E68E1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Highlighted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reliance of crops (cocoa, tomato, pepper, okra) on insect pollination.</w:t>
            </w:r>
          </w:p>
        </w:tc>
        <w:tc>
          <w:tcPr>
            <w:tcW w:w="0" w:type="auto"/>
            <w:vAlign w:val="center"/>
            <w:hideMark/>
          </w:tcPr>
          <w:p w14:paraId="6FE605D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link between floral resources and food security.</w:t>
            </w:r>
          </w:p>
        </w:tc>
      </w:tr>
      <w:tr w:rsidR="000501F0" w:rsidRPr="004B16FF" w14:paraId="358B36B8" w14:textId="77777777" w:rsidTr="00907052">
        <w:trPr>
          <w:tblCellSpacing w:w="15" w:type="dxa"/>
        </w:trPr>
        <w:tc>
          <w:tcPr>
            <w:tcW w:w="0" w:type="auto"/>
            <w:vAlign w:val="center"/>
            <w:hideMark/>
          </w:tcPr>
          <w:p w14:paraId="318CF43D"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Harrison &amp; Winfree (2015)</w:t>
            </w:r>
          </w:p>
        </w:tc>
        <w:tc>
          <w:tcPr>
            <w:tcW w:w="0" w:type="auto"/>
            <w:vAlign w:val="center"/>
            <w:hideMark/>
          </w:tcPr>
          <w:p w14:paraId="078296D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examine drivers of plant–pollinator interactions.</w:t>
            </w:r>
          </w:p>
        </w:tc>
        <w:tc>
          <w:tcPr>
            <w:tcW w:w="0" w:type="auto"/>
            <w:vAlign w:val="center"/>
            <w:hideMark/>
          </w:tcPr>
          <w:p w14:paraId="37E15EF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Field surveys and experiments.</w:t>
            </w:r>
          </w:p>
        </w:tc>
        <w:tc>
          <w:tcPr>
            <w:tcW w:w="0" w:type="auto"/>
            <w:vAlign w:val="center"/>
            <w:hideMark/>
          </w:tcPr>
          <w:p w14:paraId="5C041D2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native plantings enhanced pollinator foraging compared to ornamentals.</w:t>
            </w:r>
          </w:p>
        </w:tc>
        <w:tc>
          <w:tcPr>
            <w:tcW w:w="0" w:type="auto"/>
            <w:vAlign w:val="center"/>
            <w:hideMark/>
          </w:tcPr>
          <w:p w14:paraId="24DFB76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Shows </w:t>
            </w:r>
            <w:r w:rsidR="004D2B06">
              <w:rPr>
                <w:rFonts w:ascii="Times New Roman" w:eastAsia="Times New Roman" w:hAnsi="Times New Roman" w:cs="Times New Roman"/>
                <w:sz w:val="20"/>
                <w:szCs w:val="20"/>
                <w:lang w:val="en-US"/>
              </w:rPr>
              <w:t xml:space="preserve">that the </w:t>
            </w:r>
            <w:r w:rsidRPr="004B16FF">
              <w:rPr>
                <w:rFonts w:ascii="Times New Roman" w:eastAsia="Times New Roman" w:hAnsi="Times New Roman" w:cs="Times New Roman"/>
                <w:sz w:val="20"/>
                <w:szCs w:val="20"/>
                <w:lang w:val="en-US"/>
              </w:rPr>
              <w:t>design of urban plantings affects pollinator foraging.</w:t>
            </w:r>
          </w:p>
        </w:tc>
      </w:tr>
      <w:tr w:rsidR="000501F0" w:rsidRPr="004B16FF" w14:paraId="501AEEEC" w14:textId="77777777" w:rsidTr="00907052">
        <w:trPr>
          <w:tblCellSpacing w:w="15" w:type="dxa"/>
        </w:trPr>
        <w:tc>
          <w:tcPr>
            <w:tcW w:w="0" w:type="auto"/>
            <w:vAlign w:val="center"/>
            <w:hideMark/>
          </w:tcPr>
          <w:p w14:paraId="38BEFDF2"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Geslin et al. (2016)</w:t>
            </w:r>
          </w:p>
        </w:tc>
        <w:tc>
          <w:tcPr>
            <w:tcW w:w="0" w:type="auto"/>
            <w:vAlign w:val="center"/>
            <w:hideMark/>
          </w:tcPr>
          <w:p w14:paraId="1221033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study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bee fauna in large parks in Paris.</w:t>
            </w:r>
          </w:p>
        </w:tc>
        <w:tc>
          <w:tcPr>
            <w:tcW w:w="0" w:type="auto"/>
            <w:vAlign w:val="center"/>
            <w:hideMark/>
          </w:tcPr>
          <w:p w14:paraId="1785D1D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Empirical field surveys.</w:t>
            </w:r>
          </w:p>
        </w:tc>
        <w:tc>
          <w:tcPr>
            <w:tcW w:w="0" w:type="auto"/>
            <w:vAlign w:val="center"/>
            <w:hideMark/>
          </w:tcPr>
          <w:p w14:paraId="03D0E68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pollinator richness correlated with plant diversity and continuous flowering.</w:t>
            </w:r>
          </w:p>
        </w:tc>
        <w:tc>
          <w:tcPr>
            <w:tcW w:w="0" w:type="auto"/>
            <w:vAlign w:val="center"/>
            <w:hideMark/>
          </w:tcPr>
          <w:p w14:paraId="00296BD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Highlights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need for diverse, continuous floral resources.</w:t>
            </w:r>
          </w:p>
        </w:tc>
      </w:tr>
      <w:tr w:rsidR="000501F0" w:rsidRPr="004B16FF" w14:paraId="53AADC72" w14:textId="77777777" w:rsidTr="00907052">
        <w:trPr>
          <w:tblCellSpacing w:w="15" w:type="dxa"/>
        </w:trPr>
        <w:tc>
          <w:tcPr>
            <w:tcW w:w="0" w:type="auto"/>
            <w:vAlign w:val="center"/>
            <w:hideMark/>
          </w:tcPr>
          <w:p w14:paraId="344CA91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Pollinator Partnership (2023)</w:t>
            </w:r>
          </w:p>
        </w:tc>
        <w:tc>
          <w:tcPr>
            <w:tcW w:w="0" w:type="auto"/>
            <w:vAlign w:val="center"/>
            <w:hideMark/>
          </w:tcPr>
          <w:p w14:paraId="7BFF483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identify threats to pollinators globally.</w:t>
            </w:r>
          </w:p>
        </w:tc>
        <w:tc>
          <w:tcPr>
            <w:tcW w:w="0" w:type="auto"/>
            <w:vAlign w:val="center"/>
            <w:hideMark/>
          </w:tcPr>
          <w:p w14:paraId="0B82720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Synthesis report.</w:t>
            </w:r>
          </w:p>
        </w:tc>
        <w:tc>
          <w:tcPr>
            <w:tcW w:w="0" w:type="auto"/>
            <w:vAlign w:val="center"/>
            <w:hideMark/>
          </w:tcPr>
          <w:p w14:paraId="265D166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Floral resource decline identified as major driver of pollinator losses.</w:t>
            </w:r>
          </w:p>
        </w:tc>
        <w:tc>
          <w:tcPr>
            <w:tcW w:w="0" w:type="auto"/>
            <w:vAlign w:val="center"/>
            <w:hideMark/>
          </w:tcPr>
          <w:p w14:paraId="5C30B55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urban floral integration to sustain pollinators.</w:t>
            </w:r>
          </w:p>
        </w:tc>
      </w:tr>
      <w:tr w:rsidR="000501F0" w:rsidRPr="004B16FF" w14:paraId="71C03AAF" w14:textId="77777777" w:rsidTr="00CF2BC0">
        <w:trPr>
          <w:tblCellSpacing w:w="15" w:type="dxa"/>
        </w:trPr>
        <w:tc>
          <w:tcPr>
            <w:tcW w:w="0" w:type="auto"/>
            <w:tcBorders>
              <w:bottom w:val="single" w:sz="4" w:space="0" w:color="auto"/>
            </w:tcBorders>
            <w:vAlign w:val="center"/>
            <w:hideMark/>
          </w:tcPr>
          <w:p w14:paraId="5CD7E092"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Gajbhiye</w:t>
            </w:r>
            <w:proofErr w:type="spellEnd"/>
            <w:r w:rsidRPr="004B16FF">
              <w:rPr>
                <w:rFonts w:ascii="Times New Roman" w:eastAsia="Times New Roman" w:hAnsi="Times New Roman" w:cs="Times New Roman"/>
                <w:sz w:val="20"/>
                <w:szCs w:val="20"/>
                <w:lang w:val="en-US"/>
              </w:rPr>
              <w:t xml:space="preserve"> (2025)</w:t>
            </w:r>
          </w:p>
        </w:tc>
        <w:tc>
          <w:tcPr>
            <w:tcW w:w="0" w:type="auto"/>
            <w:tcBorders>
              <w:bottom w:val="single" w:sz="4" w:space="0" w:color="auto"/>
            </w:tcBorders>
            <w:vAlign w:val="center"/>
            <w:hideMark/>
          </w:tcPr>
          <w:p w14:paraId="60CF351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assess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impacts of urbanization on insect pollinators.</w:t>
            </w:r>
          </w:p>
        </w:tc>
        <w:tc>
          <w:tcPr>
            <w:tcW w:w="0" w:type="auto"/>
            <w:tcBorders>
              <w:bottom w:val="single" w:sz="4" w:space="0" w:color="auto"/>
            </w:tcBorders>
            <w:vAlign w:val="center"/>
            <w:hideMark/>
          </w:tcPr>
          <w:p w14:paraId="08350E2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 article.</w:t>
            </w:r>
          </w:p>
        </w:tc>
        <w:tc>
          <w:tcPr>
            <w:tcW w:w="0" w:type="auto"/>
            <w:tcBorders>
              <w:bottom w:val="single" w:sz="4" w:space="0" w:color="auto"/>
            </w:tcBorders>
            <w:vAlign w:val="center"/>
            <w:hideMark/>
          </w:tcPr>
          <w:p w14:paraId="766C8A4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urbanization reduces spontaneous flowering species, favoring less useful ornamentals.</w:t>
            </w:r>
          </w:p>
        </w:tc>
        <w:tc>
          <w:tcPr>
            <w:tcW w:w="0" w:type="auto"/>
            <w:tcBorders>
              <w:bottom w:val="single" w:sz="4" w:space="0" w:color="auto"/>
            </w:tcBorders>
            <w:vAlign w:val="center"/>
            <w:hideMark/>
          </w:tcPr>
          <w:p w14:paraId="3D0130F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Stresses need for native flowering plants in urban areas.</w:t>
            </w:r>
          </w:p>
        </w:tc>
      </w:tr>
    </w:tbl>
    <w:p w14:paraId="76984C4C"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4BB40236" w14:textId="77777777" w:rsidR="000501F0" w:rsidRPr="004B16FF" w:rsidRDefault="000501F0" w:rsidP="008E6C37">
      <w:pPr>
        <w:jc w:val="both"/>
        <w:rPr>
          <w:rFonts w:ascii="Times New Roman" w:hAnsi="Times New Roman" w:cs="Times New Roman"/>
          <w:sz w:val="20"/>
          <w:szCs w:val="20"/>
          <w:lang w:val="en-US"/>
        </w:rPr>
      </w:pPr>
      <w:r w:rsidRPr="000501F0">
        <w:rPr>
          <w:rFonts w:ascii="Times New Roman" w:hAnsi="Times New Roman" w:cs="Times New Roman"/>
          <w:sz w:val="20"/>
          <w:szCs w:val="20"/>
        </w:rPr>
        <w:t xml:space="preserve">The literature consistently confirms the critical role of continuous and diverse floral resources. Geslin et al. (2016) and Harrison &amp; Winfree (2015) both show in European and American cities that species richness and foraging opportunities increase with plant diversity, particularly when native plants are used. These findings are echoed in Ghana, where </w:t>
      </w:r>
      <w:proofErr w:type="spellStart"/>
      <w:r w:rsidRPr="000501F0">
        <w:rPr>
          <w:rFonts w:ascii="Times New Roman" w:hAnsi="Times New Roman" w:cs="Times New Roman"/>
          <w:sz w:val="20"/>
          <w:szCs w:val="20"/>
        </w:rPr>
        <w:t>Kwapong</w:t>
      </w:r>
      <w:proofErr w:type="spellEnd"/>
      <w:r w:rsidRPr="000501F0">
        <w:rPr>
          <w:rFonts w:ascii="Times New Roman" w:hAnsi="Times New Roman" w:cs="Times New Roman"/>
          <w:sz w:val="20"/>
          <w:szCs w:val="20"/>
        </w:rPr>
        <w:t xml:space="preserve"> et al. (2010) highlight that pollinator-dependent crops such as cocoa and tomatoes benefit directly from nearby floral diversity in urban gardens. However, there is a sharp contrast in urban landscaping practices. While Pollinator Partnership (2023) stresses global threats from floral decline, </w:t>
      </w:r>
      <w:proofErr w:type="spellStart"/>
      <w:r w:rsidRPr="000501F0">
        <w:rPr>
          <w:rFonts w:ascii="Times New Roman" w:hAnsi="Times New Roman" w:cs="Times New Roman"/>
          <w:sz w:val="20"/>
          <w:szCs w:val="20"/>
        </w:rPr>
        <w:t>Gajbhiye</w:t>
      </w:r>
      <w:proofErr w:type="spellEnd"/>
      <w:r w:rsidRPr="000501F0">
        <w:rPr>
          <w:rFonts w:ascii="Times New Roman" w:hAnsi="Times New Roman" w:cs="Times New Roman"/>
          <w:sz w:val="20"/>
          <w:szCs w:val="20"/>
        </w:rPr>
        <w:t xml:space="preserve"> (2025) notes that urbanization often replaces native plants with ornamentals that provide little to no value for pollinators. This mirrors Ghanaian trends, where ornamental-focused landscaping in Accra and Kumasi undermines pollinator support. A key argument emerges: whereas in Europe and the U.S. much emphasis is placed on restoring native flowering plants, in Ghana the challenge is both ecological and cultural, shifting urban design away from ornamental aesthetics toward native species that support food systems and biodiversity simultaneously.</w:t>
      </w:r>
    </w:p>
    <w:p w14:paraId="53C59C2C"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3: Landscape Connectivity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3"/>
        <w:gridCol w:w="2053"/>
        <w:gridCol w:w="1459"/>
        <w:gridCol w:w="2440"/>
        <w:gridCol w:w="2055"/>
      </w:tblGrid>
      <w:tr w:rsidR="000501F0" w:rsidRPr="004B16FF" w14:paraId="30AFB72A" w14:textId="77777777" w:rsidTr="00CF2BC0">
        <w:trPr>
          <w:tblHeader/>
          <w:tblCellSpacing w:w="15" w:type="dxa"/>
        </w:trPr>
        <w:tc>
          <w:tcPr>
            <w:tcW w:w="0" w:type="auto"/>
            <w:tcBorders>
              <w:top w:val="single" w:sz="4" w:space="0" w:color="auto"/>
              <w:bottom w:val="single" w:sz="4" w:space="0" w:color="auto"/>
            </w:tcBorders>
            <w:vAlign w:val="center"/>
            <w:hideMark/>
          </w:tcPr>
          <w:p w14:paraId="5F05138F"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60CC2B0A"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139C138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65A5BCF1"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224E4B69"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66B4D761" w14:textId="77777777" w:rsidTr="00907052">
        <w:trPr>
          <w:tblCellSpacing w:w="15" w:type="dxa"/>
        </w:trPr>
        <w:tc>
          <w:tcPr>
            <w:tcW w:w="0" w:type="auto"/>
            <w:vAlign w:val="center"/>
            <w:hideMark/>
          </w:tcPr>
          <w:p w14:paraId="60128CB0"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Goddard et al. (2010)</w:t>
            </w:r>
          </w:p>
        </w:tc>
        <w:tc>
          <w:tcPr>
            <w:tcW w:w="0" w:type="auto"/>
            <w:vAlign w:val="center"/>
            <w:hideMark/>
          </w:tcPr>
          <w:p w14:paraId="42AC324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scaling from gardens to city networks.</w:t>
            </w:r>
          </w:p>
        </w:tc>
        <w:tc>
          <w:tcPr>
            <w:tcW w:w="0" w:type="auto"/>
            <w:vAlign w:val="center"/>
            <w:hideMark/>
          </w:tcPr>
          <w:p w14:paraId="631093D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 and case studies.</w:t>
            </w:r>
          </w:p>
        </w:tc>
        <w:tc>
          <w:tcPr>
            <w:tcW w:w="0" w:type="auto"/>
            <w:vAlign w:val="center"/>
            <w:hideMark/>
          </w:tcPr>
          <w:p w14:paraId="0E03BF9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that connectivity enhances biodiversity resilience.</w:t>
            </w:r>
          </w:p>
        </w:tc>
        <w:tc>
          <w:tcPr>
            <w:tcW w:w="0" w:type="auto"/>
            <w:vAlign w:val="center"/>
            <w:hideMark/>
          </w:tcPr>
          <w:p w14:paraId="40D92D8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city-wide ecological planning.</w:t>
            </w:r>
          </w:p>
        </w:tc>
      </w:tr>
      <w:tr w:rsidR="000501F0" w:rsidRPr="004B16FF" w14:paraId="6D443CCA" w14:textId="77777777" w:rsidTr="00907052">
        <w:trPr>
          <w:tblCellSpacing w:w="15" w:type="dxa"/>
        </w:trPr>
        <w:tc>
          <w:tcPr>
            <w:tcW w:w="0" w:type="auto"/>
            <w:vAlign w:val="center"/>
            <w:hideMark/>
          </w:tcPr>
          <w:p w14:paraId="42B792AF"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lastRenderedPageBreak/>
              <w:t>Hall et al. (2017)</w:t>
            </w:r>
          </w:p>
        </w:tc>
        <w:tc>
          <w:tcPr>
            <w:tcW w:w="0" w:type="auto"/>
            <w:vAlign w:val="center"/>
            <w:hideMark/>
          </w:tcPr>
          <w:p w14:paraId="1783136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evaluate cities as refuges for pollinators.</w:t>
            </w:r>
          </w:p>
        </w:tc>
        <w:tc>
          <w:tcPr>
            <w:tcW w:w="0" w:type="auto"/>
            <w:vAlign w:val="center"/>
            <w:hideMark/>
          </w:tcPr>
          <w:p w14:paraId="1A8B0E8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Multi-city empirical studies.</w:t>
            </w:r>
          </w:p>
        </w:tc>
        <w:tc>
          <w:tcPr>
            <w:tcW w:w="0" w:type="auto"/>
            <w:vAlign w:val="center"/>
            <w:hideMark/>
          </w:tcPr>
          <w:p w14:paraId="63B879C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Green corridors, street trees, and stepping-stone gardens facilitate movement.</w:t>
            </w:r>
          </w:p>
        </w:tc>
        <w:tc>
          <w:tcPr>
            <w:tcW w:w="0" w:type="auto"/>
            <w:vAlign w:val="center"/>
            <w:hideMark/>
          </w:tcPr>
          <w:p w14:paraId="3723A38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Shows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importance of ecological connectivity.</w:t>
            </w:r>
          </w:p>
        </w:tc>
      </w:tr>
      <w:tr w:rsidR="000501F0" w:rsidRPr="004B16FF" w14:paraId="31B1B2B2" w14:textId="77777777" w:rsidTr="00907052">
        <w:trPr>
          <w:tblCellSpacing w:w="15" w:type="dxa"/>
        </w:trPr>
        <w:tc>
          <w:tcPr>
            <w:tcW w:w="0" w:type="auto"/>
            <w:vAlign w:val="center"/>
            <w:hideMark/>
          </w:tcPr>
          <w:p w14:paraId="6DDD02AC"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Dave et al. (2021)</w:t>
            </w:r>
          </w:p>
        </w:tc>
        <w:tc>
          <w:tcPr>
            <w:tcW w:w="0" w:type="auto"/>
            <w:vAlign w:val="center"/>
            <w:hideMark/>
          </w:tcPr>
          <w:p w14:paraId="52BC72E6" w14:textId="77777777" w:rsidR="000501F0" w:rsidRPr="004B16FF" w:rsidRDefault="000501F0" w:rsidP="004D2B06">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study vegetation along </w:t>
            </w:r>
            <w:r w:rsidR="004D2B06">
              <w:rPr>
                <w:rFonts w:ascii="Times New Roman" w:eastAsia="Times New Roman" w:hAnsi="Times New Roman" w:cs="Times New Roman"/>
                <w:sz w:val="20"/>
                <w:szCs w:val="20"/>
                <w:lang w:val="en-US"/>
              </w:rPr>
              <w:t>the Accra–Tema</w:t>
            </w:r>
            <w:r w:rsidRPr="004B16FF">
              <w:rPr>
                <w:rFonts w:ascii="Times New Roman" w:eastAsia="Times New Roman" w:hAnsi="Times New Roman" w:cs="Times New Roman"/>
                <w:sz w:val="20"/>
                <w:szCs w:val="20"/>
                <w:lang w:val="en-US"/>
              </w:rPr>
              <w:t xml:space="preserve"> motorway.</w:t>
            </w:r>
          </w:p>
        </w:tc>
        <w:tc>
          <w:tcPr>
            <w:tcW w:w="0" w:type="auto"/>
            <w:vAlign w:val="center"/>
            <w:hideMark/>
          </w:tcPr>
          <w:p w14:paraId="2290C97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 case study.</w:t>
            </w:r>
          </w:p>
        </w:tc>
        <w:tc>
          <w:tcPr>
            <w:tcW w:w="0" w:type="auto"/>
            <w:vAlign w:val="center"/>
            <w:hideMark/>
          </w:tcPr>
          <w:p w14:paraId="278E4B0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Roadside vegetation supports connectivity and carbon reduction.</w:t>
            </w:r>
          </w:p>
        </w:tc>
        <w:tc>
          <w:tcPr>
            <w:tcW w:w="0" w:type="auto"/>
            <w:vAlign w:val="center"/>
            <w:hideMark/>
          </w:tcPr>
          <w:p w14:paraId="18E2039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Ghanaian evidence of corridor value.</w:t>
            </w:r>
          </w:p>
        </w:tc>
      </w:tr>
      <w:tr w:rsidR="000501F0" w:rsidRPr="004B16FF" w14:paraId="698EF65E" w14:textId="77777777" w:rsidTr="00907052">
        <w:trPr>
          <w:tblCellSpacing w:w="15" w:type="dxa"/>
        </w:trPr>
        <w:tc>
          <w:tcPr>
            <w:tcW w:w="0" w:type="auto"/>
            <w:vAlign w:val="center"/>
            <w:hideMark/>
          </w:tcPr>
          <w:p w14:paraId="09211888"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Puplampu</w:t>
            </w:r>
            <w:proofErr w:type="spellEnd"/>
            <w:r w:rsidRPr="004B16FF">
              <w:rPr>
                <w:rFonts w:ascii="Times New Roman" w:eastAsia="Times New Roman" w:hAnsi="Times New Roman" w:cs="Times New Roman"/>
                <w:sz w:val="20"/>
                <w:szCs w:val="20"/>
                <w:lang w:val="en-US"/>
              </w:rPr>
              <w:t xml:space="preserve"> &amp; </w:t>
            </w:r>
            <w:proofErr w:type="spellStart"/>
            <w:r w:rsidRPr="004B16FF">
              <w:rPr>
                <w:rFonts w:ascii="Times New Roman" w:eastAsia="Times New Roman" w:hAnsi="Times New Roman" w:cs="Times New Roman"/>
                <w:sz w:val="20"/>
                <w:szCs w:val="20"/>
                <w:lang w:val="en-US"/>
              </w:rPr>
              <w:t>Boafo</w:t>
            </w:r>
            <w:proofErr w:type="spellEnd"/>
            <w:r w:rsidRPr="004B16FF">
              <w:rPr>
                <w:rFonts w:ascii="Times New Roman" w:eastAsia="Times New Roman" w:hAnsi="Times New Roman" w:cs="Times New Roman"/>
                <w:sz w:val="20"/>
                <w:szCs w:val="20"/>
                <w:lang w:val="en-US"/>
              </w:rPr>
              <w:t xml:space="preserve"> (2021)</w:t>
            </w:r>
          </w:p>
        </w:tc>
        <w:tc>
          <w:tcPr>
            <w:tcW w:w="0" w:type="auto"/>
            <w:vAlign w:val="center"/>
            <w:hideMark/>
          </w:tcPr>
          <w:p w14:paraId="55B6BFE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urban expansion impacts in Accra.</w:t>
            </w:r>
          </w:p>
        </w:tc>
        <w:tc>
          <w:tcPr>
            <w:tcW w:w="0" w:type="auto"/>
            <w:vAlign w:val="center"/>
            <w:hideMark/>
          </w:tcPr>
          <w:p w14:paraId="5EED822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Spatial analysis.</w:t>
            </w:r>
          </w:p>
        </w:tc>
        <w:tc>
          <w:tcPr>
            <w:tcW w:w="0" w:type="auto"/>
            <w:vAlign w:val="center"/>
            <w:hideMark/>
          </w:tcPr>
          <w:p w14:paraId="58A6B53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Land conversion disrupts connectivity, reducing services.</w:t>
            </w:r>
          </w:p>
        </w:tc>
        <w:tc>
          <w:tcPr>
            <w:tcW w:w="0" w:type="auto"/>
            <w:vAlign w:val="center"/>
            <w:hideMark/>
          </w:tcPr>
          <w:p w14:paraId="0E8398F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Highlights connectivity loss in Ghanaian cities.</w:t>
            </w:r>
          </w:p>
        </w:tc>
      </w:tr>
      <w:tr w:rsidR="000501F0" w:rsidRPr="004B16FF" w14:paraId="2DDB1D5D" w14:textId="77777777" w:rsidTr="00907052">
        <w:trPr>
          <w:tblCellSpacing w:w="15" w:type="dxa"/>
        </w:trPr>
        <w:tc>
          <w:tcPr>
            <w:tcW w:w="0" w:type="auto"/>
            <w:vAlign w:val="center"/>
            <w:hideMark/>
          </w:tcPr>
          <w:p w14:paraId="2C8E636B"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Hosek (2019)</w:t>
            </w:r>
          </w:p>
        </w:tc>
        <w:tc>
          <w:tcPr>
            <w:tcW w:w="0" w:type="auto"/>
            <w:vAlign w:val="center"/>
            <w:hideMark/>
          </w:tcPr>
          <w:p w14:paraId="6D88CF9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tree cover in Accra neighborhoods.</w:t>
            </w:r>
          </w:p>
        </w:tc>
        <w:tc>
          <w:tcPr>
            <w:tcW w:w="0" w:type="auto"/>
            <w:vAlign w:val="center"/>
            <w:hideMark/>
          </w:tcPr>
          <w:p w14:paraId="3490DE4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Spatial analysis.</w:t>
            </w:r>
          </w:p>
        </w:tc>
        <w:tc>
          <w:tcPr>
            <w:tcW w:w="0" w:type="auto"/>
            <w:vAlign w:val="center"/>
            <w:hideMark/>
          </w:tcPr>
          <w:p w14:paraId="34AB039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unequal tree cover distribution across the city.</w:t>
            </w:r>
          </w:p>
        </w:tc>
        <w:tc>
          <w:tcPr>
            <w:tcW w:w="0" w:type="auto"/>
            <w:vAlign w:val="center"/>
            <w:hideMark/>
          </w:tcPr>
          <w:p w14:paraId="1FB640A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Demonstrates ecological fragmentation and inequality.</w:t>
            </w:r>
          </w:p>
        </w:tc>
      </w:tr>
      <w:tr w:rsidR="000501F0" w:rsidRPr="004B16FF" w14:paraId="7AC54E73" w14:textId="77777777" w:rsidTr="00907052">
        <w:trPr>
          <w:tblCellSpacing w:w="15" w:type="dxa"/>
        </w:trPr>
        <w:tc>
          <w:tcPr>
            <w:tcW w:w="0" w:type="auto"/>
            <w:vAlign w:val="center"/>
            <w:hideMark/>
          </w:tcPr>
          <w:p w14:paraId="4A023254"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Biodiversity Ireland (2024)</w:t>
            </w:r>
          </w:p>
        </w:tc>
        <w:tc>
          <w:tcPr>
            <w:tcW w:w="0" w:type="auto"/>
            <w:vAlign w:val="center"/>
            <w:hideMark/>
          </w:tcPr>
          <w:p w14:paraId="5151AD8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promote ecological corridors.</w:t>
            </w:r>
          </w:p>
        </w:tc>
        <w:tc>
          <w:tcPr>
            <w:tcW w:w="0" w:type="auto"/>
            <w:vAlign w:val="center"/>
            <w:hideMark/>
          </w:tcPr>
          <w:p w14:paraId="457B459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Conservation guideline.</w:t>
            </w:r>
          </w:p>
        </w:tc>
        <w:tc>
          <w:tcPr>
            <w:tcW w:w="0" w:type="auto"/>
            <w:vAlign w:val="center"/>
            <w:hideMark/>
          </w:tcPr>
          <w:p w14:paraId="252AD15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corridors mitigate pollinator habitat fragmentation.</w:t>
            </w:r>
          </w:p>
        </w:tc>
        <w:tc>
          <w:tcPr>
            <w:tcW w:w="0" w:type="auto"/>
            <w:vAlign w:val="center"/>
            <w:hideMark/>
          </w:tcPr>
          <w:p w14:paraId="76AD8B48" w14:textId="77777777" w:rsidR="000501F0" w:rsidRPr="004B16FF" w:rsidRDefault="000501F0" w:rsidP="004D2B06">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Offers applied strategies relevant </w:t>
            </w:r>
            <w:r w:rsidR="004D2B06">
              <w:rPr>
                <w:rFonts w:ascii="Times New Roman" w:eastAsia="Times New Roman" w:hAnsi="Times New Roman" w:cs="Times New Roman"/>
                <w:sz w:val="20"/>
                <w:szCs w:val="20"/>
                <w:lang w:val="en-US"/>
              </w:rPr>
              <w:t>to</w:t>
            </w:r>
            <w:r w:rsidRPr="004B16FF">
              <w:rPr>
                <w:rFonts w:ascii="Times New Roman" w:eastAsia="Times New Roman" w:hAnsi="Times New Roman" w:cs="Times New Roman"/>
                <w:sz w:val="20"/>
                <w:szCs w:val="20"/>
                <w:lang w:val="en-US"/>
              </w:rPr>
              <w:t xml:space="preserve"> urban Ghana.</w:t>
            </w:r>
          </w:p>
        </w:tc>
      </w:tr>
      <w:tr w:rsidR="000501F0" w:rsidRPr="004B16FF" w14:paraId="655A26F3" w14:textId="77777777" w:rsidTr="00CF2BC0">
        <w:trPr>
          <w:tblCellSpacing w:w="15" w:type="dxa"/>
        </w:trPr>
        <w:tc>
          <w:tcPr>
            <w:tcW w:w="0" w:type="auto"/>
            <w:tcBorders>
              <w:bottom w:val="single" w:sz="4" w:space="0" w:color="auto"/>
            </w:tcBorders>
            <w:vAlign w:val="center"/>
            <w:hideMark/>
          </w:tcPr>
          <w:p w14:paraId="7E5F975F"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Silva et al. (2024)</w:t>
            </w:r>
          </w:p>
        </w:tc>
        <w:tc>
          <w:tcPr>
            <w:tcW w:w="0" w:type="auto"/>
            <w:tcBorders>
              <w:bottom w:val="single" w:sz="4" w:space="0" w:color="auto"/>
            </w:tcBorders>
            <w:vAlign w:val="center"/>
            <w:hideMark/>
          </w:tcPr>
          <w:p w14:paraId="343F129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analyze </w:t>
            </w:r>
            <w:r w:rsidR="00C861B3">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importance of UGI connectivity.</w:t>
            </w:r>
          </w:p>
        </w:tc>
        <w:tc>
          <w:tcPr>
            <w:tcW w:w="0" w:type="auto"/>
            <w:tcBorders>
              <w:bottom w:val="single" w:sz="4" w:space="0" w:color="auto"/>
            </w:tcBorders>
            <w:vAlign w:val="center"/>
            <w:hideMark/>
          </w:tcPr>
          <w:p w14:paraId="72BA220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Ecological study.</w:t>
            </w:r>
          </w:p>
        </w:tc>
        <w:tc>
          <w:tcPr>
            <w:tcW w:w="0" w:type="auto"/>
            <w:tcBorders>
              <w:bottom w:val="single" w:sz="4" w:space="0" w:color="auto"/>
            </w:tcBorders>
            <w:vAlign w:val="center"/>
            <w:hideMark/>
          </w:tcPr>
          <w:p w14:paraId="69B805D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w:t>
            </w:r>
            <w:r w:rsidR="004D2B06">
              <w:rPr>
                <w:rFonts w:ascii="Times New Roman" w:eastAsia="Times New Roman" w:hAnsi="Times New Roman" w:cs="Times New Roman"/>
                <w:sz w:val="20"/>
                <w:szCs w:val="20"/>
                <w:lang w:val="en-US"/>
              </w:rPr>
              <w:t xml:space="preserve">that </w:t>
            </w:r>
            <w:r w:rsidRPr="004B16FF">
              <w:rPr>
                <w:rFonts w:ascii="Times New Roman" w:eastAsia="Times New Roman" w:hAnsi="Times New Roman" w:cs="Times New Roman"/>
                <w:sz w:val="20"/>
                <w:szCs w:val="20"/>
                <w:lang w:val="en-US"/>
              </w:rPr>
              <w:t>greater connectivity improved pollinator stability and diversity.</w:t>
            </w:r>
          </w:p>
        </w:tc>
        <w:tc>
          <w:tcPr>
            <w:tcW w:w="0" w:type="auto"/>
            <w:tcBorders>
              <w:bottom w:val="single" w:sz="4" w:space="0" w:color="auto"/>
            </w:tcBorders>
            <w:vAlign w:val="center"/>
            <w:hideMark/>
          </w:tcPr>
          <w:p w14:paraId="53C5C66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Confirms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role of connectivity in sustaining pollinators.</w:t>
            </w:r>
          </w:p>
        </w:tc>
      </w:tr>
    </w:tbl>
    <w:p w14:paraId="4E9532EF"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4CCFE1ED" w14:textId="77777777" w:rsidR="000501F0" w:rsidRPr="004B16FF" w:rsidRDefault="000501F0" w:rsidP="000501F0">
      <w:pPr>
        <w:pStyle w:val="NormalWeb"/>
        <w:jc w:val="both"/>
        <w:rPr>
          <w:sz w:val="20"/>
          <w:szCs w:val="20"/>
        </w:rPr>
      </w:pPr>
      <w:r w:rsidRPr="000501F0">
        <w:rPr>
          <w:sz w:val="20"/>
          <w:szCs w:val="20"/>
        </w:rPr>
        <w:t xml:space="preserve">Connectivity is widely confirmed as critical for pollinator survival. Goddard et al. (2010) and Hall et al. (2017) argue that linking gardens and green patches through corridors and stepping-stone habitats enhances gene flow and population resilience. Silva et al. (2024) further provide empirical evidence that connectivity increases pollinator diversity and stability. Comparative studies reveal regional disparities. In Europe and North America, connectivity is often intentionally planned into green infrastructure (Hall et al., 2017), while in Ghana, </w:t>
      </w:r>
      <w:proofErr w:type="spellStart"/>
      <w:r w:rsidRPr="000501F0">
        <w:rPr>
          <w:sz w:val="20"/>
          <w:szCs w:val="20"/>
        </w:rPr>
        <w:t>Puplampu</w:t>
      </w:r>
      <w:proofErr w:type="spellEnd"/>
      <w:r w:rsidRPr="000501F0">
        <w:rPr>
          <w:sz w:val="20"/>
          <w:szCs w:val="20"/>
        </w:rPr>
        <w:t xml:space="preserve"> &amp; </w:t>
      </w:r>
      <w:proofErr w:type="spellStart"/>
      <w:r w:rsidRPr="000501F0">
        <w:rPr>
          <w:sz w:val="20"/>
          <w:szCs w:val="20"/>
        </w:rPr>
        <w:t>Boafo</w:t>
      </w:r>
      <w:proofErr w:type="spellEnd"/>
      <w:r w:rsidRPr="000501F0">
        <w:rPr>
          <w:sz w:val="20"/>
          <w:szCs w:val="20"/>
        </w:rPr>
        <w:t xml:space="preserve"> (2021) show that uncoordinated urban expansion disrupts ecological linkages. Dave et al. (2021) illustrate that even highway vegetation can function as a corridor in Ghana, but such initiatives are exceptions rather than norms. A contrast is also evident in terms of equity: Hosek (2019) demonstrates that tree cover in Accra is unequally distributed, echoing connectivity concerns but with a socio-spatial justice dimension. The argument here is twofold: connectivity strategies proven effective in Europe must be localized for Ghana, where rapid urban sprawl and weak planning institutions undermine ecological networks. Moreover, planning should integrate equity to ensure corridors benefit all urban communities, not only wealthy enclaves</w:t>
      </w:r>
      <w:r w:rsidR="004D2B06">
        <w:rPr>
          <w:sz w:val="20"/>
          <w:szCs w:val="20"/>
        </w:rPr>
        <w:t>.</w:t>
      </w:r>
    </w:p>
    <w:p w14:paraId="5E1B188A"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4: Management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6"/>
        <w:gridCol w:w="1880"/>
        <w:gridCol w:w="1523"/>
        <w:gridCol w:w="2736"/>
        <w:gridCol w:w="2055"/>
      </w:tblGrid>
      <w:tr w:rsidR="000501F0" w:rsidRPr="004B16FF" w14:paraId="3E73A4BE" w14:textId="77777777" w:rsidTr="00CF2BC0">
        <w:trPr>
          <w:tblHeader/>
          <w:tblCellSpacing w:w="15" w:type="dxa"/>
        </w:trPr>
        <w:tc>
          <w:tcPr>
            <w:tcW w:w="0" w:type="auto"/>
            <w:tcBorders>
              <w:top w:val="single" w:sz="4" w:space="0" w:color="auto"/>
              <w:bottom w:val="single" w:sz="4" w:space="0" w:color="auto"/>
            </w:tcBorders>
            <w:vAlign w:val="center"/>
            <w:hideMark/>
          </w:tcPr>
          <w:p w14:paraId="50893EFF"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3C42A6D0"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64063BCC"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5E30F0D3"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1693C830"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3C3EEC6B" w14:textId="77777777" w:rsidTr="00907052">
        <w:trPr>
          <w:tblCellSpacing w:w="15" w:type="dxa"/>
        </w:trPr>
        <w:tc>
          <w:tcPr>
            <w:tcW w:w="0" w:type="auto"/>
            <w:vAlign w:val="center"/>
            <w:hideMark/>
          </w:tcPr>
          <w:p w14:paraId="7583D58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Fortel</w:t>
            </w:r>
            <w:proofErr w:type="spellEnd"/>
            <w:r w:rsidRPr="004B16FF">
              <w:rPr>
                <w:rFonts w:ascii="Times New Roman" w:eastAsia="Times New Roman" w:hAnsi="Times New Roman" w:cs="Times New Roman"/>
                <w:sz w:val="20"/>
                <w:szCs w:val="20"/>
                <w:lang w:val="en-US"/>
              </w:rPr>
              <w:t xml:space="preserve"> et al. (2014)</w:t>
            </w:r>
          </w:p>
        </w:tc>
        <w:tc>
          <w:tcPr>
            <w:tcW w:w="0" w:type="auto"/>
            <w:vAlign w:val="center"/>
            <w:hideMark/>
          </w:tcPr>
          <w:p w14:paraId="5DA47BD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wild bee responses to management intensity.</w:t>
            </w:r>
          </w:p>
        </w:tc>
        <w:tc>
          <w:tcPr>
            <w:tcW w:w="0" w:type="auto"/>
            <w:vAlign w:val="center"/>
            <w:hideMark/>
          </w:tcPr>
          <w:p w14:paraId="0A2F6CB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Urbanization gradient surveys.</w:t>
            </w:r>
          </w:p>
        </w:tc>
        <w:tc>
          <w:tcPr>
            <w:tcW w:w="0" w:type="auto"/>
            <w:vAlign w:val="center"/>
            <w:hideMark/>
          </w:tcPr>
          <w:p w14:paraId="586AE6F2"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Intensive mowing/herbicides reduced habitat value.</w:t>
            </w:r>
          </w:p>
        </w:tc>
        <w:tc>
          <w:tcPr>
            <w:tcW w:w="0" w:type="auto"/>
            <w:vAlign w:val="center"/>
            <w:hideMark/>
          </w:tcPr>
          <w:p w14:paraId="182AC7C7"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how poor management reduces biodiversity.</w:t>
            </w:r>
          </w:p>
        </w:tc>
      </w:tr>
      <w:tr w:rsidR="000501F0" w:rsidRPr="004B16FF" w14:paraId="72D7747A" w14:textId="77777777" w:rsidTr="00907052">
        <w:trPr>
          <w:tblCellSpacing w:w="15" w:type="dxa"/>
        </w:trPr>
        <w:tc>
          <w:tcPr>
            <w:tcW w:w="0" w:type="auto"/>
            <w:vAlign w:val="center"/>
            <w:hideMark/>
          </w:tcPr>
          <w:p w14:paraId="5500978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Poole et al. (2024)</w:t>
            </w:r>
          </w:p>
        </w:tc>
        <w:tc>
          <w:tcPr>
            <w:tcW w:w="0" w:type="auto"/>
            <w:vAlign w:val="center"/>
            <w:hideMark/>
          </w:tcPr>
          <w:p w14:paraId="12C18A35"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evaluate pollinator responses to UGI enhancement.</w:t>
            </w:r>
          </w:p>
        </w:tc>
        <w:tc>
          <w:tcPr>
            <w:tcW w:w="0" w:type="auto"/>
            <w:vAlign w:val="center"/>
            <w:hideMark/>
          </w:tcPr>
          <w:p w14:paraId="25DFD245"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Experimental study.</w:t>
            </w:r>
          </w:p>
        </w:tc>
        <w:tc>
          <w:tcPr>
            <w:tcW w:w="0" w:type="auto"/>
            <w:vAlign w:val="center"/>
            <w:hideMark/>
          </w:tcPr>
          <w:p w14:paraId="169271B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Wildflower meadows and mixed plantings boosted pollinators.</w:t>
            </w:r>
          </w:p>
        </w:tc>
        <w:tc>
          <w:tcPr>
            <w:tcW w:w="0" w:type="auto"/>
            <w:vAlign w:val="center"/>
            <w:hideMark/>
          </w:tcPr>
          <w:p w14:paraId="0B2057D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Demonstrates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benefits of biodiversity-focused management.</w:t>
            </w:r>
          </w:p>
        </w:tc>
      </w:tr>
      <w:tr w:rsidR="000501F0" w:rsidRPr="004B16FF" w14:paraId="5C871E70" w14:textId="77777777" w:rsidTr="00907052">
        <w:trPr>
          <w:tblCellSpacing w:w="15" w:type="dxa"/>
        </w:trPr>
        <w:tc>
          <w:tcPr>
            <w:tcW w:w="0" w:type="auto"/>
            <w:vAlign w:val="center"/>
            <w:hideMark/>
          </w:tcPr>
          <w:p w14:paraId="4E9C593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Wang et al. (2024)</w:t>
            </w:r>
          </w:p>
        </w:tc>
        <w:tc>
          <w:tcPr>
            <w:tcW w:w="0" w:type="auto"/>
            <w:vAlign w:val="center"/>
            <w:hideMark/>
          </w:tcPr>
          <w:p w14:paraId="5F1683C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explore adaptive management in UGI.</w:t>
            </w:r>
          </w:p>
        </w:tc>
        <w:tc>
          <w:tcPr>
            <w:tcW w:w="0" w:type="auto"/>
            <w:vAlign w:val="center"/>
            <w:hideMark/>
          </w:tcPr>
          <w:p w14:paraId="7DCAD829"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Conceptual framework.</w:t>
            </w:r>
          </w:p>
        </w:tc>
        <w:tc>
          <w:tcPr>
            <w:tcW w:w="0" w:type="auto"/>
            <w:vAlign w:val="center"/>
            <w:hideMark/>
          </w:tcPr>
          <w:p w14:paraId="69D39FC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Showed adaptive management bridges biodiversity and development.</w:t>
            </w:r>
          </w:p>
        </w:tc>
        <w:tc>
          <w:tcPr>
            <w:tcW w:w="0" w:type="auto"/>
            <w:vAlign w:val="center"/>
            <w:hideMark/>
          </w:tcPr>
          <w:p w14:paraId="76A6152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Provides </w:t>
            </w:r>
            <w:r w:rsidR="004D2B06">
              <w:rPr>
                <w:rFonts w:ascii="Times New Roman" w:eastAsia="Times New Roman" w:hAnsi="Times New Roman" w:cs="Times New Roman"/>
                <w:sz w:val="20"/>
                <w:szCs w:val="20"/>
                <w:lang w:val="en-US"/>
              </w:rPr>
              <w:t xml:space="preserve">an </w:t>
            </w:r>
            <w:r w:rsidRPr="004B16FF">
              <w:rPr>
                <w:rFonts w:ascii="Times New Roman" w:eastAsia="Times New Roman" w:hAnsi="Times New Roman" w:cs="Times New Roman"/>
                <w:sz w:val="20"/>
                <w:szCs w:val="20"/>
                <w:lang w:val="en-US"/>
              </w:rPr>
              <w:t>integrative approach for sustainable UGI.</w:t>
            </w:r>
          </w:p>
        </w:tc>
      </w:tr>
      <w:tr w:rsidR="000501F0" w:rsidRPr="004B16FF" w14:paraId="764B2C9A" w14:textId="77777777" w:rsidTr="00907052">
        <w:trPr>
          <w:tblCellSpacing w:w="15" w:type="dxa"/>
        </w:trPr>
        <w:tc>
          <w:tcPr>
            <w:tcW w:w="0" w:type="auto"/>
            <w:vAlign w:val="center"/>
            <w:hideMark/>
          </w:tcPr>
          <w:p w14:paraId="46A7866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Owusu et al. (2025)</w:t>
            </w:r>
          </w:p>
        </w:tc>
        <w:tc>
          <w:tcPr>
            <w:tcW w:w="0" w:type="auto"/>
            <w:vAlign w:val="center"/>
            <w:hideMark/>
          </w:tcPr>
          <w:p w14:paraId="23DCF857"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willingness to pay for tree cover in Ghana.</w:t>
            </w:r>
          </w:p>
        </w:tc>
        <w:tc>
          <w:tcPr>
            <w:tcW w:w="0" w:type="auto"/>
            <w:vAlign w:val="center"/>
            <w:hideMark/>
          </w:tcPr>
          <w:p w14:paraId="6F2FD4E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Contingent valuation.</w:t>
            </w:r>
          </w:p>
        </w:tc>
        <w:tc>
          <w:tcPr>
            <w:tcW w:w="0" w:type="auto"/>
            <w:vAlign w:val="center"/>
            <w:hideMark/>
          </w:tcPr>
          <w:p w14:paraId="19089890"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Residents supported increased tree cover for cooling.</w:t>
            </w:r>
          </w:p>
        </w:tc>
        <w:tc>
          <w:tcPr>
            <w:tcW w:w="0" w:type="auto"/>
            <w:vAlign w:val="center"/>
            <w:hideMark/>
          </w:tcPr>
          <w:p w14:paraId="79D1879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alignment of biodiversity and public health goals.</w:t>
            </w:r>
          </w:p>
        </w:tc>
      </w:tr>
      <w:tr w:rsidR="000501F0" w:rsidRPr="004B16FF" w14:paraId="535A9C2A" w14:textId="77777777" w:rsidTr="00907052">
        <w:trPr>
          <w:tblCellSpacing w:w="15" w:type="dxa"/>
        </w:trPr>
        <w:tc>
          <w:tcPr>
            <w:tcW w:w="0" w:type="auto"/>
            <w:vAlign w:val="center"/>
            <w:hideMark/>
          </w:tcPr>
          <w:p w14:paraId="3CFB094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lastRenderedPageBreak/>
              <w:t>Gagakuma</w:t>
            </w:r>
            <w:proofErr w:type="spellEnd"/>
            <w:r w:rsidRPr="004B16FF">
              <w:rPr>
                <w:rFonts w:ascii="Times New Roman" w:eastAsia="Times New Roman" w:hAnsi="Times New Roman" w:cs="Times New Roman"/>
                <w:sz w:val="20"/>
                <w:szCs w:val="20"/>
                <w:lang w:val="en-US"/>
              </w:rPr>
              <w:t xml:space="preserve"> et al. (2025)</w:t>
            </w:r>
          </w:p>
        </w:tc>
        <w:tc>
          <w:tcPr>
            <w:tcW w:w="0" w:type="auto"/>
            <w:vAlign w:val="center"/>
            <w:hideMark/>
          </w:tcPr>
          <w:p w14:paraId="059EDF7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categorize UGI functionality in Kumasi.</w:t>
            </w:r>
          </w:p>
        </w:tc>
        <w:tc>
          <w:tcPr>
            <w:tcW w:w="0" w:type="auto"/>
            <w:vAlign w:val="center"/>
            <w:hideMark/>
          </w:tcPr>
          <w:p w14:paraId="3AEF1AA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and categorization.</w:t>
            </w:r>
          </w:p>
        </w:tc>
        <w:tc>
          <w:tcPr>
            <w:tcW w:w="0" w:type="auto"/>
            <w:vAlign w:val="center"/>
            <w:hideMark/>
          </w:tcPr>
          <w:p w14:paraId="01DDD395"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Community-led management improves sustainability.</w:t>
            </w:r>
          </w:p>
        </w:tc>
        <w:tc>
          <w:tcPr>
            <w:tcW w:w="0" w:type="auto"/>
            <w:vAlign w:val="center"/>
            <w:hideMark/>
          </w:tcPr>
          <w:p w14:paraId="360AB1F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Stresses </w:t>
            </w:r>
            <w:r w:rsidR="004D2B06">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role of local knowledge in Ghana.</w:t>
            </w:r>
          </w:p>
        </w:tc>
      </w:tr>
      <w:tr w:rsidR="000501F0" w:rsidRPr="004B16FF" w14:paraId="3D086F3C" w14:textId="77777777" w:rsidTr="00907052">
        <w:trPr>
          <w:tblCellSpacing w:w="15" w:type="dxa"/>
        </w:trPr>
        <w:tc>
          <w:tcPr>
            <w:tcW w:w="0" w:type="auto"/>
            <w:vAlign w:val="center"/>
            <w:hideMark/>
          </w:tcPr>
          <w:p w14:paraId="5625C7A8"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Süle et al. (2025)</w:t>
            </w:r>
          </w:p>
        </w:tc>
        <w:tc>
          <w:tcPr>
            <w:tcW w:w="0" w:type="auto"/>
            <w:vAlign w:val="center"/>
            <w:hideMark/>
          </w:tcPr>
          <w:p w14:paraId="02694E0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synthesize pollinator-friendly interventions.</w:t>
            </w:r>
          </w:p>
        </w:tc>
        <w:tc>
          <w:tcPr>
            <w:tcW w:w="0" w:type="auto"/>
            <w:vAlign w:val="center"/>
            <w:hideMark/>
          </w:tcPr>
          <w:p w14:paraId="1CE41048"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Meta-analysis.</w:t>
            </w:r>
          </w:p>
        </w:tc>
        <w:tc>
          <w:tcPr>
            <w:tcW w:w="0" w:type="auto"/>
            <w:vAlign w:val="center"/>
            <w:hideMark/>
          </w:tcPr>
          <w:p w14:paraId="74515F8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reduced mowing, pesticide-free practices, and mixed planting </w:t>
            </w:r>
            <w:r w:rsidR="004D2B06">
              <w:rPr>
                <w:rFonts w:ascii="Times New Roman" w:eastAsia="Times New Roman" w:hAnsi="Times New Roman" w:cs="Times New Roman"/>
                <w:sz w:val="20"/>
                <w:szCs w:val="20"/>
                <w:lang w:val="en-US"/>
              </w:rPr>
              <w:t xml:space="preserve">to be </w:t>
            </w:r>
            <w:r w:rsidRPr="004B16FF">
              <w:rPr>
                <w:rFonts w:ascii="Times New Roman" w:eastAsia="Times New Roman" w:hAnsi="Times New Roman" w:cs="Times New Roman"/>
                <w:sz w:val="20"/>
                <w:szCs w:val="20"/>
                <w:lang w:val="en-US"/>
              </w:rPr>
              <w:t>effective.</w:t>
            </w:r>
          </w:p>
        </w:tc>
        <w:tc>
          <w:tcPr>
            <w:tcW w:w="0" w:type="auto"/>
            <w:vAlign w:val="center"/>
            <w:hideMark/>
          </w:tcPr>
          <w:p w14:paraId="70CB299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Evidence-based best practices for management.</w:t>
            </w:r>
          </w:p>
        </w:tc>
      </w:tr>
      <w:tr w:rsidR="000501F0" w:rsidRPr="004B16FF" w14:paraId="54EC7349" w14:textId="77777777" w:rsidTr="00CF2BC0">
        <w:trPr>
          <w:tblCellSpacing w:w="15" w:type="dxa"/>
        </w:trPr>
        <w:tc>
          <w:tcPr>
            <w:tcW w:w="0" w:type="auto"/>
            <w:tcBorders>
              <w:bottom w:val="single" w:sz="4" w:space="0" w:color="auto"/>
            </w:tcBorders>
            <w:vAlign w:val="center"/>
            <w:hideMark/>
          </w:tcPr>
          <w:p w14:paraId="07A02CBD"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IEEP (2023)</w:t>
            </w:r>
          </w:p>
        </w:tc>
        <w:tc>
          <w:tcPr>
            <w:tcW w:w="0" w:type="auto"/>
            <w:tcBorders>
              <w:bottom w:val="single" w:sz="4" w:space="0" w:color="auto"/>
            </w:tcBorders>
            <w:vAlign w:val="center"/>
            <w:hideMark/>
          </w:tcPr>
          <w:p w14:paraId="26E0FD4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provide guidelines for urban pollinator monitoring.</w:t>
            </w:r>
          </w:p>
        </w:tc>
        <w:tc>
          <w:tcPr>
            <w:tcW w:w="0" w:type="auto"/>
            <w:tcBorders>
              <w:bottom w:val="single" w:sz="4" w:space="0" w:color="auto"/>
            </w:tcBorders>
            <w:vAlign w:val="center"/>
            <w:hideMark/>
          </w:tcPr>
          <w:p w14:paraId="2060F2C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guidelines.</w:t>
            </w:r>
          </w:p>
        </w:tc>
        <w:tc>
          <w:tcPr>
            <w:tcW w:w="0" w:type="auto"/>
            <w:tcBorders>
              <w:bottom w:val="single" w:sz="4" w:space="0" w:color="auto"/>
            </w:tcBorders>
            <w:vAlign w:val="center"/>
            <w:hideMark/>
          </w:tcPr>
          <w:p w14:paraId="424F2E7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Provided standardized monitoring methods.</w:t>
            </w:r>
          </w:p>
        </w:tc>
        <w:tc>
          <w:tcPr>
            <w:tcW w:w="0" w:type="auto"/>
            <w:tcBorders>
              <w:bottom w:val="single" w:sz="4" w:space="0" w:color="auto"/>
            </w:tcBorders>
            <w:vAlign w:val="center"/>
            <w:hideMark/>
          </w:tcPr>
          <w:p w14:paraId="72B6411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Useful for Ghana-specific monitoring frameworks.</w:t>
            </w:r>
          </w:p>
        </w:tc>
      </w:tr>
    </w:tbl>
    <w:p w14:paraId="0E0FA6A4"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0978A35E" w14:textId="77777777" w:rsidR="000501F0" w:rsidRPr="004B16FF" w:rsidRDefault="000501F0" w:rsidP="000501F0">
      <w:pPr>
        <w:pStyle w:val="NormalWeb"/>
        <w:jc w:val="both"/>
        <w:rPr>
          <w:sz w:val="20"/>
          <w:szCs w:val="20"/>
        </w:rPr>
      </w:pPr>
      <w:r w:rsidRPr="000501F0">
        <w:rPr>
          <w:sz w:val="20"/>
          <w:szCs w:val="20"/>
        </w:rPr>
        <w:t xml:space="preserve">Management practices are a decisive factor in the ecological value of urban green infrastructure. Studies such as </w:t>
      </w:r>
      <w:proofErr w:type="spellStart"/>
      <w:r w:rsidRPr="000501F0">
        <w:rPr>
          <w:sz w:val="20"/>
          <w:szCs w:val="20"/>
        </w:rPr>
        <w:t>Fortel</w:t>
      </w:r>
      <w:proofErr w:type="spellEnd"/>
      <w:r w:rsidRPr="000501F0">
        <w:rPr>
          <w:sz w:val="20"/>
          <w:szCs w:val="20"/>
        </w:rPr>
        <w:t xml:space="preserve"> et al. (2014) show that intensive mowing and chemical use reduce habitat heterogeneity, while Poole et al. (2024) and Süle et al. (2025) confirm that adaptive management practices like creating wildflower meadows and pesticide-free regimes substantially increase pollinator abundance. Comparison reveals a striking gap between European and Ghanaian contexts. In Europe, adaptive management is already institutionalized in urban parks (Poole et al., 2024), while in Ghana, Owusu et al. (2025) and </w:t>
      </w:r>
      <w:proofErr w:type="spellStart"/>
      <w:r w:rsidRPr="000501F0">
        <w:rPr>
          <w:sz w:val="20"/>
          <w:szCs w:val="20"/>
        </w:rPr>
        <w:t>Gagakuma</w:t>
      </w:r>
      <w:proofErr w:type="spellEnd"/>
      <w:r w:rsidRPr="000501F0">
        <w:rPr>
          <w:sz w:val="20"/>
          <w:szCs w:val="20"/>
        </w:rPr>
        <w:t xml:space="preserve"> et al. (2025) show that management of green spaces often prioritizes aesthetics (e.g., trimmed lawns, ornamental species) over biodiversity. Yet, surveys indicate that residents are willing to support biodiversity-friendly practices, such as increased tree cover for cooling. The contrast here highlights a governance challenge: while the science of biodiversity-friendly management is well-established globally, institutional and cultural practices in Ghana lag. However, evidence from community-led initiatives (</w:t>
      </w:r>
      <w:proofErr w:type="spellStart"/>
      <w:r w:rsidRPr="000501F0">
        <w:rPr>
          <w:sz w:val="20"/>
          <w:szCs w:val="20"/>
        </w:rPr>
        <w:t>Gagakuma</w:t>
      </w:r>
      <w:proofErr w:type="spellEnd"/>
      <w:r w:rsidRPr="000501F0">
        <w:rPr>
          <w:sz w:val="20"/>
          <w:szCs w:val="20"/>
        </w:rPr>
        <w:t xml:space="preserve"> et al., 2025) suggests that grassroots approaches may bridge this gap, integrating ecological knowledge with local practices.</w:t>
      </w:r>
    </w:p>
    <w:p w14:paraId="7420130E" w14:textId="77777777" w:rsidR="000501F0" w:rsidRPr="004B16FF" w:rsidRDefault="000501F0" w:rsidP="000501F0">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val="en-US"/>
        </w:rPr>
      </w:pPr>
      <w:r w:rsidRPr="000501F0">
        <w:rPr>
          <w:rFonts w:ascii="Times New Roman" w:eastAsia="Times New Roman" w:hAnsi="Times New Roman" w:cs="Times New Roman"/>
          <w:b/>
          <w:bCs/>
          <w:kern w:val="36"/>
          <w:sz w:val="20"/>
          <w:szCs w:val="20"/>
          <w:lang w:val="en-US"/>
        </w:rPr>
        <w:t>4.2 The Role of Urban Green Infrastructure in Community Well-being</w:t>
      </w:r>
    </w:p>
    <w:p w14:paraId="0D87EBF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0501F0">
        <w:rPr>
          <w:rFonts w:ascii="Times New Roman" w:hAnsi="Times New Roman" w:cs="Times New Roman"/>
          <w:sz w:val="20"/>
          <w:szCs w:val="20"/>
        </w:rPr>
        <w:t>Beyond supporting biodiversity, urban green infrastructure provides wide-ranging benefits for human well-being. Research shows that access to green spaces improves physical health, mental health, social cohesion, cultural identity, and resilience against climate change (Jabbar et al., 2021; Herath &amp; Bai, 2024). In Ghana, where cities face challenges such as overcrowding, poor housing, heat stress, and limited recreational facilities, green infrastructure is a vital tool for improving quality of life. Local studies emphasize its role in reducing heat exposure (Owusu et al., 2025), supporting mental health (</w:t>
      </w:r>
      <w:proofErr w:type="spellStart"/>
      <w:r w:rsidRPr="000501F0">
        <w:rPr>
          <w:rFonts w:ascii="Times New Roman" w:hAnsi="Times New Roman" w:cs="Times New Roman"/>
          <w:sz w:val="20"/>
          <w:szCs w:val="20"/>
        </w:rPr>
        <w:t>Amegah</w:t>
      </w:r>
      <w:proofErr w:type="spellEnd"/>
      <w:r w:rsidRPr="000501F0">
        <w:rPr>
          <w:rFonts w:ascii="Times New Roman" w:hAnsi="Times New Roman" w:cs="Times New Roman"/>
          <w:sz w:val="20"/>
          <w:szCs w:val="20"/>
        </w:rPr>
        <w:t xml:space="preserve"> et al., 2023), fostering community cohesion (</w:t>
      </w:r>
      <w:proofErr w:type="spellStart"/>
      <w:r w:rsidRPr="000501F0">
        <w:rPr>
          <w:rFonts w:ascii="Times New Roman" w:hAnsi="Times New Roman" w:cs="Times New Roman"/>
          <w:sz w:val="20"/>
          <w:szCs w:val="20"/>
        </w:rPr>
        <w:t>Gagakuma</w:t>
      </w:r>
      <w:proofErr w:type="spellEnd"/>
      <w:r w:rsidRPr="000501F0">
        <w:rPr>
          <w:rFonts w:ascii="Times New Roman" w:hAnsi="Times New Roman" w:cs="Times New Roman"/>
          <w:sz w:val="20"/>
          <w:szCs w:val="20"/>
        </w:rPr>
        <w:t xml:space="preserve"> et al., 2025), and maintaining cultural landscapes (Amoako &amp; Frimpo</w:t>
      </w:r>
      <w:r w:rsidR="007D7900">
        <w:rPr>
          <w:rFonts w:ascii="Times New Roman" w:hAnsi="Times New Roman" w:cs="Times New Roman"/>
          <w:sz w:val="20"/>
          <w:szCs w:val="20"/>
        </w:rPr>
        <w:t>ng Boamah, 2017). Tables 5, 6, 7, 8, and 9 point</w:t>
      </w:r>
      <w:r w:rsidRPr="000501F0">
        <w:rPr>
          <w:rFonts w:ascii="Times New Roman" w:hAnsi="Times New Roman" w:cs="Times New Roman"/>
          <w:sz w:val="20"/>
          <w:szCs w:val="20"/>
        </w:rPr>
        <w:t xml:space="preserve"> to five critical sub-themes: </w:t>
      </w:r>
      <w:r w:rsidRPr="000501F0">
        <w:rPr>
          <w:rStyle w:val="Strong"/>
          <w:rFonts w:ascii="Times New Roman" w:hAnsi="Times New Roman" w:cs="Times New Roman"/>
          <w:b w:val="0"/>
          <w:sz w:val="20"/>
          <w:szCs w:val="20"/>
        </w:rPr>
        <w:t>physical health and active living, mental health and psychological restoration, social cohesion and community interaction, cultural and aesthetic value, and climate resilience and environmental justice</w:t>
      </w:r>
      <w:r w:rsidRPr="000501F0">
        <w:rPr>
          <w:rStyle w:val="Strong"/>
          <w:rFonts w:ascii="Times New Roman" w:hAnsi="Times New Roman" w:cs="Times New Roman"/>
          <w:sz w:val="20"/>
          <w:szCs w:val="20"/>
        </w:rPr>
        <w:t>.</w:t>
      </w:r>
    </w:p>
    <w:p w14:paraId="3274EB9A"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5: Physical Health and Active Living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4"/>
        <w:gridCol w:w="1767"/>
        <w:gridCol w:w="1498"/>
        <w:gridCol w:w="2255"/>
        <w:gridCol w:w="1866"/>
      </w:tblGrid>
      <w:tr w:rsidR="000501F0" w:rsidRPr="004B16FF" w14:paraId="7799DB2F" w14:textId="77777777" w:rsidTr="00CF2BC0">
        <w:trPr>
          <w:tblHeader/>
          <w:tblCellSpacing w:w="15" w:type="dxa"/>
        </w:trPr>
        <w:tc>
          <w:tcPr>
            <w:tcW w:w="0" w:type="auto"/>
            <w:tcBorders>
              <w:top w:val="single" w:sz="4" w:space="0" w:color="auto"/>
              <w:bottom w:val="single" w:sz="4" w:space="0" w:color="auto"/>
            </w:tcBorders>
            <w:vAlign w:val="center"/>
            <w:hideMark/>
          </w:tcPr>
          <w:p w14:paraId="4A7F509B"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11442619"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7E76541C"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1C85BDDF"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51D1C5B0"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0D5DBEE1" w14:textId="77777777" w:rsidTr="00907052">
        <w:trPr>
          <w:tblCellSpacing w:w="15" w:type="dxa"/>
        </w:trPr>
        <w:tc>
          <w:tcPr>
            <w:tcW w:w="0" w:type="auto"/>
            <w:vAlign w:val="center"/>
            <w:hideMark/>
          </w:tcPr>
          <w:p w14:paraId="647A89A4"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Twohig-Bennett &amp; Jones (2018)</w:t>
            </w:r>
          </w:p>
        </w:tc>
        <w:tc>
          <w:tcPr>
            <w:tcW w:w="0" w:type="auto"/>
            <w:vAlign w:val="center"/>
            <w:hideMark/>
          </w:tcPr>
          <w:p w14:paraId="4BFF4440" w14:textId="77777777" w:rsidR="000501F0" w:rsidRPr="004B16FF" w:rsidRDefault="000501F0" w:rsidP="00F81257">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evaluate </w:t>
            </w:r>
            <w:r w:rsidR="00F81257">
              <w:rPr>
                <w:rFonts w:ascii="Times New Roman" w:eastAsia="Times New Roman" w:hAnsi="Times New Roman" w:cs="Times New Roman"/>
                <w:sz w:val="20"/>
                <w:szCs w:val="20"/>
                <w:lang w:val="en-US"/>
              </w:rPr>
              <w:t>green space</w:t>
            </w:r>
            <w:r w:rsidRPr="004B16FF">
              <w:rPr>
                <w:rFonts w:ascii="Times New Roman" w:eastAsia="Times New Roman" w:hAnsi="Times New Roman" w:cs="Times New Roman"/>
                <w:sz w:val="20"/>
                <w:szCs w:val="20"/>
                <w:lang w:val="en-US"/>
              </w:rPr>
              <w:t xml:space="preserve"> exposure and health outcomes.</w:t>
            </w:r>
          </w:p>
        </w:tc>
        <w:tc>
          <w:tcPr>
            <w:tcW w:w="0" w:type="auto"/>
            <w:vAlign w:val="center"/>
            <w:hideMark/>
          </w:tcPr>
          <w:p w14:paraId="1AEA25C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Systematic review/meta-analysis.</w:t>
            </w:r>
          </w:p>
        </w:tc>
        <w:tc>
          <w:tcPr>
            <w:tcW w:w="0" w:type="auto"/>
            <w:vAlign w:val="center"/>
            <w:hideMark/>
          </w:tcPr>
          <w:p w14:paraId="23B793D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greenspace reduces obesity, hypertension, </w:t>
            </w:r>
            <w:r w:rsidR="00F81257">
              <w:rPr>
                <w:rFonts w:ascii="Times New Roman" w:eastAsia="Times New Roman" w:hAnsi="Times New Roman" w:cs="Times New Roman"/>
                <w:sz w:val="20"/>
                <w:szCs w:val="20"/>
                <w:lang w:val="en-US"/>
              </w:rPr>
              <w:t xml:space="preserve">and </w:t>
            </w:r>
            <w:r w:rsidRPr="004B16FF">
              <w:rPr>
                <w:rFonts w:ascii="Times New Roman" w:eastAsia="Times New Roman" w:hAnsi="Times New Roman" w:cs="Times New Roman"/>
                <w:sz w:val="20"/>
                <w:szCs w:val="20"/>
                <w:lang w:val="en-US"/>
              </w:rPr>
              <w:t>cardiovascular diseases.</w:t>
            </w:r>
          </w:p>
        </w:tc>
        <w:tc>
          <w:tcPr>
            <w:tcW w:w="0" w:type="auto"/>
            <w:vAlign w:val="center"/>
            <w:hideMark/>
          </w:tcPr>
          <w:p w14:paraId="54B05FF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Global evidence linking UGI and health.</w:t>
            </w:r>
          </w:p>
        </w:tc>
      </w:tr>
      <w:tr w:rsidR="000501F0" w:rsidRPr="004B16FF" w14:paraId="2372290F" w14:textId="77777777" w:rsidTr="00907052">
        <w:trPr>
          <w:tblCellSpacing w:w="15" w:type="dxa"/>
        </w:trPr>
        <w:tc>
          <w:tcPr>
            <w:tcW w:w="0" w:type="auto"/>
            <w:vAlign w:val="center"/>
            <w:hideMark/>
          </w:tcPr>
          <w:p w14:paraId="607069CB"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Kabisch et al. (2017)</w:t>
            </w:r>
          </w:p>
        </w:tc>
        <w:tc>
          <w:tcPr>
            <w:tcW w:w="0" w:type="auto"/>
            <w:vAlign w:val="center"/>
            <w:hideMark/>
          </w:tcPr>
          <w:p w14:paraId="5397897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human–environment interactions in UGI.</w:t>
            </w:r>
          </w:p>
        </w:tc>
        <w:tc>
          <w:tcPr>
            <w:tcW w:w="0" w:type="auto"/>
            <w:vAlign w:val="center"/>
            <w:hideMark/>
          </w:tcPr>
          <w:p w14:paraId="778118E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Systematic review.</w:t>
            </w:r>
          </w:p>
        </w:tc>
        <w:tc>
          <w:tcPr>
            <w:tcW w:w="0" w:type="auto"/>
            <w:vAlign w:val="center"/>
            <w:hideMark/>
          </w:tcPr>
          <w:p w14:paraId="2EA4659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vegetation improves air quality, reducing respiratory illness.</w:t>
            </w:r>
          </w:p>
        </w:tc>
        <w:tc>
          <w:tcPr>
            <w:tcW w:w="0" w:type="auto"/>
            <w:vAlign w:val="center"/>
            <w:hideMark/>
          </w:tcPr>
          <w:p w14:paraId="73DA942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Supports UGI in reducing air pollution.</w:t>
            </w:r>
          </w:p>
        </w:tc>
      </w:tr>
      <w:tr w:rsidR="000501F0" w:rsidRPr="004B16FF" w14:paraId="4B45F04B" w14:textId="77777777" w:rsidTr="00907052">
        <w:trPr>
          <w:tblCellSpacing w:w="15" w:type="dxa"/>
        </w:trPr>
        <w:tc>
          <w:tcPr>
            <w:tcW w:w="0" w:type="auto"/>
            <w:vAlign w:val="center"/>
            <w:hideMark/>
          </w:tcPr>
          <w:p w14:paraId="6D9DE13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Owusu et al. (2025)</w:t>
            </w:r>
          </w:p>
        </w:tc>
        <w:tc>
          <w:tcPr>
            <w:tcW w:w="0" w:type="auto"/>
            <w:vAlign w:val="center"/>
            <w:hideMark/>
          </w:tcPr>
          <w:p w14:paraId="5CD5E0B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willingness to pay for heat island mitigation.</w:t>
            </w:r>
          </w:p>
        </w:tc>
        <w:tc>
          <w:tcPr>
            <w:tcW w:w="0" w:type="auto"/>
            <w:vAlign w:val="center"/>
            <w:hideMark/>
          </w:tcPr>
          <w:p w14:paraId="141B598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Contingent valuation in Ghana.</w:t>
            </w:r>
          </w:p>
        </w:tc>
        <w:tc>
          <w:tcPr>
            <w:tcW w:w="0" w:type="auto"/>
            <w:vAlign w:val="center"/>
            <w:hideMark/>
          </w:tcPr>
          <w:p w14:paraId="7847341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Residents support tree cover for cooling and health.</w:t>
            </w:r>
          </w:p>
        </w:tc>
        <w:tc>
          <w:tcPr>
            <w:tcW w:w="0" w:type="auto"/>
            <w:vAlign w:val="center"/>
            <w:hideMark/>
          </w:tcPr>
          <w:p w14:paraId="5EA717B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evidence of public demand for greenery.</w:t>
            </w:r>
          </w:p>
        </w:tc>
      </w:tr>
      <w:tr w:rsidR="000501F0" w:rsidRPr="004B16FF" w14:paraId="7FBB8C0C" w14:textId="77777777" w:rsidTr="00907052">
        <w:trPr>
          <w:tblCellSpacing w:w="15" w:type="dxa"/>
        </w:trPr>
        <w:tc>
          <w:tcPr>
            <w:tcW w:w="0" w:type="auto"/>
            <w:vAlign w:val="center"/>
            <w:hideMark/>
          </w:tcPr>
          <w:p w14:paraId="5520502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MyDailyNewsOnline</w:t>
            </w:r>
            <w:proofErr w:type="spellEnd"/>
            <w:r w:rsidRPr="004B16FF">
              <w:rPr>
                <w:rFonts w:ascii="Times New Roman" w:eastAsia="Times New Roman" w:hAnsi="Times New Roman" w:cs="Times New Roman"/>
                <w:sz w:val="20"/>
                <w:szCs w:val="20"/>
                <w:lang w:val="en-US"/>
              </w:rPr>
              <w:t xml:space="preserve"> (2025)</w:t>
            </w:r>
          </w:p>
        </w:tc>
        <w:tc>
          <w:tcPr>
            <w:tcW w:w="0" w:type="auto"/>
            <w:vAlign w:val="center"/>
            <w:hideMark/>
          </w:tcPr>
          <w:p w14:paraId="53AFB90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report </w:t>
            </w:r>
            <w:r w:rsidR="00F81257">
              <w:rPr>
                <w:rFonts w:ascii="Times New Roman" w:eastAsia="Times New Roman" w:hAnsi="Times New Roman" w:cs="Times New Roman"/>
                <w:sz w:val="20"/>
                <w:szCs w:val="20"/>
                <w:lang w:val="en-US"/>
              </w:rPr>
              <w:t xml:space="preserve">on </w:t>
            </w:r>
            <w:r w:rsidRPr="004B16FF">
              <w:rPr>
                <w:rFonts w:ascii="Times New Roman" w:eastAsia="Times New Roman" w:hAnsi="Times New Roman" w:cs="Times New Roman"/>
                <w:sz w:val="20"/>
                <w:szCs w:val="20"/>
                <w:lang w:val="en-US"/>
              </w:rPr>
              <w:t>youth-led climate initiatives in Accra.</w:t>
            </w:r>
          </w:p>
        </w:tc>
        <w:tc>
          <w:tcPr>
            <w:tcW w:w="0" w:type="auto"/>
            <w:vAlign w:val="center"/>
            <w:hideMark/>
          </w:tcPr>
          <w:p w14:paraId="1759A7E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Case report.</w:t>
            </w:r>
          </w:p>
        </w:tc>
        <w:tc>
          <w:tcPr>
            <w:tcW w:w="0" w:type="auto"/>
            <w:vAlign w:val="center"/>
            <w:hideMark/>
          </w:tcPr>
          <w:p w14:paraId="658BB79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urban greenery reduced heat exposure.</w:t>
            </w:r>
          </w:p>
        </w:tc>
        <w:tc>
          <w:tcPr>
            <w:tcW w:w="0" w:type="auto"/>
            <w:vAlign w:val="center"/>
            <w:hideMark/>
          </w:tcPr>
          <w:p w14:paraId="3C0DFD4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Demonstrates grassroots role in health resilience.</w:t>
            </w:r>
          </w:p>
        </w:tc>
      </w:tr>
      <w:tr w:rsidR="000501F0" w:rsidRPr="004B16FF" w14:paraId="5141B9A8" w14:textId="77777777" w:rsidTr="00907052">
        <w:trPr>
          <w:tblCellSpacing w:w="15" w:type="dxa"/>
        </w:trPr>
        <w:tc>
          <w:tcPr>
            <w:tcW w:w="0" w:type="auto"/>
            <w:vAlign w:val="center"/>
            <w:hideMark/>
          </w:tcPr>
          <w:p w14:paraId="58F8AC1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lastRenderedPageBreak/>
              <w:t>GhanaWeb</w:t>
            </w:r>
            <w:proofErr w:type="spellEnd"/>
            <w:r w:rsidRPr="004B16FF">
              <w:rPr>
                <w:rFonts w:ascii="Times New Roman" w:eastAsia="Times New Roman" w:hAnsi="Times New Roman" w:cs="Times New Roman"/>
                <w:sz w:val="20"/>
                <w:szCs w:val="20"/>
                <w:lang w:val="en-US"/>
              </w:rPr>
              <w:t xml:space="preserve"> (2025)</w:t>
            </w:r>
          </w:p>
        </w:tc>
        <w:tc>
          <w:tcPr>
            <w:tcW w:w="0" w:type="auto"/>
            <w:vAlign w:val="center"/>
            <w:hideMark/>
          </w:tcPr>
          <w:p w14:paraId="56EE880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document mayor-led partnerships for cooling.</w:t>
            </w:r>
          </w:p>
        </w:tc>
        <w:tc>
          <w:tcPr>
            <w:tcW w:w="0" w:type="auto"/>
            <w:vAlign w:val="center"/>
            <w:hideMark/>
          </w:tcPr>
          <w:p w14:paraId="17E6668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Media report.</w:t>
            </w:r>
          </w:p>
        </w:tc>
        <w:tc>
          <w:tcPr>
            <w:tcW w:w="0" w:type="auto"/>
            <w:vAlign w:val="center"/>
            <w:hideMark/>
          </w:tcPr>
          <w:p w14:paraId="7CF893B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Partnerships used greenery to prevent heat illness.</w:t>
            </w:r>
          </w:p>
        </w:tc>
        <w:tc>
          <w:tcPr>
            <w:tcW w:w="0" w:type="auto"/>
            <w:vAlign w:val="center"/>
            <w:hideMark/>
          </w:tcPr>
          <w:p w14:paraId="6748070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policy-level support for preventive health.</w:t>
            </w:r>
          </w:p>
        </w:tc>
      </w:tr>
      <w:tr w:rsidR="000501F0" w:rsidRPr="004B16FF" w14:paraId="34994017" w14:textId="77777777" w:rsidTr="00CF2BC0">
        <w:trPr>
          <w:tblCellSpacing w:w="15" w:type="dxa"/>
        </w:trPr>
        <w:tc>
          <w:tcPr>
            <w:tcW w:w="0" w:type="auto"/>
            <w:tcBorders>
              <w:bottom w:val="single" w:sz="4" w:space="0" w:color="auto"/>
            </w:tcBorders>
            <w:vAlign w:val="center"/>
            <w:hideMark/>
          </w:tcPr>
          <w:p w14:paraId="617C4B61"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World Economic Forum (2025)</w:t>
            </w:r>
          </w:p>
        </w:tc>
        <w:tc>
          <w:tcPr>
            <w:tcW w:w="0" w:type="auto"/>
            <w:tcBorders>
              <w:bottom w:val="single" w:sz="4" w:space="0" w:color="auto"/>
            </w:tcBorders>
            <w:vAlign w:val="center"/>
            <w:hideMark/>
          </w:tcPr>
          <w:p w14:paraId="7864B0E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highlight UGI in promoting active lifestyles.</w:t>
            </w:r>
          </w:p>
        </w:tc>
        <w:tc>
          <w:tcPr>
            <w:tcW w:w="0" w:type="auto"/>
            <w:tcBorders>
              <w:bottom w:val="single" w:sz="4" w:space="0" w:color="auto"/>
            </w:tcBorders>
            <w:vAlign w:val="center"/>
            <w:hideMark/>
          </w:tcPr>
          <w:p w14:paraId="49E3D15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synthesis.</w:t>
            </w:r>
          </w:p>
        </w:tc>
        <w:tc>
          <w:tcPr>
            <w:tcW w:w="0" w:type="auto"/>
            <w:tcBorders>
              <w:bottom w:val="single" w:sz="4" w:space="0" w:color="auto"/>
            </w:tcBorders>
            <w:vAlign w:val="center"/>
            <w:hideMark/>
          </w:tcPr>
          <w:p w14:paraId="43E278E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Parks and green streets promote walking, cycling, </w:t>
            </w:r>
            <w:r w:rsidR="00F81257">
              <w:rPr>
                <w:rFonts w:ascii="Times New Roman" w:eastAsia="Times New Roman" w:hAnsi="Times New Roman" w:cs="Times New Roman"/>
                <w:sz w:val="20"/>
                <w:szCs w:val="20"/>
                <w:lang w:val="en-US"/>
              </w:rPr>
              <w:t xml:space="preserve">and </w:t>
            </w:r>
            <w:r w:rsidRPr="004B16FF">
              <w:rPr>
                <w:rFonts w:ascii="Times New Roman" w:eastAsia="Times New Roman" w:hAnsi="Times New Roman" w:cs="Times New Roman"/>
                <w:sz w:val="20"/>
                <w:szCs w:val="20"/>
                <w:lang w:val="en-US"/>
              </w:rPr>
              <w:t>exercise.</w:t>
            </w:r>
          </w:p>
        </w:tc>
        <w:tc>
          <w:tcPr>
            <w:tcW w:w="0" w:type="auto"/>
            <w:tcBorders>
              <w:bottom w:val="single" w:sz="4" w:space="0" w:color="auto"/>
            </w:tcBorders>
            <w:vAlign w:val="center"/>
            <w:hideMark/>
          </w:tcPr>
          <w:p w14:paraId="62460E2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UGI’s role in active living.</w:t>
            </w:r>
          </w:p>
        </w:tc>
      </w:tr>
    </w:tbl>
    <w:p w14:paraId="763C70FE"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07C7BAC9" w14:textId="77777777" w:rsidR="000501F0" w:rsidRPr="004B16FF" w:rsidRDefault="00645AD9" w:rsidP="000501F0">
      <w:pPr>
        <w:pStyle w:val="NormalWeb"/>
        <w:jc w:val="both"/>
        <w:rPr>
          <w:sz w:val="20"/>
          <w:szCs w:val="20"/>
        </w:rPr>
      </w:pPr>
      <w:r w:rsidRPr="00645AD9">
        <w:rPr>
          <w:sz w:val="20"/>
          <w:szCs w:val="20"/>
        </w:rPr>
        <w:t>Urban green infrastructure has come to be recognized comprehensively as playing a vital role in fostering physical health through the fostering of active living. Systematic reviews and meta-analyses uniformly indicate that exposure to green space decreases the risk of non-communicable diseases, such as obesity, hypertension, and cardiovascular diseases, and enhances the quality of air and reduces respiratory disease rates (Kabisch et al., 2017; Twohig-Bennett &amp; Jones, 2018). Similar results are reflected in policy-oriented research, revealing that combining parks, green-lined roads, and recreational areas into urban design promotes walking, cycling, and other physical activities (World Economic Forum, 2025). The evidence</w:t>
      </w:r>
      <w:r w:rsidR="00F81257">
        <w:rPr>
          <w:sz w:val="20"/>
          <w:szCs w:val="20"/>
        </w:rPr>
        <w:t>,</w:t>
      </w:r>
      <w:r w:rsidRPr="00645AD9">
        <w:rPr>
          <w:sz w:val="20"/>
          <w:szCs w:val="20"/>
        </w:rPr>
        <w:t xml:space="preserve"> therefore</w:t>
      </w:r>
      <w:r w:rsidR="00F81257">
        <w:rPr>
          <w:sz w:val="20"/>
          <w:szCs w:val="20"/>
        </w:rPr>
        <w:t>,</w:t>
      </w:r>
      <w:r w:rsidRPr="00645AD9">
        <w:rPr>
          <w:sz w:val="20"/>
          <w:szCs w:val="20"/>
        </w:rPr>
        <w:t xml:space="preserve"> confirms that the physical availability and access to green space are positively correlated with healthier urban lives. Cross-context comparisons highlight variations in the ways that these health gains are realized. In cities of Europe and Northern America, wherein formal urban green space is more prevalent, physical health benefits tend to be correlated with organized recreational activities. Conversely, in Ghanaian cities like Accra and Kumasi, the health significance of green space is conceptualized more in terms of environmental services like </w:t>
      </w:r>
      <w:r w:rsidR="00F81257">
        <w:rPr>
          <w:sz w:val="20"/>
          <w:szCs w:val="20"/>
        </w:rPr>
        <w:t xml:space="preserve">the </w:t>
      </w:r>
      <w:r w:rsidRPr="00645AD9">
        <w:rPr>
          <w:sz w:val="20"/>
          <w:szCs w:val="20"/>
        </w:rPr>
        <w:t>provision of cooling and shade to diminish exposure to urban heat stress. Research demonstrates that inhabitants are willing to advocate for tree cover extension as a strategy for compensating heat exposure and connected health risks (Owusu et al., 2025), and civic actions organized by youth and local leaders reflect how greenery is enthusiastically harnessed to counteract heat extremes and connected health menaces (</w:t>
      </w:r>
      <w:proofErr w:type="spellStart"/>
      <w:r w:rsidRPr="00645AD9">
        <w:rPr>
          <w:sz w:val="20"/>
          <w:szCs w:val="20"/>
        </w:rPr>
        <w:t>MyDailyNewsOnline</w:t>
      </w:r>
      <w:proofErr w:type="spellEnd"/>
      <w:r w:rsidRPr="00645AD9">
        <w:rPr>
          <w:sz w:val="20"/>
          <w:szCs w:val="20"/>
        </w:rPr>
        <w:t xml:space="preserve">, 2025; </w:t>
      </w:r>
      <w:proofErr w:type="spellStart"/>
      <w:r w:rsidRPr="00645AD9">
        <w:rPr>
          <w:sz w:val="20"/>
          <w:szCs w:val="20"/>
        </w:rPr>
        <w:t>GhanaWeb</w:t>
      </w:r>
      <w:proofErr w:type="spellEnd"/>
      <w:r w:rsidRPr="00645AD9">
        <w:rPr>
          <w:sz w:val="20"/>
          <w:szCs w:val="20"/>
        </w:rPr>
        <w:t>, 2025). The difference is emphatic in pointing to the chief argument: even as green infrastructure's health gains are generic</w:t>
      </w:r>
      <w:r w:rsidR="00CF2BC0">
        <w:rPr>
          <w:sz w:val="20"/>
          <w:szCs w:val="20"/>
        </w:rPr>
        <w:t>,</w:t>
      </w:r>
      <w:r w:rsidRPr="00645AD9">
        <w:rPr>
          <w:sz w:val="20"/>
          <w:szCs w:val="20"/>
        </w:rPr>
        <w:t xml:space="preserve"> their chief operations vary by region. Recreation and physical fitness </w:t>
      </w:r>
      <w:r w:rsidR="00F81257">
        <w:rPr>
          <w:sz w:val="20"/>
          <w:szCs w:val="20"/>
        </w:rPr>
        <w:t>are</w:t>
      </w:r>
      <w:r w:rsidRPr="00645AD9">
        <w:rPr>
          <w:sz w:val="20"/>
          <w:szCs w:val="20"/>
        </w:rPr>
        <w:t xml:space="preserve"> the emphasis for green space in the Global North, and environmental services to reduce urban heat exposure are provided by green space in Sub-Saharan Africa. </w:t>
      </w:r>
      <w:r w:rsidR="00F81257">
        <w:rPr>
          <w:sz w:val="20"/>
          <w:szCs w:val="20"/>
        </w:rPr>
        <w:t>Ghana's</w:t>
      </w:r>
      <w:r w:rsidRPr="00645AD9">
        <w:rPr>
          <w:sz w:val="20"/>
          <w:szCs w:val="20"/>
        </w:rPr>
        <w:t xml:space="preserve"> policy needs to ensure equitable tree canopy coverage for poor communities to take </w:t>
      </w:r>
      <w:r>
        <w:rPr>
          <w:sz w:val="20"/>
          <w:szCs w:val="20"/>
        </w:rPr>
        <w:t xml:space="preserve">into </w:t>
      </w:r>
      <w:r w:rsidRPr="00645AD9">
        <w:rPr>
          <w:sz w:val="20"/>
          <w:szCs w:val="20"/>
        </w:rPr>
        <w:t>account the heal</w:t>
      </w:r>
      <w:r>
        <w:rPr>
          <w:sz w:val="20"/>
          <w:szCs w:val="20"/>
        </w:rPr>
        <w:t>th and climate adaptation value</w:t>
      </w:r>
      <w:r w:rsidR="000501F0" w:rsidRPr="000501F0">
        <w:rPr>
          <w:sz w:val="20"/>
          <w:szCs w:val="20"/>
        </w:rPr>
        <w:t>.</w:t>
      </w:r>
    </w:p>
    <w:p w14:paraId="145563E6"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6: Mental Health and Psychological Restoration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934"/>
        <w:gridCol w:w="2394"/>
        <w:gridCol w:w="1952"/>
        <w:gridCol w:w="1638"/>
      </w:tblGrid>
      <w:tr w:rsidR="000501F0" w:rsidRPr="004B16FF" w14:paraId="1B26076A" w14:textId="77777777" w:rsidTr="00CF2BC0">
        <w:trPr>
          <w:tblHeader/>
          <w:tblCellSpacing w:w="15" w:type="dxa"/>
        </w:trPr>
        <w:tc>
          <w:tcPr>
            <w:tcW w:w="0" w:type="auto"/>
            <w:tcBorders>
              <w:top w:val="single" w:sz="4" w:space="0" w:color="auto"/>
              <w:bottom w:val="single" w:sz="4" w:space="0" w:color="auto"/>
            </w:tcBorders>
            <w:vAlign w:val="center"/>
            <w:hideMark/>
          </w:tcPr>
          <w:p w14:paraId="2AE62ED8"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5B9FE87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20A5E876"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17D3B86F"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30572B54"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46B3E7C2" w14:textId="77777777" w:rsidTr="00907052">
        <w:trPr>
          <w:tblCellSpacing w:w="15" w:type="dxa"/>
        </w:trPr>
        <w:tc>
          <w:tcPr>
            <w:tcW w:w="0" w:type="auto"/>
            <w:vAlign w:val="center"/>
            <w:hideMark/>
          </w:tcPr>
          <w:p w14:paraId="1CF73571"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Markevych</w:t>
            </w:r>
            <w:proofErr w:type="spellEnd"/>
            <w:r w:rsidRPr="004B16FF">
              <w:rPr>
                <w:rFonts w:ascii="Times New Roman" w:eastAsia="Times New Roman" w:hAnsi="Times New Roman" w:cs="Times New Roman"/>
                <w:sz w:val="20"/>
                <w:szCs w:val="20"/>
                <w:lang w:val="en-US"/>
              </w:rPr>
              <w:t xml:space="preserve"> et al. (2017)</w:t>
            </w:r>
          </w:p>
        </w:tc>
        <w:tc>
          <w:tcPr>
            <w:tcW w:w="0" w:type="auto"/>
            <w:vAlign w:val="center"/>
            <w:hideMark/>
          </w:tcPr>
          <w:p w14:paraId="52C9F1E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explore pathways linking </w:t>
            </w:r>
            <w:r w:rsidR="00CF2BC0">
              <w:rPr>
                <w:rFonts w:ascii="Times New Roman" w:eastAsia="Times New Roman" w:hAnsi="Times New Roman" w:cs="Times New Roman"/>
                <w:sz w:val="20"/>
                <w:szCs w:val="20"/>
                <w:lang w:val="en-US"/>
              </w:rPr>
              <w:t>green spaces</w:t>
            </w:r>
            <w:r w:rsidRPr="004B16FF">
              <w:rPr>
                <w:rFonts w:ascii="Times New Roman" w:eastAsia="Times New Roman" w:hAnsi="Times New Roman" w:cs="Times New Roman"/>
                <w:sz w:val="20"/>
                <w:szCs w:val="20"/>
                <w:lang w:val="en-US"/>
              </w:rPr>
              <w:t xml:space="preserve"> and health.</w:t>
            </w:r>
          </w:p>
        </w:tc>
        <w:tc>
          <w:tcPr>
            <w:tcW w:w="0" w:type="auto"/>
            <w:vAlign w:val="center"/>
            <w:hideMark/>
          </w:tcPr>
          <w:p w14:paraId="28526AE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Theoretical/methodological review.</w:t>
            </w:r>
          </w:p>
        </w:tc>
        <w:tc>
          <w:tcPr>
            <w:tcW w:w="0" w:type="auto"/>
            <w:vAlign w:val="center"/>
            <w:hideMark/>
          </w:tcPr>
          <w:p w14:paraId="7CDB47E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Proposed Attention Restoration and Stress Recovery theories.</w:t>
            </w:r>
          </w:p>
        </w:tc>
        <w:tc>
          <w:tcPr>
            <w:tcW w:w="0" w:type="auto"/>
            <w:vAlign w:val="center"/>
            <w:hideMark/>
          </w:tcPr>
          <w:p w14:paraId="03614C2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conceptual foundation.</w:t>
            </w:r>
          </w:p>
        </w:tc>
      </w:tr>
      <w:tr w:rsidR="000501F0" w:rsidRPr="004B16FF" w14:paraId="7761D396" w14:textId="77777777" w:rsidTr="00907052">
        <w:trPr>
          <w:tblCellSpacing w:w="15" w:type="dxa"/>
        </w:trPr>
        <w:tc>
          <w:tcPr>
            <w:tcW w:w="0" w:type="auto"/>
            <w:vAlign w:val="center"/>
            <w:hideMark/>
          </w:tcPr>
          <w:p w14:paraId="7ECEEB0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White et al. (2019)</w:t>
            </w:r>
          </w:p>
        </w:tc>
        <w:tc>
          <w:tcPr>
            <w:tcW w:w="0" w:type="auto"/>
            <w:vAlign w:val="center"/>
            <w:hideMark/>
          </w:tcPr>
          <w:p w14:paraId="631B0E1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assess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relationship between nature exposure and well-being.</w:t>
            </w:r>
          </w:p>
        </w:tc>
        <w:tc>
          <w:tcPr>
            <w:tcW w:w="0" w:type="auto"/>
            <w:vAlign w:val="center"/>
            <w:hideMark/>
          </w:tcPr>
          <w:p w14:paraId="1FF831C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Empirical study.</w:t>
            </w:r>
          </w:p>
        </w:tc>
        <w:tc>
          <w:tcPr>
            <w:tcW w:w="0" w:type="auto"/>
            <w:vAlign w:val="center"/>
            <w:hideMark/>
          </w:tcPr>
          <w:p w14:paraId="0F9AFD6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≥120 min/week in nature </w:t>
            </w:r>
            <w:r w:rsidR="00F81257">
              <w:rPr>
                <w:rFonts w:ascii="Times New Roman" w:eastAsia="Times New Roman" w:hAnsi="Times New Roman" w:cs="Times New Roman"/>
                <w:sz w:val="20"/>
                <w:szCs w:val="20"/>
                <w:lang w:val="en-US"/>
              </w:rPr>
              <w:t xml:space="preserve">is </w:t>
            </w:r>
            <w:r w:rsidRPr="004B16FF">
              <w:rPr>
                <w:rFonts w:ascii="Times New Roman" w:eastAsia="Times New Roman" w:hAnsi="Times New Roman" w:cs="Times New Roman"/>
                <w:sz w:val="20"/>
                <w:szCs w:val="20"/>
                <w:lang w:val="en-US"/>
              </w:rPr>
              <w:t>linked to better health and satisfaction.</w:t>
            </w:r>
          </w:p>
        </w:tc>
        <w:tc>
          <w:tcPr>
            <w:tcW w:w="0" w:type="auto"/>
            <w:vAlign w:val="center"/>
            <w:hideMark/>
          </w:tcPr>
          <w:p w14:paraId="47F75AC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quantitative global evidence.</w:t>
            </w:r>
          </w:p>
        </w:tc>
      </w:tr>
      <w:tr w:rsidR="000501F0" w:rsidRPr="004B16FF" w14:paraId="51A1238C" w14:textId="77777777" w:rsidTr="00907052">
        <w:trPr>
          <w:tblCellSpacing w:w="15" w:type="dxa"/>
        </w:trPr>
        <w:tc>
          <w:tcPr>
            <w:tcW w:w="0" w:type="auto"/>
            <w:vAlign w:val="center"/>
            <w:hideMark/>
          </w:tcPr>
          <w:p w14:paraId="7EFF1F2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Amegah</w:t>
            </w:r>
            <w:proofErr w:type="spellEnd"/>
            <w:r w:rsidRPr="004B16FF">
              <w:rPr>
                <w:rFonts w:ascii="Times New Roman" w:eastAsia="Times New Roman" w:hAnsi="Times New Roman" w:cs="Times New Roman"/>
                <w:sz w:val="20"/>
                <w:szCs w:val="20"/>
                <w:lang w:val="en-US"/>
              </w:rPr>
              <w:t xml:space="preserve"> et al. (2023)</w:t>
            </w:r>
          </w:p>
        </w:tc>
        <w:tc>
          <w:tcPr>
            <w:tcW w:w="0" w:type="auto"/>
            <w:vAlign w:val="center"/>
            <w:hideMark/>
          </w:tcPr>
          <w:p w14:paraId="1C5ABFC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socio-demographic factors affecting UGI use.</w:t>
            </w:r>
          </w:p>
        </w:tc>
        <w:tc>
          <w:tcPr>
            <w:tcW w:w="0" w:type="auto"/>
            <w:vAlign w:val="center"/>
            <w:hideMark/>
          </w:tcPr>
          <w:p w14:paraId="607D3B4B"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Population survey in Accra.</w:t>
            </w:r>
          </w:p>
        </w:tc>
        <w:tc>
          <w:tcPr>
            <w:tcW w:w="0" w:type="auto"/>
            <w:vAlign w:val="center"/>
            <w:hideMark/>
          </w:tcPr>
          <w:p w14:paraId="3F5896F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green space use linked to improved well-being.</w:t>
            </w:r>
          </w:p>
        </w:tc>
        <w:tc>
          <w:tcPr>
            <w:tcW w:w="0" w:type="auto"/>
            <w:vAlign w:val="center"/>
            <w:hideMark/>
          </w:tcPr>
          <w:p w14:paraId="44A38E9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evidence.</w:t>
            </w:r>
          </w:p>
        </w:tc>
      </w:tr>
      <w:tr w:rsidR="000501F0" w:rsidRPr="004B16FF" w14:paraId="2725A0C6" w14:textId="77777777" w:rsidTr="00907052">
        <w:trPr>
          <w:tblCellSpacing w:w="15" w:type="dxa"/>
        </w:trPr>
        <w:tc>
          <w:tcPr>
            <w:tcW w:w="0" w:type="auto"/>
            <w:vAlign w:val="center"/>
            <w:hideMark/>
          </w:tcPr>
          <w:p w14:paraId="2DDD87A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Boakye et al. (2025a)</w:t>
            </w:r>
          </w:p>
        </w:tc>
        <w:tc>
          <w:tcPr>
            <w:tcW w:w="0" w:type="auto"/>
            <w:vAlign w:val="center"/>
            <w:hideMark/>
          </w:tcPr>
          <w:p w14:paraId="26A9EAA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maternal mental health and UGI exposure.</w:t>
            </w:r>
          </w:p>
        </w:tc>
        <w:tc>
          <w:tcPr>
            <w:tcW w:w="0" w:type="auto"/>
            <w:vAlign w:val="center"/>
            <w:hideMark/>
          </w:tcPr>
          <w:p w14:paraId="5F9D0D5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study.</w:t>
            </w:r>
          </w:p>
        </w:tc>
        <w:tc>
          <w:tcPr>
            <w:tcW w:w="0" w:type="auto"/>
            <w:vAlign w:val="center"/>
            <w:hideMark/>
          </w:tcPr>
          <w:p w14:paraId="2714E32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improved maternal mental health outcomes.</w:t>
            </w:r>
          </w:p>
        </w:tc>
        <w:tc>
          <w:tcPr>
            <w:tcW w:w="0" w:type="auto"/>
            <w:vAlign w:val="center"/>
            <w:hideMark/>
          </w:tcPr>
          <w:p w14:paraId="675AF2E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specific social health benefits.</w:t>
            </w:r>
          </w:p>
        </w:tc>
      </w:tr>
      <w:tr w:rsidR="000501F0" w:rsidRPr="004B16FF" w14:paraId="16DC7618" w14:textId="77777777" w:rsidTr="00907052">
        <w:trPr>
          <w:tblCellSpacing w:w="15" w:type="dxa"/>
        </w:trPr>
        <w:tc>
          <w:tcPr>
            <w:tcW w:w="0" w:type="auto"/>
            <w:vAlign w:val="center"/>
            <w:hideMark/>
          </w:tcPr>
          <w:p w14:paraId="69959462"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Boakye et al. (2025b)</w:t>
            </w:r>
          </w:p>
        </w:tc>
        <w:tc>
          <w:tcPr>
            <w:tcW w:w="0" w:type="auto"/>
            <w:vAlign w:val="center"/>
            <w:hideMark/>
          </w:tcPr>
          <w:p w14:paraId="2A6A663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UGI and population health in Sub-Saharan Africa.</w:t>
            </w:r>
          </w:p>
        </w:tc>
        <w:tc>
          <w:tcPr>
            <w:tcW w:w="0" w:type="auto"/>
            <w:vAlign w:val="center"/>
            <w:hideMark/>
          </w:tcPr>
          <w:p w14:paraId="4EE12EE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Scoping review.</w:t>
            </w:r>
          </w:p>
        </w:tc>
        <w:tc>
          <w:tcPr>
            <w:tcW w:w="0" w:type="auto"/>
            <w:vAlign w:val="center"/>
            <w:hideMark/>
          </w:tcPr>
          <w:p w14:paraId="2FD1B16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w:t>
            </w:r>
            <w:r w:rsidR="00F81257">
              <w:rPr>
                <w:rFonts w:ascii="Times New Roman" w:eastAsia="Times New Roman" w:hAnsi="Times New Roman" w:cs="Times New Roman"/>
                <w:sz w:val="20"/>
                <w:szCs w:val="20"/>
                <w:lang w:val="en-US"/>
              </w:rPr>
              <w:t xml:space="preserve">that </w:t>
            </w:r>
            <w:r w:rsidRPr="004B16FF">
              <w:rPr>
                <w:rFonts w:ascii="Times New Roman" w:eastAsia="Times New Roman" w:hAnsi="Times New Roman" w:cs="Times New Roman"/>
                <w:sz w:val="20"/>
                <w:szCs w:val="20"/>
                <w:lang w:val="en-US"/>
              </w:rPr>
              <w:t>UGI improves mental and physical health.</w:t>
            </w:r>
          </w:p>
        </w:tc>
        <w:tc>
          <w:tcPr>
            <w:tcW w:w="0" w:type="auto"/>
            <w:vAlign w:val="center"/>
            <w:hideMark/>
          </w:tcPr>
          <w:p w14:paraId="1A8FB9ED"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regional synthesis.</w:t>
            </w:r>
          </w:p>
        </w:tc>
      </w:tr>
      <w:tr w:rsidR="000501F0" w:rsidRPr="004B16FF" w14:paraId="1B3B71AF" w14:textId="77777777" w:rsidTr="00907052">
        <w:trPr>
          <w:tblCellSpacing w:w="15" w:type="dxa"/>
        </w:trPr>
        <w:tc>
          <w:tcPr>
            <w:tcW w:w="0" w:type="auto"/>
            <w:vAlign w:val="center"/>
            <w:hideMark/>
          </w:tcPr>
          <w:p w14:paraId="22AB24A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Sustainability Directory (2025)</w:t>
            </w:r>
          </w:p>
        </w:tc>
        <w:tc>
          <w:tcPr>
            <w:tcW w:w="0" w:type="auto"/>
            <w:vAlign w:val="center"/>
            <w:hideMark/>
          </w:tcPr>
          <w:p w14:paraId="1AA9DB6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examine UGI’s role in resilience.</w:t>
            </w:r>
          </w:p>
        </w:tc>
        <w:tc>
          <w:tcPr>
            <w:tcW w:w="0" w:type="auto"/>
            <w:vAlign w:val="center"/>
            <w:hideMark/>
          </w:tcPr>
          <w:p w14:paraId="0152FC3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brief.</w:t>
            </w:r>
          </w:p>
        </w:tc>
        <w:tc>
          <w:tcPr>
            <w:tcW w:w="0" w:type="auto"/>
            <w:vAlign w:val="center"/>
            <w:hideMark/>
          </w:tcPr>
          <w:p w14:paraId="67A2EF9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green infrastructure reduces </w:t>
            </w:r>
            <w:r w:rsidRPr="004B16FF">
              <w:rPr>
                <w:rFonts w:ascii="Times New Roman" w:eastAsia="Times New Roman" w:hAnsi="Times New Roman" w:cs="Times New Roman"/>
                <w:sz w:val="20"/>
                <w:szCs w:val="20"/>
                <w:lang w:val="en-US"/>
              </w:rPr>
              <w:lastRenderedPageBreak/>
              <w:t>stress and builds resilience.</w:t>
            </w:r>
          </w:p>
        </w:tc>
        <w:tc>
          <w:tcPr>
            <w:tcW w:w="0" w:type="auto"/>
            <w:vAlign w:val="center"/>
            <w:hideMark/>
          </w:tcPr>
          <w:p w14:paraId="70CD9E3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lastRenderedPageBreak/>
              <w:t>Supports mental health planning.</w:t>
            </w:r>
          </w:p>
        </w:tc>
      </w:tr>
      <w:tr w:rsidR="000501F0" w:rsidRPr="004B16FF" w14:paraId="463B9BB6" w14:textId="77777777" w:rsidTr="00CF2BC0">
        <w:trPr>
          <w:tblCellSpacing w:w="15" w:type="dxa"/>
        </w:trPr>
        <w:tc>
          <w:tcPr>
            <w:tcW w:w="0" w:type="auto"/>
            <w:tcBorders>
              <w:bottom w:val="single" w:sz="4" w:space="0" w:color="auto"/>
            </w:tcBorders>
            <w:vAlign w:val="center"/>
            <w:hideMark/>
          </w:tcPr>
          <w:p w14:paraId="528507FC"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lastRenderedPageBreak/>
              <w:t>Lam (2025)</w:t>
            </w:r>
          </w:p>
        </w:tc>
        <w:tc>
          <w:tcPr>
            <w:tcW w:w="0" w:type="auto"/>
            <w:tcBorders>
              <w:bottom w:val="single" w:sz="4" w:space="0" w:color="auto"/>
            </w:tcBorders>
            <w:vAlign w:val="center"/>
            <w:hideMark/>
          </w:tcPr>
          <w:p w14:paraId="54903E5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advocate for green space use in mental health.</w:t>
            </w:r>
          </w:p>
        </w:tc>
        <w:tc>
          <w:tcPr>
            <w:tcW w:w="0" w:type="auto"/>
            <w:tcBorders>
              <w:bottom w:val="single" w:sz="4" w:space="0" w:color="auto"/>
            </w:tcBorders>
            <w:vAlign w:val="center"/>
            <w:hideMark/>
          </w:tcPr>
          <w:p w14:paraId="3CB469B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Advocacy article.</w:t>
            </w:r>
          </w:p>
        </w:tc>
        <w:tc>
          <w:tcPr>
            <w:tcW w:w="0" w:type="auto"/>
            <w:tcBorders>
              <w:bottom w:val="single" w:sz="4" w:space="0" w:color="auto"/>
            </w:tcBorders>
            <w:vAlign w:val="center"/>
            <w:hideMark/>
          </w:tcPr>
          <w:p w14:paraId="70498B9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exposure to green spaces improves mental well-being.</w:t>
            </w:r>
          </w:p>
        </w:tc>
        <w:tc>
          <w:tcPr>
            <w:tcW w:w="0" w:type="auto"/>
            <w:tcBorders>
              <w:bottom w:val="single" w:sz="4" w:space="0" w:color="auto"/>
            </w:tcBorders>
            <w:vAlign w:val="center"/>
            <w:hideMark/>
          </w:tcPr>
          <w:p w14:paraId="507C28F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Reinforces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psychological value of UGI.</w:t>
            </w:r>
          </w:p>
        </w:tc>
      </w:tr>
    </w:tbl>
    <w:p w14:paraId="77D1801D"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3B2CC110" w14:textId="77777777" w:rsidR="000501F0" w:rsidRPr="004B16FF" w:rsidRDefault="00645AD9" w:rsidP="000501F0">
      <w:pPr>
        <w:pStyle w:val="NormalWeb"/>
        <w:jc w:val="both"/>
        <w:rPr>
          <w:sz w:val="20"/>
          <w:szCs w:val="20"/>
        </w:rPr>
      </w:pPr>
      <w:r>
        <w:rPr>
          <w:sz w:val="20"/>
          <w:szCs w:val="20"/>
        </w:rPr>
        <w:t>The psychological benefits of urban green infrastructure are well established in both theory and practice. Foundational frameworks such as the Attention Restoration Theory and the Stress Recovery Theory explain how natural environments reduce mental fatigue and promote psychological well-being (</w:t>
      </w:r>
      <w:proofErr w:type="spellStart"/>
      <w:r>
        <w:rPr>
          <w:sz w:val="20"/>
          <w:szCs w:val="20"/>
        </w:rPr>
        <w:t>Markevych</w:t>
      </w:r>
      <w:proofErr w:type="spellEnd"/>
      <w:r>
        <w:rPr>
          <w:sz w:val="20"/>
          <w:szCs w:val="20"/>
        </w:rPr>
        <w:t xml:space="preserve"> et al., 2017). These theories are strongly supported by empirical evidence, including White et al. (2019), who found that spending at least 120 minutes a week in nature is linked to better health and increased life satisfaction. Together, these studies confirm that access to greenery directly contributes to stress reduction, mood improvement, and overall well-being. Ghanaian research offers additional validation but also highlights contextual differences. </w:t>
      </w:r>
      <w:proofErr w:type="spellStart"/>
      <w:r>
        <w:rPr>
          <w:sz w:val="20"/>
          <w:szCs w:val="20"/>
        </w:rPr>
        <w:t>Amegah</w:t>
      </w:r>
      <w:proofErr w:type="spellEnd"/>
      <w:r>
        <w:rPr>
          <w:sz w:val="20"/>
          <w:szCs w:val="20"/>
        </w:rPr>
        <w:t xml:space="preserve"> et al. (2023) show that using urban green spaces in Accra is positively linked to self-reported well-being, while Boakye, Danquah, and Antwi (2025) find that maternal mental health improves significantly with exposure to green environments. These findings suggest that green infrastructure is especially important in settings where formal mental health services are limited and stigmatized. International reports further support this by emphasizing the role of greenery in building resilience against stress and anxiety (Sustainability Directory, 2025; Lam, 2025). The contrast between global and Ghanaian contexts lies in the type of green space provision. In high-income countries, mental health efforts often include structured programs like “green prescriptions” or therapeutic gardens. In Ghana, however, the benefits mainly come from informal, everyday contact with greenery, such as household gardens or communal shaded spaces. This highlights the need for policies that are sensitive to the local context, prioritizing accessible, culturally relevant green infrastructure instead of copying formalized models from the Global North. For Ghanaian urban planning, the key argument is that focusing on affordable, safe, and inclusive community spaces can play a crucial role in improving mental health outcomes, especially for vulnerable groups.</w:t>
      </w:r>
    </w:p>
    <w:p w14:paraId="3EF74546"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7: Social Cohesion and Community Interaction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6"/>
        <w:gridCol w:w="2109"/>
        <w:gridCol w:w="1534"/>
        <w:gridCol w:w="2089"/>
        <w:gridCol w:w="2262"/>
      </w:tblGrid>
      <w:tr w:rsidR="000501F0" w:rsidRPr="004B16FF" w14:paraId="02BE743D" w14:textId="77777777" w:rsidTr="00CF2BC0">
        <w:trPr>
          <w:tblHeader/>
          <w:tblCellSpacing w:w="15" w:type="dxa"/>
        </w:trPr>
        <w:tc>
          <w:tcPr>
            <w:tcW w:w="0" w:type="auto"/>
            <w:tcBorders>
              <w:top w:val="single" w:sz="4" w:space="0" w:color="auto"/>
              <w:bottom w:val="single" w:sz="4" w:space="0" w:color="auto"/>
            </w:tcBorders>
            <w:vAlign w:val="center"/>
            <w:hideMark/>
          </w:tcPr>
          <w:p w14:paraId="2F296CB1"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633B891B"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7E07C398"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0AE7A8EA"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7447D4DF"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021A932E" w14:textId="77777777" w:rsidTr="00907052">
        <w:trPr>
          <w:tblCellSpacing w:w="15" w:type="dxa"/>
        </w:trPr>
        <w:tc>
          <w:tcPr>
            <w:tcW w:w="0" w:type="auto"/>
            <w:vAlign w:val="center"/>
            <w:hideMark/>
          </w:tcPr>
          <w:p w14:paraId="5F7DFA23"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Jennings &amp; </w:t>
            </w:r>
            <w:proofErr w:type="spellStart"/>
            <w:r w:rsidRPr="004B16FF">
              <w:rPr>
                <w:rFonts w:ascii="Times New Roman" w:eastAsia="Times New Roman" w:hAnsi="Times New Roman" w:cs="Times New Roman"/>
                <w:sz w:val="20"/>
                <w:szCs w:val="20"/>
                <w:lang w:val="en-US"/>
              </w:rPr>
              <w:t>Bamkole</w:t>
            </w:r>
            <w:proofErr w:type="spellEnd"/>
            <w:r w:rsidRPr="004B16FF">
              <w:rPr>
                <w:rFonts w:ascii="Times New Roman" w:eastAsia="Times New Roman" w:hAnsi="Times New Roman" w:cs="Times New Roman"/>
                <w:sz w:val="20"/>
                <w:szCs w:val="20"/>
                <w:lang w:val="en-US"/>
              </w:rPr>
              <w:t xml:space="preserve"> (2019)</w:t>
            </w:r>
          </w:p>
        </w:tc>
        <w:tc>
          <w:tcPr>
            <w:tcW w:w="0" w:type="auto"/>
            <w:vAlign w:val="center"/>
            <w:hideMark/>
          </w:tcPr>
          <w:p w14:paraId="7EF1F079"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review </w:t>
            </w:r>
            <w:r w:rsidR="00CF2BC0">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social cohesion effects of UGI.</w:t>
            </w:r>
          </w:p>
        </w:tc>
        <w:tc>
          <w:tcPr>
            <w:tcW w:w="0" w:type="auto"/>
            <w:vAlign w:val="center"/>
            <w:hideMark/>
          </w:tcPr>
          <w:p w14:paraId="22A3480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Literature review.</w:t>
            </w:r>
          </w:p>
        </w:tc>
        <w:tc>
          <w:tcPr>
            <w:tcW w:w="0" w:type="auto"/>
            <w:vAlign w:val="center"/>
            <w:hideMark/>
          </w:tcPr>
          <w:p w14:paraId="6D0FB206"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green spaces foster trust and civic engagement.</w:t>
            </w:r>
          </w:p>
        </w:tc>
        <w:tc>
          <w:tcPr>
            <w:tcW w:w="0" w:type="auto"/>
            <w:vAlign w:val="center"/>
            <w:hideMark/>
          </w:tcPr>
          <w:p w14:paraId="0E2D7CD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Provides global evidence.</w:t>
            </w:r>
          </w:p>
        </w:tc>
      </w:tr>
      <w:tr w:rsidR="000501F0" w:rsidRPr="004B16FF" w14:paraId="59EDA512" w14:textId="77777777" w:rsidTr="00907052">
        <w:trPr>
          <w:tblCellSpacing w:w="15" w:type="dxa"/>
        </w:trPr>
        <w:tc>
          <w:tcPr>
            <w:tcW w:w="0" w:type="auto"/>
            <w:vAlign w:val="center"/>
            <w:hideMark/>
          </w:tcPr>
          <w:p w14:paraId="508D0E19"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Sarpong et al. (2025)</w:t>
            </w:r>
          </w:p>
        </w:tc>
        <w:tc>
          <w:tcPr>
            <w:tcW w:w="0" w:type="auto"/>
            <w:vAlign w:val="center"/>
            <w:hideMark/>
          </w:tcPr>
          <w:p w14:paraId="4E62AC6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study </w:t>
            </w:r>
            <w:r w:rsidR="00CF2BC0">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microclimatic effects of UGI in Ghana.</w:t>
            </w:r>
          </w:p>
        </w:tc>
        <w:tc>
          <w:tcPr>
            <w:tcW w:w="0" w:type="auto"/>
            <w:vAlign w:val="center"/>
            <w:hideMark/>
          </w:tcPr>
          <w:p w14:paraId="3A7BC0C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Empirical study.</w:t>
            </w:r>
          </w:p>
        </w:tc>
        <w:tc>
          <w:tcPr>
            <w:tcW w:w="0" w:type="auto"/>
            <w:vAlign w:val="center"/>
            <w:hideMark/>
          </w:tcPr>
          <w:p w14:paraId="38A0883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improves livability and resilience.</w:t>
            </w:r>
          </w:p>
        </w:tc>
        <w:tc>
          <w:tcPr>
            <w:tcW w:w="0" w:type="auto"/>
            <w:vAlign w:val="center"/>
            <w:hideMark/>
          </w:tcPr>
          <w:p w14:paraId="01955BC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Ghana-specific evidence of community benefits.</w:t>
            </w:r>
          </w:p>
        </w:tc>
      </w:tr>
      <w:tr w:rsidR="000501F0" w:rsidRPr="004B16FF" w14:paraId="5DB8FC9D" w14:textId="77777777" w:rsidTr="00907052">
        <w:trPr>
          <w:tblCellSpacing w:w="15" w:type="dxa"/>
        </w:trPr>
        <w:tc>
          <w:tcPr>
            <w:tcW w:w="0" w:type="auto"/>
            <w:vAlign w:val="center"/>
            <w:hideMark/>
          </w:tcPr>
          <w:p w14:paraId="0CE298F5"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Gagakuma</w:t>
            </w:r>
            <w:proofErr w:type="spellEnd"/>
            <w:r w:rsidRPr="004B16FF">
              <w:rPr>
                <w:rFonts w:ascii="Times New Roman" w:eastAsia="Times New Roman" w:hAnsi="Times New Roman" w:cs="Times New Roman"/>
                <w:sz w:val="20"/>
                <w:szCs w:val="20"/>
                <w:lang w:val="en-US"/>
              </w:rPr>
              <w:t xml:space="preserve"> et al. (2025)</w:t>
            </w:r>
          </w:p>
        </w:tc>
        <w:tc>
          <w:tcPr>
            <w:tcW w:w="0" w:type="auto"/>
            <w:vAlign w:val="center"/>
            <w:hideMark/>
          </w:tcPr>
          <w:p w14:paraId="6C129FC8"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categorize UGI in Kumasi.</w:t>
            </w:r>
          </w:p>
        </w:tc>
        <w:tc>
          <w:tcPr>
            <w:tcW w:w="0" w:type="auto"/>
            <w:vAlign w:val="center"/>
            <w:hideMark/>
          </w:tcPr>
          <w:p w14:paraId="21889F0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and categorization.</w:t>
            </w:r>
          </w:p>
        </w:tc>
        <w:tc>
          <w:tcPr>
            <w:tcW w:w="0" w:type="auto"/>
            <w:vAlign w:val="center"/>
            <w:hideMark/>
          </w:tcPr>
          <w:p w14:paraId="11490A8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community gardens foster interaction.</w:t>
            </w:r>
          </w:p>
        </w:tc>
        <w:tc>
          <w:tcPr>
            <w:tcW w:w="0" w:type="auto"/>
            <w:vAlign w:val="center"/>
            <w:hideMark/>
          </w:tcPr>
          <w:p w14:paraId="3A25F87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Shows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multifunctionality of UGI.</w:t>
            </w:r>
          </w:p>
        </w:tc>
      </w:tr>
      <w:tr w:rsidR="000501F0" w:rsidRPr="004B16FF" w14:paraId="740BF7A8" w14:textId="77777777" w:rsidTr="00CF2BC0">
        <w:trPr>
          <w:tblCellSpacing w:w="15" w:type="dxa"/>
        </w:trPr>
        <w:tc>
          <w:tcPr>
            <w:tcW w:w="0" w:type="auto"/>
            <w:tcBorders>
              <w:bottom w:val="single" w:sz="4" w:space="0" w:color="auto"/>
            </w:tcBorders>
            <w:vAlign w:val="center"/>
            <w:hideMark/>
          </w:tcPr>
          <w:p w14:paraId="1CBFECA7"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Yeboah et al. (2025)</w:t>
            </w:r>
          </w:p>
        </w:tc>
        <w:tc>
          <w:tcPr>
            <w:tcW w:w="0" w:type="auto"/>
            <w:tcBorders>
              <w:bottom w:val="single" w:sz="4" w:space="0" w:color="auto"/>
            </w:tcBorders>
            <w:vAlign w:val="center"/>
            <w:hideMark/>
          </w:tcPr>
          <w:p w14:paraId="09E67F7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analyze inclusive planning for UGI in Ghana.</w:t>
            </w:r>
          </w:p>
        </w:tc>
        <w:tc>
          <w:tcPr>
            <w:tcW w:w="0" w:type="auto"/>
            <w:tcBorders>
              <w:bottom w:val="single" w:sz="4" w:space="0" w:color="auto"/>
            </w:tcBorders>
            <w:vAlign w:val="center"/>
            <w:hideMark/>
          </w:tcPr>
          <w:p w14:paraId="6AB3AB1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Policy analysis.</w:t>
            </w:r>
          </w:p>
        </w:tc>
        <w:tc>
          <w:tcPr>
            <w:tcW w:w="0" w:type="auto"/>
            <w:tcBorders>
              <w:bottom w:val="single" w:sz="4" w:space="0" w:color="auto"/>
            </w:tcBorders>
            <w:vAlign w:val="center"/>
            <w:hideMark/>
          </w:tcPr>
          <w:p w14:paraId="09B6EB5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participatory planning fosters integration.</w:t>
            </w:r>
          </w:p>
        </w:tc>
        <w:tc>
          <w:tcPr>
            <w:tcW w:w="0" w:type="auto"/>
            <w:tcBorders>
              <w:bottom w:val="single" w:sz="4" w:space="0" w:color="auto"/>
            </w:tcBorders>
            <w:vAlign w:val="center"/>
            <w:hideMark/>
          </w:tcPr>
          <w:p w14:paraId="49704B77"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Connects planning to cohesion.</w:t>
            </w:r>
          </w:p>
        </w:tc>
      </w:tr>
    </w:tbl>
    <w:p w14:paraId="0A28E9A9"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5E98B529" w14:textId="77777777" w:rsidR="000501F0" w:rsidRPr="004B16FF" w:rsidRDefault="000501F0" w:rsidP="000501F0">
      <w:pPr>
        <w:pStyle w:val="NormalWeb"/>
        <w:jc w:val="both"/>
        <w:rPr>
          <w:sz w:val="20"/>
          <w:szCs w:val="20"/>
        </w:rPr>
      </w:pPr>
      <w:r w:rsidRPr="000501F0">
        <w:rPr>
          <w:sz w:val="20"/>
          <w:szCs w:val="20"/>
        </w:rPr>
        <w:t xml:space="preserve">Urban green spaces not only contribute to ecological and health benefits but also play an important role in strengthening social cohesion and community interaction. Jennings and </w:t>
      </w:r>
      <w:proofErr w:type="spellStart"/>
      <w:r w:rsidRPr="000501F0">
        <w:rPr>
          <w:sz w:val="20"/>
          <w:szCs w:val="20"/>
        </w:rPr>
        <w:t>Bamkole</w:t>
      </w:r>
      <w:proofErr w:type="spellEnd"/>
      <w:r w:rsidRPr="000501F0">
        <w:rPr>
          <w:sz w:val="20"/>
          <w:szCs w:val="20"/>
        </w:rPr>
        <w:t xml:space="preserve"> (2019) note that green spaces act as platforms for social engagement, promoting trust, inclusiveness, and civic participation. This is consistent with findings from Ghana, where Sarpong et al. (2025) show that green spaces improve urban livability and foster resilience, while </w:t>
      </w:r>
      <w:proofErr w:type="spellStart"/>
      <w:r w:rsidRPr="000501F0">
        <w:rPr>
          <w:sz w:val="20"/>
          <w:szCs w:val="20"/>
        </w:rPr>
        <w:t>Gagakuma</w:t>
      </w:r>
      <w:proofErr w:type="spellEnd"/>
      <w:r w:rsidRPr="000501F0">
        <w:rPr>
          <w:sz w:val="20"/>
          <w:szCs w:val="20"/>
        </w:rPr>
        <w:t xml:space="preserve"> et al. (2025) demonstrate that community gardens in Kumasi serve as hubs of interaction, collaboration, and intergenerational knowledge exchange. These studies collectively confirm that urban greenery enhances social capital and strengthens community networks. The nature of these benefits, however, differs across </w:t>
      </w:r>
      <w:r w:rsidRPr="000501F0">
        <w:rPr>
          <w:sz w:val="20"/>
          <w:szCs w:val="20"/>
        </w:rPr>
        <w:lastRenderedPageBreak/>
        <w:t>contexts. In many Western cities, social cohesion through green infrastructure is often the result of deliberate programming, such as organized events and inclusive park design. In Ghanaian cities, by contrast, much of this cohesion arises organically from community-led initiatives, particularly where formal provision of green spaces is limited. Yeboah et al. (2025) emphasize that participatory urban planning enhances inclusiveness, highlighting that processes matter as much as the spaces themselves in shaping social outcomes. This comparison highlights a central argument: in Ghana, social cohesion derived from green infrastructure is both a product of space and of governance. Where municipal planning falls short, communities step in to manage green spaces, demonstrating agency and resilience. The challenge lies in providing institutional support and secure land tenure to ensure these spaces are not lost to development pressures. Policies that integrate community voices into the planning and management of urban greenery are thus crucial for sustaining the social benefits of green infrastructure.</w:t>
      </w:r>
    </w:p>
    <w:p w14:paraId="236ACBA6"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8: Cultural and Aesthetic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3"/>
        <w:gridCol w:w="1956"/>
        <w:gridCol w:w="1589"/>
        <w:gridCol w:w="2277"/>
        <w:gridCol w:w="1955"/>
      </w:tblGrid>
      <w:tr w:rsidR="000501F0" w:rsidRPr="004B16FF" w14:paraId="3B97DA2A" w14:textId="77777777" w:rsidTr="00CF2BC0">
        <w:trPr>
          <w:tblHeader/>
          <w:tblCellSpacing w:w="15" w:type="dxa"/>
        </w:trPr>
        <w:tc>
          <w:tcPr>
            <w:tcW w:w="0" w:type="auto"/>
            <w:tcBorders>
              <w:top w:val="single" w:sz="4" w:space="0" w:color="auto"/>
              <w:bottom w:val="single" w:sz="4" w:space="0" w:color="auto"/>
            </w:tcBorders>
            <w:vAlign w:val="center"/>
            <w:hideMark/>
          </w:tcPr>
          <w:p w14:paraId="53136C68"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2B32A81A"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5167AA83"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11053EDB"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1149142E" w14:textId="77777777" w:rsidR="000501F0" w:rsidRPr="004B16FF" w:rsidRDefault="000501F0" w:rsidP="000501F0">
            <w:pPr>
              <w:spacing w:after="0" w:line="240" w:lineRule="auto"/>
              <w:jc w:val="both"/>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0A4E44C4" w14:textId="77777777" w:rsidTr="00907052">
        <w:trPr>
          <w:tblCellSpacing w:w="15" w:type="dxa"/>
        </w:trPr>
        <w:tc>
          <w:tcPr>
            <w:tcW w:w="0" w:type="auto"/>
            <w:vAlign w:val="center"/>
            <w:hideMark/>
          </w:tcPr>
          <w:p w14:paraId="4B99529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Amoako &amp; Frimpong Boamah (2017)</w:t>
            </w:r>
          </w:p>
        </w:tc>
        <w:tc>
          <w:tcPr>
            <w:tcW w:w="0" w:type="auto"/>
            <w:vAlign w:val="center"/>
            <w:hideMark/>
          </w:tcPr>
          <w:p w14:paraId="5402B383"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informal green space politics in Kumasi.</w:t>
            </w:r>
          </w:p>
        </w:tc>
        <w:tc>
          <w:tcPr>
            <w:tcW w:w="0" w:type="auto"/>
            <w:vAlign w:val="center"/>
            <w:hideMark/>
          </w:tcPr>
          <w:p w14:paraId="06AD9311"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Case study.</w:t>
            </w:r>
          </w:p>
        </w:tc>
        <w:tc>
          <w:tcPr>
            <w:tcW w:w="0" w:type="auto"/>
            <w:vAlign w:val="center"/>
            <w:hideMark/>
          </w:tcPr>
          <w:p w14:paraId="4BEFAAE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informal green spaces preserve heritage and identity.</w:t>
            </w:r>
          </w:p>
        </w:tc>
        <w:tc>
          <w:tcPr>
            <w:tcW w:w="0" w:type="auto"/>
            <w:vAlign w:val="center"/>
            <w:hideMark/>
          </w:tcPr>
          <w:p w14:paraId="447CFEF8"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Connects culture to green planning.</w:t>
            </w:r>
          </w:p>
        </w:tc>
      </w:tr>
      <w:tr w:rsidR="000501F0" w:rsidRPr="004B16FF" w14:paraId="7A2365AA" w14:textId="77777777" w:rsidTr="00907052">
        <w:trPr>
          <w:tblCellSpacing w:w="15" w:type="dxa"/>
        </w:trPr>
        <w:tc>
          <w:tcPr>
            <w:tcW w:w="0" w:type="auto"/>
            <w:vAlign w:val="center"/>
            <w:hideMark/>
          </w:tcPr>
          <w:p w14:paraId="77B0D06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Shackleton et al. (2018)</w:t>
            </w:r>
          </w:p>
        </w:tc>
        <w:tc>
          <w:tcPr>
            <w:tcW w:w="0" w:type="auto"/>
            <w:vAlign w:val="center"/>
            <w:hideMark/>
          </w:tcPr>
          <w:p w14:paraId="55388212"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review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cultural ecosystem services of UGI.</w:t>
            </w:r>
          </w:p>
        </w:tc>
        <w:tc>
          <w:tcPr>
            <w:tcW w:w="0" w:type="auto"/>
            <w:vAlign w:val="center"/>
            <w:hideMark/>
          </w:tcPr>
          <w:p w14:paraId="73E2C74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Literature review.</w:t>
            </w:r>
          </w:p>
        </w:tc>
        <w:tc>
          <w:tcPr>
            <w:tcW w:w="0" w:type="auto"/>
            <w:vAlign w:val="center"/>
            <w:hideMark/>
          </w:tcPr>
          <w:p w14:paraId="5E03C75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provides heritage, identity, and aesthetic benefits.</w:t>
            </w:r>
          </w:p>
        </w:tc>
        <w:tc>
          <w:tcPr>
            <w:tcW w:w="0" w:type="auto"/>
            <w:vAlign w:val="center"/>
            <w:hideMark/>
          </w:tcPr>
          <w:p w14:paraId="5203E2DF"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African-focused synthesis of cultural functions.</w:t>
            </w:r>
          </w:p>
        </w:tc>
      </w:tr>
      <w:tr w:rsidR="000501F0" w:rsidRPr="004B16FF" w14:paraId="1C9E70D5" w14:textId="77777777" w:rsidTr="00907052">
        <w:trPr>
          <w:tblCellSpacing w:w="15" w:type="dxa"/>
        </w:trPr>
        <w:tc>
          <w:tcPr>
            <w:tcW w:w="0" w:type="auto"/>
            <w:vAlign w:val="center"/>
            <w:hideMark/>
          </w:tcPr>
          <w:p w14:paraId="3B003719"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Hollmén</w:t>
            </w:r>
            <w:proofErr w:type="spellEnd"/>
            <w:r w:rsidRPr="004B16FF">
              <w:rPr>
                <w:rFonts w:ascii="Times New Roman" w:eastAsia="Times New Roman" w:hAnsi="Times New Roman" w:cs="Times New Roman"/>
                <w:sz w:val="20"/>
                <w:szCs w:val="20"/>
                <w:lang w:val="en-US"/>
              </w:rPr>
              <w:t xml:space="preserve"> et al. (2025)</w:t>
            </w:r>
          </w:p>
        </w:tc>
        <w:tc>
          <w:tcPr>
            <w:tcW w:w="0" w:type="auto"/>
            <w:vAlign w:val="center"/>
            <w:hideMark/>
          </w:tcPr>
          <w:p w14:paraId="124E9C2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study decolonial strategies in Kumasi tree projects.</w:t>
            </w:r>
          </w:p>
        </w:tc>
        <w:tc>
          <w:tcPr>
            <w:tcW w:w="0" w:type="auto"/>
            <w:vAlign w:val="center"/>
            <w:hideMark/>
          </w:tcPr>
          <w:p w14:paraId="6CC9C82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Participatory project analysis.</w:t>
            </w:r>
          </w:p>
        </w:tc>
        <w:tc>
          <w:tcPr>
            <w:tcW w:w="0" w:type="auto"/>
            <w:vAlign w:val="center"/>
            <w:hideMark/>
          </w:tcPr>
          <w:p w14:paraId="14116D2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projects strengthen cultural identity and inclusiveness.</w:t>
            </w:r>
          </w:p>
        </w:tc>
        <w:tc>
          <w:tcPr>
            <w:tcW w:w="0" w:type="auto"/>
            <w:vAlign w:val="center"/>
            <w:hideMark/>
          </w:tcPr>
          <w:p w14:paraId="7B94F596"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Demonstrates heritage-linked urban greenery.</w:t>
            </w:r>
          </w:p>
        </w:tc>
      </w:tr>
      <w:tr w:rsidR="000501F0" w:rsidRPr="004B16FF" w14:paraId="31536C0C" w14:textId="77777777" w:rsidTr="00CF2BC0">
        <w:trPr>
          <w:tblCellSpacing w:w="15" w:type="dxa"/>
        </w:trPr>
        <w:tc>
          <w:tcPr>
            <w:tcW w:w="0" w:type="auto"/>
            <w:tcBorders>
              <w:bottom w:val="single" w:sz="4" w:space="0" w:color="auto"/>
            </w:tcBorders>
            <w:vAlign w:val="center"/>
            <w:hideMark/>
          </w:tcPr>
          <w:p w14:paraId="055B603E"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Gagakuma</w:t>
            </w:r>
            <w:proofErr w:type="spellEnd"/>
            <w:r w:rsidRPr="004B16FF">
              <w:rPr>
                <w:rFonts w:ascii="Times New Roman" w:eastAsia="Times New Roman" w:hAnsi="Times New Roman" w:cs="Times New Roman"/>
                <w:sz w:val="20"/>
                <w:szCs w:val="20"/>
                <w:lang w:val="en-US"/>
              </w:rPr>
              <w:t xml:space="preserve"> et al. (2025)</w:t>
            </w:r>
          </w:p>
        </w:tc>
        <w:tc>
          <w:tcPr>
            <w:tcW w:w="0" w:type="auto"/>
            <w:tcBorders>
              <w:bottom w:val="single" w:sz="4" w:space="0" w:color="auto"/>
            </w:tcBorders>
            <w:vAlign w:val="center"/>
            <w:hideMark/>
          </w:tcPr>
          <w:p w14:paraId="1D87DB3B"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categorize UGI in Kumasi.</w:t>
            </w:r>
          </w:p>
        </w:tc>
        <w:tc>
          <w:tcPr>
            <w:tcW w:w="0" w:type="auto"/>
            <w:tcBorders>
              <w:bottom w:val="single" w:sz="4" w:space="0" w:color="auto"/>
            </w:tcBorders>
            <w:vAlign w:val="center"/>
            <w:hideMark/>
          </w:tcPr>
          <w:p w14:paraId="7FF21C74"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Survey and categorization.</w:t>
            </w:r>
          </w:p>
        </w:tc>
        <w:tc>
          <w:tcPr>
            <w:tcW w:w="0" w:type="auto"/>
            <w:tcBorders>
              <w:bottom w:val="single" w:sz="4" w:space="0" w:color="auto"/>
            </w:tcBorders>
            <w:vAlign w:val="center"/>
            <w:hideMark/>
          </w:tcPr>
          <w:p w14:paraId="063A8CEC"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enhances aesthetics and livability.</w:t>
            </w:r>
          </w:p>
        </w:tc>
        <w:tc>
          <w:tcPr>
            <w:tcW w:w="0" w:type="auto"/>
            <w:tcBorders>
              <w:bottom w:val="single" w:sz="4" w:space="0" w:color="auto"/>
            </w:tcBorders>
            <w:vAlign w:val="center"/>
            <w:hideMark/>
          </w:tcPr>
          <w:p w14:paraId="0F3CFA1A" w14:textId="77777777" w:rsidR="000501F0" w:rsidRPr="004B16FF" w:rsidRDefault="000501F0" w:rsidP="000501F0">
            <w:pPr>
              <w:spacing w:after="0" w:line="240" w:lineRule="auto"/>
              <w:jc w:val="both"/>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Shows cultural and aesthetic benefits locally.</w:t>
            </w:r>
          </w:p>
        </w:tc>
      </w:tr>
    </w:tbl>
    <w:p w14:paraId="6864CF77" w14:textId="77777777" w:rsidR="000501F0" w:rsidRPr="000501F0"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7E77F087" w14:textId="77777777" w:rsidR="000501F0" w:rsidRPr="004B16FF" w:rsidRDefault="000501F0" w:rsidP="000501F0">
      <w:pPr>
        <w:pStyle w:val="NormalWeb"/>
        <w:jc w:val="both"/>
        <w:rPr>
          <w:sz w:val="20"/>
          <w:szCs w:val="20"/>
        </w:rPr>
      </w:pPr>
      <w:r w:rsidRPr="000501F0">
        <w:rPr>
          <w:sz w:val="20"/>
          <w:szCs w:val="20"/>
        </w:rPr>
        <w:t xml:space="preserve">Beyond health and social benefits, urban green infrastructure also embodies cultural and aesthetic values that enrich urban life. Shackleton et al. (2018) argue that African green spaces provide cultural ecosystem services, serving as repositories of identity, heritage, and spirituality. Amoako and Frimpong Boamah (2017) similarly demonstrate how informal green spaces in Kumasi preserve cultural heritage while reflecting the spatial politics of urban development. More recently, </w:t>
      </w:r>
      <w:proofErr w:type="spellStart"/>
      <w:r w:rsidRPr="000501F0">
        <w:rPr>
          <w:sz w:val="20"/>
          <w:szCs w:val="20"/>
        </w:rPr>
        <w:t>Hollmén</w:t>
      </w:r>
      <w:proofErr w:type="spellEnd"/>
      <w:r w:rsidRPr="000501F0">
        <w:rPr>
          <w:sz w:val="20"/>
          <w:szCs w:val="20"/>
        </w:rPr>
        <w:t xml:space="preserve"> et al. (2025) show that tree-planting projects in Kumasi reinforce cultural identity and inclusiveness through decolonial strategies. Together, these studies confirm that green infrastructure has meaning beyond ecology — it is deeply entwined with social and cultural narratives. Comparisons across regions reveal differences in how cultural values are prioritized. In many Global North contexts, green spaces are often valued primarily for their aesthetic contribution and recreational function. By contrast, in Ghanaian cities, cultural meanings are central: sacred groves, heritage trees, and household gardens embody ecological, spiritual, and practical values simultaneously. </w:t>
      </w:r>
      <w:proofErr w:type="spellStart"/>
      <w:r w:rsidRPr="000501F0">
        <w:rPr>
          <w:sz w:val="20"/>
          <w:szCs w:val="20"/>
        </w:rPr>
        <w:t>Gagakuma</w:t>
      </w:r>
      <w:proofErr w:type="spellEnd"/>
      <w:r w:rsidRPr="000501F0">
        <w:rPr>
          <w:sz w:val="20"/>
          <w:szCs w:val="20"/>
        </w:rPr>
        <w:t xml:space="preserve"> et al. (2025) further highlight that green spaces enhance urban aesthetics and livability, complementing their cultural roles. This contrast raises a critical argument. Urban planning frameworks that reduce green infrastructure to amenities risk overlooking or erasing its cultural significance. In Ghana, preserving cultural landscapes is not just about aesthetics but about maintaining continuity with traditional ecological knowledge and identity. For this reason, policies must deliberately integrate cultural and heritage assessments into green space planning. Protecting sacred sites and incorporating culturally significant plant species into urban greenery ensures that development strengthens rather than erases cultural identity.</w:t>
      </w:r>
    </w:p>
    <w:p w14:paraId="5A536540" w14:textId="77777777" w:rsidR="000501F0" w:rsidRPr="004B16FF" w:rsidRDefault="000501F0" w:rsidP="00E707CE">
      <w:pPr>
        <w:spacing w:before="100" w:beforeAutospacing="1" w:after="100" w:afterAutospacing="1" w:line="240" w:lineRule="auto"/>
        <w:jc w:val="center"/>
        <w:outlineLvl w:val="2"/>
        <w:rPr>
          <w:rFonts w:ascii="Times New Roman" w:eastAsia="Times New Roman" w:hAnsi="Times New Roman" w:cs="Times New Roman"/>
          <w:b/>
          <w:bCs/>
          <w:sz w:val="20"/>
          <w:szCs w:val="20"/>
          <w:lang w:val="en-US"/>
        </w:rPr>
      </w:pPr>
      <w:r w:rsidRPr="000501F0">
        <w:rPr>
          <w:rFonts w:ascii="Times New Roman" w:eastAsia="Times New Roman" w:hAnsi="Times New Roman" w:cs="Times New Roman"/>
          <w:b/>
          <w:bCs/>
          <w:sz w:val="20"/>
          <w:szCs w:val="20"/>
          <w:lang w:val="en-US"/>
        </w:rPr>
        <w:t>Table 9: Climate Resilience and Environmental Justice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gridCol w:w="1914"/>
        <w:gridCol w:w="1506"/>
        <w:gridCol w:w="2563"/>
        <w:gridCol w:w="1991"/>
      </w:tblGrid>
      <w:tr w:rsidR="000501F0" w:rsidRPr="004B16FF" w14:paraId="02C0E7F4" w14:textId="77777777" w:rsidTr="00CF2BC0">
        <w:trPr>
          <w:tblHeader/>
          <w:tblCellSpacing w:w="15" w:type="dxa"/>
        </w:trPr>
        <w:tc>
          <w:tcPr>
            <w:tcW w:w="0" w:type="auto"/>
            <w:tcBorders>
              <w:top w:val="single" w:sz="4" w:space="0" w:color="auto"/>
              <w:bottom w:val="single" w:sz="4" w:space="0" w:color="auto"/>
            </w:tcBorders>
            <w:vAlign w:val="center"/>
            <w:hideMark/>
          </w:tcPr>
          <w:p w14:paraId="4C602BFB" w14:textId="77777777" w:rsidR="000501F0" w:rsidRPr="004B16FF" w:rsidRDefault="000501F0" w:rsidP="00CF2BC0">
            <w:pPr>
              <w:spacing w:after="0" w:line="240" w:lineRule="auto"/>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Author(s)</w:t>
            </w:r>
          </w:p>
        </w:tc>
        <w:tc>
          <w:tcPr>
            <w:tcW w:w="0" w:type="auto"/>
            <w:tcBorders>
              <w:top w:val="single" w:sz="4" w:space="0" w:color="auto"/>
              <w:bottom w:val="single" w:sz="4" w:space="0" w:color="auto"/>
            </w:tcBorders>
            <w:vAlign w:val="center"/>
            <w:hideMark/>
          </w:tcPr>
          <w:p w14:paraId="20840CF5"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Objectives</w:t>
            </w:r>
          </w:p>
        </w:tc>
        <w:tc>
          <w:tcPr>
            <w:tcW w:w="0" w:type="auto"/>
            <w:tcBorders>
              <w:top w:val="single" w:sz="4" w:space="0" w:color="auto"/>
              <w:bottom w:val="single" w:sz="4" w:space="0" w:color="auto"/>
            </w:tcBorders>
            <w:vAlign w:val="center"/>
            <w:hideMark/>
          </w:tcPr>
          <w:p w14:paraId="04F1E581"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Methodology</w:t>
            </w:r>
          </w:p>
        </w:tc>
        <w:tc>
          <w:tcPr>
            <w:tcW w:w="0" w:type="auto"/>
            <w:tcBorders>
              <w:top w:val="single" w:sz="4" w:space="0" w:color="auto"/>
              <w:bottom w:val="single" w:sz="4" w:space="0" w:color="auto"/>
            </w:tcBorders>
            <w:vAlign w:val="center"/>
            <w:hideMark/>
          </w:tcPr>
          <w:p w14:paraId="4EFE38D0"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Key Findings</w:t>
            </w:r>
          </w:p>
        </w:tc>
        <w:tc>
          <w:tcPr>
            <w:tcW w:w="0" w:type="auto"/>
            <w:tcBorders>
              <w:top w:val="single" w:sz="4" w:space="0" w:color="auto"/>
              <w:bottom w:val="single" w:sz="4" w:space="0" w:color="auto"/>
            </w:tcBorders>
            <w:vAlign w:val="center"/>
            <w:hideMark/>
          </w:tcPr>
          <w:p w14:paraId="09D67130" w14:textId="77777777" w:rsidR="000501F0" w:rsidRPr="004B16FF" w:rsidRDefault="000501F0" w:rsidP="00CF2BC0">
            <w:pPr>
              <w:spacing w:after="0" w:line="240" w:lineRule="auto"/>
              <w:jc w:val="center"/>
              <w:rPr>
                <w:rFonts w:ascii="Times New Roman" w:eastAsia="Times New Roman" w:hAnsi="Times New Roman" w:cs="Times New Roman"/>
                <w:b/>
                <w:bCs/>
                <w:sz w:val="20"/>
                <w:szCs w:val="20"/>
                <w:lang w:val="en-US"/>
              </w:rPr>
            </w:pPr>
            <w:r w:rsidRPr="004B16FF">
              <w:rPr>
                <w:rFonts w:ascii="Times New Roman" w:eastAsia="Times New Roman" w:hAnsi="Times New Roman" w:cs="Times New Roman"/>
                <w:b/>
                <w:bCs/>
                <w:sz w:val="20"/>
                <w:szCs w:val="20"/>
                <w:lang w:val="en-US"/>
              </w:rPr>
              <w:t>Relevance</w:t>
            </w:r>
          </w:p>
        </w:tc>
      </w:tr>
      <w:tr w:rsidR="000501F0" w:rsidRPr="004B16FF" w14:paraId="5E8721CD" w14:textId="77777777" w:rsidTr="00907052">
        <w:trPr>
          <w:tblCellSpacing w:w="15" w:type="dxa"/>
        </w:trPr>
        <w:tc>
          <w:tcPr>
            <w:tcW w:w="0" w:type="auto"/>
            <w:vAlign w:val="center"/>
            <w:hideMark/>
          </w:tcPr>
          <w:p w14:paraId="3D8F20E1"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Kabisch &amp; Haase (2014)</w:t>
            </w:r>
          </w:p>
        </w:tc>
        <w:tc>
          <w:tcPr>
            <w:tcW w:w="0" w:type="auto"/>
            <w:vAlign w:val="center"/>
            <w:hideMark/>
          </w:tcPr>
          <w:p w14:paraId="36ED3C2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To assess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provision of UGI in Berlin.</w:t>
            </w:r>
          </w:p>
        </w:tc>
        <w:tc>
          <w:tcPr>
            <w:tcW w:w="0" w:type="auto"/>
            <w:vAlign w:val="center"/>
            <w:hideMark/>
          </w:tcPr>
          <w:p w14:paraId="4629313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Spatial analysis.</w:t>
            </w:r>
          </w:p>
        </w:tc>
        <w:tc>
          <w:tcPr>
            <w:tcW w:w="0" w:type="auto"/>
            <w:vAlign w:val="center"/>
            <w:hideMark/>
          </w:tcPr>
          <w:p w14:paraId="355188F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uneven green distribution across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city.</w:t>
            </w:r>
          </w:p>
        </w:tc>
        <w:tc>
          <w:tcPr>
            <w:tcW w:w="0" w:type="auto"/>
            <w:vAlign w:val="center"/>
            <w:hideMark/>
          </w:tcPr>
          <w:p w14:paraId="13FFFC8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Provides </w:t>
            </w:r>
            <w:r w:rsidR="00F81257">
              <w:rPr>
                <w:rFonts w:ascii="Times New Roman" w:eastAsia="Times New Roman" w:hAnsi="Times New Roman" w:cs="Times New Roman"/>
                <w:sz w:val="20"/>
                <w:szCs w:val="20"/>
                <w:lang w:val="en-US"/>
              </w:rPr>
              <w:t xml:space="preserve">a </w:t>
            </w:r>
            <w:r w:rsidRPr="004B16FF">
              <w:rPr>
                <w:rFonts w:ascii="Times New Roman" w:eastAsia="Times New Roman" w:hAnsi="Times New Roman" w:cs="Times New Roman"/>
                <w:sz w:val="20"/>
                <w:szCs w:val="20"/>
                <w:lang w:val="en-US"/>
              </w:rPr>
              <w:t>comparative case of green justice.</w:t>
            </w:r>
          </w:p>
        </w:tc>
      </w:tr>
      <w:tr w:rsidR="000501F0" w:rsidRPr="004B16FF" w14:paraId="7CF72660" w14:textId="77777777" w:rsidTr="00907052">
        <w:trPr>
          <w:tblCellSpacing w:w="15" w:type="dxa"/>
        </w:trPr>
        <w:tc>
          <w:tcPr>
            <w:tcW w:w="0" w:type="auto"/>
            <w:vAlign w:val="center"/>
            <w:hideMark/>
          </w:tcPr>
          <w:p w14:paraId="0128AB1D"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lastRenderedPageBreak/>
              <w:t>Anguelovski</w:t>
            </w:r>
            <w:proofErr w:type="spellEnd"/>
            <w:r w:rsidRPr="004B16FF">
              <w:rPr>
                <w:rFonts w:ascii="Times New Roman" w:eastAsia="Times New Roman" w:hAnsi="Times New Roman" w:cs="Times New Roman"/>
                <w:sz w:val="20"/>
                <w:szCs w:val="20"/>
                <w:lang w:val="en-US"/>
              </w:rPr>
              <w:t xml:space="preserve"> et al. (2018)</w:t>
            </w:r>
          </w:p>
        </w:tc>
        <w:tc>
          <w:tcPr>
            <w:tcW w:w="0" w:type="auto"/>
            <w:vAlign w:val="center"/>
            <w:hideMark/>
          </w:tcPr>
          <w:p w14:paraId="103931C2"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assess green gentrification impacts.</w:t>
            </w:r>
          </w:p>
        </w:tc>
        <w:tc>
          <w:tcPr>
            <w:tcW w:w="0" w:type="auto"/>
            <w:vAlign w:val="center"/>
            <w:hideMark/>
          </w:tcPr>
          <w:p w14:paraId="7D36981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Urban geography study.</w:t>
            </w:r>
          </w:p>
        </w:tc>
        <w:tc>
          <w:tcPr>
            <w:tcW w:w="0" w:type="auto"/>
            <w:vAlign w:val="center"/>
            <w:hideMark/>
          </w:tcPr>
          <w:p w14:paraId="3276CEE4"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Found vulnerable groups </w:t>
            </w:r>
            <w:r w:rsidR="00F81257">
              <w:rPr>
                <w:rFonts w:ascii="Times New Roman" w:eastAsia="Times New Roman" w:hAnsi="Times New Roman" w:cs="Times New Roman"/>
                <w:sz w:val="20"/>
                <w:szCs w:val="20"/>
                <w:lang w:val="en-US"/>
              </w:rPr>
              <w:t xml:space="preserve">are </w:t>
            </w:r>
            <w:r w:rsidRPr="004B16FF">
              <w:rPr>
                <w:rFonts w:ascii="Times New Roman" w:eastAsia="Times New Roman" w:hAnsi="Times New Roman" w:cs="Times New Roman"/>
                <w:sz w:val="20"/>
                <w:szCs w:val="20"/>
                <w:lang w:val="en-US"/>
              </w:rPr>
              <w:t>often excluded from green benefits.</w:t>
            </w:r>
          </w:p>
        </w:tc>
        <w:tc>
          <w:tcPr>
            <w:tcW w:w="0" w:type="auto"/>
            <w:vAlign w:val="center"/>
            <w:hideMark/>
          </w:tcPr>
          <w:p w14:paraId="12EBD92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 xml:space="preserve">Introduces </w:t>
            </w:r>
            <w:r w:rsidR="00F81257">
              <w:rPr>
                <w:rFonts w:ascii="Times New Roman" w:eastAsia="Times New Roman" w:hAnsi="Times New Roman" w:cs="Times New Roman"/>
                <w:sz w:val="20"/>
                <w:szCs w:val="20"/>
                <w:lang w:val="en-US"/>
              </w:rPr>
              <w:t xml:space="preserve">the </w:t>
            </w:r>
            <w:r w:rsidRPr="004B16FF">
              <w:rPr>
                <w:rFonts w:ascii="Times New Roman" w:eastAsia="Times New Roman" w:hAnsi="Times New Roman" w:cs="Times New Roman"/>
                <w:sz w:val="20"/>
                <w:szCs w:val="20"/>
                <w:lang w:val="en-US"/>
              </w:rPr>
              <w:t>environmental justice dimension.</w:t>
            </w:r>
          </w:p>
        </w:tc>
      </w:tr>
      <w:tr w:rsidR="000501F0" w:rsidRPr="004B16FF" w14:paraId="11AB3758" w14:textId="77777777" w:rsidTr="00907052">
        <w:trPr>
          <w:tblCellSpacing w:w="15" w:type="dxa"/>
        </w:trPr>
        <w:tc>
          <w:tcPr>
            <w:tcW w:w="0" w:type="auto"/>
            <w:vAlign w:val="center"/>
            <w:hideMark/>
          </w:tcPr>
          <w:p w14:paraId="30883653"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Frantzeskaki</w:t>
            </w:r>
            <w:proofErr w:type="spellEnd"/>
            <w:r w:rsidRPr="004B16FF">
              <w:rPr>
                <w:rFonts w:ascii="Times New Roman" w:eastAsia="Times New Roman" w:hAnsi="Times New Roman" w:cs="Times New Roman"/>
                <w:sz w:val="20"/>
                <w:szCs w:val="20"/>
                <w:lang w:val="en-US"/>
              </w:rPr>
              <w:t xml:space="preserve"> et al. (2019)</w:t>
            </w:r>
          </w:p>
        </w:tc>
        <w:tc>
          <w:tcPr>
            <w:tcW w:w="0" w:type="auto"/>
            <w:vAlign w:val="center"/>
            <w:hideMark/>
          </w:tcPr>
          <w:p w14:paraId="7498D4F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link science, policy, and practice for NBS.</w:t>
            </w:r>
          </w:p>
        </w:tc>
        <w:tc>
          <w:tcPr>
            <w:tcW w:w="0" w:type="auto"/>
            <w:vAlign w:val="center"/>
            <w:hideMark/>
          </w:tcPr>
          <w:p w14:paraId="262EADCC"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Review.</w:t>
            </w:r>
          </w:p>
        </w:tc>
        <w:tc>
          <w:tcPr>
            <w:tcW w:w="0" w:type="auto"/>
            <w:vAlign w:val="center"/>
            <w:hideMark/>
          </w:tcPr>
          <w:p w14:paraId="67CE2913"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is critical for climate adaptation.</w:t>
            </w:r>
          </w:p>
        </w:tc>
        <w:tc>
          <w:tcPr>
            <w:tcW w:w="0" w:type="auto"/>
            <w:vAlign w:val="center"/>
            <w:hideMark/>
          </w:tcPr>
          <w:p w14:paraId="6B0AA00E"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Reinforces resilience-building role.</w:t>
            </w:r>
          </w:p>
        </w:tc>
      </w:tr>
      <w:tr w:rsidR="000501F0" w:rsidRPr="004B16FF" w14:paraId="07D47F5E" w14:textId="77777777" w:rsidTr="00907052">
        <w:trPr>
          <w:tblCellSpacing w:w="15" w:type="dxa"/>
        </w:trPr>
        <w:tc>
          <w:tcPr>
            <w:tcW w:w="0" w:type="auto"/>
            <w:vAlign w:val="center"/>
            <w:hideMark/>
          </w:tcPr>
          <w:p w14:paraId="7076E0FD"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Rigolon</w:t>
            </w:r>
            <w:proofErr w:type="spellEnd"/>
            <w:r w:rsidRPr="004B16FF">
              <w:rPr>
                <w:rFonts w:ascii="Times New Roman" w:eastAsia="Times New Roman" w:hAnsi="Times New Roman" w:cs="Times New Roman"/>
                <w:sz w:val="20"/>
                <w:szCs w:val="20"/>
                <w:lang w:val="en-US"/>
              </w:rPr>
              <w:t xml:space="preserve"> et al. (2021)</w:t>
            </w:r>
          </w:p>
        </w:tc>
        <w:tc>
          <w:tcPr>
            <w:tcW w:w="0" w:type="auto"/>
            <w:vAlign w:val="center"/>
            <w:hideMark/>
          </w:tcPr>
          <w:p w14:paraId="1BA248B1"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access to UGI in Global South cities.</w:t>
            </w:r>
          </w:p>
        </w:tc>
        <w:tc>
          <w:tcPr>
            <w:tcW w:w="0" w:type="auto"/>
            <w:vAlign w:val="center"/>
            <w:hideMark/>
          </w:tcPr>
          <w:p w14:paraId="3BCB6EAA"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Systematic review.</w:t>
            </w:r>
          </w:p>
        </w:tc>
        <w:tc>
          <w:tcPr>
            <w:tcW w:w="0" w:type="auto"/>
            <w:vAlign w:val="center"/>
            <w:hideMark/>
          </w:tcPr>
          <w:p w14:paraId="06614AB9" w14:textId="77777777" w:rsidR="000501F0" w:rsidRPr="004B16FF" w:rsidRDefault="00F81257" w:rsidP="00CF2BC0">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Marginalized</w:t>
            </w:r>
            <w:r w:rsidR="000501F0" w:rsidRPr="004B16FF">
              <w:rPr>
                <w:rFonts w:ascii="Times New Roman" w:eastAsia="Times New Roman" w:hAnsi="Times New Roman" w:cs="Times New Roman"/>
                <w:sz w:val="20"/>
                <w:szCs w:val="20"/>
                <w:lang w:val="en-US"/>
              </w:rPr>
              <w:t xml:space="preserve"> groups often lack green access.</w:t>
            </w:r>
          </w:p>
        </w:tc>
        <w:tc>
          <w:tcPr>
            <w:tcW w:w="0" w:type="auto"/>
            <w:vAlign w:val="center"/>
            <w:hideMark/>
          </w:tcPr>
          <w:p w14:paraId="5D7C6250"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Highlights inequalities relevant for Ghana.</w:t>
            </w:r>
          </w:p>
        </w:tc>
      </w:tr>
      <w:tr w:rsidR="000501F0" w:rsidRPr="004B16FF" w14:paraId="188E3D06" w14:textId="77777777" w:rsidTr="00CF2BC0">
        <w:trPr>
          <w:tblCellSpacing w:w="15" w:type="dxa"/>
        </w:trPr>
        <w:tc>
          <w:tcPr>
            <w:tcW w:w="0" w:type="auto"/>
            <w:tcBorders>
              <w:bottom w:val="single" w:sz="4" w:space="0" w:color="auto"/>
            </w:tcBorders>
            <w:vAlign w:val="center"/>
            <w:hideMark/>
          </w:tcPr>
          <w:p w14:paraId="7E26E6A0" w14:textId="77777777" w:rsidR="000501F0" w:rsidRPr="004B16FF" w:rsidRDefault="000501F0" w:rsidP="00CF2BC0">
            <w:pPr>
              <w:spacing w:after="0" w:line="240" w:lineRule="auto"/>
              <w:rPr>
                <w:rFonts w:ascii="Times New Roman" w:eastAsia="Times New Roman" w:hAnsi="Times New Roman" w:cs="Times New Roman"/>
                <w:sz w:val="20"/>
                <w:szCs w:val="20"/>
                <w:lang w:val="en-US"/>
              </w:rPr>
            </w:pPr>
            <w:proofErr w:type="spellStart"/>
            <w:r w:rsidRPr="004B16FF">
              <w:rPr>
                <w:rFonts w:ascii="Times New Roman" w:eastAsia="Times New Roman" w:hAnsi="Times New Roman" w:cs="Times New Roman"/>
                <w:sz w:val="20"/>
                <w:szCs w:val="20"/>
                <w:lang w:val="en-US"/>
              </w:rPr>
              <w:t>Ashinze</w:t>
            </w:r>
            <w:proofErr w:type="spellEnd"/>
            <w:r w:rsidRPr="004B16FF">
              <w:rPr>
                <w:rFonts w:ascii="Times New Roman" w:eastAsia="Times New Roman" w:hAnsi="Times New Roman" w:cs="Times New Roman"/>
                <w:sz w:val="20"/>
                <w:szCs w:val="20"/>
                <w:lang w:val="en-US"/>
              </w:rPr>
              <w:t xml:space="preserve"> et al. (2024)</w:t>
            </w:r>
          </w:p>
        </w:tc>
        <w:tc>
          <w:tcPr>
            <w:tcW w:w="0" w:type="auto"/>
            <w:tcBorders>
              <w:bottom w:val="single" w:sz="4" w:space="0" w:color="auto"/>
            </w:tcBorders>
            <w:vAlign w:val="center"/>
            <w:hideMark/>
          </w:tcPr>
          <w:p w14:paraId="356A922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To review UGI and sustainable cities.</w:t>
            </w:r>
          </w:p>
        </w:tc>
        <w:tc>
          <w:tcPr>
            <w:tcW w:w="0" w:type="auto"/>
            <w:tcBorders>
              <w:bottom w:val="single" w:sz="4" w:space="0" w:color="auto"/>
            </w:tcBorders>
            <w:vAlign w:val="center"/>
            <w:hideMark/>
          </w:tcPr>
          <w:p w14:paraId="54755F6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Comprehensive review.</w:t>
            </w:r>
          </w:p>
        </w:tc>
        <w:tc>
          <w:tcPr>
            <w:tcW w:w="0" w:type="auto"/>
            <w:tcBorders>
              <w:bottom w:val="single" w:sz="4" w:space="0" w:color="auto"/>
            </w:tcBorders>
            <w:vAlign w:val="center"/>
            <w:hideMark/>
          </w:tcPr>
          <w:p w14:paraId="35D98A3F"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Found UGI reduces flooding, regulates temperatures, and sequesters carbon.</w:t>
            </w:r>
          </w:p>
        </w:tc>
        <w:tc>
          <w:tcPr>
            <w:tcW w:w="0" w:type="auto"/>
            <w:tcBorders>
              <w:bottom w:val="single" w:sz="4" w:space="0" w:color="auto"/>
            </w:tcBorders>
            <w:vAlign w:val="center"/>
            <w:hideMark/>
          </w:tcPr>
          <w:p w14:paraId="75996395" w14:textId="77777777" w:rsidR="000501F0" w:rsidRPr="004B16FF" w:rsidRDefault="000501F0" w:rsidP="00CF2BC0">
            <w:pPr>
              <w:spacing w:after="0" w:line="240" w:lineRule="auto"/>
              <w:jc w:val="center"/>
              <w:rPr>
                <w:rFonts w:ascii="Times New Roman" w:eastAsia="Times New Roman" w:hAnsi="Times New Roman" w:cs="Times New Roman"/>
                <w:sz w:val="20"/>
                <w:szCs w:val="20"/>
                <w:lang w:val="en-US"/>
              </w:rPr>
            </w:pPr>
            <w:r w:rsidRPr="004B16FF">
              <w:rPr>
                <w:rFonts w:ascii="Times New Roman" w:eastAsia="Times New Roman" w:hAnsi="Times New Roman" w:cs="Times New Roman"/>
                <w:sz w:val="20"/>
                <w:szCs w:val="20"/>
                <w:lang w:val="en-US"/>
              </w:rPr>
              <w:t>Global framework linking UGI to resilience.</w:t>
            </w:r>
          </w:p>
        </w:tc>
      </w:tr>
    </w:tbl>
    <w:p w14:paraId="23C7C641" w14:textId="77777777" w:rsidR="000501F0" w:rsidRPr="004B16FF" w:rsidRDefault="000501F0" w:rsidP="00E707CE">
      <w:pPr>
        <w:jc w:val="center"/>
        <w:rPr>
          <w:rFonts w:ascii="Times New Roman" w:hAnsi="Times New Roman" w:cs="Times New Roman"/>
          <w:sz w:val="20"/>
          <w:szCs w:val="20"/>
          <w:lang w:val="en-US"/>
        </w:rPr>
      </w:pPr>
      <w:r w:rsidRPr="000501F0">
        <w:rPr>
          <w:rFonts w:ascii="Times New Roman" w:hAnsi="Times New Roman" w:cs="Times New Roman"/>
          <w:sz w:val="20"/>
          <w:szCs w:val="20"/>
          <w:lang w:val="en-US"/>
        </w:rPr>
        <w:t>Source: Authors’ Construct</w:t>
      </w:r>
    </w:p>
    <w:p w14:paraId="420D727F" w14:textId="77777777" w:rsidR="000501F0" w:rsidRPr="000501F0" w:rsidRDefault="000501F0" w:rsidP="000501F0">
      <w:pPr>
        <w:pStyle w:val="NormalWeb"/>
        <w:jc w:val="both"/>
        <w:rPr>
          <w:sz w:val="20"/>
          <w:szCs w:val="20"/>
        </w:rPr>
      </w:pPr>
      <w:r w:rsidRPr="000501F0">
        <w:rPr>
          <w:sz w:val="20"/>
          <w:szCs w:val="20"/>
        </w:rPr>
        <w:t xml:space="preserve">Urban green infrastructure also contributes significantly to climate resilience while raising important issues of environmental justice. </w:t>
      </w:r>
      <w:proofErr w:type="spellStart"/>
      <w:r w:rsidRPr="000501F0">
        <w:rPr>
          <w:sz w:val="20"/>
          <w:szCs w:val="20"/>
        </w:rPr>
        <w:t>Frantzeskaki</w:t>
      </w:r>
      <w:proofErr w:type="spellEnd"/>
      <w:r w:rsidRPr="000501F0">
        <w:rPr>
          <w:sz w:val="20"/>
          <w:szCs w:val="20"/>
        </w:rPr>
        <w:t xml:space="preserve"> et al. (2019) and </w:t>
      </w:r>
      <w:proofErr w:type="spellStart"/>
      <w:r w:rsidRPr="000501F0">
        <w:rPr>
          <w:sz w:val="20"/>
          <w:szCs w:val="20"/>
        </w:rPr>
        <w:t>Ashinze</w:t>
      </w:r>
      <w:proofErr w:type="spellEnd"/>
      <w:r w:rsidRPr="000501F0">
        <w:rPr>
          <w:sz w:val="20"/>
          <w:szCs w:val="20"/>
        </w:rPr>
        <w:t xml:space="preserve"> et al. (2024) show that green spaces reduce urban flooding, mitigate heat stress, sequester carbon, and provide habitats that enhance ecological balance. These findings confirm the universal role of UGI in building climate-resilient cities. However, spatial analyses reveal inequities in green provision. Kabisch and Haase (2014) demonstrate unequal distribution of green spaces in Berlin, while </w:t>
      </w:r>
      <w:proofErr w:type="spellStart"/>
      <w:r w:rsidRPr="000501F0">
        <w:rPr>
          <w:sz w:val="20"/>
          <w:szCs w:val="20"/>
        </w:rPr>
        <w:t>Rigolon</w:t>
      </w:r>
      <w:proofErr w:type="spellEnd"/>
      <w:r w:rsidRPr="000501F0">
        <w:rPr>
          <w:sz w:val="20"/>
          <w:szCs w:val="20"/>
        </w:rPr>
        <w:t xml:space="preserve"> et al. (2021) find that marginalized populations in Global South cities often have limited access to greenery. Comparisons reveal different justice dimensions. In the Global North, studies focus on “green gentrification,” where new green amenities displace vulnerable residents (</w:t>
      </w:r>
      <w:proofErr w:type="spellStart"/>
      <w:r w:rsidRPr="000501F0">
        <w:rPr>
          <w:sz w:val="20"/>
          <w:szCs w:val="20"/>
        </w:rPr>
        <w:t>Anguelovski</w:t>
      </w:r>
      <w:proofErr w:type="spellEnd"/>
      <w:r w:rsidRPr="000501F0">
        <w:rPr>
          <w:sz w:val="20"/>
          <w:szCs w:val="20"/>
        </w:rPr>
        <w:t xml:space="preserve"> et al., 2018). In Ghana and other African contexts, the problem is often one of </w:t>
      </w:r>
      <w:proofErr w:type="spellStart"/>
      <w:r w:rsidRPr="00CF3B16">
        <w:rPr>
          <w:color w:val="FF0000"/>
          <w:sz w:val="20"/>
          <w:szCs w:val="20"/>
        </w:rPr>
        <w:t>underprovision</w:t>
      </w:r>
      <w:proofErr w:type="spellEnd"/>
      <w:r w:rsidRPr="00CF3B16">
        <w:rPr>
          <w:color w:val="FF0000"/>
          <w:sz w:val="20"/>
          <w:szCs w:val="20"/>
        </w:rPr>
        <w:t>:</w:t>
      </w:r>
      <w:r w:rsidRPr="000501F0">
        <w:rPr>
          <w:sz w:val="20"/>
          <w:szCs w:val="20"/>
        </w:rPr>
        <w:t xml:space="preserve"> informal settlements lack basic green infrastructure, leaving residents more exposed to floods and heat risks. The Accra and Kumasi examples reflect both challenges: lack of provision now and risks of displacement in the future if greening is not equitably planned. The argument here is that while green infrastructure is indispensable for climate adaptation, it can inadvertently exacerbate social inequalities if equity is not deliberately built into planning. For Ghanaian cities, pro-poor greening strategies that prioritize vulnerable neighborhoods are essential. Policies must also anticipate the potential for green-driven displacement and integrate anti-displacement measures into urban planning. Equity-driven monitoring tools, such as disaggregated indicators for tree canopy and access to parks, are critical to ensuring that resilience benefits are shared across all social groups.</w:t>
      </w:r>
    </w:p>
    <w:p w14:paraId="18EE4589" w14:textId="77777777" w:rsidR="000501F0" w:rsidRPr="002F0D27" w:rsidRDefault="00B27DD3" w:rsidP="000501F0">
      <w:pPr>
        <w:spacing w:line="240" w:lineRule="auto"/>
        <w:jc w:val="both"/>
        <w:rPr>
          <w:rFonts w:ascii="Times New Roman" w:hAnsi="Times New Roman" w:cs="Times New Roman"/>
          <w:b/>
          <w:sz w:val="20"/>
          <w:szCs w:val="20"/>
        </w:rPr>
      </w:pPr>
      <w:r w:rsidRPr="000501F0">
        <w:rPr>
          <w:rFonts w:ascii="Times New Roman" w:hAnsi="Times New Roman" w:cs="Times New Roman"/>
          <w:b/>
          <w:sz w:val="20"/>
          <w:szCs w:val="20"/>
        </w:rPr>
        <w:t xml:space="preserve">5. CONCLUSION </w:t>
      </w:r>
    </w:p>
    <w:p w14:paraId="07EE529E" w14:textId="77777777" w:rsidR="00421092" w:rsidRDefault="00AB438B" w:rsidP="00421092">
      <w:pPr>
        <w:spacing w:after="200" w:line="276"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This paper</w:t>
      </w:r>
      <w:r w:rsidR="00421092" w:rsidRPr="00421092">
        <w:rPr>
          <w:rFonts w:ascii="Times New Roman" w:eastAsia="Times New Roman" w:hAnsi="Times New Roman" w:cs="Times New Roman"/>
          <w:sz w:val="20"/>
          <w:szCs w:val="20"/>
          <w:lang w:val="en-US"/>
        </w:rPr>
        <w:t xml:space="preserve"> has demonstrated that urban green infrastructure (UGI) delivers vital ecological and social benefits in cities. For pollinator biodiversity, UGI offers nesting habitats, varied floral resources, connectivity, and management practices that maintain species richness. In Ghana, where formal parks are scarce, home gardens, roadside vegetation, and community green spaces are particularly significant. However, practices like ornamental landscaping, poor ecological networks, and intensive management compromise pollinator support. For community well-being, UGI provides physical health, mental restoration, social cohesion, cultural identity, and climate resilience. Inequitable access, under-provision in informal settlements, and neglect of cultural values limit its full contribution in Accra and Kumasi. Context-sensitive solutions are necessary to confront these challenges. To begin with, urban policies need to acknowledge and encourage home and community gardens, whereas landscaping standards need to favor native flowering plants that benefit both biodiversity and agriculture. Ecological corridors between fragmented green patches need to be created through roadside </w:t>
      </w:r>
      <w:r>
        <w:rPr>
          <w:rFonts w:ascii="Times New Roman" w:eastAsia="Times New Roman" w:hAnsi="Times New Roman" w:cs="Times New Roman"/>
          <w:sz w:val="20"/>
          <w:szCs w:val="20"/>
          <w:lang w:val="en-US"/>
        </w:rPr>
        <w:t>vegetation</w:t>
      </w:r>
      <w:r w:rsidR="00421092" w:rsidRPr="00421092">
        <w:rPr>
          <w:rFonts w:ascii="Times New Roman" w:eastAsia="Times New Roman" w:hAnsi="Times New Roman" w:cs="Times New Roman"/>
          <w:sz w:val="20"/>
          <w:szCs w:val="20"/>
          <w:lang w:val="en-US"/>
        </w:rPr>
        <w:t xml:space="preserve"> and street tree planting, and park management needs to move towards adaptive strategies like seasonal mowing and pesticide-free management. Secondly, for optimum social benefits, tree canopy expansion needs to be targeted in heat-vulnerable neighborhoods, whereas school greening programs and community gardens need to be promoted as low-cost physical and mental health interventions. Achieving tenure for community-managed spaces and safeguarding culturally valuable groves and heritage trees will also maintain identity and cohesion. Last but not least, greening initiatives must prioritize vulnerable settlements for climate adaptation while incorporating safeguards against displacement. By balancing global lessons with Ghanaian realities, UGI can emerge as a transformative force for biodiversity conservation, human well-being, and equitable urban development.</w:t>
      </w:r>
    </w:p>
    <w:p w14:paraId="5CE43390" w14:textId="77777777" w:rsidR="00AE665D" w:rsidRPr="00D17583" w:rsidRDefault="00AE665D" w:rsidP="00AE665D">
      <w:pPr>
        <w:spacing w:after="200" w:line="276" w:lineRule="auto"/>
        <w:rPr>
          <w:rFonts w:ascii="Times New Roman" w:eastAsia="Calibri" w:hAnsi="Times New Roman" w:cs="Times New Roman"/>
          <w:b/>
          <w:bCs/>
          <w:sz w:val="20"/>
          <w:szCs w:val="20"/>
        </w:rPr>
      </w:pPr>
      <w:r w:rsidRPr="00D17583">
        <w:rPr>
          <w:rFonts w:ascii="Times New Roman" w:eastAsia="Calibri" w:hAnsi="Times New Roman" w:cs="Times New Roman"/>
          <w:b/>
          <w:bCs/>
          <w:sz w:val="20"/>
          <w:szCs w:val="20"/>
        </w:rPr>
        <w:lastRenderedPageBreak/>
        <w:t>Disclaimer (Artificial intelligence)</w:t>
      </w:r>
    </w:p>
    <w:p w14:paraId="399B160C" w14:textId="77777777" w:rsidR="005F5BB9" w:rsidRDefault="00421092" w:rsidP="000501F0">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The author </w:t>
      </w:r>
      <w:r w:rsidR="00AE665D" w:rsidRPr="00D17583">
        <w:rPr>
          <w:rFonts w:ascii="Times New Roman" w:eastAsia="Calibri" w:hAnsi="Times New Roman" w:cs="Times New Roman"/>
          <w:sz w:val="20"/>
          <w:szCs w:val="20"/>
        </w:rPr>
        <w:t xml:space="preserve">(s) hereby </w:t>
      </w:r>
      <w:r w:rsidR="00AB438B">
        <w:rPr>
          <w:rFonts w:ascii="Times New Roman" w:eastAsia="Calibri" w:hAnsi="Times New Roman" w:cs="Times New Roman"/>
          <w:sz w:val="20"/>
          <w:szCs w:val="20"/>
        </w:rPr>
        <w:t>declare</w:t>
      </w:r>
      <w:r w:rsidR="00AE665D" w:rsidRPr="00D17583">
        <w:rPr>
          <w:rFonts w:ascii="Times New Roman" w:eastAsia="Calibri" w:hAnsi="Times New Roman" w:cs="Times New Roman"/>
          <w:sz w:val="20"/>
          <w:szCs w:val="20"/>
        </w:rPr>
        <w:t xml:space="preserve"> that NO generative AI technologies</w:t>
      </w:r>
      <w:r w:rsidR="00F81257">
        <w:rPr>
          <w:rFonts w:ascii="Times New Roman" w:eastAsia="Calibri" w:hAnsi="Times New Roman" w:cs="Times New Roman"/>
          <w:sz w:val="20"/>
          <w:szCs w:val="20"/>
        </w:rPr>
        <w:t>,</w:t>
      </w:r>
      <w:r w:rsidR="00AE665D" w:rsidRPr="00D17583">
        <w:rPr>
          <w:rFonts w:ascii="Times New Roman" w:eastAsia="Calibri" w:hAnsi="Times New Roman" w:cs="Times New Roman"/>
          <w:sz w:val="20"/>
          <w:szCs w:val="20"/>
        </w:rPr>
        <w:t xml:space="preserve"> such as Large Language Models (ChatGPT, COPILOT, etc.) and text-to-image generators</w:t>
      </w:r>
      <w:r w:rsidR="00F81257">
        <w:rPr>
          <w:rFonts w:ascii="Times New Roman" w:eastAsia="Calibri" w:hAnsi="Times New Roman" w:cs="Times New Roman"/>
          <w:sz w:val="20"/>
          <w:szCs w:val="20"/>
        </w:rPr>
        <w:t>,</w:t>
      </w:r>
      <w:r w:rsidR="00AE665D" w:rsidRPr="00D17583">
        <w:rPr>
          <w:rFonts w:ascii="Times New Roman" w:eastAsia="Calibri" w:hAnsi="Times New Roman" w:cs="Times New Roman"/>
          <w:sz w:val="20"/>
          <w:szCs w:val="20"/>
        </w:rPr>
        <w:t xml:space="preserve"> have been used during the writing or editing of this manuscript</w:t>
      </w:r>
      <w:r w:rsidR="00F81257">
        <w:rPr>
          <w:rFonts w:ascii="Times New Roman" w:eastAsia="Calibri" w:hAnsi="Times New Roman" w:cs="Times New Roman"/>
          <w:sz w:val="20"/>
          <w:szCs w:val="20"/>
        </w:rPr>
        <w:t>.</w:t>
      </w:r>
    </w:p>
    <w:p w14:paraId="1833DE8A" w14:textId="77777777" w:rsidR="004D69B7" w:rsidRDefault="004D69B7" w:rsidP="000501F0">
      <w:pPr>
        <w:spacing w:line="240" w:lineRule="auto"/>
        <w:jc w:val="both"/>
        <w:rPr>
          <w:rFonts w:ascii="Times New Roman" w:eastAsia="Calibri" w:hAnsi="Times New Roman" w:cs="Times New Roman"/>
          <w:sz w:val="20"/>
          <w:szCs w:val="20"/>
        </w:rPr>
      </w:pPr>
    </w:p>
    <w:p w14:paraId="59C52C45" w14:textId="77777777" w:rsidR="004D69B7" w:rsidRDefault="004D69B7" w:rsidP="000501F0">
      <w:pPr>
        <w:spacing w:line="240" w:lineRule="auto"/>
        <w:jc w:val="both"/>
        <w:rPr>
          <w:rFonts w:ascii="Times New Roman" w:eastAsia="Calibri" w:hAnsi="Times New Roman" w:cs="Times New Roman"/>
          <w:sz w:val="20"/>
          <w:szCs w:val="20"/>
        </w:rPr>
      </w:pPr>
    </w:p>
    <w:p w14:paraId="358210CC" w14:textId="77777777" w:rsidR="004D69B7" w:rsidRDefault="004D69B7" w:rsidP="004D69B7">
      <w:pPr>
        <w:spacing w:line="240" w:lineRule="auto"/>
        <w:jc w:val="both"/>
        <w:rPr>
          <w:rFonts w:ascii="Times New Roman" w:hAnsi="Times New Roman" w:cs="Times New Roman"/>
          <w:sz w:val="20"/>
          <w:szCs w:val="20"/>
          <w:lang w:val="en-US"/>
        </w:rPr>
      </w:pPr>
    </w:p>
    <w:p w14:paraId="313BC12C" w14:textId="77777777" w:rsidR="00367914" w:rsidRPr="00367914" w:rsidRDefault="00367914" w:rsidP="00367914">
      <w:pPr>
        <w:spacing w:line="240" w:lineRule="auto"/>
        <w:jc w:val="both"/>
        <w:rPr>
          <w:rFonts w:ascii="Times New Roman" w:hAnsi="Times New Roman" w:cs="Times New Roman"/>
          <w:sz w:val="20"/>
          <w:szCs w:val="20"/>
          <w:lang w:val="en-US"/>
        </w:rPr>
      </w:pPr>
      <w:r w:rsidRPr="00367914">
        <w:rPr>
          <w:rFonts w:ascii="Times New Roman" w:hAnsi="Times New Roman" w:cs="Times New Roman"/>
          <w:sz w:val="20"/>
          <w:szCs w:val="20"/>
          <w:lang w:val="en-US"/>
        </w:rPr>
        <w:t>COMPETING INTERESTS DISCLAIMER:</w:t>
      </w:r>
    </w:p>
    <w:p w14:paraId="59CB29E4" w14:textId="5C6E7160" w:rsidR="004D69B7" w:rsidRDefault="00367914" w:rsidP="00367914">
      <w:pPr>
        <w:spacing w:line="240" w:lineRule="auto"/>
        <w:jc w:val="both"/>
        <w:rPr>
          <w:rFonts w:ascii="Times New Roman" w:hAnsi="Times New Roman" w:cs="Times New Roman"/>
          <w:sz w:val="20"/>
          <w:szCs w:val="20"/>
          <w:lang w:val="en-US"/>
        </w:rPr>
      </w:pPr>
      <w:r w:rsidRPr="00367914">
        <w:rPr>
          <w:rFonts w:ascii="Times New Roman" w:hAnsi="Times New Roman" w:cs="Times New Roman"/>
          <w:sz w:val="20"/>
          <w:szCs w:val="20"/>
          <w:lang w:val="en-US"/>
        </w:rPr>
        <w:t>Authors have declared that they have no known competing financial interests OR non-financial interests OR personal relationships that could have appeared to influence the work reported in this paper.</w:t>
      </w:r>
    </w:p>
    <w:p w14:paraId="6212EA1D" w14:textId="77777777" w:rsidR="004D69B7" w:rsidRDefault="004D69B7" w:rsidP="004D69B7">
      <w:pPr>
        <w:spacing w:line="240" w:lineRule="auto"/>
        <w:jc w:val="both"/>
        <w:rPr>
          <w:rFonts w:ascii="Times New Roman" w:hAnsi="Times New Roman" w:cs="Times New Roman"/>
          <w:sz w:val="20"/>
          <w:szCs w:val="20"/>
          <w:lang w:val="en-US"/>
        </w:rPr>
      </w:pPr>
    </w:p>
    <w:p w14:paraId="49AD9C69" w14:textId="77777777" w:rsidR="004D69B7" w:rsidRPr="000501F0" w:rsidRDefault="004D69B7" w:rsidP="000501F0">
      <w:pPr>
        <w:spacing w:line="240" w:lineRule="auto"/>
        <w:jc w:val="both"/>
        <w:rPr>
          <w:rFonts w:ascii="Times New Roman" w:hAnsi="Times New Roman" w:cs="Times New Roman"/>
          <w:sz w:val="20"/>
          <w:szCs w:val="20"/>
        </w:rPr>
      </w:pPr>
    </w:p>
    <w:p w14:paraId="0DA99212" w14:textId="77777777" w:rsidR="00BC4D77" w:rsidRPr="000501F0" w:rsidRDefault="00BC4D77" w:rsidP="000501F0">
      <w:pPr>
        <w:spacing w:line="240" w:lineRule="auto"/>
        <w:jc w:val="both"/>
        <w:rPr>
          <w:rFonts w:ascii="Times New Roman" w:hAnsi="Times New Roman" w:cs="Times New Roman"/>
          <w:b/>
          <w:sz w:val="20"/>
          <w:szCs w:val="20"/>
        </w:rPr>
      </w:pPr>
      <w:r w:rsidRPr="000501F0">
        <w:rPr>
          <w:rFonts w:ascii="Times New Roman" w:hAnsi="Times New Roman" w:cs="Times New Roman"/>
          <w:b/>
          <w:sz w:val="20"/>
          <w:szCs w:val="20"/>
        </w:rPr>
        <w:t>REFERENCES</w:t>
      </w:r>
    </w:p>
    <w:p w14:paraId="3D55697F" w14:textId="77777777" w:rsidR="007D75A4" w:rsidRPr="000501F0" w:rsidRDefault="007D75A4" w:rsidP="000501F0">
      <w:pPr>
        <w:pStyle w:val="ListParagraph1"/>
        <w:spacing w:after="891" w:line="240" w:lineRule="auto"/>
        <w:ind w:left="993" w:right="136" w:hanging="993"/>
        <w:jc w:val="both"/>
        <w:rPr>
          <w:sz w:val="20"/>
          <w:szCs w:val="20"/>
        </w:rPr>
      </w:pPr>
      <w:proofErr w:type="spellStart"/>
      <w:r w:rsidRPr="000501F0">
        <w:rPr>
          <w:sz w:val="20"/>
          <w:szCs w:val="20"/>
        </w:rPr>
        <w:t>Abuaku</w:t>
      </w:r>
      <w:proofErr w:type="spellEnd"/>
      <w:r w:rsidRPr="000501F0">
        <w:rPr>
          <w:sz w:val="20"/>
          <w:szCs w:val="20"/>
        </w:rPr>
        <w:t xml:space="preserve">, E. (2020). </w:t>
      </w:r>
      <w:r w:rsidRPr="000501F0">
        <w:rPr>
          <w:rStyle w:val="Emphasis"/>
          <w:sz w:val="20"/>
          <w:szCs w:val="20"/>
        </w:rPr>
        <w:t>Accra Urban Green Infrastructure Project (AUGIP)</w:t>
      </w:r>
      <w:r w:rsidRPr="000501F0">
        <w:rPr>
          <w:sz w:val="20"/>
          <w:szCs w:val="20"/>
        </w:rPr>
        <w:t xml:space="preserve">. Closer Cities. </w:t>
      </w:r>
      <w:hyperlink r:id="rId23" w:history="1">
        <w:r w:rsidRPr="000501F0">
          <w:rPr>
            <w:rStyle w:val="Hyperlink"/>
            <w:sz w:val="20"/>
            <w:szCs w:val="20"/>
          </w:rPr>
          <w:t>https://closercities.org/projects/accra-urban-green-infrastructure-project-augip</w:t>
        </w:r>
      </w:hyperlink>
    </w:p>
    <w:p w14:paraId="10BD0661"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Akanbang</w:t>
      </w:r>
      <w:proofErr w:type="spellEnd"/>
      <w:r w:rsidRPr="000501F0">
        <w:rPr>
          <w:sz w:val="20"/>
          <w:szCs w:val="20"/>
        </w:rPr>
        <w:t xml:space="preserve">, B. A. A., </w:t>
      </w:r>
      <w:proofErr w:type="spellStart"/>
      <w:r w:rsidRPr="000501F0">
        <w:rPr>
          <w:sz w:val="20"/>
          <w:szCs w:val="20"/>
        </w:rPr>
        <w:t>Akaateba</w:t>
      </w:r>
      <w:proofErr w:type="spellEnd"/>
      <w:r w:rsidRPr="000501F0">
        <w:rPr>
          <w:sz w:val="20"/>
          <w:szCs w:val="20"/>
        </w:rPr>
        <w:t xml:space="preserve">, M. A., &amp; Korah, P. I. (2024). Creating and sustaining urban green spaces in Africa under phenomenal urbanisation: Residents’ perspectives on home gardens in </w:t>
      </w:r>
      <w:proofErr w:type="spellStart"/>
      <w:r w:rsidRPr="000501F0">
        <w:rPr>
          <w:sz w:val="20"/>
          <w:szCs w:val="20"/>
        </w:rPr>
        <w:t>Wa</w:t>
      </w:r>
      <w:proofErr w:type="spellEnd"/>
      <w:r w:rsidRPr="000501F0">
        <w:rPr>
          <w:sz w:val="20"/>
          <w:szCs w:val="20"/>
        </w:rPr>
        <w:t xml:space="preserve">, Ghana. </w:t>
      </w:r>
      <w:r w:rsidRPr="000501F0">
        <w:rPr>
          <w:rStyle w:val="Emphasis"/>
          <w:sz w:val="20"/>
          <w:szCs w:val="20"/>
        </w:rPr>
        <w:t>Discover Cities, 1</w:t>
      </w:r>
      <w:r w:rsidRPr="000501F0">
        <w:rPr>
          <w:sz w:val="20"/>
          <w:szCs w:val="20"/>
        </w:rPr>
        <w:t xml:space="preserve">(20). </w:t>
      </w:r>
      <w:hyperlink r:id="rId24" w:history="1">
        <w:r w:rsidRPr="000501F0">
          <w:rPr>
            <w:rStyle w:val="Hyperlink"/>
            <w:sz w:val="20"/>
            <w:szCs w:val="20"/>
          </w:rPr>
          <w:t>https://doi.org/10.1007/s44327-024-00025-3</w:t>
        </w:r>
      </w:hyperlink>
    </w:p>
    <w:p w14:paraId="3EAA7787" w14:textId="77777777" w:rsidR="001F6801" w:rsidRPr="000501F0" w:rsidRDefault="001F6801" w:rsidP="000501F0">
      <w:pPr>
        <w:pStyle w:val="ListParagraph1"/>
        <w:spacing w:after="891" w:line="240" w:lineRule="auto"/>
        <w:ind w:left="993" w:right="136" w:hanging="993"/>
        <w:jc w:val="both"/>
        <w:rPr>
          <w:sz w:val="20"/>
          <w:szCs w:val="20"/>
        </w:rPr>
      </w:pPr>
      <w:proofErr w:type="spellStart"/>
      <w:r w:rsidRPr="000501F0">
        <w:rPr>
          <w:sz w:val="20"/>
          <w:szCs w:val="20"/>
        </w:rPr>
        <w:t>Amegah</w:t>
      </w:r>
      <w:proofErr w:type="spellEnd"/>
      <w:r w:rsidRPr="000501F0">
        <w:rPr>
          <w:sz w:val="20"/>
          <w:szCs w:val="20"/>
        </w:rPr>
        <w:t xml:space="preserve">, A. K., Yeboah, K., Owusu, V., Afriyie, L., </w:t>
      </w:r>
      <w:proofErr w:type="spellStart"/>
      <w:r w:rsidRPr="000501F0">
        <w:rPr>
          <w:sz w:val="20"/>
          <w:szCs w:val="20"/>
        </w:rPr>
        <w:t>Kyere-Gyeabour</w:t>
      </w:r>
      <w:proofErr w:type="spellEnd"/>
      <w:r w:rsidRPr="000501F0">
        <w:rPr>
          <w:sz w:val="20"/>
          <w:szCs w:val="20"/>
        </w:rPr>
        <w:t xml:space="preserve">, E., Appiah, D. C., et al. (2023). Socio-demographic and neighbourhood factors influencing urban green space use and development at home: A population-based survey in Accra, Ghana. </w:t>
      </w:r>
      <w:r w:rsidRPr="000501F0">
        <w:rPr>
          <w:rStyle w:val="Emphasis"/>
          <w:sz w:val="20"/>
          <w:szCs w:val="20"/>
        </w:rPr>
        <w:t>PLOS ONE, 18</w:t>
      </w:r>
      <w:r w:rsidRPr="000501F0">
        <w:rPr>
          <w:sz w:val="20"/>
          <w:szCs w:val="20"/>
        </w:rPr>
        <w:t xml:space="preserve">(6), e0286332. </w:t>
      </w:r>
      <w:hyperlink r:id="rId25" w:history="1">
        <w:r w:rsidRPr="000501F0">
          <w:rPr>
            <w:rStyle w:val="Hyperlink"/>
            <w:sz w:val="20"/>
            <w:szCs w:val="20"/>
          </w:rPr>
          <w:t>https://doi.org/10.1371/journal.pone.0286332</w:t>
        </w:r>
      </w:hyperlink>
    </w:p>
    <w:p w14:paraId="2CB84A0A" w14:textId="77777777" w:rsidR="009D1B7C" w:rsidRPr="000501F0" w:rsidRDefault="009D1B7C" w:rsidP="000501F0">
      <w:pPr>
        <w:pStyle w:val="ListParagraph1"/>
        <w:spacing w:after="891" w:line="240" w:lineRule="auto"/>
        <w:ind w:left="993" w:right="136" w:hanging="993"/>
        <w:jc w:val="both"/>
        <w:rPr>
          <w:sz w:val="20"/>
          <w:szCs w:val="20"/>
        </w:rPr>
      </w:pPr>
      <w:r w:rsidRPr="000501F0">
        <w:rPr>
          <w:sz w:val="20"/>
          <w:szCs w:val="20"/>
        </w:rPr>
        <w:t xml:space="preserve">Amoako, C., &amp; Frimpong Boamah, E. (2017). Build as you know: Informal urbanism and the spatial politics of green space development in Kumasi, Ghana. </w:t>
      </w:r>
      <w:r w:rsidRPr="000501F0">
        <w:rPr>
          <w:rStyle w:val="Emphasis"/>
          <w:sz w:val="20"/>
          <w:szCs w:val="20"/>
        </w:rPr>
        <w:t>Landscape and Urban Planning, 167</w:t>
      </w:r>
      <w:r w:rsidRPr="000501F0">
        <w:rPr>
          <w:sz w:val="20"/>
          <w:szCs w:val="20"/>
        </w:rPr>
        <w:t xml:space="preserve">, 121–131. </w:t>
      </w:r>
      <w:hyperlink r:id="rId26" w:history="1">
        <w:r w:rsidRPr="000501F0">
          <w:rPr>
            <w:rStyle w:val="Hyperlink"/>
            <w:sz w:val="20"/>
            <w:szCs w:val="20"/>
          </w:rPr>
          <w:t>https://doi.org/10.1016/j.landurbplan.2017.06.008</w:t>
        </w:r>
      </w:hyperlink>
    </w:p>
    <w:p w14:paraId="34FD2CDD" w14:textId="77777777" w:rsidR="009D1B7C" w:rsidRPr="000501F0" w:rsidRDefault="009D1B7C" w:rsidP="000501F0">
      <w:pPr>
        <w:pStyle w:val="ListParagraph1"/>
        <w:spacing w:after="891" w:line="240" w:lineRule="auto"/>
        <w:ind w:left="993" w:right="136" w:hanging="993"/>
        <w:jc w:val="both"/>
        <w:rPr>
          <w:sz w:val="20"/>
          <w:szCs w:val="20"/>
        </w:rPr>
      </w:pPr>
      <w:r w:rsidRPr="000501F0">
        <w:rPr>
          <w:rStyle w:val="Strong"/>
          <w:b w:val="0"/>
          <w:sz w:val="20"/>
          <w:szCs w:val="20"/>
        </w:rPr>
        <w:t>Anguelovski, I., Connolly, J. J. T., Masip, L., &amp; Pearsall, H.</w:t>
      </w:r>
      <w:r w:rsidRPr="000501F0">
        <w:rPr>
          <w:sz w:val="20"/>
          <w:szCs w:val="20"/>
        </w:rPr>
        <w:t xml:space="preserve"> (2018). Assessing green gentrification and its effects on vulnerable communities in historically disenfranchised neighborhoods. </w:t>
      </w:r>
      <w:r w:rsidRPr="000501F0">
        <w:rPr>
          <w:rStyle w:val="Emphasis"/>
          <w:sz w:val="20"/>
          <w:szCs w:val="20"/>
        </w:rPr>
        <w:t>Urban Geography, 39</w:t>
      </w:r>
      <w:r w:rsidRPr="000501F0">
        <w:rPr>
          <w:sz w:val="20"/>
          <w:szCs w:val="20"/>
        </w:rPr>
        <w:t xml:space="preserve">(7), 1175–1198. </w:t>
      </w:r>
      <w:hyperlink r:id="rId27" w:history="1">
        <w:r w:rsidRPr="000501F0">
          <w:rPr>
            <w:rStyle w:val="Hyperlink"/>
            <w:sz w:val="20"/>
            <w:szCs w:val="20"/>
          </w:rPr>
          <w:t>https://doi.org/10.1080/02723638.2018.1457435</w:t>
        </w:r>
      </w:hyperlink>
    </w:p>
    <w:p w14:paraId="6FAEDBD8" w14:textId="77777777" w:rsidR="00E038C1" w:rsidRPr="000501F0" w:rsidRDefault="00E038C1" w:rsidP="000501F0">
      <w:pPr>
        <w:pStyle w:val="ListParagraph1"/>
        <w:spacing w:after="891" w:line="240" w:lineRule="auto"/>
        <w:ind w:left="993" w:right="136" w:hanging="993"/>
        <w:jc w:val="both"/>
        <w:rPr>
          <w:sz w:val="20"/>
          <w:szCs w:val="20"/>
        </w:rPr>
      </w:pPr>
      <w:r w:rsidRPr="000501F0">
        <w:rPr>
          <w:sz w:val="20"/>
          <w:szCs w:val="20"/>
        </w:rPr>
        <w:t xml:space="preserve">Ashinze, U. K., Edeigba, B. A., Umoh, A. A., Biu, P. W., &amp; </w:t>
      </w:r>
      <w:proofErr w:type="spellStart"/>
      <w:r w:rsidRPr="000501F0">
        <w:rPr>
          <w:sz w:val="20"/>
          <w:szCs w:val="20"/>
        </w:rPr>
        <w:t>Daraojimba</w:t>
      </w:r>
      <w:proofErr w:type="spellEnd"/>
      <w:r w:rsidRPr="000501F0">
        <w:rPr>
          <w:sz w:val="20"/>
          <w:szCs w:val="20"/>
        </w:rPr>
        <w:t xml:space="preserve">, A. I. (2024). Urban green infrastructure and its role in sustainable cities: A comprehensive review. </w:t>
      </w:r>
      <w:r w:rsidRPr="000501F0">
        <w:rPr>
          <w:rStyle w:val="Emphasis"/>
          <w:sz w:val="20"/>
          <w:szCs w:val="20"/>
        </w:rPr>
        <w:t>World Journal of Advanced Research and Reviews, 21</w:t>
      </w:r>
      <w:r w:rsidRPr="000501F0">
        <w:rPr>
          <w:sz w:val="20"/>
          <w:szCs w:val="20"/>
        </w:rPr>
        <w:t xml:space="preserve">(2), 928–936. </w:t>
      </w:r>
      <w:hyperlink r:id="rId28" w:history="1">
        <w:r w:rsidRPr="000501F0">
          <w:rPr>
            <w:rStyle w:val="Hyperlink"/>
            <w:sz w:val="20"/>
            <w:szCs w:val="20"/>
          </w:rPr>
          <w:t>https://doi.org/10.30574/wjarr.2024.21.2.0519</w:t>
        </w:r>
      </w:hyperlink>
    </w:p>
    <w:p w14:paraId="2234EB33" w14:textId="77777777" w:rsidR="00865912" w:rsidRPr="000501F0" w:rsidRDefault="00865912" w:rsidP="000501F0">
      <w:pPr>
        <w:pStyle w:val="ListParagraph1"/>
        <w:spacing w:after="891" w:line="240" w:lineRule="auto"/>
        <w:ind w:left="993" w:right="136" w:hanging="993"/>
        <w:jc w:val="both"/>
        <w:rPr>
          <w:sz w:val="20"/>
          <w:szCs w:val="20"/>
        </w:rPr>
      </w:pPr>
      <w:r w:rsidRPr="000501F0">
        <w:rPr>
          <w:sz w:val="20"/>
          <w:szCs w:val="20"/>
        </w:rPr>
        <w:t xml:space="preserve">Ayeni, A. O., </w:t>
      </w:r>
      <w:proofErr w:type="spellStart"/>
      <w:r w:rsidRPr="000501F0">
        <w:rPr>
          <w:sz w:val="20"/>
          <w:szCs w:val="20"/>
        </w:rPr>
        <w:t>Aborisade</w:t>
      </w:r>
      <w:proofErr w:type="spellEnd"/>
      <w:r w:rsidRPr="000501F0">
        <w:rPr>
          <w:sz w:val="20"/>
          <w:szCs w:val="20"/>
        </w:rPr>
        <w:t xml:space="preserve">, A. G., </w:t>
      </w:r>
      <w:proofErr w:type="spellStart"/>
      <w:r w:rsidRPr="000501F0">
        <w:rPr>
          <w:sz w:val="20"/>
          <w:szCs w:val="20"/>
        </w:rPr>
        <w:t>Aiyegbajeje</w:t>
      </w:r>
      <w:proofErr w:type="spellEnd"/>
      <w:r w:rsidRPr="000501F0">
        <w:rPr>
          <w:sz w:val="20"/>
          <w:szCs w:val="20"/>
        </w:rPr>
        <w:t xml:space="preserve">, F. O., &amp; </w:t>
      </w:r>
      <w:proofErr w:type="spellStart"/>
      <w:r w:rsidRPr="000501F0">
        <w:rPr>
          <w:sz w:val="20"/>
          <w:szCs w:val="20"/>
        </w:rPr>
        <w:t>Soneye</w:t>
      </w:r>
      <w:proofErr w:type="spellEnd"/>
      <w:r w:rsidRPr="000501F0">
        <w:rPr>
          <w:sz w:val="20"/>
          <w:szCs w:val="20"/>
        </w:rPr>
        <w:t xml:space="preserve">, A. S. O. (2025). The dynamics of peri-urban expansion in Sub-Saharan Africa: Implications for sustainable development in Nigeria and Ghana. </w:t>
      </w:r>
      <w:r w:rsidRPr="000501F0">
        <w:rPr>
          <w:rStyle w:val="Emphasis"/>
          <w:sz w:val="20"/>
          <w:szCs w:val="20"/>
        </w:rPr>
        <w:t>Discover Sustainability, 6</w:t>
      </w:r>
      <w:r w:rsidRPr="000501F0">
        <w:rPr>
          <w:sz w:val="20"/>
          <w:szCs w:val="20"/>
        </w:rPr>
        <w:t xml:space="preserve">, Article 290. </w:t>
      </w:r>
      <w:hyperlink r:id="rId29" w:history="1">
        <w:r w:rsidRPr="000501F0">
          <w:rPr>
            <w:rStyle w:val="Hyperlink"/>
            <w:sz w:val="20"/>
            <w:szCs w:val="20"/>
          </w:rPr>
          <w:t>https://doi.org/10.1007/s43621-024-00742-0</w:t>
        </w:r>
      </w:hyperlink>
    </w:p>
    <w:p w14:paraId="632FD592"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Baldock</w:t>
      </w:r>
      <w:proofErr w:type="spellEnd"/>
      <w:r w:rsidRPr="000501F0">
        <w:rPr>
          <w:sz w:val="20"/>
          <w:szCs w:val="20"/>
        </w:rPr>
        <w:t xml:space="preserve">, K. C. R. (2020). Opportunities and threats for pollinator conservation in global towns and cities. </w:t>
      </w:r>
      <w:r w:rsidRPr="000501F0">
        <w:rPr>
          <w:rStyle w:val="Emphasis"/>
          <w:sz w:val="20"/>
          <w:szCs w:val="20"/>
        </w:rPr>
        <w:t>Current Opinion in Insect Science, 38</w:t>
      </w:r>
      <w:r w:rsidRPr="000501F0">
        <w:rPr>
          <w:sz w:val="20"/>
          <w:szCs w:val="20"/>
        </w:rPr>
        <w:t xml:space="preserve">, 63–71. </w:t>
      </w:r>
      <w:hyperlink r:id="rId30" w:history="1">
        <w:r w:rsidRPr="000501F0">
          <w:rPr>
            <w:rStyle w:val="Hyperlink"/>
            <w:sz w:val="20"/>
            <w:szCs w:val="20"/>
          </w:rPr>
          <w:t>https://doi.org/10.1016/j.cois.2020.01.006</w:t>
        </w:r>
      </w:hyperlink>
    </w:p>
    <w:p w14:paraId="3D213E45"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Baldock</w:t>
      </w:r>
      <w:proofErr w:type="spellEnd"/>
      <w:r w:rsidRPr="000501F0">
        <w:rPr>
          <w:sz w:val="20"/>
          <w:szCs w:val="20"/>
        </w:rPr>
        <w:t xml:space="preserve">, K. C. R., Goddard, M. A., Hicks, D. M., Kunin, W. E., </w:t>
      </w:r>
      <w:proofErr w:type="spellStart"/>
      <w:r w:rsidRPr="000501F0">
        <w:rPr>
          <w:sz w:val="20"/>
          <w:szCs w:val="20"/>
        </w:rPr>
        <w:t>Mitschunas</w:t>
      </w:r>
      <w:proofErr w:type="spellEnd"/>
      <w:r w:rsidRPr="000501F0">
        <w:rPr>
          <w:sz w:val="20"/>
          <w:szCs w:val="20"/>
        </w:rPr>
        <w:t xml:space="preserve">, N., </w:t>
      </w:r>
      <w:proofErr w:type="spellStart"/>
      <w:r w:rsidRPr="000501F0">
        <w:rPr>
          <w:sz w:val="20"/>
          <w:szCs w:val="20"/>
        </w:rPr>
        <w:t>Osgathorpe</w:t>
      </w:r>
      <w:proofErr w:type="spellEnd"/>
      <w:r w:rsidRPr="000501F0">
        <w:rPr>
          <w:sz w:val="20"/>
          <w:szCs w:val="20"/>
        </w:rPr>
        <w:t xml:space="preserve">, L. M., ... &amp; Memmott, J. (2019). A systems approach reveals urban pollinator hotspots and conservation opportunities. </w:t>
      </w:r>
      <w:r w:rsidRPr="000501F0">
        <w:rPr>
          <w:rStyle w:val="Emphasis"/>
          <w:sz w:val="20"/>
          <w:szCs w:val="20"/>
        </w:rPr>
        <w:t>Nature Ecology &amp; Evolution, 3</w:t>
      </w:r>
      <w:r w:rsidRPr="000501F0">
        <w:rPr>
          <w:sz w:val="20"/>
          <w:szCs w:val="20"/>
        </w:rPr>
        <w:t xml:space="preserve">, 363–373. </w:t>
      </w:r>
      <w:hyperlink r:id="rId31" w:history="1">
        <w:r w:rsidRPr="000501F0">
          <w:rPr>
            <w:rStyle w:val="Hyperlink"/>
            <w:sz w:val="20"/>
            <w:szCs w:val="20"/>
          </w:rPr>
          <w:t>https://doi.org/10.1038/s41559-018-0769-y</w:t>
        </w:r>
      </w:hyperlink>
    </w:p>
    <w:p w14:paraId="3F5EBD0D"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t xml:space="preserve">Biodiversity Ireland. (2024). </w:t>
      </w:r>
      <w:r w:rsidRPr="000501F0">
        <w:rPr>
          <w:rStyle w:val="Emphasis"/>
          <w:sz w:val="20"/>
          <w:szCs w:val="20"/>
        </w:rPr>
        <w:t>Ecological corridors for pollinators</w:t>
      </w:r>
      <w:r w:rsidRPr="000501F0">
        <w:rPr>
          <w:sz w:val="20"/>
          <w:szCs w:val="20"/>
        </w:rPr>
        <w:t xml:space="preserve">. All-Ireland Pollinator Plan. </w:t>
      </w:r>
      <w:hyperlink r:id="rId32" w:history="1">
        <w:r w:rsidRPr="000501F0">
          <w:rPr>
            <w:rStyle w:val="Hyperlink"/>
            <w:sz w:val="20"/>
            <w:szCs w:val="20"/>
          </w:rPr>
          <w:t>https://pollinators.ie/wp-content/uploads/2024/03/Ecological-corridors-booklet-WEB.pdf</w:t>
        </w:r>
      </w:hyperlink>
    </w:p>
    <w:p w14:paraId="3087695A"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Boakye, A. E., </w:t>
      </w:r>
      <w:proofErr w:type="spellStart"/>
      <w:r w:rsidRPr="000501F0">
        <w:rPr>
          <w:sz w:val="20"/>
          <w:szCs w:val="20"/>
        </w:rPr>
        <w:t>Antiri</w:t>
      </w:r>
      <w:proofErr w:type="spellEnd"/>
      <w:r w:rsidRPr="000501F0">
        <w:rPr>
          <w:sz w:val="20"/>
          <w:szCs w:val="20"/>
        </w:rPr>
        <w:t xml:space="preserve">, E. O., Awuah, H. K., Salu, P., </w:t>
      </w:r>
      <w:proofErr w:type="spellStart"/>
      <w:r w:rsidRPr="000501F0">
        <w:rPr>
          <w:sz w:val="20"/>
          <w:szCs w:val="20"/>
        </w:rPr>
        <w:t>Adoripore</w:t>
      </w:r>
      <w:proofErr w:type="spellEnd"/>
      <w:r w:rsidRPr="000501F0">
        <w:rPr>
          <w:sz w:val="20"/>
          <w:szCs w:val="20"/>
        </w:rPr>
        <w:t xml:space="preserve">, J., &amp; Ansah, E. W. (2025). </w:t>
      </w:r>
      <w:r w:rsidRPr="000501F0">
        <w:rPr>
          <w:rStyle w:val="Emphasis"/>
          <w:sz w:val="20"/>
          <w:szCs w:val="20"/>
        </w:rPr>
        <w:t>Impact of urban green on population health in Sub-Saharan Africa: A scoping review</w:t>
      </w:r>
      <w:r w:rsidRPr="000501F0">
        <w:rPr>
          <w:sz w:val="20"/>
          <w:szCs w:val="20"/>
        </w:rPr>
        <w:t xml:space="preserve">. Journal of Urban Health. </w:t>
      </w:r>
      <w:hyperlink r:id="rId33" w:history="1">
        <w:r w:rsidRPr="000501F0">
          <w:rPr>
            <w:rStyle w:val="Hyperlink"/>
            <w:sz w:val="20"/>
            <w:szCs w:val="20"/>
          </w:rPr>
          <w:t>https://doi.org/10.1007/s11524-025-00995-8</w:t>
        </w:r>
      </w:hyperlink>
    </w:p>
    <w:p w14:paraId="55E15C10" w14:textId="77777777" w:rsidR="001F6801" w:rsidRPr="000501F0" w:rsidRDefault="001F6801" w:rsidP="000501F0">
      <w:pPr>
        <w:pStyle w:val="ListParagraph1"/>
        <w:spacing w:after="891" w:line="240" w:lineRule="auto"/>
        <w:ind w:left="993" w:right="136" w:hanging="993"/>
        <w:jc w:val="both"/>
        <w:rPr>
          <w:sz w:val="20"/>
          <w:szCs w:val="20"/>
        </w:rPr>
      </w:pPr>
      <w:r w:rsidRPr="000501F0">
        <w:rPr>
          <w:sz w:val="20"/>
          <w:szCs w:val="20"/>
        </w:rPr>
        <w:t xml:space="preserve">Boakye, S. K., Danquah, L., &amp; Antwi, M. (2025). Maternal mental health improvement in Ghana: Role of green spaces exposure. </w:t>
      </w:r>
      <w:r w:rsidRPr="000501F0">
        <w:rPr>
          <w:rStyle w:val="Emphasis"/>
          <w:sz w:val="20"/>
          <w:szCs w:val="20"/>
        </w:rPr>
        <w:t>BMC Women's Health, 25</w:t>
      </w:r>
      <w:r w:rsidRPr="000501F0">
        <w:rPr>
          <w:sz w:val="20"/>
          <w:szCs w:val="20"/>
        </w:rPr>
        <w:t xml:space="preserve">, Article 03886. </w:t>
      </w:r>
      <w:hyperlink r:id="rId34" w:history="1">
        <w:r w:rsidRPr="000501F0">
          <w:rPr>
            <w:rStyle w:val="Hyperlink"/>
            <w:sz w:val="20"/>
            <w:szCs w:val="20"/>
          </w:rPr>
          <w:t>https://doi.org/10.1186/s12905-025-03886-x</w:t>
        </w:r>
      </w:hyperlink>
    </w:p>
    <w:p w14:paraId="4195BEC2"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Brom, P., Underhill, L. G., &amp; Winter, K. (2022). A review of the opportunities to support pollinator populations in South African cities. </w:t>
      </w:r>
      <w:proofErr w:type="spellStart"/>
      <w:r w:rsidRPr="000501F0">
        <w:rPr>
          <w:rStyle w:val="Emphasis"/>
          <w:sz w:val="20"/>
          <w:szCs w:val="20"/>
        </w:rPr>
        <w:t>PeerJ</w:t>
      </w:r>
      <w:proofErr w:type="spellEnd"/>
      <w:r w:rsidRPr="000501F0">
        <w:rPr>
          <w:rStyle w:val="Emphasis"/>
          <w:sz w:val="20"/>
          <w:szCs w:val="20"/>
        </w:rPr>
        <w:t>, 10</w:t>
      </w:r>
      <w:r w:rsidRPr="000501F0">
        <w:rPr>
          <w:sz w:val="20"/>
          <w:szCs w:val="20"/>
        </w:rPr>
        <w:t xml:space="preserve">, e12788. </w:t>
      </w:r>
      <w:hyperlink r:id="rId35" w:history="1">
        <w:r w:rsidRPr="000501F0">
          <w:rPr>
            <w:rStyle w:val="Hyperlink"/>
            <w:sz w:val="20"/>
            <w:szCs w:val="20"/>
          </w:rPr>
          <w:t>https://doi.org/10.7717/peerj.12788</w:t>
        </w:r>
      </w:hyperlink>
    </w:p>
    <w:p w14:paraId="28C3F65D"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lastRenderedPageBreak/>
        <w:t>Cobbinah</w:t>
      </w:r>
      <w:proofErr w:type="spellEnd"/>
      <w:r w:rsidRPr="000501F0">
        <w:rPr>
          <w:sz w:val="20"/>
          <w:szCs w:val="20"/>
        </w:rPr>
        <w:t xml:space="preserve">, P. B., </w:t>
      </w:r>
      <w:proofErr w:type="spellStart"/>
      <w:r w:rsidRPr="000501F0">
        <w:rPr>
          <w:sz w:val="20"/>
          <w:szCs w:val="20"/>
        </w:rPr>
        <w:t>Gaisie</w:t>
      </w:r>
      <w:proofErr w:type="spellEnd"/>
      <w:r w:rsidRPr="000501F0">
        <w:rPr>
          <w:sz w:val="20"/>
          <w:szCs w:val="20"/>
        </w:rPr>
        <w:t xml:space="preserve">, E., &amp; Opoku-Boamah, E. (2015). Urban sprawl and the loss of green space in Kumasi, Ghana. </w:t>
      </w:r>
      <w:r w:rsidRPr="000501F0">
        <w:rPr>
          <w:rStyle w:val="Emphasis"/>
          <w:sz w:val="20"/>
          <w:szCs w:val="20"/>
        </w:rPr>
        <w:t>International Journal of Social, Behavioral, Educational, Economic, Business and Industrial Engineering, 9</w:t>
      </w:r>
      <w:r w:rsidRPr="000501F0">
        <w:rPr>
          <w:sz w:val="20"/>
          <w:szCs w:val="20"/>
        </w:rPr>
        <w:t xml:space="preserve">(1), 20–28. </w:t>
      </w:r>
      <w:hyperlink r:id="rId36" w:history="1">
        <w:r w:rsidRPr="000501F0">
          <w:rPr>
            <w:rStyle w:val="Hyperlink"/>
            <w:sz w:val="20"/>
            <w:szCs w:val="20"/>
          </w:rPr>
          <w:t>https://doi.org/10.5281/zenodo.1098481</w:t>
        </w:r>
      </w:hyperlink>
    </w:p>
    <w:p w14:paraId="00CF181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Cook, L. M., Good, K. D., Moretti, M., Kremer, P., </w:t>
      </w:r>
      <w:proofErr w:type="spellStart"/>
      <w:r w:rsidRPr="000501F0">
        <w:rPr>
          <w:sz w:val="20"/>
          <w:szCs w:val="20"/>
        </w:rPr>
        <w:t>Wadzuk</w:t>
      </w:r>
      <w:proofErr w:type="spellEnd"/>
      <w:r w:rsidRPr="000501F0">
        <w:rPr>
          <w:sz w:val="20"/>
          <w:szCs w:val="20"/>
        </w:rPr>
        <w:t xml:space="preserve">, B., Traver, R., &amp; Smith, V. (2024). Towards the intentional multifunctionality of urban green infrastructure: A paradox of choice? </w:t>
      </w:r>
      <w:proofErr w:type="spellStart"/>
      <w:r w:rsidRPr="000501F0">
        <w:rPr>
          <w:rStyle w:val="Emphasis"/>
          <w:sz w:val="20"/>
          <w:szCs w:val="20"/>
        </w:rPr>
        <w:t>npj</w:t>
      </w:r>
      <w:proofErr w:type="spellEnd"/>
      <w:r w:rsidRPr="000501F0">
        <w:rPr>
          <w:rStyle w:val="Emphasis"/>
          <w:sz w:val="20"/>
          <w:szCs w:val="20"/>
        </w:rPr>
        <w:t xml:space="preserve"> Urban Sustainability, 4</w:t>
      </w:r>
      <w:r w:rsidRPr="000501F0">
        <w:rPr>
          <w:sz w:val="20"/>
          <w:szCs w:val="20"/>
        </w:rPr>
        <w:t xml:space="preserve">, Article 145. </w:t>
      </w:r>
      <w:hyperlink r:id="rId37" w:history="1">
        <w:r w:rsidRPr="000501F0">
          <w:rPr>
            <w:rStyle w:val="Hyperlink"/>
            <w:sz w:val="20"/>
            <w:szCs w:val="20"/>
          </w:rPr>
          <w:t>https://doi.org/10.1038/s42949-024-00145-0</w:t>
        </w:r>
      </w:hyperlink>
    </w:p>
    <w:p w14:paraId="23DCF192" w14:textId="77777777" w:rsidR="00B5152B" w:rsidRPr="000501F0" w:rsidRDefault="00B5152B" w:rsidP="000501F0">
      <w:pPr>
        <w:pStyle w:val="ListParagraph1"/>
        <w:spacing w:after="891" w:line="240" w:lineRule="auto"/>
        <w:ind w:left="993" w:right="136" w:hanging="993"/>
        <w:jc w:val="both"/>
        <w:rPr>
          <w:sz w:val="20"/>
          <w:szCs w:val="20"/>
        </w:rPr>
      </w:pPr>
      <w:r w:rsidRPr="000501F0">
        <w:rPr>
          <w:sz w:val="20"/>
          <w:szCs w:val="20"/>
        </w:rPr>
        <w:t xml:space="preserve">Daniels, B., </w:t>
      </w:r>
      <w:proofErr w:type="spellStart"/>
      <w:r w:rsidRPr="000501F0">
        <w:rPr>
          <w:sz w:val="20"/>
          <w:szCs w:val="20"/>
        </w:rPr>
        <w:t>Jedamski</w:t>
      </w:r>
      <w:proofErr w:type="spellEnd"/>
      <w:r w:rsidRPr="000501F0">
        <w:rPr>
          <w:sz w:val="20"/>
          <w:szCs w:val="20"/>
        </w:rPr>
        <w:t xml:space="preserve">, J., </w:t>
      </w:r>
      <w:proofErr w:type="spellStart"/>
      <w:r w:rsidRPr="000501F0">
        <w:rPr>
          <w:sz w:val="20"/>
          <w:szCs w:val="20"/>
        </w:rPr>
        <w:t>Ottermanns</w:t>
      </w:r>
      <w:proofErr w:type="spellEnd"/>
      <w:r w:rsidRPr="000501F0">
        <w:rPr>
          <w:sz w:val="20"/>
          <w:szCs w:val="20"/>
        </w:rPr>
        <w:t>, R., &amp; Ross-</w:t>
      </w:r>
      <w:proofErr w:type="spellStart"/>
      <w:r w:rsidRPr="000501F0">
        <w:rPr>
          <w:sz w:val="20"/>
          <w:szCs w:val="20"/>
        </w:rPr>
        <w:t>Nickoll</w:t>
      </w:r>
      <w:proofErr w:type="spellEnd"/>
      <w:r w:rsidRPr="000501F0">
        <w:rPr>
          <w:sz w:val="20"/>
          <w:szCs w:val="20"/>
        </w:rPr>
        <w:t xml:space="preserve">, M. (2020). A “plan bee” for cities: Pollinator diversity and plant-pollinator interactions in urban green spaces. </w:t>
      </w:r>
      <w:r w:rsidRPr="000501F0">
        <w:rPr>
          <w:rStyle w:val="Emphasis"/>
          <w:sz w:val="20"/>
          <w:szCs w:val="20"/>
        </w:rPr>
        <w:t>PLOS ONE, 15</w:t>
      </w:r>
      <w:r w:rsidRPr="000501F0">
        <w:rPr>
          <w:sz w:val="20"/>
          <w:szCs w:val="20"/>
        </w:rPr>
        <w:t xml:space="preserve">(7), e0235492. </w:t>
      </w:r>
      <w:hyperlink r:id="rId38" w:history="1">
        <w:r w:rsidRPr="000501F0">
          <w:rPr>
            <w:rStyle w:val="Hyperlink"/>
            <w:sz w:val="20"/>
            <w:szCs w:val="20"/>
          </w:rPr>
          <w:t>https://doi.org/10.1371/journal.pone.0235492</w:t>
        </w:r>
      </w:hyperlink>
    </w:p>
    <w:p w14:paraId="6E2C2A21"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t xml:space="preserve">Dave, M., Von Vordzogbe, V., &amp; </w:t>
      </w:r>
      <w:proofErr w:type="spellStart"/>
      <w:r w:rsidRPr="000501F0">
        <w:rPr>
          <w:sz w:val="20"/>
          <w:szCs w:val="20"/>
        </w:rPr>
        <w:t>Klukpui</w:t>
      </w:r>
      <w:proofErr w:type="spellEnd"/>
      <w:r w:rsidRPr="000501F0">
        <w:rPr>
          <w:sz w:val="20"/>
          <w:szCs w:val="20"/>
        </w:rPr>
        <w:t xml:space="preserve">, L. E. (2021). Ecological studies along highway corridors: A case study of the vegetation pattern and related carbon emission reduction potential along the Accra-Tema Motorway, Ghana. </w:t>
      </w:r>
      <w:r w:rsidRPr="000501F0">
        <w:rPr>
          <w:rStyle w:val="Emphasis"/>
          <w:sz w:val="20"/>
          <w:szCs w:val="20"/>
        </w:rPr>
        <w:t>Eco. Env. &amp; Cons., 27</w:t>
      </w:r>
      <w:r w:rsidRPr="000501F0">
        <w:rPr>
          <w:sz w:val="20"/>
          <w:szCs w:val="20"/>
        </w:rPr>
        <w:t xml:space="preserve">(3), 1031–1042. </w:t>
      </w:r>
      <w:hyperlink r:id="rId39" w:history="1">
        <w:r w:rsidRPr="000501F0">
          <w:rPr>
            <w:rStyle w:val="Hyperlink"/>
            <w:sz w:val="20"/>
            <w:szCs w:val="20"/>
          </w:rPr>
          <w:t>https://envirobiotechjournals.com/EEC/v27i32021/EEC-7.pdf</w:t>
        </w:r>
      </w:hyperlink>
    </w:p>
    <w:p w14:paraId="2F593341"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Díaz, S., </w:t>
      </w:r>
      <w:proofErr w:type="spellStart"/>
      <w:r w:rsidRPr="000501F0">
        <w:rPr>
          <w:sz w:val="20"/>
          <w:szCs w:val="20"/>
        </w:rPr>
        <w:t>Settele</w:t>
      </w:r>
      <w:proofErr w:type="spellEnd"/>
      <w:r w:rsidRPr="000501F0">
        <w:rPr>
          <w:sz w:val="20"/>
          <w:szCs w:val="20"/>
        </w:rPr>
        <w:t xml:space="preserve">, J., </w:t>
      </w:r>
      <w:proofErr w:type="spellStart"/>
      <w:r w:rsidRPr="000501F0">
        <w:rPr>
          <w:sz w:val="20"/>
          <w:szCs w:val="20"/>
        </w:rPr>
        <w:t>Brondízio</w:t>
      </w:r>
      <w:proofErr w:type="spellEnd"/>
      <w:r w:rsidRPr="000501F0">
        <w:rPr>
          <w:sz w:val="20"/>
          <w:szCs w:val="20"/>
        </w:rPr>
        <w:t xml:space="preserve">, E. S., Ngo, H. T., Agard, J., Arneth, A., ... </w:t>
      </w:r>
      <w:r w:rsidR="00F81257">
        <w:rPr>
          <w:sz w:val="20"/>
          <w:szCs w:val="20"/>
        </w:rPr>
        <w:t>Y</w:t>
      </w:r>
      <w:r w:rsidRPr="000501F0">
        <w:rPr>
          <w:sz w:val="20"/>
          <w:szCs w:val="20"/>
        </w:rPr>
        <w:t xml:space="preserve"> Zayas, C. N. (2019). Pervasive human-driven decline of life on Earth points to the need for transformative change. </w:t>
      </w:r>
      <w:r w:rsidRPr="000501F0">
        <w:rPr>
          <w:rStyle w:val="Emphasis"/>
          <w:sz w:val="20"/>
          <w:szCs w:val="20"/>
        </w:rPr>
        <w:t>Science, 366</w:t>
      </w:r>
      <w:r w:rsidRPr="000501F0">
        <w:rPr>
          <w:sz w:val="20"/>
          <w:szCs w:val="20"/>
        </w:rPr>
        <w:t xml:space="preserve">(6471), 1327. </w:t>
      </w:r>
      <w:hyperlink r:id="rId40" w:history="1">
        <w:r w:rsidRPr="000501F0">
          <w:rPr>
            <w:rStyle w:val="Hyperlink"/>
            <w:sz w:val="20"/>
            <w:szCs w:val="20"/>
          </w:rPr>
          <w:t>https://doi.org/10.1126/science.aax3100</w:t>
        </w:r>
      </w:hyperlink>
    </w:p>
    <w:p w14:paraId="0C101F3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Dietzel, A., Duku, E., </w:t>
      </w:r>
      <w:proofErr w:type="spellStart"/>
      <w:r w:rsidRPr="000501F0">
        <w:rPr>
          <w:sz w:val="20"/>
          <w:szCs w:val="20"/>
        </w:rPr>
        <w:t>Mattah</w:t>
      </w:r>
      <w:proofErr w:type="spellEnd"/>
      <w:r w:rsidRPr="000501F0">
        <w:rPr>
          <w:sz w:val="20"/>
          <w:szCs w:val="20"/>
        </w:rPr>
        <w:t xml:space="preserve">, P. A. D., </w:t>
      </w:r>
      <w:proofErr w:type="spellStart"/>
      <w:r w:rsidRPr="000501F0">
        <w:rPr>
          <w:sz w:val="20"/>
          <w:szCs w:val="20"/>
        </w:rPr>
        <w:t>Angnuureng</w:t>
      </w:r>
      <w:proofErr w:type="spellEnd"/>
      <w:r w:rsidRPr="000501F0">
        <w:rPr>
          <w:sz w:val="20"/>
          <w:szCs w:val="20"/>
        </w:rPr>
        <w:t xml:space="preserve">, D. B., &amp; </w:t>
      </w:r>
      <w:proofErr w:type="spellStart"/>
      <w:r w:rsidRPr="000501F0">
        <w:rPr>
          <w:sz w:val="20"/>
          <w:szCs w:val="20"/>
        </w:rPr>
        <w:t>Adotey</w:t>
      </w:r>
      <w:proofErr w:type="spellEnd"/>
      <w:r w:rsidRPr="000501F0">
        <w:rPr>
          <w:sz w:val="20"/>
          <w:szCs w:val="20"/>
        </w:rPr>
        <w:t xml:space="preserve">, J. (2023). Understanding the complexities of human well-being in the context of ecosystem services within coastal Ghana. </w:t>
      </w:r>
      <w:r w:rsidRPr="000501F0">
        <w:rPr>
          <w:rStyle w:val="Emphasis"/>
          <w:sz w:val="20"/>
          <w:szCs w:val="20"/>
        </w:rPr>
        <w:t>Sustainability, 14</w:t>
      </w:r>
      <w:r w:rsidRPr="000501F0">
        <w:rPr>
          <w:sz w:val="20"/>
          <w:szCs w:val="20"/>
        </w:rPr>
        <w:t xml:space="preserve">(16), 10111. </w:t>
      </w:r>
      <w:hyperlink r:id="rId41" w:history="1">
        <w:r w:rsidRPr="000501F0">
          <w:rPr>
            <w:rStyle w:val="Hyperlink"/>
            <w:sz w:val="20"/>
            <w:szCs w:val="20"/>
          </w:rPr>
          <w:t>https://doi.org/10.3390/su141610111</w:t>
        </w:r>
      </w:hyperlink>
    </w:p>
    <w:p w14:paraId="6189D884"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Fortel</w:t>
      </w:r>
      <w:proofErr w:type="spellEnd"/>
      <w:r w:rsidRPr="000501F0">
        <w:rPr>
          <w:sz w:val="20"/>
          <w:szCs w:val="20"/>
        </w:rPr>
        <w:t xml:space="preserve">, L., Henry, M., Guilbaud, L., Guirao, A. L., Kuhlmann, M., Mouret, H., &amp; </w:t>
      </w:r>
      <w:proofErr w:type="spellStart"/>
      <w:r w:rsidRPr="000501F0">
        <w:rPr>
          <w:sz w:val="20"/>
          <w:szCs w:val="20"/>
        </w:rPr>
        <w:t>Vaissière</w:t>
      </w:r>
      <w:proofErr w:type="spellEnd"/>
      <w:r w:rsidRPr="000501F0">
        <w:rPr>
          <w:sz w:val="20"/>
          <w:szCs w:val="20"/>
        </w:rPr>
        <w:t>, B. E. (2014). Decreasing abundance, increasing diversity</w:t>
      </w:r>
      <w:r w:rsidR="00F81257">
        <w:rPr>
          <w:sz w:val="20"/>
          <w:szCs w:val="20"/>
        </w:rPr>
        <w:t>,</w:t>
      </w:r>
      <w:r w:rsidRPr="000501F0">
        <w:rPr>
          <w:sz w:val="20"/>
          <w:szCs w:val="20"/>
        </w:rPr>
        <w:t xml:space="preserve"> and changing structure of the wild bee community (Hymenoptera: </w:t>
      </w:r>
      <w:proofErr w:type="spellStart"/>
      <w:r w:rsidRPr="000501F0">
        <w:rPr>
          <w:sz w:val="20"/>
          <w:szCs w:val="20"/>
        </w:rPr>
        <w:t>Anthophila</w:t>
      </w:r>
      <w:proofErr w:type="spellEnd"/>
      <w:r w:rsidRPr="000501F0">
        <w:rPr>
          <w:sz w:val="20"/>
          <w:szCs w:val="20"/>
        </w:rPr>
        <w:t xml:space="preserve">) along an urbanization gradient. </w:t>
      </w:r>
      <w:proofErr w:type="spellStart"/>
      <w:r w:rsidRPr="000501F0">
        <w:rPr>
          <w:rStyle w:val="Emphasis"/>
          <w:sz w:val="20"/>
          <w:szCs w:val="20"/>
        </w:rPr>
        <w:t>PLoS</w:t>
      </w:r>
      <w:proofErr w:type="spellEnd"/>
      <w:r w:rsidRPr="000501F0">
        <w:rPr>
          <w:rStyle w:val="Emphasis"/>
          <w:sz w:val="20"/>
          <w:szCs w:val="20"/>
        </w:rPr>
        <w:t xml:space="preserve"> ONE, 9</w:t>
      </w:r>
      <w:r w:rsidRPr="000501F0">
        <w:rPr>
          <w:sz w:val="20"/>
          <w:szCs w:val="20"/>
        </w:rPr>
        <w:t xml:space="preserve">(8), e104679. </w:t>
      </w:r>
      <w:hyperlink r:id="rId42" w:history="1">
        <w:r w:rsidRPr="000501F0">
          <w:rPr>
            <w:rStyle w:val="Hyperlink"/>
            <w:sz w:val="20"/>
            <w:szCs w:val="20"/>
          </w:rPr>
          <w:t>https://doi.org/10.1371/journal.pone.0104679</w:t>
        </w:r>
      </w:hyperlink>
    </w:p>
    <w:p w14:paraId="00443CDD"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Frantzeskaki</w:t>
      </w:r>
      <w:proofErr w:type="spellEnd"/>
      <w:r w:rsidRPr="000501F0">
        <w:rPr>
          <w:sz w:val="20"/>
          <w:szCs w:val="20"/>
        </w:rPr>
        <w:t xml:space="preserve">, N., McPhearson, T., Collier, M. J., Kendal, D., Bulkeley, H., Dumitru, A., ... &amp; Pintér, L. (2019). Nature-based solutions for urban climate change adaptation: Linking science, policy, and practice communities for evidence-based decision-making. </w:t>
      </w:r>
      <w:proofErr w:type="spellStart"/>
      <w:r w:rsidRPr="000501F0">
        <w:rPr>
          <w:rStyle w:val="Emphasis"/>
          <w:sz w:val="20"/>
          <w:szCs w:val="20"/>
        </w:rPr>
        <w:t>BioScience</w:t>
      </w:r>
      <w:proofErr w:type="spellEnd"/>
      <w:r w:rsidRPr="000501F0">
        <w:rPr>
          <w:rStyle w:val="Emphasis"/>
          <w:sz w:val="20"/>
          <w:szCs w:val="20"/>
        </w:rPr>
        <w:t>, 69</w:t>
      </w:r>
      <w:r w:rsidRPr="000501F0">
        <w:rPr>
          <w:sz w:val="20"/>
          <w:szCs w:val="20"/>
        </w:rPr>
        <w:t xml:space="preserve">(6), 455–466. </w:t>
      </w:r>
      <w:hyperlink r:id="rId43" w:history="1">
        <w:r w:rsidRPr="000501F0">
          <w:rPr>
            <w:rStyle w:val="Hyperlink"/>
            <w:sz w:val="20"/>
            <w:szCs w:val="20"/>
          </w:rPr>
          <w:t>https://doi.org/10.1093/biosci/biz042</w:t>
        </w:r>
      </w:hyperlink>
    </w:p>
    <w:p w14:paraId="54DF95E4" w14:textId="77777777" w:rsidR="009D1B7C" w:rsidRPr="000501F0" w:rsidRDefault="009D1B7C" w:rsidP="000501F0">
      <w:pPr>
        <w:pStyle w:val="ListParagraph1"/>
        <w:spacing w:after="891" w:line="240" w:lineRule="auto"/>
        <w:ind w:left="993" w:right="136" w:hanging="993"/>
        <w:jc w:val="both"/>
        <w:rPr>
          <w:sz w:val="20"/>
          <w:szCs w:val="20"/>
        </w:rPr>
      </w:pPr>
      <w:proofErr w:type="spellStart"/>
      <w:r w:rsidRPr="000501F0">
        <w:rPr>
          <w:sz w:val="20"/>
          <w:szCs w:val="20"/>
        </w:rPr>
        <w:t>Gagakuma</w:t>
      </w:r>
      <w:proofErr w:type="spellEnd"/>
      <w:r w:rsidRPr="000501F0">
        <w:rPr>
          <w:sz w:val="20"/>
          <w:szCs w:val="20"/>
        </w:rPr>
        <w:t xml:space="preserve">, D., Takyi, S. A., Amponsah, O., &amp; </w:t>
      </w:r>
      <w:proofErr w:type="spellStart"/>
      <w:r w:rsidRPr="000501F0">
        <w:rPr>
          <w:sz w:val="20"/>
          <w:szCs w:val="20"/>
        </w:rPr>
        <w:t>Quagraine</w:t>
      </w:r>
      <w:proofErr w:type="spellEnd"/>
      <w:r w:rsidRPr="000501F0">
        <w:rPr>
          <w:sz w:val="20"/>
          <w:szCs w:val="20"/>
        </w:rPr>
        <w:t xml:space="preserve">, V. K. (2025). </w:t>
      </w:r>
      <w:r w:rsidRPr="000501F0">
        <w:rPr>
          <w:rStyle w:val="Emphasis"/>
          <w:sz w:val="20"/>
          <w:szCs w:val="20"/>
        </w:rPr>
        <w:t xml:space="preserve">The functionality of urban green spaces in the greater Kumasi Metropolis of Ghana: </w:t>
      </w:r>
      <w:proofErr w:type="spellStart"/>
      <w:r w:rsidRPr="000501F0">
        <w:rPr>
          <w:rStyle w:val="Emphasis"/>
          <w:sz w:val="20"/>
          <w:szCs w:val="20"/>
        </w:rPr>
        <w:t>Categorisation</w:t>
      </w:r>
      <w:proofErr w:type="spellEnd"/>
      <w:r w:rsidRPr="000501F0">
        <w:rPr>
          <w:rStyle w:val="Emphasis"/>
          <w:sz w:val="20"/>
          <w:szCs w:val="20"/>
        </w:rPr>
        <w:t>, prospects, challenges and implications for sustainable management</w:t>
      </w:r>
      <w:r w:rsidRPr="000501F0">
        <w:rPr>
          <w:sz w:val="20"/>
          <w:szCs w:val="20"/>
        </w:rPr>
        <w:t xml:space="preserve">. SN Social Sciences, 5(48). </w:t>
      </w:r>
      <w:hyperlink r:id="rId44" w:history="1">
        <w:r w:rsidRPr="000501F0">
          <w:rPr>
            <w:rStyle w:val="Hyperlink"/>
            <w:sz w:val="20"/>
            <w:szCs w:val="20"/>
          </w:rPr>
          <w:t>https://doi.org/10.1007/s43545-025-01079-9</w:t>
        </w:r>
      </w:hyperlink>
    </w:p>
    <w:p w14:paraId="20864118" w14:textId="77777777" w:rsidR="00B5152B" w:rsidRPr="000501F0" w:rsidRDefault="00F421EB" w:rsidP="000501F0">
      <w:pPr>
        <w:pStyle w:val="ListParagraph1"/>
        <w:spacing w:after="891" w:line="240" w:lineRule="auto"/>
        <w:ind w:left="993" w:right="136" w:hanging="993"/>
        <w:jc w:val="both"/>
        <w:rPr>
          <w:sz w:val="20"/>
          <w:szCs w:val="20"/>
        </w:rPr>
      </w:pPr>
      <w:proofErr w:type="spellStart"/>
      <w:r w:rsidRPr="000501F0">
        <w:rPr>
          <w:sz w:val="20"/>
          <w:szCs w:val="20"/>
        </w:rPr>
        <w:t>Gajbhiye</w:t>
      </w:r>
      <w:proofErr w:type="spellEnd"/>
      <w:r w:rsidRPr="000501F0">
        <w:rPr>
          <w:sz w:val="20"/>
          <w:szCs w:val="20"/>
        </w:rPr>
        <w:t>, S. (2025</w:t>
      </w:r>
      <w:r w:rsidR="00B5152B" w:rsidRPr="000501F0">
        <w:rPr>
          <w:sz w:val="20"/>
          <w:szCs w:val="20"/>
        </w:rPr>
        <w:t xml:space="preserve">). Urbanization causes </w:t>
      </w:r>
      <w:r w:rsidR="00F81257">
        <w:rPr>
          <w:sz w:val="20"/>
          <w:szCs w:val="20"/>
        </w:rPr>
        <w:t xml:space="preserve">a </w:t>
      </w:r>
      <w:r w:rsidR="00B5152B" w:rsidRPr="000501F0">
        <w:rPr>
          <w:sz w:val="20"/>
          <w:szCs w:val="20"/>
        </w:rPr>
        <w:t xml:space="preserve">massive decline in insect pollinators. </w:t>
      </w:r>
      <w:r w:rsidR="00B5152B" w:rsidRPr="000501F0">
        <w:rPr>
          <w:rStyle w:val="Emphasis"/>
          <w:sz w:val="20"/>
          <w:szCs w:val="20"/>
        </w:rPr>
        <w:t>Earth.com</w:t>
      </w:r>
      <w:r w:rsidR="00B5152B" w:rsidRPr="000501F0">
        <w:rPr>
          <w:sz w:val="20"/>
          <w:szCs w:val="20"/>
        </w:rPr>
        <w:t xml:space="preserve">. </w:t>
      </w:r>
      <w:hyperlink r:id="rId45" w:history="1">
        <w:r w:rsidR="00B5152B" w:rsidRPr="000501F0">
          <w:rPr>
            <w:rStyle w:val="Hyperlink"/>
            <w:sz w:val="20"/>
            <w:szCs w:val="20"/>
          </w:rPr>
          <w:t>https://www.earth.com/news/urbanization-causes-massive-decline-in-insect-pollinators/</w:t>
        </w:r>
      </w:hyperlink>
    </w:p>
    <w:p w14:paraId="597C01D8"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Geslin, B., Le </w:t>
      </w:r>
      <w:proofErr w:type="spellStart"/>
      <w:r w:rsidRPr="000501F0">
        <w:rPr>
          <w:sz w:val="20"/>
          <w:szCs w:val="20"/>
        </w:rPr>
        <w:t>Féon</w:t>
      </w:r>
      <w:proofErr w:type="spellEnd"/>
      <w:r w:rsidRPr="000501F0">
        <w:rPr>
          <w:sz w:val="20"/>
          <w:szCs w:val="20"/>
        </w:rPr>
        <w:t xml:space="preserve">, V., Kuhlmann, M., &amp; </w:t>
      </w:r>
      <w:proofErr w:type="spellStart"/>
      <w:r w:rsidRPr="000501F0">
        <w:rPr>
          <w:sz w:val="20"/>
          <w:szCs w:val="20"/>
        </w:rPr>
        <w:t>Vaissière</w:t>
      </w:r>
      <w:proofErr w:type="spellEnd"/>
      <w:r w:rsidRPr="000501F0">
        <w:rPr>
          <w:sz w:val="20"/>
          <w:szCs w:val="20"/>
        </w:rPr>
        <w:t xml:space="preserve">, B. E. (2016). The bee fauna of large parks in downtown Paris, France. </w:t>
      </w:r>
      <w:r w:rsidRPr="000501F0">
        <w:rPr>
          <w:rStyle w:val="Emphasis"/>
          <w:sz w:val="20"/>
          <w:szCs w:val="20"/>
        </w:rPr>
        <w:t xml:space="preserve">Annales de la </w:t>
      </w:r>
      <w:proofErr w:type="spellStart"/>
      <w:r w:rsidRPr="000501F0">
        <w:rPr>
          <w:rStyle w:val="Emphasis"/>
          <w:sz w:val="20"/>
          <w:szCs w:val="20"/>
        </w:rPr>
        <w:t>Société</w:t>
      </w:r>
      <w:proofErr w:type="spellEnd"/>
      <w:r w:rsidRPr="000501F0">
        <w:rPr>
          <w:rStyle w:val="Emphasis"/>
          <w:sz w:val="20"/>
          <w:szCs w:val="20"/>
        </w:rPr>
        <w:t xml:space="preserve"> </w:t>
      </w:r>
      <w:proofErr w:type="spellStart"/>
      <w:r w:rsidRPr="000501F0">
        <w:rPr>
          <w:rStyle w:val="Emphasis"/>
          <w:sz w:val="20"/>
          <w:szCs w:val="20"/>
        </w:rPr>
        <w:t>Entomologique</w:t>
      </w:r>
      <w:proofErr w:type="spellEnd"/>
      <w:r w:rsidRPr="000501F0">
        <w:rPr>
          <w:rStyle w:val="Emphasis"/>
          <w:sz w:val="20"/>
          <w:szCs w:val="20"/>
        </w:rPr>
        <w:t xml:space="preserve"> de France (N.S.), 52</w:t>
      </w:r>
      <w:r w:rsidRPr="000501F0">
        <w:rPr>
          <w:sz w:val="20"/>
          <w:szCs w:val="20"/>
        </w:rPr>
        <w:t xml:space="preserve">(2), 101–108. </w:t>
      </w:r>
      <w:hyperlink r:id="rId46" w:history="1">
        <w:r w:rsidRPr="000501F0">
          <w:rPr>
            <w:rStyle w:val="Hyperlink"/>
            <w:sz w:val="20"/>
            <w:szCs w:val="20"/>
          </w:rPr>
          <w:t>https://doi.org/10.1080/00379271.2016.1153212</w:t>
        </w:r>
      </w:hyperlink>
    </w:p>
    <w:p w14:paraId="055FAA4B"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Ghana Statistical Service. (2021). </w:t>
      </w:r>
      <w:r w:rsidRPr="000501F0">
        <w:rPr>
          <w:rStyle w:val="Emphasis"/>
          <w:sz w:val="20"/>
          <w:szCs w:val="20"/>
        </w:rPr>
        <w:t>2021 Population and Housing Census: General report volume 3A—Urbanisation</w:t>
      </w:r>
      <w:r w:rsidRPr="000501F0">
        <w:rPr>
          <w:sz w:val="20"/>
          <w:szCs w:val="20"/>
        </w:rPr>
        <w:t>. Accra: Ghana Statistical Service. https://census2021.statsghana.gov.gh/</w:t>
      </w:r>
    </w:p>
    <w:p w14:paraId="4214A529" w14:textId="77777777" w:rsidR="004C03BA" w:rsidRPr="000501F0" w:rsidRDefault="004C03BA" w:rsidP="000501F0">
      <w:pPr>
        <w:pStyle w:val="ListParagraph1"/>
        <w:spacing w:after="891" w:line="240" w:lineRule="auto"/>
        <w:ind w:left="993" w:right="136" w:hanging="993"/>
        <w:jc w:val="both"/>
        <w:rPr>
          <w:sz w:val="20"/>
          <w:szCs w:val="20"/>
        </w:rPr>
      </w:pPr>
      <w:proofErr w:type="spellStart"/>
      <w:r w:rsidRPr="000501F0">
        <w:rPr>
          <w:sz w:val="20"/>
          <w:szCs w:val="20"/>
        </w:rPr>
        <w:t>GhanaWeb</w:t>
      </w:r>
      <w:proofErr w:type="spellEnd"/>
      <w:r w:rsidRPr="000501F0">
        <w:rPr>
          <w:sz w:val="20"/>
          <w:szCs w:val="20"/>
        </w:rPr>
        <w:t xml:space="preserve">. (2025). Mayor Allotey champions youth partnerships in tackling extreme heat. </w:t>
      </w:r>
      <w:hyperlink r:id="rId47" w:history="1">
        <w:r w:rsidRPr="000501F0">
          <w:rPr>
            <w:rStyle w:val="Hyperlink"/>
            <w:sz w:val="20"/>
            <w:szCs w:val="20"/>
          </w:rPr>
          <w:t>https://www.ghanaweb.com/GhanaHomePage/regional/Mayor-Allotey-champions-youth-partnerships-in-tackling-extreme-heat-2000891</w:t>
        </w:r>
      </w:hyperlink>
    </w:p>
    <w:p w14:paraId="2D10EC4A"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Goddard, M. A., Dougill, A. J., &amp; Benton, T. G. (2010). Scaling up from gardens: Biodiversity conservation in urban environments. </w:t>
      </w:r>
      <w:r w:rsidRPr="000501F0">
        <w:rPr>
          <w:rStyle w:val="Emphasis"/>
          <w:sz w:val="20"/>
          <w:szCs w:val="20"/>
        </w:rPr>
        <w:t>Trends in Ecology &amp; Evolution, 25</w:t>
      </w:r>
      <w:r w:rsidRPr="000501F0">
        <w:rPr>
          <w:sz w:val="20"/>
          <w:szCs w:val="20"/>
        </w:rPr>
        <w:t xml:space="preserve">(2), 90–98. </w:t>
      </w:r>
      <w:hyperlink r:id="rId48" w:history="1">
        <w:r w:rsidRPr="000501F0">
          <w:rPr>
            <w:rStyle w:val="Hyperlink"/>
            <w:sz w:val="20"/>
            <w:szCs w:val="20"/>
          </w:rPr>
          <w:t>https://doi.org/10.1016/j.tree.2009.07.016</w:t>
        </w:r>
      </w:hyperlink>
    </w:p>
    <w:p w14:paraId="7D4596EA"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Hall, D. M., Camilo, G. R., Tonietto, R. K., Ollerton, J., </w:t>
      </w:r>
      <w:proofErr w:type="spellStart"/>
      <w:r w:rsidRPr="000501F0">
        <w:rPr>
          <w:sz w:val="20"/>
          <w:szCs w:val="20"/>
        </w:rPr>
        <w:t>Ahrné</w:t>
      </w:r>
      <w:proofErr w:type="spellEnd"/>
      <w:r w:rsidRPr="000501F0">
        <w:rPr>
          <w:sz w:val="20"/>
          <w:szCs w:val="20"/>
        </w:rPr>
        <w:t xml:space="preserve">, K., Arduser, M., ... &amp; Threlfall, C. G. (2017). The city as a refuge for insect pollinators. </w:t>
      </w:r>
      <w:r w:rsidRPr="000501F0">
        <w:rPr>
          <w:rStyle w:val="Emphasis"/>
          <w:sz w:val="20"/>
          <w:szCs w:val="20"/>
        </w:rPr>
        <w:t>Conservation Biology, 31</w:t>
      </w:r>
      <w:r w:rsidRPr="000501F0">
        <w:rPr>
          <w:sz w:val="20"/>
          <w:szCs w:val="20"/>
        </w:rPr>
        <w:t xml:space="preserve">(1), 24–29. </w:t>
      </w:r>
      <w:hyperlink r:id="rId49" w:history="1">
        <w:r w:rsidRPr="000501F0">
          <w:rPr>
            <w:rStyle w:val="Hyperlink"/>
            <w:sz w:val="20"/>
            <w:szCs w:val="20"/>
          </w:rPr>
          <w:t>https://doi.org/10.1111/cobi.12840</w:t>
        </w:r>
      </w:hyperlink>
    </w:p>
    <w:p w14:paraId="71BB8C83"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Hanna, E., Bruno, D., &amp; </w:t>
      </w:r>
      <w:proofErr w:type="spellStart"/>
      <w:r w:rsidRPr="000501F0">
        <w:rPr>
          <w:sz w:val="20"/>
          <w:szCs w:val="20"/>
        </w:rPr>
        <w:t>Comín</w:t>
      </w:r>
      <w:proofErr w:type="spellEnd"/>
      <w:r w:rsidRPr="000501F0">
        <w:rPr>
          <w:sz w:val="20"/>
          <w:szCs w:val="20"/>
        </w:rPr>
        <w:t xml:space="preserve">, F. A. (2023). The ecosystem services supplied by urban green infrastructure depend on their naturalness, functionality and imperviousness. </w:t>
      </w:r>
      <w:r w:rsidRPr="000501F0">
        <w:rPr>
          <w:rStyle w:val="Emphasis"/>
          <w:sz w:val="20"/>
          <w:szCs w:val="20"/>
        </w:rPr>
        <w:t>Urban Ecosystems, 27</w:t>
      </w:r>
      <w:r w:rsidRPr="000501F0">
        <w:rPr>
          <w:sz w:val="20"/>
          <w:szCs w:val="20"/>
        </w:rPr>
        <w:t xml:space="preserve">, 417–426. </w:t>
      </w:r>
      <w:hyperlink r:id="rId50" w:history="1">
        <w:r w:rsidRPr="000501F0">
          <w:rPr>
            <w:rStyle w:val="Hyperlink"/>
            <w:sz w:val="20"/>
            <w:szCs w:val="20"/>
          </w:rPr>
          <w:t>https://doi.org/10.1007/s11252-023-01442-9</w:t>
        </w:r>
      </w:hyperlink>
    </w:p>
    <w:p w14:paraId="430A610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Harrison, T., &amp; Winfree, R. (2015). Urban drivers of plant-pollinator interactions. </w:t>
      </w:r>
      <w:r w:rsidRPr="000501F0">
        <w:rPr>
          <w:rStyle w:val="Emphasis"/>
          <w:sz w:val="20"/>
          <w:szCs w:val="20"/>
        </w:rPr>
        <w:t>Functional Ecology, 29</w:t>
      </w:r>
      <w:r w:rsidRPr="000501F0">
        <w:rPr>
          <w:sz w:val="20"/>
          <w:szCs w:val="20"/>
        </w:rPr>
        <w:t xml:space="preserve">(7), 879–888. </w:t>
      </w:r>
      <w:hyperlink r:id="rId51" w:history="1">
        <w:r w:rsidRPr="000501F0">
          <w:rPr>
            <w:rStyle w:val="Hyperlink"/>
            <w:sz w:val="20"/>
            <w:szCs w:val="20"/>
          </w:rPr>
          <w:t>https://doi.org/10.1111/1365-2435.12486</w:t>
        </w:r>
      </w:hyperlink>
    </w:p>
    <w:p w14:paraId="0038D829" w14:textId="77777777" w:rsidR="00E038C1" w:rsidRPr="000501F0" w:rsidRDefault="00E038C1" w:rsidP="000501F0">
      <w:pPr>
        <w:pStyle w:val="ListParagraph1"/>
        <w:spacing w:after="891" w:line="240" w:lineRule="auto"/>
        <w:ind w:left="993" w:right="136" w:hanging="993"/>
        <w:jc w:val="both"/>
        <w:rPr>
          <w:sz w:val="20"/>
          <w:szCs w:val="20"/>
        </w:rPr>
      </w:pPr>
      <w:r w:rsidRPr="000501F0">
        <w:rPr>
          <w:rStyle w:val="Strong"/>
          <w:b w:val="0"/>
          <w:sz w:val="20"/>
          <w:szCs w:val="20"/>
        </w:rPr>
        <w:t>Herath, P., &amp; Bai, X.</w:t>
      </w:r>
      <w:r w:rsidRPr="000501F0">
        <w:rPr>
          <w:sz w:val="20"/>
          <w:szCs w:val="20"/>
        </w:rPr>
        <w:t xml:space="preserve"> (2024). Benefits and co-benefits of urban green infrastructure for sustainable cities: Six current and emerging themes. </w:t>
      </w:r>
      <w:r w:rsidRPr="000501F0">
        <w:rPr>
          <w:rStyle w:val="Emphasis"/>
          <w:sz w:val="20"/>
          <w:szCs w:val="20"/>
        </w:rPr>
        <w:t>Sustainability Science, 19</w:t>
      </w:r>
      <w:r w:rsidRPr="000501F0">
        <w:rPr>
          <w:sz w:val="20"/>
          <w:szCs w:val="20"/>
        </w:rPr>
        <w:t xml:space="preserve">, 1039–1063. </w:t>
      </w:r>
      <w:hyperlink r:id="rId52" w:history="1">
        <w:r w:rsidRPr="000501F0">
          <w:rPr>
            <w:rStyle w:val="Hyperlink"/>
            <w:sz w:val="20"/>
            <w:szCs w:val="20"/>
          </w:rPr>
          <w:t>https://doi.org/10.1007/s11625-024-01475-9</w:t>
        </w:r>
      </w:hyperlink>
    </w:p>
    <w:p w14:paraId="1FC93A1E" w14:textId="77777777" w:rsidR="009D1B7C" w:rsidRPr="000501F0" w:rsidRDefault="009D1B7C" w:rsidP="000501F0">
      <w:pPr>
        <w:pStyle w:val="ListParagraph1"/>
        <w:spacing w:after="891" w:line="240" w:lineRule="auto"/>
        <w:ind w:left="993" w:right="136" w:hanging="993"/>
        <w:jc w:val="both"/>
        <w:rPr>
          <w:sz w:val="20"/>
          <w:szCs w:val="20"/>
        </w:rPr>
      </w:pPr>
      <w:proofErr w:type="spellStart"/>
      <w:r w:rsidRPr="000501F0">
        <w:rPr>
          <w:sz w:val="20"/>
          <w:szCs w:val="20"/>
        </w:rPr>
        <w:t>Hollmén</w:t>
      </w:r>
      <w:proofErr w:type="spellEnd"/>
      <w:r w:rsidRPr="000501F0">
        <w:rPr>
          <w:sz w:val="20"/>
          <w:szCs w:val="20"/>
        </w:rPr>
        <w:t xml:space="preserve">, S. H., </w:t>
      </w:r>
      <w:proofErr w:type="spellStart"/>
      <w:r w:rsidRPr="000501F0">
        <w:rPr>
          <w:sz w:val="20"/>
          <w:szCs w:val="20"/>
        </w:rPr>
        <w:t>Marful</w:t>
      </w:r>
      <w:proofErr w:type="spellEnd"/>
      <w:r w:rsidRPr="000501F0">
        <w:rPr>
          <w:sz w:val="20"/>
          <w:szCs w:val="20"/>
        </w:rPr>
        <w:t xml:space="preserve">, A. B., Niskanen, T., Duah, D. Y. A., Manful, E., Pitkänen, M., &amp; Idun, I. A. (2025). </w:t>
      </w:r>
      <w:r w:rsidRPr="000501F0">
        <w:rPr>
          <w:rStyle w:val="Emphasis"/>
          <w:sz w:val="20"/>
          <w:szCs w:val="20"/>
        </w:rPr>
        <w:t>Kumasi trees – project of the hearts: Decolonial strategies for advancing urban greenery in a Sub-Saharan city</w:t>
      </w:r>
      <w:r w:rsidRPr="000501F0">
        <w:rPr>
          <w:sz w:val="20"/>
          <w:szCs w:val="20"/>
        </w:rPr>
        <w:t xml:space="preserve">. International Planning Studies, 30(1–2), 256–271. </w:t>
      </w:r>
      <w:hyperlink r:id="rId53" w:history="1">
        <w:r w:rsidRPr="000501F0">
          <w:rPr>
            <w:rStyle w:val="Hyperlink"/>
            <w:sz w:val="20"/>
            <w:szCs w:val="20"/>
          </w:rPr>
          <w:t>https://doi.org/10.1080/13563475.2025.2461664</w:t>
        </w:r>
      </w:hyperlink>
    </w:p>
    <w:p w14:paraId="05C76499"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lastRenderedPageBreak/>
        <w:t xml:space="preserve">Hosek, L.-K. (2019). Tree cover of Accra’s neighbourhoods—a green divide. </w:t>
      </w:r>
      <w:r w:rsidRPr="000501F0">
        <w:rPr>
          <w:rStyle w:val="Emphasis"/>
          <w:sz w:val="20"/>
          <w:szCs w:val="20"/>
        </w:rPr>
        <w:t>Urban Forum, 30</w:t>
      </w:r>
      <w:r w:rsidRPr="000501F0">
        <w:rPr>
          <w:sz w:val="20"/>
          <w:szCs w:val="20"/>
        </w:rPr>
        <w:t xml:space="preserve">, 341–355. </w:t>
      </w:r>
      <w:hyperlink r:id="rId54" w:history="1">
        <w:r w:rsidRPr="000501F0">
          <w:rPr>
            <w:rStyle w:val="Hyperlink"/>
            <w:sz w:val="20"/>
            <w:szCs w:val="20"/>
          </w:rPr>
          <w:t>https://doi.org/10.1007/s12132-019-09364-6</w:t>
        </w:r>
      </w:hyperlink>
    </w:p>
    <w:p w14:paraId="4D6AFF53" w14:textId="77777777" w:rsidR="00C760A1" w:rsidRPr="000501F0" w:rsidRDefault="00C760A1" w:rsidP="000501F0">
      <w:pPr>
        <w:pStyle w:val="ListParagraph1"/>
        <w:spacing w:after="891" w:line="240" w:lineRule="auto"/>
        <w:ind w:left="993" w:right="136" w:hanging="993"/>
        <w:jc w:val="both"/>
        <w:rPr>
          <w:sz w:val="20"/>
          <w:szCs w:val="20"/>
        </w:rPr>
      </w:pPr>
      <w:r w:rsidRPr="000501F0">
        <w:rPr>
          <w:sz w:val="20"/>
          <w:szCs w:val="20"/>
        </w:rPr>
        <w:t xml:space="preserve">Institute for European Environmental Policy (IEEP). (2023). </w:t>
      </w:r>
      <w:r w:rsidRPr="000501F0">
        <w:rPr>
          <w:rStyle w:val="Emphasis"/>
          <w:sz w:val="20"/>
          <w:szCs w:val="20"/>
        </w:rPr>
        <w:t>Guidelines for monitoring pollinators in urban habitats</w:t>
      </w:r>
      <w:r w:rsidRPr="000501F0">
        <w:rPr>
          <w:sz w:val="20"/>
          <w:szCs w:val="20"/>
        </w:rPr>
        <w:t xml:space="preserve">. </w:t>
      </w:r>
      <w:hyperlink r:id="rId55" w:history="1">
        <w:r w:rsidRPr="000501F0">
          <w:rPr>
            <w:rStyle w:val="Hyperlink"/>
            <w:sz w:val="20"/>
            <w:szCs w:val="20"/>
          </w:rPr>
          <w:t>https://ieep.eu/wp-content/uploads/2023/11/Guidelines-monitoring-biodiversity-in-cities-IEEP-2023.pdf</w:t>
        </w:r>
      </w:hyperlink>
    </w:p>
    <w:p w14:paraId="1CD1E068"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IPBES. (2016). </w:t>
      </w:r>
      <w:r w:rsidRPr="000501F0">
        <w:rPr>
          <w:rStyle w:val="Emphasis"/>
          <w:sz w:val="20"/>
          <w:szCs w:val="20"/>
        </w:rPr>
        <w:t>The assessment report of the Intergovernmental Science-Policy Platform on Biodiversity and Ecosystem Services on pollinators, pollination and food production</w:t>
      </w:r>
      <w:r w:rsidRPr="000501F0">
        <w:rPr>
          <w:sz w:val="20"/>
          <w:szCs w:val="20"/>
        </w:rPr>
        <w:t xml:space="preserve">. S. G. Potts, V. L. Imperatriz-Fonseca, &amp; H. T. Ngo (Eds.). Bonn, Germany: IPBES Secretariat. </w:t>
      </w:r>
      <w:hyperlink r:id="rId56" w:history="1">
        <w:r w:rsidRPr="000501F0">
          <w:rPr>
            <w:rStyle w:val="Hyperlink"/>
            <w:sz w:val="20"/>
            <w:szCs w:val="20"/>
          </w:rPr>
          <w:t>https://www.ipbes.net/assessment-reports/pollinators</w:t>
        </w:r>
      </w:hyperlink>
    </w:p>
    <w:p w14:paraId="3A9AB3AC"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Isola, L., &amp; Carter, J. (2025). Exploring the relationship between urban green infrastructure connectivity, size and multifunctionality: A systematic review. </w:t>
      </w:r>
      <w:r w:rsidRPr="000501F0">
        <w:rPr>
          <w:rStyle w:val="Emphasis"/>
          <w:sz w:val="20"/>
          <w:szCs w:val="20"/>
        </w:rPr>
        <w:t>Landscape Ecology, 40</w:t>
      </w:r>
      <w:r w:rsidRPr="000501F0">
        <w:rPr>
          <w:sz w:val="20"/>
          <w:szCs w:val="20"/>
        </w:rPr>
        <w:t xml:space="preserve">, Article 61. </w:t>
      </w:r>
      <w:hyperlink r:id="rId57" w:history="1">
        <w:r w:rsidRPr="000501F0">
          <w:rPr>
            <w:rStyle w:val="Hyperlink"/>
            <w:sz w:val="20"/>
            <w:szCs w:val="20"/>
          </w:rPr>
          <w:t>https://doi.org/10.1007/s10980-025-02069-1</w:t>
        </w:r>
      </w:hyperlink>
    </w:p>
    <w:p w14:paraId="5BEBA8AC"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Jabbar, M., Yusoff, M. M., &amp; Shafie, A. (2021). Assessing the role of urban green spaces for human well-being: A systematic review. </w:t>
      </w:r>
      <w:proofErr w:type="spellStart"/>
      <w:r w:rsidRPr="000501F0">
        <w:rPr>
          <w:rStyle w:val="Emphasis"/>
          <w:sz w:val="20"/>
          <w:szCs w:val="20"/>
        </w:rPr>
        <w:t>GeoJournal</w:t>
      </w:r>
      <w:proofErr w:type="spellEnd"/>
      <w:r w:rsidRPr="000501F0">
        <w:rPr>
          <w:rStyle w:val="Emphasis"/>
          <w:sz w:val="20"/>
          <w:szCs w:val="20"/>
        </w:rPr>
        <w:t>, 87</w:t>
      </w:r>
      <w:r w:rsidRPr="000501F0">
        <w:rPr>
          <w:sz w:val="20"/>
          <w:szCs w:val="20"/>
        </w:rPr>
        <w:t xml:space="preserve">(5), 10745–10763. </w:t>
      </w:r>
      <w:hyperlink r:id="rId58" w:history="1">
        <w:r w:rsidRPr="000501F0">
          <w:rPr>
            <w:rStyle w:val="Hyperlink"/>
            <w:sz w:val="20"/>
            <w:szCs w:val="20"/>
          </w:rPr>
          <w:t>https://doi.org/10.1007/s10708-021-10474-7</w:t>
        </w:r>
      </w:hyperlink>
    </w:p>
    <w:p w14:paraId="7AB2AA7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Jennings, V., &amp; </w:t>
      </w:r>
      <w:proofErr w:type="spellStart"/>
      <w:r w:rsidRPr="000501F0">
        <w:rPr>
          <w:sz w:val="20"/>
          <w:szCs w:val="20"/>
        </w:rPr>
        <w:t>Bamkole</w:t>
      </w:r>
      <w:proofErr w:type="spellEnd"/>
      <w:r w:rsidRPr="000501F0">
        <w:rPr>
          <w:sz w:val="20"/>
          <w:szCs w:val="20"/>
        </w:rPr>
        <w:t xml:space="preserve">, O. (2019). The relationship between social cohesion and urban green space: An avenue for health promotion. </w:t>
      </w:r>
      <w:r w:rsidRPr="000501F0">
        <w:rPr>
          <w:rStyle w:val="Emphasis"/>
          <w:sz w:val="20"/>
          <w:szCs w:val="20"/>
        </w:rPr>
        <w:t>International Journal of Environmental Research and Public Health, 16</w:t>
      </w:r>
      <w:r w:rsidRPr="000501F0">
        <w:rPr>
          <w:sz w:val="20"/>
          <w:szCs w:val="20"/>
        </w:rPr>
        <w:t xml:space="preserve">(3), 452. </w:t>
      </w:r>
      <w:hyperlink r:id="rId59" w:history="1">
        <w:r w:rsidRPr="000501F0">
          <w:rPr>
            <w:rStyle w:val="Hyperlink"/>
            <w:sz w:val="20"/>
            <w:szCs w:val="20"/>
          </w:rPr>
          <w:t>https://doi.org/10.3390/ijerph16030452</w:t>
        </w:r>
      </w:hyperlink>
    </w:p>
    <w:p w14:paraId="3343A613" w14:textId="77777777" w:rsidR="009D1B7C" w:rsidRPr="000501F0" w:rsidRDefault="009D1B7C" w:rsidP="000501F0">
      <w:pPr>
        <w:pStyle w:val="ListParagraph1"/>
        <w:spacing w:after="891" w:line="240" w:lineRule="auto"/>
        <w:ind w:left="993" w:right="136" w:hanging="993"/>
        <w:jc w:val="both"/>
        <w:rPr>
          <w:sz w:val="20"/>
          <w:szCs w:val="20"/>
        </w:rPr>
      </w:pPr>
      <w:r w:rsidRPr="000501F0">
        <w:rPr>
          <w:rStyle w:val="Strong"/>
          <w:b w:val="0"/>
          <w:sz w:val="20"/>
          <w:szCs w:val="20"/>
        </w:rPr>
        <w:t>Kabisch, N., &amp; Haase, D.</w:t>
      </w:r>
      <w:r w:rsidRPr="000501F0">
        <w:rPr>
          <w:sz w:val="20"/>
          <w:szCs w:val="20"/>
        </w:rPr>
        <w:t xml:space="preserve"> (2014). Green justice or just green? Provision of urban green spaces in Berlin, Germany. </w:t>
      </w:r>
      <w:r w:rsidRPr="000501F0">
        <w:rPr>
          <w:rStyle w:val="Emphasis"/>
          <w:sz w:val="20"/>
          <w:szCs w:val="20"/>
        </w:rPr>
        <w:t>Landscape and Urban Planning, 122</w:t>
      </w:r>
      <w:r w:rsidRPr="000501F0">
        <w:rPr>
          <w:sz w:val="20"/>
          <w:szCs w:val="20"/>
        </w:rPr>
        <w:t xml:space="preserve">, 129–139. </w:t>
      </w:r>
      <w:hyperlink r:id="rId60" w:history="1">
        <w:r w:rsidRPr="000501F0">
          <w:rPr>
            <w:rStyle w:val="Hyperlink"/>
            <w:sz w:val="20"/>
            <w:szCs w:val="20"/>
          </w:rPr>
          <w:t>https://doi.org/10.1016/j.landurbplan.2013.11.016</w:t>
        </w:r>
      </w:hyperlink>
    </w:p>
    <w:p w14:paraId="4546FBF2"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Kabisch, N., Qureshi, S., &amp; Haase, D. (2017). Human–environment interactions in urban green spaces—A systematic review of contemporary issues and prospects for future research. </w:t>
      </w:r>
      <w:r w:rsidRPr="000501F0">
        <w:rPr>
          <w:rStyle w:val="Emphasis"/>
          <w:sz w:val="20"/>
          <w:szCs w:val="20"/>
        </w:rPr>
        <w:t>Environmental Impact Assessment Review, 50</w:t>
      </w:r>
      <w:r w:rsidRPr="000501F0">
        <w:rPr>
          <w:sz w:val="20"/>
          <w:szCs w:val="20"/>
        </w:rPr>
        <w:t xml:space="preserve">, 25–34. </w:t>
      </w:r>
      <w:hyperlink r:id="rId61" w:history="1">
        <w:r w:rsidRPr="000501F0">
          <w:rPr>
            <w:rStyle w:val="Hyperlink"/>
            <w:sz w:val="20"/>
            <w:szCs w:val="20"/>
          </w:rPr>
          <w:t>https://doi.org/10.1016/j.eiar.2014.08.007</w:t>
        </w:r>
      </w:hyperlink>
    </w:p>
    <w:p w14:paraId="4F3C52F9"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Kasina, J. M., Mburu, J., Kraemer, M., &amp; Holm-Mueller, K. (2009). Economic benefit of crop pollination by bees: A case of Kakamega small-holder farming in western Kenya. </w:t>
      </w:r>
      <w:r w:rsidRPr="000501F0">
        <w:rPr>
          <w:rStyle w:val="Emphasis"/>
          <w:sz w:val="20"/>
          <w:szCs w:val="20"/>
        </w:rPr>
        <w:t>Journal of Economic Entomology, 102</w:t>
      </w:r>
      <w:r w:rsidRPr="000501F0">
        <w:rPr>
          <w:sz w:val="20"/>
          <w:szCs w:val="20"/>
        </w:rPr>
        <w:t xml:space="preserve">(2), 467–473. </w:t>
      </w:r>
      <w:hyperlink r:id="rId62" w:history="1">
        <w:r w:rsidRPr="000501F0">
          <w:rPr>
            <w:rStyle w:val="Hyperlink"/>
            <w:sz w:val="20"/>
            <w:szCs w:val="20"/>
          </w:rPr>
          <w:t>https://doi.org/10.1603/029.102.0201</w:t>
        </w:r>
      </w:hyperlink>
    </w:p>
    <w:p w14:paraId="5847EF0D"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Kwapong</w:t>
      </w:r>
      <w:proofErr w:type="spellEnd"/>
      <w:r w:rsidRPr="000501F0">
        <w:rPr>
          <w:sz w:val="20"/>
          <w:szCs w:val="20"/>
        </w:rPr>
        <w:t xml:space="preserve">, P. K., Aidoo, K., </w:t>
      </w:r>
      <w:proofErr w:type="spellStart"/>
      <w:r w:rsidRPr="000501F0">
        <w:rPr>
          <w:sz w:val="20"/>
          <w:szCs w:val="20"/>
        </w:rPr>
        <w:t>Combey</w:t>
      </w:r>
      <w:proofErr w:type="spellEnd"/>
      <w:r w:rsidRPr="000501F0">
        <w:rPr>
          <w:sz w:val="20"/>
          <w:szCs w:val="20"/>
        </w:rPr>
        <w:t xml:space="preserve">, R., &amp; Karikari, A. Y. (2010). </w:t>
      </w:r>
      <w:r w:rsidRPr="000501F0">
        <w:rPr>
          <w:rStyle w:val="Emphasis"/>
          <w:sz w:val="20"/>
          <w:szCs w:val="20"/>
        </w:rPr>
        <w:t>Conservation of pollination services for sustainable agriculture: Ghana’s experience</w:t>
      </w:r>
      <w:r w:rsidRPr="000501F0">
        <w:rPr>
          <w:sz w:val="20"/>
          <w:szCs w:val="20"/>
        </w:rPr>
        <w:t>. Accra: Ghana Academy of Arts and Sciences.</w:t>
      </w:r>
    </w:p>
    <w:p w14:paraId="5AAAA255" w14:textId="77777777" w:rsidR="001F6801" w:rsidRPr="000501F0" w:rsidRDefault="001F6801" w:rsidP="000501F0">
      <w:pPr>
        <w:pStyle w:val="ListParagraph1"/>
        <w:spacing w:after="891" w:line="240" w:lineRule="auto"/>
        <w:ind w:left="993" w:right="136" w:hanging="993"/>
        <w:jc w:val="both"/>
        <w:rPr>
          <w:sz w:val="20"/>
          <w:szCs w:val="20"/>
        </w:rPr>
      </w:pPr>
      <w:r w:rsidRPr="000501F0">
        <w:rPr>
          <w:sz w:val="20"/>
          <w:szCs w:val="20"/>
        </w:rPr>
        <w:t xml:space="preserve">Lam, J. (2025). </w:t>
      </w:r>
      <w:r w:rsidRPr="000501F0">
        <w:rPr>
          <w:rStyle w:val="Emphasis"/>
          <w:sz w:val="20"/>
          <w:szCs w:val="20"/>
        </w:rPr>
        <w:t>Urban green spaces boosting mental health</w:t>
      </w:r>
      <w:r w:rsidRPr="000501F0">
        <w:rPr>
          <w:sz w:val="20"/>
          <w:szCs w:val="20"/>
        </w:rPr>
        <w:t xml:space="preserve">. Keep Mass Beautiful. </w:t>
      </w:r>
      <w:hyperlink r:id="rId63" w:history="1">
        <w:r w:rsidRPr="000501F0">
          <w:rPr>
            <w:rStyle w:val="Hyperlink"/>
            <w:sz w:val="20"/>
            <w:szCs w:val="20"/>
          </w:rPr>
          <w:t>https://keepmassbeautiful.org/news-events/the-kmb-blog/overview.html/article/2025/06/10/urban-green-spaces-boosting-mental-health</w:t>
        </w:r>
      </w:hyperlink>
    </w:p>
    <w:p w14:paraId="5F228433"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Liang, H., He, Y.-D., Theodorou, P., &amp; Yang, C.-F. (2023). The effects of urbanization on pollinators and pollination: A meta-analysis. </w:t>
      </w:r>
      <w:r w:rsidRPr="000501F0">
        <w:rPr>
          <w:rStyle w:val="Emphasis"/>
          <w:sz w:val="20"/>
          <w:szCs w:val="20"/>
        </w:rPr>
        <w:t>Ecology Letters</w:t>
      </w:r>
      <w:r w:rsidRPr="000501F0">
        <w:rPr>
          <w:sz w:val="20"/>
          <w:szCs w:val="20"/>
        </w:rPr>
        <w:t xml:space="preserve">. </w:t>
      </w:r>
      <w:hyperlink r:id="rId64" w:history="1">
        <w:r w:rsidRPr="000501F0">
          <w:rPr>
            <w:rStyle w:val="Hyperlink"/>
            <w:sz w:val="20"/>
            <w:szCs w:val="20"/>
          </w:rPr>
          <w:t>https://doi.org/10.1111/ele.14277</w:t>
        </w:r>
      </w:hyperlink>
    </w:p>
    <w:p w14:paraId="4A3672E4"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Markevych</w:t>
      </w:r>
      <w:proofErr w:type="spellEnd"/>
      <w:r w:rsidRPr="000501F0">
        <w:rPr>
          <w:sz w:val="20"/>
          <w:szCs w:val="20"/>
        </w:rPr>
        <w:t xml:space="preserve">, I., </w:t>
      </w:r>
      <w:proofErr w:type="spellStart"/>
      <w:r w:rsidRPr="000501F0">
        <w:rPr>
          <w:sz w:val="20"/>
          <w:szCs w:val="20"/>
        </w:rPr>
        <w:t>Schoierer</w:t>
      </w:r>
      <w:proofErr w:type="spellEnd"/>
      <w:r w:rsidRPr="000501F0">
        <w:rPr>
          <w:sz w:val="20"/>
          <w:szCs w:val="20"/>
        </w:rPr>
        <w:t xml:space="preserve">, J., Hartig, T., Chudnovsky, A., Hystad, P., Dzhambov, A. M., ... &amp; Fuertes, E. (2017). Exploring pathways linking greenspace to health: Theoretical and methodological guidance. </w:t>
      </w:r>
      <w:r w:rsidRPr="000501F0">
        <w:rPr>
          <w:rStyle w:val="Emphasis"/>
          <w:sz w:val="20"/>
          <w:szCs w:val="20"/>
        </w:rPr>
        <w:t>Environmental Research, 158</w:t>
      </w:r>
      <w:r w:rsidRPr="000501F0">
        <w:rPr>
          <w:sz w:val="20"/>
          <w:szCs w:val="20"/>
        </w:rPr>
        <w:t xml:space="preserve">, 301–317. </w:t>
      </w:r>
      <w:hyperlink r:id="rId65" w:history="1">
        <w:r w:rsidRPr="000501F0">
          <w:rPr>
            <w:rStyle w:val="Hyperlink"/>
            <w:sz w:val="20"/>
            <w:szCs w:val="20"/>
          </w:rPr>
          <w:t>https://doi.org/10.1016/j.envres.2017.06.028</w:t>
        </w:r>
      </w:hyperlink>
    </w:p>
    <w:p w14:paraId="25E270EB"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Mulungu, K., </w:t>
      </w:r>
      <w:proofErr w:type="spellStart"/>
      <w:r w:rsidRPr="000501F0">
        <w:rPr>
          <w:sz w:val="20"/>
          <w:szCs w:val="20"/>
        </w:rPr>
        <w:t>Tekelewold</w:t>
      </w:r>
      <w:proofErr w:type="spellEnd"/>
      <w:r w:rsidRPr="000501F0">
        <w:rPr>
          <w:sz w:val="20"/>
          <w:szCs w:val="20"/>
        </w:rPr>
        <w:t xml:space="preserve">, H., Abro, Z., </w:t>
      </w:r>
      <w:proofErr w:type="spellStart"/>
      <w:r w:rsidRPr="000501F0">
        <w:rPr>
          <w:sz w:val="20"/>
          <w:szCs w:val="20"/>
        </w:rPr>
        <w:t>Sevgan</w:t>
      </w:r>
      <w:proofErr w:type="spellEnd"/>
      <w:r w:rsidRPr="000501F0">
        <w:rPr>
          <w:sz w:val="20"/>
          <w:szCs w:val="20"/>
        </w:rPr>
        <w:t xml:space="preserve">, S., Muriithi, B., </w:t>
      </w:r>
      <w:proofErr w:type="spellStart"/>
      <w:r w:rsidRPr="000501F0">
        <w:rPr>
          <w:sz w:val="20"/>
          <w:szCs w:val="20"/>
        </w:rPr>
        <w:t>Ecuru</w:t>
      </w:r>
      <w:proofErr w:type="spellEnd"/>
      <w:r w:rsidRPr="000501F0">
        <w:rPr>
          <w:sz w:val="20"/>
          <w:szCs w:val="20"/>
        </w:rPr>
        <w:t xml:space="preserve">, J., </w:t>
      </w:r>
      <w:proofErr w:type="spellStart"/>
      <w:r w:rsidRPr="000501F0">
        <w:rPr>
          <w:sz w:val="20"/>
          <w:szCs w:val="20"/>
        </w:rPr>
        <w:t>Beesigamukama</w:t>
      </w:r>
      <w:proofErr w:type="spellEnd"/>
      <w:r w:rsidRPr="000501F0">
        <w:rPr>
          <w:sz w:val="20"/>
          <w:szCs w:val="20"/>
        </w:rPr>
        <w:t xml:space="preserve">, D., &amp; Kassie, M. (2023). Pollinator-dependent crops significantly contribute to diets and reduce household nutrient deficiencies in sub-Saharan Africa. </w:t>
      </w:r>
      <w:r w:rsidRPr="000501F0">
        <w:rPr>
          <w:rStyle w:val="Emphasis"/>
          <w:sz w:val="20"/>
          <w:szCs w:val="20"/>
        </w:rPr>
        <w:t>Scientific Reports, 13</w:t>
      </w:r>
      <w:r w:rsidRPr="000501F0">
        <w:rPr>
          <w:sz w:val="20"/>
          <w:szCs w:val="20"/>
        </w:rPr>
        <w:t xml:space="preserve">, Article 41217. </w:t>
      </w:r>
      <w:hyperlink r:id="rId66" w:history="1">
        <w:r w:rsidRPr="000501F0">
          <w:rPr>
            <w:rStyle w:val="Hyperlink"/>
            <w:sz w:val="20"/>
            <w:szCs w:val="20"/>
          </w:rPr>
          <w:t>https://doi.org/10.1038/s41598-023-41217-y</w:t>
        </w:r>
      </w:hyperlink>
    </w:p>
    <w:p w14:paraId="7B12A3E9" w14:textId="77777777" w:rsidR="007D75A4" w:rsidRPr="000501F0" w:rsidRDefault="007D75A4" w:rsidP="000501F0">
      <w:pPr>
        <w:pStyle w:val="ListParagraph1"/>
        <w:spacing w:after="891" w:line="240" w:lineRule="auto"/>
        <w:ind w:left="993" w:right="136" w:hanging="993"/>
        <w:jc w:val="both"/>
        <w:rPr>
          <w:sz w:val="20"/>
          <w:szCs w:val="20"/>
        </w:rPr>
      </w:pPr>
      <w:r w:rsidRPr="000501F0">
        <w:rPr>
          <w:sz w:val="20"/>
          <w:szCs w:val="20"/>
        </w:rPr>
        <w:t xml:space="preserve">Murphy, A. W., &amp; Crone, E. E. (2021). </w:t>
      </w:r>
      <w:r w:rsidRPr="000501F0">
        <w:rPr>
          <w:rStyle w:val="Emphasis"/>
          <w:sz w:val="20"/>
          <w:szCs w:val="20"/>
        </w:rPr>
        <w:t>Pollinator gardens: Landscaping for biodiversity in the 21st century</w:t>
      </w:r>
      <w:r w:rsidRPr="000501F0">
        <w:rPr>
          <w:sz w:val="20"/>
          <w:szCs w:val="20"/>
        </w:rPr>
        <w:t xml:space="preserve">. CREATE Solutions for a Changing World, no. 1. Tufts University. </w:t>
      </w:r>
      <w:hyperlink r:id="rId67" w:history="1">
        <w:r w:rsidRPr="000501F0">
          <w:rPr>
            <w:rStyle w:val="Hyperlink"/>
            <w:sz w:val="20"/>
            <w:szCs w:val="20"/>
          </w:rPr>
          <w:t>https://createsolutions.tufts.edu/wp-content/uploads/2021/08/CREATE_Pollinators_Murphy_Crone.pdf</w:t>
        </w:r>
      </w:hyperlink>
    </w:p>
    <w:p w14:paraId="152718DC" w14:textId="77777777" w:rsidR="004C03BA" w:rsidRPr="000501F0" w:rsidRDefault="004C03BA" w:rsidP="000501F0">
      <w:pPr>
        <w:pStyle w:val="ListParagraph1"/>
        <w:spacing w:after="891" w:line="240" w:lineRule="auto"/>
        <w:ind w:left="993" w:right="136" w:hanging="993"/>
        <w:jc w:val="both"/>
        <w:rPr>
          <w:sz w:val="20"/>
          <w:szCs w:val="20"/>
        </w:rPr>
      </w:pPr>
      <w:proofErr w:type="spellStart"/>
      <w:r w:rsidRPr="000501F0">
        <w:rPr>
          <w:sz w:val="20"/>
          <w:szCs w:val="20"/>
        </w:rPr>
        <w:t>MyDailyNewsOnline</w:t>
      </w:r>
      <w:proofErr w:type="spellEnd"/>
      <w:r w:rsidRPr="000501F0">
        <w:rPr>
          <w:sz w:val="20"/>
          <w:szCs w:val="20"/>
        </w:rPr>
        <w:t xml:space="preserve">. (2025). Apata Initiative leads youth climate action for a cooler, greener Accra. </w:t>
      </w:r>
      <w:hyperlink r:id="rId68" w:history="1">
        <w:r w:rsidRPr="000501F0">
          <w:rPr>
            <w:rStyle w:val="Hyperlink"/>
            <w:sz w:val="20"/>
            <w:szCs w:val="20"/>
          </w:rPr>
          <w:t>https://mydailynewsonline.com/2025/09/16/apata-initiative-leads-youth-climate-action-for-a-cooler-greener-accra/</w:t>
        </w:r>
      </w:hyperlink>
    </w:p>
    <w:p w14:paraId="17F1631A" w14:textId="77777777" w:rsidR="004C03BA" w:rsidRPr="000501F0" w:rsidRDefault="004C03BA" w:rsidP="000501F0">
      <w:pPr>
        <w:pStyle w:val="ListParagraph1"/>
        <w:spacing w:after="891" w:line="240" w:lineRule="auto"/>
        <w:ind w:left="993" w:right="136" w:hanging="993"/>
        <w:jc w:val="both"/>
        <w:rPr>
          <w:sz w:val="20"/>
          <w:szCs w:val="20"/>
        </w:rPr>
      </w:pPr>
      <w:r w:rsidRPr="000501F0">
        <w:rPr>
          <w:sz w:val="20"/>
          <w:szCs w:val="20"/>
        </w:rPr>
        <w:t xml:space="preserve">Owusu, P., Asare, B. W., Aikins, B., Dogbe, P. Y., &amp; </w:t>
      </w:r>
      <w:proofErr w:type="spellStart"/>
      <w:r w:rsidRPr="000501F0">
        <w:rPr>
          <w:sz w:val="20"/>
          <w:szCs w:val="20"/>
        </w:rPr>
        <w:t>Asaah</w:t>
      </w:r>
      <w:proofErr w:type="spellEnd"/>
      <w:r w:rsidRPr="000501F0">
        <w:rPr>
          <w:sz w:val="20"/>
          <w:szCs w:val="20"/>
        </w:rPr>
        <w:t xml:space="preserve">, D. W. (2025). Willingness to pay for urban heat island mitigation through increased tree coverage: A contingent valuation study in Accra and Kumasi, Ghana. </w:t>
      </w:r>
      <w:r w:rsidRPr="000501F0">
        <w:rPr>
          <w:rStyle w:val="Emphasis"/>
          <w:sz w:val="20"/>
          <w:szCs w:val="20"/>
        </w:rPr>
        <w:t>City and Environment Interactions, 28</w:t>
      </w:r>
      <w:r w:rsidRPr="000501F0">
        <w:rPr>
          <w:sz w:val="20"/>
          <w:szCs w:val="20"/>
        </w:rPr>
        <w:t xml:space="preserve">, 100242. </w:t>
      </w:r>
      <w:hyperlink r:id="rId69" w:history="1">
        <w:r w:rsidRPr="000501F0">
          <w:rPr>
            <w:rStyle w:val="Hyperlink"/>
            <w:sz w:val="20"/>
            <w:szCs w:val="20"/>
          </w:rPr>
          <w:t>https://doi.org/10.1016/j.cacint.2025.100242</w:t>
        </w:r>
      </w:hyperlink>
    </w:p>
    <w:p w14:paraId="2273923F" w14:textId="77777777" w:rsidR="00B5152B" w:rsidRPr="000501F0" w:rsidRDefault="00B5152B" w:rsidP="000501F0">
      <w:pPr>
        <w:pStyle w:val="ListParagraph1"/>
        <w:spacing w:after="891" w:line="240" w:lineRule="auto"/>
        <w:ind w:left="993" w:right="136" w:hanging="993"/>
        <w:jc w:val="both"/>
        <w:rPr>
          <w:sz w:val="20"/>
          <w:szCs w:val="20"/>
        </w:rPr>
      </w:pPr>
      <w:r w:rsidRPr="000501F0">
        <w:rPr>
          <w:sz w:val="20"/>
          <w:szCs w:val="20"/>
        </w:rPr>
        <w:t xml:space="preserve">Pollinator Partnership. (2023). </w:t>
      </w:r>
      <w:r w:rsidRPr="000501F0">
        <w:rPr>
          <w:rStyle w:val="Emphasis"/>
          <w:sz w:val="20"/>
          <w:szCs w:val="20"/>
        </w:rPr>
        <w:t>Threats to Pollinators</w:t>
      </w:r>
      <w:r w:rsidRPr="000501F0">
        <w:rPr>
          <w:sz w:val="20"/>
          <w:szCs w:val="20"/>
        </w:rPr>
        <w:t xml:space="preserve">. </w:t>
      </w:r>
      <w:hyperlink r:id="rId70" w:history="1">
        <w:r w:rsidRPr="000501F0">
          <w:rPr>
            <w:rStyle w:val="Hyperlink"/>
            <w:sz w:val="20"/>
            <w:szCs w:val="20"/>
          </w:rPr>
          <w:t>https://www.pollinator.org/threats</w:t>
        </w:r>
      </w:hyperlink>
    </w:p>
    <w:p w14:paraId="46BE3E66" w14:textId="77777777" w:rsidR="004C03BA" w:rsidRPr="000501F0" w:rsidRDefault="004C03BA" w:rsidP="000501F0">
      <w:pPr>
        <w:pStyle w:val="ListParagraph1"/>
        <w:spacing w:after="891" w:line="240" w:lineRule="auto"/>
        <w:ind w:left="993" w:right="136" w:hanging="993"/>
        <w:jc w:val="both"/>
        <w:rPr>
          <w:sz w:val="20"/>
          <w:szCs w:val="20"/>
        </w:rPr>
      </w:pPr>
      <w:r w:rsidRPr="000501F0">
        <w:rPr>
          <w:sz w:val="20"/>
          <w:szCs w:val="20"/>
        </w:rPr>
        <w:t xml:space="preserve">Poole, O., Costa, A., &amp; Shaw, R. F. (2024). Pollinators respond positively to urban green space enhancements using wild and ornamental flowers. </w:t>
      </w:r>
      <w:r w:rsidRPr="000501F0">
        <w:rPr>
          <w:rStyle w:val="Emphasis"/>
          <w:sz w:val="20"/>
          <w:szCs w:val="20"/>
        </w:rPr>
        <w:t>Insect Conservation and Diversity</w:t>
      </w:r>
      <w:r w:rsidRPr="000501F0">
        <w:rPr>
          <w:sz w:val="20"/>
          <w:szCs w:val="20"/>
        </w:rPr>
        <w:t xml:space="preserve">. </w:t>
      </w:r>
      <w:hyperlink r:id="rId71" w:history="1">
        <w:r w:rsidRPr="000501F0">
          <w:rPr>
            <w:rStyle w:val="Hyperlink"/>
            <w:sz w:val="20"/>
            <w:szCs w:val="20"/>
          </w:rPr>
          <w:t>https://doi.org/10.1111/icad.12779</w:t>
        </w:r>
      </w:hyperlink>
    </w:p>
    <w:p w14:paraId="0B6C9BC9"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Potts, S. G., </w:t>
      </w:r>
      <w:proofErr w:type="spellStart"/>
      <w:r w:rsidRPr="000501F0">
        <w:rPr>
          <w:sz w:val="20"/>
          <w:szCs w:val="20"/>
        </w:rPr>
        <w:t>Biesmeijer</w:t>
      </w:r>
      <w:proofErr w:type="spellEnd"/>
      <w:r w:rsidRPr="000501F0">
        <w:rPr>
          <w:sz w:val="20"/>
          <w:szCs w:val="20"/>
        </w:rPr>
        <w:t xml:space="preserve">, J. C., Kremen, C., Neumann, P., Schweiger, O., &amp; Kunin, W. E. (2010). Global pollinator declines: Trends, impacts and drivers. </w:t>
      </w:r>
      <w:r w:rsidRPr="000501F0">
        <w:rPr>
          <w:rStyle w:val="Emphasis"/>
          <w:sz w:val="20"/>
          <w:szCs w:val="20"/>
        </w:rPr>
        <w:t>Trends in Ecology &amp; Evolution, 25</w:t>
      </w:r>
      <w:r w:rsidRPr="000501F0">
        <w:rPr>
          <w:sz w:val="20"/>
          <w:szCs w:val="20"/>
        </w:rPr>
        <w:t xml:space="preserve">(6), 345–353. </w:t>
      </w:r>
      <w:hyperlink r:id="rId72" w:history="1">
        <w:r w:rsidRPr="000501F0">
          <w:rPr>
            <w:rStyle w:val="Hyperlink"/>
            <w:sz w:val="20"/>
            <w:szCs w:val="20"/>
          </w:rPr>
          <w:t>https://doi.org/10.1016/j.tree.2010.01.007</w:t>
        </w:r>
      </w:hyperlink>
    </w:p>
    <w:p w14:paraId="60A1217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lastRenderedPageBreak/>
        <w:t xml:space="preserve">Potts, S. G., Imperatriz-Fonseca, V. L., Ngo, H. T., </w:t>
      </w:r>
      <w:proofErr w:type="spellStart"/>
      <w:r w:rsidRPr="000501F0">
        <w:rPr>
          <w:sz w:val="20"/>
          <w:szCs w:val="20"/>
        </w:rPr>
        <w:t>Biesmeijer</w:t>
      </w:r>
      <w:proofErr w:type="spellEnd"/>
      <w:r w:rsidRPr="000501F0">
        <w:rPr>
          <w:sz w:val="20"/>
          <w:szCs w:val="20"/>
        </w:rPr>
        <w:t xml:space="preserve">, J. C., Breeze, T. D., Dicks, L. V., ... &amp; Viana, B. F. (2021). Safeguarding pollinators and their values to human well-being. </w:t>
      </w:r>
      <w:r w:rsidRPr="000501F0">
        <w:rPr>
          <w:rStyle w:val="Emphasis"/>
          <w:sz w:val="20"/>
          <w:szCs w:val="20"/>
        </w:rPr>
        <w:t>Nature Ecology &amp; Evolution, 5</w:t>
      </w:r>
      <w:r w:rsidRPr="000501F0">
        <w:rPr>
          <w:sz w:val="20"/>
          <w:szCs w:val="20"/>
        </w:rPr>
        <w:t xml:space="preserve">, 3–13. </w:t>
      </w:r>
      <w:hyperlink r:id="rId73" w:history="1">
        <w:r w:rsidRPr="000501F0">
          <w:rPr>
            <w:rStyle w:val="Hyperlink"/>
            <w:sz w:val="20"/>
            <w:szCs w:val="20"/>
          </w:rPr>
          <w:t>https://doi.org/10.1038/s41559-020-01361-1</w:t>
        </w:r>
      </w:hyperlink>
    </w:p>
    <w:p w14:paraId="208ED6D0"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Puplampu</w:t>
      </w:r>
      <w:proofErr w:type="spellEnd"/>
      <w:r w:rsidRPr="000501F0">
        <w:rPr>
          <w:sz w:val="20"/>
          <w:szCs w:val="20"/>
        </w:rPr>
        <w:t xml:space="preserve">, D. A., &amp; Boafo, Y. A. (2021). Exploring the impacts of urban expansion on green spaces availability and delivery of ecosystem services in the Accra metropolis. </w:t>
      </w:r>
      <w:r w:rsidRPr="000501F0">
        <w:rPr>
          <w:rStyle w:val="Emphasis"/>
          <w:sz w:val="20"/>
          <w:szCs w:val="20"/>
        </w:rPr>
        <w:t>Environmental Challenges, 5</w:t>
      </w:r>
      <w:r w:rsidRPr="000501F0">
        <w:rPr>
          <w:sz w:val="20"/>
          <w:szCs w:val="20"/>
        </w:rPr>
        <w:t xml:space="preserve">, Article 100283. </w:t>
      </w:r>
      <w:hyperlink r:id="rId74" w:history="1">
        <w:r w:rsidRPr="000501F0">
          <w:rPr>
            <w:rStyle w:val="Hyperlink"/>
            <w:sz w:val="20"/>
            <w:szCs w:val="20"/>
          </w:rPr>
          <w:t>https://doi.org/10.1016/j.envc.2021.100283</w:t>
        </w:r>
      </w:hyperlink>
    </w:p>
    <w:p w14:paraId="22D39C97" w14:textId="77777777" w:rsidR="00C73169" w:rsidRPr="000501F0" w:rsidRDefault="00C73169" w:rsidP="000501F0">
      <w:pPr>
        <w:pStyle w:val="ListParagraph1"/>
        <w:spacing w:after="891" w:line="240" w:lineRule="auto"/>
        <w:ind w:left="993" w:right="136" w:hanging="993"/>
        <w:jc w:val="both"/>
        <w:rPr>
          <w:sz w:val="20"/>
          <w:szCs w:val="20"/>
        </w:rPr>
      </w:pPr>
      <w:proofErr w:type="spellStart"/>
      <w:r w:rsidRPr="000501F0">
        <w:rPr>
          <w:sz w:val="20"/>
          <w:szCs w:val="20"/>
        </w:rPr>
        <w:t>Rigolon</w:t>
      </w:r>
      <w:proofErr w:type="spellEnd"/>
      <w:r w:rsidRPr="000501F0">
        <w:rPr>
          <w:sz w:val="20"/>
          <w:szCs w:val="20"/>
        </w:rPr>
        <w:t xml:space="preserve">, A., Browning, M. H. E. M., Lee, K., &amp; Shin, S. (2021). Access to urban green space in cities of the Global South: A systematic literature review. </w:t>
      </w:r>
      <w:r w:rsidRPr="000501F0">
        <w:rPr>
          <w:rStyle w:val="Emphasis"/>
          <w:sz w:val="20"/>
          <w:szCs w:val="20"/>
        </w:rPr>
        <w:t>Urban Science, 5</w:t>
      </w:r>
      <w:r w:rsidRPr="000501F0">
        <w:rPr>
          <w:sz w:val="20"/>
          <w:szCs w:val="20"/>
        </w:rPr>
        <w:t xml:space="preserve">(3), 67. </w:t>
      </w:r>
      <w:hyperlink r:id="rId75" w:history="1">
        <w:r w:rsidRPr="000501F0">
          <w:rPr>
            <w:rStyle w:val="Hyperlink"/>
            <w:sz w:val="20"/>
            <w:szCs w:val="20"/>
          </w:rPr>
          <w:t>https://doi.org/10.3390/urbansci5030067</w:t>
        </w:r>
      </w:hyperlink>
    </w:p>
    <w:p w14:paraId="2B2B1B15" w14:textId="77777777" w:rsidR="007D75A4" w:rsidRPr="000501F0" w:rsidRDefault="007D75A4" w:rsidP="000501F0">
      <w:pPr>
        <w:pStyle w:val="ListParagraph1"/>
        <w:spacing w:after="891" w:line="240" w:lineRule="auto"/>
        <w:ind w:left="993" w:right="136" w:hanging="993"/>
        <w:jc w:val="both"/>
        <w:rPr>
          <w:sz w:val="20"/>
          <w:szCs w:val="20"/>
        </w:rPr>
      </w:pPr>
      <w:r w:rsidRPr="000501F0">
        <w:rPr>
          <w:sz w:val="20"/>
          <w:szCs w:val="20"/>
        </w:rPr>
        <w:t xml:space="preserve">Russo, A., &amp; Cirella, G. T. (2024). Urban biodiversity and green infrastructure: A review of pollinator habitat provisioning. </w:t>
      </w:r>
      <w:r w:rsidRPr="000501F0">
        <w:rPr>
          <w:rStyle w:val="Emphasis"/>
          <w:sz w:val="20"/>
          <w:szCs w:val="20"/>
        </w:rPr>
        <w:t>Urban Forestry &amp; Urban Greening, 85</w:t>
      </w:r>
      <w:r w:rsidRPr="000501F0">
        <w:rPr>
          <w:sz w:val="20"/>
          <w:szCs w:val="20"/>
        </w:rPr>
        <w:t xml:space="preserve">, 127891. </w:t>
      </w:r>
      <w:hyperlink r:id="rId76" w:history="1">
        <w:r w:rsidRPr="000501F0">
          <w:rPr>
            <w:rStyle w:val="Hyperlink"/>
            <w:sz w:val="20"/>
            <w:szCs w:val="20"/>
          </w:rPr>
          <w:t>https://doi.org/10.1016/j.ufug.2023.127891</w:t>
        </w:r>
      </w:hyperlink>
    </w:p>
    <w:p w14:paraId="2FBAC062" w14:textId="77777777" w:rsidR="004807C1" w:rsidRPr="000501F0" w:rsidRDefault="004807C1" w:rsidP="000501F0">
      <w:pPr>
        <w:pStyle w:val="ListParagraph1"/>
        <w:spacing w:after="891" w:line="240" w:lineRule="auto"/>
        <w:ind w:left="993" w:right="136" w:hanging="993"/>
        <w:jc w:val="both"/>
        <w:rPr>
          <w:sz w:val="20"/>
          <w:szCs w:val="20"/>
        </w:rPr>
      </w:pPr>
      <w:r w:rsidRPr="000501F0">
        <w:rPr>
          <w:sz w:val="20"/>
          <w:szCs w:val="20"/>
        </w:rPr>
        <w:t xml:space="preserve">Sarpong, C. K., Dinye, I.-N., </w:t>
      </w:r>
      <w:proofErr w:type="spellStart"/>
      <w:r w:rsidRPr="000501F0">
        <w:rPr>
          <w:sz w:val="20"/>
          <w:szCs w:val="20"/>
        </w:rPr>
        <w:t>Awudu</w:t>
      </w:r>
      <w:proofErr w:type="spellEnd"/>
      <w:r w:rsidRPr="000501F0">
        <w:rPr>
          <w:sz w:val="20"/>
          <w:szCs w:val="20"/>
        </w:rPr>
        <w:t xml:space="preserve">, R., &amp; </w:t>
      </w:r>
      <w:proofErr w:type="spellStart"/>
      <w:r w:rsidRPr="000501F0">
        <w:rPr>
          <w:sz w:val="20"/>
          <w:szCs w:val="20"/>
        </w:rPr>
        <w:t>Kanpiim</w:t>
      </w:r>
      <w:proofErr w:type="spellEnd"/>
      <w:r w:rsidRPr="000501F0">
        <w:rPr>
          <w:sz w:val="20"/>
          <w:szCs w:val="20"/>
        </w:rPr>
        <w:t xml:space="preserve">, C. (2025). Microclimatic effects of green spaces and urban quality of life resilience in Ghanaian cities. </w:t>
      </w:r>
      <w:r w:rsidRPr="000501F0">
        <w:rPr>
          <w:rStyle w:val="Emphasis"/>
          <w:sz w:val="20"/>
          <w:szCs w:val="20"/>
        </w:rPr>
        <w:t>Archives of Current Research International, 25</w:t>
      </w:r>
      <w:r w:rsidRPr="000501F0">
        <w:rPr>
          <w:sz w:val="20"/>
          <w:szCs w:val="20"/>
        </w:rPr>
        <w:t xml:space="preserve">(6), 604–621. </w:t>
      </w:r>
      <w:hyperlink r:id="rId77" w:history="1">
        <w:r w:rsidRPr="000501F0">
          <w:rPr>
            <w:rStyle w:val="Hyperlink"/>
            <w:sz w:val="20"/>
            <w:szCs w:val="20"/>
          </w:rPr>
          <w:t>https://doi.org/10.9734/acri/2025/v25i61305</w:t>
        </w:r>
      </w:hyperlink>
    </w:p>
    <w:p w14:paraId="2A733B9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Shackleton, C. M., Sullivan, C. A., &amp; Prinsloo, P. (2018). Cultural ecosystem services of urban green spaces in an African urban context: A review and perspectives. </w:t>
      </w:r>
      <w:r w:rsidRPr="000501F0">
        <w:rPr>
          <w:rStyle w:val="Emphasis"/>
          <w:sz w:val="20"/>
          <w:szCs w:val="20"/>
        </w:rPr>
        <w:t>Urban Forestry &amp; Urban Greening, 34</w:t>
      </w:r>
      <w:r w:rsidRPr="000501F0">
        <w:rPr>
          <w:sz w:val="20"/>
          <w:szCs w:val="20"/>
        </w:rPr>
        <w:t xml:space="preserve">, 22–30. </w:t>
      </w:r>
      <w:hyperlink r:id="rId78" w:history="1">
        <w:r w:rsidRPr="000501F0">
          <w:rPr>
            <w:rStyle w:val="Hyperlink"/>
            <w:sz w:val="20"/>
            <w:szCs w:val="20"/>
          </w:rPr>
          <w:t>https://doi.org/10.1016/j.ufug.2018.05.005</w:t>
        </w:r>
      </w:hyperlink>
    </w:p>
    <w:p w14:paraId="21C17DA6"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Silva, S., González-Vaquero, R. A., Torretta, J. P., &amp; Marrero, H. J. (2024). Importance of urban green areas’ connectivity for the conservation of pollinators. </w:t>
      </w:r>
      <w:r w:rsidRPr="000501F0">
        <w:rPr>
          <w:rStyle w:val="Emphasis"/>
          <w:sz w:val="20"/>
          <w:szCs w:val="20"/>
        </w:rPr>
        <w:t>Urban Ecosystems, 27</w:t>
      </w:r>
      <w:r w:rsidRPr="000501F0">
        <w:rPr>
          <w:sz w:val="20"/>
          <w:szCs w:val="20"/>
        </w:rPr>
        <w:t xml:space="preserve">, 417–426. </w:t>
      </w:r>
      <w:hyperlink r:id="rId79" w:history="1">
        <w:r w:rsidRPr="000501F0">
          <w:rPr>
            <w:rStyle w:val="Hyperlink"/>
            <w:sz w:val="20"/>
            <w:szCs w:val="20"/>
          </w:rPr>
          <w:t>https://doi.org/10.1007/s11252-023-01457-2</w:t>
        </w:r>
      </w:hyperlink>
    </w:p>
    <w:p w14:paraId="16FE1DD4"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Süle, G., Báldi, A., Kleijn, D., Steffan-Dewenter, I., Venn, S., Goulson, D., ... &amp; Szigeti, V. (2025). Pollinator-promoting interventions in European urban habitats—A synthesis. </w:t>
      </w:r>
      <w:r w:rsidRPr="000501F0">
        <w:rPr>
          <w:rStyle w:val="Emphasis"/>
          <w:sz w:val="20"/>
          <w:szCs w:val="20"/>
        </w:rPr>
        <w:t>Ecology Letters</w:t>
      </w:r>
      <w:r w:rsidRPr="000501F0">
        <w:rPr>
          <w:sz w:val="20"/>
          <w:szCs w:val="20"/>
        </w:rPr>
        <w:t xml:space="preserve">. </w:t>
      </w:r>
      <w:hyperlink r:id="rId80" w:history="1">
        <w:r w:rsidRPr="000501F0">
          <w:rPr>
            <w:rStyle w:val="Hyperlink"/>
            <w:sz w:val="20"/>
            <w:szCs w:val="20"/>
          </w:rPr>
          <w:t>https://doi.org/10.1111/ele.70189</w:t>
        </w:r>
      </w:hyperlink>
    </w:p>
    <w:p w14:paraId="2DCAFD4C" w14:textId="77777777" w:rsidR="001F6801" w:rsidRPr="000501F0" w:rsidRDefault="001F6801" w:rsidP="000501F0">
      <w:pPr>
        <w:pStyle w:val="ListParagraph1"/>
        <w:spacing w:after="891" w:line="240" w:lineRule="auto"/>
        <w:ind w:left="993" w:right="136" w:hanging="993"/>
        <w:jc w:val="both"/>
        <w:rPr>
          <w:sz w:val="20"/>
          <w:szCs w:val="20"/>
        </w:rPr>
      </w:pPr>
      <w:r w:rsidRPr="000501F0">
        <w:rPr>
          <w:sz w:val="20"/>
          <w:szCs w:val="20"/>
        </w:rPr>
        <w:t>Sustaina</w:t>
      </w:r>
      <w:r w:rsidR="00F421EB" w:rsidRPr="000501F0">
        <w:rPr>
          <w:sz w:val="20"/>
          <w:szCs w:val="20"/>
        </w:rPr>
        <w:t>bility Directory. (2025</w:t>
      </w:r>
      <w:r w:rsidRPr="000501F0">
        <w:rPr>
          <w:sz w:val="20"/>
          <w:szCs w:val="20"/>
        </w:rPr>
        <w:t xml:space="preserve">). </w:t>
      </w:r>
      <w:r w:rsidRPr="000501F0">
        <w:rPr>
          <w:rStyle w:val="Emphasis"/>
          <w:sz w:val="20"/>
          <w:szCs w:val="20"/>
        </w:rPr>
        <w:t>Green infrastructure and mental health resilience</w:t>
      </w:r>
      <w:r w:rsidRPr="000501F0">
        <w:rPr>
          <w:sz w:val="20"/>
          <w:szCs w:val="20"/>
        </w:rPr>
        <w:t xml:space="preserve">. Prism. </w:t>
      </w:r>
      <w:hyperlink r:id="rId81" w:history="1">
        <w:r w:rsidRPr="000501F0">
          <w:rPr>
            <w:rStyle w:val="Hyperlink"/>
            <w:sz w:val="20"/>
            <w:szCs w:val="20"/>
          </w:rPr>
          <w:t>https://prism.sustainability-directory.com/scenario/green-infrastructure-and-mental-health-resilience/</w:t>
        </w:r>
      </w:hyperlink>
    </w:p>
    <w:p w14:paraId="5F6417B0"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Threlfall, C. G., Walker, K., Williams, N. S. G., Hahs, A. K., Mata, L., Stork, N., &amp; Livesley, S. J. (2017). The conservation value of urban green space habitats for Australian native bees. </w:t>
      </w:r>
      <w:r w:rsidRPr="000501F0">
        <w:rPr>
          <w:rStyle w:val="Emphasis"/>
          <w:sz w:val="20"/>
          <w:szCs w:val="20"/>
        </w:rPr>
        <w:t>Biological Conservation, 209</w:t>
      </w:r>
      <w:r w:rsidRPr="000501F0">
        <w:rPr>
          <w:sz w:val="20"/>
          <w:szCs w:val="20"/>
        </w:rPr>
        <w:t xml:space="preserve">, 61–67. </w:t>
      </w:r>
      <w:hyperlink r:id="rId82" w:history="1">
        <w:r w:rsidRPr="000501F0">
          <w:rPr>
            <w:rStyle w:val="Hyperlink"/>
            <w:sz w:val="20"/>
            <w:szCs w:val="20"/>
          </w:rPr>
          <w:t>https://doi.org/10.1016/j.biocon.2017.01.018</w:t>
        </w:r>
      </w:hyperlink>
    </w:p>
    <w:p w14:paraId="1DED94EE"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Twohig-Bennett, C., &amp; Jones, A. (2018). The health benefits of the great outdoors: A systematic review and meta-analysis of greenspace exposure and health outcomes. </w:t>
      </w:r>
      <w:r w:rsidRPr="000501F0">
        <w:rPr>
          <w:rStyle w:val="Emphasis"/>
          <w:sz w:val="20"/>
          <w:szCs w:val="20"/>
        </w:rPr>
        <w:t>Environmental Research, 166</w:t>
      </w:r>
      <w:r w:rsidRPr="000501F0">
        <w:rPr>
          <w:sz w:val="20"/>
          <w:szCs w:val="20"/>
        </w:rPr>
        <w:t xml:space="preserve">, 628–637. </w:t>
      </w:r>
      <w:hyperlink r:id="rId83" w:history="1">
        <w:r w:rsidRPr="000501F0">
          <w:rPr>
            <w:rStyle w:val="Hyperlink"/>
            <w:sz w:val="20"/>
            <w:szCs w:val="20"/>
          </w:rPr>
          <w:t>https://doi.org/10.1016/j.envres.2018.06.030</w:t>
        </w:r>
      </w:hyperlink>
    </w:p>
    <w:p w14:paraId="3E7727B5"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Wang, D., Xu, P., An, B., &amp; Guo, Q. (2024). Urban green infrastructure: Bridging biodiversity conservation and sustainable urban development through adaptive management approach. </w:t>
      </w:r>
      <w:r w:rsidRPr="000501F0">
        <w:rPr>
          <w:rStyle w:val="Emphasis"/>
          <w:sz w:val="20"/>
          <w:szCs w:val="20"/>
        </w:rPr>
        <w:t>Frontiers in Ecology and Evolution, 12</w:t>
      </w:r>
      <w:r w:rsidRPr="000501F0">
        <w:rPr>
          <w:sz w:val="20"/>
          <w:szCs w:val="20"/>
        </w:rPr>
        <w:t xml:space="preserve">, Article 1440477. </w:t>
      </w:r>
      <w:hyperlink r:id="rId84" w:history="1">
        <w:r w:rsidRPr="000501F0">
          <w:rPr>
            <w:rStyle w:val="Hyperlink"/>
            <w:sz w:val="20"/>
            <w:szCs w:val="20"/>
          </w:rPr>
          <w:t>https://doi.org/10.3389/fevo.2024.1440477</w:t>
        </w:r>
      </w:hyperlink>
    </w:p>
    <w:p w14:paraId="7C3B1BE6" w14:textId="77777777" w:rsidR="00C73169" w:rsidRPr="000501F0" w:rsidRDefault="00C73169" w:rsidP="000501F0">
      <w:pPr>
        <w:pStyle w:val="ListParagraph1"/>
        <w:spacing w:after="891" w:line="240" w:lineRule="auto"/>
        <w:ind w:left="993" w:right="136" w:hanging="993"/>
        <w:jc w:val="both"/>
        <w:rPr>
          <w:sz w:val="20"/>
          <w:szCs w:val="20"/>
        </w:rPr>
      </w:pPr>
      <w:r w:rsidRPr="000501F0">
        <w:rPr>
          <w:sz w:val="20"/>
          <w:szCs w:val="20"/>
        </w:rPr>
        <w:t xml:space="preserve">White, M. P., Alcock, I., Grellier, J., Wheeler, B. W., Hartig, T., Warber, S. L., ... &amp; Fleming, L. E. (2019). Spending at least 120 minutes a week in nature is associated with good health and wellbeing. </w:t>
      </w:r>
      <w:r w:rsidRPr="000501F0">
        <w:rPr>
          <w:rStyle w:val="Emphasis"/>
          <w:sz w:val="20"/>
          <w:szCs w:val="20"/>
        </w:rPr>
        <w:t>Scientific Reports, 9</w:t>
      </w:r>
      <w:r w:rsidRPr="000501F0">
        <w:rPr>
          <w:sz w:val="20"/>
          <w:szCs w:val="20"/>
        </w:rPr>
        <w:t xml:space="preserve">, Article 7730. </w:t>
      </w:r>
      <w:hyperlink r:id="rId85" w:history="1">
        <w:r w:rsidRPr="000501F0">
          <w:rPr>
            <w:rStyle w:val="Hyperlink"/>
            <w:sz w:val="20"/>
            <w:szCs w:val="20"/>
          </w:rPr>
          <w:t>https://doi.org/10.1038/s41598-019-44097-3</w:t>
        </w:r>
      </w:hyperlink>
    </w:p>
    <w:p w14:paraId="02AA3BE5" w14:textId="77777777" w:rsidR="004C03BA" w:rsidRPr="000501F0" w:rsidRDefault="004C03BA" w:rsidP="000501F0">
      <w:pPr>
        <w:pStyle w:val="ListParagraph1"/>
        <w:spacing w:after="891" w:line="240" w:lineRule="auto"/>
        <w:ind w:left="993" w:right="136" w:hanging="993"/>
        <w:jc w:val="both"/>
        <w:rPr>
          <w:sz w:val="20"/>
          <w:szCs w:val="20"/>
        </w:rPr>
      </w:pPr>
      <w:r w:rsidRPr="000501F0">
        <w:rPr>
          <w:sz w:val="20"/>
          <w:szCs w:val="20"/>
        </w:rPr>
        <w:t>World</w:t>
      </w:r>
      <w:r w:rsidR="00F421EB" w:rsidRPr="000501F0">
        <w:rPr>
          <w:sz w:val="20"/>
          <w:szCs w:val="20"/>
        </w:rPr>
        <w:t xml:space="preserve"> Economic Forum. (2025</w:t>
      </w:r>
      <w:r w:rsidRPr="000501F0">
        <w:rPr>
          <w:sz w:val="20"/>
          <w:szCs w:val="20"/>
        </w:rPr>
        <w:t xml:space="preserve">). </w:t>
      </w:r>
      <w:r w:rsidRPr="000501F0">
        <w:rPr>
          <w:rStyle w:val="Emphasis"/>
          <w:sz w:val="20"/>
          <w:szCs w:val="20"/>
        </w:rPr>
        <w:t>Urban planners are promoting active lifestyles. Here’s how</w:t>
      </w:r>
      <w:r w:rsidRPr="000501F0">
        <w:rPr>
          <w:sz w:val="20"/>
          <w:szCs w:val="20"/>
        </w:rPr>
        <w:t xml:space="preserve">. </w:t>
      </w:r>
      <w:hyperlink r:id="rId86" w:history="1">
        <w:r w:rsidRPr="000501F0">
          <w:rPr>
            <w:rStyle w:val="Hyperlink"/>
            <w:sz w:val="20"/>
            <w:szCs w:val="20"/>
          </w:rPr>
          <w:t>https://www.weforum.org/stories/2025/04/urban-planners-promoting-active-lifestyles/</w:t>
        </w:r>
      </w:hyperlink>
    </w:p>
    <w:p w14:paraId="57C8850D" w14:textId="77777777" w:rsidR="004807C1" w:rsidRPr="000501F0" w:rsidRDefault="004807C1" w:rsidP="000501F0">
      <w:pPr>
        <w:pStyle w:val="ListParagraph1"/>
        <w:spacing w:after="891" w:line="240" w:lineRule="auto"/>
        <w:ind w:left="993" w:right="136" w:hanging="993"/>
        <w:jc w:val="both"/>
        <w:rPr>
          <w:sz w:val="20"/>
          <w:szCs w:val="20"/>
        </w:rPr>
      </w:pPr>
      <w:r w:rsidRPr="000501F0">
        <w:rPr>
          <w:sz w:val="20"/>
          <w:szCs w:val="20"/>
        </w:rPr>
        <w:t xml:space="preserve">Yeboah, I., Hayes, A. S. G., Lartey, C., Buanya, B. A., &amp; </w:t>
      </w:r>
      <w:proofErr w:type="spellStart"/>
      <w:r w:rsidRPr="000501F0">
        <w:rPr>
          <w:sz w:val="20"/>
          <w:szCs w:val="20"/>
        </w:rPr>
        <w:t>Melomey</w:t>
      </w:r>
      <w:proofErr w:type="spellEnd"/>
      <w:r w:rsidRPr="000501F0">
        <w:rPr>
          <w:sz w:val="20"/>
          <w:szCs w:val="20"/>
        </w:rPr>
        <w:t xml:space="preserve">, E. M. (2025). Inclusive urban planning for resilient and sustainable smart cities: Lessons from Ghana’s urban transformation. </w:t>
      </w:r>
      <w:proofErr w:type="spellStart"/>
      <w:r w:rsidRPr="000501F0">
        <w:rPr>
          <w:rStyle w:val="Emphasis"/>
          <w:sz w:val="20"/>
          <w:szCs w:val="20"/>
        </w:rPr>
        <w:t>Constromart</w:t>
      </w:r>
      <w:proofErr w:type="spellEnd"/>
      <w:r w:rsidRPr="000501F0">
        <w:rPr>
          <w:rStyle w:val="Emphasis"/>
          <w:sz w:val="20"/>
          <w:szCs w:val="20"/>
        </w:rPr>
        <w:t xml:space="preserve"> Africa</w:t>
      </w:r>
      <w:r w:rsidRPr="000501F0">
        <w:rPr>
          <w:sz w:val="20"/>
          <w:szCs w:val="20"/>
        </w:rPr>
        <w:t>. https://constromartafrica.com/wp-content/uploads/2025/04/Inclusive-Urban-Planning-for-Resilient-and-Sustainable-Smart-Cities.pdf</w:t>
      </w:r>
    </w:p>
    <w:p w14:paraId="42A51ACB" w14:textId="77777777" w:rsidR="00C73169" w:rsidRPr="000501F0" w:rsidRDefault="00C73169" w:rsidP="000501F0">
      <w:pPr>
        <w:pStyle w:val="NormalWeb"/>
        <w:ind w:left="360"/>
        <w:rPr>
          <w:sz w:val="20"/>
          <w:szCs w:val="20"/>
        </w:rPr>
      </w:pPr>
    </w:p>
    <w:p w14:paraId="5301AAC6" w14:textId="77777777" w:rsidR="00C73169" w:rsidRPr="000501F0" w:rsidRDefault="00C73169" w:rsidP="000501F0">
      <w:pPr>
        <w:pStyle w:val="NormalWeb"/>
        <w:ind w:left="360"/>
        <w:rPr>
          <w:sz w:val="20"/>
          <w:szCs w:val="20"/>
        </w:rPr>
      </w:pPr>
    </w:p>
    <w:p w14:paraId="02013D48" w14:textId="77777777" w:rsidR="00C73169" w:rsidRPr="000501F0" w:rsidRDefault="00C73169" w:rsidP="000501F0">
      <w:pPr>
        <w:pStyle w:val="NormalWeb"/>
        <w:ind w:left="360"/>
        <w:rPr>
          <w:sz w:val="20"/>
          <w:szCs w:val="20"/>
        </w:rPr>
      </w:pPr>
    </w:p>
    <w:p w14:paraId="0498B459" w14:textId="77777777" w:rsidR="008B7902" w:rsidRPr="000501F0" w:rsidRDefault="008B7902" w:rsidP="000501F0">
      <w:pPr>
        <w:pStyle w:val="NormalWeb"/>
        <w:ind w:left="360"/>
        <w:jc w:val="both"/>
        <w:rPr>
          <w:sz w:val="20"/>
          <w:szCs w:val="20"/>
        </w:rPr>
      </w:pPr>
    </w:p>
    <w:p w14:paraId="714B6EDB" w14:textId="77777777" w:rsidR="00855DBD" w:rsidRPr="000501F0" w:rsidRDefault="00855DBD" w:rsidP="000501F0">
      <w:pPr>
        <w:spacing w:line="240" w:lineRule="auto"/>
        <w:jc w:val="both"/>
        <w:rPr>
          <w:rFonts w:ascii="Times New Roman" w:hAnsi="Times New Roman" w:cs="Times New Roman"/>
          <w:sz w:val="20"/>
          <w:szCs w:val="20"/>
        </w:rPr>
      </w:pPr>
    </w:p>
    <w:sectPr w:rsidR="00855DBD" w:rsidRPr="000501F0">
      <w:headerReference w:type="even" r:id="rId87"/>
      <w:headerReference w:type="default" r:id="rId88"/>
      <w:footerReference w:type="even" r:id="rId89"/>
      <w:footerReference w:type="default" r:id="rId90"/>
      <w:headerReference w:type="first" r:id="rId91"/>
      <w:footerReference w:type="firs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CB583" w14:textId="77777777" w:rsidR="00A24267" w:rsidRDefault="00A24267" w:rsidP="00A80FAD">
      <w:pPr>
        <w:spacing w:after="0" w:line="240" w:lineRule="auto"/>
      </w:pPr>
      <w:r>
        <w:separator/>
      </w:r>
    </w:p>
  </w:endnote>
  <w:endnote w:type="continuationSeparator" w:id="0">
    <w:p w14:paraId="6194952F" w14:textId="77777777" w:rsidR="00A24267" w:rsidRDefault="00A24267" w:rsidP="00A8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AA685" w14:textId="77777777" w:rsidR="00C2633A" w:rsidRDefault="00C26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EAE36" w14:textId="77777777" w:rsidR="00C2633A" w:rsidRDefault="00C263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E8033" w14:textId="77777777" w:rsidR="00C2633A" w:rsidRDefault="00C26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08607" w14:textId="77777777" w:rsidR="00A24267" w:rsidRDefault="00A24267" w:rsidP="00A80FAD">
      <w:pPr>
        <w:spacing w:after="0" w:line="240" w:lineRule="auto"/>
      </w:pPr>
      <w:r>
        <w:separator/>
      </w:r>
    </w:p>
  </w:footnote>
  <w:footnote w:type="continuationSeparator" w:id="0">
    <w:p w14:paraId="77838156" w14:textId="77777777" w:rsidR="00A24267" w:rsidRDefault="00A24267" w:rsidP="00A80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18F5C" w14:textId="0E6566DD" w:rsidR="00C2633A" w:rsidRDefault="00C2633A">
    <w:pPr>
      <w:pStyle w:val="Header"/>
    </w:pPr>
    <w:r>
      <w:rPr>
        <w:noProof/>
      </w:rPr>
      <w:pict w14:anchorId="43B4E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FEC1E" w14:textId="546FBAF3" w:rsidR="00C2633A" w:rsidRDefault="00C2633A">
    <w:pPr>
      <w:pStyle w:val="Header"/>
    </w:pPr>
    <w:r>
      <w:rPr>
        <w:noProof/>
      </w:rPr>
      <w:pict w14:anchorId="088E4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8068E" w14:textId="207A3CF3" w:rsidR="00C2633A" w:rsidRDefault="00C2633A">
    <w:pPr>
      <w:pStyle w:val="Header"/>
    </w:pPr>
    <w:r>
      <w:rPr>
        <w:noProof/>
      </w:rPr>
      <w:pict w14:anchorId="59B56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3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E030D"/>
    <w:multiLevelType w:val="multilevel"/>
    <w:tmpl w:val="32BEFF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7056A06"/>
    <w:multiLevelType w:val="multilevel"/>
    <w:tmpl w:val="7A66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12F24"/>
    <w:multiLevelType w:val="multilevel"/>
    <w:tmpl w:val="6F88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177F79"/>
    <w:multiLevelType w:val="multilevel"/>
    <w:tmpl w:val="2FCC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7656F2"/>
    <w:multiLevelType w:val="multilevel"/>
    <w:tmpl w:val="9036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704C2C"/>
    <w:multiLevelType w:val="multilevel"/>
    <w:tmpl w:val="D60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EE"/>
    <w:rsid w:val="00013CA4"/>
    <w:rsid w:val="00016391"/>
    <w:rsid w:val="000501F0"/>
    <w:rsid w:val="00065E2B"/>
    <w:rsid w:val="0008381D"/>
    <w:rsid w:val="0013729E"/>
    <w:rsid w:val="0017240C"/>
    <w:rsid w:val="001A02EC"/>
    <w:rsid w:val="001A1F29"/>
    <w:rsid w:val="001F6801"/>
    <w:rsid w:val="002022F6"/>
    <w:rsid w:val="00233100"/>
    <w:rsid w:val="00254D18"/>
    <w:rsid w:val="002901FC"/>
    <w:rsid w:val="00293FD3"/>
    <w:rsid w:val="002B164B"/>
    <w:rsid w:val="00335335"/>
    <w:rsid w:val="00367914"/>
    <w:rsid w:val="00421092"/>
    <w:rsid w:val="004258E5"/>
    <w:rsid w:val="004807C1"/>
    <w:rsid w:val="004B5D22"/>
    <w:rsid w:val="004C03BA"/>
    <w:rsid w:val="004D2B06"/>
    <w:rsid w:val="004D69B7"/>
    <w:rsid w:val="004D71B3"/>
    <w:rsid w:val="00563A55"/>
    <w:rsid w:val="005F5BB9"/>
    <w:rsid w:val="00645AD9"/>
    <w:rsid w:val="006541A4"/>
    <w:rsid w:val="00655B39"/>
    <w:rsid w:val="006976CF"/>
    <w:rsid w:val="006E61D1"/>
    <w:rsid w:val="00742B08"/>
    <w:rsid w:val="00775BDA"/>
    <w:rsid w:val="00787F28"/>
    <w:rsid w:val="00797C19"/>
    <w:rsid w:val="007D75A4"/>
    <w:rsid w:val="007D7900"/>
    <w:rsid w:val="00802F25"/>
    <w:rsid w:val="00830699"/>
    <w:rsid w:val="00842D99"/>
    <w:rsid w:val="00855DBD"/>
    <w:rsid w:val="00865912"/>
    <w:rsid w:val="00867D9F"/>
    <w:rsid w:val="008738A5"/>
    <w:rsid w:val="00876DAD"/>
    <w:rsid w:val="00887ED0"/>
    <w:rsid w:val="008B7902"/>
    <w:rsid w:val="008D781C"/>
    <w:rsid w:val="008E6C37"/>
    <w:rsid w:val="008E796F"/>
    <w:rsid w:val="00902297"/>
    <w:rsid w:val="00907052"/>
    <w:rsid w:val="00984FEF"/>
    <w:rsid w:val="009951DF"/>
    <w:rsid w:val="00995C04"/>
    <w:rsid w:val="009B1634"/>
    <w:rsid w:val="009C55EE"/>
    <w:rsid w:val="009D1B7C"/>
    <w:rsid w:val="009E7FDB"/>
    <w:rsid w:val="00A14485"/>
    <w:rsid w:val="00A24267"/>
    <w:rsid w:val="00A52DF4"/>
    <w:rsid w:val="00A60AA3"/>
    <w:rsid w:val="00A70E66"/>
    <w:rsid w:val="00A80FAD"/>
    <w:rsid w:val="00AB438B"/>
    <w:rsid w:val="00AE665D"/>
    <w:rsid w:val="00B27DD3"/>
    <w:rsid w:val="00B5152B"/>
    <w:rsid w:val="00BC4D77"/>
    <w:rsid w:val="00C04BE8"/>
    <w:rsid w:val="00C2633A"/>
    <w:rsid w:val="00C73169"/>
    <w:rsid w:val="00C760A1"/>
    <w:rsid w:val="00C83992"/>
    <w:rsid w:val="00C861B3"/>
    <w:rsid w:val="00CB06F0"/>
    <w:rsid w:val="00CF2BC0"/>
    <w:rsid w:val="00CF3B16"/>
    <w:rsid w:val="00D369DF"/>
    <w:rsid w:val="00D50B48"/>
    <w:rsid w:val="00D7147A"/>
    <w:rsid w:val="00D77574"/>
    <w:rsid w:val="00DA6454"/>
    <w:rsid w:val="00DC508D"/>
    <w:rsid w:val="00E038C1"/>
    <w:rsid w:val="00E1671D"/>
    <w:rsid w:val="00E22933"/>
    <w:rsid w:val="00E34549"/>
    <w:rsid w:val="00E46135"/>
    <w:rsid w:val="00E46DB7"/>
    <w:rsid w:val="00E707CE"/>
    <w:rsid w:val="00EB7EBD"/>
    <w:rsid w:val="00ED1708"/>
    <w:rsid w:val="00F12AFC"/>
    <w:rsid w:val="00F35EE6"/>
    <w:rsid w:val="00F421EB"/>
    <w:rsid w:val="00F5531D"/>
    <w:rsid w:val="00F56CCB"/>
    <w:rsid w:val="00F7623B"/>
    <w:rsid w:val="00F81257"/>
    <w:rsid w:val="00F85714"/>
    <w:rsid w:val="00FD533D"/>
    <w:rsid w:val="00FD57CA"/>
    <w:rsid w:val="00F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411B2"/>
  <w15:chartTrackingRefBased/>
  <w15:docId w15:val="{187D2A03-40D8-4010-ABED-DD8D71B4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3">
    <w:name w:val="heading 3"/>
    <w:basedOn w:val="Normal"/>
    <w:link w:val="Heading3Char"/>
    <w:uiPriority w:val="9"/>
    <w:qFormat/>
    <w:rsid w:val="00887ED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013C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D3"/>
    <w:pPr>
      <w:ind w:left="720"/>
      <w:contextualSpacing/>
    </w:pPr>
  </w:style>
  <w:style w:type="paragraph" w:styleId="NormalWeb">
    <w:name w:val="Normal (Web)"/>
    <w:basedOn w:val="Normal"/>
    <w:uiPriority w:val="99"/>
    <w:unhideWhenUsed/>
    <w:rsid w:val="00293F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887ED0"/>
  </w:style>
  <w:style w:type="character" w:customStyle="1" w:styleId="max-w-15ch">
    <w:name w:val="max-w-[15ch]"/>
    <w:basedOn w:val="DefaultParagraphFont"/>
    <w:rsid w:val="00887ED0"/>
  </w:style>
  <w:style w:type="character" w:customStyle="1" w:styleId="-me-1">
    <w:name w:val="-me-1"/>
    <w:basedOn w:val="DefaultParagraphFont"/>
    <w:rsid w:val="00887ED0"/>
  </w:style>
  <w:style w:type="character" w:styleId="Strong">
    <w:name w:val="Strong"/>
    <w:basedOn w:val="DefaultParagraphFont"/>
    <w:uiPriority w:val="22"/>
    <w:qFormat/>
    <w:rsid w:val="00887ED0"/>
    <w:rPr>
      <w:b/>
      <w:bCs/>
    </w:rPr>
  </w:style>
  <w:style w:type="character" w:customStyle="1" w:styleId="Heading3Char">
    <w:name w:val="Heading 3 Char"/>
    <w:basedOn w:val="DefaultParagraphFont"/>
    <w:link w:val="Heading3"/>
    <w:uiPriority w:val="9"/>
    <w:rsid w:val="00887E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13CA4"/>
    <w:rPr>
      <w:rFonts w:asciiTheme="majorHAnsi" w:eastAsiaTheme="majorEastAsia" w:hAnsiTheme="majorHAnsi" w:cstheme="majorBidi"/>
      <w:i/>
      <w:iCs/>
      <w:color w:val="2E74B5" w:themeColor="accent1" w:themeShade="BF"/>
      <w:lang w:val="en-GB"/>
    </w:rPr>
  </w:style>
  <w:style w:type="character" w:styleId="Emphasis">
    <w:name w:val="Emphasis"/>
    <w:basedOn w:val="DefaultParagraphFont"/>
    <w:uiPriority w:val="20"/>
    <w:qFormat/>
    <w:rsid w:val="00BC4D77"/>
    <w:rPr>
      <w:i/>
      <w:iCs/>
    </w:rPr>
  </w:style>
  <w:style w:type="character" w:styleId="Hyperlink">
    <w:name w:val="Hyperlink"/>
    <w:basedOn w:val="DefaultParagraphFont"/>
    <w:uiPriority w:val="99"/>
    <w:unhideWhenUsed/>
    <w:rsid w:val="00855DBD"/>
    <w:rPr>
      <w:color w:val="0563C1" w:themeColor="hyperlink"/>
      <w:u w:val="single"/>
    </w:rPr>
  </w:style>
  <w:style w:type="paragraph" w:customStyle="1" w:styleId="ListParagraph1">
    <w:name w:val="List Paragraph1"/>
    <w:basedOn w:val="Normal"/>
    <w:uiPriority w:val="34"/>
    <w:qFormat/>
    <w:rsid w:val="00C73169"/>
    <w:pPr>
      <w:spacing w:after="234" w:line="264" w:lineRule="auto"/>
      <w:ind w:left="720" w:right="67" w:hanging="10"/>
      <w:contextualSpacing/>
    </w:pPr>
    <w:rPr>
      <w:rFonts w:ascii="Times New Roman" w:eastAsia="Times New Roman" w:hAnsi="Times New Roman" w:cs="Times New Roman"/>
      <w:color w:val="000008"/>
      <w:sz w:val="24"/>
      <w:lang w:val="en-US"/>
      <w14:ligatures w14:val="standardContextual"/>
    </w:rPr>
  </w:style>
  <w:style w:type="paragraph" w:customStyle="1" w:styleId="ds-markdown-paragraph">
    <w:name w:val="ds-markdown-paragraph"/>
    <w:basedOn w:val="Normal"/>
    <w:rsid w:val="00172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797C19"/>
    <w:rPr>
      <w:color w:val="954F72" w:themeColor="followedHyperlink"/>
      <w:u w:val="single"/>
    </w:rPr>
  </w:style>
  <w:style w:type="character" w:customStyle="1" w:styleId="UnresolvedMention">
    <w:name w:val="Unresolved Mention"/>
    <w:basedOn w:val="DefaultParagraphFont"/>
    <w:uiPriority w:val="99"/>
    <w:semiHidden/>
    <w:unhideWhenUsed/>
    <w:rsid w:val="004D69B7"/>
    <w:rPr>
      <w:color w:val="605E5C"/>
      <w:shd w:val="clear" w:color="auto" w:fill="E1DFDD"/>
    </w:rPr>
  </w:style>
  <w:style w:type="paragraph" w:styleId="Header">
    <w:name w:val="header"/>
    <w:basedOn w:val="Normal"/>
    <w:link w:val="HeaderChar"/>
    <w:uiPriority w:val="99"/>
    <w:unhideWhenUsed/>
    <w:rsid w:val="00A80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AD"/>
    <w:rPr>
      <w:lang w:val="en-GB"/>
    </w:rPr>
  </w:style>
  <w:style w:type="paragraph" w:styleId="Footer">
    <w:name w:val="footer"/>
    <w:basedOn w:val="Normal"/>
    <w:link w:val="FooterChar"/>
    <w:uiPriority w:val="99"/>
    <w:unhideWhenUsed/>
    <w:rsid w:val="00A8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2703">
      <w:bodyDiv w:val="1"/>
      <w:marLeft w:val="0"/>
      <w:marRight w:val="0"/>
      <w:marTop w:val="0"/>
      <w:marBottom w:val="0"/>
      <w:divBdr>
        <w:top w:val="none" w:sz="0" w:space="0" w:color="auto"/>
        <w:left w:val="none" w:sz="0" w:space="0" w:color="auto"/>
        <w:bottom w:val="none" w:sz="0" w:space="0" w:color="auto"/>
        <w:right w:val="none" w:sz="0" w:space="0" w:color="auto"/>
      </w:divBdr>
    </w:div>
    <w:div w:id="407464627">
      <w:bodyDiv w:val="1"/>
      <w:marLeft w:val="0"/>
      <w:marRight w:val="0"/>
      <w:marTop w:val="0"/>
      <w:marBottom w:val="0"/>
      <w:divBdr>
        <w:top w:val="none" w:sz="0" w:space="0" w:color="auto"/>
        <w:left w:val="none" w:sz="0" w:space="0" w:color="auto"/>
        <w:bottom w:val="none" w:sz="0" w:space="0" w:color="auto"/>
        <w:right w:val="none" w:sz="0" w:space="0" w:color="auto"/>
      </w:divBdr>
    </w:div>
    <w:div w:id="579561618">
      <w:bodyDiv w:val="1"/>
      <w:marLeft w:val="0"/>
      <w:marRight w:val="0"/>
      <w:marTop w:val="0"/>
      <w:marBottom w:val="0"/>
      <w:divBdr>
        <w:top w:val="none" w:sz="0" w:space="0" w:color="auto"/>
        <w:left w:val="none" w:sz="0" w:space="0" w:color="auto"/>
        <w:bottom w:val="none" w:sz="0" w:space="0" w:color="auto"/>
        <w:right w:val="none" w:sz="0" w:space="0" w:color="auto"/>
      </w:divBdr>
    </w:div>
    <w:div w:id="682242292">
      <w:bodyDiv w:val="1"/>
      <w:marLeft w:val="0"/>
      <w:marRight w:val="0"/>
      <w:marTop w:val="0"/>
      <w:marBottom w:val="0"/>
      <w:divBdr>
        <w:top w:val="none" w:sz="0" w:space="0" w:color="auto"/>
        <w:left w:val="none" w:sz="0" w:space="0" w:color="auto"/>
        <w:bottom w:val="none" w:sz="0" w:space="0" w:color="auto"/>
        <w:right w:val="none" w:sz="0" w:space="0" w:color="auto"/>
      </w:divBdr>
    </w:div>
    <w:div w:id="856892563">
      <w:bodyDiv w:val="1"/>
      <w:marLeft w:val="0"/>
      <w:marRight w:val="0"/>
      <w:marTop w:val="0"/>
      <w:marBottom w:val="0"/>
      <w:divBdr>
        <w:top w:val="none" w:sz="0" w:space="0" w:color="auto"/>
        <w:left w:val="none" w:sz="0" w:space="0" w:color="auto"/>
        <w:bottom w:val="none" w:sz="0" w:space="0" w:color="auto"/>
        <w:right w:val="none" w:sz="0" w:space="0" w:color="auto"/>
      </w:divBdr>
    </w:div>
    <w:div w:id="884105322">
      <w:bodyDiv w:val="1"/>
      <w:marLeft w:val="0"/>
      <w:marRight w:val="0"/>
      <w:marTop w:val="0"/>
      <w:marBottom w:val="0"/>
      <w:divBdr>
        <w:top w:val="none" w:sz="0" w:space="0" w:color="auto"/>
        <w:left w:val="none" w:sz="0" w:space="0" w:color="auto"/>
        <w:bottom w:val="none" w:sz="0" w:space="0" w:color="auto"/>
        <w:right w:val="none" w:sz="0" w:space="0" w:color="auto"/>
      </w:divBdr>
    </w:div>
    <w:div w:id="940453322">
      <w:bodyDiv w:val="1"/>
      <w:marLeft w:val="0"/>
      <w:marRight w:val="0"/>
      <w:marTop w:val="0"/>
      <w:marBottom w:val="0"/>
      <w:divBdr>
        <w:top w:val="none" w:sz="0" w:space="0" w:color="auto"/>
        <w:left w:val="none" w:sz="0" w:space="0" w:color="auto"/>
        <w:bottom w:val="none" w:sz="0" w:space="0" w:color="auto"/>
        <w:right w:val="none" w:sz="0" w:space="0" w:color="auto"/>
      </w:divBdr>
    </w:div>
    <w:div w:id="953367508">
      <w:bodyDiv w:val="1"/>
      <w:marLeft w:val="0"/>
      <w:marRight w:val="0"/>
      <w:marTop w:val="0"/>
      <w:marBottom w:val="0"/>
      <w:divBdr>
        <w:top w:val="none" w:sz="0" w:space="0" w:color="auto"/>
        <w:left w:val="none" w:sz="0" w:space="0" w:color="auto"/>
        <w:bottom w:val="none" w:sz="0" w:space="0" w:color="auto"/>
        <w:right w:val="none" w:sz="0" w:space="0" w:color="auto"/>
      </w:divBdr>
    </w:div>
    <w:div w:id="1018123337">
      <w:bodyDiv w:val="1"/>
      <w:marLeft w:val="0"/>
      <w:marRight w:val="0"/>
      <w:marTop w:val="0"/>
      <w:marBottom w:val="0"/>
      <w:divBdr>
        <w:top w:val="none" w:sz="0" w:space="0" w:color="auto"/>
        <w:left w:val="none" w:sz="0" w:space="0" w:color="auto"/>
        <w:bottom w:val="none" w:sz="0" w:space="0" w:color="auto"/>
        <w:right w:val="none" w:sz="0" w:space="0" w:color="auto"/>
      </w:divBdr>
    </w:div>
    <w:div w:id="1211959585">
      <w:bodyDiv w:val="1"/>
      <w:marLeft w:val="0"/>
      <w:marRight w:val="0"/>
      <w:marTop w:val="0"/>
      <w:marBottom w:val="0"/>
      <w:divBdr>
        <w:top w:val="none" w:sz="0" w:space="0" w:color="auto"/>
        <w:left w:val="none" w:sz="0" w:space="0" w:color="auto"/>
        <w:bottom w:val="none" w:sz="0" w:space="0" w:color="auto"/>
        <w:right w:val="none" w:sz="0" w:space="0" w:color="auto"/>
      </w:divBdr>
    </w:div>
    <w:div w:id="1444155105">
      <w:bodyDiv w:val="1"/>
      <w:marLeft w:val="0"/>
      <w:marRight w:val="0"/>
      <w:marTop w:val="0"/>
      <w:marBottom w:val="0"/>
      <w:divBdr>
        <w:top w:val="none" w:sz="0" w:space="0" w:color="auto"/>
        <w:left w:val="none" w:sz="0" w:space="0" w:color="auto"/>
        <w:bottom w:val="none" w:sz="0" w:space="0" w:color="auto"/>
        <w:right w:val="none" w:sz="0" w:space="0" w:color="auto"/>
      </w:divBdr>
    </w:div>
    <w:div w:id="1465927153">
      <w:bodyDiv w:val="1"/>
      <w:marLeft w:val="0"/>
      <w:marRight w:val="0"/>
      <w:marTop w:val="0"/>
      <w:marBottom w:val="0"/>
      <w:divBdr>
        <w:top w:val="none" w:sz="0" w:space="0" w:color="auto"/>
        <w:left w:val="none" w:sz="0" w:space="0" w:color="auto"/>
        <w:bottom w:val="none" w:sz="0" w:space="0" w:color="auto"/>
        <w:right w:val="none" w:sz="0" w:space="0" w:color="auto"/>
      </w:divBdr>
    </w:div>
    <w:div w:id="1787771694">
      <w:bodyDiv w:val="1"/>
      <w:marLeft w:val="0"/>
      <w:marRight w:val="0"/>
      <w:marTop w:val="0"/>
      <w:marBottom w:val="0"/>
      <w:divBdr>
        <w:top w:val="none" w:sz="0" w:space="0" w:color="auto"/>
        <w:left w:val="none" w:sz="0" w:space="0" w:color="auto"/>
        <w:bottom w:val="none" w:sz="0" w:space="0" w:color="auto"/>
        <w:right w:val="none" w:sz="0" w:space="0" w:color="auto"/>
      </w:divBdr>
    </w:div>
    <w:div w:id="1929802362">
      <w:bodyDiv w:val="1"/>
      <w:marLeft w:val="0"/>
      <w:marRight w:val="0"/>
      <w:marTop w:val="0"/>
      <w:marBottom w:val="0"/>
      <w:divBdr>
        <w:top w:val="none" w:sz="0" w:space="0" w:color="auto"/>
        <w:left w:val="none" w:sz="0" w:space="0" w:color="auto"/>
        <w:bottom w:val="none" w:sz="0" w:space="0" w:color="auto"/>
        <w:right w:val="none" w:sz="0" w:space="0" w:color="auto"/>
      </w:divBdr>
    </w:div>
    <w:div w:id="1946571519">
      <w:bodyDiv w:val="1"/>
      <w:marLeft w:val="0"/>
      <w:marRight w:val="0"/>
      <w:marTop w:val="0"/>
      <w:marBottom w:val="0"/>
      <w:divBdr>
        <w:top w:val="none" w:sz="0" w:space="0" w:color="auto"/>
        <w:left w:val="none" w:sz="0" w:space="0" w:color="auto"/>
        <w:bottom w:val="none" w:sz="0" w:space="0" w:color="auto"/>
        <w:right w:val="none" w:sz="0" w:space="0" w:color="auto"/>
      </w:divBdr>
    </w:div>
    <w:div w:id="20992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landurbplan.2017.06.008" TargetMode="External"/><Relationship Id="rId21" Type="http://schemas.microsoft.com/office/2007/relationships/diagramDrawing" Target="diagrams/drawing3.xml"/><Relationship Id="rId42" Type="http://schemas.openxmlformats.org/officeDocument/2006/relationships/hyperlink" Target="https://doi.org/10.1371/journal.pone.0104679" TargetMode="External"/><Relationship Id="rId47" Type="http://schemas.openxmlformats.org/officeDocument/2006/relationships/hyperlink" Target="https://www.ghanaweb.com/GhanaHomePage/regional/Mayor-Allotey-champions-youth-partnerships-in-tackling-extreme-heat-2000891" TargetMode="External"/><Relationship Id="rId63" Type="http://schemas.openxmlformats.org/officeDocument/2006/relationships/hyperlink" Target="https://keepmassbeautiful.org/news-events/the-kmb-blog/overview.html/article/2025/06/10/urban-green-spaces-boosting-mental-health" TargetMode="External"/><Relationship Id="rId68" Type="http://schemas.openxmlformats.org/officeDocument/2006/relationships/hyperlink" Target="https://mydailynewsonline.com/2025/09/16/apata-initiative-leads-youth-climate-action-for-a-cooler-greener-accra/" TargetMode="External"/><Relationship Id="rId84" Type="http://schemas.openxmlformats.org/officeDocument/2006/relationships/hyperlink" Target="https://doi.org/10.3389/fevo.2024.1440477" TargetMode="External"/><Relationship Id="rId89" Type="http://schemas.openxmlformats.org/officeDocument/2006/relationships/footer" Target="footer1.xm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hyperlink" Target="https://pollinators.ie/wp-content/uploads/2024/03/Ecological-corridors-booklet-WEB.pdf" TargetMode="External"/><Relationship Id="rId37" Type="http://schemas.openxmlformats.org/officeDocument/2006/relationships/hyperlink" Target="https://doi.org/10.1038/s42949-024-00145-0" TargetMode="External"/><Relationship Id="rId53" Type="http://schemas.openxmlformats.org/officeDocument/2006/relationships/hyperlink" Target="https://doi.org/10.1080/13563475.2025.2461664" TargetMode="External"/><Relationship Id="rId58" Type="http://schemas.openxmlformats.org/officeDocument/2006/relationships/hyperlink" Target="https://doi.org/10.1007/s10708-021-10474-7" TargetMode="External"/><Relationship Id="rId74" Type="http://schemas.openxmlformats.org/officeDocument/2006/relationships/hyperlink" Target="https://doi.org/10.1016/j.envc.2021.100283" TargetMode="External"/><Relationship Id="rId79" Type="http://schemas.openxmlformats.org/officeDocument/2006/relationships/hyperlink" Target="https://doi.org/10.1007/s11252-023-01457-2"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image" Target="media/image1.jpg"/><Relationship Id="rId27" Type="http://schemas.openxmlformats.org/officeDocument/2006/relationships/hyperlink" Target="https://doi.org/10.1080/02723638.2018.1457435" TargetMode="External"/><Relationship Id="rId43" Type="http://schemas.openxmlformats.org/officeDocument/2006/relationships/hyperlink" Target="https://doi.org/10.1093/biosci/biz042" TargetMode="External"/><Relationship Id="rId48" Type="http://schemas.openxmlformats.org/officeDocument/2006/relationships/hyperlink" Target="https://doi.org/10.1016/j.tree.2009.07.016" TargetMode="External"/><Relationship Id="rId64" Type="http://schemas.openxmlformats.org/officeDocument/2006/relationships/hyperlink" Target="https://doi.org/10.1111/ele.14277" TargetMode="External"/><Relationship Id="rId69" Type="http://schemas.openxmlformats.org/officeDocument/2006/relationships/hyperlink" Target="https://doi.org/10.1016/j.cacint.2025.100242" TargetMode="External"/><Relationship Id="rId8" Type="http://schemas.openxmlformats.org/officeDocument/2006/relationships/diagramLayout" Target="diagrams/layout1.xml"/><Relationship Id="rId51" Type="http://schemas.openxmlformats.org/officeDocument/2006/relationships/hyperlink" Target="https://doi.org/10.1111/1365-2435.12486" TargetMode="External"/><Relationship Id="rId72" Type="http://schemas.openxmlformats.org/officeDocument/2006/relationships/hyperlink" Target="https://doi.org/10.1016/j.tree.2010.01.007" TargetMode="External"/><Relationship Id="rId80" Type="http://schemas.openxmlformats.org/officeDocument/2006/relationships/hyperlink" Target="https://doi.org/10.1111/ele.70189" TargetMode="External"/><Relationship Id="rId85" Type="http://schemas.openxmlformats.org/officeDocument/2006/relationships/hyperlink" Target="https://doi.org/10.1038/s41598-019-44097-3"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hyperlink" Target="https://doi.org/10.1371/journal.pone.0286332" TargetMode="External"/><Relationship Id="rId33" Type="http://schemas.openxmlformats.org/officeDocument/2006/relationships/hyperlink" Target="https://doi.org/10.1007/s11524-025-00995-8" TargetMode="External"/><Relationship Id="rId38" Type="http://schemas.openxmlformats.org/officeDocument/2006/relationships/hyperlink" Target="https://doi.org/10.1371/journal.pone.0235492" TargetMode="External"/><Relationship Id="rId46" Type="http://schemas.openxmlformats.org/officeDocument/2006/relationships/hyperlink" Target="https://doi.org/10.1080/00379271.2016.1153212" TargetMode="External"/><Relationship Id="rId59" Type="http://schemas.openxmlformats.org/officeDocument/2006/relationships/hyperlink" Target="https://doi.org/10.3390/ijerph16030452" TargetMode="External"/><Relationship Id="rId67" Type="http://schemas.openxmlformats.org/officeDocument/2006/relationships/hyperlink" Target="https://createsolutions.tufts.edu/wp-content/uploads/2021/08/CREATE_Pollinators_Murphy_Crone.pdf" TargetMode="External"/><Relationship Id="rId20" Type="http://schemas.openxmlformats.org/officeDocument/2006/relationships/diagramColors" Target="diagrams/colors3.xml"/><Relationship Id="rId41" Type="http://schemas.openxmlformats.org/officeDocument/2006/relationships/hyperlink" Target="https://doi.org/10.3390/su141610111" TargetMode="External"/><Relationship Id="rId54" Type="http://schemas.openxmlformats.org/officeDocument/2006/relationships/hyperlink" Target="https://doi.org/10.1007/s12132-019-09364-6" TargetMode="External"/><Relationship Id="rId62" Type="http://schemas.openxmlformats.org/officeDocument/2006/relationships/hyperlink" Target="https://doi.org/10.1603/029.102.0201" TargetMode="External"/><Relationship Id="rId70" Type="http://schemas.openxmlformats.org/officeDocument/2006/relationships/hyperlink" Target="https://www.pollinator.org/threats" TargetMode="External"/><Relationship Id="rId75" Type="http://schemas.openxmlformats.org/officeDocument/2006/relationships/hyperlink" Target="https://doi.org/10.3390/urbansci5030067" TargetMode="External"/><Relationship Id="rId83" Type="http://schemas.openxmlformats.org/officeDocument/2006/relationships/hyperlink" Target="https://doi.org/10.1016/j.envres.2018.06.030"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s://closercities.org/projects/accra-urban-green-infrastructure-project-augip" TargetMode="External"/><Relationship Id="rId28" Type="http://schemas.openxmlformats.org/officeDocument/2006/relationships/hyperlink" Target="https://doi.org/10.30574/wjarr.2024.21.2.0519" TargetMode="External"/><Relationship Id="rId36" Type="http://schemas.openxmlformats.org/officeDocument/2006/relationships/hyperlink" Target="https://doi.org/10.5281/zenodo.1098481" TargetMode="External"/><Relationship Id="rId49" Type="http://schemas.openxmlformats.org/officeDocument/2006/relationships/hyperlink" Target="https://doi.org/10.1111/cobi.12840" TargetMode="External"/><Relationship Id="rId57" Type="http://schemas.openxmlformats.org/officeDocument/2006/relationships/hyperlink" Target="https://doi.org/10.1007/s10980-025-02069-1" TargetMode="External"/><Relationship Id="rId10" Type="http://schemas.openxmlformats.org/officeDocument/2006/relationships/diagramColors" Target="diagrams/colors1.xml"/><Relationship Id="rId31" Type="http://schemas.openxmlformats.org/officeDocument/2006/relationships/hyperlink" Target="https://doi.org/10.1038/s41559-018-0769-y" TargetMode="External"/><Relationship Id="rId44" Type="http://schemas.openxmlformats.org/officeDocument/2006/relationships/hyperlink" Target="https://doi.org/10.1007/s43545-025-01079-9" TargetMode="External"/><Relationship Id="rId52" Type="http://schemas.openxmlformats.org/officeDocument/2006/relationships/hyperlink" Target="https://doi.org/10.1007/s11625-024-01475-9" TargetMode="External"/><Relationship Id="rId60" Type="http://schemas.openxmlformats.org/officeDocument/2006/relationships/hyperlink" Target="https://doi.org/10.1016/j.landurbplan.2013.11.016" TargetMode="External"/><Relationship Id="rId65" Type="http://schemas.openxmlformats.org/officeDocument/2006/relationships/hyperlink" Target="https://doi.org/10.1016/j.envres.2017.06.028" TargetMode="External"/><Relationship Id="rId73" Type="http://schemas.openxmlformats.org/officeDocument/2006/relationships/hyperlink" Target="https://doi.org/10.1038/s41559-020-01361-1" TargetMode="External"/><Relationship Id="rId78" Type="http://schemas.openxmlformats.org/officeDocument/2006/relationships/hyperlink" Target="https://doi.org/10.1016/j.ufug.2018.05.005" TargetMode="External"/><Relationship Id="rId81" Type="http://schemas.openxmlformats.org/officeDocument/2006/relationships/hyperlink" Target="https://prism.sustainability-directory.com/scenario/green-infrastructure-and-mental-health-resilience/" TargetMode="External"/><Relationship Id="rId86" Type="http://schemas.openxmlformats.org/officeDocument/2006/relationships/hyperlink" Target="https://www.weforum.org/stories/2025/04/urban-planners-promoting-active-lifestyles/"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s://envirobiotechjournals.com/EEC/v27i32021/EEC-7.pdf" TargetMode="External"/><Relationship Id="rId34" Type="http://schemas.openxmlformats.org/officeDocument/2006/relationships/hyperlink" Target="https://doi.org/10.1186/s12905-025-03886-x" TargetMode="External"/><Relationship Id="rId50" Type="http://schemas.openxmlformats.org/officeDocument/2006/relationships/hyperlink" Target="https://doi.org/10.1007/s11252-023-01442-9" TargetMode="External"/><Relationship Id="rId55" Type="http://schemas.openxmlformats.org/officeDocument/2006/relationships/hyperlink" Target="https://ieep.eu/wp-content/uploads/2023/11/Guidelines-monitoring-biodiversity-in-cities-IEEP-2023.pdf" TargetMode="External"/><Relationship Id="rId76" Type="http://schemas.openxmlformats.org/officeDocument/2006/relationships/hyperlink" Target="https://doi.org/10.1016/j.ufug.2023.127891" TargetMode="External"/><Relationship Id="rId7" Type="http://schemas.openxmlformats.org/officeDocument/2006/relationships/diagramData" Target="diagrams/data1.xml"/><Relationship Id="rId71" Type="http://schemas.openxmlformats.org/officeDocument/2006/relationships/hyperlink" Target="https://doi.org/10.1111/icad.12779"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doi.org/10.1007/s43621-024-00742-0" TargetMode="External"/><Relationship Id="rId24" Type="http://schemas.openxmlformats.org/officeDocument/2006/relationships/hyperlink" Target="https://doi.org/10.1007/s44327-024-00025-3" TargetMode="External"/><Relationship Id="rId40" Type="http://schemas.openxmlformats.org/officeDocument/2006/relationships/hyperlink" Target="https://doi.org/10.1126/science.aax3100" TargetMode="External"/><Relationship Id="rId45" Type="http://schemas.openxmlformats.org/officeDocument/2006/relationships/hyperlink" Target="https://www.earth.com/news/urbanization-causes-massive-decline-in-insect-pollinators/" TargetMode="External"/><Relationship Id="rId66" Type="http://schemas.openxmlformats.org/officeDocument/2006/relationships/hyperlink" Target="https://doi.org/10.1038/s41598-023-41217-y" TargetMode="External"/><Relationship Id="rId87" Type="http://schemas.openxmlformats.org/officeDocument/2006/relationships/header" Target="header1.xml"/><Relationship Id="rId61" Type="http://schemas.openxmlformats.org/officeDocument/2006/relationships/hyperlink" Target="https://doi.org/10.1016/j.eiar.2014.08.007" TargetMode="External"/><Relationship Id="rId82" Type="http://schemas.openxmlformats.org/officeDocument/2006/relationships/hyperlink" Target="https://doi.org/10.1016/j.biocon.2017.01.018" TargetMode="External"/><Relationship Id="rId19" Type="http://schemas.openxmlformats.org/officeDocument/2006/relationships/diagramQuickStyle" Target="diagrams/quickStyle3.xml"/><Relationship Id="rId14" Type="http://schemas.openxmlformats.org/officeDocument/2006/relationships/diagramQuickStyle" Target="diagrams/quickStyle2.xml"/><Relationship Id="rId30" Type="http://schemas.openxmlformats.org/officeDocument/2006/relationships/hyperlink" Target="https://doi.org/10.1016/j.cois.2020.01.006" TargetMode="External"/><Relationship Id="rId35" Type="http://schemas.openxmlformats.org/officeDocument/2006/relationships/hyperlink" Target="https://doi.org/10.7717/peerj.12788" TargetMode="External"/><Relationship Id="rId56" Type="http://schemas.openxmlformats.org/officeDocument/2006/relationships/hyperlink" Target="https://www.ipbes.net/assessment-reports/pollinators" TargetMode="External"/><Relationship Id="rId77" Type="http://schemas.openxmlformats.org/officeDocument/2006/relationships/hyperlink" Target="https://doi.org/10.9734/acri/2025/v25i61305"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3E1E0-6254-44CB-8BF3-047078CEEA42}" type="doc">
      <dgm:prSet loTypeId="urn:microsoft.com/office/officeart/2008/layout/RadialCluster" loCatId="cycle" qsTypeId="urn:microsoft.com/office/officeart/2005/8/quickstyle/3d1" qsCatId="3D" csTypeId="urn:microsoft.com/office/officeart/2005/8/colors/accent5_2" csCatId="accent5" phldr="1"/>
      <dgm:spPr/>
      <dgm:t>
        <a:bodyPr/>
        <a:lstStyle/>
        <a:p>
          <a:endParaRPr lang="en-US"/>
        </a:p>
      </dgm:t>
    </dgm:pt>
    <dgm:pt modelId="{DC94B90E-376E-4B04-B295-00157B9E5193}">
      <dgm:prSet phldrT="[Text]" custT="1"/>
      <dgm:spPr/>
      <dgm:t>
        <a:bodyPr/>
        <a:lstStyle/>
        <a:p>
          <a:r>
            <a:rPr lang="en-GB" sz="1200" b="1">
              <a:latin typeface="Times New Roman" panose="02020603050405020304" pitchFamily="18" charset="0"/>
              <a:cs typeface="Times New Roman" panose="02020603050405020304" pitchFamily="18" charset="0"/>
            </a:rPr>
            <a:t>Urban Green Infrastructure and Pollinator Biodiversity</a:t>
          </a:r>
          <a:endParaRPr lang="en-US" sz="1200">
            <a:latin typeface="Times New Roman" panose="02020603050405020304" pitchFamily="18" charset="0"/>
            <a:cs typeface="Times New Roman" panose="02020603050405020304" pitchFamily="18" charset="0"/>
          </a:endParaRPr>
        </a:p>
      </dgm:t>
    </dgm:pt>
    <dgm:pt modelId="{F20B0AF6-E804-40B0-8907-24701CA26B20}" type="parTrans" cxnId="{B498FC0F-3350-48E7-A1EC-F656896C263B}">
      <dgm:prSet/>
      <dgm:spPr/>
      <dgm:t>
        <a:bodyPr/>
        <a:lstStyle/>
        <a:p>
          <a:endParaRPr lang="en-US" sz="1200">
            <a:latin typeface="Times New Roman" panose="02020603050405020304" pitchFamily="18" charset="0"/>
            <a:cs typeface="Times New Roman" panose="02020603050405020304" pitchFamily="18" charset="0"/>
          </a:endParaRPr>
        </a:p>
      </dgm:t>
    </dgm:pt>
    <dgm:pt modelId="{AF1463C1-EC7D-4A25-B118-BAFB7E82FB4B}" type="sibTrans" cxnId="{B498FC0F-3350-48E7-A1EC-F656896C263B}">
      <dgm:prSet/>
      <dgm:spPr/>
      <dgm:t>
        <a:bodyPr/>
        <a:lstStyle/>
        <a:p>
          <a:endParaRPr lang="en-US" sz="1200">
            <a:latin typeface="Times New Roman" panose="02020603050405020304" pitchFamily="18" charset="0"/>
            <a:cs typeface="Times New Roman" panose="02020603050405020304" pitchFamily="18" charset="0"/>
          </a:endParaRPr>
        </a:p>
      </dgm:t>
    </dgm:pt>
    <dgm:pt modelId="{BB29D2DA-3ADF-42F7-BE16-1E131E19D254}">
      <dgm:prSet phldrT="[Text]" custT="1"/>
      <dgm:spPr/>
      <dgm:t>
        <a:bodyPr/>
        <a:lstStyle/>
        <a:p>
          <a:r>
            <a:rPr lang="en-US" sz="1200" b="1">
              <a:latin typeface="Times New Roman" panose="02020603050405020304" pitchFamily="18" charset="0"/>
              <a:cs typeface="Times New Roman" panose="02020603050405020304" pitchFamily="18" charset="0"/>
            </a:rPr>
            <a:t>Habitat Provision</a:t>
          </a:r>
          <a:endParaRPr lang="en-US" sz="1200">
            <a:latin typeface="Times New Roman" panose="02020603050405020304" pitchFamily="18" charset="0"/>
            <a:cs typeface="Times New Roman" panose="02020603050405020304" pitchFamily="18" charset="0"/>
          </a:endParaRPr>
        </a:p>
      </dgm:t>
    </dgm:pt>
    <dgm:pt modelId="{6AE5233D-2041-4FBA-809B-760396289573}" type="parTrans" cxnId="{D3ED1A05-715E-43B9-9AD0-54E4B705C92F}">
      <dgm:prSet/>
      <dgm:spPr/>
      <dgm:t>
        <a:bodyPr/>
        <a:lstStyle/>
        <a:p>
          <a:endParaRPr lang="en-US" sz="1200">
            <a:latin typeface="Times New Roman" panose="02020603050405020304" pitchFamily="18" charset="0"/>
            <a:cs typeface="Times New Roman" panose="02020603050405020304" pitchFamily="18" charset="0"/>
          </a:endParaRPr>
        </a:p>
      </dgm:t>
    </dgm:pt>
    <dgm:pt modelId="{D4353F49-E008-4BB3-A15E-9176754BF26C}" type="sibTrans" cxnId="{D3ED1A05-715E-43B9-9AD0-54E4B705C92F}">
      <dgm:prSet/>
      <dgm:spPr/>
      <dgm:t>
        <a:bodyPr/>
        <a:lstStyle/>
        <a:p>
          <a:endParaRPr lang="en-US" sz="1200">
            <a:latin typeface="Times New Roman" panose="02020603050405020304" pitchFamily="18" charset="0"/>
            <a:cs typeface="Times New Roman" panose="02020603050405020304" pitchFamily="18" charset="0"/>
          </a:endParaRPr>
        </a:p>
      </dgm:t>
    </dgm:pt>
    <dgm:pt modelId="{773E10CA-A2B9-408E-8221-EB8235B30FB4}">
      <dgm:prSet phldrT="[Text]" custT="1"/>
      <dgm:spPr/>
      <dgm:t>
        <a:bodyPr/>
        <a:lstStyle/>
        <a:p>
          <a:r>
            <a:rPr lang="en-US" sz="1200" b="1">
              <a:latin typeface="Times New Roman" panose="02020603050405020304" pitchFamily="18" charset="0"/>
              <a:cs typeface="Times New Roman" panose="02020603050405020304" pitchFamily="18" charset="0"/>
            </a:rPr>
            <a:t>Floral Resource Availability</a:t>
          </a:r>
          <a:endParaRPr lang="en-US" sz="1200">
            <a:latin typeface="Times New Roman" panose="02020603050405020304" pitchFamily="18" charset="0"/>
            <a:cs typeface="Times New Roman" panose="02020603050405020304" pitchFamily="18" charset="0"/>
          </a:endParaRPr>
        </a:p>
      </dgm:t>
    </dgm:pt>
    <dgm:pt modelId="{1784E821-AD37-444A-8A84-C3AE10FEBE74}" type="parTrans" cxnId="{BA0BAD53-F063-420D-89D3-2E4F4B04522D}">
      <dgm:prSet/>
      <dgm:spPr/>
      <dgm:t>
        <a:bodyPr/>
        <a:lstStyle/>
        <a:p>
          <a:endParaRPr lang="en-US" sz="1200">
            <a:latin typeface="Times New Roman" panose="02020603050405020304" pitchFamily="18" charset="0"/>
            <a:cs typeface="Times New Roman" panose="02020603050405020304" pitchFamily="18" charset="0"/>
          </a:endParaRPr>
        </a:p>
      </dgm:t>
    </dgm:pt>
    <dgm:pt modelId="{210022BA-ECF6-4092-A8D4-F718DFA0B950}" type="sibTrans" cxnId="{BA0BAD53-F063-420D-89D3-2E4F4B04522D}">
      <dgm:prSet/>
      <dgm:spPr/>
      <dgm:t>
        <a:bodyPr/>
        <a:lstStyle/>
        <a:p>
          <a:endParaRPr lang="en-US" sz="1200">
            <a:latin typeface="Times New Roman" panose="02020603050405020304" pitchFamily="18" charset="0"/>
            <a:cs typeface="Times New Roman" panose="02020603050405020304" pitchFamily="18" charset="0"/>
          </a:endParaRPr>
        </a:p>
      </dgm:t>
    </dgm:pt>
    <dgm:pt modelId="{56E8B32F-1BF8-4481-9177-56C45ABD32FB}">
      <dgm:prSet phldrT="[Text]" custT="1"/>
      <dgm:spPr/>
      <dgm:t>
        <a:bodyPr/>
        <a:lstStyle/>
        <a:p>
          <a:r>
            <a:rPr lang="en-US" sz="1200" b="1">
              <a:latin typeface="Times New Roman" panose="02020603050405020304" pitchFamily="18" charset="0"/>
              <a:cs typeface="Times New Roman" panose="02020603050405020304" pitchFamily="18" charset="0"/>
            </a:rPr>
            <a:t>Management Practices</a:t>
          </a:r>
          <a:endParaRPr lang="en-US" sz="1200">
            <a:latin typeface="Times New Roman" panose="02020603050405020304" pitchFamily="18" charset="0"/>
            <a:cs typeface="Times New Roman" panose="02020603050405020304" pitchFamily="18" charset="0"/>
          </a:endParaRPr>
        </a:p>
      </dgm:t>
    </dgm:pt>
    <dgm:pt modelId="{17A26647-3B9F-40AA-BC0C-62CB202C3E1E}" type="parTrans" cxnId="{515A551B-BB34-4F05-90F4-2886186E07B2}">
      <dgm:prSet/>
      <dgm:spPr/>
      <dgm:t>
        <a:bodyPr/>
        <a:lstStyle/>
        <a:p>
          <a:endParaRPr lang="en-US" sz="1200">
            <a:latin typeface="Times New Roman" panose="02020603050405020304" pitchFamily="18" charset="0"/>
            <a:cs typeface="Times New Roman" panose="02020603050405020304" pitchFamily="18" charset="0"/>
          </a:endParaRPr>
        </a:p>
      </dgm:t>
    </dgm:pt>
    <dgm:pt modelId="{F29BF34D-607C-4A45-B46A-D87D66AE2F2E}" type="sibTrans" cxnId="{515A551B-BB34-4F05-90F4-2886186E07B2}">
      <dgm:prSet/>
      <dgm:spPr/>
      <dgm:t>
        <a:bodyPr/>
        <a:lstStyle/>
        <a:p>
          <a:endParaRPr lang="en-US" sz="1200">
            <a:latin typeface="Times New Roman" panose="02020603050405020304" pitchFamily="18" charset="0"/>
            <a:cs typeface="Times New Roman" panose="02020603050405020304" pitchFamily="18" charset="0"/>
          </a:endParaRPr>
        </a:p>
      </dgm:t>
    </dgm:pt>
    <dgm:pt modelId="{AD2806B7-76E2-4C66-8101-9B5419DD562D}">
      <dgm:prSet custT="1"/>
      <dgm:spPr/>
      <dgm:t>
        <a:bodyPr/>
        <a:lstStyle/>
        <a:p>
          <a:r>
            <a:rPr lang="en-US" sz="1200" b="1">
              <a:latin typeface="Times New Roman" panose="02020603050405020304" pitchFamily="18" charset="0"/>
              <a:cs typeface="Times New Roman" panose="02020603050405020304" pitchFamily="18" charset="0"/>
            </a:rPr>
            <a:t>Landscape Connectivity</a:t>
          </a:r>
          <a:endParaRPr lang="en-US" sz="1200">
            <a:latin typeface="Times New Roman" panose="02020603050405020304" pitchFamily="18" charset="0"/>
            <a:cs typeface="Times New Roman" panose="02020603050405020304" pitchFamily="18" charset="0"/>
          </a:endParaRPr>
        </a:p>
      </dgm:t>
    </dgm:pt>
    <dgm:pt modelId="{935AF347-1378-4A5A-87D3-A374F882A7A8}" type="parTrans" cxnId="{4AF36EA6-72DB-4D51-9962-8F8E3664EBC9}">
      <dgm:prSet/>
      <dgm:spPr/>
      <dgm:t>
        <a:bodyPr/>
        <a:lstStyle/>
        <a:p>
          <a:endParaRPr lang="en-US" sz="1200">
            <a:latin typeface="Times New Roman" panose="02020603050405020304" pitchFamily="18" charset="0"/>
            <a:cs typeface="Times New Roman" panose="02020603050405020304" pitchFamily="18" charset="0"/>
          </a:endParaRPr>
        </a:p>
      </dgm:t>
    </dgm:pt>
    <dgm:pt modelId="{0E305155-AC2E-4629-AB09-DEA87796BA4F}" type="sibTrans" cxnId="{4AF36EA6-72DB-4D51-9962-8F8E3664EBC9}">
      <dgm:prSet/>
      <dgm:spPr/>
      <dgm:t>
        <a:bodyPr/>
        <a:lstStyle/>
        <a:p>
          <a:endParaRPr lang="en-US" sz="1200">
            <a:latin typeface="Times New Roman" panose="02020603050405020304" pitchFamily="18" charset="0"/>
            <a:cs typeface="Times New Roman" panose="02020603050405020304" pitchFamily="18" charset="0"/>
          </a:endParaRPr>
        </a:p>
      </dgm:t>
    </dgm:pt>
    <dgm:pt modelId="{EC56B383-E8E2-446C-9500-28207E5E7E8A}" type="pres">
      <dgm:prSet presAssocID="{2843E1E0-6254-44CB-8BF3-047078CEEA42}" presName="Name0" presStyleCnt="0">
        <dgm:presLayoutVars>
          <dgm:chMax val="1"/>
          <dgm:chPref val="1"/>
          <dgm:dir/>
          <dgm:animOne val="branch"/>
          <dgm:animLvl val="lvl"/>
        </dgm:presLayoutVars>
      </dgm:prSet>
      <dgm:spPr/>
      <dgm:t>
        <a:bodyPr/>
        <a:lstStyle/>
        <a:p>
          <a:endParaRPr lang="en-US"/>
        </a:p>
      </dgm:t>
    </dgm:pt>
    <dgm:pt modelId="{40D505A2-845E-46A2-BB08-C45CCFFFFFE9}" type="pres">
      <dgm:prSet presAssocID="{DC94B90E-376E-4B04-B295-00157B9E5193}" presName="singleCycle" presStyleCnt="0"/>
      <dgm:spPr/>
    </dgm:pt>
    <dgm:pt modelId="{053FAC0E-A6C9-4937-BB69-E59713359F44}" type="pres">
      <dgm:prSet presAssocID="{DC94B90E-376E-4B04-B295-00157B9E5193}" presName="singleCenter" presStyleLbl="node1" presStyleIdx="0" presStyleCnt="5" custScaleX="139963">
        <dgm:presLayoutVars>
          <dgm:chMax val="7"/>
          <dgm:chPref val="7"/>
        </dgm:presLayoutVars>
      </dgm:prSet>
      <dgm:spPr/>
      <dgm:t>
        <a:bodyPr/>
        <a:lstStyle/>
        <a:p>
          <a:endParaRPr lang="en-US"/>
        </a:p>
      </dgm:t>
    </dgm:pt>
    <dgm:pt modelId="{96F03450-2C20-4C02-BC65-F53C0B87DFA6}" type="pres">
      <dgm:prSet presAssocID="{6AE5233D-2041-4FBA-809B-760396289573}" presName="Name56" presStyleLbl="parChTrans1D2" presStyleIdx="0" presStyleCnt="4"/>
      <dgm:spPr/>
      <dgm:t>
        <a:bodyPr/>
        <a:lstStyle/>
        <a:p>
          <a:endParaRPr lang="en-US"/>
        </a:p>
      </dgm:t>
    </dgm:pt>
    <dgm:pt modelId="{1BAD0356-FF9B-4AE6-86FE-AA8356238FCD}" type="pres">
      <dgm:prSet presAssocID="{BB29D2DA-3ADF-42F7-BE16-1E131E19D254}" presName="text0" presStyleLbl="node1" presStyleIdx="1" presStyleCnt="5" custScaleX="160370">
        <dgm:presLayoutVars>
          <dgm:bulletEnabled val="1"/>
        </dgm:presLayoutVars>
      </dgm:prSet>
      <dgm:spPr/>
      <dgm:t>
        <a:bodyPr/>
        <a:lstStyle/>
        <a:p>
          <a:endParaRPr lang="en-US"/>
        </a:p>
      </dgm:t>
    </dgm:pt>
    <dgm:pt modelId="{78ECED82-5740-4996-855A-9732B74D0F90}" type="pres">
      <dgm:prSet presAssocID="{1784E821-AD37-444A-8A84-C3AE10FEBE74}" presName="Name56" presStyleLbl="parChTrans1D2" presStyleIdx="1" presStyleCnt="4"/>
      <dgm:spPr/>
      <dgm:t>
        <a:bodyPr/>
        <a:lstStyle/>
        <a:p>
          <a:endParaRPr lang="en-US"/>
        </a:p>
      </dgm:t>
    </dgm:pt>
    <dgm:pt modelId="{C463AA41-75D9-4DB8-B7A0-E36FB338EAF0}" type="pres">
      <dgm:prSet presAssocID="{773E10CA-A2B9-408E-8221-EB8235B30FB4}" presName="text0" presStyleLbl="node1" presStyleIdx="2" presStyleCnt="5" custScaleX="142190">
        <dgm:presLayoutVars>
          <dgm:bulletEnabled val="1"/>
        </dgm:presLayoutVars>
      </dgm:prSet>
      <dgm:spPr/>
      <dgm:t>
        <a:bodyPr/>
        <a:lstStyle/>
        <a:p>
          <a:endParaRPr lang="en-US"/>
        </a:p>
      </dgm:t>
    </dgm:pt>
    <dgm:pt modelId="{FAD4F53A-82FF-46EA-B6D4-66D054636F04}" type="pres">
      <dgm:prSet presAssocID="{935AF347-1378-4A5A-87D3-A374F882A7A8}" presName="Name56" presStyleLbl="parChTrans1D2" presStyleIdx="2" presStyleCnt="4"/>
      <dgm:spPr/>
      <dgm:t>
        <a:bodyPr/>
        <a:lstStyle/>
        <a:p>
          <a:endParaRPr lang="en-US"/>
        </a:p>
      </dgm:t>
    </dgm:pt>
    <dgm:pt modelId="{F56022A3-498E-46C2-BBF7-7EEC7DDC4E9E}" type="pres">
      <dgm:prSet presAssocID="{AD2806B7-76E2-4C66-8101-9B5419DD562D}" presName="text0" presStyleLbl="node1" presStyleIdx="3" presStyleCnt="5" custScaleX="226306">
        <dgm:presLayoutVars>
          <dgm:bulletEnabled val="1"/>
        </dgm:presLayoutVars>
      </dgm:prSet>
      <dgm:spPr/>
      <dgm:t>
        <a:bodyPr/>
        <a:lstStyle/>
        <a:p>
          <a:endParaRPr lang="en-US"/>
        </a:p>
      </dgm:t>
    </dgm:pt>
    <dgm:pt modelId="{CEB4DF7B-C999-48A9-B513-8884C4E47106}" type="pres">
      <dgm:prSet presAssocID="{17A26647-3B9F-40AA-BC0C-62CB202C3E1E}" presName="Name56" presStyleLbl="parChTrans1D2" presStyleIdx="3" presStyleCnt="4"/>
      <dgm:spPr/>
      <dgm:t>
        <a:bodyPr/>
        <a:lstStyle/>
        <a:p>
          <a:endParaRPr lang="en-US"/>
        </a:p>
      </dgm:t>
    </dgm:pt>
    <dgm:pt modelId="{7701AF29-F04F-4B0E-9BC3-BBDDA31FB749}" type="pres">
      <dgm:prSet presAssocID="{56E8B32F-1BF8-4481-9177-56C45ABD32FB}" presName="text0" presStyleLbl="node1" presStyleIdx="4" presStyleCnt="5" custScaleX="161660">
        <dgm:presLayoutVars>
          <dgm:bulletEnabled val="1"/>
        </dgm:presLayoutVars>
      </dgm:prSet>
      <dgm:spPr/>
      <dgm:t>
        <a:bodyPr/>
        <a:lstStyle/>
        <a:p>
          <a:endParaRPr lang="en-US"/>
        </a:p>
      </dgm:t>
    </dgm:pt>
  </dgm:ptLst>
  <dgm:cxnLst>
    <dgm:cxn modelId="{D17059C7-D8C7-4A74-B271-0FC71EAB7FFA}" type="presOf" srcId="{935AF347-1378-4A5A-87D3-A374F882A7A8}" destId="{FAD4F53A-82FF-46EA-B6D4-66D054636F04}" srcOrd="0" destOrd="0" presId="urn:microsoft.com/office/officeart/2008/layout/RadialCluster"/>
    <dgm:cxn modelId="{F4FAA881-5A5D-420C-9583-9B5B8D2527BF}" type="presOf" srcId="{DC94B90E-376E-4B04-B295-00157B9E5193}" destId="{053FAC0E-A6C9-4937-BB69-E59713359F44}" srcOrd="0" destOrd="0" presId="urn:microsoft.com/office/officeart/2008/layout/RadialCluster"/>
    <dgm:cxn modelId="{94F77ABF-A5CD-4047-A083-4307E02BA85A}" type="presOf" srcId="{6AE5233D-2041-4FBA-809B-760396289573}" destId="{96F03450-2C20-4C02-BC65-F53C0B87DFA6}" srcOrd="0" destOrd="0" presId="urn:microsoft.com/office/officeart/2008/layout/RadialCluster"/>
    <dgm:cxn modelId="{4CBDA9F2-2FC8-411C-99A1-5948CECB863D}" type="presOf" srcId="{AD2806B7-76E2-4C66-8101-9B5419DD562D}" destId="{F56022A3-498E-46C2-BBF7-7EEC7DDC4E9E}" srcOrd="0" destOrd="0" presId="urn:microsoft.com/office/officeart/2008/layout/RadialCluster"/>
    <dgm:cxn modelId="{583E1DDF-BFF3-4270-907F-D3443B4F1E03}" type="presOf" srcId="{56E8B32F-1BF8-4481-9177-56C45ABD32FB}" destId="{7701AF29-F04F-4B0E-9BC3-BBDDA31FB749}" srcOrd="0" destOrd="0" presId="urn:microsoft.com/office/officeart/2008/layout/RadialCluster"/>
    <dgm:cxn modelId="{C666635F-B5EB-4EBC-AA23-048BDC5D68CE}" type="presOf" srcId="{BB29D2DA-3ADF-42F7-BE16-1E131E19D254}" destId="{1BAD0356-FF9B-4AE6-86FE-AA8356238FCD}" srcOrd="0" destOrd="0" presId="urn:microsoft.com/office/officeart/2008/layout/RadialCluster"/>
    <dgm:cxn modelId="{B498FC0F-3350-48E7-A1EC-F656896C263B}" srcId="{2843E1E0-6254-44CB-8BF3-047078CEEA42}" destId="{DC94B90E-376E-4B04-B295-00157B9E5193}" srcOrd="0" destOrd="0" parTransId="{F20B0AF6-E804-40B0-8907-24701CA26B20}" sibTransId="{AF1463C1-EC7D-4A25-B118-BAFB7E82FB4B}"/>
    <dgm:cxn modelId="{BA0BAD53-F063-420D-89D3-2E4F4B04522D}" srcId="{DC94B90E-376E-4B04-B295-00157B9E5193}" destId="{773E10CA-A2B9-408E-8221-EB8235B30FB4}" srcOrd="1" destOrd="0" parTransId="{1784E821-AD37-444A-8A84-C3AE10FEBE74}" sibTransId="{210022BA-ECF6-4092-A8D4-F718DFA0B950}"/>
    <dgm:cxn modelId="{066AB907-5FAA-4D13-913C-C409B5F56A25}" type="presOf" srcId="{1784E821-AD37-444A-8A84-C3AE10FEBE74}" destId="{78ECED82-5740-4996-855A-9732B74D0F90}" srcOrd="0" destOrd="0" presId="urn:microsoft.com/office/officeart/2008/layout/RadialCluster"/>
    <dgm:cxn modelId="{4AF36EA6-72DB-4D51-9962-8F8E3664EBC9}" srcId="{DC94B90E-376E-4B04-B295-00157B9E5193}" destId="{AD2806B7-76E2-4C66-8101-9B5419DD562D}" srcOrd="2" destOrd="0" parTransId="{935AF347-1378-4A5A-87D3-A374F882A7A8}" sibTransId="{0E305155-AC2E-4629-AB09-DEA87796BA4F}"/>
    <dgm:cxn modelId="{D3ED1A05-715E-43B9-9AD0-54E4B705C92F}" srcId="{DC94B90E-376E-4B04-B295-00157B9E5193}" destId="{BB29D2DA-3ADF-42F7-BE16-1E131E19D254}" srcOrd="0" destOrd="0" parTransId="{6AE5233D-2041-4FBA-809B-760396289573}" sibTransId="{D4353F49-E008-4BB3-A15E-9176754BF26C}"/>
    <dgm:cxn modelId="{9CB592F9-9573-4CAE-9407-B06120A96A35}" type="presOf" srcId="{2843E1E0-6254-44CB-8BF3-047078CEEA42}" destId="{EC56B383-E8E2-446C-9500-28207E5E7E8A}" srcOrd="0" destOrd="0" presId="urn:microsoft.com/office/officeart/2008/layout/RadialCluster"/>
    <dgm:cxn modelId="{09690832-4297-4B88-BBC2-2F9615FB31F2}" type="presOf" srcId="{17A26647-3B9F-40AA-BC0C-62CB202C3E1E}" destId="{CEB4DF7B-C999-48A9-B513-8884C4E47106}" srcOrd="0" destOrd="0" presId="urn:microsoft.com/office/officeart/2008/layout/RadialCluster"/>
    <dgm:cxn modelId="{ABEFC7A2-FD47-4BAE-9D58-F2560FAC08DA}" type="presOf" srcId="{773E10CA-A2B9-408E-8221-EB8235B30FB4}" destId="{C463AA41-75D9-4DB8-B7A0-E36FB338EAF0}" srcOrd="0" destOrd="0" presId="urn:microsoft.com/office/officeart/2008/layout/RadialCluster"/>
    <dgm:cxn modelId="{515A551B-BB34-4F05-90F4-2886186E07B2}" srcId="{DC94B90E-376E-4B04-B295-00157B9E5193}" destId="{56E8B32F-1BF8-4481-9177-56C45ABD32FB}" srcOrd="3" destOrd="0" parTransId="{17A26647-3B9F-40AA-BC0C-62CB202C3E1E}" sibTransId="{F29BF34D-607C-4A45-B46A-D87D66AE2F2E}"/>
    <dgm:cxn modelId="{D5BEDDC6-5D91-4C79-B60A-B47221A7E3F7}" type="presParOf" srcId="{EC56B383-E8E2-446C-9500-28207E5E7E8A}" destId="{40D505A2-845E-46A2-BB08-C45CCFFFFFE9}" srcOrd="0" destOrd="0" presId="urn:microsoft.com/office/officeart/2008/layout/RadialCluster"/>
    <dgm:cxn modelId="{9A5DB146-65E7-441B-B7DC-62417FD026D8}" type="presParOf" srcId="{40D505A2-845E-46A2-BB08-C45CCFFFFFE9}" destId="{053FAC0E-A6C9-4937-BB69-E59713359F44}" srcOrd="0" destOrd="0" presId="urn:microsoft.com/office/officeart/2008/layout/RadialCluster"/>
    <dgm:cxn modelId="{C3BFB39B-9D8F-47D1-9219-2BE167AC949B}" type="presParOf" srcId="{40D505A2-845E-46A2-BB08-C45CCFFFFFE9}" destId="{96F03450-2C20-4C02-BC65-F53C0B87DFA6}" srcOrd="1" destOrd="0" presId="urn:microsoft.com/office/officeart/2008/layout/RadialCluster"/>
    <dgm:cxn modelId="{CE581D79-3C9C-4627-A512-01B36AC65127}" type="presParOf" srcId="{40D505A2-845E-46A2-BB08-C45CCFFFFFE9}" destId="{1BAD0356-FF9B-4AE6-86FE-AA8356238FCD}" srcOrd="2" destOrd="0" presId="urn:microsoft.com/office/officeart/2008/layout/RadialCluster"/>
    <dgm:cxn modelId="{0C2F6F94-F579-47F9-84F6-0B3A0B61B092}" type="presParOf" srcId="{40D505A2-845E-46A2-BB08-C45CCFFFFFE9}" destId="{78ECED82-5740-4996-855A-9732B74D0F90}" srcOrd="3" destOrd="0" presId="urn:microsoft.com/office/officeart/2008/layout/RadialCluster"/>
    <dgm:cxn modelId="{533257F5-D157-4B23-B674-7704B6F79702}" type="presParOf" srcId="{40D505A2-845E-46A2-BB08-C45CCFFFFFE9}" destId="{C463AA41-75D9-4DB8-B7A0-E36FB338EAF0}" srcOrd="4" destOrd="0" presId="urn:microsoft.com/office/officeart/2008/layout/RadialCluster"/>
    <dgm:cxn modelId="{F648834F-D534-4CE9-894A-77342B48E996}" type="presParOf" srcId="{40D505A2-845E-46A2-BB08-C45CCFFFFFE9}" destId="{FAD4F53A-82FF-46EA-B6D4-66D054636F04}" srcOrd="5" destOrd="0" presId="urn:microsoft.com/office/officeart/2008/layout/RadialCluster"/>
    <dgm:cxn modelId="{984DBD6D-972F-4130-B85A-11E36F348A59}" type="presParOf" srcId="{40D505A2-845E-46A2-BB08-C45CCFFFFFE9}" destId="{F56022A3-498E-46C2-BBF7-7EEC7DDC4E9E}" srcOrd="6" destOrd="0" presId="urn:microsoft.com/office/officeart/2008/layout/RadialCluster"/>
    <dgm:cxn modelId="{62E35852-C930-4B8B-BA27-14B3FAF578DF}" type="presParOf" srcId="{40D505A2-845E-46A2-BB08-C45CCFFFFFE9}" destId="{CEB4DF7B-C999-48A9-B513-8884C4E47106}" srcOrd="7" destOrd="0" presId="urn:microsoft.com/office/officeart/2008/layout/RadialCluster"/>
    <dgm:cxn modelId="{C395B4CF-944A-472B-B943-BF99FC1851C7}" type="presParOf" srcId="{40D505A2-845E-46A2-BB08-C45CCFFFFFE9}" destId="{7701AF29-F04F-4B0E-9BC3-BBDDA31FB749}" srcOrd="8"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D3E6C1-839C-4E2B-9174-2D16DC2B61F4}" type="doc">
      <dgm:prSet loTypeId="urn:microsoft.com/office/officeart/2005/8/layout/radial6" loCatId="cycle" qsTypeId="urn:microsoft.com/office/officeart/2005/8/quickstyle/3d3" qsCatId="3D" csTypeId="urn:microsoft.com/office/officeart/2005/8/colors/colorful1" csCatId="colorful" phldr="1"/>
      <dgm:spPr/>
      <dgm:t>
        <a:bodyPr/>
        <a:lstStyle/>
        <a:p>
          <a:endParaRPr lang="en-US"/>
        </a:p>
      </dgm:t>
    </dgm:pt>
    <dgm:pt modelId="{A42E0C67-C4F9-461F-BC61-6F063AD06DB0}">
      <dgm:prSet phldrT="[Text]" custT="1"/>
      <dgm:spPr/>
      <dgm:t>
        <a:bodyPr/>
        <a:lstStyle/>
        <a:p>
          <a:pPr algn="ctr"/>
          <a:r>
            <a:rPr lang="en-GB" sz="1200" b="1">
              <a:latin typeface="Times New Roman" panose="02020603050405020304" pitchFamily="18" charset="0"/>
              <a:cs typeface="Times New Roman" panose="02020603050405020304" pitchFamily="18" charset="0"/>
            </a:rPr>
            <a:t>Urban Green Infrastructure and Community Well-being</a:t>
          </a:r>
          <a:endParaRPr lang="en-US" sz="1200">
            <a:latin typeface="Times New Roman" panose="02020603050405020304" pitchFamily="18" charset="0"/>
            <a:cs typeface="Times New Roman" panose="02020603050405020304" pitchFamily="18" charset="0"/>
          </a:endParaRPr>
        </a:p>
      </dgm:t>
    </dgm:pt>
    <dgm:pt modelId="{22CC8DA3-455D-4635-82C3-AF4D94C9D2DE}" type="parTrans" cxnId="{78AC4E7E-AB5D-4C08-BF6F-FF8A160FB19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2C750CF-210A-43DD-8496-807B6A6BA981}" type="sibTrans" cxnId="{78AC4E7E-AB5D-4C08-BF6F-FF8A160FB19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9970EE3-BFE7-4711-AC02-AEA24A91495F}">
      <dgm:prSet phldrT="[Text]" custT="1"/>
      <dgm:spPr/>
      <dgm:t>
        <a:bodyPr/>
        <a:lstStyle/>
        <a:p>
          <a:pPr algn="ctr"/>
          <a:r>
            <a:rPr lang="en-GB" sz="1200" b="1">
              <a:latin typeface="Times New Roman" panose="02020603050405020304" pitchFamily="18" charset="0"/>
              <a:cs typeface="Times New Roman" panose="02020603050405020304" pitchFamily="18" charset="0"/>
            </a:rPr>
            <a:t>Physical Health and Active Living</a:t>
          </a:r>
          <a:endParaRPr lang="en-US" sz="1200">
            <a:latin typeface="Times New Roman" panose="02020603050405020304" pitchFamily="18" charset="0"/>
            <a:cs typeface="Times New Roman" panose="02020603050405020304" pitchFamily="18" charset="0"/>
          </a:endParaRPr>
        </a:p>
      </dgm:t>
    </dgm:pt>
    <dgm:pt modelId="{B9DFB552-9AEE-4973-B31D-9841A9A99126}" type="parTrans" cxnId="{57174550-CC42-4AB1-B634-6E2E0BB14C5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F79559D-115F-49F9-8260-FBAC7AAE66E8}" type="sibTrans" cxnId="{57174550-CC42-4AB1-B634-6E2E0BB14C5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FDCD1E5-D359-4F3A-9EC4-18EE43493239}">
      <dgm:prSet phldrT="[Text]" custT="1"/>
      <dgm:spPr/>
      <dgm:t>
        <a:bodyPr/>
        <a:lstStyle/>
        <a:p>
          <a:pPr algn="ctr"/>
          <a:r>
            <a:rPr lang="en-GB" sz="1200" b="1">
              <a:latin typeface="Times New Roman" panose="02020603050405020304" pitchFamily="18" charset="0"/>
              <a:cs typeface="Times New Roman" panose="02020603050405020304" pitchFamily="18" charset="0"/>
            </a:rPr>
            <a:t>Mental Health and Psychological Restoration</a:t>
          </a:r>
          <a:endParaRPr lang="en-US" sz="1200">
            <a:latin typeface="Times New Roman" panose="02020603050405020304" pitchFamily="18" charset="0"/>
            <a:cs typeface="Times New Roman" panose="02020603050405020304" pitchFamily="18" charset="0"/>
          </a:endParaRPr>
        </a:p>
      </dgm:t>
    </dgm:pt>
    <dgm:pt modelId="{3DF46C8A-D668-46C1-BF79-69E0EA170C74}" type="parTrans" cxnId="{5D94435D-9775-4EDD-8B1C-75F905C921D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2294911-1B6F-43D2-B765-4520541542BB}" type="sibTrans" cxnId="{5D94435D-9775-4EDD-8B1C-75F905C921D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9F1D1B6-A5C8-4156-823E-418868EECFF9}">
      <dgm:prSet phldrT="[Text]" custT="1"/>
      <dgm:spPr/>
      <dgm:t>
        <a:bodyPr/>
        <a:lstStyle/>
        <a:p>
          <a:pPr algn="ctr"/>
          <a:r>
            <a:rPr lang="en-GB" sz="1200" b="1">
              <a:latin typeface="Times New Roman" panose="02020603050405020304" pitchFamily="18" charset="0"/>
              <a:cs typeface="Times New Roman" panose="02020603050405020304" pitchFamily="18" charset="0"/>
            </a:rPr>
            <a:t>Social Cohesion and Community Interaction</a:t>
          </a:r>
          <a:endParaRPr lang="en-US" sz="1200">
            <a:latin typeface="Times New Roman" panose="02020603050405020304" pitchFamily="18" charset="0"/>
            <a:cs typeface="Times New Roman" panose="02020603050405020304" pitchFamily="18" charset="0"/>
          </a:endParaRPr>
        </a:p>
      </dgm:t>
    </dgm:pt>
    <dgm:pt modelId="{955EB2A7-9358-4D14-8E54-C83D5E7848C1}" type="parTrans" cxnId="{C9B27F6B-21A5-45BC-ACAF-518FF23C4DD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8641A1-A748-41F4-B9B6-590317B1D792}" type="sibTrans" cxnId="{C9B27F6B-21A5-45BC-ACAF-518FF23C4DD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76540F8-1E5E-492F-87E6-44EC98B09BDE}">
      <dgm:prSet phldrT="[Text]" custT="1"/>
      <dgm:spPr/>
      <dgm:t>
        <a:bodyPr/>
        <a:lstStyle/>
        <a:p>
          <a:pPr algn="ctr"/>
          <a:r>
            <a:rPr lang="en-GB" sz="1200" b="1">
              <a:latin typeface="Times New Roman" panose="02020603050405020304" pitchFamily="18" charset="0"/>
              <a:cs typeface="Times New Roman" panose="02020603050405020304" pitchFamily="18" charset="0"/>
            </a:rPr>
            <a:t>Cultural and Aesthetic Value</a:t>
          </a:r>
          <a:endParaRPr lang="en-US" sz="1200">
            <a:latin typeface="Times New Roman" panose="02020603050405020304" pitchFamily="18" charset="0"/>
            <a:cs typeface="Times New Roman" panose="02020603050405020304" pitchFamily="18" charset="0"/>
          </a:endParaRPr>
        </a:p>
      </dgm:t>
    </dgm:pt>
    <dgm:pt modelId="{3BD89938-BE60-4FB3-AA28-CF69A9A5072D}" type="parTrans" cxnId="{6A7606E3-8AF7-4E8E-921F-C1A281BBAE7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9B6F971-8D26-46F9-A60F-5FD1A6482BC1}" type="sibTrans" cxnId="{6A7606E3-8AF7-4E8E-921F-C1A281BBAE7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87CCD4-07E5-46AD-8A59-0D0F8AECC709}">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D18F51A5-AD32-4EE2-8C13-41B0CC7D75E1}" type="parTrans" cxnId="{E3E4131E-CE5C-409B-8EAA-305ECA93D9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EE3F780-42E9-4FEB-B648-522231445249}" type="sibTrans" cxnId="{E3E4131E-CE5C-409B-8EAA-305ECA93D9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89E4C98-2549-4E40-9540-B498EB88C9E7}">
      <dgm:prSet custT="1"/>
      <dgm:spPr/>
      <dgm:t>
        <a:bodyPr/>
        <a:lstStyle/>
        <a:p>
          <a:pPr algn="ctr"/>
          <a:r>
            <a:rPr lang="en-GB" sz="1200" b="1">
              <a:latin typeface="Times New Roman" panose="02020603050405020304" pitchFamily="18" charset="0"/>
              <a:cs typeface="Times New Roman" panose="02020603050405020304" pitchFamily="18" charset="0"/>
            </a:rPr>
            <a:t>Climate Resilience and Environmental Justice</a:t>
          </a:r>
          <a:endParaRPr lang="en-US" sz="1200">
            <a:latin typeface="Times New Roman" panose="02020603050405020304" pitchFamily="18" charset="0"/>
            <a:cs typeface="Times New Roman" panose="02020603050405020304" pitchFamily="18" charset="0"/>
          </a:endParaRPr>
        </a:p>
      </dgm:t>
    </dgm:pt>
    <dgm:pt modelId="{6EBD87B5-09CE-4033-9FF9-3D239A45687D}" type="parTrans" cxnId="{B456B9B4-2FFF-4F7B-82AC-F2770F12A4C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7FF93BA-F3A7-4DDA-89D8-0B14C4FC7EC0}" type="sibTrans" cxnId="{B456B9B4-2FFF-4F7B-82AC-F2770F12A4C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336E13D-DDC7-4126-BEE3-D90DAE8540F9}" type="pres">
      <dgm:prSet presAssocID="{B0D3E6C1-839C-4E2B-9174-2D16DC2B61F4}" presName="Name0" presStyleCnt="0">
        <dgm:presLayoutVars>
          <dgm:chMax val="1"/>
          <dgm:dir/>
          <dgm:animLvl val="ctr"/>
          <dgm:resizeHandles val="exact"/>
        </dgm:presLayoutVars>
      </dgm:prSet>
      <dgm:spPr/>
      <dgm:t>
        <a:bodyPr/>
        <a:lstStyle/>
        <a:p>
          <a:endParaRPr lang="en-US"/>
        </a:p>
      </dgm:t>
    </dgm:pt>
    <dgm:pt modelId="{F7B05B75-F583-45B7-87A0-950C492DA0DC}" type="pres">
      <dgm:prSet presAssocID="{A42E0C67-C4F9-461F-BC61-6F063AD06DB0}" presName="centerShape" presStyleLbl="node0" presStyleIdx="0" presStyleCnt="1"/>
      <dgm:spPr/>
      <dgm:t>
        <a:bodyPr/>
        <a:lstStyle/>
        <a:p>
          <a:endParaRPr lang="en-US"/>
        </a:p>
      </dgm:t>
    </dgm:pt>
    <dgm:pt modelId="{2B0D06B0-7261-4ABC-A984-2B790A2A06E0}" type="pres">
      <dgm:prSet presAssocID="{29970EE3-BFE7-4711-AC02-AEA24A91495F}" presName="node" presStyleLbl="node1" presStyleIdx="0" presStyleCnt="5">
        <dgm:presLayoutVars>
          <dgm:bulletEnabled val="1"/>
        </dgm:presLayoutVars>
      </dgm:prSet>
      <dgm:spPr/>
      <dgm:t>
        <a:bodyPr/>
        <a:lstStyle/>
        <a:p>
          <a:endParaRPr lang="en-US"/>
        </a:p>
      </dgm:t>
    </dgm:pt>
    <dgm:pt modelId="{58A8222D-76B8-485B-868E-FE375C82D7BD}" type="pres">
      <dgm:prSet presAssocID="{29970EE3-BFE7-4711-AC02-AEA24A91495F}" presName="dummy" presStyleCnt="0"/>
      <dgm:spPr/>
    </dgm:pt>
    <dgm:pt modelId="{85661CF9-33F9-4096-A59B-F4FA3A6C2115}" type="pres">
      <dgm:prSet presAssocID="{5F79559D-115F-49F9-8260-FBAC7AAE66E8}" presName="sibTrans" presStyleLbl="sibTrans2D1" presStyleIdx="0" presStyleCnt="5"/>
      <dgm:spPr/>
      <dgm:t>
        <a:bodyPr/>
        <a:lstStyle/>
        <a:p>
          <a:endParaRPr lang="en-US"/>
        </a:p>
      </dgm:t>
    </dgm:pt>
    <dgm:pt modelId="{A1A3AFAB-F848-45E3-8C65-10E7997ABA36}" type="pres">
      <dgm:prSet presAssocID="{9FDCD1E5-D359-4F3A-9EC4-18EE43493239}" presName="node" presStyleLbl="node1" presStyleIdx="1" presStyleCnt="5">
        <dgm:presLayoutVars>
          <dgm:bulletEnabled val="1"/>
        </dgm:presLayoutVars>
      </dgm:prSet>
      <dgm:spPr/>
      <dgm:t>
        <a:bodyPr/>
        <a:lstStyle/>
        <a:p>
          <a:endParaRPr lang="en-US"/>
        </a:p>
      </dgm:t>
    </dgm:pt>
    <dgm:pt modelId="{F0DF9F55-FEB5-4146-BB20-AB1DC962A101}" type="pres">
      <dgm:prSet presAssocID="{9FDCD1E5-D359-4F3A-9EC4-18EE43493239}" presName="dummy" presStyleCnt="0"/>
      <dgm:spPr/>
    </dgm:pt>
    <dgm:pt modelId="{097B5B1D-2611-4FEB-9F2E-868DBE6F094E}" type="pres">
      <dgm:prSet presAssocID="{E2294911-1B6F-43D2-B765-4520541542BB}" presName="sibTrans" presStyleLbl="sibTrans2D1" presStyleIdx="1" presStyleCnt="5"/>
      <dgm:spPr/>
      <dgm:t>
        <a:bodyPr/>
        <a:lstStyle/>
        <a:p>
          <a:endParaRPr lang="en-US"/>
        </a:p>
      </dgm:t>
    </dgm:pt>
    <dgm:pt modelId="{640B9AF0-1FAF-47E2-87BE-4404AF73D844}" type="pres">
      <dgm:prSet presAssocID="{A9F1D1B6-A5C8-4156-823E-418868EECFF9}" presName="node" presStyleLbl="node1" presStyleIdx="2" presStyleCnt="5">
        <dgm:presLayoutVars>
          <dgm:bulletEnabled val="1"/>
        </dgm:presLayoutVars>
      </dgm:prSet>
      <dgm:spPr/>
      <dgm:t>
        <a:bodyPr/>
        <a:lstStyle/>
        <a:p>
          <a:endParaRPr lang="en-US"/>
        </a:p>
      </dgm:t>
    </dgm:pt>
    <dgm:pt modelId="{BF2E5CF0-56D5-41B5-9173-9150AE0F6977}" type="pres">
      <dgm:prSet presAssocID="{A9F1D1B6-A5C8-4156-823E-418868EECFF9}" presName="dummy" presStyleCnt="0"/>
      <dgm:spPr/>
    </dgm:pt>
    <dgm:pt modelId="{C7AB9B0E-8A02-4E0F-99B7-EDFCB0D35488}" type="pres">
      <dgm:prSet presAssocID="{D28641A1-A748-41F4-B9B6-590317B1D792}" presName="sibTrans" presStyleLbl="sibTrans2D1" presStyleIdx="2" presStyleCnt="5"/>
      <dgm:spPr/>
      <dgm:t>
        <a:bodyPr/>
        <a:lstStyle/>
        <a:p>
          <a:endParaRPr lang="en-US"/>
        </a:p>
      </dgm:t>
    </dgm:pt>
    <dgm:pt modelId="{2942B26C-A2F4-4FD3-B819-69F890F9C4E4}" type="pres">
      <dgm:prSet presAssocID="{276540F8-1E5E-492F-87E6-44EC98B09BDE}" presName="node" presStyleLbl="node1" presStyleIdx="3" presStyleCnt="5">
        <dgm:presLayoutVars>
          <dgm:bulletEnabled val="1"/>
        </dgm:presLayoutVars>
      </dgm:prSet>
      <dgm:spPr/>
      <dgm:t>
        <a:bodyPr/>
        <a:lstStyle/>
        <a:p>
          <a:endParaRPr lang="en-US"/>
        </a:p>
      </dgm:t>
    </dgm:pt>
    <dgm:pt modelId="{42506A20-470D-4285-B9BD-4562AC8FC782}" type="pres">
      <dgm:prSet presAssocID="{276540F8-1E5E-492F-87E6-44EC98B09BDE}" presName="dummy" presStyleCnt="0"/>
      <dgm:spPr/>
    </dgm:pt>
    <dgm:pt modelId="{A974010E-0BED-4B4A-B006-B979E6E0D4C9}" type="pres">
      <dgm:prSet presAssocID="{19B6F971-8D26-46F9-A60F-5FD1A6482BC1}" presName="sibTrans" presStyleLbl="sibTrans2D1" presStyleIdx="3" presStyleCnt="5"/>
      <dgm:spPr/>
      <dgm:t>
        <a:bodyPr/>
        <a:lstStyle/>
        <a:p>
          <a:endParaRPr lang="en-US"/>
        </a:p>
      </dgm:t>
    </dgm:pt>
    <dgm:pt modelId="{CB9114F7-64DC-4A0C-BD44-68CE4889AB3D}" type="pres">
      <dgm:prSet presAssocID="{489E4C98-2549-4E40-9540-B498EB88C9E7}" presName="node" presStyleLbl="node1" presStyleIdx="4" presStyleCnt="5">
        <dgm:presLayoutVars>
          <dgm:bulletEnabled val="1"/>
        </dgm:presLayoutVars>
      </dgm:prSet>
      <dgm:spPr/>
      <dgm:t>
        <a:bodyPr/>
        <a:lstStyle/>
        <a:p>
          <a:endParaRPr lang="en-US"/>
        </a:p>
      </dgm:t>
    </dgm:pt>
    <dgm:pt modelId="{91470BCD-2EE1-42E8-B4E5-0A027369D0A8}" type="pres">
      <dgm:prSet presAssocID="{489E4C98-2549-4E40-9540-B498EB88C9E7}" presName="dummy" presStyleCnt="0"/>
      <dgm:spPr/>
    </dgm:pt>
    <dgm:pt modelId="{2E12A29D-723D-4BD0-9C31-13A51F5797EC}" type="pres">
      <dgm:prSet presAssocID="{57FF93BA-F3A7-4DDA-89D8-0B14C4FC7EC0}" presName="sibTrans" presStyleLbl="sibTrans2D1" presStyleIdx="4" presStyleCnt="5"/>
      <dgm:spPr/>
      <dgm:t>
        <a:bodyPr/>
        <a:lstStyle/>
        <a:p>
          <a:endParaRPr lang="en-US"/>
        </a:p>
      </dgm:t>
    </dgm:pt>
  </dgm:ptLst>
  <dgm:cxnLst>
    <dgm:cxn modelId="{B456B9B4-2FFF-4F7B-82AC-F2770F12A4CC}" srcId="{A42E0C67-C4F9-461F-BC61-6F063AD06DB0}" destId="{489E4C98-2549-4E40-9540-B498EB88C9E7}" srcOrd="4" destOrd="0" parTransId="{6EBD87B5-09CE-4033-9FF9-3D239A45687D}" sibTransId="{57FF93BA-F3A7-4DDA-89D8-0B14C4FC7EC0}"/>
    <dgm:cxn modelId="{C127C84C-B44E-4A58-8674-230863C8E34B}" type="presOf" srcId="{19B6F971-8D26-46F9-A60F-5FD1A6482BC1}" destId="{A974010E-0BED-4B4A-B006-B979E6E0D4C9}" srcOrd="0" destOrd="0" presId="urn:microsoft.com/office/officeart/2005/8/layout/radial6"/>
    <dgm:cxn modelId="{6A7606E3-8AF7-4E8E-921F-C1A281BBAE7C}" srcId="{A42E0C67-C4F9-461F-BC61-6F063AD06DB0}" destId="{276540F8-1E5E-492F-87E6-44EC98B09BDE}" srcOrd="3" destOrd="0" parTransId="{3BD89938-BE60-4FB3-AA28-CF69A9A5072D}" sibTransId="{19B6F971-8D26-46F9-A60F-5FD1A6482BC1}"/>
    <dgm:cxn modelId="{81F7E14D-261B-4EBD-BD3F-006403AFA930}" type="presOf" srcId="{276540F8-1E5E-492F-87E6-44EC98B09BDE}" destId="{2942B26C-A2F4-4FD3-B819-69F890F9C4E4}" srcOrd="0" destOrd="0" presId="urn:microsoft.com/office/officeart/2005/8/layout/radial6"/>
    <dgm:cxn modelId="{36D194D2-D4CE-4FE8-9635-4780F45020A4}" type="presOf" srcId="{E2294911-1B6F-43D2-B765-4520541542BB}" destId="{097B5B1D-2611-4FEB-9F2E-868DBE6F094E}" srcOrd="0" destOrd="0" presId="urn:microsoft.com/office/officeart/2005/8/layout/radial6"/>
    <dgm:cxn modelId="{5D94435D-9775-4EDD-8B1C-75F905C921DE}" srcId="{A42E0C67-C4F9-461F-BC61-6F063AD06DB0}" destId="{9FDCD1E5-D359-4F3A-9EC4-18EE43493239}" srcOrd="1" destOrd="0" parTransId="{3DF46C8A-D668-46C1-BF79-69E0EA170C74}" sibTransId="{E2294911-1B6F-43D2-B765-4520541542BB}"/>
    <dgm:cxn modelId="{57174550-CC42-4AB1-B634-6E2E0BB14C50}" srcId="{A42E0C67-C4F9-461F-BC61-6F063AD06DB0}" destId="{29970EE3-BFE7-4711-AC02-AEA24A91495F}" srcOrd="0" destOrd="0" parTransId="{B9DFB552-9AEE-4973-B31D-9841A9A99126}" sibTransId="{5F79559D-115F-49F9-8260-FBAC7AAE66E8}"/>
    <dgm:cxn modelId="{C02FCFC6-057B-4118-9F64-EE7CB70057F0}" type="presOf" srcId="{A42E0C67-C4F9-461F-BC61-6F063AD06DB0}" destId="{F7B05B75-F583-45B7-87A0-950C492DA0DC}" srcOrd="0" destOrd="0" presId="urn:microsoft.com/office/officeart/2005/8/layout/radial6"/>
    <dgm:cxn modelId="{54601003-ADCB-4370-8C78-0D5CE90AC052}" type="presOf" srcId="{A9F1D1B6-A5C8-4156-823E-418868EECFF9}" destId="{640B9AF0-1FAF-47E2-87BE-4404AF73D844}" srcOrd="0" destOrd="0" presId="urn:microsoft.com/office/officeart/2005/8/layout/radial6"/>
    <dgm:cxn modelId="{C3F981A4-0A26-416B-A73D-E49C9A6C4BEB}" type="presOf" srcId="{D28641A1-A748-41F4-B9B6-590317B1D792}" destId="{C7AB9B0E-8A02-4E0F-99B7-EDFCB0D35488}" srcOrd="0" destOrd="0" presId="urn:microsoft.com/office/officeart/2005/8/layout/radial6"/>
    <dgm:cxn modelId="{C9B27F6B-21A5-45BC-ACAF-518FF23C4DDD}" srcId="{A42E0C67-C4F9-461F-BC61-6F063AD06DB0}" destId="{A9F1D1B6-A5C8-4156-823E-418868EECFF9}" srcOrd="2" destOrd="0" parTransId="{955EB2A7-9358-4D14-8E54-C83D5E7848C1}" sibTransId="{D28641A1-A748-41F4-B9B6-590317B1D792}"/>
    <dgm:cxn modelId="{E3E4131E-CE5C-409B-8EAA-305ECA93D9C3}" srcId="{276540F8-1E5E-492F-87E6-44EC98B09BDE}" destId="{3487CCD4-07E5-46AD-8A59-0D0F8AECC709}" srcOrd="0" destOrd="0" parTransId="{D18F51A5-AD32-4EE2-8C13-41B0CC7D75E1}" sibTransId="{EEE3F780-42E9-4FEB-B648-522231445249}"/>
    <dgm:cxn modelId="{DEC181DD-04D6-4184-ABBB-D9E30763A7DF}" type="presOf" srcId="{B0D3E6C1-839C-4E2B-9174-2D16DC2B61F4}" destId="{B336E13D-DDC7-4126-BEE3-D90DAE8540F9}" srcOrd="0" destOrd="0" presId="urn:microsoft.com/office/officeart/2005/8/layout/radial6"/>
    <dgm:cxn modelId="{3BCD4704-EAB0-443B-BBE1-721965E52D03}" type="presOf" srcId="{5F79559D-115F-49F9-8260-FBAC7AAE66E8}" destId="{85661CF9-33F9-4096-A59B-F4FA3A6C2115}" srcOrd="0" destOrd="0" presId="urn:microsoft.com/office/officeart/2005/8/layout/radial6"/>
    <dgm:cxn modelId="{88EF9D36-A49A-442B-80EF-E958ABE7B024}" type="presOf" srcId="{9FDCD1E5-D359-4F3A-9EC4-18EE43493239}" destId="{A1A3AFAB-F848-45E3-8C65-10E7997ABA36}" srcOrd="0" destOrd="0" presId="urn:microsoft.com/office/officeart/2005/8/layout/radial6"/>
    <dgm:cxn modelId="{CC199F28-7672-4F1F-B5DD-586F5A708AF5}" type="presOf" srcId="{3487CCD4-07E5-46AD-8A59-0D0F8AECC709}" destId="{2942B26C-A2F4-4FD3-B819-69F890F9C4E4}" srcOrd="0" destOrd="1" presId="urn:microsoft.com/office/officeart/2005/8/layout/radial6"/>
    <dgm:cxn modelId="{67E09DC3-1B14-4FE5-A5B8-319C41309CB4}" type="presOf" srcId="{57FF93BA-F3A7-4DDA-89D8-0B14C4FC7EC0}" destId="{2E12A29D-723D-4BD0-9C31-13A51F5797EC}" srcOrd="0" destOrd="0" presId="urn:microsoft.com/office/officeart/2005/8/layout/radial6"/>
    <dgm:cxn modelId="{295D2B26-7FCD-4563-8E08-E1374A239BA3}" type="presOf" srcId="{489E4C98-2549-4E40-9540-B498EB88C9E7}" destId="{CB9114F7-64DC-4A0C-BD44-68CE4889AB3D}" srcOrd="0" destOrd="0" presId="urn:microsoft.com/office/officeart/2005/8/layout/radial6"/>
    <dgm:cxn modelId="{6A4C9C7C-B127-4D99-933A-E5275DB1B912}" type="presOf" srcId="{29970EE3-BFE7-4711-AC02-AEA24A91495F}" destId="{2B0D06B0-7261-4ABC-A984-2B790A2A06E0}" srcOrd="0" destOrd="0" presId="urn:microsoft.com/office/officeart/2005/8/layout/radial6"/>
    <dgm:cxn modelId="{78AC4E7E-AB5D-4C08-BF6F-FF8A160FB196}" srcId="{B0D3E6C1-839C-4E2B-9174-2D16DC2B61F4}" destId="{A42E0C67-C4F9-461F-BC61-6F063AD06DB0}" srcOrd="0" destOrd="0" parTransId="{22CC8DA3-455D-4635-82C3-AF4D94C9D2DE}" sibTransId="{42C750CF-210A-43DD-8496-807B6A6BA981}"/>
    <dgm:cxn modelId="{3535926D-3F32-47A9-B02A-92259A3C31B9}" type="presParOf" srcId="{B336E13D-DDC7-4126-BEE3-D90DAE8540F9}" destId="{F7B05B75-F583-45B7-87A0-950C492DA0DC}" srcOrd="0" destOrd="0" presId="urn:microsoft.com/office/officeart/2005/8/layout/radial6"/>
    <dgm:cxn modelId="{B5F531A9-4CF1-49C7-B194-AAF3176C0569}" type="presParOf" srcId="{B336E13D-DDC7-4126-BEE3-D90DAE8540F9}" destId="{2B0D06B0-7261-4ABC-A984-2B790A2A06E0}" srcOrd="1" destOrd="0" presId="urn:microsoft.com/office/officeart/2005/8/layout/radial6"/>
    <dgm:cxn modelId="{4A0F2193-E2AC-4EEF-AC84-2A778C262A32}" type="presParOf" srcId="{B336E13D-DDC7-4126-BEE3-D90DAE8540F9}" destId="{58A8222D-76B8-485B-868E-FE375C82D7BD}" srcOrd="2" destOrd="0" presId="urn:microsoft.com/office/officeart/2005/8/layout/radial6"/>
    <dgm:cxn modelId="{BAB4EE67-F187-461C-A8BF-CE562CD2942F}" type="presParOf" srcId="{B336E13D-DDC7-4126-BEE3-D90DAE8540F9}" destId="{85661CF9-33F9-4096-A59B-F4FA3A6C2115}" srcOrd="3" destOrd="0" presId="urn:microsoft.com/office/officeart/2005/8/layout/radial6"/>
    <dgm:cxn modelId="{06F5F4E4-829E-4C02-AF7F-56212BD29992}" type="presParOf" srcId="{B336E13D-DDC7-4126-BEE3-D90DAE8540F9}" destId="{A1A3AFAB-F848-45E3-8C65-10E7997ABA36}" srcOrd="4" destOrd="0" presId="urn:microsoft.com/office/officeart/2005/8/layout/radial6"/>
    <dgm:cxn modelId="{217A00D9-2AD9-4131-975E-8B0FE2C1CC20}" type="presParOf" srcId="{B336E13D-DDC7-4126-BEE3-D90DAE8540F9}" destId="{F0DF9F55-FEB5-4146-BB20-AB1DC962A101}" srcOrd="5" destOrd="0" presId="urn:microsoft.com/office/officeart/2005/8/layout/radial6"/>
    <dgm:cxn modelId="{101CE634-9586-4FD4-A689-A2E00F21B766}" type="presParOf" srcId="{B336E13D-DDC7-4126-BEE3-D90DAE8540F9}" destId="{097B5B1D-2611-4FEB-9F2E-868DBE6F094E}" srcOrd="6" destOrd="0" presId="urn:microsoft.com/office/officeart/2005/8/layout/radial6"/>
    <dgm:cxn modelId="{C7D8A0B1-FB2A-4B98-8EF3-F66831AC6E54}" type="presParOf" srcId="{B336E13D-DDC7-4126-BEE3-D90DAE8540F9}" destId="{640B9AF0-1FAF-47E2-87BE-4404AF73D844}" srcOrd="7" destOrd="0" presId="urn:microsoft.com/office/officeart/2005/8/layout/radial6"/>
    <dgm:cxn modelId="{48608400-F8D6-4749-A035-E6DD56081801}" type="presParOf" srcId="{B336E13D-DDC7-4126-BEE3-D90DAE8540F9}" destId="{BF2E5CF0-56D5-41B5-9173-9150AE0F6977}" srcOrd="8" destOrd="0" presId="urn:microsoft.com/office/officeart/2005/8/layout/radial6"/>
    <dgm:cxn modelId="{1ED73D3A-7311-489E-BA71-5BE71BB1B250}" type="presParOf" srcId="{B336E13D-DDC7-4126-BEE3-D90DAE8540F9}" destId="{C7AB9B0E-8A02-4E0F-99B7-EDFCB0D35488}" srcOrd="9" destOrd="0" presId="urn:microsoft.com/office/officeart/2005/8/layout/radial6"/>
    <dgm:cxn modelId="{64B81B21-C140-4EE1-8655-8233367576A6}" type="presParOf" srcId="{B336E13D-DDC7-4126-BEE3-D90DAE8540F9}" destId="{2942B26C-A2F4-4FD3-B819-69F890F9C4E4}" srcOrd="10" destOrd="0" presId="urn:microsoft.com/office/officeart/2005/8/layout/radial6"/>
    <dgm:cxn modelId="{757DCC0F-E904-4BE1-A368-2D83B9194DD6}" type="presParOf" srcId="{B336E13D-DDC7-4126-BEE3-D90DAE8540F9}" destId="{42506A20-470D-4285-B9BD-4562AC8FC782}" srcOrd="11" destOrd="0" presId="urn:microsoft.com/office/officeart/2005/8/layout/radial6"/>
    <dgm:cxn modelId="{7B49E62D-DE0A-4DA6-B624-D023C065B4B9}" type="presParOf" srcId="{B336E13D-DDC7-4126-BEE3-D90DAE8540F9}" destId="{A974010E-0BED-4B4A-B006-B979E6E0D4C9}" srcOrd="12" destOrd="0" presId="urn:microsoft.com/office/officeart/2005/8/layout/radial6"/>
    <dgm:cxn modelId="{457135A8-EFBE-43F2-9E55-4B7A25112E62}" type="presParOf" srcId="{B336E13D-DDC7-4126-BEE3-D90DAE8540F9}" destId="{CB9114F7-64DC-4A0C-BD44-68CE4889AB3D}" srcOrd="13" destOrd="0" presId="urn:microsoft.com/office/officeart/2005/8/layout/radial6"/>
    <dgm:cxn modelId="{184A2D91-60A7-4C3C-841A-E4DF3F85A754}" type="presParOf" srcId="{B336E13D-DDC7-4126-BEE3-D90DAE8540F9}" destId="{91470BCD-2EE1-42E8-B4E5-0A027369D0A8}" srcOrd="14" destOrd="0" presId="urn:microsoft.com/office/officeart/2005/8/layout/radial6"/>
    <dgm:cxn modelId="{06139FE8-7C3C-4431-A90D-2B0E2A9DFCE3}" type="presParOf" srcId="{B336E13D-DDC7-4126-BEE3-D90DAE8540F9}" destId="{2E12A29D-723D-4BD0-9C31-13A51F5797EC}" srcOrd="15"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A0AF5F-9180-4843-B6AB-9C03222730CF}" type="doc">
      <dgm:prSet loTypeId="urn:microsoft.com/office/officeart/2005/8/layout/process2" loCatId="process" qsTypeId="urn:microsoft.com/office/officeart/2005/8/quickstyle/simple1" qsCatId="simple" csTypeId="urn:microsoft.com/office/officeart/2005/8/colors/accent0_3" csCatId="mainScheme" phldr="1"/>
      <dgm:spPr/>
    </dgm:pt>
    <dgm:pt modelId="{5B0BBE28-8C12-4CDC-9543-36FD582EFCC3}">
      <dgm:prSet phldrT="[Text]" custT="1"/>
      <dgm:spPr/>
      <dgm:t>
        <a:bodyPr/>
        <a:lstStyle/>
        <a:p>
          <a:r>
            <a:rPr lang="en-US" sz="1200" b="1" i="1" u="sng">
              <a:latin typeface="Times New Roman" panose="02020603050405020304" pitchFamily="18" charset="0"/>
              <a:cs typeface="Times New Roman" panose="02020603050405020304" pitchFamily="18" charset="0"/>
            </a:rPr>
            <a:t>Identification</a:t>
          </a:r>
        </a:p>
        <a:p>
          <a:r>
            <a:rPr lang="en-US" sz="1200">
              <a:latin typeface="Times New Roman" panose="02020603050405020304" pitchFamily="18" charset="0"/>
              <a:cs typeface="Times New Roman" panose="02020603050405020304" pitchFamily="18" charset="0"/>
            </a:rPr>
            <a:t>Records identified from:</a:t>
          </a:r>
        </a:p>
        <a:p>
          <a:r>
            <a:rPr lang="en-US" sz="1200">
              <a:latin typeface="Times New Roman" panose="02020603050405020304" pitchFamily="18" charset="0"/>
              <a:cs typeface="Times New Roman" panose="02020603050405020304" pitchFamily="18" charset="0"/>
            </a:rPr>
            <a:t>Database (n= 380)</a:t>
          </a:r>
        </a:p>
        <a:p>
          <a:r>
            <a:rPr lang="en-US" sz="1200">
              <a:latin typeface="Times New Roman" panose="02020603050405020304" pitchFamily="18" charset="0"/>
              <a:cs typeface="Times New Roman" panose="02020603050405020304" pitchFamily="18" charset="0"/>
            </a:rPr>
            <a:t>Grey Literature (n= 47)</a:t>
          </a:r>
        </a:p>
        <a:p>
          <a:r>
            <a:rPr lang="en-US" sz="1200">
              <a:latin typeface="Times New Roman" panose="02020603050405020304" pitchFamily="18" charset="0"/>
              <a:cs typeface="Times New Roman" panose="02020603050405020304" pitchFamily="18" charset="0"/>
            </a:rPr>
            <a:t>Duplicate records removed (n= 420)</a:t>
          </a:r>
        </a:p>
      </dgm:t>
    </dgm:pt>
    <dgm:pt modelId="{DFC3AF68-BDB1-4F64-941E-56E45576D14F}" type="parTrans" cxnId="{8C2423DF-3F73-442C-A1C9-6F32EEA39656}">
      <dgm:prSet/>
      <dgm:spPr/>
      <dgm:t>
        <a:bodyPr/>
        <a:lstStyle/>
        <a:p>
          <a:endParaRPr lang="en-US" sz="1200">
            <a:latin typeface="Times New Roman" panose="02020603050405020304" pitchFamily="18" charset="0"/>
            <a:cs typeface="Times New Roman" panose="02020603050405020304" pitchFamily="18" charset="0"/>
          </a:endParaRPr>
        </a:p>
      </dgm:t>
    </dgm:pt>
    <dgm:pt modelId="{70470196-49D7-45AF-8D91-6858E92A83D8}" type="sibTrans" cxnId="{8C2423DF-3F73-442C-A1C9-6F32EEA39656}">
      <dgm:prSet custT="1"/>
      <dgm:spPr/>
      <dgm:t>
        <a:bodyPr/>
        <a:lstStyle/>
        <a:p>
          <a:endParaRPr lang="en-US" sz="1200">
            <a:latin typeface="Times New Roman" panose="02020603050405020304" pitchFamily="18" charset="0"/>
            <a:cs typeface="Times New Roman" panose="02020603050405020304" pitchFamily="18" charset="0"/>
          </a:endParaRPr>
        </a:p>
      </dgm:t>
    </dgm:pt>
    <dgm:pt modelId="{84D8D3F5-DBC7-4023-882E-3B21EA74D4FD}">
      <dgm:prSet phldrT="[Text]" custT="1"/>
      <dgm:spPr/>
      <dgm:t>
        <a:bodyPr/>
        <a:lstStyle/>
        <a:p>
          <a:r>
            <a:rPr lang="en-US" sz="1200" b="1" i="1" u="sng">
              <a:latin typeface="Times New Roman" panose="02020603050405020304" pitchFamily="18" charset="0"/>
              <a:cs typeface="Times New Roman" panose="02020603050405020304" pitchFamily="18" charset="0"/>
            </a:rPr>
            <a:t>Screening</a:t>
          </a:r>
        </a:p>
        <a:p>
          <a:r>
            <a:rPr lang="en-US" sz="1200">
              <a:latin typeface="Times New Roman" panose="02020603050405020304" pitchFamily="18" charset="0"/>
              <a:cs typeface="Times New Roman" panose="02020603050405020304" pitchFamily="18" charset="0"/>
            </a:rPr>
            <a:t>Record screened (n= 320)</a:t>
          </a:r>
        </a:p>
        <a:p>
          <a:r>
            <a:rPr lang="en-US" sz="1200">
              <a:latin typeface="Times New Roman" panose="02020603050405020304" pitchFamily="18" charset="0"/>
              <a:cs typeface="Times New Roman" panose="02020603050405020304" pitchFamily="18" charset="0"/>
            </a:rPr>
            <a:t>Records excluded (n= 206)</a:t>
          </a:r>
        </a:p>
      </dgm:t>
    </dgm:pt>
    <dgm:pt modelId="{3259B2A7-BA25-478F-9C8B-CCB10D7DD7B8}" type="parTrans" cxnId="{D3381B1C-D074-4AB8-A56A-FCB983A3EEA4}">
      <dgm:prSet/>
      <dgm:spPr/>
      <dgm:t>
        <a:bodyPr/>
        <a:lstStyle/>
        <a:p>
          <a:endParaRPr lang="en-US" sz="1200">
            <a:latin typeface="Times New Roman" panose="02020603050405020304" pitchFamily="18" charset="0"/>
            <a:cs typeface="Times New Roman" panose="02020603050405020304" pitchFamily="18" charset="0"/>
          </a:endParaRPr>
        </a:p>
      </dgm:t>
    </dgm:pt>
    <dgm:pt modelId="{49818A0B-2719-409C-AB6A-407FD18310A5}" type="sibTrans" cxnId="{D3381B1C-D074-4AB8-A56A-FCB983A3EEA4}">
      <dgm:prSet custT="1"/>
      <dgm:spPr/>
      <dgm:t>
        <a:bodyPr/>
        <a:lstStyle/>
        <a:p>
          <a:endParaRPr lang="en-US" sz="1200">
            <a:latin typeface="Times New Roman" panose="02020603050405020304" pitchFamily="18" charset="0"/>
            <a:cs typeface="Times New Roman" panose="02020603050405020304" pitchFamily="18" charset="0"/>
          </a:endParaRPr>
        </a:p>
      </dgm:t>
    </dgm:pt>
    <dgm:pt modelId="{A4FB4D9F-9BB1-4BD6-BB35-3C4565C0FB24}">
      <dgm:prSet phldrT="[Text]" custT="1"/>
      <dgm:spPr/>
      <dgm:t>
        <a:bodyPr/>
        <a:lstStyle/>
        <a:p>
          <a:r>
            <a:rPr lang="en-US" sz="1200" b="1" i="1" u="sng">
              <a:latin typeface="Times New Roman" panose="02020603050405020304" pitchFamily="18" charset="0"/>
              <a:cs typeface="Times New Roman" panose="02020603050405020304" pitchFamily="18" charset="0"/>
            </a:rPr>
            <a:t>Eligibility</a:t>
          </a:r>
          <a:r>
            <a:rPr lang="en-US" sz="1200">
              <a:latin typeface="Times New Roman" panose="02020603050405020304" pitchFamily="18" charset="0"/>
              <a:cs typeface="Times New Roman" panose="02020603050405020304" pitchFamily="18" charset="0"/>
            </a:rPr>
            <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Reports assessed for eligibility (n= 120)</a:t>
          </a:r>
        </a:p>
        <a:p>
          <a:r>
            <a:rPr lang="en-US" sz="1200">
              <a:latin typeface="Times New Roman" panose="02020603050405020304" pitchFamily="18" charset="0"/>
              <a:cs typeface="Times New Roman" panose="02020603050405020304" pitchFamily="18" charset="0"/>
            </a:rPr>
            <a:t>Reports excluded: Irrelevant ooutcomes or focus (n= 53)</a:t>
          </a:r>
        </a:p>
      </dgm:t>
    </dgm:pt>
    <dgm:pt modelId="{62A3CC03-D163-4215-942D-491248E07FC4}" type="parTrans" cxnId="{BCF20D84-7412-458F-945E-4895388599BE}">
      <dgm:prSet/>
      <dgm:spPr/>
      <dgm:t>
        <a:bodyPr/>
        <a:lstStyle/>
        <a:p>
          <a:endParaRPr lang="en-US" sz="1200">
            <a:latin typeface="Times New Roman" panose="02020603050405020304" pitchFamily="18" charset="0"/>
            <a:cs typeface="Times New Roman" panose="02020603050405020304" pitchFamily="18" charset="0"/>
          </a:endParaRPr>
        </a:p>
      </dgm:t>
    </dgm:pt>
    <dgm:pt modelId="{75C47C2D-FCBB-4921-AB72-9580A84CC11F}" type="sibTrans" cxnId="{BCF20D84-7412-458F-945E-4895388599BE}">
      <dgm:prSet custT="1"/>
      <dgm:spPr/>
      <dgm:t>
        <a:bodyPr/>
        <a:lstStyle/>
        <a:p>
          <a:endParaRPr lang="en-US" sz="1200">
            <a:latin typeface="Times New Roman" panose="02020603050405020304" pitchFamily="18" charset="0"/>
            <a:cs typeface="Times New Roman" panose="02020603050405020304" pitchFamily="18" charset="0"/>
          </a:endParaRPr>
        </a:p>
      </dgm:t>
    </dgm:pt>
    <dgm:pt modelId="{77EA567D-A7ED-469F-B4CD-6C88583CFD1D}">
      <dgm:prSet custT="1"/>
      <dgm:spPr/>
      <dgm:t>
        <a:bodyPr/>
        <a:lstStyle/>
        <a:p>
          <a:r>
            <a:rPr lang="en-US" sz="1200" b="1" i="1" u="sng">
              <a:latin typeface="Times New Roman" panose="02020603050405020304" pitchFamily="18" charset="0"/>
              <a:cs typeface="Times New Roman" panose="02020603050405020304" pitchFamily="18" charset="0"/>
            </a:rPr>
            <a:t>Included</a:t>
          </a:r>
          <a:r>
            <a:rPr lang="en-US" sz="1200">
              <a:latin typeface="Times New Roman" panose="02020603050405020304" pitchFamily="18" charset="0"/>
              <a:cs typeface="Times New Roman" panose="02020603050405020304" pitchFamily="18" charset="0"/>
            </a:rPr>
            <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Stusies included in review (n= 67)</a:t>
          </a:r>
        </a:p>
      </dgm:t>
    </dgm:pt>
    <dgm:pt modelId="{5E7FE7F4-AFDE-4D49-8C62-0461CC44D937}" type="par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D389A569-A5E3-4E0C-A105-162406740F5C}" type="sibTrans" cxnId="{0185BFFB-3847-4378-860F-B1D7D83553C5}">
      <dgm:prSet/>
      <dgm:spPr/>
      <dgm:t>
        <a:bodyPr/>
        <a:lstStyle/>
        <a:p>
          <a:endParaRPr lang="en-US" sz="1200">
            <a:latin typeface="Times New Roman" panose="02020603050405020304" pitchFamily="18" charset="0"/>
            <a:cs typeface="Times New Roman" panose="02020603050405020304" pitchFamily="18" charset="0"/>
          </a:endParaRPr>
        </a:p>
      </dgm:t>
    </dgm:pt>
    <dgm:pt modelId="{1134145D-31B4-4B8E-B680-5788F96781A6}" type="pres">
      <dgm:prSet presAssocID="{37A0AF5F-9180-4843-B6AB-9C03222730CF}" presName="linearFlow" presStyleCnt="0">
        <dgm:presLayoutVars>
          <dgm:resizeHandles val="exact"/>
        </dgm:presLayoutVars>
      </dgm:prSet>
      <dgm:spPr/>
    </dgm:pt>
    <dgm:pt modelId="{20F08262-B26B-439C-A8DC-55E2858CB0DE}" type="pres">
      <dgm:prSet presAssocID="{5B0BBE28-8C12-4CDC-9543-36FD582EFCC3}" presName="node" presStyleLbl="node1" presStyleIdx="0" presStyleCnt="4" custScaleX="159406">
        <dgm:presLayoutVars>
          <dgm:bulletEnabled val="1"/>
        </dgm:presLayoutVars>
      </dgm:prSet>
      <dgm:spPr/>
      <dgm:t>
        <a:bodyPr/>
        <a:lstStyle/>
        <a:p>
          <a:endParaRPr lang="en-US"/>
        </a:p>
      </dgm:t>
    </dgm:pt>
    <dgm:pt modelId="{F9EC4C54-680E-44D5-94A9-0CB63BA2FBF2}" type="pres">
      <dgm:prSet presAssocID="{70470196-49D7-45AF-8D91-6858E92A83D8}" presName="sibTrans" presStyleLbl="sibTrans2D1" presStyleIdx="0" presStyleCnt="3"/>
      <dgm:spPr/>
      <dgm:t>
        <a:bodyPr/>
        <a:lstStyle/>
        <a:p>
          <a:endParaRPr lang="en-US"/>
        </a:p>
      </dgm:t>
    </dgm:pt>
    <dgm:pt modelId="{40B07E9E-4C47-46F4-9AE8-905FB5C07D7D}" type="pres">
      <dgm:prSet presAssocID="{70470196-49D7-45AF-8D91-6858E92A83D8}" presName="connectorText" presStyleLbl="sibTrans2D1" presStyleIdx="0" presStyleCnt="3"/>
      <dgm:spPr/>
      <dgm:t>
        <a:bodyPr/>
        <a:lstStyle/>
        <a:p>
          <a:endParaRPr lang="en-US"/>
        </a:p>
      </dgm:t>
    </dgm:pt>
    <dgm:pt modelId="{CD75BA53-DFD4-40E2-9D8F-CD973240446B}" type="pres">
      <dgm:prSet presAssocID="{84D8D3F5-DBC7-4023-882E-3B21EA74D4FD}" presName="node" presStyleLbl="node1" presStyleIdx="1" presStyleCnt="4">
        <dgm:presLayoutVars>
          <dgm:bulletEnabled val="1"/>
        </dgm:presLayoutVars>
      </dgm:prSet>
      <dgm:spPr/>
      <dgm:t>
        <a:bodyPr/>
        <a:lstStyle/>
        <a:p>
          <a:endParaRPr lang="en-US"/>
        </a:p>
      </dgm:t>
    </dgm:pt>
    <dgm:pt modelId="{441107CB-8A3D-4320-AFD7-85F9F9A24695}" type="pres">
      <dgm:prSet presAssocID="{49818A0B-2719-409C-AB6A-407FD18310A5}" presName="sibTrans" presStyleLbl="sibTrans2D1" presStyleIdx="1" presStyleCnt="3"/>
      <dgm:spPr/>
      <dgm:t>
        <a:bodyPr/>
        <a:lstStyle/>
        <a:p>
          <a:endParaRPr lang="en-US"/>
        </a:p>
      </dgm:t>
    </dgm:pt>
    <dgm:pt modelId="{CA13AE15-B7FF-4058-B874-7C268A7B878B}" type="pres">
      <dgm:prSet presAssocID="{49818A0B-2719-409C-AB6A-407FD18310A5}" presName="connectorText" presStyleLbl="sibTrans2D1" presStyleIdx="1" presStyleCnt="3"/>
      <dgm:spPr/>
      <dgm:t>
        <a:bodyPr/>
        <a:lstStyle/>
        <a:p>
          <a:endParaRPr lang="en-US"/>
        </a:p>
      </dgm:t>
    </dgm:pt>
    <dgm:pt modelId="{4531D31B-370B-4E2D-A0AF-8BA78DB39020}" type="pres">
      <dgm:prSet presAssocID="{A4FB4D9F-9BB1-4BD6-BB35-3C4565C0FB24}" presName="node" presStyleLbl="node1" presStyleIdx="2" presStyleCnt="4">
        <dgm:presLayoutVars>
          <dgm:bulletEnabled val="1"/>
        </dgm:presLayoutVars>
      </dgm:prSet>
      <dgm:spPr/>
      <dgm:t>
        <a:bodyPr/>
        <a:lstStyle/>
        <a:p>
          <a:endParaRPr lang="en-US"/>
        </a:p>
      </dgm:t>
    </dgm:pt>
    <dgm:pt modelId="{2D74B408-FA38-48BB-AD0B-10D7E1C25E2A}" type="pres">
      <dgm:prSet presAssocID="{75C47C2D-FCBB-4921-AB72-9580A84CC11F}" presName="sibTrans" presStyleLbl="sibTrans2D1" presStyleIdx="2" presStyleCnt="3"/>
      <dgm:spPr/>
      <dgm:t>
        <a:bodyPr/>
        <a:lstStyle/>
        <a:p>
          <a:endParaRPr lang="en-US"/>
        </a:p>
      </dgm:t>
    </dgm:pt>
    <dgm:pt modelId="{410C2A08-BE90-4266-9776-0EA3D812286C}" type="pres">
      <dgm:prSet presAssocID="{75C47C2D-FCBB-4921-AB72-9580A84CC11F}" presName="connectorText" presStyleLbl="sibTrans2D1" presStyleIdx="2" presStyleCnt="3"/>
      <dgm:spPr/>
      <dgm:t>
        <a:bodyPr/>
        <a:lstStyle/>
        <a:p>
          <a:endParaRPr lang="en-US"/>
        </a:p>
      </dgm:t>
    </dgm:pt>
    <dgm:pt modelId="{D17346EF-1E77-4A20-B45B-D52B981C1632}" type="pres">
      <dgm:prSet presAssocID="{77EA567D-A7ED-469F-B4CD-6C88583CFD1D}" presName="node" presStyleLbl="node1" presStyleIdx="3" presStyleCnt="4">
        <dgm:presLayoutVars>
          <dgm:bulletEnabled val="1"/>
        </dgm:presLayoutVars>
      </dgm:prSet>
      <dgm:spPr/>
      <dgm:t>
        <a:bodyPr/>
        <a:lstStyle/>
        <a:p>
          <a:endParaRPr lang="en-US"/>
        </a:p>
      </dgm:t>
    </dgm:pt>
  </dgm:ptLst>
  <dgm:cxnLst>
    <dgm:cxn modelId="{65946A7F-1E8B-4340-BF21-52DE2607D193}" type="presOf" srcId="{70470196-49D7-45AF-8D91-6858E92A83D8}" destId="{F9EC4C54-680E-44D5-94A9-0CB63BA2FBF2}" srcOrd="0" destOrd="0" presId="urn:microsoft.com/office/officeart/2005/8/layout/process2"/>
    <dgm:cxn modelId="{BCF20D84-7412-458F-945E-4895388599BE}" srcId="{37A0AF5F-9180-4843-B6AB-9C03222730CF}" destId="{A4FB4D9F-9BB1-4BD6-BB35-3C4565C0FB24}" srcOrd="2" destOrd="0" parTransId="{62A3CC03-D163-4215-942D-491248E07FC4}" sibTransId="{75C47C2D-FCBB-4921-AB72-9580A84CC11F}"/>
    <dgm:cxn modelId="{59B5269B-86A8-49DE-9A7F-4F1D0074EB3B}" type="presOf" srcId="{A4FB4D9F-9BB1-4BD6-BB35-3C4565C0FB24}" destId="{4531D31B-370B-4E2D-A0AF-8BA78DB39020}" srcOrd="0" destOrd="0" presId="urn:microsoft.com/office/officeart/2005/8/layout/process2"/>
    <dgm:cxn modelId="{0185BFFB-3847-4378-860F-B1D7D83553C5}" srcId="{37A0AF5F-9180-4843-B6AB-9C03222730CF}" destId="{77EA567D-A7ED-469F-B4CD-6C88583CFD1D}" srcOrd="3" destOrd="0" parTransId="{5E7FE7F4-AFDE-4D49-8C62-0461CC44D937}" sibTransId="{D389A569-A5E3-4E0C-A105-162406740F5C}"/>
    <dgm:cxn modelId="{7EB9C41B-A2C1-4064-AA1F-570D39DF63F9}" type="presOf" srcId="{70470196-49D7-45AF-8D91-6858E92A83D8}" destId="{40B07E9E-4C47-46F4-9AE8-905FB5C07D7D}" srcOrd="1" destOrd="0" presId="urn:microsoft.com/office/officeart/2005/8/layout/process2"/>
    <dgm:cxn modelId="{D3381B1C-D074-4AB8-A56A-FCB983A3EEA4}" srcId="{37A0AF5F-9180-4843-B6AB-9C03222730CF}" destId="{84D8D3F5-DBC7-4023-882E-3B21EA74D4FD}" srcOrd="1" destOrd="0" parTransId="{3259B2A7-BA25-478F-9C8B-CCB10D7DD7B8}" sibTransId="{49818A0B-2719-409C-AB6A-407FD18310A5}"/>
    <dgm:cxn modelId="{69EF2847-67E7-430B-8541-1B2A87FD392B}" type="presOf" srcId="{77EA567D-A7ED-469F-B4CD-6C88583CFD1D}" destId="{D17346EF-1E77-4A20-B45B-D52B981C1632}" srcOrd="0" destOrd="0" presId="urn:microsoft.com/office/officeart/2005/8/layout/process2"/>
    <dgm:cxn modelId="{3172664E-6F37-49EC-AE53-247879A00984}" type="presOf" srcId="{84D8D3F5-DBC7-4023-882E-3B21EA74D4FD}" destId="{CD75BA53-DFD4-40E2-9D8F-CD973240446B}" srcOrd="0" destOrd="0" presId="urn:microsoft.com/office/officeart/2005/8/layout/process2"/>
    <dgm:cxn modelId="{E69E3839-27E0-44D7-BB28-642174282056}" type="presOf" srcId="{49818A0B-2719-409C-AB6A-407FD18310A5}" destId="{CA13AE15-B7FF-4058-B874-7C268A7B878B}" srcOrd="1" destOrd="0" presId="urn:microsoft.com/office/officeart/2005/8/layout/process2"/>
    <dgm:cxn modelId="{BAE2B03F-5BF2-43E5-AD31-FA98AA5E44C9}" type="presOf" srcId="{5B0BBE28-8C12-4CDC-9543-36FD582EFCC3}" destId="{20F08262-B26B-439C-A8DC-55E2858CB0DE}" srcOrd="0" destOrd="0" presId="urn:microsoft.com/office/officeart/2005/8/layout/process2"/>
    <dgm:cxn modelId="{BE6A90FF-F91E-4B10-B9DC-7746E9E3315B}" type="presOf" srcId="{75C47C2D-FCBB-4921-AB72-9580A84CC11F}" destId="{410C2A08-BE90-4266-9776-0EA3D812286C}" srcOrd="1" destOrd="0" presId="urn:microsoft.com/office/officeart/2005/8/layout/process2"/>
    <dgm:cxn modelId="{CB0CF320-A4FA-45F0-8880-53BB22F9DA75}" type="presOf" srcId="{75C47C2D-FCBB-4921-AB72-9580A84CC11F}" destId="{2D74B408-FA38-48BB-AD0B-10D7E1C25E2A}" srcOrd="0" destOrd="0" presId="urn:microsoft.com/office/officeart/2005/8/layout/process2"/>
    <dgm:cxn modelId="{593A4EF1-631E-4DA6-9A6A-63F577227009}" type="presOf" srcId="{49818A0B-2719-409C-AB6A-407FD18310A5}" destId="{441107CB-8A3D-4320-AFD7-85F9F9A24695}" srcOrd="0" destOrd="0" presId="urn:microsoft.com/office/officeart/2005/8/layout/process2"/>
    <dgm:cxn modelId="{24DBA4CD-099E-4FDE-BF9C-712DE9CC37D0}" type="presOf" srcId="{37A0AF5F-9180-4843-B6AB-9C03222730CF}" destId="{1134145D-31B4-4B8E-B680-5788F96781A6}" srcOrd="0" destOrd="0" presId="urn:microsoft.com/office/officeart/2005/8/layout/process2"/>
    <dgm:cxn modelId="{8C2423DF-3F73-442C-A1C9-6F32EEA39656}" srcId="{37A0AF5F-9180-4843-B6AB-9C03222730CF}" destId="{5B0BBE28-8C12-4CDC-9543-36FD582EFCC3}" srcOrd="0" destOrd="0" parTransId="{DFC3AF68-BDB1-4F64-941E-56E45576D14F}" sibTransId="{70470196-49D7-45AF-8D91-6858E92A83D8}"/>
    <dgm:cxn modelId="{E3ACE049-CCF8-4517-B246-A6171C56BAEF}" type="presParOf" srcId="{1134145D-31B4-4B8E-B680-5788F96781A6}" destId="{20F08262-B26B-439C-A8DC-55E2858CB0DE}" srcOrd="0" destOrd="0" presId="urn:microsoft.com/office/officeart/2005/8/layout/process2"/>
    <dgm:cxn modelId="{B185B3D3-0FF9-42D1-BDBA-386B368E1F0B}" type="presParOf" srcId="{1134145D-31B4-4B8E-B680-5788F96781A6}" destId="{F9EC4C54-680E-44D5-94A9-0CB63BA2FBF2}" srcOrd="1" destOrd="0" presId="urn:microsoft.com/office/officeart/2005/8/layout/process2"/>
    <dgm:cxn modelId="{6936C606-6063-42B8-B419-D44DE6A60A5E}" type="presParOf" srcId="{F9EC4C54-680E-44D5-94A9-0CB63BA2FBF2}" destId="{40B07E9E-4C47-46F4-9AE8-905FB5C07D7D}" srcOrd="0" destOrd="0" presId="urn:microsoft.com/office/officeart/2005/8/layout/process2"/>
    <dgm:cxn modelId="{FADBC8D4-D0A5-4DB3-BB03-08DF0DC53D53}" type="presParOf" srcId="{1134145D-31B4-4B8E-B680-5788F96781A6}" destId="{CD75BA53-DFD4-40E2-9D8F-CD973240446B}" srcOrd="2" destOrd="0" presId="urn:microsoft.com/office/officeart/2005/8/layout/process2"/>
    <dgm:cxn modelId="{6518D433-5B29-496B-A90D-9A7E9BB545CC}" type="presParOf" srcId="{1134145D-31B4-4B8E-B680-5788F96781A6}" destId="{441107CB-8A3D-4320-AFD7-85F9F9A24695}" srcOrd="3" destOrd="0" presId="urn:microsoft.com/office/officeart/2005/8/layout/process2"/>
    <dgm:cxn modelId="{7FCED764-CF5A-4D91-8038-9D6D529FEDFC}" type="presParOf" srcId="{441107CB-8A3D-4320-AFD7-85F9F9A24695}" destId="{CA13AE15-B7FF-4058-B874-7C268A7B878B}" srcOrd="0" destOrd="0" presId="urn:microsoft.com/office/officeart/2005/8/layout/process2"/>
    <dgm:cxn modelId="{075F1BCE-B908-4B27-9FA0-9FAF93EFD56C}" type="presParOf" srcId="{1134145D-31B4-4B8E-B680-5788F96781A6}" destId="{4531D31B-370B-4E2D-A0AF-8BA78DB39020}" srcOrd="4" destOrd="0" presId="urn:microsoft.com/office/officeart/2005/8/layout/process2"/>
    <dgm:cxn modelId="{CEB06A87-EE5F-4964-B666-9F4308B03BA0}" type="presParOf" srcId="{1134145D-31B4-4B8E-B680-5788F96781A6}" destId="{2D74B408-FA38-48BB-AD0B-10D7E1C25E2A}" srcOrd="5" destOrd="0" presId="urn:microsoft.com/office/officeart/2005/8/layout/process2"/>
    <dgm:cxn modelId="{E7365DF7-F87D-4F09-A258-AB98B11ABBDF}" type="presParOf" srcId="{2D74B408-FA38-48BB-AD0B-10D7E1C25E2A}" destId="{410C2A08-BE90-4266-9776-0EA3D812286C}" srcOrd="0" destOrd="0" presId="urn:microsoft.com/office/officeart/2005/8/layout/process2"/>
    <dgm:cxn modelId="{E842D51F-DB93-4E15-B168-CD10F19AEC61}" type="presParOf" srcId="{1134145D-31B4-4B8E-B680-5788F96781A6}" destId="{D17346EF-1E77-4A20-B45B-D52B981C1632}" srcOrd="6"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3FAC0E-A6C9-4937-BB69-E59713359F44}">
      <dsp:nvSpPr>
        <dsp:cNvPr id="0" name=""/>
        <dsp:cNvSpPr/>
      </dsp:nvSpPr>
      <dsp:spPr>
        <a:xfrm>
          <a:off x="2024624" y="1155513"/>
          <a:ext cx="1386249" cy="990439"/>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Urban Green Infrastructure and Pollinator Biodiversity</a:t>
          </a:r>
          <a:endParaRPr lang="en-US" sz="1200" kern="1200">
            <a:latin typeface="Times New Roman" panose="02020603050405020304" pitchFamily="18" charset="0"/>
            <a:cs typeface="Times New Roman" panose="02020603050405020304" pitchFamily="18" charset="0"/>
          </a:endParaRPr>
        </a:p>
      </dsp:txBody>
      <dsp:txXfrm>
        <a:off x="2072973" y="1203862"/>
        <a:ext cx="1289551" cy="893741"/>
      </dsp:txXfrm>
    </dsp:sp>
    <dsp:sp modelId="{96F03450-2C20-4C02-BC65-F53C0B87DFA6}">
      <dsp:nvSpPr>
        <dsp:cNvPr id="0" name=""/>
        <dsp:cNvSpPr/>
      </dsp:nvSpPr>
      <dsp:spPr>
        <a:xfrm rot="16200000">
          <a:off x="2471931" y="909695"/>
          <a:ext cx="491634" cy="0"/>
        </a:xfrm>
        <a:custGeom>
          <a:avLst/>
          <a:gdLst/>
          <a:ahLst/>
          <a:cxnLst/>
          <a:rect l="0" t="0" r="0" b="0"/>
          <a:pathLst>
            <a:path>
              <a:moveTo>
                <a:pt x="0" y="0"/>
              </a:moveTo>
              <a:lnTo>
                <a:pt x="49163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BAD0356-FF9B-4AE6-86FE-AA8356238FCD}">
      <dsp:nvSpPr>
        <dsp:cNvPr id="0" name=""/>
        <dsp:cNvSpPr/>
      </dsp:nvSpPr>
      <dsp:spPr>
        <a:xfrm>
          <a:off x="2185645" y="283"/>
          <a:ext cx="1064206"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Habitat Provision</a:t>
          </a:r>
          <a:endParaRPr lang="en-US" sz="1200" kern="1200">
            <a:latin typeface="Times New Roman" panose="02020603050405020304" pitchFamily="18" charset="0"/>
            <a:cs typeface="Times New Roman" panose="02020603050405020304" pitchFamily="18" charset="0"/>
          </a:endParaRPr>
        </a:p>
      </dsp:txBody>
      <dsp:txXfrm>
        <a:off x="2218039" y="32677"/>
        <a:ext cx="999418" cy="598806"/>
      </dsp:txXfrm>
    </dsp:sp>
    <dsp:sp modelId="{78ECED82-5740-4996-855A-9732B74D0F90}">
      <dsp:nvSpPr>
        <dsp:cNvPr id="0" name=""/>
        <dsp:cNvSpPr/>
      </dsp:nvSpPr>
      <dsp:spPr>
        <a:xfrm>
          <a:off x="3410873" y="1650733"/>
          <a:ext cx="153744" cy="0"/>
        </a:xfrm>
        <a:custGeom>
          <a:avLst/>
          <a:gdLst/>
          <a:ahLst/>
          <a:cxnLst/>
          <a:rect l="0" t="0" r="0" b="0"/>
          <a:pathLst>
            <a:path>
              <a:moveTo>
                <a:pt x="0" y="0"/>
              </a:moveTo>
              <a:lnTo>
                <a:pt x="15374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463AA41-75D9-4DB8-B7A0-E36FB338EAF0}">
      <dsp:nvSpPr>
        <dsp:cNvPr id="0" name=""/>
        <dsp:cNvSpPr/>
      </dsp:nvSpPr>
      <dsp:spPr>
        <a:xfrm>
          <a:off x="3564618" y="1318935"/>
          <a:ext cx="943565"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Floral Resource Availability</a:t>
          </a:r>
          <a:endParaRPr lang="en-US" sz="1200" kern="1200">
            <a:latin typeface="Times New Roman" panose="02020603050405020304" pitchFamily="18" charset="0"/>
            <a:cs typeface="Times New Roman" panose="02020603050405020304" pitchFamily="18" charset="0"/>
          </a:endParaRPr>
        </a:p>
      </dsp:txBody>
      <dsp:txXfrm>
        <a:off x="3597012" y="1351329"/>
        <a:ext cx="878777" cy="598806"/>
      </dsp:txXfrm>
    </dsp:sp>
    <dsp:sp modelId="{FAD4F53A-82FF-46EA-B6D4-66D054636F04}">
      <dsp:nvSpPr>
        <dsp:cNvPr id="0" name=""/>
        <dsp:cNvSpPr/>
      </dsp:nvSpPr>
      <dsp:spPr>
        <a:xfrm rot="5400000">
          <a:off x="2471931" y="2391770"/>
          <a:ext cx="491634" cy="0"/>
        </a:xfrm>
        <a:custGeom>
          <a:avLst/>
          <a:gdLst/>
          <a:ahLst/>
          <a:cxnLst/>
          <a:rect l="0" t="0" r="0" b="0"/>
          <a:pathLst>
            <a:path>
              <a:moveTo>
                <a:pt x="0" y="0"/>
              </a:moveTo>
              <a:lnTo>
                <a:pt x="491634"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56022A3-498E-46C2-BBF7-7EEC7DDC4E9E}">
      <dsp:nvSpPr>
        <dsp:cNvPr id="0" name=""/>
        <dsp:cNvSpPr/>
      </dsp:nvSpPr>
      <dsp:spPr>
        <a:xfrm>
          <a:off x="1966871" y="2637587"/>
          <a:ext cx="1501754"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Landscape Connectivity</a:t>
          </a:r>
          <a:endParaRPr lang="en-US" sz="1200" kern="1200">
            <a:latin typeface="Times New Roman" panose="02020603050405020304" pitchFamily="18" charset="0"/>
            <a:cs typeface="Times New Roman" panose="02020603050405020304" pitchFamily="18" charset="0"/>
          </a:endParaRPr>
        </a:p>
      </dsp:txBody>
      <dsp:txXfrm>
        <a:off x="1999265" y="2669981"/>
        <a:ext cx="1436966" cy="598806"/>
      </dsp:txXfrm>
    </dsp:sp>
    <dsp:sp modelId="{CEB4DF7B-C999-48A9-B513-8884C4E47106}">
      <dsp:nvSpPr>
        <dsp:cNvPr id="0" name=""/>
        <dsp:cNvSpPr/>
      </dsp:nvSpPr>
      <dsp:spPr>
        <a:xfrm rot="10800000">
          <a:off x="1935480" y="1650733"/>
          <a:ext cx="89143" cy="0"/>
        </a:xfrm>
        <a:custGeom>
          <a:avLst/>
          <a:gdLst/>
          <a:ahLst/>
          <a:cxnLst/>
          <a:rect l="0" t="0" r="0" b="0"/>
          <a:pathLst>
            <a:path>
              <a:moveTo>
                <a:pt x="0" y="0"/>
              </a:moveTo>
              <a:lnTo>
                <a:pt x="89143" y="0"/>
              </a:lnTo>
            </a:path>
          </a:pathLst>
        </a:custGeom>
        <a:noFill/>
        <a:ln w="12700" cap="flat" cmpd="sng" algn="ctr">
          <a:solidFill>
            <a:schemeClr val="accent5">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701AF29-F04F-4B0E-9BC3-BBDDA31FB749}">
      <dsp:nvSpPr>
        <dsp:cNvPr id="0" name=""/>
        <dsp:cNvSpPr/>
      </dsp:nvSpPr>
      <dsp:spPr>
        <a:xfrm>
          <a:off x="862713" y="1318935"/>
          <a:ext cx="1072767" cy="663594"/>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Management Practices</a:t>
          </a:r>
          <a:endParaRPr lang="en-US" sz="1200" kern="1200">
            <a:latin typeface="Times New Roman" panose="02020603050405020304" pitchFamily="18" charset="0"/>
            <a:cs typeface="Times New Roman" panose="02020603050405020304" pitchFamily="18" charset="0"/>
          </a:endParaRPr>
        </a:p>
      </dsp:txBody>
      <dsp:txXfrm>
        <a:off x="895107" y="1351329"/>
        <a:ext cx="1007979" cy="5988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2A29D-723D-4BD0-9C31-13A51F5797EC}">
      <dsp:nvSpPr>
        <dsp:cNvPr id="0" name=""/>
        <dsp:cNvSpPr/>
      </dsp:nvSpPr>
      <dsp:spPr>
        <a:xfrm>
          <a:off x="941285" y="575315"/>
          <a:ext cx="3844461" cy="3844461"/>
        </a:xfrm>
        <a:prstGeom prst="blockArc">
          <a:avLst>
            <a:gd name="adj1" fmla="val 11880000"/>
            <a:gd name="adj2" fmla="val 16200000"/>
            <a:gd name="adj3" fmla="val 4634"/>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A974010E-0BED-4B4A-B006-B979E6E0D4C9}">
      <dsp:nvSpPr>
        <dsp:cNvPr id="0" name=""/>
        <dsp:cNvSpPr/>
      </dsp:nvSpPr>
      <dsp:spPr>
        <a:xfrm>
          <a:off x="941285" y="575315"/>
          <a:ext cx="3844461" cy="3844461"/>
        </a:xfrm>
        <a:prstGeom prst="blockArc">
          <a:avLst>
            <a:gd name="adj1" fmla="val 7560000"/>
            <a:gd name="adj2" fmla="val 11880000"/>
            <a:gd name="adj3" fmla="val 4634"/>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C7AB9B0E-8A02-4E0F-99B7-EDFCB0D35488}">
      <dsp:nvSpPr>
        <dsp:cNvPr id="0" name=""/>
        <dsp:cNvSpPr/>
      </dsp:nvSpPr>
      <dsp:spPr>
        <a:xfrm>
          <a:off x="941285" y="575315"/>
          <a:ext cx="3844461" cy="3844461"/>
        </a:xfrm>
        <a:prstGeom prst="blockArc">
          <a:avLst>
            <a:gd name="adj1" fmla="val 3240000"/>
            <a:gd name="adj2" fmla="val 7560000"/>
            <a:gd name="adj3" fmla="val 4634"/>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97B5B1D-2611-4FEB-9F2E-868DBE6F094E}">
      <dsp:nvSpPr>
        <dsp:cNvPr id="0" name=""/>
        <dsp:cNvSpPr/>
      </dsp:nvSpPr>
      <dsp:spPr>
        <a:xfrm>
          <a:off x="941285" y="575315"/>
          <a:ext cx="3844461" cy="3844461"/>
        </a:xfrm>
        <a:prstGeom prst="blockArc">
          <a:avLst>
            <a:gd name="adj1" fmla="val 20520000"/>
            <a:gd name="adj2" fmla="val 3240000"/>
            <a:gd name="adj3" fmla="val 4634"/>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85661CF9-33F9-4096-A59B-F4FA3A6C2115}">
      <dsp:nvSpPr>
        <dsp:cNvPr id="0" name=""/>
        <dsp:cNvSpPr/>
      </dsp:nvSpPr>
      <dsp:spPr>
        <a:xfrm>
          <a:off x="941285" y="575315"/>
          <a:ext cx="3844461" cy="3844461"/>
        </a:xfrm>
        <a:prstGeom prst="blockArc">
          <a:avLst>
            <a:gd name="adj1" fmla="val 16200000"/>
            <a:gd name="adj2" fmla="val 20520000"/>
            <a:gd name="adj3" fmla="val 4634"/>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7B05B75-F583-45B7-87A0-950C492DA0DC}">
      <dsp:nvSpPr>
        <dsp:cNvPr id="0" name=""/>
        <dsp:cNvSpPr/>
      </dsp:nvSpPr>
      <dsp:spPr>
        <a:xfrm>
          <a:off x="1979852" y="1613883"/>
          <a:ext cx="1767326" cy="1767326"/>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Urban Green Infrastructure and Community Well-being</a:t>
          </a:r>
          <a:endParaRPr lang="en-US" sz="1200" kern="1200">
            <a:latin typeface="Times New Roman" panose="02020603050405020304" pitchFamily="18" charset="0"/>
            <a:cs typeface="Times New Roman" panose="02020603050405020304" pitchFamily="18" charset="0"/>
          </a:endParaRPr>
        </a:p>
      </dsp:txBody>
      <dsp:txXfrm>
        <a:off x="2238671" y="1872702"/>
        <a:ext cx="1249688" cy="1249688"/>
      </dsp:txXfrm>
    </dsp:sp>
    <dsp:sp modelId="{2B0D06B0-7261-4ABC-A984-2B790A2A06E0}">
      <dsp:nvSpPr>
        <dsp:cNvPr id="0" name=""/>
        <dsp:cNvSpPr/>
      </dsp:nvSpPr>
      <dsp:spPr>
        <a:xfrm>
          <a:off x="2244951" y="1288"/>
          <a:ext cx="1237128" cy="1237128"/>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Physical Health and Active Living</a:t>
          </a:r>
          <a:endParaRPr lang="en-US" sz="1200" kern="1200">
            <a:latin typeface="Times New Roman" panose="02020603050405020304" pitchFamily="18" charset="0"/>
            <a:cs typeface="Times New Roman" panose="02020603050405020304" pitchFamily="18" charset="0"/>
          </a:endParaRPr>
        </a:p>
      </dsp:txBody>
      <dsp:txXfrm>
        <a:off x="2426124" y="182461"/>
        <a:ext cx="874782" cy="874782"/>
      </dsp:txXfrm>
    </dsp:sp>
    <dsp:sp modelId="{A1A3AFAB-F848-45E3-8C65-10E7997ABA36}">
      <dsp:nvSpPr>
        <dsp:cNvPr id="0" name=""/>
        <dsp:cNvSpPr/>
      </dsp:nvSpPr>
      <dsp:spPr>
        <a:xfrm>
          <a:off x="4030745" y="1298742"/>
          <a:ext cx="1237128" cy="1237128"/>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Mental Health and Psychological Restoration</a:t>
          </a:r>
          <a:endParaRPr lang="en-US" sz="1200" kern="1200">
            <a:latin typeface="Times New Roman" panose="02020603050405020304" pitchFamily="18" charset="0"/>
            <a:cs typeface="Times New Roman" panose="02020603050405020304" pitchFamily="18" charset="0"/>
          </a:endParaRPr>
        </a:p>
      </dsp:txBody>
      <dsp:txXfrm>
        <a:off x="4211918" y="1479915"/>
        <a:ext cx="874782" cy="874782"/>
      </dsp:txXfrm>
    </dsp:sp>
    <dsp:sp modelId="{640B9AF0-1FAF-47E2-87BE-4404AF73D844}">
      <dsp:nvSpPr>
        <dsp:cNvPr id="0" name=""/>
        <dsp:cNvSpPr/>
      </dsp:nvSpPr>
      <dsp:spPr>
        <a:xfrm>
          <a:off x="3348632" y="3398068"/>
          <a:ext cx="1237128" cy="1237128"/>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Social Cohesion and Community Interaction</a:t>
          </a:r>
          <a:endParaRPr lang="en-US" sz="1200" kern="1200">
            <a:latin typeface="Times New Roman" panose="02020603050405020304" pitchFamily="18" charset="0"/>
            <a:cs typeface="Times New Roman" panose="02020603050405020304" pitchFamily="18" charset="0"/>
          </a:endParaRPr>
        </a:p>
      </dsp:txBody>
      <dsp:txXfrm>
        <a:off x="3529805" y="3579241"/>
        <a:ext cx="874782" cy="874782"/>
      </dsp:txXfrm>
    </dsp:sp>
    <dsp:sp modelId="{2942B26C-A2F4-4FD3-B819-69F890F9C4E4}">
      <dsp:nvSpPr>
        <dsp:cNvPr id="0" name=""/>
        <dsp:cNvSpPr/>
      </dsp:nvSpPr>
      <dsp:spPr>
        <a:xfrm>
          <a:off x="1141270" y="3398068"/>
          <a:ext cx="1237128" cy="1237128"/>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Cultural and Aesthetic Value</a:t>
          </a:r>
          <a:endParaRPr lang="en-US"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Char char="••"/>
          </a:pPr>
          <a:endParaRPr lang="en-US" sz="1200" kern="1200">
            <a:latin typeface="Times New Roman" panose="02020603050405020304" pitchFamily="18" charset="0"/>
            <a:cs typeface="Times New Roman" panose="02020603050405020304" pitchFamily="18" charset="0"/>
          </a:endParaRPr>
        </a:p>
      </dsp:txBody>
      <dsp:txXfrm>
        <a:off x="1322443" y="3579241"/>
        <a:ext cx="874782" cy="874782"/>
      </dsp:txXfrm>
    </dsp:sp>
    <dsp:sp modelId="{CB9114F7-64DC-4A0C-BD44-68CE4889AB3D}">
      <dsp:nvSpPr>
        <dsp:cNvPr id="0" name=""/>
        <dsp:cNvSpPr/>
      </dsp:nvSpPr>
      <dsp:spPr>
        <a:xfrm>
          <a:off x="459158" y="1298742"/>
          <a:ext cx="1237128" cy="1237128"/>
        </a:xfrm>
        <a:prstGeom prst="ellipse">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Times New Roman" panose="02020603050405020304" pitchFamily="18" charset="0"/>
              <a:cs typeface="Times New Roman" panose="02020603050405020304" pitchFamily="18" charset="0"/>
            </a:rPr>
            <a:t>Climate Resilience and Environmental Justice</a:t>
          </a:r>
          <a:endParaRPr lang="en-US" sz="1200" kern="1200">
            <a:latin typeface="Times New Roman" panose="02020603050405020304" pitchFamily="18" charset="0"/>
            <a:cs typeface="Times New Roman" panose="02020603050405020304" pitchFamily="18" charset="0"/>
          </a:endParaRPr>
        </a:p>
      </dsp:txBody>
      <dsp:txXfrm>
        <a:off x="640331" y="1479915"/>
        <a:ext cx="874782" cy="8747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08262-B26B-439C-A8DC-55E2858CB0DE}">
      <dsp:nvSpPr>
        <dsp:cNvPr id="0" name=""/>
        <dsp:cNvSpPr/>
      </dsp:nvSpPr>
      <dsp:spPr>
        <a:xfrm>
          <a:off x="1080015" y="5668"/>
          <a:ext cx="3832206"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1" u="sng" kern="1200">
              <a:latin typeface="Times New Roman" panose="02020603050405020304" pitchFamily="18" charset="0"/>
              <a:cs typeface="Times New Roman" panose="02020603050405020304" pitchFamily="18" charset="0"/>
            </a:rPr>
            <a:t>Identification</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Records identified from:</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Database (n= 380)</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Grey Literature (n= 47)</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Duplicate records removed (n= 420)</a:t>
          </a:r>
        </a:p>
      </dsp:txBody>
      <dsp:txXfrm>
        <a:off x="1110881" y="36534"/>
        <a:ext cx="3770474" cy="992099"/>
      </dsp:txXfrm>
    </dsp:sp>
    <dsp:sp modelId="{F9EC4C54-680E-44D5-94A9-0CB63BA2FBF2}">
      <dsp:nvSpPr>
        <dsp:cNvPr id="0" name=""/>
        <dsp:cNvSpPr/>
      </dsp:nvSpPr>
      <dsp:spPr>
        <a:xfrm rot="5400000">
          <a:off x="2798525" y="1085846"/>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5400000">
        <a:off x="2853851" y="1125365"/>
        <a:ext cx="284534" cy="276630"/>
      </dsp:txXfrm>
    </dsp:sp>
    <dsp:sp modelId="{CD75BA53-DFD4-40E2-9D8F-CD973240446B}">
      <dsp:nvSpPr>
        <dsp:cNvPr id="0" name=""/>
        <dsp:cNvSpPr/>
      </dsp:nvSpPr>
      <dsp:spPr>
        <a:xfrm>
          <a:off x="1794092" y="1586416"/>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1" u="sng" kern="1200">
              <a:latin typeface="Times New Roman" panose="02020603050405020304" pitchFamily="18" charset="0"/>
              <a:cs typeface="Times New Roman" panose="02020603050405020304" pitchFamily="18" charset="0"/>
            </a:rPr>
            <a:t>Screening</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Record screened (n= 320)</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Records excluded (n= 206)</a:t>
          </a:r>
        </a:p>
      </dsp:txBody>
      <dsp:txXfrm>
        <a:off x="1824958" y="1617282"/>
        <a:ext cx="2342321" cy="992099"/>
      </dsp:txXfrm>
    </dsp:sp>
    <dsp:sp modelId="{441107CB-8A3D-4320-AFD7-85F9F9A24695}">
      <dsp:nvSpPr>
        <dsp:cNvPr id="0" name=""/>
        <dsp:cNvSpPr/>
      </dsp:nvSpPr>
      <dsp:spPr>
        <a:xfrm rot="5400000">
          <a:off x="2798525" y="2666593"/>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5400000">
        <a:off x="2853851" y="2706112"/>
        <a:ext cx="284534" cy="276630"/>
      </dsp:txXfrm>
    </dsp:sp>
    <dsp:sp modelId="{4531D31B-370B-4E2D-A0AF-8BA78DB39020}">
      <dsp:nvSpPr>
        <dsp:cNvPr id="0" name=""/>
        <dsp:cNvSpPr/>
      </dsp:nvSpPr>
      <dsp:spPr>
        <a:xfrm>
          <a:off x="1794092" y="3167163"/>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1" u="sng" kern="1200">
              <a:latin typeface="Times New Roman" panose="02020603050405020304" pitchFamily="18" charset="0"/>
              <a:cs typeface="Times New Roman" panose="02020603050405020304" pitchFamily="18" charset="0"/>
            </a:rPr>
            <a:t>Eligibility</a:t>
          </a:r>
          <a:r>
            <a:rPr lang="en-US" sz="1200" kern="1200">
              <a:latin typeface="Times New Roman" panose="02020603050405020304" pitchFamily="18" charset="0"/>
              <a:cs typeface="Times New Roman" panose="02020603050405020304" pitchFamily="18" charset="0"/>
            </a:rPr>
            <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Reports assessed for eligibility (n= 120)</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Reports excluded: Irrelevant ooutcomes or focus (n= 53)</a:t>
          </a:r>
        </a:p>
      </dsp:txBody>
      <dsp:txXfrm>
        <a:off x="1824958" y="3198029"/>
        <a:ext cx="2342321" cy="992099"/>
      </dsp:txXfrm>
    </dsp:sp>
    <dsp:sp modelId="{2D74B408-FA38-48BB-AD0B-10D7E1C25E2A}">
      <dsp:nvSpPr>
        <dsp:cNvPr id="0" name=""/>
        <dsp:cNvSpPr/>
      </dsp:nvSpPr>
      <dsp:spPr>
        <a:xfrm rot="5400000">
          <a:off x="2798525" y="4247341"/>
          <a:ext cx="395186" cy="47422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5400000">
        <a:off x="2853851" y="4286860"/>
        <a:ext cx="284534" cy="276630"/>
      </dsp:txXfrm>
    </dsp:sp>
    <dsp:sp modelId="{D17346EF-1E77-4A20-B45B-D52B981C1632}">
      <dsp:nvSpPr>
        <dsp:cNvPr id="0" name=""/>
        <dsp:cNvSpPr/>
      </dsp:nvSpPr>
      <dsp:spPr>
        <a:xfrm>
          <a:off x="1794092" y="4747911"/>
          <a:ext cx="2404053" cy="105383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1" u="sng" kern="1200">
              <a:latin typeface="Times New Roman" panose="02020603050405020304" pitchFamily="18" charset="0"/>
              <a:cs typeface="Times New Roman" panose="02020603050405020304" pitchFamily="18" charset="0"/>
            </a:rPr>
            <a:t>Included</a:t>
          </a:r>
          <a:r>
            <a:rPr lang="en-US" sz="1200" kern="1200">
              <a:latin typeface="Times New Roman" panose="02020603050405020304" pitchFamily="18" charset="0"/>
              <a:cs typeface="Times New Roman" panose="02020603050405020304" pitchFamily="18" charset="0"/>
            </a:rPr>
            <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Stusies included in review (n= 67)</a:t>
          </a:r>
        </a:p>
      </dsp:txBody>
      <dsp:txXfrm>
        <a:off x="1824958" y="4778777"/>
        <a:ext cx="2342321" cy="99209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Pages>
  <Words>12165</Words>
  <Characters>69342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Ismail Adewoyin</cp:lastModifiedBy>
  <cp:revision>76</cp:revision>
  <dcterms:created xsi:type="dcterms:W3CDTF">2025-09-18T20:06:00Z</dcterms:created>
  <dcterms:modified xsi:type="dcterms:W3CDTF">2025-09-21T18:49:00Z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348e239f-4dfb-4ec2-a048-2d82cda8ed92</vt:lpwstr>
  </property>
</Properties>
</file>